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451C6" w14:textId="63E64B81" w:rsidR="001D3E05" w:rsidRPr="005208DC" w:rsidRDefault="001D3E05" w:rsidP="00857902">
      <w:pPr>
        <w:snapToGrid w:val="0"/>
        <w:jc w:val="center"/>
        <w:rPr>
          <w:rFonts w:asciiTheme="majorBidi" w:hAnsiTheme="majorBidi" w:cstheme="majorBidi"/>
          <w:color w:val="0D0D0D" w:themeColor="text1" w:themeTint="F2"/>
          <w:lang w:val="sq-AL" w:eastAsia="sq-AL"/>
        </w:rPr>
      </w:pPr>
      <w:r w:rsidRPr="005208DC">
        <w:rPr>
          <w:rFonts w:asciiTheme="majorBidi" w:hAnsiTheme="majorBidi" w:cstheme="majorBidi"/>
          <w:noProof/>
          <w:color w:val="0D0D0D" w:themeColor="text1" w:themeTint="F2"/>
          <w:lang w:val="sq-AL" w:eastAsia="sq-AL" w:bidi="he-IL"/>
        </w:rPr>
        <w:drawing>
          <wp:inline distT="0" distB="0" distL="0" distR="0" wp14:anchorId="3BE0CBF6" wp14:editId="39FD7502">
            <wp:extent cx="675005" cy="800100"/>
            <wp:effectExtent l="0" t="0" r="0" b="0"/>
            <wp:docPr id="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005" cy="800100"/>
                    </a:xfrm>
                    <a:prstGeom prst="rect">
                      <a:avLst/>
                    </a:prstGeom>
                    <a:noFill/>
                  </pic:spPr>
                </pic:pic>
              </a:graphicData>
            </a:graphic>
          </wp:inline>
        </w:drawing>
      </w:r>
    </w:p>
    <w:p w14:paraId="15833E6D" w14:textId="2F6EDF0A" w:rsidR="00DF1828" w:rsidRPr="005208DC" w:rsidRDefault="00DF1828" w:rsidP="00857902">
      <w:pPr>
        <w:snapToGrid w:val="0"/>
        <w:jc w:val="center"/>
        <w:rPr>
          <w:rFonts w:asciiTheme="majorBidi" w:hAnsiTheme="majorBidi" w:cstheme="majorBidi"/>
          <w:b/>
          <w:color w:val="0D0D0D" w:themeColor="text1" w:themeTint="F2"/>
          <w:lang w:val="sq-AL"/>
        </w:rPr>
      </w:pPr>
      <w:r w:rsidRPr="005208DC">
        <w:rPr>
          <w:rFonts w:asciiTheme="majorBidi" w:hAnsiTheme="majorBidi" w:cstheme="majorBidi"/>
          <w:b/>
          <w:color w:val="0D0D0D" w:themeColor="text1" w:themeTint="F2"/>
          <w:lang w:val="sq-AL"/>
        </w:rPr>
        <w:t>REPUBLI</w:t>
      </w:r>
      <w:r w:rsidR="004D1F24" w:rsidRPr="005208DC">
        <w:rPr>
          <w:rFonts w:asciiTheme="majorBidi" w:hAnsiTheme="majorBidi" w:cstheme="majorBidi"/>
          <w:b/>
          <w:color w:val="0D0D0D" w:themeColor="text1" w:themeTint="F2"/>
          <w:lang w:val="sq-AL"/>
        </w:rPr>
        <w:t>KA</w:t>
      </w:r>
      <w:r w:rsidR="00626FE1" w:rsidRPr="005208DC">
        <w:rPr>
          <w:rFonts w:asciiTheme="majorBidi" w:hAnsiTheme="majorBidi" w:cstheme="majorBidi"/>
          <w:b/>
          <w:color w:val="0D0D0D" w:themeColor="text1" w:themeTint="F2"/>
          <w:lang w:val="sq-AL"/>
        </w:rPr>
        <w:t xml:space="preserve"> </w:t>
      </w:r>
      <w:r w:rsidR="004D1F24" w:rsidRPr="005208DC">
        <w:rPr>
          <w:rFonts w:asciiTheme="majorBidi" w:hAnsiTheme="majorBidi" w:cstheme="majorBidi"/>
          <w:b/>
          <w:color w:val="0D0D0D" w:themeColor="text1" w:themeTint="F2"/>
          <w:lang w:val="sq-AL"/>
        </w:rPr>
        <w:t>E</w:t>
      </w:r>
      <w:r w:rsidR="00626FE1" w:rsidRPr="005208DC">
        <w:rPr>
          <w:rFonts w:asciiTheme="majorBidi" w:hAnsiTheme="majorBidi" w:cstheme="majorBidi"/>
          <w:b/>
          <w:color w:val="0D0D0D" w:themeColor="text1" w:themeTint="F2"/>
          <w:lang w:val="sq-AL"/>
        </w:rPr>
        <w:t xml:space="preserve"> </w:t>
      </w:r>
      <w:r w:rsidR="004D1F24" w:rsidRPr="005208DC">
        <w:rPr>
          <w:rFonts w:asciiTheme="majorBidi" w:hAnsiTheme="majorBidi" w:cstheme="majorBidi"/>
          <w:b/>
          <w:color w:val="0D0D0D" w:themeColor="text1" w:themeTint="F2"/>
          <w:lang w:val="sq-AL"/>
        </w:rPr>
        <w:t>SHQIPËRISË</w:t>
      </w:r>
    </w:p>
    <w:p w14:paraId="3E3691F3" w14:textId="6F399002" w:rsidR="008B7E90" w:rsidRPr="005208DC" w:rsidRDefault="004D1F24" w:rsidP="00857902">
      <w:pPr>
        <w:snapToGrid w:val="0"/>
        <w:jc w:val="center"/>
        <w:rPr>
          <w:rFonts w:asciiTheme="majorBidi" w:hAnsiTheme="majorBidi" w:cstheme="majorBidi"/>
          <w:b/>
          <w:bCs/>
          <w:color w:val="0D0D0D" w:themeColor="text1" w:themeTint="F2"/>
          <w:lang w:val="sq-AL"/>
        </w:rPr>
      </w:pPr>
      <w:r w:rsidRPr="005208DC">
        <w:rPr>
          <w:rFonts w:asciiTheme="majorBidi" w:hAnsiTheme="majorBidi" w:cstheme="majorBidi"/>
          <w:b/>
          <w:color w:val="0D0D0D" w:themeColor="text1" w:themeTint="F2"/>
          <w:lang w:val="sq-AL"/>
        </w:rPr>
        <w:t>KËSHILLI I MINISTRAVE</w:t>
      </w:r>
    </w:p>
    <w:p w14:paraId="66FE9E5B" w14:textId="77777777" w:rsidR="00DF1828" w:rsidRPr="005208DC" w:rsidRDefault="00DF1828" w:rsidP="00857902">
      <w:pPr>
        <w:snapToGrid w:val="0"/>
        <w:jc w:val="center"/>
        <w:rPr>
          <w:rFonts w:asciiTheme="majorBidi" w:hAnsiTheme="majorBidi" w:cstheme="majorBidi"/>
          <w:color w:val="0D0D0D" w:themeColor="text1" w:themeTint="F2"/>
          <w:lang w:val="sq-AL"/>
        </w:rPr>
      </w:pPr>
    </w:p>
    <w:p w14:paraId="510E0331" w14:textId="77777777" w:rsidR="00DF1828" w:rsidRPr="005208DC" w:rsidRDefault="00DF1828" w:rsidP="00857902">
      <w:pPr>
        <w:snapToGrid w:val="0"/>
        <w:jc w:val="center"/>
        <w:rPr>
          <w:rFonts w:asciiTheme="majorBidi" w:hAnsiTheme="majorBidi" w:cstheme="majorBidi"/>
          <w:color w:val="0D0D0D" w:themeColor="text1" w:themeTint="F2"/>
          <w:lang w:val="sq-AL"/>
        </w:rPr>
      </w:pPr>
    </w:p>
    <w:p w14:paraId="219D4B7D" w14:textId="77777777" w:rsidR="00DF1828" w:rsidRPr="005208DC" w:rsidRDefault="00DF1828" w:rsidP="00857902">
      <w:pPr>
        <w:snapToGrid w:val="0"/>
        <w:jc w:val="center"/>
        <w:rPr>
          <w:rFonts w:asciiTheme="majorBidi" w:hAnsiTheme="majorBidi" w:cstheme="majorBidi"/>
          <w:color w:val="0D0D0D" w:themeColor="text1" w:themeTint="F2"/>
          <w:lang w:val="sq-AL"/>
        </w:rPr>
      </w:pPr>
    </w:p>
    <w:p w14:paraId="2A65C856" w14:textId="77777777" w:rsidR="00DF1828" w:rsidRPr="005208DC" w:rsidRDefault="00DF1828" w:rsidP="00857902">
      <w:pPr>
        <w:snapToGrid w:val="0"/>
        <w:jc w:val="center"/>
        <w:rPr>
          <w:rFonts w:asciiTheme="majorBidi" w:hAnsiTheme="majorBidi" w:cstheme="majorBidi"/>
          <w:color w:val="0D0D0D" w:themeColor="text1" w:themeTint="F2"/>
          <w:lang w:val="sq-AL"/>
        </w:rPr>
      </w:pPr>
    </w:p>
    <w:p w14:paraId="1DC3617D" w14:textId="77777777" w:rsidR="00DF1828" w:rsidRPr="005208DC" w:rsidRDefault="00DF1828" w:rsidP="00857902">
      <w:pPr>
        <w:snapToGrid w:val="0"/>
        <w:jc w:val="center"/>
        <w:rPr>
          <w:rFonts w:asciiTheme="majorBidi" w:hAnsiTheme="majorBidi" w:cstheme="majorBidi"/>
          <w:color w:val="0D0D0D" w:themeColor="text1" w:themeTint="F2"/>
          <w:lang w:val="sq-AL"/>
        </w:rPr>
      </w:pPr>
    </w:p>
    <w:p w14:paraId="6B7FAE82" w14:textId="77777777" w:rsidR="00DF1828" w:rsidRPr="005208DC" w:rsidRDefault="00DF1828" w:rsidP="00857902">
      <w:pPr>
        <w:snapToGrid w:val="0"/>
        <w:jc w:val="center"/>
        <w:rPr>
          <w:rFonts w:asciiTheme="majorBidi" w:hAnsiTheme="majorBidi" w:cstheme="majorBidi"/>
          <w:color w:val="0D0D0D" w:themeColor="text1" w:themeTint="F2"/>
          <w:lang w:val="sq-AL"/>
        </w:rPr>
      </w:pPr>
    </w:p>
    <w:p w14:paraId="1C56909D" w14:textId="77777777" w:rsidR="00DF1828" w:rsidRPr="005208DC" w:rsidRDefault="00DF1828" w:rsidP="00857902">
      <w:pPr>
        <w:snapToGrid w:val="0"/>
        <w:jc w:val="center"/>
        <w:rPr>
          <w:rFonts w:asciiTheme="majorBidi" w:hAnsiTheme="majorBidi" w:cstheme="majorBidi"/>
          <w:color w:val="0D0D0D" w:themeColor="text1" w:themeTint="F2"/>
          <w:lang w:val="sq-AL"/>
        </w:rPr>
      </w:pPr>
    </w:p>
    <w:p w14:paraId="3FF6935A" w14:textId="77777777" w:rsidR="00DF1828" w:rsidRPr="005208DC" w:rsidRDefault="00DF1828" w:rsidP="00857902">
      <w:pPr>
        <w:snapToGrid w:val="0"/>
        <w:jc w:val="center"/>
        <w:rPr>
          <w:rFonts w:asciiTheme="majorBidi" w:hAnsiTheme="majorBidi" w:cstheme="majorBidi"/>
          <w:color w:val="0D0D0D" w:themeColor="text1" w:themeTint="F2"/>
          <w:lang w:val="sq-AL"/>
        </w:rPr>
      </w:pPr>
    </w:p>
    <w:p w14:paraId="717FC600" w14:textId="77777777" w:rsidR="00DF1828" w:rsidRPr="005208DC" w:rsidRDefault="00DF1828" w:rsidP="00857902">
      <w:pPr>
        <w:snapToGrid w:val="0"/>
        <w:jc w:val="center"/>
        <w:rPr>
          <w:rFonts w:asciiTheme="majorBidi" w:hAnsiTheme="majorBidi" w:cstheme="majorBidi"/>
          <w:color w:val="0D0D0D" w:themeColor="text1" w:themeTint="F2"/>
          <w:lang w:val="sq-AL"/>
        </w:rPr>
      </w:pPr>
    </w:p>
    <w:p w14:paraId="601B6794" w14:textId="77777777" w:rsidR="00451EAF" w:rsidRPr="005208DC" w:rsidRDefault="00451EAF" w:rsidP="00857902">
      <w:pPr>
        <w:snapToGrid w:val="0"/>
        <w:jc w:val="center"/>
        <w:rPr>
          <w:rFonts w:asciiTheme="majorBidi" w:hAnsiTheme="majorBidi" w:cstheme="majorBidi"/>
          <w:color w:val="0D0D0D" w:themeColor="text1" w:themeTint="F2"/>
          <w:lang w:val="sq-AL"/>
        </w:rPr>
      </w:pPr>
    </w:p>
    <w:p w14:paraId="16617D52" w14:textId="77777777" w:rsidR="00451EAF" w:rsidRPr="005208DC" w:rsidRDefault="00451EAF" w:rsidP="00857902">
      <w:pPr>
        <w:snapToGrid w:val="0"/>
        <w:jc w:val="center"/>
        <w:rPr>
          <w:rFonts w:asciiTheme="majorBidi" w:hAnsiTheme="majorBidi" w:cstheme="majorBidi"/>
          <w:color w:val="0D0D0D" w:themeColor="text1" w:themeTint="F2"/>
          <w:lang w:val="sq-AL"/>
        </w:rPr>
      </w:pPr>
    </w:p>
    <w:p w14:paraId="3511837D" w14:textId="3A89B628" w:rsidR="00451EAF" w:rsidRPr="005208DC" w:rsidRDefault="00C505A7"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DRAFT</w:t>
      </w:r>
    </w:p>
    <w:p w14:paraId="7BEE1DEF" w14:textId="77777777" w:rsidR="00451EAF" w:rsidRPr="005208DC" w:rsidRDefault="00451EAF" w:rsidP="00857902">
      <w:pPr>
        <w:snapToGrid w:val="0"/>
        <w:jc w:val="center"/>
        <w:rPr>
          <w:rFonts w:asciiTheme="majorBidi" w:hAnsiTheme="majorBidi" w:cstheme="majorBidi"/>
          <w:color w:val="0D0D0D" w:themeColor="text1" w:themeTint="F2"/>
          <w:lang w:val="sq-AL"/>
        </w:rPr>
      </w:pPr>
    </w:p>
    <w:p w14:paraId="78FF5D9F" w14:textId="77777777" w:rsidR="00451EAF" w:rsidRPr="005208DC" w:rsidRDefault="00451EAF" w:rsidP="00857902">
      <w:pPr>
        <w:snapToGrid w:val="0"/>
        <w:jc w:val="center"/>
        <w:rPr>
          <w:rFonts w:asciiTheme="majorBidi" w:hAnsiTheme="majorBidi" w:cstheme="majorBidi"/>
          <w:color w:val="0D0D0D" w:themeColor="text1" w:themeTint="F2"/>
          <w:lang w:val="sq-AL"/>
        </w:rPr>
      </w:pPr>
    </w:p>
    <w:p w14:paraId="77B78A14" w14:textId="77777777" w:rsidR="00451EAF" w:rsidRPr="005208DC" w:rsidRDefault="00451EAF" w:rsidP="00857902">
      <w:pPr>
        <w:snapToGrid w:val="0"/>
        <w:jc w:val="center"/>
        <w:rPr>
          <w:rFonts w:asciiTheme="majorBidi" w:hAnsiTheme="majorBidi" w:cstheme="majorBidi"/>
          <w:color w:val="0D0D0D" w:themeColor="text1" w:themeTint="F2"/>
          <w:lang w:val="sq-AL"/>
        </w:rPr>
      </w:pPr>
    </w:p>
    <w:p w14:paraId="57392211" w14:textId="77777777" w:rsidR="00451EAF" w:rsidRPr="005208DC" w:rsidRDefault="00451EAF" w:rsidP="00857902">
      <w:pPr>
        <w:snapToGrid w:val="0"/>
        <w:jc w:val="center"/>
        <w:rPr>
          <w:rFonts w:asciiTheme="majorBidi" w:hAnsiTheme="majorBidi" w:cstheme="majorBidi"/>
          <w:color w:val="0D0D0D" w:themeColor="text1" w:themeTint="F2"/>
          <w:lang w:val="sq-AL"/>
        </w:rPr>
      </w:pPr>
    </w:p>
    <w:p w14:paraId="42239B17" w14:textId="77777777" w:rsidR="00451EAF" w:rsidRPr="005208DC" w:rsidRDefault="00451EAF" w:rsidP="00857902">
      <w:pPr>
        <w:snapToGrid w:val="0"/>
        <w:jc w:val="center"/>
        <w:rPr>
          <w:rFonts w:asciiTheme="majorBidi" w:hAnsiTheme="majorBidi" w:cstheme="majorBidi"/>
          <w:color w:val="0D0D0D" w:themeColor="text1" w:themeTint="F2"/>
          <w:lang w:val="sq-AL"/>
        </w:rPr>
      </w:pPr>
    </w:p>
    <w:p w14:paraId="4DDBD3D4" w14:textId="77777777" w:rsidR="00DF1828" w:rsidRPr="005208DC" w:rsidRDefault="00DF1828" w:rsidP="00857902">
      <w:pPr>
        <w:snapToGrid w:val="0"/>
        <w:jc w:val="center"/>
        <w:rPr>
          <w:rFonts w:asciiTheme="majorBidi" w:hAnsiTheme="majorBidi" w:cstheme="majorBidi"/>
          <w:color w:val="0D0D0D" w:themeColor="text1" w:themeTint="F2"/>
          <w:lang w:val="sq-AL"/>
        </w:rPr>
      </w:pPr>
    </w:p>
    <w:p w14:paraId="055A402A" w14:textId="77777777" w:rsidR="00DF1828" w:rsidRPr="005208DC" w:rsidRDefault="00DF1828" w:rsidP="00857902">
      <w:pPr>
        <w:snapToGrid w:val="0"/>
        <w:jc w:val="center"/>
        <w:rPr>
          <w:rFonts w:asciiTheme="majorBidi" w:hAnsiTheme="majorBidi" w:cstheme="majorBidi"/>
          <w:color w:val="0D0D0D" w:themeColor="text1" w:themeTint="F2"/>
          <w:lang w:val="sq-AL"/>
        </w:rPr>
      </w:pPr>
    </w:p>
    <w:p w14:paraId="725C3E0E" w14:textId="77777777" w:rsidR="00B62B53" w:rsidRPr="005208DC" w:rsidRDefault="00B62B53" w:rsidP="00857902">
      <w:pPr>
        <w:snapToGrid w:val="0"/>
        <w:jc w:val="center"/>
        <w:rPr>
          <w:rFonts w:asciiTheme="majorBidi" w:eastAsia="Arial Narrow" w:hAnsiTheme="majorBidi" w:cstheme="majorBidi"/>
          <w:bCs/>
          <w:color w:val="0D0D0D" w:themeColor="text1" w:themeTint="F2"/>
          <w:lang w:val="sq-AL"/>
        </w:rPr>
      </w:pPr>
    </w:p>
    <w:p w14:paraId="57C5A522" w14:textId="77777777" w:rsidR="00B62B53" w:rsidRPr="005208DC" w:rsidRDefault="00B62B53" w:rsidP="00857902">
      <w:pPr>
        <w:snapToGrid w:val="0"/>
        <w:jc w:val="center"/>
        <w:rPr>
          <w:rFonts w:asciiTheme="majorBidi" w:eastAsia="Arial Narrow" w:hAnsiTheme="majorBidi" w:cstheme="majorBidi"/>
          <w:bCs/>
          <w:color w:val="0D0D0D" w:themeColor="text1" w:themeTint="F2"/>
          <w:lang w:val="sq-AL"/>
        </w:rPr>
      </w:pPr>
    </w:p>
    <w:p w14:paraId="545CE18B" w14:textId="77777777" w:rsidR="00B62B53" w:rsidRPr="005208DC" w:rsidRDefault="00B62B53" w:rsidP="00857902">
      <w:pPr>
        <w:snapToGrid w:val="0"/>
        <w:jc w:val="center"/>
        <w:rPr>
          <w:rFonts w:asciiTheme="majorBidi" w:eastAsia="Arial Narrow" w:hAnsiTheme="majorBidi" w:cstheme="majorBidi"/>
          <w:bCs/>
          <w:color w:val="0D0D0D" w:themeColor="text1" w:themeTint="F2"/>
          <w:lang w:val="sq-AL"/>
        </w:rPr>
      </w:pPr>
    </w:p>
    <w:p w14:paraId="0A456352" w14:textId="035FB31D" w:rsidR="00DF1828" w:rsidRPr="005208DC" w:rsidRDefault="004D1F24" w:rsidP="00857902">
      <w:pPr>
        <w:snapToGrid w:val="0"/>
        <w:jc w:val="center"/>
        <w:rPr>
          <w:rFonts w:asciiTheme="majorBidi" w:eastAsia="Arial Narrow" w:hAnsiTheme="majorBidi" w:cstheme="majorBidi"/>
          <w:b/>
          <w:bCs/>
          <w:color w:val="0D0D0D" w:themeColor="text1" w:themeTint="F2"/>
          <w:lang w:val="sq-AL"/>
        </w:rPr>
      </w:pPr>
      <w:r w:rsidRPr="005208DC">
        <w:rPr>
          <w:rFonts w:asciiTheme="majorBidi" w:eastAsia="Arial Narrow" w:hAnsiTheme="majorBidi" w:cstheme="majorBidi"/>
          <w:b/>
          <w:bCs/>
          <w:color w:val="0D0D0D" w:themeColor="text1" w:themeTint="F2"/>
          <w:lang w:val="sq-AL"/>
        </w:rPr>
        <w:t xml:space="preserve">PROGRAMI I REFORMAVE </w:t>
      </w:r>
      <w:r w:rsidR="00DF1828" w:rsidRPr="005208DC">
        <w:rPr>
          <w:rFonts w:asciiTheme="majorBidi" w:eastAsia="Arial Narrow" w:hAnsiTheme="majorBidi" w:cstheme="majorBidi"/>
          <w:b/>
          <w:bCs/>
          <w:color w:val="0D0D0D" w:themeColor="text1" w:themeTint="F2"/>
          <w:lang w:val="sq-AL"/>
        </w:rPr>
        <w:t>E</w:t>
      </w:r>
      <w:r w:rsidRPr="005208DC">
        <w:rPr>
          <w:rFonts w:asciiTheme="majorBidi" w:eastAsia="Arial Narrow" w:hAnsiTheme="majorBidi" w:cstheme="majorBidi"/>
          <w:b/>
          <w:bCs/>
          <w:color w:val="0D0D0D" w:themeColor="text1" w:themeTint="F2"/>
          <w:lang w:val="sq-AL"/>
        </w:rPr>
        <w:t>K</w:t>
      </w:r>
      <w:r w:rsidR="00DF1828" w:rsidRPr="005208DC">
        <w:rPr>
          <w:rFonts w:asciiTheme="majorBidi" w:eastAsia="Arial Narrow" w:hAnsiTheme="majorBidi" w:cstheme="majorBidi"/>
          <w:b/>
          <w:bCs/>
          <w:color w:val="0D0D0D" w:themeColor="text1" w:themeTint="F2"/>
          <w:lang w:val="sq-AL"/>
        </w:rPr>
        <w:t>ONOMI</w:t>
      </w:r>
      <w:r w:rsidRPr="005208DC">
        <w:rPr>
          <w:rFonts w:asciiTheme="majorBidi" w:eastAsia="Arial Narrow" w:hAnsiTheme="majorBidi" w:cstheme="majorBidi"/>
          <w:b/>
          <w:bCs/>
          <w:color w:val="0D0D0D" w:themeColor="text1" w:themeTint="F2"/>
          <w:lang w:val="sq-AL"/>
        </w:rPr>
        <w:t>KE</w:t>
      </w:r>
    </w:p>
    <w:p w14:paraId="230001C1" w14:textId="535D6D8F" w:rsidR="00DF1828" w:rsidRPr="005208DC" w:rsidRDefault="00E13925" w:rsidP="00857902">
      <w:pPr>
        <w:snapToGrid w:val="0"/>
        <w:jc w:val="center"/>
        <w:rPr>
          <w:rFonts w:asciiTheme="majorBidi" w:eastAsia="Arial Narrow" w:hAnsiTheme="majorBidi" w:cstheme="majorBidi"/>
          <w:color w:val="0D0D0D" w:themeColor="text1" w:themeTint="F2"/>
          <w:lang w:val="sq-AL"/>
        </w:rPr>
      </w:pPr>
      <w:r w:rsidRPr="005208DC">
        <w:rPr>
          <w:rFonts w:asciiTheme="majorBidi" w:eastAsia="Arial Narrow" w:hAnsiTheme="majorBidi" w:cstheme="majorBidi"/>
          <w:b/>
          <w:bCs/>
          <w:color w:val="0D0D0D" w:themeColor="text1" w:themeTint="F2"/>
          <w:lang w:val="sq-AL"/>
        </w:rPr>
        <w:t>202</w:t>
      </w:r>
      <w:r w:rsidR="00C505A7" w:rsidRPr="005208DC">
        <w:rPr>
          <w:rFonts w:asciiTheme="majorBidi" w:eastAsia="Arial Narrow" w:hAnsiTheme="majorBidi" w:cstheme="majorBidi"/>
          <w:b/>
          <w:bCs/>
          <w:color w:val="0D0D0D" w:themeColor="text1" w:themeTint="F2"/>
          <w:lang w:val="sq-AL"/>
        </w:rPr>
        <w:t>2</w:t>
      </w:r>
      <w:r w:rsidR="00DF1828" w:rsidRPr="005208DC">
        <w:rPr>
          <w:rFonts w:asciiTheme="majorBidi" w:eastAsia="Arial Narrow" w:hAnsiTheme="majorBidi" w:cstheme="majorBidi"/>
          <w:b/>
          <w:bCs/>
          <w:color w:val="0D0D0D" w:themeColor="text1" w:themeTint="F2"/>
          <w:lang w:val="sq-AL"/>
        </w:rPr>
        <w:t>-20</w:t>
      </w:r>
      <w:r w:rsidR="008D2963" w:rsidRPr="005208DC">
        <w:rPr>
          <w:rFonts w:asciiTheme="majorBidi" w:eastAsia="Arial Narrow" w:hAnsiTheme="majorBidi" w:cstheme="majorBidi"/>
          <w:b/>
          <w:bCs/>
          <w:color w:val="0D0D0D" w:themeColor="text1" w:themeTint="F2"/>
          <w:lang w:val="sq-AL"/>
        </w:rPr>
        <w:t>2</w:t>
      </w:r>
      <w:r w:rsidR="00C505A7" w:rsidRPr="005208DC">
        <w:rPr>
          <w:rFonts w:asciiTheme="majorBidi" w:eastAsia="Arial Narrow" w:hAnsiTheme="majorBidi" w:cstheme="majorBidi"/>
          <w:b/>
          <w:bCs/>
          <w:color w:val="0D0D0D" w:themeColor="text1" w:themeTint="F2"/>
          <w:lang w:val="sq-AL"/>
        </w:rPr>
        <w:t>4</w:t>
      </w:r>
    </w:p>
    <w:p w14:paraId="645FFE95" w14:textId="77777777" w:rsidR="00DF1828" w:rsidRPr="005208DC" w:rsidRDefault="00DF1828" w:rsidP="00857902">
      <w:pPr>
        <w:snapToGrid w:val="0"/>
        <w:jc w:val="center"/>
        <w:rPr>
          <w:rFonts w:asciiTheme="majorBidi" w:hAnsiTheme="majorBidi" w:cstheme="majorBidi"/>
          <w:color w:val="0D0D0D" w:themeColor="text1" w:themeTint="F2"/>
          <w:lang w:val="sq-AL"/>
        </w:rPr>
      </w:pPr>
    </w:p>
    <w:p w14:paraId="301536AC" w14:textId="77777777" w:rsidR="00DF1828" w:rsidRPr="005208DC" w:rsidRDefault="00DF1828" w:rsidP="00857902">
      <w:pPr>
        <w:snapToGrid w:val="0"/>
        <w:jc w:val="center"/>
        <w:rPr>
          <w:rFonts w:asciiTheme="majorBidi" w:hAnsiTheme="majorBidi" w:cstheme="majorBidi"/>
          <w:color w:val="0D0D0D" w:themeColor="text1" w:themeTint="F2"/>
          <w:lang w:val="sq-AL"/>
        </w:rPr>
      </w:pPr>
    </w:p>
    <w:p w14:paraId="38DF2959" w14:textId="77777777" w:rsidR="00DF1828" w:rsidRPr="005208DC" w:rsidRDefault="00DF1828" w:rsidP="00857902">
      <w:pPr>
        <w:snapToGrid w:val="0"/>
        <w:jc w:val="center"/>
        <w:rPr>
          <w:rFonts w:asciiTheme="majorBidi" w:hAnsiTheme="majorBidi" w:cstheme="majorBidi"/>
          <w:color w:val="0D0D0D" w:themeColor="text1" w:themeTint="F2"/>
          <w:lang w:val="sq-AL"/>
        </w:rPr>
      </w:pPr>
    </w:p>
    <w:p w14:paraId="010B0568" w14:textId="77777777" w:rsidR="00A96D39" w:rsidRPr="005208DC" w:rsidRDefault="00A96D39" w:rsidP="00857902">
      <w:pPr>
        <w:snapToGrid w:val="0"/>
        <w:jc w:val="center"/>
        <w:rPr>
          <w:rFonts w:asciiTheme="majorBidi" w:hAnsiTheme="majorBidi" w:cstheme="majorBidi"/>
          <w:color w:val="0D0D0D" w:themeColor="text1" w:themeTint="F2"/>
          <w:lang w:val="sq-AL"/>
        </w:rPr>
      </w:pPr>
    </w:p>
    <w:p w14:paraId="64420309" w14:textId="77777777" w:rsidR="00DF1828" w:rsidRPr="005208DC" w:rsidRDefault="00DF1828" w:rsidP="00857902">
      <w:pPr>
        <w:snapToGrid w:val="0"/>
        <w:jc w:val="center"/>
        <w:rPr>
          <w:rFonts w:asciiTheme="majorBidi" w:hAnsiTheme="majorBidi" w:cstheme="majorBidi"/>
          <w:color w:val="0D0D0D" w:themeColor="text1" w:themeTint="F2"/>
          <w:lang w:val="sq-AL"/>
        </w:rPr>
      </w:pPr>
    </w:p>
    <w:p w14:paraId="537B69F4" w14:textId="77777777" w:rsidR="00DF1828" w:rsidRPr="005208DC" w:rsidRDefault="00DF1828" w:rsidP="00857902">
      <w:pPr>
        <w:snapToGrid w:val="0"/>
        <w:jc w:val="center"/>
        <w:rPr>
          <w:rFonts w:asciiTheme="majorBidi" w:hAnsiTheme="majorBidi" w:cstheme="majorBidi"/>
          <w:color w:val="0D0D0D" w:themeColor="text1" w:themeTint="F2"/>
          <w:lang w:val="sq-AL"/>
        </w:rPr>
      </w:pPr>
    </w:p>
    <w:p w14:paraId="251306A0" w14:textId="77777777" w:rsidR="00DF1828" w:rsidRPr="005208DC" w:rsidRDefault="00DF1828" w:rsidP="00857902">
      <w:pPr>
        <w:snapToGrid w:val="0"/>
        <w:jc w:val="center"/>
        <w:rPr>
          <w:rFonts w:asciiTheme="majorBidi" w:hAnsiTheme="majorBidi" w:cstheme="majorBidi"/>
          <w:color w:val="0D0D0D" w:themeColor="text1" w:themeTint="F2"/>
          <w:lang w:val="sq-AL"/>
        </w:rPr>
      </w:pPr>
    </w:p>
    <w:p w14:paraId="65F1FA05" w14:textId="77777777" w:rsidR="00B62B53" w:rsidRPr="005208DC" w:rsidRDefault="00B62B53" w:rsidP="00857902">
      <w:pPr>
        <w:snapToGrid w:val="0"/>
        <w:jc w:val="center"/>
        <w:rPr>
          <w:rFonts w:asciiTheme="majorBidi" w:hAnsiTheme="majorBidi" w:cstheme="majorBidi"/>
          <w:color w:val="0D0D0D" w:themeColor="text1" w:themeTint="F2"/>
          <w:lang w:val="sq-AL"/>
        </w:rPr>
      </w:pPr>
    </w:p>
    <w:p w14:paraId="0F11801D" w14:textId="77777777" w:rsidR="00B62B53" w:rsidRPr="005208DC" w:rsidRDefault="00B62B53" w:rsidP="00857902">
      <w:pPr>
        <w:snapToGrid w:val="0"/>
        <w:jc w:val="center"/>
        <w:rPr>
          <w:rFonts w:asciiTheme="majorBidi" w:hAnsiTheme="majorBidi" w:cstheme="majorBidi"/>
          <w:color w:val="0D0D0D" w:themeColor="text1" w:themeTint="F2"/>
          <w:lang w:val="sq-AL"/>
        </w:rPr>
      </w:pPr>
    </w:p>
    <w:p w14:paraId="2D6C9A66" w14:textId="77777777" w:rsidR="00B62B53" w:rsidRPr="005208DC" w:rsidRDefault="00B62B53" w:rsidP="00857902">
      <w:pPr>
        <w:snapToGrid w:val="0"/>
        <w:jc w:val="center"/>
        <w:rPr>
          <w:rFonts w:asciiTheme="majorBidi" w:hAnsiTheme="majorBidi" w:cstheme="majorBidi"/>
          <w:color w:val="0D0D0D" w:themeColor="text1" w:themeTint="F2"/>
          <w:lang w:val="sq-AL"/>
        </w:rPr>
      </w:pPr>
    </w:p>
    <w:p w14:paraId="3A6C07EF" w14:textId="77777777" w:rsidR="00B62B53" w:rsidRPr="005208DC" w:rsidRDefault="00B62B53" w:rsidP="00857902">
      <w:pPr>
        <w:snapToGrid w:val="0"/>
        <w:jc w:val="center"/>
        <w:rPr>
          <w:rFonts w:asciiTheme="majorBidi" w:hAnsiTheme="majorBidi" w:cstheme="majorBidi"/>
          <w:color w:val="0D0D0D" w:themeColor="text1" w:themeTint="F2"/>
          <w:lang w:val="sq-AL"/>
        </w:rPr>
      </w:pPr>
    </w:p>
    <w:p w14:paraId="5D791D3C" w14:textId="77777777" w:rsidR="00B62B53" w:rsidRPr="005208DC" w:rsidRDefault="00B62B53" w:rsidP="00857902">
      <w:pPr>
        <w:snapToGrid w:val="0"/>
        <w:jc w:val="center"/>
        <w:rPr>
          <w:rFonts w:asciiTheme="majorBidi" w:hAnsiTheme="majorBidi" w:cstheme="majorBidi"/>
          <w:color w:val="0D0D0D" w:themeColor="text1" w:themeTint="F2"/>
          <w:lang w:val="sq-AL"/>
        </w:rPr>
      </w:pPr>
    </w:p>
    <w:p w14:paraId="0A637698" w14:textId="77777777" w:rsidR="003900FB" w:rsidRPr="005208DC" w:rsidRDefault="003900FB" w:rsidP="00857902">
      <w:pPr>
        <w:snapToGrid w:val="0"/>
        <w:jc w:val="center"/>
        <w:rPr>
          <w:rFonts w:asciiTheme="majorBidi" w:hAnsiTheme="majorBidi" w:cstheme="majorBidi"/>
          <w:color w:val="0D0D0D" w:themeColor="text1" w:themeTint="F2"/>
          <w:lang w:val="sq-AL"/>
        </w:rPr>
      </w:pPr>
    </w:p>
    <w:p w14:paraId="0F798DC2" w14:textId="77777777" w:rsidR="0085138B" w:rsidRPr="005208DC" w:rsidRDefault="0085138B" w:rsidP="00857902">
      <w:pPr>
        <w:snapToGrid w:val="0"/>
        <w:jc w:val="center"/>
        <w:rPr>
          <w:rFonts w:asciiTheme="majorBidi" w:hAnsiTheme="majorBidi" w:cstheme="majorBidi"/>
          <w:color w:val="0D0D0D" w:themeColor="text1" w:themeTint="F2"/>
          <w:lang w:val="sq-AL"/>
        </w:rPr>
      </w:pPr>
    </w:p>
    <w:p w14:paraId="5B4E47E3" w14:textId="77777777" w:rsidR="003900FB" w:rsidRPr="005208DC" w:rsidRDefault="003900FB" w:rsidP="00857902">
      <w:pPr>
        <w:snapToGrid w:val="0"/>
        <w:jc w:val="center"/>
        <w:rPr>
          <w:rFonts w:asciiTheme="majorBidi" w:hAnsiTheme="majorBidi" w:cstheme="majorBidi"/>
          <w:color w:val="0D0D0D" w:themeColor="text1" w:themeTint="F2"/>
          <w:lang w:val="sq-AL"/>
        </w:rPr>
      </w:pPr>
    </w:p>
    <w:p w14:paraId="374ADAF7" w14:textId="4DBF1962" w:rsidR="00593EFD" w:rsidRPr="005208DC" w:rsidRDefault="00593EFD" w:rsidP="00857902">
      <w:pPr>
        <w:snapToGrid w:val="0"/>
        <w:jc w:val="center"/>
        <w:rPr>
          <w:rFonts w:asciiTheme="majorBidi" w:hAnsiTheme="majorBidi" w:cstheme="majorBidi"/>
          <w:color w:val="0D0D0D" w:themeColor="text1" w:themeTint="F2"/>
          <w:lang w:val="sq-AL"/>
        </w:rPr>
      </w:pPr>
    </w:p>
    <w:p w14:paraId="373DB4C5" w14:textId="554CC02F" w:rsidR="00593EFD" w:rsidRPr="005208DC" w:rsidRDefault="00593EFD" w:rsidP="00857902">
      <w:pPr>
        <w:snapToGrid w:val="0"/>
        <w:jc w:val="center"/>
        <w:rPr>
          <w:rFonts w:asciiTheme="majorBidi" w:hAnsiTheme="majorBidi" w:cstheme="majorBidi"/>
          <w:color w:val="0D0D0D" w:themeColor="text1" w:themeTint="F2"/>
          <w:lang w:val="sq-AL"/>
        </w:rPr>
      </w:pPr>
    </w:p>
    <w:p w14:paraId="7C75A403" w14:textId="4821F83B" w:rsidR="00593EFD" w:rsidRPr="005208DC" w:rsidRDefault="00593EFD" w:rsidP="00857902">
      <w:pPr>
        <w:snapToGrid w:val="0"/>
        <w:jc w:val="center"/>
        <w:rPr>
          <w:rFonts w:asciiTheme="majorBidi" w:hAnsiTheme="majorBidi" w:cstheme="majorBidi"/>
          <w:color w:val="0D0D0D" w:themeColor="text1" w:themeTint="F2"/>
          <w:lang w:val="sq-AL"/>
        </w:rPr>
      </w:pPr>
    </w:p>
    <w:p w14:paraId="657AD56B" w14:textId="69AF6001" w:rsidR="00DF1828" w:rsidRPr="005208DC" w:rsidRDefault="0004739A" w:rsidP="00857902">
      <w:pPr>
        <w:snapToGrid w:val="0"/>
        <w:jc w:val="center"/>
        <w:rPr>
          <w:rFonts w:asciiTheme="majorBidi" w:hAnsiTheme="majorBidi" w:cstheme="majorBidi"/>
          <w:i/>
          <w:color w:val="0D0D0D" w:themeColor="text1" w:themeTint="F2"/>
          <w:lang w:val="sq-AL"/>
        </w:rPr>
      </w:pPr>
      <w:r w:rsidRPr="005208DC">
        <w:rPr>
          <w:rFonts w:asciiTheme="majorBidi" w:hAnsiTheme="majorBidi" w:cstheme="majorBidi"/>
          <w:i/>
          <w:color w:val="0D0D0D" w:themeColor="text1" w:themeTint="F2"/>
          <w:lang w:val="sq-AL"/>
        </w:rPr>
        <w:t>31</w:t>
      </w:r>
      <w:r w:rsidR="00626FE1" w:rsidRPr="005208DC">
        <w:rPr>
          <w:rFonts w:asciiTheme="majorBidi" w:hAnsiTheme="majorBidi" w:cstheme="majorBidi"/>
          <w:i/>
          <w:color w:val="0D0D0D" w:themeColor="text1" w:themeTint="F2"/>
          <w:lang w:val="sq-AL"/>
        </w:rPr>
        <w:t xml:space="preserve"> </w:t>
      </w:r>
      <w:r w:rsidR="00F1675F" w:rsidRPr="005208DC">
        <w:rPr>
          <w:rFonts w:asciiTheme="majorBidi" w:hAnsiTheme="majorBidi" w:cstheme="majorBidi"/>
          <w:i/>
          <w:color w:val="0D0D0D" w:themeColor="text1" w:themeTint="F2"/>
          <w:lang w:val="sq-AL"/>
        </w:rPr>
        <w:t>Jan</w:t>
      </w:r>
      <w:r w:rsidRPr="005208DC">
        <w:rPr>
          <w:rFonts w:asciiTheme="majorBidi" w:hAnsiTheme="majorBidi" w:cstheme="majorBidi"/>
          <w:i/>
          <w:color w:val="0D0D0D" w:themeColor="text1" w:themeTint="F2"/>
          <w:lang w:val="sq-AL"/>
        </w:rPr>
        <w:t>ar</w:t>
      </w:r>
      <w:r w:rsidR="00626FE1" w:rsidRPr="005208DC">
        <w:rPr>
          <w:rFonts w:asciiTheme="majorBidi" w:hAnsiTheme="majorBidi" w:cstheme="majorBidi"/>
          <w:i/>
          <w:color w:val="0D0D0D" w:themeColor="text1" w:themeTint="F2"/>
          <w:lang w:val="sq-AL"/>
        </w:rPr>
        <w:t xml:space="preserve"> </w:t>
      </w:r>
      <w:r w:rsidRPr="005208DC">
        <w:rPr>
          <w:rFonts w:asciiTheme="majorBidi" w:hAnsiTheme="majorBidi" w:cstheme="majorBidi"/>
          <w:i/>
          <w:color w:val="0D0D0D" w:themeColor="text1" w:themeTint="F2"/>
          <w:lang w:val="sq-AL"/>
        </w:rPr>
        <w:t>202</w:t>
      </w:r>
      <w:r w:rsidR="00C505A7" w:rsidRPr="005208DC">
        <w:rPr>
          <w:rFonts w:asciiTheme="majorBidi" w:hAnsiTheme="majorBidi" w:cstheme="majorBidi"/>
          <w:i/>
          <w:color w:val="0D0D0D" w:themeColor="text1" w:themeTint="F2"/>
          <w:lang w:val="sq-AL"/>
        </w:rPr>
        <w:t>2</w:t>
      </w:r>
    </w:p>
    <w:p w14:paraId="59D2199F" w14:textId="77777777" w:rsidR="00806ED4" w:rsidRPr="005208DC" w:rsidRDefault="00806ED4" w:rsidP="00857902">
      <w:pPr>
        <w:snapToGrid w:val="0"/>
        <w:jc w:val="center"/>
        <w:rPr>
          <w:rFonts w:asciiTheme="majorBidi" w:hAnsiTheme="majorBidi" w:cstheme="majorBidi"/>
          <w:iCs/>
          <w:color w:val="0D0D0D" w:themeColor="text1" w:themeTint="F2"/>
          <w:lang w:val="sq-AL"/>
        </w:rPr>
        <w:sectPr w:rsidR="00806ED4" w:rsidRPr="005208DC" w:rsidSect="00F27C55">
          <w:headerReference w:type="default" r:id="rId9"/>
          <w:footerReference w:type="even" r:id="rId10"/>
          <w:footerReference w:type="default" r:id="rId11"/>
          <w:headerReference w:type="first" r:id="rId12"/>
          <w:pgSz w:w="11900" w:h="16840"/>
          <w:pgMar w:top="720" w:right="720" w:bottom="720" w:left="720" w:header="567" w:footer="567" w:gutter="0"/>
          <w:cols w:space="708"/>
          <w:titlePg/>
          <w:docGrid w:linePitch="360"/>
        </w:sectPr>
      </w:pPr>
    </w:p>
    <w:sdt>
      <w:sdtPr>
        <w:rPr>
          <w:rFonts w:asciiTheme="minorHAnsi" w:eastAsia="Calibri" w:hAnsiTheme="minorHAnsi" w:cstheme="minorHAnsi"/>
          <w:b w:val="0"/>
          <w:bCs w:val="0"/>
          <w:color w:val="0D0D0D" w:themeColor="text1" w:themeTint="F2"/>
          <w:sz w:val="22"/>
          <w:szCs w:val="22"/>
          <w:lang w:val="sq-AL" w:eastAsia="en-US"/>
        </w:rPr>
        <w:id w:val="-470829314"/>
        <w:docPartObj>
          <w:docPartGallery w:val="Table of Contents"/>
          <w:docPartUnique/>
        </w:docPartObj>
      </w:sdtPr>
      <w:sdtEndPr>
        <w:rPr>
          <w:rFonts w:asciiTheme="majorBidi" w:hAnsiTheme="majorBidi" w:cstheme="majorBidi"/>
          <w:color w:val="0D0D0D" w:themeColor="text1" w:themeTint="F2"/>
        </w:rPr>
      </w:sdtEndPr>
      <w:sdtContent>
        <w:p w14:paraId="39F884D3" w14:textId="71830C15" w:rsidR="00236494" w:rsidRPr="005208DC" w:rsidRDefault="00C12939" w:rsidP="005208DC">
          <w:pPr>
            <w:pStyle w:val="TOCHeading"/>
            <w:spacing w:before="0" w:line="240" w:lineRule="auto"/>
            <w:jc w:val="center"/>
            <w:rPr>
              <w:rFonts w:asciiTheme="majorBidi" w:hAnsiTheme="majorBidi"/>
              <w:b w:val="0"/>
              <w:bCs w:val="0"/>
              <w:color w:val="0D0D0D" w:themeColor="text1" w:themeTint="F2"/>
              <w:sz w:val="22"/>
              <w:szCs w:val="22"/>
              <w:lang w:val="sq-AL"/>
            </w:rPr>
          </w:pPr>
          <w:r w:rsidRPr="005208DC">
            <w:rPr>
              <w:rFonts w:asciiTheme="majorBidi" w:eastAsia="Calibri" w:hAnsiTheme="majorBidi"/>
              <w:b w:val="0"/>
              <w:bCs w:val="0"/>
              <w:color w:val="0D0D0D" w:themeColor="text1" w:themeTint="F2"/>
              <w:sz w:val="22"/>
              <w:szCs w:val="22"/>
              <w:lang w:val="sq-AL" w:eastAsia="en-US"/>
            </w:rPr>
            <w:t>Pasqyra e përmbajtjes</w:t>
          </w:r>
        </w:p>
        <w:p w14:paraId="507D3EBD" w14:textId="77777777" w:rsidR="005208DC" w:rsidRPr="005208DC" w:rsidRDefault="00236494" w:rsidP="005208DC">
          <w:pPr>
            <w:pStyle w:val="TOC1"/>
            <w:tabs>
              <w:tab w:val="left" w:pos="567"/>
              <w:tab w:val="right" w:leader="dot" w:pos="10450"/>
            </w:tabs>
            <w:spacing w:after="0"/>
            <w:rPr>
              <w:rFonts w:asciiTheme="majorBidi" w:eastAsiaTheme="minorEastAsia" w:hAnsiTheme="majorBidi" w:cstheme="majorBidi"/>
              <w:noProof/>
              <w:color w:val="0D0D0D" w:themeColor="text1" w:themeTint="F2"/>
              <w:lang w:val="sq-AL" w:eastAsia="sq-AL" w:bidi="he-IL"/>
            </w:rPr>
          </w:pPr>
          <w:r w:rsidRPr="005208DC">
            <w:rPr>
              <w:rFonts w:asciiTheme="majorBidi" w:hAnsiTheme="majorBidi" w:cstheme="majorBidi"/>
              <w:color w:val="0D0D0D" w:themeColor="text1" w:themeTint="F2"/>
              <w:lang w:val="sq-AL"/>
            </w:rPr>
            <w:fldChar w:fldCharType="begin"/>
          </w:r>
          <w:r w:rsidRPr="005208DC">
            <w:rPr>
              <w:rFonts w:asciiTheme="majorBidi" w:hAnsiTheme="majorBidi" w:cstheme="majorBidi"/>
              <w:color w:val="0D0D0D" w:themeColor="text1" w:themeTint="F2"/>
              <w:lang w:val="sq-AL"/>
            </w:rPr>
            <w:instrText xml:space="preserve"> TOC \o "1-3" \h \z \u </w:instrText>
          </w:r>
          <w:r w:rsidRPr="005208DC">
            <w:rPr>
              <w:rFonts w:asciiTheme="majorBidi" w:hAnsiTheme="majorBidi" w:cstheme="majorBidi"/>
              <w:color w:val="0D0D0D" w:themeColor="text1" w:themeTint="F2"/>
              <w:lang w:val="sq-AL"/>
            </w:rPr>
            <w:fldChar w:fldCharType="separate"/>
          </w:r>
          <w:hyperlink w:anchor="_Toc92721115" w:history="1">
            <w:r w:rsidR="005208DC" w:rsidRPr="005208DC">
              <w:rPr>
                <w:rStyle w:val="Hyperlink"/>
                <w:rFonts w:asciiTheme="majorBidi" w:hAnsiTheme="majorBidi" w:cstheme="majorBidi"/>
                <w:noProof/>
                <w:color w:val="0D0D0D" w:themeColor="text1" w:themeTint="F2"/>
                <w:lang w:val="sq-AL"/>
              </w:rPr>
              <w:t>1.</w:t>
            </w:r>
            <w:r w:rsidR="005208DC" w:rsidRPr="005208DC">
              <w:rPr>
                <w:rFonts w:asciiTheme="majorBidi" w:eastAsiaTheme="minorEastAsia" w:hAnsiTheme="majorBidi" w:cstheme="majorBidi"/>
                <w:noProof/>
                <w:color w:val="0D0D0D" w:themeColor="text1" w:themeTint="F2"/>
                <w:lang w:val="sq-AL" w:eastAsia="sq-AL" w:bidi="he-IL"/>
              </w:rPr>
              <w:tab/>
            </w:r>
            <w:r w:rsidR="005208DC" w:rsidRPr="005208DC">
              <w:rPr>
                <w:rStyle w:val="Hyperlink"/>
                <w:rFonts w:asciiTheme="majorBidi" w:hAnsiTheme="majorBidi" w:cstheme="majorBidi"/>
                <w:noProof/>
                <w:color w:val="0D0D0D" w:themeColor="text1" w:themeTint="F2"/>
                <w:lang w:val="sq-AL"/>
              </w:rPr>
              <w:t>KUADRI I PËRGJITHSHËM POLITIK DHE OBJEKTIVAT</w:t>
            </w:r>
            <w:r w:rsidR="005208DC" w:rsidRPr="005208DC">
              <w:rPr>
                <w:rFonts w:asciiTheme="majorBidi" w:hAnsiTheme="majorBidi" w:cstheme="majorBidi"/>
                <w:noProof/>
                <w:webHidden/>
                <w:color w:val="0D0D0D" w:themeColor="text1" w:themeTint="F2"/>
              </w:rPr>
              <w:tab/>
            </w:r>
            <w:r w:rsidR="005208DC" w:rsidRPr="005208DC">
              <w:rPr>
                <w:rFonts w:asciiTheme="majorBidi" w:hAnsiTheme="majorBidi" w:cstheme="majorBidi"/>
                <w:noProof/>
                <w:webHidden/>
                <w:color w:val="0D0D0D" w:themeColor="text1" w:themeTint="F2"/>
              </w:rPr>
              <w:fldChar w:fldCharType="begin"/>
            </w:r>
            <w:r w:rsidR="005208DC" w:rsidRPr="005208DC">
              <w:rPr>
                <w:rFonts w:asciiTheme="majorBidi" w:hAnsiTheme="majorBidi" w:cstheme="majorBidi"/>
                <w:noProof/>
                <w:webHidden/>
                <w:color w:val="0D0D0D" w:themeColor="text1" w:themeTint="F2"/>
              </w:rPr>
              <w:instrText xml:space="preserve"> PAGEREF _Toc92721115 \h </w:instrText>
            </w:r>
            <w:r w:rsidR="005208DC" w:rsidRPr="005208DC">
              <w:rPr>
                <w:rFonts w:asciiTheme="majorBidi" w:hAnsiTheme="majorBidi" w:cstheme="majorBidi"/>
                <w:noProof/>
                <w:webHidden/>
                <w:color w:val="0D0D0D" w:themeColor="text1" w:themeTint="F2"/>
              </w:rPr>
            </w:r>
            <w:r w:rsidR="005208DC" w:rsidRPr="005208DC">
              <w:rPr>
                <w:rFonts w:asciiTheme="majorBidi" w:hAnsiTheme="majorBidi" w:cstheme="majorBidi"/>
                <w:noProof/>
                <w:webHidden/>
                <w:color w:val="0D0D0D" w:themeColor="text1" w:themeTint="F2"/>
              </w:rPr>
              <w:fldChar w:fldCharType="separate"/>
            </w:r>
            <w:r w:rsidR="005208DC" w:rsidRPr="005208DC">
              <w:rPr>
                <w:rFonts w:asciiTheme="majorBidi" w:hAnsiTheme="majorBidi" w:cstheme="majorBidi"/>
                <w:noProof/>
                <w:webHidden/>
                <w:color w:val="0D0D0D" w:themeColor="text1" w:themeTint="F2"/>
              </w:rPr>
              <w:t>4</w:t>
            </w:r>
            <w:r w:rsidR="005208DC" w:rsidRPr="005208DC">
              <w:rPr>
                <w:rFonts w:asciiTheme="majorBidi" w:hAnsiTheme="majorBidi" w:cstheme="majorBidi"/>
                <w:noProof/>
                <w:webHidden/>
                <w:color w:val="0D0D0D" w:themeColor="text1" w:themeTint="F2"/>
              </w:rPr>
              <w:fldChar w:fldCharType="end"/>
            </w:r>
          </w:hyperlink>
        </w:p>
        <w:p w14:paraId="6FDCAA41" w14:textId="77777777" w:rsidR="005208DC" w:rsidRPr="005208DC" w:rsidRDefault="005208DC" w:rsidP="005208DC">
          <w:pPr>
            <w:pStyle w:val="TOC1"/>
            <w:tabs>
              <w:tab w:val="left" w:pos="567"/>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16" w:history="1">
            <w:r w:rsidRPr="005208DC">
              <w:rPr>
                <w:rStyle w:val="Hyperlink"/>
                <w:rFonts w:asciiTheme="majorBidi" w:hAnsiTheme="majorBidi" w:cstheme="majorBidi"/>
                <w:noProof/>
                <w:color w:val="0D0D0D" w:themeColor="text1" w:themeTint="F2"/>
                <w:lang w:val="sq-AL"/>
              </w:rPr>
              <w:t>2.</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ZBATIMI I UDHËZIMEVE POLITIKE</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_Toc92721116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5</w:t>
            </w:r>
            <w:r w:rsidRPr="005208DC">
              <w:rPr>
                <w:rFonts w:asciiTheme="majorBidi" w:hAnsiTheme="majorBidi" w:cstheme="majorBidi"/>
                <w:noProof/>
                <w:webHidden/>
                <w:color w:val="0D0D0D" w:themeColor="text1" w:themeTint="F2"/>
              </w:rPr>
              <w:fldChar w:fldCharType="end"/>
            </w:r>
          </w:hyperlink>
        </w:p>
        <w:p w14:paraId="7F7C7865" w14:textId="77777777" w:rsidR="005208DC" w:rsidRPr="005208DC" w:rsidRDefault="005208DC" w:rsidP="005208DC">
          <w:pPr>
            <w:pStyle w:val="TOC2"/>
            <w:tabs>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17" w:history="1">
            <w:r w:rsidRPr="005208DC">
              <w:rPr>
                <w:rStyle w:val="Hyperlink"/>
                <w:rFonts w:asciiTheme="majorBidi" w:hAnsiTheme="majorBidi" w:cstheme="majorBidi"/>
                <w:noProof/>
                <w:color w:val="0D0D0D" w:themeColor="text1" w:themeTint="F2"/>
                <w:lang w:val="sq-AL"/>
              </w:rPr>
              <w:t>Rekomandimi 1</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_Toc92721117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5</w:t>
            </w:r>
            <w:r w:rsidRPr="005208DC">
              <w:rPr>
                <w:rFonts w:asciiTheme="majorBidi" w:hAnsiTheme="majorBidi" w:cstheme="majorBidi"/>
                <w:noProof/>
                <w:webHidden/>
                <w:color w:val="0D0D0D" w:themeColor="text1" w:themeTint="F2"/>
              </w:rPr>
              <w:fldChar w:fldCharType="end"/>
            </w:r>
          </w:hyperlink>
        </w:p>
        <w:p w14:paraId="6523B366" w14:textId="77777777" w:rsidR="005208DC" w:rsidRPr="005208DC" w:rsidRDefault="005208DC" w:rsidP="005208DC">
          <w:pPr>
            <w:pStyle w:val="TOC2"/>
            <w:tabs>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18" w:history="1">
            <w:r w:rsidRPr="005208DC">
              <w:rPr>
                <w:rStyle w:val="Hyperlink"/>
                <w:rFonts w:asciiTheme="majorBidi" w:hAnsiTheme="majorBidi" w:cstheme="majorBidi"/>
                <w:noProof/>
                <w:color w:val="0D0D0D" w:themeColor="text1" w:themeTint="F2"/>
                <w:lang w:val="sq-AL"/>
              </w:rPr>
              <w:t>Rekomandimi 2</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_Toc92721118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5</w:t>
            </w:r>
            <w:r w:rsidRPr="005208DC">
              <w:rPr>
                <w:rFonts w:asciiTheme="majorBidi" w:hAnsiTheme="majorBidi" w:cstheme="majorBidi"/>
                <w:noProof/>
                <w:webHidden/>
                <w:color w:val="0D0D0D" w:themeColor="text1" w:themeTint="F2"/>
              </w:rPr>
              <w:fldChar w:fldCharType="end"/>
            </w:r>
          </w:hyperlink>
        </w:p>
        <w:p w14:paraId="25A641DF" w14:textId="77777777" w:rsidR="005208DC" w:rsidRPr="005208DC" w:rsidRDefault="005208DC" w:rsidP="005208DC">
          <w:pPr>
            <w:pStyle w:val="TOC2"/>
            <w:tabs>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19" w:history="1">
            <w:r w:rsidRPr="005208DC">
              <w:rPr>
                <w:rStyle w:val="Hyperlink"/>
                <w:rFonts w:asciiTheme="majorBidi" w:hAnsiTheme="majorBidi" w:cstheme="majorBidi"/>
                <w:noProof/>
                <w:color w:val="0D0D0D" w:themeColor="text1" w:themeTint="F2"/>
                <w:lang w:val="sq-AL"/>
              </w:rPr>
              <w:t>Rekomandimi 3</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_Toc92721119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5</w:t>
            </w:r>
            <w:r w:rsidRPr="005208DC">
              <w:rPr>
                <w:rFonts w:asciiTheme="majorBidi" w:hAnsiTheme="majorBidi" w:cstheme="majorBidi"/>
                <w:noProof/>
                <w:webHidden/>
                <w:color w:val="0D0D0D" w:themeColor="text1" w:themeTint="F2"/>
              </w:rPr>
              <w:fldChar w:fldCharType="end"/>
            </w:r>
          </w:hyperlink>
        </w:p>
        <w:p w14:paraId="7639DE7A" w14:textId="77777777" w:rsidR="005208DC" w:rsidRPr="005208DC" w:rsidRDefault="005208DC" w:rsidP="005208DC">
          <w:pPr>
            <w:pStyle w:val="TOC2"/>
            <w:tabs>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20" w:history="1">
            <w:r w:rsidRPr="005208DC">
              <w:rPr>
                <w:rStyle w:val="Hyperlink"/>
                <w:rFonts w:asciiTheme="majorBidi" w:hAnsiTheme="majorBidi" w:cstheme="majorBidi"/>
                <w:noProof/>
                <w:color w:val="0D0D0D" w:themeColor="text1" w:themeTint="F2"/>
                <w:lang w:val="sq-AL"/>
              </w:rPr>
              <w:t>Rekomandimi 4</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_Toc92721120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6</w:t>
            </w:r>
            <w:r w:rsidRPr="005208DC">
              <w:rPr>
                <w:rFonts w:asciiTheme="majorBidi" w:hAnsiTheme="majorBidi" w:cstheme="majorBidi"/>
                <w:noProof/>
                <w:webHidden/>
                <w:color w:val="0D0D0D" w:themeColor="text1" w:themeTint="F2"/>
              </w:rPr>
              <w:fldChar w:fldCharType="end"/>
            </w:r>
          </w:hyperlink>
        </w:p>
        <w:p w14:paraId="2518DFB0" w14:textId="77777777" w:rsidR="005208DC" w:rsidRPr="005208DC" w:rsidRDefault="005208DC" w:rsidP="005208DC">
          <w:pPr>
            <w:pStyle w:val="TOC2"/>
            <w:tabs>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21" w:history="1">
            <w:r w:rsidRPr="005208DC">
              <w:rPr>
                <w:rStyle w:val="Hyperlink"/>
                <w:rFonts w:asciiTheme="majorBidi" w:hAnsiTheme="majorBidi" w:cstheme="majorBidi"/>
                <w:noProof/>
                <w:color w:val="0D0D0D" w:themeColor="text1" w:themeTint="F2"/>
                <w:lang w:val="sq-AL"/>
              </w:rPr>
              <w:t>Rekomandimi 5</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_Toc92721121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9</w:t>
            </w:r>
            <w:r w:rsidRPr="005208DC">
              <w:rPr>
                <w:rFonts w:asciiTheme="majorBidi" w:hAnsiTheme="majorBidi" w:cstheme="majorBidi"/>
                <w:noProof/>
                <w:webHidden/>
                <w:color w:val="0D0D0D" w:themeColor="text1" w:themeTint="F2"/>
              </w:rPr>
              <w:fldChar w:fldCharType="end"/>
            </w:r>
          </w:hyperlink>
        </w:p>
        <w:p w14:paraId="464A3608" w14:textId="77777777" w:rsidR="005208DC" w:rsidRPr="005208DC" w:rsidRDefault="005208DC" w:rsidP="005208DC">
          <w:pPr>
            <w:pStyle w:val="TOC2"/>
            <w:tabs>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22" w:history="1">
            <w:r w:rsidRPr="005208DC">
              <w:rPr>
                <w:rStyle w:val="Hyperlink"/>
                <w:rFonts w:asciiTheme="majorBidi" w:hAnsiTheme="majorBidi" w:cstheme="majorBidi"/>
                <w:noProof/>
                <w:color w:val="0D0D0D" w:themeColor="text1" w:themeTint="F2"/>
                <w:lang w:val="sq-AL"/>
              </w:rPr>
              <w:t>Rekomandimi 6</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_Toc92721122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12</w:t>
            </w:r>
            <w:r w:rsidRPr="005208DC">
              <w:rPr>
                <w:rFonts w:asciiTheme="majorBidi" w:hAnsiTheme="majorBidi" w:cstheme="majorBidi"/>
                <w:noProof/>
                <w:webHidden/>
                <w:color w:val="0D0D0D" w:themeColor="text1" w:themeTint="F2"/>
              </w:rPr>
              <w:fldChar w:fldCharType="end"/>
            </w:r>
          </w:hyperlink>
        </w:p>
        <w:p w14:paraId="2807BB9B" w14:textId="77777777" w:rsidR="005208DC" w:rsidRPr="005208DC" w:rsidRDefault="005208DC" w:rsidP="005208DC">
          <w:pPr>
            <w:pStyle w:val="TOC1"/>
            <w:tabs>
              <w:tab w:val="left" w:pos="567"/>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23" w:history="1">
            <w:r w:rsidRPr="005208DC">
              <w:rPr>
                <w:rStyle w:val="Hyperlink"/>
                <w:rFonts w:asciiTheme="majorBidi" w:hAnsiTheme="majorBidi" w:cstheme="majorBidi"/>
                <w:noProof/>
                <w:color w:val="0D0D0D" w:themeColor="text1" w:themeTint="F2"/>
                <w:lang w:val="sq-AL"/>
              </w:rPr>
              <w:t>3.</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KUADRI MAKROEKONOMIK</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_Toc92721123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13</w:t>
            </w:r>
            <w:r w:rsidRPr="005208DC">
              <w:rPr>
                <w:rFonts w:asciiTheme="majorBidi" w:hAnsiTheme="majorBidi" w:cstheme="majorBidi"/>
                <w:noProof/>
                <w:webHidden/>
                <w:color w:val="0D0D0D" w:themeColor="text1" w:themeTint="F2"/>
              </w:rPr>
              <w:fldChar w:fldCharType="end"/>
            </w:r>
          </w:hyperlink>
        </w:p>
        <w:p w14:paraId="4BB4F5F6" w14:textId="77777777" w:rsidR="005208DC" w:rsidRPr="005208DC" w:rsidRDefault="005208DC" w:rsidP="005208DC">
          <w:pPr>
            <w:pStyle w:val="TOC2"/>
            <w:tabs>
              <w:tab w:val="left" w:pos="880"/>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24" w:history="1">
            <w:r w:rsidRPr="005208DC">
              <w:rPr>
                <w:rStyle w:val="Hyperlink"/>
                <w:rFonts w:asciiTheme="majorBidi" w:hAnsiTheme="majorBidi" w:cstheme="majorBidi"/>
                <w:noProof/>
                <w:color w:val="0D0D0D" w:themeColor="text1" w:themeTint="F2"/>
                <w:lang w:val="sq-AL"/>
              </w:rPr>
              <w:t>3.1.</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Zhvillimet e fundit ekonomike</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_Toc92721124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13</w:t>
            </w:r>
            <w:r w:rsidRPr="005208DC">
              <w:rPr>
                <w:rFonts w:asciiTheme="majorBidi" w:hAnsiTheme="majorBidi" w:cstheme="majorBidi"/>
                <w:noProof/>
                <w:webHidden/>
                <w:color w:val="0D0D0D" w:themeColor="text1" w:themeTint="F2"/>
              </w:rPr>
              <w:fldChar w:fldCharType="end"/>
            </w:r>
          </w:hyperlink>
        </w:p>
        <w:p w14:paraId="784CB13C" w14:textId="77777777" w:rsidR="005208DC" w:rsidRPr="005208DC" w:rsidRDefault="005208DC" w:rsidP="005208DC">
          <w:pPr>
            <w:pStyle w:val="TOC2"/>
            <w:tabs>
              <w:tab w:val="left" w:pos="880"/>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25" w:history="1">
            <w:r w:rsidRPr="005208DC">
              <w:rPr>
                <w:rStyle w:val="Hyperlink"/>
                <w:rFonts w:asciiTheme="majorBidi" w:hAnsiTheme="majorBidi" w:cstheme="majorBidi"/>
                <w:noProof/>
                <w:color w:val="0D0D0D" w:themeColor="text1" w:themeTint="F2"/>
                <w:lang w:val="sq-AL"/>
              </w:rPr>
              <w:t>3.2.</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Skenari makroekonomik afatmesëm</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_Toc92721125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13</w:t>
            </w:r>
            <w:r w:rsidRPr="005208DC">
              <w:rPr>
                <w:rFonts w:asciiTheme="majorBidi" w:hAnsiTheme="majorBidi" w:cstheme="majorBidi"/>
                <w:noProof/>
                <w:webHidden/>
                <w:color w:val="0D0D0D" w:themeColor="text1" w:themeTint="F2"/>
              </w:rPr>
              <w:fldChar w:fldCharType="end"/>
            </w:r>
          </w:hyperlink>
        </w:p>
        <w:p w14:paraId="313846F4" w14:textId="77777777" w:rsidR="005208DC" w:rsidRPr="005208DC" w:rsidRDefault="005208DC" w:rsidP="005208DC">
          <w:pPr>
            <w:pStyle w:val="TOC2"/>
            <w:tabs>
              <w:tab w:val="left" w:pos="880"/>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26" w:history="1">
            <w:r w:rsidRPr="005208DC">
              <w:rPr>
                <w:rStyle w:val="Hyperlink"/>
                <w:rFonts w:asciiTheme="majorBidi" w:hAnsiTheme="majorBidi" w:cstheme="majorBidi"/>
                <w:noProof/>
                <w:color w:val="0D0D0D" w:themeColor="text1" w:themeTint="F2"/>
                <w:lang w:val="sq-AL"/>
              </w:rPr>
              <w:t>3.3.</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Skenari alternativ dhe rreziqet</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_Toc92721126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13</w:t>
            </w:r>
            <w:r w:rsidRPr="005208DC">
              <w:rPr>
                <w:rFonts w:asciiTheme="majorBidi" w:hAnsiTheme="majorBidi" w:cstheme="majorBidi"/>
                <w:noProof/>
                <w:webHidden/>
                <w:color w:val="0D0D0D" w:themeColor="text1" w:themeTint="F2"/>
              </w:rPr>
              <w:fldChar w:fldCharType="end"/>
            </w:r>
          </w:hyperlink>
        </w:p>
        <w:p w14:paraId="5706D7BB" w14:textId="77777777" w:rsidR="005208DC" w:rsidRPr="005208DC" w:rsidRDefault="005208DC" w:rsidP="005208DC">
          <w:pPr>
            <w:pStyle w:val="TOC1"/>
            <w:tabs>
              <w:tab w:val="left" w:pos="567"/>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27" w:history="1">
            <w:r w:rsidRPr="005208DC">
              <w:rPr>
                <w:rStyle w:val="Hyperlink"/>
                <w:rFonts w:asciiTheme="majorBidi" w:hAnsiTheme="majorBidi" w:cstheme="majorBidi"/>
                <w:noProof/>
                <w:color w:val="0D0D0D" w:themeColor="text1" w:themeTint="F2"/>
                <w:lang w:val="sq-AL"/>
              </w:rPr>
              <w:t>4.</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KUADRI FISKAL</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_Toc92721127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14</w:t>
            </w:r>
            <w:r w:rsidRPr="005208DC">
              <w:rPr>
                <w:rFonts w:asciiTheme="majorBidi" w:hAnsiTheme="majorBidi" w:cstheme="majorBidi"/>
                <w:noProof/>
                <w:webHidden/>
                <w:color w:val="0D0D0D" w:themeColor="text1" w:themeTint="F2"/>
              </w:rPr>
              <w:fldChar w:fldCharType="end"/>
            </w:r>
          </w:hyperlink>
        </w:p>
        <w:p w14:paraId="3C8EF9A6" w14:textId="77777777" w:rsidR="005208DC" w:rsidRPr="005208DC" w:rsidRDefault="005208DC" w:rsidP="005208DC">
          <w:pPr>
            <w:pStyle w:val="TOC2"/>
            <w:tabs>
              <w:tab w:val="left" w:pos="880"/>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28" w:history="1">
            <w:r w:rsidRPr="005208DC">
              <w:rPr>
                <w:rStyle w:val="Hyperlink"/>
                <w:rFonts w:asciiTheme="majorBidi" w:hAnsiTheme="majorBidi" w:cstheme="majorBidi"/>
                <w:noProof/>
                <w:color w:val="0D0D0D" w:themeColor="text1" w:themeTint="F2"/>
                <w:lang w:val="sq-AL"/>
              </w:rPr>
              <w:t>4.1.</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Politikat strategjike dhe objektivat afatmesme</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_Toc92721128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14</w:t>
            </w:r>
            <w:r w:rsidRPr="005208DC">
              <w:rPr>
                <w:rFonts w:asciiTheme="majorBidi" w:hAnsiTheme="majorBidi" w:cstheme="majorBidi"/>
                <w:noProof/>
                <w:webHidden/>
                <w:color w:val="0D0D0D" w:themeColor="text1" w:themeTint="F2"/>
              </w:rPr>
              <w:fldChar w:fldCharType="end"/>
            </w:r>
          </w:hyperlink>
        </w:p>
        <w:p w14:paraId="540C318A" w14:textId="77777777" w:rsidR="005208DC" w:rsidRPr="005208DC" w:rsidRDefault="005208DC" w:rsidP="005208DC">
          <w:pPr>
            <w:pStyle w:val="TOC2"/>
            <w:tabs>
              <w:tab w:val="left" w:pos="880"/>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29" w:history="1">
            <w:r w:rsidRPr="005208DC">
              <w:rPr>
                <w:rStyle w:val="Hyperlink"/>
                <w:rFonts w:asciiTheme="majorBidi" w:hAnsiTheme="majorBidi" w:cstheme="majorBidi"/>
                <w:noProof/>
                <w:color w:val="0D0D0D" w:themeColor="text1" w:themeTint="F2"/>
                <w:lang w:val="sq-AL"/>
              </w:rPr>
              <w:t>4.2.</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Implementimi i buxhetit për vitin 2020</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_Toc92721129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14</w:t>
            </w:r>
            <w:r w:rsidRPr="005208DC">
              <w:rPr>
                <w:rFonts w:asciiTheme="majorBidi" w:hAnsiTheme="majorBidi" w:cstheme="majorBidi"/>
                <w:noProof/>
                <w:webHidden/>
                <w:color w:val="0D0D0D" w:themeColor="text1" w:themeTint="F2"/>
              </w:rPr>
              <w:fldChar w:fldCharType="end"/>
            </w:r>
          </w:hyperlink>
        </w:p>
        <w:p w14:paraId="72D56BF9" w14:textId="77777777" w:rsidR="005208DC" w:rsidRPr="005208DC" w:rsidRDefault="005208DC" w:rsidP="005208DC">
          <w:pPr>
            <w:pStyle w:val="TOC2"/>
            <w:tabs>
              <w:tab w:val="left" w:pos="880"/>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30" w:history="1">
            <w:r w:rsidRPr="005208DC">
              <w:rPr>
                <w:rStyle w:val="Hyperlink"/>
                <w:rFonts w:asciiTheme="majorBidi" w:hAnsiTheme="majorBidi" w:cstheme="majorBidi"/>
                <w:noProof/>
                <w:color w:val="0D0D0D" w:themeColor="text1" w:themeTint="F2"/>
                <w:lang w:val="sq-AL"/>
              </w:rPr>
              <w:t>4.3.</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Planet buxhetore për vitin e dorëzimit të ERP-së</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_Toc92721130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14</w:t>
            </w:r>
            <w:r w:rsidRPr="005208DC">
              <w:rPr>
                <w:rFonts w:asciiTheme="majorBidi" w:hAnsiTheme="majorBidi" w:cstheme="majorBidi"/>
                <w:noProof/>
                <w:webHidden/>
                <w:color w:val="0D0D0D" w:themeColor="text1" w:themeTint="F2"/>
              </w:rPr>
              <w:fldChar w:fldCharType="end"/>
            </w:r>
          </w:hyperlink>
        </w:p>
        <w:p w14:paraId="009C1E6E" w14:textId="77777777" w:rsidR="005208DC" w:rsidRPr="005208DC" w:rsidRDefault="005208DC" w:rsidP="005208DC">
          <w:pPr>
            <w:pStyle w:val="TOC2"/>
            <w:tabs>
              <w:tab w:val="left" w:pos="880"/>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31" w:history="1">
            <w:r w:rsidRPr="005208DC">
              <w:rPr>
                <w:rStyle w:val="Hyperlink"/>
                <w:rFonts w:asciiTheme="majorBidi" w:hAnsiTheme="majorBidi" w:cstheme="majorBidi"/>
                <w:noProof/>
                <w:color w:val="0D0D0D" w:themeColor="text1" w:themeTint="F2"/>
                <w:lang w:val="sq-AL"/>
              </w:rPr>
              <w:t>4.4.</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Perspektiva buxhetore afatmesme</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_Toc92721131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14</w:t>
            </w:r>
            <w:r w:rsidRPr="005208DC">
              <w:rPr>
                <w:rFonts w:asciiTheme="majorBidi" w:hAnsiTheme="majorBidi" w:cstheme="majorBidi"/>
                <w:noProof/>
                <w:webHidden/>
                <w:color w:val="0D0D0D" w:themeColor="text1" w:themeTint="F2"/>
              </w:rPr>
              <w:fldChar w:fldCharType="end"/>
            </w:r>
          </w:hyperlink>
        </w:p>
        <w:p w14:paraId="004815E4" w14:textId="77777777" w:rsidR="005208DC" w:rsidRPr="005208DC" w:rsidRDefault="005208DC" w:rsidP="005208DC">
          <w:pPr>
            <w:pStyle w:val="TOC2"/>
            <w:tabs>
              <w:tab w:val="left" w:pos="880"/>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32" w:history="1">
            <w:r w:rsidRPr="005208DC">
              <w:rPr>
                <w:rStyle w:val="Hyperlink"/>
                <w:rFonts w:asciiTheme="majorBidi" w:hAnsiTheme="majorBidi" w:cstheme="majorBidi"/>
                <w:noProof/>
                <w:color w:val="0D0D0D" w:themeColor="text1" w:themeTint="F2"/>
                <w:lang w:val="sq-AL"/>
              </w:rPr>
              <w:t>4.5.</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Bilanci strukturor</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_Toc92721132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14</w:t>
            </w:r>
            <w:r w:rsidRPr="005208DC">
              <w:rPr>
                <w:rFonts w:asciiTheme="majorBidi" w:hAnsiTheme="majorBidi" w:cstheme="majorBidi"/>
                <w:noProof/>
                <w:webHidden/>
                <w:color w:val="0D0D0D" w:themeColor="text1" w:themeTint="F2"/>
              </w:rPr>
              <w:fldChar w:fldCharType="end"/>
            </w:r>
          </w:hyperlink>
        </w:p>
        <w:p w14:paraId="687C7A95" w14:textId="77777777" w:rsidR="005208DC" w:rsidRPr="005208DC" w:rsidRDefault="005208DC" w:rsidP="005208DC">
          <w:pPr>
            <w:pStyle w:val="TOC2"/>
            <w:tabs>
              <w:tab w:val="left" w:pos="880"/>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33" w:history="1">
            <w:r w:rsidRPr="005208DC">
              <w:rPr>
                <w:rStyle w:val="Hyperlink"/>
                <w:rFonts w:asciiTheme="majorBidi" w:hAnsiTheme="majorBidi" w:cstheme="majorBidi"/>
                <w:noProof/>
                <w:color w:val="0D0D0D" w:themeColor="text1" w:themeTint="F2"/>
                <w:lang w:val="sq-AL"/>
              </w:rPr>
              <w:t>4.6.</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Niveli i borxhit dhe zhvillimet</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_Toc92721133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14</w:t>
            </w:r>
            <w:r w:rsidRPr="005208DC">
              <w:rPr>
                <w:rFonts w:asciiTheme="majorBidi" w:hAnsiTheme="majorBidi" w:cstheme="majorBidi"/>
                <w:noProof/>
                <w:webHidden/>
                <w:color w:val="0D0D0D" w:themeColor="text1" w:themeTint="F2"/>
              </w:rPr>
              <w:fldChar w:fldCharType="end"/>
            </w:r>
          </w:hyperlink>
        </w:p>
        <w:p w14:paraId="0A7798A9" w14:textId="77777777" w:rsidR="005208DC" w:rsidRPr="005208DC" w:rsidRDefault="005208DC" w:rsidP="005208DC">
          <w:pPr>
            <w:pStyle w:val="TOC2"/>
            <w:tabs>
              <w:tab w:val="left" w:pos="880"/>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34" w:history="1">
            <w:r w:rsidRPr="005208DC">
              <w:rPr>
                <w:rStyle w:val="Hyperlink"/>
                <w:rFonts w:asciiTheme="majorBidi" w:hAnsiTheme="majorBidi" w:cstheme="majorBidi"/>
                <w:noProof/>
                <w:color w:val="0D0D0D" w:themeColor="text1" w:themeTint="F2"/>
                <w:lang w:val="sq-AL"/>
              </w:rPr>
              <w:t>4.7.</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Analiza e ndjeshmërisë dhe krahasimi me programin e mëparshëm</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_Toc92721134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14</w:t>
            </w:r>
            <w:r w:rsidRPr="005208DC">
              <w:rPr>
                <w:rFonts w:asciiTheme="majorBidi" w:hAnsiTheme="majorBidi" w:cstheme="majorBidi"/>
                <w:noProof/>
                <w:webHidden/>
                <w:color w:val="0D0D0D" w:themeColor="text1" w:themeTint="F2"/>
              </w:rPr>
              <w:fldChar w:fldCharType="end"/>
            </w:r>
          </w:hyperlink>
        </w:p>
        <w:p w14:paraId="29283009" w14:textId="77777777" w:rsidR="005208DC" w:rsidRPr="005208DC" w:rsidRDefault="005208DC" w:rsidP="005208DC">
          <w:pPr>
            <w:pStyle w:val="TOC2"/>
            <w:tabs>
              <w:tab w:val="left" w:pos="880"/>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35" w:history="1">
            <w:r w:rsidRPr="005208DC">
              <w:rPr>
                <w:rStyle w:val="Hyperlink"/>
                <w:rFonts w:asciiTheme="majorBidi" w:hAnsiTheme="majorBidi" w:cstheme="majorBidi"/>
                <w:noProof/>
                <w:color w:val="0D0D0D" w:themeColor="text1" w:themeTint="F2"/>
                <w:lang w:val="sq-AL"/>
              </w:rPr>
              <w:t>4.8.</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Cilësia e financave publike</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_Toc92721135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14</w:t>
            </w:r>
            <w:r w:rsidRPr="005208DC">
              <w:rPr>
                <w:rFonts w:asciiTheme="majorBidi" w:hAnsiTheme="majorBidi" w:cstheme="majorBidi"/>
                <w:noProof/>
                <w:webHidden/>
                <w:color w:val="0D0D0D" w:themeColor="text1" w:themeTint="F2"/>
              </w:rPr>
              <w:fldChar w:fldCharType="end"/>
            </w:r>
          </w:hyperlink>
        </w:p>
        <w:p w14:paraId="05C79C4B" w14:textId="77777777" w:rsidR="005208DC" w:rsidRPr="005208DC" w:rsidRDefault="005208DC" w:rsidP="005208DC">
          <w:pPr>
            <w:pStyle w:val="TOC2"/>
            <w:tabs>
              <w:tab w:val="left" w:pos="880"/>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36" w:history="1">
            <w:r w:rsidRPr="005208DC">
              <w:rPr>
                <w:rStyle w:val="Hyperlink"/>
                <w:rFonts w:asciiTheme="majorBidi" w:hAnsiTheme="majorBidi" w:cstheme="majorBidi"/>
                <w:noProof/>
                <w:color w:val="0D0D0D" w:themeColor="text1" w:themeTint="F2"/>
                <w:lang w:val="sq-AL"/>
              </w:rPr>
              <w:t>4.9.</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Qeverisja fiskale dhe kuadri buxhetor</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_Toc92721136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14</w:t>
            </w:r>
            <w:r w:rsidRPr="005208DC">
              <w:rPr>
                <w:rFonts w:asciiTheme="majorBidi" w:hAnsiTheme="majorBidi" w:cstheme="majorBidi"/>
                <w:noProof/>
                <w:webHidden/>
                <w:color w:val="0D0D0D" w:themeColor="text1" w:themeTint="F2"/>
              </w:rPr>
              <w:fldChar w:fldCharType="end"/>
            </w:r>
          </w:hyperlink>
        </w:p>
        <w:p w14:paraId="55C3A69D" w14:textId="77777777" w:rsidR="005208DC" w:rsidRPr="005208DC" w:rsidRDefault="005208DC" w:rsidP="005208DC">
          <w:pPr>
            <w:pStyle w:val="TOC2"/>
            <w:tabs>
              <w:tab w:val="left" w:pos="1100"/>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37" w:history="1">
            <w:r w:rsidRPr="005208DC">
              <w:rPr>
                <w:rStyle w:val="Hyperlink"/>
                <w:rFonts w:asciiTheme="majorBidi" w:hAnsiTheme="majorBidi" w:cstheme="majorBidi"/>
                <w:noProof/>
                <w:color w:val="0D0D0D" w:themeColor="text1" w:themeTint="F2"/>
                <w:lang w:val="sq-AL"/>
              </w:rPr>
              <w:t>4.10.</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Qëndrueshmëria e financave publike</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_Toc92721137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14</w:t>
            </w:r>
            <w:r w:rsidRPr="005208DC">
              <w:rPr>
                <w:rFonts w:asciiTheme="majorBidi" w:hAnsiTheme="majorBidi" w:cstheme="majorBidi"/>
                <w:noProof/>
                <w:webHidden/>
                <w:color w:val="0D0D0D" w:themeColor="text1" w:themeTint="F2"/>
              </w:rPr>
              <w:fldChar w:fldCharType="end"/>
            </w:r>
          </w:hyperlink>
        </w:p>
        <w:p w14:paraId="4DDBA5CF" w14:textId="77777777" w:rsidR="005208DC" w:rsidRPr="005208DC" w:rsidRDefault="005208DC" w:rsidP="005208DC">
          <w:pPr>
            <w:pStyle w:val="TOC1"/>
            <w:tabs>
              <w:tab w:val="left" w:pos="567"/>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38" w:history="1">
            <w:r w:rsidRPr="005208DC">
              <w:rPr>
                <w:rStyle w:val="Hyperlink"/>
                <w:rFonts w:asciiTheme="majorBidi" w:hAnsiTheme="majorBidi" w:cstheme="majorBidi"/>
                <w:noProof/>
                <w:color w:val="0D0D0D" w:themeColor="text1" w:themeTint="F2"/>
                <w:lang w:val="sq-AL"/>
              </w:rPr>
              <w:t>5.</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REFORMAT STRUKTURORE PARËSORE NË 2022-2024</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_Toc92721138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15</w:t>
            </w:r>
            <w:r w:rsidRPr="005208DC">
              <w:rPr>
                <w:rFonts w:asciiTheme="majorBidi" w:hAnsiTheme="majorBidi" w:cstheme="majorBidi"/>
                <w:noProof/>
                <w:webHidden/>
                <w:color w:val="0D0D0D" w:themeColor="text1" w:themeTint="F2"/>
              </w:rPr>
              <w:fldChar w:fldCharType="end"/>
            </w:r>
          </w:hyperlink>
        </w:p>
        <w:p w14:paraId="7E74C8B1" w14:textId="77777777" w:rsidR="005208DC" w:rsidRPr="005208DC" w:rsidRDefault="005208DC" w:rsidP="005208DC">
          <w:pPr>
            <w:pStyle w:val="TOC2"/>
            <w:tabs>
              <w:tab w:val="left" w:pos="880"/>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39" w:history="1">
            <w:r w:rsidRPr="005208DC">
              <w:rPr>
                <w:rStyle w:val="Hyperlink"/>
                <w:rFonts w:asciiTheme="majorBidi" w:hAnsiTheme="majorBidi" w:cstheme="majorBidi"/>
                <w:noProof/>
                <w:color w:val="0D0D0D" w:themeColor="text1" w:themeTint="F2"/>
                <w:lang w:val="sq-AL"/>
              </w:rPr>
              <w:t>5.1.</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Përditësim mbi tre pengesat kryesore në konkurrueshmëri dhe rritje përfshirëse dhe masat e reformave të lidhura</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_Toc92721139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15</w:t>
            </w:r>
            <w:r w:rsidRPr="005208DC">
              <w:rPr>
                <w:rFonts w:asciiTheme="majorBidi" w:hAnsiTheme="majorBidi" w:cstheme="majorBidi"/>
                <w:noProof/>
                <w:webHidden/>
                <w:color w:val="0D0D0D" w:themeColor="text1" w:themeTint="F2"/>
              </w:rPr>
              <w:fldChar w:fldCharType="end"/>
            </w:r>
          </w:hyperlink>
        </w:p>
        <w:p w14:paraId="61442DFA" w14:textId="77777777" w:rsidR="005208DC" w:rsidRPr="005208DC" w:rsidRDefault="005208DC" w:rsidP="005208DC">
          <w:pPr>
            <w:pStyle w:val="TOC3"/>
            <w:spacing w:after="0"/>
            <w:rPr>
              <w:rFonts w:asciiTheme="majorBidi" w:eastAsiaTheme="minorEastAsia" w:hAnsiTheme="majorBidi" w:cstheme="majorBidi"/>
              <w:noProof/>
              <w:color w:val="0D0D0D" w:themeColor="text1" w:themeTint="F2"/>
              <w:lang w:val="sq-AL" w:eastAsia="sq-AL" w:bidi="he-IL"/>
            </w:rPr>
          </w:pPr>
          <w:hyperlink w:anchor="_Toc92721140" w:history="1">
            <w:r w:rsidRPr="005208DC">
              <w:rPr>
                <w:rStyle w:val="Hyperlink"/>
                <w:rFonts w:asciiTheme="majorBidi" w:hAnsiTheme="majorBidi" w:cstheme="majorBidi"/>
                <w:noProof/>
                <w:color w:val="0D0D0D" w:themeColor="text1" w:themeTint="F2"/>
                <w:lang w:val="sq-AL"/>
              </w:rPr>
              <w:t>Sfida Kyçe #1</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_Toc92721140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15</w:t>
            </w:r>
            <w:r w:rsidRPr="005208DC">
              <w:rPr>
                <w:rFonts w:asciiTheme="majorBidi" w:hAnsiTheme="majorBidi" w:cstheme="majorBidi"/>
                <w:noProof/>
                <w:webHidden/>
                <w:color w:val="0D0D0D" w:themeColor="text1" w:themeTint="F2"/>
              </w:rPr>
              <w:fldChar w:fldCharType="end"/>
            </w:r>
          </w:hyperlink>
        </w:p>
        <w:p w14:paraId="0FA4BD72" w14:textId="77777777" w:rsidR="005208DC" w:rsidRPr="005208DC" w:rsidRDefault="005208DC" w:rsidP="005208DC">
          <w:pPr>
            <w:pStyle w:val="TOC3"/>
            <w:spacing w:after="0"/>
            <w:rPr>
              <w:rFonts w:asciiTheme="majorBidi" w:eastAsiaTheme="minorEastAsia" w:hAnsiTheme="majorBidi" w:cstheme="majorBidi"/>
              <w:noProof/>
              <w:color w:val="0D0D0D" w:themeColor="text1" w:themeTint="F2"/>
              <w:lang w:val="sq-AL" w:eastAsia="sq-AL" w:bidi="he-IL"/>
            </w:rPr>
          </w:pPr>
          <w:hyperlink w:anchor="_Toc92721141" w:history="1">
            <w:r w:rsidRPr="005208DC">
              <w:rPr>
                <w:rStyle w:val="Hyperlink"/>
                <w:rFonts w:asciiTheme="majorBidi" w:hAnsiTheme="majorBidi" w:cstheme="majorBidi"/>
                <w:noProof/>
                <w:color w:val="0D0D0D" w:themeColor="text1" w:themeTint="F2"/>
                <w:lang w:val="sq-AL"/>
              </w:rPr>
              <w:t>Sfida Kyçe #2</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_Toc92721141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24</w:t>
            </w:r>
            <w:r w:rsidRPr="005208DC">
              <w:rPr>
                <w:rFonts w:asciiTheme="majorBidi" w:hAnsiTheme="majorBidi" w:cstheme="majorBidi"/>
                <w:noProof/>
                <w:webHidden/>
                <w:color w:val="0D0D0D" w:themeColor="text1" w:themeTint="F2"/>
              </w:rPr>
              <w:fldChar w:fldCharType="end"/>
            </w:r>
          </w:hyperlink>
        </w:p>
        <w:p w14:paraId="3E0467ED" w14:textId="77777777" w:rsidR="005208DC" w:rsidRPr="005208DC" w:rsidRDefault="005208DC" w:rsidP="005208DC">
          <w:pPr>
            <w:pStyle w:val="TOC3"/>
            <w:spacing w:after="0"/>
            <w:rPr>
              <w:rFonts w:asciiTheme="majorBidi" w:eastAsiaTheme="minorEastAsia" w:hAnsiTheme="majorBidi" w:cstheme="majorBidi"/>
              <w:noProof/>
              <w:color w:val="0D0D0D" w:themeColor="text1" w:themeTint="F2"/>
              <w:lang w:val="sq-AL" w:eastAsia="sq-AL" w:bidi="he-IL"/>
            </w:rPr>
          </w:pPr>
          <w:hyperlink w:anchor="_Toc92721142" w:history="1">
            <w:r w:rsidRPr="005208DC">
              <w:rPr>
                <w:rStyle w:val="Hyperlink"/>
                <w:rFonts w:asciiTheme="majorBidi" w:hAnsiTheme="majorBidi" w:cstheme="majorBidi"/>
                <w:noProof/>
                <w:color w:val="0D0D0D" w:themeColor="text1" w:themeTint="F2"/>
                <w:lang w:val="sq-AL"/>
              </w:rPr>
              <w:t>Sfida Kyçe #3</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_Toc92721142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30</w:t>
            </w:r>
            <w:r w:rsidRPr="005208DC">
              <w:rPr>
                <w:rFonts w:asciiTheme="majorBidi" w:hAnsiTheme="majorBidi" w:cstheme="majorBidi"/>
                <w:noProof/>
                <w:webHidden/>
                <w:color w:val="0D0D0D" w:themeColor="text1" w:themeTint="F2"/>
              </w:rPr>
              <w:fldChar w:fldCharType="end"/>
            </w:r>
          </w:hyperlink>
        </w:p>
        <w:p w14:paraId="4A13BAB3" w14:textId="77777777" w:rsidR="005208DC" w:rsidRPr="005208DC" w:rsidRDefault="005208DC" w:rsidP="005208DC">
          <w:pPr>
            <w:pStyle w:val="TOC2"/>
            <w:tabs>
              <w:tab w:val="left" w:pos="880"/>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43" w:history="1">
            <w:r w:rsidRPr="005208DC">
              <w:rPr>
                <w:rStyle w:val="Hyperlink"/>
                <w:rFonts w:asciiTheme="majorBidi" w:hAnsiTheme="majorBidi" w:cstheme="majorBidi"/>
                <w:noProof/>
                <w:color w:val="0D0D0D" w:themeColor="text1" w:themeTint="F2"/>
                <w:lang w:val="sq-AL"/>
              </w:rPr>
              <w:t>5.2.</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Analiza e pengesave në fusha të tjera</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_Toc92721143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45</w:t>
            </w:r>
            <w:r w:rsidRPr="005208DC">
              <w:rPr>
                <w:rFonts w:asciiTheme="majorBidi" w:hAnsiTheme="majorBidi" w:cstheme="majorBidi"/>
                <w:noProof/>
                <w:webHidden/>
                <w:color w:val="0D0D0D" w:themeColor="text1" w:themeTint="F2"/>
              </w:rPr>
              <w:fldChar w:fldCharType="end"/>
            </w:r>
          </w:hyperlink>
        </w:p>
        <w:p w14:paraId="71EE496E" w14:textId="77777777" w:rsidR="005208DC" w:rsidRPr="005208DC" w:rsidRDefault="005208DC" w:rsidP="005208DC">
          <w:pPr>
            <w:pStyle w:val="TOC3"/>
            <w:spacing w:after="0"/>
            <w:rPr>
              <w:rFonts w:asciiTheme="majorBidi" w:eastAsiaTheme="minorEastAsia" w:hAnsiTheme="majorBidi" w:cstheme="majorBidi"/>
              <w:noProof/>
              <w:color w:val="0D0D0D" w:themeColor="text1" w:themeTint="F2"/>
              <w:lang w:val="sq-AL" w:eastAsia="sq-AL" w:bidi="he-IL"/>
            </w:rPr>
          </w:pPr>
          <w:hyperlink w:anchor="_Toc92721144" w:history="1">
            <w:r w:rsidRPr="005208DC">
              <w:rPr>
                <w:rStyle w:val="Hyperlink"/>
                <w:rFonts w:asciiTheme="majorBidi" w:hAnsiTheme="majorBidi" w:cstheme="majorBidi"/>
                <w:noProof/>
                <w:color w:val="0D0D0D" w:themeColor="text1" w:themeTint="F2"/>
                <w:lang w:val="sq-AL"/>
              </w:rPr>
              <w:t>5.2.1.</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Menaxhimi i Financave Publike</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_Toc92721144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45</w:t>
            </w:r>
            <w:r w:rsidRPr="005208DC">
              <w:rPr>
                <w:rFonts w:asciiTheme="majorBidi" w:hAnsiTheme="majorBidi" w:cstheme="majorBidi"/>
                <w:noProof/>
                <w:webHidden/>
                <w:color w:val="0D0D0D" w:themeColor="text1" w:themeTint="F2"/>
              </w:rPr>
              <w:fldChar w:fldCharType="end"/>
            </w:r>
          </w:hyperlink>
        </w:p>
        <w:p w14:paraId="5D83EA15" w14:textId="77777777" w:rsidR="005208DC" w:rsidRPr="005208DC" w:rsidRDefault="005208DC" w:rsidP="005208DC">
          <w:pPr>
            <w:pStyle w:val="TOC3"/>
            <w:spacing w:after="0"/>
            <w:rPr>
              <w:rFonts w:asciiTheme="majorBidi" w:eastAsiaTheme="minorEastAsia" w:hAnsiTheme="majorBidi" w:cstheme="majorBidi"/>
              <w:noProof/>
              <w:color w:val="0D0D0D" w:themeColor="text1" w:themeTint="F2"/>
              <w:lang w:val="sq-AL" w:eastAsia="sq-AL" w:bidi="he-IL"/>
            </w:rPr>
          </w:pPr>
          <w:hyperlink w:anchor="_Toc92721145" w:history="1">
            <w:r w:rsidRPr="005208DC">
              <w:rPr>
                <w:rStyle w:val="Hyperlink"/>
                <w:rFonts w:asciiTheme="majorBidi" w:hAnsiTheme="majorBidi" w:cstheme="majorBidi"/>
                <w:noProof/>
                <w:color w:val="0D0D0D" w:themeColor="text1" w:themeTint="F2"/>
                <w:lang w:val="sq-AL"/>
              </w:rPr>
              <w:t>5.2.2.</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Tranzicioni i gjelbër</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_Toc92721145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47</w:t>
            </w:r>
            <w:r w:rsidRPr="005208DC">
              <w:rPr>
                <w:rFonts w:asciiTheme="majorBidi" w:hAnsiTheme="majorBidi" w:cstheme="majorBidi"/>
                <w:noProof/>
                <w:webHidden/>
                <w:color w:val="0D0D0D" w:themeColor="text1" w:themeTint="F2"/>
              </w:rPr>
              <w:fldChar w:fldCharType="end"/>
            </w:r>
          </w:hyperlink>
        </w:p>
        <w:p w14:paraId="28B821D7" w14:textId="77777777" w:rsidR="005208DC" w:rsidRPr="005208DC" w:rsidRDefault="005208DC" w:rsidP="005208DC">
          <w:pPr>
            <w:pStyle w:val="TOC3"/>
            <w:spacing w:after="0"/>
            <w:rPr>
              <w:rFonts w:asciiTheme="majorBidi" w:eastAsiaTheme="minorEastAsia" w:hAnsiTheme="majorBidi" w:cstheme="majorBidi"/>
              <w:noProof/>
              <w:color w:val="0D0D0D" w:themeColor="text1" w:themeTint="F2"/>
              <w:lang w:val="sq-AL" w:eastAsia="sq-AL" w:bidi="he-IL"/>
            </w:rPr>
          </w:pPr>
          <w:hyperlink w:anchor="_Toc92721146" w:history="1">
            <w:r w:rsidRPr="005208DC">
              <w:rPr>
                <w:rStyle w:val="Hyperlink"/>
                <w:rFonts w:asciiTheme="majorBidi" w:hAnsiTheme="majorBidi" w:cstheme="majorBidi"/>
                <w:noProof/>
                <w:color w:val="0D0D0D" w:themeColor="text1" w:themeTint="F2"/>
                <w:lang w:val="sq-AL"/>
              </w:rPr>
              <w:t>5.2.3.</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Transformimi dixhital</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_Toc92721146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48</w:t>
            </w:r>
            <w:r w:rsidRPr="005208DC">
              <w:rPr>
                <w:rFonts w:asciiTheme="majorBidi" w:hAnsiTheme="majorBidi" w:cstheme="majorBidi"/>
                <w:noProof/>
                <w:webHidden/>
                <w:color w:val="0D0D0D" w:themeColor="text1" w:themeTint="F2"/>
              </w:rPr>
              <w:fldChar w:fldCharType="end"/>
            </w:r>
          </w:hyperlink>
        </w:p>
        <w:p w14:paraId="3AF6F266" w14:textId="77777777" w:rsidR="005208DC" w:rsidRPr="005208DC" w:rsidRDefault="005208DC" w:rsidP="005208DC">
          <w:pPr>
            <w:pStyle w:val="TOC3"/>
            <w:spacing w:after="0"/>
            <w:rPr>
              <w:rFonts w:asciiTheme="majorBidi" w:eastAsiaTheme="minorEastAsia" w:hAnsiTheme="majorBidi" w:cstheme="majorBidi"/>
              <w:noProof/>
              <w:color w:val="0D0D0D" w:themeColor="text1" w:themeTint="F2"/>
              <w:lang w:val="sq-AL" w:eastAsia="sq-AL" w:bidi="he-IL"/>
            </w:rPr>
          </w:pPr>
          <w:hyperlink w:anchor="_Toc92721147" w:history="1">
            <w:r w:rsidRPr="005208DC">
              <w:rPr>
                <w:rStyle w:val="Hyperlink"/>
                <w:rFonts w:asciiTheme="majorBidi" w:hAnsiTheme="majorBidi" w:cstheme="majorBidi"/>
                <w:noProof/>
                <w:color w:val="0D0D0D" w:themeColor="text1" w:themeTint="F2"/>
                <w:lang w:val="sq-AL"/>
              </w:rPr>
              <w:t>5.2.4.</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Mjedisi i biznesit dhe reduktimi i ekonomisë informale</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_Toc92721147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51</w:t>
            </w:r>
            <w:r w:rsidRPr="005208DC">
              <w:rPr>
                <w:rFonts w:asciiTheme="majorBidi" w:hAnsiTheme="majorBidi" w:cstheme="majorBidi"/>
                <w:noProof/>
                <w:webHidden/>
                <w:color w:val="0D0D0D" w:themeColor="text1" w:themeTint="F2"/>
              </w:rPr>
              <w:fldChar w:fldCharType="end"/>
            </w:r>
          </w:hyperlink>
        </w:p>
        <w:p w14:paraId="2EBDFCDC" w14:textId="77777777" w:rsidR="005208DC" w:rsidRPr="005208DC" w:rsidRDefault="005208DC" w:rsidP="005208DC">
          <w:pPr>
            <w:pStyle w:val="TOC3"/>
            <w:spacing w:after="0"/>
            <w:rPr>
              <w:rFonts w:asciiTheme="majorBidi" w:eastAsiaTheme="minorEastAsia" w:hAnsiTheme="majorBidi" w:cstheme="majorBidi"/>
              <w:noProof/>
              <w:color w:val="0D0D0D" w:themeColor="text1" w:themeTint="F2"/>
              <w:lang w:val="sq-AL" w:eastAsia="sq-AL" w:bidi="he-IL"/>
            </w:rPr>
          </w:pPr>
          <w:hyperlink w:anchor="_Toc92721148" w:history="1">
            <w:r w:rsidRPr="005208DC">
              <w:rPr>
                <w:rStyle w:val="Hyperlink"/>
                <w:rFonts w:asciiTheme="majorBidi" w:hAnsiTheme="majorBidi" w:cstheme="majorBidi"/>
                <w:noProof/>
                <w:color w:val="0D0D0D" w:themeColor="text1" w:themeTint="F2"/>
                <w:lang w:val="sq-AL"/>
              </w:rPr>
              <w:t>5.2.5.</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Kërkim, zhvillim dhe inovacion</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_Toc92721148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52</w:t>
            </w:r>
            <w:r w:rsidRPr="005208DC">
              <w:rPr>
                <w:rFonts w:asciiTheme="majorBidi" w:hAnsiTheme="majorBidi" w:cstheme="majorBidi"/>
                <w:noProof/>
                <w:webHidden/>
                <w:color w:val="0D0D0D" w:themeColor="text1" w:themeTint="F2"/>
              </w:rPr>
              <w:fldChar w:fldCharType="end"/>
            </w:r>
          </w:hyperlink>
        </w:p>
        <w:p w14:paraId="499A5A8A" w14:textId="77777777" w:rsidR="005208DC" w:rsidRPr="005208DC" w:rsidRDefault="005208DC" w:rsidP="005208DC">
          <w:pPr>
            <w:pStyle w:val="TOC3"/>
            <w:spacing w:after="0"/>
            <w:rPr>
              <w:rFonts w:asciiTheme="majorBidi" w:eastAsiaTheme="minorEastAsia" w:hAnsiTheme="majorBidi" w:cstheme="majorBidi"/>
              <w:noProof/>
              <w:color w:val="0D0D0D" w:themeColor="text1" w:themeTint="F2"/>
              <w:lang w:val="sq-AL" w:eastAsia="sq-AL" w:bidi="he-IL"/>
            </w:rPr>
          </w:pPr>
          <w:hyperlink w:anchor="_Toc92721149" w:history="1">
            <w:r w:rsidRPr="005208DC">
              <w:rPr>
                <w:rStyle w:val="Hyperlink"/>
                <w:rFonts w:asciiTheme="majorBidi" w:hAnsiTheme="majorBidi" w:cstheme="majorBidi"/>
                <w:noProof/>
                <w:color w:val="0D0D0D" w:themeColor="text1" w:themeTint="F2"/>
                <w:lang w:val="sq-AL"/>
              </w:rPr>
              <w:t>5.2.6.</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Integrimi ekonomik</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_Toc92721149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52</w:t>
            </w:r>
            <w:r w:rsidRPr="005208DC">
              <w:rPr>
                <w:rFonts w:asciiTheme="majorBidi" w:hAnsiTheme="majorBidi" w:cstheme="majorBidi"/>
                <w:noProof/>
                <w:webHidden/>
                <w:color w:val="0D0D0D" w:themeColor="text1" w:themeTint="F2"/>
              </w:rPr>
              <w:fldChar w:fldCharType="end"/>
            </w:r>
          </w:hyperlink>
        </w:p>
        <w:p w14:paraId="41903913" w14:textId="77777777" w:rsidR="005208DC" w:rsidRPr="005208DC" w:rsidRDefault="005208DC" w:rsidP="005208DC">
          <w:pPr>
            <w:pStyle w:val="TOC3"/>
            <w:spacing w:after="0"/>
            <w:rPr>
              <w:rFonts w:asciiTheme="majorBidi" w:eastAsiaTheme="minorEastAsia" w:hAnsiTheme="majorBidi" w:cstheme="majorBidi"/>
              <w:noProof/>
              <w:color w:val="0D0D0D" w:themeColor="text1" w:themeTint="F2"/>
              <w:lang w:val="sq-AL" w:eastAsia="sq-AL" w:bidi="he-IL"/>
            </w:rPr>
          </w:pPr>
          <w:hyperlink w:anchor="_Toc92721150" w:history="1">
            <w:r w:rsidRPr="005208DC">
              <w:rPr>
                <w:rStyle w:val="Hyperlink"/>
                <w:rFonts w:asciiTheme="majorBidi" w:hAnsiTheme="majorBidi" w:cstheme="majorBidi"/>
                <w:noProof/>
                <w:color w:val="0D0D0D" w:themeColor="text1" w:themeTint="F2"/>
                <w:lang w:val="sq-AL"/>
              </w:rPr>
              <w:t>5.2.7.</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Energjia</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_Toc92721150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55</w:t>
            </w:r>
            <w:r w:rsidRPr="005208DC">
              <w:rPr>
                <w:rFonts w:asciiTheme="majorBidi" w:hAnsiTheme="majorBidi" w:cstheme="majorBidi"/>
                <w:noProof/>
                <w:webHidden/>
                <w:color w:val="0D0D0D" w:themeColor="text1" w:themeTint="F2"/>
              </w:rPr>
              <w:fldChar w:fldCharType="end"/>
            </w:r>
          </w:hyperlink>
        </w:p>
        <w:p w14:paraId="54EA58AE" w14:textId="77777777" w:rsidR="005208DC" w:rsidRPr="005208DC" w:rsidRDefault="005208DC" w:rsidP="005208DC">
          <w:pPr>
            <w:pStyle w:val="TOC3"/>
            <w:spacing w:after="0"/>
            <w:rPr>
              <w:rFonts w:asciiTheme="majorBidi" w:eastAsiaTheme="minorEastAsia" w:hAnsiTheme="majorBidi" w:cstheme="majorBidi"/>
              <w:noProof/>
              <w:color w:val="0D0D0D" w:themeColor="text1" w:themeTint="F2"/>
              <w:lang w:val="sq-AL" w:eastAsia="sq-AL" w:bidi="he-IL"/>
            </w:rPr>
          </w:pPr>
          <w:hyperlink w:anchor="_Toc92721151" w:history="1">
            <w:r w:rsidRPr="005208DC">
              <w:rPr>
                <w:rStyle w:val="Hyperlink"/>
                <w:rFonts w:asciiTheme="majorBidi" w:hAnsiTheme="majorBidi" w:cstheme="majorBidi"/>
                <w:noProof/>
                <w:color w:val="0D0D0D" w:themeColor="text1" w:themeTint="F2"/>
                <w:lang w:val="sq-AL"/>
              </w:rPr>
              <w:t>5.2.8.</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Transporti</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_Toc92721151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65</w:t>
            </w:r>
            <w:r w:rsidRPr="005208DC">
              <w:rPr>
                <w:rFonts w:asciiTheme="majorBidi" w:hAnsiTheme="majorBidi" w:cstheme="majorBidi"/>
                <w:noProof/>
                <w:webHidden/>
                <w:color w:val="0D0D0D" w:themeColor="text1" w:themeTint="F2"/>
              </w:rPr>
              <w:fldChar w:fldCharType="end"/>
            </w:r>
          </w:hyperlink>
        </w:p>
        <w:p w14:paraId="3D58EFB1" w14:textId="77777777" w:rsidR="005208DC" w:rsidRPr="005208DC" w:rsidRDefault="005208DC" w:rsidP="005208DC">
          <w:pPr>
            <w:pStyle w:val="TOC3"/>
            <w:spacing w:after="0"/>
            <w:rPr>
              <w:rFonts w:asciiTheme="majorBidi" w:eastAsiaTheme="minorEastAsia" w:hAnsiTheme="majorBidi" w:cstheme="majorBidi"/>
              <w:noProof/>
              <w:color w:val="0D0D0D" w:themeColor="text1" w:themeTint="F2"/>
              <w:lang w:val="sq-AL" w:eastAsia="sq-AL" w:bidi="he-IL"/>
            </w:rPr>
          </w:pPr>
          <w:hyperlink w:anchor="_Toc92721152" w:history="1">
            <w:r w:rsidRPr="005208DC">
              <w:rPr>
                <w:rStyle w:val="Hyperlink"/>
                <w:rFonts w:asciiTheme="majorBidi" w:hAnsiTheme="majorBidi" w:cstheme="majorBidi"/>
                <w:noProof/>
                <w:color w:val="0D0D0D" w:themeColor="text1" w:themeTint="F2"/>
                <w:lang w:val="sq-AL"/>
              </w:rPr>
              <w:t>5.2.9.</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Bujqësi, industri dhe shërbime</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_Toc92721152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69</w:t>
            </w:r>
            <w:r w:rsidRPr="005208DC">
              <w:rPr>
                <w:rFonts w:asciiTheme="majorBidi" w:hAnsiTheme="majorBidi" w:cstheme="majorBidi"/>
                <w:noProof/>
                <w:webHidden/>
                <w:color w:val="0D0D0D" w:themeColor="text1" w:themeTint="F2"/>
              </w:rPr>
              <w:fldChar w:fldCharType="end"/>
            </w:r>
          </w:hyperlink>
        </w:p>
        <w:p w14:paraId="17F02308" w14:textId="77777777" w:rsidR="005208DC" w:rsidRPr="005208DC" w:rsidRDefault="005208DC" w:rsidP="005208DC">
          <w:pPr>
            <w:pStyle w:val="TOC3"/>
            <w:tabs>
              <w:tab w:val="left" w:pos="1540"/>
            </w:tabs>
            <w:spacing w:after="0"/>
            <w:rPr>
              <w:rFonts w:asciiTheme="majorBidi" w:eastAsiaTheme="minorEastAsia" w:hAnsiTheme="majorBidi" w:cstheme="majorBidi"/>
              <w:noProof/>
              <w:color w:val="0D0D0D" w:themeColor="text1" w:themeTint="F2"/>
              <w:lang w:val="sq-AL" w:eastAsia="sq-AL" w:bidi="he-IL"/>
            </w:rPr>
          </w:pPr>
          <w:hyperlink w:anchor="_Toc92721153" w:history="1">
            <w:r w:rsidRPr="005208DC">
              <w:rPr>
                <w:rStyle w:val="Hyperlink"/>
                <w:rFonts w:asciiTheme="majorBidi" w:hAnsiTheme="majorBidi" w:cstheme="majorBidi"/>
                <w:noProof/>
                <w:color w:val="0D0D0D" w:themeColor="text1" w:themeTint="F2"/>
                <w:lang w:val="sq-AL"/>
              </w:rPr>
              <w:t>5.2.10.</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Arsimimi dhe aftësitë</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_Toc92721153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72</w:t>
            </w:r>
            <w:r w:rsidRPr="005208DC">
              <w:rPr>
                <w:rFonts w:asciiTheme="majorBidi" w:hAnsiTheme="majorBidi" w:cstheme="majorBidi"/>
                <w:noProof/>
                <w:webHidden/>
                <w:color w:val="0D0D0D" w:themeColor="text1" w:themeTint="F2"/>
              </w:rPr>
              <w:fldChar w:fldCharType="end"/>
            </w:r>
          </w:hyperlink>
        </w:p>
        <w:p w14:paraId="727CB98D" w14:textId="77777777" w:rsidR="005208DC" w:rsidRPr="005208DC" w:rsidRDefault="005208DC" w:rsidP="005208DC">
          <w:pPr>
            <w:pStyle w:val="TOC3"/>
            <w:tabs>
              <w:tab w:val="left" w:pos="1540"/>
            </w:tabs>
            <w:spacing w:after="0"/>
            <w:rPr>
              <w:rFonts w:asciiTheme="majorBidi" w:eastAsiaTheme="minorEastAsia" w:hAnsiTheme="majorBidi" w:cstheme="majorBidi"/>
              <w:noProof/>
              <w:color w:val="0D0D0D" w:themeColor="text1" w:themeTint="F2"/>
              <w:lang w:val="sq-AL" w:eastAsia="sq-AL" w:bidi="he-IL"/>
            </w:rPr>
          </w:pPr>
          <w:hyperlink w:anchor="_Toc92721154" w:history="1">
            <w:r w:rsidRPr="005208DC">
              <w:rPr>
                <w:rStyle w:val="Hyperlink"/>
                <w:rFonts w:asciiTheme="majorBidi" w:hAnsiTheme="majorBidi" w:cstheme="majorBidi"/>
                <w:noProof/>
                <w:color w:val="0D0D0D" w:themeColor="text1" w:themeTint="F2"/>
                <w:lang w:val="sq-AL"/>
              </w:rPr>
              <w:t>5.2.11.</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Punësimi dhe tregjet e punës</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_Toc92721154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82</w:t>
            </w:r>
            <w:r w:rsidRPr="005208DC">
              <w:rPr>
                <w:rFonts w:asciiTheme="majorBidi" w:hAnsiTheme="majorBidi" w:cstheme="majorBidi"/>
                <w:noProof/>
                <w:webHidden/>
                <w:color w:val="0D0D0D" w:themeColor="text1" w:themeTint="F2"/>
              </w:rPr>
              <w:fldChar w:fldCharType="end"/>
            </w:r>
          </w:hyperlink>
        </w:p>
        <w:p w14:paraId="35E759A6" w14:textId="77777777" w:rsidR="005208DC" w:rsidRPr="005208DC" w:rsidRDefault="005208DC" w:rsidP="005208DC">
          <w:pPr>
            <w:pStyle w:val="TOC3"/>
            <w:tabs>
              <w:tab w:val="left" w:pos="1540"/>
            </w:tabs>
            <w:spacing w:after="0"/>
            <w:rPr>
              <w:rFonts w:asciiTheme="majorBidi" w:eastAsiaTheme="minorEastAsia" w:hAnsiTheme="majorBidi" w:cstheme="majorBidi"/>
              <w:noProof/>
              <w:color w:val="0D0D0D" w:themeColor="text1" w:themeTint="F2"/>
              <w:lang w:val="sq-AL" w:eastAsia="sq-AL" w:bidi="he-IL"/>
            </w:rPr>
          </w:pPr>
          <w:hyperlink w:anchor="_Toc92721155" w:history="1">
            <w:r w:rsidRPr="005208DC">
              <w:rPr>
                <w:rStyle w:val="Hyperlink"/>
                <w:rFonts w:asciiTheme="majorBidi" w:hAnsiTheme="majorBidi" w:cstheme="majorBidi"/>
                <w:noProof/>
                <w:color w:val="0D0D0D" w:themeColor="text1" w:themeTint="F2"/>
                <w:lang w:val="sq-AL"/>
              </w:rPr>
              <w:t>5.2.12.</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Mbrojtja dhe përfshirja sociale</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_Toc92721155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82</w:t>
            </w:r>
            <w:r w:rsidRPr="005208DC">
              <w:rPr>
                <w:rFonts w:asciiTheme="majorBidi" w:hAnsiTheme="majorBidi" w:cstheme="majorBidi"/>
                <w:noProof/>
                <w:webHidden/>
                <w:color w:val="0D0D0D" w:themeColor="text1" w:themeTint="F2"/>
              </w:rPr>
              <w:fldChar w:fldCharType="end"/>
            </w:r>
          </w:hyperlink>
        </w:p>
        <w:p w14:paraId="0766FFDD" w14:textId="77777777" w:rsidR="005208DC" w:rsidRPr="005208DC" w:rsidRDefault="005208DC" w:rsidP="005208DC">
          <w:pPr>
            <w:pStyle w:val="TOC3"/>
            <w:tabs>
              <w:tab w:val="left" w:pos="1540"/>
            </w:tabs>
            <w:spacing w:after="0"/>
            <w:rPr>
              <w:rFonts w:asciiTheme="majorBidi" w:eastAsiaTheme="minorEastAsia" w:hAnsiTheme="majorBidi" w:cstheme="majorBidi"/>
              <w:noProof/>
              <w:color w:val="0D0D0D" w:themeColor="text1" w:themeTint="F2"/>
              <w:lang w:val="sq-AL" w:eastAsia="sq-AL" w:bidi="he-IL"/>
            </w:rPr>
          </w:pPr>
          <w:hyperlink w:anchor="_Toc92721156" w:history="1">
            <w:r w:rsidRPr="005208DC">
              <w:rPr>
                <w:rStyle w:val="Hyperlink"/>
                <w:rFonts w:asciiTheme="majorBidi" w:hAnsiTheme="majorBidi" w:cstheme="majorBidi"/>
                <w:noProof/>
                <w:color w:val="0D0D0D" w:themeColor="text1" w:themeTint="F2"/>
                <w:lang w:val="sq-AL"/>
              </w:rPr>
              <w:t>5.2.13.</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Shëndetësia</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_Toc92721156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82</w:t>
            </w:r>
            <w:r w:rsidRPr="005208DC">
              <w:rPr>
                <w:rFonts w:asciiTheme="majorBidi" w:hAnsiTheme="majorBidi" w:cstheme="majorBidi"/>
                <w:noProof/>
                <w:webHidden/>
                <w:color w:val="0D0D0D" w:themeColor="text1" w:themeTint="F2"/>
              </w:rPr>
              <w:fldChar w:fldCharType="end"/>
            </w:r>
          </w:hyperlink>
        </w:p>
        <w:p w14:paraId="15726A80" w14:textId="77777777" w:rsidR="005208DC" w:rsidRPr="005208DC" w:rsidRDefault="005208DC" w:rsidP="005208DC">
          <w:pPr>
            <w:pStyle w:val="TOC2"/>
            <w:tabs>
              <w:tab w:val="left" w:pos="880"/>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57" w:history="1">
            <w:r w:rsidRPr="005208DC">
              <w:rPr>
                <w:rStyle w:val="Hyperlink"/>
                <w:rFonts w:asciiTheme="majorBidi" w:hAnsiTheme="majorBidi" w:cstheme="majorBidi"/>
                <w:noProof/>
                <w:color w:val="0D0D0D" w:themeColor="text1" w:themeTint="F2"/>
                <w:lang w:val="sq-AL"/>
              </w:rPr>
              <w:t>5.3.</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Përmbledhje e masave të reformës</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_Toc92721157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82</w:t>
            </w:r>
            <w:r w:rsidRPr="005208DC">
              <w:rPr>
                <w:rFonts w:asciiTheme="majorBidi" w:hAnsiTheme="majorBidi" w:cstheme="majorBidi"/>
                <w:noProof/>
                <w:webHidden/>
                <w:color w:val="0D0D0D" w:themeColor="text1" w:themeTint="F2"/>
              </w:rPr>
              <w:fldChar w:fldCharType="end"/>
            </w:r>
          </w:hyperlink>
        </w:p>
        <w:p w14:paraId="616C603A" w14:textId="77777777" w:rsidR="005208DC" w:rsidRPr="005208DC" w:rsidRDefault="005208DC" w:rsidP="005208DC">
          <w:pPr>
            <w:pStyle w:val="TOC1"/>
            <w:tabs>
              <w:tab w:val="left" w:pos="567"/>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58" w:history="1">
            <w:r w:rsidRPr="005208DC">
              <w:rPr>
                <w:rStyle w:val="Hyperlink"/>
                <w:rFonts w:asciiTheme="majorBidi" w:hAnsiTheme="majorBidi" w:cstheme="majorBidi"/>
                <w:noProof/>
                <w:color w:val="0D0D0D" w:themeColor="text1" w:themeTint="F2"/>
                <w:lang w:val="sq-AL"/>
              </w:rPr>
              <w:t>6.</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KOSTIMI DHE FINANCIMI I REFORMAVE STRUKTURORE</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_Toc92721158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84</w:t>
            </w:r>
            <w:r w:rsidRPr="005208DC">
              <w:rPr>
                <w:rFonts w:asciiTheme="majorBidi" w:hAnsiTheme="majorBidi" w:cstheme="majorBidi"/>
                <w:noProof/>
                <w:webHidden/>
                <w:color w:val="0D0D0D" w:themeColor="text1" w:themeTint="F2"/>
              </w:rPr>
              <w:fldChar w:fldCharType="end"/>
            </w:r>
          </w:hyperlink>
        </w:p>
        <w:p w14:paraId="15B485F6" w14:textId="77777777" w:rsidR="005208DC" w:rsidRPr="005208DC" w:rsidRDefault="005208DC" w:rsidP="005208DC">
          <w:pPr>
            <w:pStyle w:val="TOC1"/>
            <w:tabs>
              <w:tab w:val="left" w:pos="567"/>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59" w:history="1">
            <w:r w:rsidRPr="005208DC">
              <w:rPr>
                <w:rStyle w:val="Hyperlink"/>
                <w:rFonts w:asciiTheme="majorBidi" w:hAnsiTheme="majorBidi" w:cstheme="majorBidi"/>
                <w:noProof/>
                <w:color w:val="0D0D0D" w:themeColor="text1" w:themeTint="F2"/>
                <w:lang w:val="sq-AL"/>
              </w:rPr>
              <w:t>7.</w:t>
            </w:r>
            <w:r w:rsidRPr="005208DC">
              <w:rPr>
                <w:rFonts w:asciiTheme="majorBidi" w:eastAsiaTheme="minorEastAsia" w:hAnsiTheme="majorBidi" w:cstheme="majorBidi"/>
                <w:noProof/>
                <w:color w:val="0D0D0D" w:themeColor="text1" w:themeTint="F2"/>
                <w:lang w:val="sq-AL" w:eastAsia="sq-AL" w:bidi="he-IL"/>
              </w:rPr>
              <w:tab/>
            </w:r>
            <w:r w:rsidRPr="005208DC">
              <w:rPr>
                <w:rStyle w:val="Hyperlink"/>
                <w:rFonts w:asciiTheme="majorBidi" w:hAnsiTheme="majorBidi" w:cstheme="majorBidi"/>
                <w:noProof/>
                <w:color w:val="0D0D0D" w:themeColor="text1" w:themeTint="F2"/>
                <w:lang w:val="sq-AL"/>
              </w:rPr>
              <w:t>ÇËSHTJET INSTITUCIONALE DHE PËRFSHIRJA E GRUPEVE TË INTERESIT</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_Toc92721159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85</w:t>
            </w:r>
            <w:r w:rsidRPr="005208DC">
              <w:rPr>
                <w:rFonts w:asciiTheme="majorBidi" w:hAnsiTheme="majorBidi" w:cstheme="majorBidi"/>
                <w:noProof/>
                <w:webHidden/>
                <w:color w:val="0D0D0D" w:themeColor="text1" w:themeTint="F2"/>
              </w:rPr>
              <w:fldChar w:fldCharType="end"/>
            </w:r>
          </w:hyperlink>
        </w:p>
        <w:p w14:paraId="4983EFA1" w14:textId="77777777" w:rsidR="005208DC" w:rsidRPr="005208DC" w:rsidRDefault="005208DC" w:rsidP="005208DC">
          <w:pPr>
            <w:pStyle w:val="TOC1"/>
            <w:tabs>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60" w:history="1">
            <w:r w:rsidRPr="005208DC">
              <w:rPr>
                <w:rStyle w:val="Hyperlink"/>
                <w:rFonts w:asciiTheme="majorBidi" w:hAnsiTheme="majorBidi" w:cstheme="majorBidi"/>
                <w:noProof/>
                <w:color w:val="0D0D0D" w:themeColor="text1" w:themeTint="F2"/>
                <w:lang w:val="sq-AL"/>
              </w:rPr>
              <w:t>SHTOJCA I</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_Toc92721160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86</w:t>
            </w:r>
            <w:r w:rsidRPr="005208DC">
              <w:rPr>
                <w:rFonts w:asciiTheme="majorBidi" w:hAnsiTheme="majorBidi" w:cstheme="majorBidi"/>
                <w:noProof/>
                <w:webHidden/>
                <w:color w:val="0D0D0D" w:themeColor="text1" w:themeTint="F2"/>
              </w:rPr>
              <w:fldChar w:fldCharType="end"/>
            </w:r>
          </w:hyperlink>
        </w:p>
        <w:p w14:paraId="658CD558" w14:textId="77777777" w:rsidR="005208DC" w:rsidRPr="005208DC" w:rsidRDefault="005208DC" w:rsidP="005208DC">
          <w:pPr>
            <w:pStyle w:val="TOC2"/>
            <w:tabs>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61" w:history="1">
            <w:r w:rsidRPr="005208DC">
              <w:rPr>
                <w:rStyle w:val="Hyperlink"/>
                <w:rFonts w:asciiTheme="majorBidi" w:hAnsiTheme="majorBidi" w:cstheme="majorBidi"/>
                <w:noProof/>
                <w:color w:val="0D0D0D" w:themeColor="text1" w:themeTint="F2"/>
                <w:lang w:val="sq-AL"/>
              </w:rPr>
              <w:t>Tabela 9a: Tabela e treguesve socialë</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_Toc92721161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86</w:t>
            </w:r>
            <w:r w:rsidRPr="005208DC">
              <w:rPr>
                <w:rFonts w:asciiTheme="majorBidi" w:hAnsiTheme="majorBidi" w:cstheme="majorBidi"/>
                <w:noProof/>
                <w:webHidden/>
                <w:color w:val="0D0D0D" w:themeColor="text1" w:themeTint="F2"/>
              </w:rPr>
              <w:fldChar w:fldCharType="end"/>
            </w:r>
          </w:hyperlink>
        </w:p>
        <w:p w14:paraId="66E17359" w14:textId="77777777" w:rsidR="005208DC" w:rsidRPr="005208DC" w:rsidRDefault="005208DC" w:rsidP="005208DC">
          <w:pPr>
            <w:pStyle w:val="TOC2"/>
            <w:tabs>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62" w:history="1">
            <w:r w:rsidRPr="005208DC">
              <w:rPr>
                <w:rStyle w:val="Hyperlink"/>
                <w:rFonts w:asciiTheme="majorBidi" w:hAnsiTheme="majorBidi" w:cstheme="majorBidi"/>
                <w:noProof/>
                <w:color w:val="0D0D0D" w:themeColor="text1" w:themeTint="F2"/>
                <w:lang w:val="sq-AL"/>
              </w:rPr>
              <w:t>Tabela 9b: Tregues të tjerë</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_Toc92721162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87</w:t>
            </w:r>
            <w:r w:rsidRPr="005208DC">
              <w:rPr>
                <w:rFonts w:asciiTheme="majorBidi" w:hAnsiTheme="majorBidi" w:cstheme="majorBidi"/>
                <w:noProof/>
                <w:webHidden/>
                <w:color w:val="0D0D0D" w:themeColor="text1" w:themeTint="F2"/>
              </w:rPr>
              <w:fldChar w:fldCharType="end"/>
            </w:r>
          </w:hyperlink>
        </w:p>
        <w:p w14:paraId="72130A20" w14:textId="77777777" w:rsidR="005208DC" w:rsidRPr="005208DC" w:rsidRDefault="005208DC" w:rsidP="005208DC">
          <w:pPr>
            <w:pStyle w:val="TOC2"/>
            <w:tabs>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63" w:history="1">
            <w:r w:rsidRPr="005208DC">
              <w:rPr>
                <w:rStyle w:val="Hyperlink"/>
                <w:rFonts w:asciiTheme="majorBidi" w:hAnsiTheme="majorBidi" w:cstheme="majorBidi"/>
                <w:noProof/>
                <w:color w:val="0D0D0D" w:themeColor="text1" w:themeTint="F2"/>
                <w:lang w:val="sq-AL"/>
              </w:rPr>
              <w:t>Tabela 10a: Kostimi i masave të reformave strukturore (në EUR)</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_Toc92721163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89</w:t>
            </w:r>
            <w:r w:rsidRPr="005208DC">
              <w:rPr>
                <w:rFonts w:asciiTheme="majorBidi" w:hAnsiTheme="majorBidi" w:cstheme="majorBidi"/>
                <w:noProof/>
                <w:webHidden/>
                <w:color w:val="0D0D0D" w:themeColor="text1" w:themeTint="F2"/>
              </w:rPr>
              <w:fldChar w:fldCharType="end"/>
            </w:r>
          </w:hyperlink>
        </w:p>
        <w:p w14:paraId="5F7863EF" w14:textId="77777777" w:rsidR="005208DC" w:rsidRPr="005208DC" w:rsidRDefault="005208DC" w:rsidP="005208DC">
          <w:pPr>
            <w:pStyle w:val="TOC3"/>
            <w:spacing w:after="0"/>
            <w:rPr>
              <w:rFonts w:asciiTheme="majorBidi" w:eastAsiaTheme="minorEastAsia" w:hAnsiTheme="majorBidi" w:cstheme="majorBidi"/>
              <w:noProof/>
              <w:color w:val="0D0D0D" w:themeColor="text1" w:themeTint="F2"/>
              <w:lang w:val="sq-AL" w:eastAsia="sq-AL" w:bidi="he-IL"/>
            </w:rPr>
          </w:pPr>
          <w:hyperlink w:anchor="_Toc92721164" w:history="1">
            <w:r w:rsidRPr="005208DC">
              <w:rPr>
                <w:rStyle w:val="Hyperlink"/>
                <w:rFonts w:asciiTheme="majorBidi" w:hAnsiTheme="majorBidi" w:cstheme="majorBidi"/>
                <w:noProof/>
                <w:color w:val="0D0D0D" w:themeColor="text1" w:themeTint="F2"/>
                <w:lang w:val="sq-AL"/>
              </w:rPr>
              <w:t>Sfidat Kyçe</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_Toc92721164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89</w:t>
            </w:r>
            <w:r w:rsidRPr="005208DC">
              <w:rPr>
                <w:rFonts w:asciiTheme="majorBidi" w:hAnsiTheme="majorBidi" w:cstheme="majorBidi"/>
                <w:noProof/>
                <w:webHidden/>
                <w:color w:val="0D0D0D" w:themeColor="text1" w:themeTint="F2"/>
              </w:rPr>
              <w:fldChar w:fldCharType="end"/>
            </w:r>
          </w:hyperlink>
        </w:p>
        <w:p w14:paraId="289EC0D6" w14:textId="77777777" w:rsidR="005208DC" w:rsidRPr="005208DC" w:rsidRDefault="005208DC" w:rsidP="005208DC">
          <w:pPr>
            <w:pStyle w:val="TOC3"/>
            <w:spacing w:after="0"/>
            <w:rPr>
              <w:rFonts w:asciiTheme="majorBidi" w:eastAsiaTheme="minorEastAsia" w:hAnsiTheme="majorBidi" w:cstheme="majorBidi"/>
              <w:noProof/>
              <w:color w:val="0D0D0D" w:themeColor="text1" w:themeTint="F2"/>
              <w:lang w:val="sq-AL" w:eastAsia="sq-AL" w:bidi="he-IL"/>
            </w:rPr>
          </w:pPr>
          <w:hyperlink w:anchor="_Toc92721165" w:history="1">
            <w:r w:rsidRPr="005208DC">
              <w:rPr>
                <w:rStyle w:val="Hyperlink"/>
                <w:rFonts w:asciiTheme="majorBidi" w:hAnsiTheme="majorBidi" w:cstheme="majorBidi"/>
                <w:noProof/>
                <w:color w:val="0D0D0D" w:themeColor="text1" w:themeTint="F2"/>
                <w:lang w:val="sq-AL"/>
              </w:rPr>
              <w:t>Fushat e tjera</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_Toc92721165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90</w:t>
            </w:r>
            <w:r w:rsidRPr="005208DC">
              <w:rPr>
                <w:rFonts w:asciiTheme="majorBidi" w:hAnsiTheme="majorBidi" w:cstheme="majorBidi"/>
                <w:noProof/>
                <w:webHidden/>
                <w:color w:val="0D0D0D" w:themeColor="text1" w:themeTint="F2"/>
              </w:rPr>
              <w:fldChar w:fldCharType="end"/>
            </w:r>
          </w:hyperlink>
        </w:p>
        <w:p w14:paraId="6D5892A1" w14:textId="77777777" w:rsidR="005208DC" w:rsidRPr="005208DC" w:rsidRDefault="005208DC" w:rsidP="005208DC">
          <w:pPr>
            <w:pStyle w:val="TOC2"/>
            <w:tabs>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66" w:history="1">
            <w:r w:rsidRPr="005208DC">
              <w:rPr>
                <w:rStyle w:val="Hyperlink"/>
                <w:rFonts w:asciiTheme="majorBidi" w:hAnsiTheme="majorBidi" w:cstheme="majorBidi"/>
                <w:noProof/>
                <w:color w:val="0D0D0D" w:themeColor="text1" w:themeTint="F2"/>
                <w:lang w:val="sq-AL"/>
              </w:rPr>
              <w:t>Tabela 10b: Financimi i masave të reformave strukturore</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_Toc92721166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91</w:t>
            </w:r>
            <w:r w:rsidRPr="005208DC">
              <w:rPr>
                <w:rFonts w:asciiTheme="majorBidi" w:hAnsiTheme="majorBidi" w:cstheme="majorBidi"/>
                <w:noProof/>
                <w:webHidden/>
                <w:color w:val="0D0D0D" w:themeColor="text1" w:themeTint="F2"/>
              </w:rPr>
              <w:fldChar w:fldCharType="end"/>
            </w:r>
          </w:hyperlink>
        </w:p>
        <w:p w14:paraId="79FE0FDD" w14:textId="77777777" w:rsidR="005208DC" w:rsidRPr="005208DC" w:rsidRDefault="005208DC" w:rsidP="005208DC">
          <w:pPr>
            <w:pStyle w:val="TOC3"/>
            <w:spacing w:after="0"/>
            <w:rPr>
              <w:rFonts w:asciiTheme="majorBidi" w:eastAsiaTheme="minorEastAsia" w:hAnsiTheme="majorBidi" w:cstheme="majorBidi"/>
              <w:noProof/>
              <w:color w:val="0D0D0D" w:themeColor="text1" w:themeTint="F2"/>
              <w:lang w:val="sq-AL" w:eastAsia="sq-AL" w:bidi="he-IL"/>
            </w:rPr>
          </w:pPr>
          <w:hyperlink w:anchor="_Toc92721167" w:history="1">
            <w:r w:rsidRPr="005208DC">
              <w:rPr>
                <w:rStyle w:val="Hyperlink"/>
                <w:rFonts w:asciiTheme="majorBidi" w:hAnsiTheme="majorBidi" w:cstheme="majorBidi"/>
                <w:noProof/>
                <w:color w:val="0D0D0D" w:themeColor="text1" w:themeTint="F2"/>
                <w:lang w:val="sq-AL"/>
              </w:rPr>
              <w:t>Sfidat Kyçe</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_Toc92721167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91</w:t>
            </w:r>
            <w:r w:rsidRPr="005208DC">
              <w:rPr>
                <w:rFonts w:asciiTheme="majorBidi" w:hAnsiTheme="majorBidi" w:cstheme="majorBidi"/>
                <w:noProof/>
                <w:webHidden/>
                <w:color w:val="0D0D0D" w:themeColor="text1" w:themeTint="F2"/>
              </w:rPr>
              <w:fldChar w:fldCharType="end"/>
            </w:r>
          </w:hyperlink>
        </w:p>
        <w:p w14:paraId="22B38859" w14:textId="77777777" w:rsidR="005208DC" w:rsidRPr="005208DC" w:rsidRDefault="005208DC" w:rsidP="005208DC">
          <w:pPr>
            <w:pStyle w:val="TOC3"/>
            <w:spacing w:after="0"/>
            <w:rPr>
              <w:rFonts w:asciiTheme="majorBidi" w:eastAsiaTheme="minorEastAsia" w:hAnsiTheme="majorBidi" w:cstheme="majorBidi"/>
              <w:noProof/>
              <w:color w:val="0D0D0D" w:themeColor="text1" w:themeTint="F2"/>
              <w:lang w:val="sq-AL" w:eastAsia="sq-AL" w:bidi="he-IL"/>
            </w:rPr>
          </w:pPr>
          <w:hyperlink w:anchor="_Toc92721168" w:history="1">
            <w:r w:rsidRPr="005208DC">
              <w:rPr>
                <w:rStyle w:val="Hyperlink"/>
                <w:rFonts w:asciiTheme="majorBidi" w:hAnsiTheme="majorBidi" w:cstheme="majorBidi"/>
                <w:noProof/>
                <w:color w:val="0D0D0D" w:themeColor="text1" w:themeTint="F2"/>
                <w:lang w:val="sq-AL"/>
              </w:rPr>
              <w:t>Fushat e tjera</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_Toc92721168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93</w:t>
            </w:r>
            <w:r w:rsidRPr="005208DC">
              <w:rPr>
                <w:rFonts w:asciiTheme="majorBidi" w:hAnsiTheme="majorBidi" w:cstheme="majorBidi"/>
                <w:noProof/>
                <w:webHidden/>
                <w:color w:val="0D0D0D" w:themeColor="text1" w:themeTint="F2"/>
              </w:rPr>
              <w:fldChar w:fldCharType="end"/>
            </w:r>
          </w:hyperlink>
        </w:p>
        <w:p w14:paraId="5C8289EF" w14:textId="77777777" w:rsidR="005208DC" w:rsidRPr="005208DC" w:rsidRDefault="005208DC" w:rsidP="005208DC">
          <w:pPr>
            <w:pStyle w:val="TOC2"/>
            <w:tabs>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69" w:history="1">
            <w:r w:rsidRPr="005208DC">
              <w:rPr>
                <w:rStyle w:val="Hyperlink"/>
                <w:rFonts w:asciiTheme="majorBidi" w:hAnsiTheme="majorBidi" w:cstheme="majorBidi"/>
                <w:noProof/>
                <w:color w:val="0D0D0D" w:themeColor="text1" w:themeTint="F2"/>
                <w:lang w:val="sq-AL"/>
              </w:rPr>
              <w:t>Tabela 11: Raportimi mbi zbatimin e masave të reformave strukturore të ERP 2021-2023</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_Toc92721169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95</w:t>
            </w:r>
            <w:r w:rsidRPr="005208DC">
              <w:rPr>
                <w:rFonts w:asciiTheme="majorBidi" w:hAnsiTheme="majorBidi" w:cstheme="majorBidi"/>
                <w:noProof/>
                <w:webHidden/>
                <w:color w:val="0D0D0D" w:themeColor="text1" w:themeTint="F2"/>
              </w:rPr>
              <w:fldChar w:fldCharType="end"/>
            </w:r>
          </w:hyperlink>
        </w:p>
        <w:p w14:paraId="16F27A3B" w14:textId="77777777" w:rsidR="005208DC" w:rsidRPr="005208DC" w:rsidRDefault="005208DC" w:rsidP="005208DC">
          <w:pPr>
            <w:pStyle w:val="TOC1"/>
            <w:tabs>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70" w:history="1">
            <w:r w:rsidRPr="005208DC">
              <w:rPr>
                <w:rStyle w:val="Hyperlink"/>
                <w:rFonts w:asciiTheme="majorBidi" w:hAnsiTheme="majorBidi" w:cstheme="majorBidi"/>
                <w:noProof/>
                <w:color w:val="0D0D0D" w:themeColor="text1" w:themeTint="F2"/>
                <w:lang w:val="sq-AL"/>
              </w:rPr>
              <w:t>SHTOJCA II</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_Toc92721170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105</w:t>
            </w:r>
            <w:r w:rsidRPr="005208DC">
              <w:rPr>
                <w:rFonts w:asciiTheme="majorBidi" w:hAnsiTheme="majorBidi" w:cstheme="majorBidi"/>
                <w:noProof/>
                <w:webHidden/>
                <w:color w:val="0D0D0D" w:themeColor="text1" w:themeTint="F2"/>
              </w:rPr>
              <w:fldChar w:fldCharType="end"/>
            </w:r>
          </w:hyperlink>
        </w:p>
        <w:p w14:paraId="6F47EC31" w14:textId="77777777" w:rsidR="005208DC" w:rsidRPr="005208DC" w:rsidRDefault="005208DC" w:rsidP="005208DC">
          <w:pPr>
            <w:pStyle w:val="TOC1"/>
            <w:tabs>
              <w:tab w:val="right" w:leader="dot" w:pos="10450"/>
            </w:tabs>
            <w:spacing w:after="0"/>
            <w:rPr>
              <w:rFonts w:asciiTheme="majorBidi" w:eastAsiaTheme="minorEastAsia" w:hAnsiTheme="majorBidi" w:cstheme="majorBidi"/>
              <w:noProof/>
              <w:color w:val="0D0D0D" w:themeColor="text1" w:themeTint="F2"/>
              <w:lang w:val="sq-AL" w:eastAsia="sq-AL" w:bidi="he-IL"/>
            </w:rPr>
          </w:pPr>
          <w:hyperlink w:anchor="_Toc92721171" w:history="1">
            <w:r w:rsidRPr="005208DC">
              <w:rPr>
                <w:rStyle w:val="Hyperlink"/>
                <w:rFonts w:asciiTheme="majorBidi" w:hAnsiTheme="majorBidi" w:cstheme="majorBidi"/>
                <w:noProof/>
                <w:color w:val="0D0D0D" w:themeColor="text1" w:themeTint="F2"/>
                <w:lang w:val="sq-AL"/>
              </w:rPr>
              <w:t>SHTOJCA III</w:t>
            </w:r>
            <w:r w:rsidRPr="005208DC">
              <w:rPr>
                <w:rFonts w:asciiTheme="majorBidi" w:hAnsiTheme="majorBidi" w:cstheme="majorBidi"/>
                <w:noProof/>
                <w:webHidden/>
                <w:color w:val="0D0D0D" w:themeColor="text1" w:themeTint="F2"/>
              </w:rPr>
              <w:tab/>
            </w:r>
            <w:r w:rsidRPr="005208DC">
              <w:rPr>
                <w:rFonts w:asciiTheme="majorBidi" w:hAnsiTheme="majorBidi" w:cstheme="majorBidi"/>
                <w:noProof/>
                <w:webHidden/>
                <w:color w:val="0D0D0D" w:themeColor="text1" w:themeTint="F2"/>
              </w:rPr>
              <w:fldChar w:fldCharType="begin"/>
            </w:r>
            <w:r w:rsidRPr="005208DC">
              <w:rPr>
                <w:rFonts w:asciiTheme="majorBidi" w:hAnsiTheme="majorBidi" w:cstheme="majorBidi"/>
                <w:noProof/>
                <w:webHidden/>
                <w:color w:val="0D0D0D" w:themeColor="text1" w:themeTint="F2"/>
              </w:rPr>
              <w:instrText xml:space="preserve"> PAGEREF _Toc92721171 \h </w:instrText>
            </w:r>
            <w:r w:rsidRPr="005208DC">
              <w:rPr>
                <w:rFonts w:asciiTheme="majorBidi" w:hAnsiTheme="majorBidi" w:cstheme="majorBidi"/>
                <w:noProof/>
                <w:webHidden/>
                <w:color w:val="0D0D0D" w:themeColor="text1" w:themeTint="F2"/>
              </w:rPr>
            </w:r>
            <w:r w:rsidRPr="005208DC">
              <w:rPr>
                <w:rFonts w:asciiTheme="majorBidi" w:hAnsiTheme="majorBidi" w:cstheme="majorBidi"/>
                <w:noProof/>
                <w:webHidden/>
                <w:color w:val="0D0D0D" w:themeColor="text1" w:themeTint="F2"/>
              </w:rPr>
              <w:fldChar w:fldCharType="separate"/>
            </w:r>
            <w:r w:rsidRPr="005208DC">
              <w:rPr>
                <w:rFonts w:asciiTheme="majorBidi" w:hAnsiTheme="majorBidi" w:cstheme="majorBidi"/>
                <w:noProof/>
                <w:webHidden/>
                <w:color w:val="0D0D0D" w:themeColor="text1" w:themeTint="F2"/>
              </w:rPr>
              <w:t>110</w:t>
            </w:r>
            <w:r w:rsidRPr="005208DC">
              <w:rPr>
                <w:rFonts w:asciiTheme="majorBidi" w:hAnsiTheme="majorBidi" w:cstheme="majorBidi"/>
                <w:noProof/>
                <w:webHidden/>
                <w:color w:val="0D0D0D" w:themeColor="text1" w:themeTint="F2"/>
              </w:rPr>
              <w:fldChar w:fldCharType="end"/>
            </w:r>
          </w:hyperlink>
        </w:p>
        <w:p w14:paraId="0E0C782F" w14:textId="62C0AA9B" w:rsidR="00236494" w:rsidRPr="005208DC" w:rsidRDefault="00236494" w:rsidP="005208DC">
          <w:pP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fldChar w:fldCharType="end"/>
          </w:r>
        </w:p>
      </w:sdtContent>
    </w:sdt>
    <w:p w14:paraId="2E462728" w14:textId="77777777" w:rsidR="00EB1E05" w:rsidRPr="005208DC" w:rsidRDefault="00EB1E05" w:rsidP="00857902">
      <w:pPr>
        <w:snapToGrid w:val="0"/>
        <w:rPr>
          <w:rFonts w:asciiTheme="majorBidi" w:hAnsiTheme="majorBidi" w:cstheme="majorBidi"/>
          <w:color w:val="0D0D0D" w:themeColor="text1" w:themeTint="F2"/>
          <w:lang w:val="sq-AL"/>
        </w:rPr>
        <w:sectPr w:rsidR="00EB1E05" w:rsidRPr="005208DC" w:rsidSect="00F27C55">
          <w:pgSz w:w="11900" w:h="16840"/>
          <w:pgMar w:top="720" w:right="720" w:bottom="720" w:left="720" w:header="567" w:footer="567" w:gutter="0"/>
          <w:cols w:space="708"/>
          <w:titlePg/>
          <w:docGrid w:linePitch="360"/>
        </w:sectPr>
      </w:pPr>
    </w:p>
    <w:p w14:paraId="6A9CE13D" w14:textId="4558E8BC" w:rsidR="00DF1828" w:rsidRPr="005208DC" w:rsidRDefault="004D1F24" w:rsidP="00857902">
      <w:pPr>
        <w:pStyle w:val="Heading1"/>
        <w:numPr>
          <w:ilvl w:val="0"/>
          <w:numId w:val="1"/>
        </w:numPr>
        <w:snapToGrid w:val="0"/>
        <w:rPr>
          <w:rFonts w:asciiTheme="majorBidi" w:hAnsiTheme="majorBidi" w:cstheme="majorBidi"/>
          <w:color w:val="0D0D0D" w:themeColor="text1" w:themeTint="F2"/>
          <w:lang w:val="sq-AL"/>
        </w:rPr>
      </w:pPr>
      <w:bookmarkStart w:id="0" w:name="_Toc484076167"/>
      <w:bookmarkStart w:id="1" w:name="_Toc62805569"/>
      <w:bookmarkStart w:id="2" w:name="_Toc92721115"/>
      <w:r w:rsidRPr="005208DC">
        <w:rPr>
          <w:rFonts w:asciiTheme="majorBidi" w:hAnsiTheme="majorBidi" w:cstheme="majorBidi"/>
          <w:color w:val="0D0D0D" w:themeColor="text1" w:themeTint="F2"/>
          <w:lang w:val="sq-AL"/>
        </w:rPr>
        <w:t>KUADRI I PËRGJITHSHËM POLITIK DHE OBJEKTIVAT</w:t>
      </w:r>
      <w:bookmarkEnd w:id="0"/>
      <w:bookmarkEnd w:id="1"/>
      <w:bookmarkEnd w:id="2"/>
    </w:p>
    <w:p w14:paraId="1C310939" w14:textId="125CE10A" w:rsidR="002253AA" w:rsidRPr="005208DC" w:rsidRDefault="002253AA" w:rsidP="00857902">
      <w:pPr>
        <w:jc w:val="both"/>
        <w:rPr>
          <w:rFonts w:asciiTheme="majorBidi" w:hAnsiTheme="majorBidi" w:cstheme="majorBidi"/>
          <w:color w:val="0D0D0D" w:themeColor="text1" w:themeTint="F2"/>
          <w:lang w:val="sq-AL"/>
        </w:rPr>
      </w:pPr>
    </w:p>
    <w:p w14:paraId="4B03E486" w14:textId="77777777" w:rsidR="002253AA" w:rsidRPr="005208DC" w:rsidRDefault="002253AA" w:rsidP="00857902">
      <w:pPr>
        <w:snapToGrid w:val="0"/>
        <w:jc w:val="both"/>
        <w:rPr>
          <w:rFonts w:asciiTheme="majorBidi" w:hAnsiTheme="majorBidi" w:cstheme="majorBidi"/>
          <w:color w:val="0D0D0D" w:themeColor="text1" w:themeTint="F2"/>
          <w:lang w:val="sq-AL"/>
        </w:rPr>
      </w:pPr>
    </w:p>
    <w:p w14:paraId="30ECA0B6" w14:textId="77777777" w:rsidR="00EB1E05" w:rsidRPr="005208DC" w:rsidRDefault="00EB1E05" w:rsidP="00857902">
      <w:pPr>
        <w:snapToGrid w:val="0"/>
        <w:jc w:val="both"/>
        <w:rPr>
          <w:rFonts w:asciiTheme="majorBidi" w:hAnsiTheme="majorBidi" w:cstheme="majorBidi"/>
          <w:color w:val="0D0D0D" w:themeColor="text1" w:themeTint="F2"/>
          <w:lang w:val="sq-AL"/>
        </w:rPr>
        <w:sectPr w:rsidR="00EB1E05" w:rsidRPr="005208DC" w:rsidSect="00F27C55">
          <w:pgSz w:w="11900" w:h="16840"/>
          <w:pgMar w:top="720" w:right="720" w:bottom="720" w:left="720" w:header="567" w:footer="567" w:gutter="0"/>
          <w:cols w:space="708"/>
          <w:titlePg/>
          <w:docGrid w:linePitch="360"/>
        </w:sectPr>
      </w:pPr>
    </w:p>
    <w:p w14:paraId="76C28A41" w14:textId="3EF40853" w:rsidR="00EE2F1D" w:rsidRPr="005208DC" w:rsidRDefault="004D1F24" w:rsidP="00857902">
      <w:pPr>
        <w:pStyle w:val="Heading1"/>
        <w:numPr>
          <w:ilvl w:val="0"/>
          <w:numId w:val="1"/>
        </w:numPr>
        <w:snapToGrid w:val="0"/>
        <w:rPr>
          <w:rFonts w:asciiTheme="majorBidi" w:hAnsiTheme="majorBidi" w:cstheme="majorBidi"/>
          <w:color w:val="0D0D0D" w:themeColor="text1" w:themeTint="F2"/>
          <w:lang w:val="sq-AL"/>
        </w:rPr>
      </w:pPr>
      <w:bookmarkStart w:id="3" w:name="_Toc62805570"/>
      <w:bookmarkStart w:id="4" w:name="_Toc484076168"/>
      <w:bookmarkStart w:id="5" w:name="_Toc92721116"/>
      <w:r w:rsidRPr="005208DC">
        <w:rPr>
          <w:rFonts w:asciiTheme="majorBidi" w:hAnsiTheme="majorBidi" w:cstheme="majorBidi"/>
          <w:color w:val="0D0D0D" w:themeColor="text1" w:themeTint="F2"/>
          <w:lang w:val="sq-AL"/>
        </w:rPr>
        <w:t>ZBATIMI I UDHËZIMEVE POLITIKE</w:t>
      </w:r>
      <w:bookmarkEnd w:id="3"/>
      <w:bookmarkEnd w:id="5"/>
    </w:p>
    <w:p w14:paraId="17DE9A4A" w14:textId="77777777" w:rsidR="00EE2F1D" w:rsidRPr="005208DC" w:rsidRDefault="00EE2F1D" w:rsidP="00857902">
      <w:pPr>
        <w:snapToGrid w:val="0"/>
        <w:rPr>
          <w:rFonts w:asciiTheme="majorBidi" w:hAnsiTheme="majorBidi" w:cstheme="majorBidi"/>
          <w:color w:val="0D0D0D" w:themeColor="text1" w:themeTint="F2"/>
          <w:lang w:val="sq-AL"/>
        </w:rPr>
      </w:pPr>
    </w:p>
    <w:p w14:paraId="273E8F02" w14:textId="3C988E74" w:rsidR="001B78FB" w:rsidRPr="005208DC" w:rsidRDefault="00A96FF1" w:rsidP="00857902">
      <w:pPr>
        <w:pStyle w:val="Heading2"/>
        <w:ind w:left="0"/>
        <w:rPr>
          <w:rFonts w:asciiTheme="majorBidi" w:hAnsiTheme="majorBidi" w:cstheme="majorBidi"/>
          <w:b/>
          <w:color w:val="0D0D0D" w:themeColor="text1" w:themeTint="F2"/>
          <w:lang w:val="sq-AL"/>
        </w:rPr>
      </w:pPr>
      <w:bookmarkStart w:id="6" w:name="_Toc62805571"/>
      <w:bookmarkStart w:id="7" w:name="_Toc92721117"/>
      <w:r w:rsidRPr="005208DC">
        <w:rPr>
          <w:rFonts w:asciiTheme="majorBidi" w:hAnsiTheme="majorBidi" w:cstheme="majorBidi"/>
          <w:b/>
          <w:color w:val="0D0D0D" w:themeColor="text1" w:themeTint="F2"/>
          <w:lang w:val="sq-AL"/>
        </w:rPr>
        <w:t>Rekomandimi</w:t>
      </w:r>
      <w:r w:rsidR="00626FE1" w:rsidRPr="005208DC">
        <w:rPr>
          <w:rFonts w:asciiTheme="majorBidi" w:hAnsiTheme="majorBidi" w:cstheme="majorBidi"/>
          <w:b/>
          <w:color w:val="0D0D0D" w:themeColor="text1" w:themeTint="F2"/>
          <w:lang w:val="sq-AL"/>
        </w:rPr>
        <w:t xml:space="preserve"> </w:t>
      </w:r>
      <w:r w:rsidR="006E790C" w:rsidRPr="005208DC">
        <w:rPr>
          <w:rFonts w:asciiTheme="majorBidi" w:hAnsiTheme="majorBidi" w:cstheme="majorBidi"/>
          <w:b/>
          <w:color w:val="0D0D0D" w:themeColor="text1" w:themeTint="F2"/>
          <w:lang w:val="sq-AL"/>
        </w:rPr>
        <w:t>1</w:t>
      </w:r>
      <w:bookmarkEnd w:id="6"/>
      <w:bookmarkEnd w:id="7"/>
    </w:p>
    <w:p w14:paraId="01142D26" w14:textId="77E7E703" w:rsidR="00D830F5" w:rsidRPr="005208DC" w:rsidRDefault="001B78FB" w:rsidP="00D830F5">
      <w:pPr>
        <w:snapToGrid w:val="0"/>
        <w:rPr>
          <w:rFonts w:asciiTheme="majorBidi" w:hAnsiTheme="majorBidi" w:cstheme="majorBidi"/>
          <w:b/>
          <w:i/>
          <w:color w:val="0D0D0D" w:themeColor="text1" w:themeTint="F2"/>
          <w:lang w:val="sq-AL"/>
        </w:rPr>
      </w:pPr>
      <w:r w:rsidRPr="005208DC">
        <w:rPr>
          <w:rFonts w:asciiTheme="majorBidi" w:hAnsiTheme="majorBidi" w:cstheme="majorBidi"/>
          <w:b/>
          <w:i/>
          <w:color w:val="0D0D0D" w:themeColor="text1" w:themeTint="F2"/>
          <w:lang w:val="sq-AL"/>
        </w:rPr>
        <w:t>1.1</w:t>
      </w:r>
      <w:r w:rsidR="00626FE1" w:rsidRPr="005208DC">
        <w:rPr>
          <w:rFonts w:asciiTheme="majorBidi" w:hAnsiTheme="majorBidi" w:cstheme="majorBidi"/>
          <w:b/>
          <w:i/>
          <w:color w:val="0D0D0D" w:themeColor="text1" w:themeTint="F2"/>
          <w:lang w:val="sq-AL"/>
        </w:rPr>
        <w:t xml:space="preserve"> </w:t>
      </w:r>
      <w:r w:rsidR="00D830F5" w:rsidRPr="005208DC">
        <w:rPr>
          <w:rFonts w:asciiTheme="majorBidi" w:hAnsiTheme="majorBidi" w:cstheme="majorBidi"/>
          <w:b/>
          <w:i/>
          <w:color w:val="0D0D0D" w:themeColor="text1" w:themeTint="F2"/>
          <w:lang w:val="sq-AL"/>
        </w:rPr>
        <w:t>Me kusht që rimëkëmbja ekonomike të rrënjoset mirë, parashikoni në buxhetin e vitit 2022 dhe planin fiskal afatmesëm një ulje graduale të raportit të borxhit publik dhe, bazuar në një parashikim realist të të ardhurave, një kthim në një bilanc primar pozitiv që nga viti 2023 në përputhje. me rregullin fiskal përkatës</w:t>
      </w:r>
    </w:p>
    <w:p w14:paraId="16ECB673" w14:textId="77777777" w:rsidR="00BA3C0E" w:rsidRPr="005208DC" w:rsidRDefault="00BA3C0E" w:rsidP="00857902">
      <w:pPr>
        <w:snapToGrid w:val="0"/>
        <w:rPr>
          <w:rFonts w:asciiTheme="majorBidi" w:hAnsiTheme="majorBidi" w:cstheme="majorBidi"/>
          <w:color w:val="0D0D0D" w:themeColor="text1" w:themeTint="F2"/>
          <w:lang w:val="sq-AL"/>
        </w:rPr>
      </w:pPr>
    </w:p>
    <w:p w14:paraId="59FB9AD2" w14:textId="6D9516EA" w:rsidR="00D830F5" w:rsidRPr="005208DC" w:rsidRDefault="001B78FB" w:rsidP="00D830F5">
      <w:pPr>
        <w:snapToGrid w:val="0"/>
        <w:rPr>
          <w:rFonts w:asciiTheme="majorBidi" w:hAnsiTheme="majorBidi" w:cstheme="majorBidi"/>
          <w:b/>
          <w:i/>
          <w:color w:val="0D0D0D" w:themeColor="text1" w:themeTint="F2"/>
          <w:lang w:val="sq-AL"/>
        </w:rPr>
      </w:pPr>
      <w:r w:rsidRPr="005208DC">
        <w:rPr>
          <w:rFonts w:asciiTheme="majorBidi" w:hAnsiTheme="majorBidi" w:cstheme="majorBidi"/>
          <w:b/>
          <w:i/>
          <w:color w:val="0D0D0D" w:themeColor="text1" w:themeTint="F2"/>
          <w:lang w:val="sq-AL"/>
        </w:rPr>
        <w:t>1.2</w:t>
      </w:r>
      <w:r w:rsidR="00626FE1" w:rsidRPr="005208DC">
        <w:rPr>
          <w:rFonts w:asciiTheme="majorBidi" w:hAnsiTheme="majorBidi" w:cstheme="majorBidi"/>
          <w:b/>
          <w:i/>
          <w:color w:val="0D0D0D" w:themeColor="text1" w:themeTint="F2"/>
          <w:lang w:val="sq-AL"/>
        </w:rPr>
        <w:t xml:space="preserve"> </w:t>
      </w:r>
      <w:r w:rsidR="00D830F5" w:rsidRPr="005208DC">
        <w:rPr>
          <w:rFonts w:asciiTheme="majorBidi" w:hAnsiTheme="majorBidi" w:cstheme="majorBidi"/>
          <w:b/>
          <w:i/>
          <w:color w:val="0D0D0D" w:themeColor="text1" w:themeTint="F2"/>
          <w:lang w:val="sq-AL"/>
        </w:rPr>
        <w:t>Përfundimi i Strategjisë Afatmesme të të Ardhurave dhe fillimi i zbatimit të saj në përputhje me marrëveshjen e komitetit ndërministror, por jo më vonë se dorëzimi i ERP-së të ardhshëm</w:t>
      </w:r>
    </w:p>
    <w:p w14:paraId="2D9DBB28" w14:textId="77777777" w:rsidR="001F759C" w:rsidRPr="005208DC" w:rsidRDefault="001F759C" w:rsidP="00857902">
      <w:pPr>
        <w:snapToGrid w:val="0"/>
        <w:rPr>
          <w:rFonts w:asciiTheme="majorBidi" w:eastAsia="Times New Roman" w:hAnsiTheme="majorBidi" w:cstheme="majorBidi"/>
          <w:color w:val="0D0D0D" w:themeColor="text1" w:themeTint="F2"/>
          <w:lang w:val="sq-AL" w:eastAsia="en-GB"/>
        </w:rPr>
      </w:pPr>
    </w:p>
    <w:p w14:paraId="1721AB33" w14:textId="446D170D" w:rsidR="001F759C" w:rsidRPr="005208DC" w:rsidRDefault="001B78FB" w:rsidP="00D830F5">
      <w:pPr>
        <w:snapToGrid w:val="0"/>
        <w:rPr>
          <w:rFonts w:asciiTheme="majorBidi" w:hAnsiTheme="majorBidi" w:cstheme="majorBidi"/>
          <w:color w:val="0D0D0D" w:themeColor="text1" w:themeTint="F2"/>
          <w:lang w:val="sq-AL"/>
        </w:rPr>
      </w:pPr>
      <w:r w:rsidRPr="005208DC">
        <w:rPr>
          <w:rFonts w:asciiTheme="majorBidi" w:hAnsiTheme="majorBidi" w:cstheme="majorBidi"/>
          <w:b/>
          <w:i/>
          <w:color w:val="0D0D0D" w:themeColor="text1" w:themeTint="F2"/>
          <w:lang w:val="sq-AL"/>
        </w:rPr>
        <w:t>1.3</w:t>
      </w:r>
      <w:bookmarkStart w:id="8" w:name="_Toc62805572"/>
      <w:r w:rsidR="00D830F5" w:rsidRPr="005208DC">
        <w:rPr>
          <w:rFonts w:asciiTheme="majorBidi" w:hAnsiTheme="majorBidi" w:cstheme="majorBidi"/>
          <w:b/>
          <w:i/>
          <w:color w:val="0D0D0D" w:themeColor="text1" w:themeTint="F2"/>
          <w:lang w:val="sq-AL"/>
        </w:rPr>
        <w:t>Rritja e kapaciteteve institucionale të njësisë te riskut fiskal për të vazhduar dhe zgjeruar punën e saj pa u mbështetur në asistencën e jashtme.</w:t>
      </w:r>
    </w:p>
    <w:p w14:paraId="37D82E52" w14:textId="77777777" w:rsidR="001F1F94" w:rsidRPr="005208DC" w:rsidRDefault="001F1F94" w:rsidP="00857902">
      <w:pPr>
        <w:rPr>
          <w:rFonts w:asciiTheme="majorBidi" w:hAnsiTheme="majorBidi" w:cstheme="majorBidi"/>
          <w:color w:val="0D0D0D" w:themeColor="text1" w:themeTint="F2"/>
          <w:lang w:val="sq-AL"/>
        </w:rPr>
      </w:pPr>
    </w:p>
    <w:p w14:paraId="64F358EB" w14:textId="0430CE9D" w:rsidR="001B78FB" w:rsidRPr="005208DC" w:rsidRDefault="00A96FF1" w:rsidP="00857902">
      <w:pPr>
        <w:pStyle w:val="Heading2"/>
        <w:ind w:left="0"/>
        <w:rPr>
          <w:rFonts w:asciiTheme="majorBidi" w:hAnsiTheme="majorBidi" w:cstheme="majorBidi"/>
          <w:b/>
          <w:color w:val="0D0D0D" w:themeColor="text1" w:themeTint="F2"/>
          <w:lang w:val="sq-AL"/>
        </w:rPr>
      </w:pPr>
      <w:bookmarkStart w:id="9" w:name="_Toc92721118"/>
      <w:r w:rsidRPr="005208DC">
        <w:rPr>
          <w:rFonts w:asciiTheme="majorBidi" w:hAnsiTheme="majorBidi" w:cstheme="majorBidi"/>
          <w:b/>
          <w:color w:val="0D0D0D" w:themeColor="text1" w:themeTint="F2"/>
          <w:lang w:val="sq-AL"/>
        </w:rPr>
        <w:t>Rekomandimi</w:t>
      </w:r>
      <w:r w:rsidR="00626FE1" w:rsidRPr="005208DC">
        <w:rPr>
          <w:rFonts w:asciiTheme="majorBidi" w:hAnsiTheme="majorBidi" w:cstheme="majorBidi"/>
          <w:b/>
          <w:color w:val="0D0D0D" w:themeColor="text1" w:themeTint="F2"/>
          <w:lang w:val="sq-AL"/>
        </w:rPr>
        <w:t xml:space="preserve"> </w:t>
      </w:r>
      <w:r w:rsidR="006E790C" w:rsidRPr="005208DC">
        <w:rPr>
          <w:rFonts w:asciiTheme="majorBidi" w:hAnsiTheme="majorBidi" w:cstheme="majorBidi"/>
          <w:b/>
          <w:color w:val="0D0D0D" w:themeColor="text1" w:themeTint="F2"/>
          <w:lang w:val="sq-AL"/>
        </w:rPr>
        <w:t>2</w:t>
      </w:r>
      <w:bookmarkEnd w:id="8"/>
      <w:bookmarkEnd w:id="9"/>
    </w:p>
    <w:p w14:paraId="52CA1446" w14:textId="707E1CF8" w:rsidR="001B78FB" w:rsidRPr="005208DC" w:rsidRDefault="001B78FB" w:rsidP="00857902">
      <w:pPr>
        <w:snapToGrid w:val="0"/>
        <w:rPr>
          <w:rFonts w:asciiTheme="majorBidi" w:hAnsiTheme="majorBidi" w:cstheme="majorBidi"/>
          <w:b/>
          <w:i/>
          <w:color w:val="0D0D0D" w:themeColor="text1" w:themeTint="F2"/>
          <w:lang w:val="sq-AL"/>
        </w:rPr>
      </w:pPr>
      <w:r w:rsidRPr="005208DC">
        <w:rPr>
          <w:rFonts w:asciiTheme="majorBidi" w:hAnsiTheme="majorBidi" w:cstheme="majorBidi"/>
          <w:b/>
          <w:i/>
          <w:color w:val="0D0D0D" w:themeColor="text1" w:themeTint="F2"/>
          <w:lang w:val="sq-AL"/>
        </w:rPr>
        <w:t>2.1</w:t>
      </w:r>
      <w:r w:rsidR="00626FE1" w:rsidRPr="005208DC">
        <w:rPr>
          <w:rFonts w:asciiTheme="majorBidi" w:hAnsiTheme="majorBidi" w:cstheme="majorBidi"/>
          <w:b/>
          <w:i/>
          <w:color w:val="0D0D0D" w:themeColor="text1" w:themeTint="F2"/>
          <w:lang w:val="sq-AL"/>
        </w:rPr>
        <w:t xml:space="preserve"> </w:t>
      </w:r>
      <w:r w:rsidR="00020EB1" w:rsidRPr="005208DC">
        <w:rPr>
          <w:rFonts w:asciiTheme="majorBidi" w:hAnsiTheme="majorBidi" w:cstheme="majorBidi"/>
          <w:b/>
          <w:i/>
          <w:color w:val="0D0D0D" w:themeColor="text1" w:themeTint="F2"/>
          <w:lang w:val="sq-AL"/>
        </w:rPr>
        <w:t>Vijoni të zvogëloni stoqet e prapambetura të rimbursimit TVSH me keste; reduktoni detyrimet e prapambetura te rimbursimit TVSH-së në zero në vitin 2022 dhe analizoni arsyet e rritjes së detyrimeve të prapambeturave të qeverise lokale.</w:t>
      </w:r>
    </w:p>
    <w:p w14:paraId="5950FF4E" w14:textId="02D0FEA9" w:rsidR="002F6FE6" w:rsidRPr="005208DC" w:rsidRDefault="002F6FE6"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Që nga prill 2020, DPT publikon rregullisht në faqen e saj të internetit një publikim tremujor të dedikuar në lidhje me rimbursimin e TVSH-së dhe detyrimet e prapambetura për TVSH-në.</w:t>
      </w:r>
    </w:p>
    <w:p w14:paraId="135F3558" w14:textId="77777777" w:rsidR="002F6FE6" w:rsidRPr="005208DC" w:rsidRDefault="002F6FE6"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Konceptimi i procedurës së automatizuar me bazë risku për administrimin e rimbursimeve të TVSH-së ka përfunduar dhe pjesa më e madhe e punës për të zbatuar rimbursimin automatik të TVSH-së është kryer. Gjatë vitit 2020 u amendua Rregullorja e Brendshme e TVSH-së ne DPT, që synonte lehtësimin dhe thjeshtimin e kritereve të aplikuara të riskut. Prandaj afatet e rimbursimit të TVSH-së u përgjysmuan dhe metoda FIFO u ndoq rreptësisht. Si rezultat, stoku i prapambetur i rimbursimeve të TVSH-së u ul në vitin 2020, krahasuar me vitin 2019.</w:t>
      </w:r>
    </w:p>
    <w:p w14:paraId="468E3AEC" w14:textId="2109D27B" w:rsidR="002F6FE6" w:rsidRPr="005208DC" w:rsidRDefault="002F6FE6"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Trendi ne rënie i detyrimeve te prapambetura te rimbursimit të TVSH-së ka qenë më i theksuar gjatë vitit 2021. DPT zeroi (prej shtatorit 2021) të gjithë stokun e rimbursimeve TVSH me këste, me përjashtim të njërit prej tyre, pagesa e këstit te fundit te të cilit do të jepet brenda vitit 2021. Deri në fund të shtatorit 2021 ka një stok TVSH prej 4</w:t>
      </w:r>
      <w:bookmarkStart w:id="10" w:name="_GoBack"/>
      <w:bookmarkEnd w:id="10"/>
      <w:r w:rsidRPr="005208DC">
        <w:rPr>
          <w:rFonts w:asciiTheme="majorBidi" w:hAnsiTheme="majorBidi" w:cstheme="majorBidi"/>
          <w:color w:val="0D0D0D" w:themeColor="text1" w:themeTint="F2"/>
          <w:lang w:val="sq-AL"/>
        </w:rPr>
        <w:t>77 milionë ALL, ulur me 95% krahasuar me vlerën e stokut në 31.12.2020 (ishte 9.8 miliardë ALL).</w:t>
      </w:r>
    </w:p>
    <w:p w14:paraId="65FEE444" w14:textId="59775449" w:rsidR="00193381" w:rsidRPr="005208DC" w:rsidRDefault="002F6FE6" w:rsidP="00857902">
      <w:pPr>
        <w:jc w:val="both"/>
        <w:rPr>
          <w:rFonts w:asciiTheme="majorBidi" w:eastAsia="Times New Roman" w:hAnsiTheme="majorBidi" w:cstheme="majorBidi"/>
          <w:color w:val="0D0D0D" w:themeColor="text1" w:themeTint="F2"/>
          <w:lang w:val="sq-AL" w:eastAsia="en-GB"/>
        </w:rPr>
      </w:pPr>
      <w:r w:rsidRPr="005208DC">
        <w:rPr>
          <w:rFonts w:asciiTheme="majorBidi" w:hAnsiTheme="majorBidi" w:cstheme="majorBidi"/>
          <w:color w:val="0D0D0D" w:themeColor="text1" w:themeTint="F2"/>
          <w:lang w:val="sq-AL"/>
        </w:rPr>
        <w:t>DPT është e angazhuar të pastrojë të gjithë stokun e papaguar të TVSH-së deri në fund të vitit 2021.</w:t>
      </w:r>
    </w:p>
    <w:p w14:paraId="01B189D0" w14:textId="77777777" w:rsidR="001F759C" w:rsidRPr="005208DC" w:rsidRDefault="001F759C" w:rsidP="00857902">
      <w:pPr>
        <w:snapToGrid w:val="0"/>
        <w:rPr>
          <w:rFonts w:asciiTheme="majorBidi" w:hAnsiTheme="majorBidi" w:cstheme="majorBidi"/>
          <w:color w:val="0D0D0D" w:themeColor="text1" w:themeTint="F2"/>
          <w:lang w:val="sq-AL"/>
        </w:rPr>
      </w:pPr>
    </w:p>
    <w:p w14:paraId="1300B294" w14:textId="6D7B5EC5" w:rsidR="001F759C" w:rsidRPr="005208DC" w:rsidRDefault="001B78FB" w:rsidP="00D830F5">
      <w:pPr>
        <w:snapToGrid w:val="0"/>
        <w:rPr>
          <w:rFonts w:asciiTheme="majorBidi" w:hAnsiTheme="majorBidi" w:cstheme="majorBidi"/>
          <w:color w:val="0D0D0D" w:themeColor="text1" w:themeTint="F2"/>
          <w:lang w:val="sq-AL"/>
        </w:rPr>
      </w:pPr>
      <w:r w:rsidRPr="005208DC">
        <w:rPr>
          <w:rFonts w:asciiTheme="majorBidi" w:hAnsiTheme="majorBidi" w:cstheme="majorBidi"/>
          <w:b/>
          <w:i/>
          <w:color w:val="0D0D0D" w:themeColor="text1" w:themeTint="F2"/>
          <w:lang w:val="sq-AL"/>
        </w:rPr>
        <w:t>2.2</w:t>
      </w:r>
      <w:r w:rsidR="00626FE1" w:rsidRPr="005208DC">
        <w:rPr>
          <w:rFonts w:asciiTheme="majorBidi" w:hAnsiTheme="majorBidi" w:cstheme="majorBidi"/>
          <w:b/>
          <w:i/>
          <w:color w:val="0D0D0D" w:themeColor="text1" w:themeTint="F2"/>
          <w:lang w:val="sq-AL"/>
        </w:rPr>
        <w:t xml:space="preserve"> </w:t>
      </w:r>
      <w:r w:rsidR="00D830F5" w:rsidRPr="005208DC">
        <w:rPr>
          <w:rFonts w:asciiTheme="majorBidi" w:hAnsiTheme="majorBidi" w:cstheme="majorBidi"/>
          <w:b/>
          <w:i/>
          <w:color w:val="0D0D0D" w:themeColor="text1" w:themeTint="F2"/>
          <w:lang w:val="sq-AL"/>
        </w:rPr>
        <w:t>Vlerësimi dhe miratimi i të gjitha investimeve, të cilat përfshijnë fonde publike duke përfshirë PPP-të, përmes të njëjtit proces miratimi dhe vazhdon të raportojë shpenzimet aktuale të rindërtimit nga tërmeti në zbatimin e buxhetit të konsoliduar</w:t>
      </w:r>
    </w:p>
    <w:p w14:paraId="0FEFBDDF" w14:textId="77777777" w:rsidR="00D830F5" w:rsidRPr="005208DC" w:rsidRDefault="00D830F5" w:rsidP="00857902">
      <w:pPr>
        <w:snapToGrid w:val="0"/>
        <w:rPr>
          <w:rFonts w:asciiTheme="majorBidi" w:hAnsiTheme="majorBidi" w:cstheme="majorBidi"/>
          <w:color w:val="0D0D0D" w:themeColor="text1" w:themeTint="F2"/>
          <w:lang w:val="sq-AL"/>
        </w:rPr>
      </w:pPr>
    </w:p>
    <w:p w14:paraId="58A7B06C" w14:textId="745B84CB" w:rsidR="004E7C8F" w:rsidRPr="005208DC" w:rsidRDefault="001B78FB" w:rsidP="00D830F5">
      <w:pPr>
        <w:snapToGrid w:val="0"/>
        <w:rPr>
          <w:rFonts w:asciiTheme="majorBidi" w:hAnsiTheme="majorBidi" w:cstheme="majorBidi"/>
          <w:color w:val="0D0D0D" w:themeColor="text1" w:themeTint="F2"/>
          <w:lang w:val="sq-AL"/>
        </w:rPr>
      </w:pPr>
      <w:r w:rsidRPr="005208DC">
        <w:rPr>
          <w:rFonts w:asciiTheme="majorBidi" w:hAnsiTheme="majorBidi" w:cstheme="majorBidi"/>
          <w:b/>
          <w:i/>
          <w:color w:val="0D0D0D" w:themeColor="text1" w:themeTint="F2"/>
          <w:lang w:val="sq-AL"/>
        </w:rPr>
        <w:t>2.3</w:t>
      </w:r>
      <w:r w:rsidR="00626FE1" w:rsidRPr="005208DC">
        <w:rPr>
          <w:rFonts w:asciiTheme="majorBidi" w:hAnsiTheme="majorBidi" w:cstheme="majorBidi"/>
          <w:b/>
          <w:i/>
          <w:color w:val="0D0D0D" w:themeColor="text1" w:themeTint="F2"/>
          <w:lang w:val="sq-AL"/>
        </w:rPr>
        <w:t xml:space="preserve"> </w:t>
      </w:r>
      <w:bookmarkStart w:id="11" w:name="_Toc62805573"/>
      <w:r w:rsidR="00D830F5" w:rsidRPr="005208DC">
        <w:rPr>
          <w:rFonts w:asciiTheme="majorBidi" w:hAnsiTheme="majorBidi" w:cstheme="majorBidi"/>
          <w:b/>
          <w:i/>
          <w:color w:val="0D0D0D" w:themeColor="text1" w:themeTint="F2"/>
          <w:lang w:val="sq-AL"/>
        </w:rPr>
        <w:t>Riorientimi i përbërjes së shpenzimeve publike drejt zhvillimit të kapitalit njerëzor dhe inovacionit duke parashikuar një rritje graduale të vazhdueshme të shpenzimeve për arsimin, shëndetësinë, sigurimet shoqërore dhe Kërkim dhe Zhvillim për sa i përket peshës në shpenzimet totale</w:t>
      </w:r>
    </w:p>
    <w:p w14:paraId="7B75DB7F" w14:textId="77777777" w:rsidR="001F1F94" w:rsidRPr="005208DC" w:rsidRDefault="001F1F94" w:rsidP="00857902">
      <w:pPr>
        <w:rPr>
          <w:rFonts w:asciiTheme="majorBidi" w:hAnsiTheme="majorBidi" w:cstheme="majorBidi"/>
          <w:color w:val="0D0D0D" w:themeColor="text1" w:themeTint="F2"/>
          <w:lang w:val="sq-AL"/>
        </w:rPr>
      </w:pPr>
    </w:p>
    <w:p w14:paraId="0DD0B0A6" w14:textId="5BB7C9FC" w:rsidR="001B78FB" w:rsidRPr="005208DC" w:rsidRDefault="00A96FF1" w:rsidP="00857902">
      <w:pPr>
        <w:pStyle w:val="Heading2"/>
        <w:ind w:left="0"/>
        <w:rPr>
          <w:rFonts w:asciiTheme="majorBidi" w:hAnsiTheme="majorBidi" w:cstheme="majorBidi"/>
          <w:b/>
          <w:color w:val="0D0D0D" w:themeColor="text1" w:themeTint="F2"/>
          <w:lang w:val="sq-AL"/>
        </w:rPr>
      </w:pPr>
      <w:bookmarkStart w:id="12" w:name="_Toc92721119"/>
      <w:r w:rsidRPr="005208DC">
        <w:rPr>
          <w:rFonts w:asciiTheme="majorBidi" w:hAnsiTheme="majorBidi" w:cstheme="majorBidi"/>
          <w:b/>
          <w:color w:val="0D0D0D" w:themeColor="text1" w:themeTint="F2"/>
          <w:lang w:val="sq-AL"/>
        </w:rPr>
        <w:t>Rekomandimi</w:t>
      </w:r>
      <w:r w:rsidR="00626FE1" w:rsidRPr="005208DC">
        <w:rPr>
          <w:rFonts w:asciiTheme="majorBidi" w:hAnsiTheme="majorBidi" w:cstheme="majorBidi"/>
          <w:b/>
          <w:color w:val="0D0D0D" w:themeColor="text1" w:themeTint="F2"/>
          <w:lang w:val="sq-AL"/>
        </w:rPr>
        <w:t xml:space="preserve"> </w:t>
      </w:r>
      <w:r w:rsidR="006E790C" w:rsidRPr="005208DC">
        <w:rPr>
          <w:rFonts w:asciiTheme="majorBidi" w:hAnsiTheme="majorBidi" w:cstheme="majorBidi"/>
          <w:b/>
          <w:color w:val="0D0D0D" w:themeColor="text1" w:themeTint="F2"/>
          <w:lang w:val="sq-AL"/>
        </w:rPr>
        <w:t>3</w:t>
      </w:r>
      <w:bookmarkEnd w:id="11"/>
      <w:bookmarkEnd w:id="12"/>
    </w:p>
    <w:p w14:paraId="714E4466" w14:textId="29869FED" w:rsidR="001B78FB" w:rsidRPr="005208DC" w:rsidRDefault="001B78FB" w:rsidP="00D830F5">
      <w:pPr>
        <w:snapToGrid w:val="0"/>
        <w:rPr>
          <w:rFonts w:asciiTheme="majorBidi" w:hAnsiTheme="majorBidi" w:cstheme="majorBidi"/>
          <w:b/>
          <w:i/>
          <w:color w:val="0D0D0D" w:themeColor="text1" w:themeTint="F2"/>
          <w:lang w:val="sq-AL"/>
        </w:rPr>
      </w:pPr>
      <w:r w:rsidRPr="005208DC">
        <w:rPr>
          <w:rFonts w:asciiTheme="majorBidi" w:hAnsiTheme="majorBidi" w:cstheme="majorBidi"/>
          <w:b/>
          <w:i/>
          <w:color w:val="0D0D0D" w:themeColor="text1" w:themeTint="F2"/>
          <w:lang w:val="sq-AL"/>
        </w:rPr>
        <w:t>3.1</w:t>
      </w:r>
      <w:r w:rsidR="00626FE1" w:rsidRPr="005208DC">
        <w:rPr>
          <w:rFonts w:asciiTheme="majorBidi" w:hAnsiTheme="majorBidi" w:cstheme="majorBidi"/>
          <w:b/>
          <w:i/>
          <w:color w:val="0D0D0D" w:themeColor="text1" w:themeTint="F2"/>
          <w:lang w:val="sq-AL"/>
        </w:rPr>
        <w:t xml:space="preserve"> </w:t>
      </w:r>
      <w:r w:rsidR="00D830F5" w:rsidRPr="005208DC">
        <w:rPr>
          <w:rFonts w:asciiTheme="majorBidi" w:hAnsiTheme="majorBidi" w:cstheme="majorBidi"/>
          <w:b/>
          <w:i/>
          <w:color w:val="0D0D0D" w:themeColor="text1" w:themeTint="F2"/>
          <w:lang w:val="sq-AL"/>
        </w:rPr>
        <w:t>Ruajtja e një kuadri të fortë rregullator të sektorit financiar në përputhje me praktikat më të mira ndërkombëtare dhe të BE-së, garantimi i menaxhimit të shëndoshë të kredisë Rreziku, një shfaqje transparente e cilësisë së aseteve dhe provizionimi i duhur</w:t>
      </w:r>
      <w:r w:rsidRPr="005208DC">
        <w:rPr>
          <w:rFonts w:asciiTheme="majorBidi" w:hAnsiTheme="majorBidi" w:cstheme="majorBidi"/>
          <w:b/>
          <w:i/>
          <w:color w:val="0D0D0D" w:themeColor="text1" w:themeTint="F2"/>
          <w:lang w:val="sq-AL"/>
        </w:rPr>
        <w:t>.</w:t>
      </w:r>
    </w:p>
    <w:p w14:paraId="61431084" w14:textId="77777777" w:rsidR="001F759C" w:rsidRPr="005208DC" w:rsidRDefault="001F759C" w:rsidP="00857902">
      <w:pPr>
        <w:snapToGrid w:val="0"/>
        <w:rPr>
          <w:rFonts w:asciiTheme="majorBidi" w:hAnsiTheme="majorBidi" w:cstheme="majorBidi"/>
          <w:color w:val="0D0D0D" w:themeColor="text1" w:themeTint="F2"/>
          <w:lang w:val="sq-AL"/>
        </w:rPr>
      </w:pPr>
    </w:p>
    <w:p w14:paraId="7B2EC6CA" w14:textId="291B6F9B" w:rsidR="001B78FB" w:rsidRPr="005208DC" w:rsidRDefault="001B78FB" w:rsidP="00D830F5">
      <w:pPr>
        <w:snapToGrid w:val="0"/>
        <w:rPr>
          <w:rFonts w:asciiTheme="majorBidi" w:hAnsiTheme="majorBidi" w:cstheme="majorBidi"/>
          <w:b/>
          <w:i/>
          <w:color w:val="0D0D0D" w:themeColor="text1" w:themeTint="F2"/>
          <w:lang w:val="sq-AL"/>
        </w:rPr>
      </w:pPr>
      <w:r w:rsidRPr="005208DC">
        <w:rPr>
          <w:rFonts w:asciiTheme="majorBidi" w:hAnsiTheme="majorBidi" w:cstheme="majorBidi"/>
          <w:b/>
          <w:i/>
          <w:color w:val="0D0D0D" w:themeColor="text1" w:themeTint="F2"/>
          <w:lang w:val="sq-AL"/>
        </w:rPr>
        <w:t>3.2</w:t>
      </w:r>
      <w:r w:rsidR="00626FE1" w:rsidRPr="005208DC">
        <w:rPr>
          <w:rFonts w:asciiTheme="majorBidi" w:hAnsiTheme="majorBidi" w:cstheme="majorBidi"/>
          <w:b/>
          <w:i/>
          <w:color w:val="0D0D0D" w:themeColor="text1" w:themeTint="F2"/>
          <w:lang w:val="sq-AL"/>
        </w:rPr>
        <w:t xml:space="preserve"> </w:t>
      </w:r>
      <w:r w:rsidR="00D830F5" w:rsidRPr="005208DC">
        <w:rPr>
          <w:rFonts w:asciiTheme="majorBidi" w:hAnsiTheme="majorBidi" w:cstheme="majorBidi"/>
          <w:b/>
          <w:i/>
          <w:color w:val="0D0D0D" w:themeColor="text1" w:themeTint="F2"/>
          <w:lang w:val="sq-AL"/>
        </w:rPr>
        <w:t>Të reduktohen më tej pengesat e mbetura institucionale dhe ligjore për zgjidhjen e shpejtë dhe efektive të NPL-ve, duke përfshirë zgjidhjen e bllokimit të përmbarimit dhe forcimin e procedurave të falimentimit</w:t>
      </w:r>
      <w:r w:rsidRPr="005208DC">
        <w:rPr>
          <w:rFonts w:asciiTheme="majorBidi" w:hAnsiTheme="majorBidi" w:cstheme="majorBidi"/>
          <w:b/>
          <w:i/>
          <w:color w:val="0D0D0D" w:themeColor="text1" w:themeTint="F2"/>
          <w:lang w:val="sq-AL"/>
        </w:rPr>
        <w:t>.</w:t>
      </w:r>
    </w:p>
    <w:p w14:paraId="64DD7F6D" w14:textId="77777777" w:rsidR="001F759C" w:rsidRPr="005208DC" w:rsidRDefault="001F759C" w:rsidP="00857902">
      <w:pPr>
        <w:snapToGrid w:val="0"/>
        <w:rPr>
          <w:rFonts w:asciiTheme="majorBidi" w:hAnsiTheme="majorBidi" w:cstheme="majorBidi"/>
          <w:color w:val="0D0D0D" w:themeColor="text1" w:themeTint="F2"/>
          <w:lang w:val="sq-AL"/>
        </w:rPr>
      </w:pPr>
    </w:p>
    <w:p w14:paraId="369A158F" w14:textId="5C2E769F" w:rsidR="00EE2F1D" w:rsidRPr="005208DC" w:rsidRDefault="001B78FB" w:rsidP="00D830F5">
      <w:pPr>
        <w:snapToGrid w:val="0"/>
        <w:rPr>
          <w:rFonts w:asciiTheme="majorBidi" w:hAnsiTheme="majorBidi" w:cstheme="majorBidi"/>
          <w:b/>
          <w:i/>
          <w:color w:val="0D0D0D" w:themeColor="text1" w:themeTint="F2"/>
          <w:lang w:val="sq-AL"/>
        </w:rPr>
      </w:pPr>
      <w:r w:rsidRPr="005208DC">
        <w:rPr>
          <w:rFonts w:asciiTheme="majorBidi" w:hAnsiTheme="majorBidi" w:cstheme="majorBidi"/>
          <w:b/>
          <w:i/>
          <w:color w:val="0D0D0D" w:themeColor="text1" w:themeTint="F2"/>
          <w:lang w:val="sq-AL"/>
        </w:rPr>
        <w:t>3.3</w:t>
      </w:r>
      <w:r w:rsidR="00626FE1" w:rsidRPr="005208DC">
        <w:rPr>
          <w:rFonts w:asciiTheme="majorBidi" w:hAnsiTheme="majorBidi" w:cstheme="majorBidi"/>
          <w:b/>
          <w:i/>
          <w:color w:val="0D0D0D" w:themeColor="text1" w:themeTint="F2"/>
          <w:lang w:val="sq-AL"/>
        </w:rPr>
        <w:t xml:space="preserve"> </w:t>
      </w:r>
      <w:r w:rsidR="00D830F5" w:rsidRPr="005208DC">
        <w:rPr>
          <w:rFonts w:asciiTheme="majorBidi" w:hAnsiTheme="majorBidi" w:cstheme="majorBidi"/>
          <w:b/>
          <w:i/>
          <w:color w:val="0D0D0D" w:themeColor="text1" w:themeTint="F2"/>
          <w:lang w:val="sq-AL"/>
        </w:rPr>
        <w:t>Vazhdimi i zbatimit të masave që synojnë nxitjen e përdorimit të monedhës kombëtare, duke përfshirë zhvillimin e tregut për instrumentet mbrojtëse të forex</w:t>
      </w:r>
      <w:r w:rsidR="00EE2F1D" w:rsidRPr="005208DC">
        <w:rPr>
          <w:rFonts w:asciiTheme="majorBidi" w:hAnsiTheme="majorBidi" w:cstheme="majorBidi"/>
          <w:b/>
          <w:i/>
          <w:color w:val="0D0D0D" w:themeColor="text1" w:themeTint="F2"/>
          <w:lang w:val="sq-AL"/>
        </w:rPr>
        <w:t>.</w:t>
      </w:r>
    </w:p>
    <w:p w14:paraId="135D6CA5" w14:textId="77777777" w:rsidR="005661AC" w:rsidRPr="005208DC" w:rsidRDefault="005661AC" w:rsidP="00857902">
      <w:pPr>
        <w:jc w:val="both"/>
        <w:rPr>
          <w:rFonts w:ascii="Times New Roman" w:hAnsi="Times New Roman"/>
          <w:color w:val="0D0D0D" w:themeColor="text1" w:themeTint="F2"/>
          <w:lang w:val="sq-AL"/>
        </w:rPr>
      </w:pPr>
      <w:r w:rsidRPr="005208DC">
        <w:rPr>
          <w:rFonts w:asciiTheme="majorBidi" w:hAnsiTheme="majorBidi" w:cstheme="majorBidi"/>
          <w:color w:val="0D0D0D" w:themeColor="text1" w:themeTint="F2"/>
          <w:lang w:val="sq-AL"/>
        </w:rPr>
        <w:t xml:space="preserve">Mbështetja e zhvillimit të instrumenteve financiare mbrojtëse nga rreziku i kursit të këmbimit është një ndër objektivat afatmesme të Bankës së Shqipërisë. Përpjekjet për të zhvilluar tregun e brendshëm të këmbimit valutor nëpërmjet inkurajimit të përdorimit të instrumenteve mbrojtës, janë planifikuar sipas rekomandimeve të lëna nga misioni i posaçëm i asistencës teknike të FMN në fund të vitit 2019. Mbështetur në këtë plan veprimi, janë realizuar disa masa: </w:t>
      </w:r>
    </w:p>
    <w:p w14:paraId="021DBC14" w14:textId="77777777" w:rsidR="005661AC" w:rsidRPr="005208DC" w:rsidRDefault="005661AC" w:rsidP="00F957E8">
      <w:pPr>
        <w:pStyle w:val="ListParagraph"/>
        <w:widowControl/>
        <w:numPr>
          <w:ilvl w:val="0"/>
          <w:numId w:val="106"/>
        </w:num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 xml:space="preserve">Ka ri-nisur emetimi i bonove të thesarit me maturitet 3-mujor, me periodicitet të përshtatshëm. </w:t>
      </w:r>
    </w:p>
    <w:p w14:paraId="49C4FF57" w14:textId="77777777" w:rsidR="005661AC" w:rsidRPr="005208DC" w:rsidRDefault="005661AC" w:rsidP="00F957E8">
      <w:pPr>
        <w:pStyle w:val="ListParagraph"/>
        <w:widowControl/>
        <w:numPr>
          <w:ilvl w:val="0"/>
          <w:numId w:val="106"/>
        </w:num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Është rishikuar udhëzimi mbi mënyrën e llogaritjes ''fiksit'' të kursit zyrtar të këmbimit, duke realizuar publikimin e kursit të kërkuar dhe atij të ofruar, krahas kursit “fiks”. Kuotimet mblidhen vetëm nga bankat për vlera të standartizuara.</w:t>
      </w:r>
    </w:p>
    <w:p w14:paraId="25848FAA" w14:textId="77777777" w:rsidR="005661AC" w:rsidRPr="005208DC" w:rsidRDefault="005661AC" w:rsidP="00F957E8">
      <w:pPr>
        <w:pStyle w:val="ListParagraph"/>
        <w:widowControl/>
        <w:numPr>
          <w:ilvl w:val="0"/>
          <w:numId w:val="106"/>
        </w:num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 xml:space="preserve">Është rishikuar rregullorja “Për procedurat e ndërhyrjes së Bankës së Shqipërisë në tregun e brendshëm të këmbimeve valutore”, ku janë prezantuar instrumentet “forwards” 3-mujore si alternativë për kryerjen e ndërhyrjeve. Kjo do të ndihmojë familjarizimin e tregut me instrumentet dhe përcaktimin e çmimeve të produkteve financiare. </w:t>
      </w:r>
    </w:p>
    <w:p w14:paraId="69883C2E" w14:textId="77777777" w:rsidR="005661AC" w:rsidRPr="005208DC" w:rsidRDefault="005661AC" w:rsidP="00F957E8">
      <w:pPr>
        <w:pStyle w:val="ListParagraph"/>
        <w:widowControl/>
        <w:numPr>
          <w:ilvl w:val="0"/>
          <w:numId w:val="106"/>
        </w:num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Disa masa të tjera do të realizohen së shpejti:</w:t>
      </w:r>
    </w:p>
    <w:p w14:paraId="2A799F3B" w14:textId="77777777" w:rsidR="005661AC" w:rsidRPr="005208DC" w:rsidRDefault="005661AC" w:rsidP="00F957E8">
      <w:pPr>
        <w:pStyle w:val="ListParagraph"/>
        <w:widowControl/>
        <w:numPr>
          <w:ilvl w:val="1"/>
          <w:numId w:val="106"/>
        </w:num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Përmirësimi i sistemit të raportimit të transaksioneve në tregun e brendshëm valutor.</w:t>
      </w:r>
    </w:p>
    <w:p w14:paraId="16DE7134" w14:textId="77777777" w:rsidR="005661AC" w:rsidRPr="005208DC" w:rsidRDefault="005661AC" w:rsidP="00F957E8">
      <w:pPr>
        <w:pStyle w:val="ListParagraph"/>
        <w:widowControl/>
        <w:numPr>
          <w:ilvl w:val="1"/>
          <w:numId w:val="106"/>
        </w:num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 xml:space="preserve">Përmirësimi i transparencës, nëpërmjet publikimit të të dhënave për volumin dhe çmimet e transaksioneve në tregun e parasë dhe në tregun e brendshëm valutor. </w:t>
      </w:r>
    </w:p>
    <w:p w14:paraId="6EA99867" w14:textId="77777777" w:rsidR="005661AC" w:rsidRPr="005208DC" w:rsidRDefault="005661AC" w:rsidP="00F957E8">
      <w:pPr>
        <w:pStyle w:val="ListParagraph"/>
        <w:widowControl/>
        <w:numPr>
          <w:ilvl w:val="1"/>
          <w:numId w:val="106"/>
        </w:num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 xml:space="preserve">Disa hapa janë bërë në drejtim të prezantimit të marrëveshjeve të standartizuara për transaksionet e këmbimit valutor, nëpërmjet përpjekjeve për prezantimin e instrumenteve derivativë në marrëdhëniet me Ministrinë e Financave dhe Ekonomisë. </w:t>
      </w:r>
    </w:p>
    <w:p w14:paraId="7FE62E8D" w14:textId="7B489050" w:rsidR="00B36143" w:rsidRPr="005208DC" w:rsidRDefault="005661AC"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Masa të tjera në planin e punës, të cilat do të konsiderohen në vijim, lidhen me përmirësimin e edukimit financiar dhe standartizimin e marrëveshjeve midis bankave.</w:t>
      </w:r>
    </w:p>
    <w:p w14:paraId="7372A3ED" w14:textId="77777777" w:rsidR="001F1F94" w:rsidRPr="005208DC" w:rsidRDefault="001F1F94" w:rsidP="00857902">
      <w:pPr>
        <w:snapToGrid w:val="0"/>
        <w:rPr>
          <w:rFonts w:asciiTheme="majorBidi" w:hAnsiTheme="majorBidi" w:cstheme="majorBidi"/>
          <w:color w:val="0D0D0D" w:themeColor="text1" w:themeTint="F2"/>
          <w:lang w:val="sq-AL"/>
        </w:rPr>
      </w:pPr>
    </w:p>
    <w:p w14:paraId="0FEA1D28" w14:textId="2CCB9B9E" w:rsidR="001B78FB" w:rsidRPr="005208DC" w:rsidRDefault="00A96FF1" w:rsidP="00857902">
      <w:pPr>
        <w:pStyle w:val="Heading2"/>
        <w:ind w:left="0"/>
        <w:rPr>
          <w:rFonts w:asciiTheme="majorBidi" w:hAnsiTheme="majorBidi" w:cstheme="majorBidi"/>
          <w:b/>
          <w:color w:val="0D0D0D" w:themeColor="text1" w:themeTint="F2"/>
          <w:lang w:val="sq-AL"/>
        </w:rPr>
      </w:pPr>
      <w:bookmarkStart w:id="13" w:name="_Toc62805574"/>
      <w:bookmarkStart w:id="14" w:name="_Toc92721120"/>
      <w:r w:rsidRPr="005208DC">
        <w:rPr>
          <w:rFonts w:asciiTheme="majorBidi" w:hAnsiTheme="majorBidi" w:cstheme="majorBidi"/>
          <w:b/>
          <w:color w:val="0D0D0D" w:themeColor="text1" w:themeTint="F2"/>
          <w:lang w:val="sq-AL"/>
        </w:rPr>
        <w:t>Rekomandimi</w:t>
      </w:r>
      <w:r w:rsidR="00626FE1" w:rsidRPr="005208DC">
        <w:rPr>
          <w:rFonts w:asciiTheme="majorBidi" w:hAnsiTheme="majorBidi" w:cstheme="majorBidi"/>
          <w:b/>
          <w:color w:val="0D0D0D" w:themeColor="text1" w:themeTint="F2"/>
          <w:lang w:val="sq-AL"/>
        </w:rPr>
        <w:t xml:space="preserve"> </w:t>
      </w:r>
      <w:r w:rsidR="006E790C" w:rsidRPr="005208DC">
        <w:rPr>
          <w:rFonts w:asciiTheme="majorBidi" w:hAnsiTheme="majorBidi" w:cstheme="majorBidi"/>
          <w:b/>
          <w:color w:val="0D0D0D" w:themeColor="text1" w:themeTint="F2"/>
          <w:lang w:val="sq-AL"/>
        </w:rPr>
        <w:t>4</w:t>
      </w:r>
      <w:bookmarkEnd w:id="13"/>
      <w:bookmarkEnd w:id="14"/>
    </w:p>
    <w:p w14:paraId="317A5002" w14:textId="5A6731B3" w:rsidR="001B78FB" w:rsidRPr="005208DC" w:rsidRDefault="001B78FB" w:rsidP="00D830F5">
      <w:pPr>
        <w:snapToGrid w:val="0"/>
        <w:rPr>
          <w:rFonts w:asciiTheme="majorBidi" w:hAnsiTheme="majorBidi" w:cstheme="majorBidi"/>
          <w:b/>
          <w:i/>
          <w:color w:val="0D0D0D" w:themeColor="text1" w:themeTint="F2"/>
          <w:lang w:val="sq-AL"/>
        </w:rPr>
      </w:pPr>
      <w:r w:rsidRPr="005208DC">
        <w:rPr>
          <w:rFonts w:asciiTheme="majorBidi" w:hAnsiTheme="majorBidi" w:cstheme="majorBidi"/>
          <w:b/>
          <w:i/>
          <w:color w:val="0D0D0D" w:themeColor="text1" w:themeTint="F2"/>
          <w:lang w:val="sq-AL"/>
        </w:rPr>
        <w:t>4.1</w:t>
      </w:r>
      <w:r w:rsidR="00626FE1" w:rsidRPr="005208DC">
        <w:rPr>
          <w:rFonts w:asciiTheme="majorBidi" w:hAnsiTheme="majorBidi" w:cstheme="majorBidi"/>
          <w:b/>
          <w:i/>
          <w:color w:val="0D0D0D" w:themeColor="text1" w:themeTint="F2"/>
          <w:lang w:val="sq-AL"/>
        </w:rPr>
        <w:t xml:space="preserve"> </w:t>
      </w:r>
      <w:r w:rsidR="00D830F5" w:rsidRPr="005208DC">
        <w:rPr>
          <w:rFonts w:asciiTheme="majorBidi" w:hAnsiTheme="majorBidi" w:cstheme="majorBidi"/>
          <w:b/>
          <w:i/>
          <w:color w:val="0D0D0D" w:themeColor="text1" w:themeTint="F2"/>
          <w:lang w:val="sq-AL"/>
        </w:rPr>
        <w:t>Ofroni shërbime të zgjeruara të mbështetjes së biznesit për të përmirësuar aksesin në financa dhe njohuritë e sipërmarrjes</w:t>
      </w:r>
      <w:r w:rsidRPr="005208DC">
        <w:rPr>
          <w:rFonts w:asciiTheme="majorBidi" w:hAnsiTheme="majorBidi" w:cstheme="majorBidi"/>
          <w:b/>
          <w:i/>
          <w:color w:val="0D0D0D" w:themeColor="text1" w:themeTint="F2"/>
          <w:lang w:val="sq-AL"/>
        </w:rPr>
        <w:t>.</w:t>
      </w:r>
    </w:p>
    <w:p w14:paraId="2AF9F60C" w14:textId="77777777" w:rsidR="00D830F5" w:rsidRPr="005208DC" w:rsidRDefault="00D830F5" w:rsidP="00D830F5">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Agjencia Shqiptare e Zhvillimit të Investimeve (AIDA) është institucioni qendror publik i dedikuar që ofron shërbime për mbështetjen e biznesit (BSS) për SME-të. AIDA jep informacion të përgjithshëm, p.sh. mbi legjislacionin përkatës për fillimin e një biznesi, si të zhvillohet një plan biznesi dhe çfarë BSS financiare dhe jofinanciare janë të disponueshme. Mbështetja e mëtejshme për NVM-të përfshin lehtësimin e pjesëmarrjes në panairet kombëtare dhe ndërkombëtare, identifikimin e tregjeve të reja, partnerëve të eksportit, trajnimeve dhe nevojave të certifikimit të produkteve dhe mbështetjes përmes projekteve të ndryshme me donatorë.</w:t>
      </w:r>
    </w:p>
    <w:p w14:paraId="5260F43D" w14:textId="77777777" w:rsidR="00D830F5" w:rsidRPr="005208DC" w:rsidRDefault="00D830F5" w:rsidP="00D830F5">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Përveç informacionit, AIDA ofron mbështetje financiare për bizneset. Megjithatë, kërkesa deri më tani ka qenë mjaft e ulët. Në periudhën 6-Viti nga viti 2014 deri në vitin 2019, 373 SME kanë marrë grante nga fondet e AIDA-s me një shumë totale prej 264 milionë lekësh. Sipas Indeksit të Politikave të SME-ve, SME-të i perceptojnë si frenuese procedurat e aplikimit për fondet e AIDA-s. Përveç kësaj, grantet e ofruara përmes këtyre fondeve janë relativisht të vogla. Kjo duket se i pengon më tej aplikantët e mundshëm nga kalimi i procesit të gjatë të aplikimit. Si pjesë e aplikimit, SME-të duhet të takohen personalisht me stafin e AIDA-s në zyrën e vendosur në Tiranë. Kjo raportohet të jetë një pengesë për SME-të në rajone të tjera dhe faktor në hezitimin e tyre për të aplikuar për shërbimet financiare të AIDA-s. Nën tre zonat e ndërhyrjes së BIDS 2021-2027 ka disa masa si p.sh:</w:t>
      </w:r>
    </w:p>
    <w:p w14:paraId="6C86A5BE" w14:textId="77777777" w:rsidR="00D830F5" w:rsidRPr="005208DC" w:rsidRDefault="00D830F5" w:rsidP="00D830F5">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Programi i strukturuar për shërbimin e mëtejshëm të kujdesit, Kohët e fundit, roli i kujdesit të mëtejshëm është forcuar në të gjithë globin, në kuadrin e ndërprerjes serioze të zinxhirëve të vlerave ndërkombëtare, flukseve të tregtisë dhe investimeve të shkaktuara nga pandemia COVID-19. Megjithatë, kujdesi i mëtejshëm ofron një potencial premtues që shkon përtej krizës aktuale. Konsiderohet si një mënyrë me kosto efektive për të kursyer investimet, për të siguruar riinvestim dhe për të rritur ndikimin në zhvillim. Koordinimi dhe bashkëpunimi ndërorganizativ konsiderohet si faktor kyç për sukses. Ekziston një gamë e gjerë institucionesh që ofrojnë shërbime mbështetëse për investitorët ose që luajnë një rol të rëndësishëm në ofrimin e këtyre shërbimeve (p.sh. BDHTI, dhomat e tregtisë, shoqatat, bashkitë). Shërbimet e mëtejshme të kujdesit do të zgjerohen, duke ndjekur një qasje bashkëpunuese për të shmangur dyfishimin dhe konfuzionin midis investitorëve ekzistues. Theks i veçantë do t'i kushtohet forcimit të lidhjeve midis pushtetit qendror dhe bashkive nëpërmjet Memorandumeve të Bashkëpunimit që do të lidhen me AIDA-n dhe bashkitë.</w:t>
      </w:r>
    </w:p>
    <w:p w14:paraId="04916536" w14:textId="77777777" w:rsidR="00D830F5" w:rsidRPr="005208DC" w:rsidRDefault="00D830F5" w:rsidP="00D830F5">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Promovimi/lehtësimi sistematik i investimeve Synimied.</w:t>
      </w:r>
    </w:p>
    <w:p w14:paraId="58E46D68" w14:textId="77777777" w:rsidR="00D830F5" w:rsidRPr="005208DC" w:rsidRDefault="00D830F5" w:rsidP="00D830F5">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Forcimi i ekosistemit të start-up-eve, duke njohur kontributin e konsiderueshëm të bizneseve të reja për një ekonomi më të orientuar nga inovacioni dhe njohuri, ky veprim fokusohet në zhvillimin e një mjedisi të favorshëm sipërmarrës, të lidhur ngushtë me Projektligjin për Mbështetjen dhe Zhvillimin e Bizneseve Inovative. , dhe Inovacioni dhe programi i BE-së për Inovacion. Theks i veçantë do t'i kushtohet grave sipërmarrëse dhe bizneseve fillestare që ofrojnë zgjidhje ose produkte/shërbime dixhitale që kontribuojnë në zhvillimin e një ekonomie të gjelbër dhe rrethore. Veprimet prioritare do të trajtojnë gjithashtu masat rregullatore që lehtësojnë themelimin e bizneseve fillestare dhe pasqyrojnë rëndësinë e mbrojtjes së të drejtave të pronësisë industriale dhe intelektuale. Ngritja e kapaciteteve duke adresuar ekosistemin fillestar dhe inovacionin: Masat e personalizuara të ngritjes së kapaciteteve do të Synimi start-ups si dhe do të mbështesin organizatat (si inkubatorët, përshpejtuesit dhe iniciativat e institucioneve të arsimit të lartë) duke i ndihmuar ata të përmirësojnë dhe zgjerojnë shërbimet e tyre. Masat e mëtejshme synojnë diversifikimin e strukturës dhe shërbimeve mbështetëse për fillestarët, si dhe tërheqjen e lojtarëve të rinj publikë dhe privatë (p.sh. nga diaspora) në ekosistem.</w:t>
      </w:r>
    </w:p>
    <w:p w14:paraId="4E460FBD" w14:textId="77777777" w:rsidR="00D830F5" w:rsidRPr="005208DC" w:rsidRDefault="00D830F5" w:rsidP="00D830F5">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Përmirësimi i aksesit në financa: Ndërtimi i skemave ekzistuese/të mbështetura nga donatorët, p.sh. nën Inovacionin e BE-së, ky komponent parashikon futjen e instrumenteve të mëtejshme financimi që plotësojnë dhënien e granteve për bizneset fillestare dhe organizatat mbështetëse. Kjo përfshin, ndër të tjera, zhvillimin e një rrjeti engjëjsh biznesi dhe kuadrin ligjor për financimin nga turma.</w:t>
      </w:r>
    </w:p>
    <w:p w14:paraId="70D6A125" w14:textId="77777777" w:rsidR="00D830F5" w:rsidRPr="005208DC" w:rsidRDefault="00D830F5" w:rsidP="00D830F5">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Programi i Aftësive të Sipërmarrjes për SME-të etj. Ky program do të përdorë në mënyrë specifike sinergjitë me veprime të tjera prioritare, si vlerësimi periodik i nevojave për trajnim dhe programi i zhvillimit të fuqisë punëtore. Vlerësimi i nevojave për trajnim do të ndihmojë në përshtatjen e shërbimeve mbështetëse të biznesit me nevojat e NVM-ve, sektorit të tyre, fazës së zhvillimit dhe përvojës së tregut. Gjithashtu, ky veprim plotëson zhvillimin e aftësive të punonjësve përmes programit të zhvillimit të fuqisë punëtore.</w:t>
      </w:r>
    </w:p>
    <w:p w14:paraId="195C2DF0" w14:textId="74F10053" w:rsidR="00D44556" w:rsidRPr="005208DC" w:rsidRDefault="00D830F5" w:rsidP="00D830F5">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Një nga KPI në fushën e 'zhvillimit të NVM-ve, sipërmarrjes dhe inovacionit' është rritja e vlerësimit në Indeksin e Politikave të NVM-ve (Shërbimet Mbështetëse për SME-të) nga 3.6 në 4.4.</w:t>
      </w:r>
    </w:p>
    <w:p w14:paraId="005B0CBC" w14:textId="77777777" w:rsidR="00D44556" w:rsidRPr="005208DC" w:rsidRDefault="00D44556" w:rsidP="00857902">
      <w:pPr>
        <w:jc w:val="both"/>
        <w:rPr>
          <w:rFonts w:asciiTheme="majorBidi" w:hAnsiTheme="majorBidi" w:cstheme="majorBidi"/>
          <w:color w:val="0D0D0D" w:themeColor="text1" w:themeTint="F2"/>
          <w:lang w:val="sq-AL"/>
        </w:rPr>
      </w:pPr>
    </w:p>
    <w:p w14:paraId="4AD9DBBB" w14:textId="013FC87E" w:rsidR="001B78FB" w:rsidRPr="005208DC" w:rsidRDefault="001B78FB" w:rsidP="00D830F5">
      <w:pPr>
        <w:snapToGrid w:val="0"/>
        <w:rPr>
          <w:rFonts w:asciiTheme="majorBidi" w:hAnsiTheme="majorBidi" w:cstheme="majorBidi"/>
          <w:b/>
          <w:i/>
          <w:color w:val="0D0D0D" w:themeColor="text1" w:themeTint="F2"/>
          <w:lang w:val="sq-AL"/>
        </w:rPr>
      </w:pPr>
      <w:r w:rsidRPr="005208DC">
        <w:rPr>
          <w:rFonts w:asciiTheme="majorBidi" w:hAnsiTheme="majorBidi" w:cstheme="majorBidi"/>
          <w:b/>
          <w:i/>
          <w:color w:val="0D0D0D" w:themeColor="text1" w:themeTint="F2"/>
          <w:lang w:val="sq-AL"/>
        </w:rPr>
        <w:t>4.2</w:t>
      </w:r>
      <w:r w:rsidR="00626FE1" w:rsidRPr="005208DC">
        <w:rPr>
          <w:rFonts w:asciiTheme="majorBidi" w:hAnsiTheme="majorBidi" w:cstheme="majorBidi"/>
          <w:b/>
          <w:i/>
          <w:color w:val="0D0D0D" w:themeColor="text1" w:themeTint="F2"/>
          <w:lang w:val="sq-AL"/>
        </w:rPr>
        <w:t xml:space="preserve"> </w:t>
      </w:r>
      <w:r w:rsidR="00D830F5" w:rsidRPr="005208DC">
        <w:rPr>
          <w:rFonts w:asciiTheme="majorBidi" w:hAnsiTheme="majorBidi" w:cstheme="majorBidi"/>
          <w:b/>
          <w:i/>
          <w:color w:val="0D0D0D" w:themeColor="text1" w:themeTint="F2"/>
          <w:lang w:val="sq-AL"/>
        </w:rPr>
        <w:t>Përmirësimi i transparencës në miratimin dhe zbatimin e legjislacionit, veçanërisht duke siguruar një konsultim efektiv në kohë të bizneseve dhe partnerëve socialë mbi legjislacionin e ri që ndikon në veprimtarinë e tyre</w:t>
      </w:r>
      <w:r w:rsidRPr="005208DC">
        <w:rPr>
          <w:rFonts w:asciiTheme="majorBidi" w:hAnsiTheme="majorBidi" w:cstheme="majorBidi"/>
          <w:b/>
          <w:i/>
          <w:color w:val="0D0D0D" w:themeColor="text1" w:themeTint="F2"/>
          <w:lang w:val="sq-AL"/>
        </w:rPr>
        <w:t>.</w:t>
      </w:r>
    </w:p>
    <w:p w14:paraId="0AA1A26B" w14:textId="34549002" w:rsidR="00D44556" w:rsidRPr="005208DC" w:rsidRDefault="00D830F5" w:rsidP="00D830F5">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 të përmirësuar transparencën në miratimin dhe zbatimin e legjislacionit ne plotësojmë disa forma të konsultimit publik të dërguara nga Kryeministri të quajtura 'Raportet e Konsultimeve Publike' të cilat përmbajnë të gjitha informacionet në lidhje me metodat e konsultimit publik, palët e interesuara të përfshira, deklaratën e komenteve të marra me komente arsyetuese. marrë / refuzuar, kohëzgjatja e konsultimit. Ky raport më pas publikohet në faqen zyrtare të konsultimit publik</w:t>
      </w:r>
    </w:p>
    <w:p w14:paraId="79093045" w14:textId="75E08B68" w:rsidR="001F759C" w:rsidRPr="005208DC" w:rsidRDefault="00EC750F" w:rsidP="00857902">
      <w:pPr>
        <w:snapToGrid w:val="0"/>
        <w:rPr>
          <w:rFonts w:asciiTheme="majorBidi" w:hAnsiTheme="majorBidi" w:cstheme="majorBidi"/>
          <w:color w:val="0D0D0D" w:themeColor="text1" w:themeTint="F2"/>
          <w:lang w:val="sq-AL"/>
        </w:rPr>
      </w:pPr>
      <w:hyperlink r:id="rId13" w:history="1">
        <w:r w:rsidR="00D44556" w:rsidRPr="005208DC">
          <w:rPr>
            <w:rStyle w:val="Hyperlink"/>
            <w:rFonts w:asciiTheme="majorBidi" w:hAnsiTheme="majorBidi" w:cstheme="majorBidi"/>
            <w:color w:val="0D0D0D" w:themeColor="text1" w:themeTint="F2"/>
            <w:lang w:val="sq-AL"/>
          </w:rPr>
          <w:t>https://konsultimipublik.gov.al/Konsultime/Detaje/355</w:t>
        </w:r>
      </w:hyperlink>
    </w:p>
    <w:p w14:paraId="6A392560" w14:textId="77777777" w:rsidR="000D485C" w:rsidRPr="005208DC" w:rsidRDefault="000D485C" w:rsidP="00857902">
      <w:pPr>
        <w:snapToGrid w:val="0"/>
        <w:rPr>
          <w:rFonts w:asciiTheme="majorBidi" w:hAnsiTheme="majorBidi" w:cstheme="majorBidi"/>
          <w:color w:val="0D0D0D" w:themeColor="text1" w:themeTint="F2"/>
          <w:lang w:val="sq-AL"/>
        </w:rPr>
      </w:pPr>
    </w:p>
    <w:p w14:paraId="5D6EE014" w14:textId="4BF58E49" w:rsidR="00376E55" w:rsidRPr="005208DC" w:rsidRDefault="001B78FB" w:rsidP="00857902">
      <w:pPr>
        <w:snapToGrid w:val="0"/>
        <w:rPr>
          <w:rFonts w:asciiTheme="majorBidi" w:hAnsiTheme="majorBidi" w:cstheme="majorBidi"/>
          <w:b/>
          <w:i/>
          <w:color w:val="0D0D0D" w:themeColor="text1" w:themeTint="F2"/>
          <w:lang w:val="sq-AL"/>
        </w:rPr>
      </w:pPr>
      <w:r w:rsidRPr="005208DC">
        <w:rPr>
          <w:rFonts w:asciiTheme="majorBidi" w:hAnsiTheme="majorBidi" w:cstheme="majorBidi"/>
          <w:b/>
          <w:i/>
          <w:color w:val="0D0D0D" w:themeColor="text1" w:themeTint="F2"/>
          <w:lang w:val="sq-AL"/>
        </w:rPr>
        <w:t>4.3</w:t>
      </w:r>
      <w:r w:rsidR="00626FE1" w:rsidRPr="005208DC">
        <w:rPr>
          <w:rFonts w:asciiTheme="majorBidi" w:hAnsiTheme="majorBidi" w:cstheme="majorBidi"/>
          <w:b/>
          <w:i/>
          <w:color w:val="0D0D0D" w:themeColor="text1" w:themeTint="F2"/>
          <w:lang w:val="sq-AL"/>
        </w:rPr>
        <w:t xml:space="preserve"> </w:t>
      </w:r>
      <w:r w:rsidR="00020EB1" w:rsidRPr="005208DC">
        <w:rPr>
          <w:rFonts w:asciiTheme="majorBidi" w:hAnsiTheme="majorBidi" w:cstheme="majorBidi"/>
          <w:b/>
          <w:i/>
          <w:color w:val="0D0D0D" w:themeColor="text1" w:themeTint="F2"/>
          <w:lang w:val="sq-AL"/>
        </w:rPr>
        <w:t xml:space="preserve">Hartoni dhe konsultoni një strategji </w:t>
      </w:r>
      <w:r w:rsidR="002F6FE6" w:rsidRPr="005208DC">
        <w:rPr>
          <w:rFonts w:asciiTheme="majorBidi" w:hAnsiTheme="majorBidi" w:cstheme="majorBidi"/>
          <w:b/>
          <w:i/>
          <w:color w:val="0D0D0D" w:themeColor="text1" w:themeTint="F2"/>
          <w:lang w:val="sq-AL"/>
        </w:rPr>
        <w:t>gjithëpërfshirëse</w:t>
      </w:r>
      <w:r w:rsidR="00020EB1" w:rsidRPr="005208DC">
        <w:rPr>
          <w:rFonts w:asciiTheme="majorBidi" w:hAnsiTheme="majorBidi" w:cstheme="majorBidi"/>
          <w:b/>
          <w:i/>
          <w:color w:val="0D0D0D" w:themeColor="text1" w:themeTint="F2"/>
          <w:lang w:val="sq-AL"/>
        </w:rPr>
        <w:t xml:space="preserve"> për të trajtuar dhe </w:t>
      </w:r>
      <w:r w:rsidR="002F6FE6" w:rsidRPr="005208DC">
        <w:rPr>
          <w:rFonts w:asciiTheme="majorBidi" w:hAnsiTheme="majorBidi" w:cstheme="majorBidi"/>
          <w:b/>
          <w:i/>
          <w:color w:val="0D0D0D" w:themeColor="text1" w:themeTint="F2"/>
          <w:lang w:val="sq-AL"/>
        </w:rPr>
        <w:t>mbikëqyrur</w:t>
      </w:r>
      <w:r w:rsidR="00020EB1" w:rsidRPr="005208DC">
        <w:rPr>
          <w:rFonts w:asciiTheme="majorBidi" w:hAnsiTheme="majorBidi" w:cstheme="majorBidi"/>
          <w:b/>
          <w:i/>
          <w:color w:val="0D0D0D" w:themeColor="text1" w:themeTint="F2"/>
          <w:lang w:val="sq-AL"/>
        </w:rPr>
        <w:t xml:space="preserve"> të gjitha aspektet e informalitetit, me një plan veprimi me baselines, duke përfshirë objektiva të qarta dhe të matshme dhe për të vendosur një monitorim të rregullt të bazuar në ecurinë e zbatimit dhe rezultateve të tij.</w:t>
      </w:r>
      <w:r w:rsidR="00376E55" w:rsidRPr="005208DC">
        <w:rPr>
          <w:rFonts w:asciiTheme="majorBidi" w:hAnsiTheme="majorBidi" w:cstheme="majorBidi"/>
          <w:b/>
          <w:i/>
          <w:color w:val="0D0D0D" w:themeColor="text1" w:themeTint="F2"/>
          <w:lang w:val="sq-AL"/>
        </w:rPr>
        <w:t>.</w:t>
      </w:r>
    </w:p>
    <w:p w14:paraId="705BE51A" w14:textId="77777777" w:rsidR="002F6FE6" w:rsidRPr="005208DC" w:rsidRDefault="002F6FE6" w:rsidP="00857902">
      <w:pPr>
        <w:snapToGrid w:val="0"/>
        <w:rPr>
          <w:rFonts w:ascii="Times New Roman" w:hAnsi="Times New Roman"/>
          <w:color w:val="0D0D0D" w:themeColor="text1" w:themeTint="F2"/>
          <w:lang w:val="sq-AL"/>
        </w:rPr>
      </w:pPr>
      <w:r w:rsidRPr="005208DC">
        <w:rPr>
          <w:rFonts w:ascii="Times New Roman" w:hAnsi="Times New Roman"/>
          <w:color w:val="0D0D0D" w:themeColor="text1" w:themeTint="F2"/>
          <w:lang w:val="sq-AL"/>
        </w:rPr>
        <w:t>Gjatë periudhës 2022-2024, përpjekjet e Administratës Tatimore Shqiptare për të luftuar informalitetin do të përqendrohen në:</w:t>
      </w:r>
    </w:p>
    <w:p w14:paraId="5C8A5B1E" w14:textId="77777777" w:rsidR="002F6FE6" w:rsidRPr="005208DC" w:rsidRDefault="002F6FE6" w:rsidP="00F957E8">
      <w:pPr>
        <w:pStyle w:val="ListParagraph"/>
        <w:numPr>
          <w:ilvl w:val="0"/>
          <w:numId w:val="120"/>
        </w:numPr>
        <w:snapToGrid w:val="0"/>
        <w:ind w:left="709" w:hanging="425"/>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Kriteret e reja dhe të përmirësuara të riskut për identifikimin e tatimpaguesve në mospërmbushje të detyrimeve tatimore (tatimpaguesit me rritje të të ardhurave, por ulje të detyrimit TVSH; tatimpaguesit që nuk deklarojnë shpenzimet për faturat e energjisë elektrike; tatimpaguesit me paga të nëndeklaruara për punonjësit e tyre – të identifikuara duke krahasuar të dhënat disavjeçare).</w:t>
      </w:r>
    </w:p>
    <w:p w14:paraId="42D67A3F" w14:textId="77777777" w:rsidR="002F6FE6" w:rsidRPr="005208DC" w:rsidRDefault="002F6FE6" w:rsidP="00F957E8">
      <w:pPr>
        <w:pStyle w:val="ListParagraph"/>
        <w:numPr>
          <w:ilvl w:val="0"/>
          <w:numId w:val="120"/>
        </w:numPr>
        <w:snapToGrid w:val="0"/>
        <w:ind w:left="709" w:hanging="425"/>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Trajtimi i evazionit fiskal, mashtrimit fiskal dhe informalitetit, duke përdorur në kohë reale mbikëqyrjen e transaksioneve financiare midis tatimpaguesve, sipas sistemit të sapozbatuar të fiskalizimit (sistemi i monitorimit dhe mbikëqyrjes së veprimtarive tregtare të tatimpaguesve nga autoritetet tatimore shqiptare). Ky sistem do të sjellë më shumë raportime transaksionesh me para në dorë dhe do të reduktojë transaksionet e fshehura pa para, me kontroll më të mirë të sistemit fiskal. Do të ndihmojë gjithashtu efikasitetin në raportimin fiskal, duke mbledhur më shumë të dhëna nga tatimpaguesit dhe duke parambushur deklaratën e TVSH-së me këto të dhëna.</w:t>
      </w:r>
    </w:p>
    <w:p w14:paraId="391C8F64" w14:textId="77777777" w:rsidR="002F6FE6" w:rsidRPr="005208DC" w:rsidRDefault="002F6FE6" w:rsidP="00F957E8">
      <w:pPr>
        <w:pStyle w:val="ListParagraph"/>
        <w:numPr>
          <w:ilvl w:val="0"/>
          <w:numId w:val="120"/>
        </w:numPr>
        <w:snapToGrid w:val="0"/>
        <w:ind w:left="709" w:hanging="425"/>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Detektimi i të ardhurave globale të padeklaruara nga tatimpaguesit dhe individët, nëpërmjet shkëmbimit të parë automatik të informacionit mbi llogaritë financiare në vitin 2021 e në vijim, sipas Standardit të Përbashkët të Raportimit të OECD-së.</w:t>
      </w:r>
    </w:p>
    <w:p w14:paraId="17B5B444" w14:textId="77777777" w:rsidR="002F6FE6" w:rsidRPr="005208DC" w:rsidRDefault="002F6FE6" w:rsidP="00F957E8">
      <w:pPr>
        <w:pStyle w:val="ListParagraph"/>
        <w:numPr>
          <w:ilvl w:val="0"/>
          <w:numId w:val="120"/>
        </w:numPr>
        <w:snapToGrid w:val="0"/>
        <w:ind w:left="709" w:hanging="425"/>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 xml:space="preserve">Integrimi dhe përdorimi i të dhënave nga palët e treta në </w:t>
      </w:r>
      <w:r w:rsidRPr="005208DC">
        <w:rPr>
          <w:rFonts w:ascii="Times New Roman" w:hAnsi="Times New Roman" w:cs="Times New Roman"/>
          <w:i/>
          <w:iCs/>
          <w:color w:val="0D0D0D" w:themeColor="text1" w:themeTint="F2"/>
          <w:sz w:val="24"/>
          <w:szCs w:val="24"/>
          <w:lang w:val="sq-AL"/>
        </w:rPr>
        <w:t>Data Warehouse</w:t>
      </w:r>
      <w:r w:rsidRPr="005208DC">
        <w:rPr>
          <w:rFonts w:ascii="Times New Roman" w:hAnsi="Times New Roman" w:cs="Times New Roman"/>
          <w:color w:val="0D0D0D" w:themeColor="text1" w:themeTint="F2"/>
          <w:sz w:val="24"/>
          <w:szCs w:val="24"/>
          <w:lang w:val="sq-AL"/>
        </w:rPr>
        <w:t xml:space="preserve"> të administratës tatimore, {autoritetet kombëtare të shërbimeve (uji, elektriciteti), regjistrimi i automjeteve, bashkitë, etj.} Duke marrë në konsideratë hendekun e TVSH-së si dhe mospërputhjet e të dhënave, mbledhjen e të dhënave dhe administrimin e mire të tyre, ndërtimi i një </w:t>
      </w:r>
      <w:r w:rsidRPr="005208DC">
        <w:rPr>
          <w:rFonts w:ascii="Times New Roman" w:hAnsi="Times New Roman" w:cs="Times New Roman"/>
          <w:i/>
          <w:iCs/>
          <w:color w:val="0D0D0D" w:themeColor="text1" w:themeTint="F2"/>
          <w:sz w:val="24"/>
          <w:szCs w:val="24"/>
          <w:lang w:val="sq-AL"/>
        </w:rPr>
        <w:t>Data Warehouse</w:t>
      </w:r>
      <w:r w:rsidRPr="005208DC">
        <w:rPr>
          <w:rFonts w:ascii="Times New Roman" w:hAnsi="Times New Roman" w:cs="Times New Roman"/>
          <w:color w:val="0D0D0D" w:themeColor="text1" w:themeTint="F2"/>
          <w:sz w:val="24"/>
          <w:szCs w:val="24"/>
          <w:lang w:val="sq-AL"/>
        </w:rPr>
        <w:t xml:space="preserve"> (si një nga rekomandimet e FMN-së) me të dhëna të centralizuara, të menaxhuara nga vetëm një burim, bëhet një hap i madh përpara në lidhje me luftën kundër informalitetit. </w:t>
      </w:r>
    </w:p>
    <w:p w14:paraId="30D14C60" w14:textId="77777777" w:rsidR="002F6FE6" w:rsidRPr="005208DC" w:rsidRDefault="002F6FE6" w:rsidP="00F957E8">
      <w:pPr>
        <w:pStyle w:val="ListParagraph"/>
        <w:numPr>
          <w:ilvl w:val="0"/>
          <w:numId w:val="120"/>
        </w:numPr>
        <w:snapToGrid w:val="0"/>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 xml:space="preserve">Ndërtimi i Regjistrit të Aseteve të Tatimpaguesve (te tundshme &amp; patundshme), me qëllim vlerësimin real të pasurive të tatimpaguesve, duke ndërtuar një sistem për verifikimin dhe ndjekjen e të ardhurave të tatimpaguesve, kontrollin e plotë të pagesave të bëra mbi taksat e pasurisë. Ky proces do të kalojë nëpër 3 faza: a. Krijimi i një Regjistri asetesh me atributet përkatëse; b. Shkëmbimi i të dhënave me </w:t>
      </w:r>
      <w:r w:rsidRPr="005208DC">
        <w:rPr>
          <w:rFonts w:ascii="Times New Roman" w:hAnsi="Times New Roman" w:cs="Times New Roman"/>
          <w:i/>
          <w:iCs/>
          <w:color w:val="0D0D0D" w:themeColor="text1" w:themeTint="F2"/>
          <w:sz w:val="24"/>
          <w:szCs w:val="24"/>
          <w:lang w:val="sq-AL"/>
        </w:rPr>
        <w:t>web-service</w:t>
      </w:r>
      <w:r w:rsidRPr="005208DC">
        <w:rPr>
          <w:rFonts w:ascii="Times New Roman" w:hAnsi="Times New Roman" w:cs="Times New Roman"/>
          <w:color w:val="0D0D0D" w:themeColor="text1" w:themeTint="F2"/>
          <w:sz w:val="24"/>
          <w:szCs w:val="24"/>
          <w:lang w:val="sq-AL"/>
        </w:rPr>
        <w:t xml:space="preserve">; c. Analiza e të dhënave me raportet </w:t>
      </w:r>
      <w:r w:rsidRPr="005208DC">
        <w:rPr>
          <w:rFonts w:ascii="Times New Roman" w:hAnsi="Times New Roman" w:cs="Times New Roman"/>
          <w:i/>
          <w:iCs/>
          <w:color w:val="0D0D0D" w:themeColor="text1" w:themeTint="F2"/>
          <w:sz w:val="24"/>
          <w:szCs w:val="24"/>
          <w:lang w:val="sq-AL"/>
        </w:rPr>
        <w:t>BI</w:t>
      </w:r>
      <w:r w:rsidRPr="005208DC">
        <w:rPr>
          <w:rFonts w:ascii="Times New Roman" w:hAnsi="Times New Roman" w:cs="Times New Roman"/>
          <w:color w:val="0D0D0D" w:themeColor="text1" w:themeTint="F2"/>
          <w:sz w:val="24"/>
          <w:szCs w:val="24"/>
          <w:lang w:val="sq-AL"/>
        </w:rPr>
        <w:t xml:space="preserve">. </w:t>
      </w:r>
    </w:p>
    <w:p w14:paraId="686BD723" w14:textId="77777777" w:rsidR="002F6FE6" w:rsidRPr="005208DC" w:rsidRDefault="002F6FE6" w:rsidP="00F957E8">
      <w:pPr>
        <w:pStyle w:val="ListParagraph"/>
        <w:numPr>
          <w:ilvl w:val="0"/>
          <w:numId w:val="120"/>
        </w:numPr>
        <w:snapToGrid w:val="0"/>
        <w:ind w:left="709" w:hanging="425"/>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Hartimi dhe zbatimi i një programi përmbushjeje për individët më të pasur</w:t>
      </w:r>
      <w:r w:rsidRPr="005208DC">
        <w:rPr>
          <w:rStyle w:val="FootnoteReference"/>
          <w:rFonts w:ascii="Times New Roman" w:hAnsi="Times New Roman" w:cs="Times New Roman"/>
          <w:color w:val="0D0D0D" w:themeColor="text1" w:themeTint="F2"/>
          <w:sz w:val="24"/>
          <w:szCs w:val="24"/>
          <w:lang w:val="sq-AL"/>
        </w:rPr>
        <w:footnoteReference w:id="1"/>
      </w:r>
      <w:r w:rsidRPr="005208DC">
        <w:rPr>
          <w:rFonts w:ascii="Times New Roman" w:hAnsi="Times New Roman" w:cs="Times New Roman"/>
          <w:color w:val="0D0D0D" w:themeColor="text1" w:themeTint="F2"/>
          <w:sz w:val="24"/>
          <w:szCs w:val="24"/>
          <w:lang w:val="sq-AL"/>
        </w:rPr>
        <w:t>.</w:t>
      </w:r>
    </w:p>
    <w:p w14:paraId="0C2958DF" w14:textId="77777777" w:rsidR="002F6FE6" w:rsidRPr="005208DC" w:rsidRDefault="002F6FE6" w:rsidP="00F957E8">
      <w:pPr>
        <w:pStyle w:val="ListParagraph"/>
        <w:numPr>
          <w:ilvl w:val="0"/>
          <w:numId w:val="120"/>
        </w:numPr>
        <w:snapToGrid w:val="0"/>
        <w:ind w:left="709" w:hanging="425"/>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Fuqizimi i sistemit dhe përdorimi i të dhënave në procesin e vendim-marrjes në lidhje me individët e pasur.</w:t>
      </w:r>
    </w:p>
    <w:p w14:paraId="29431FDB" w14:textId="77777777" w:rsidR="002F6FE6" w:rsidRPr="005208DC" w:rsidRDefault="002F6FE6" w:rsidP="00F957E8">
      <w:pPr>
        <w:pStyle w:val="ListParagraph"/>
        <w:numPr>
          <w:ilvl w:val="0"/>
          <w:numId w:val="120"/>
        </w:numPr>
        <w:snapToGrid w:val="0"/>
        <w:ind w:left="709" w:hanging="425"/>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Përdorimi i qasjes së integruar për zbatimin e strategjisë së përmbushjes së individëve të pasur.</w:t>
      </w:r>
    </w:p>
    <w:p w14:paraId="0F29DAEB" w14:textId="77777777" w:rsidR="002F6FE6" w:rsidRPr="005208DC" w:rsidRDefault="002F6FE6" w:rsidP="00F957E8">
      <w:pPr>
        <w:pStyle w:val="ListParagraph"/>
        <w:numPr>
          <w:ilvl w:val="0"/>
          <w:numId w:val="120"/>
        </w:numPr>
        <w:snapToGrid w:val="0"/>
        <w:ind w:left="709" w:hanging="425"/>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Zbatimi i planit sektorial të turizmit.</w:t>
      </w:r>
    </w:p>
    <w:p w14:paraId="53C0325A" w14:textId="77777777" w:rsidR="002F6FE6" w:rsidRPr="005208DC" w:rsidRDefault="002F6FE6" w:rsidP="00F957E8">
      <w:pPr>
        <w:pStyle w:val="ListParagraph"/>
        <w:numPr>
          <w:ilvl w:val="0"/>
          <w:numId w:val="120"/>
        </w:numPr>
        <w:snapToGrid w:val="0"/>
        <w:ind w:left="709" w:hanging="425"/>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Analiza dhe zbatimi i rregullave të riskut për monitorimin e tatimpaguesve në kuadrin e ndryshimit të pragut të TVSH-së në 10 milionë Lek.</w:t>
      </w:r>
    </w:p>
    <w:p w14:paraId="0F587D64" w14:textId="77777777" w:rsidR="002F6FE6" w:rsidRPr="005208DC" w:rsidRDefault="002F6FE6" w:rsidP="00F957E8">
      <w:pPr>
        <w:pStyle w:val="ListParagraph"/>
        <w:numPr>
          <w:ilvl w:val="0"/>
          <w:numId w:val="120"/>
        </w:numPr>
        <w:snapToGrid w:val="0"/>
        <w:ind w:left="709" w:hanging="425"/>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Zbatimi i planit sektorial të informalitetit në tregun e punës në 4 komponentët e tij.</w:t>
      </w:r>
    </w:p>
    <w:p w14:paraId="50CF1EDF" w14:textId="77777777" w:rsidR="002F6FE6" w:rsidRPr="005208DC" w:rsidRDefault="002F6FE6" w:rsidP="00857902">
      <w:pPr>
        <w:snapToGrid w:val="0"/>
        <w:rPr>
          <w:rFonts w:asciiTheme="majorBidi" w:hAnsiTheme="majorBidi" w:cstheme="majorBidi"/>
          <w:color w:val="0D0D0D" w:themeColor="text1" w:themeTint="F2"/>
          <w:lang w:val="sq-AL"/>
        </w:rPr>
      </w:pPr>
    </w:p>
    <w:p w14:paraId="34E03E09" w14:textId="77777777" w:rsidR="002F6FE6" w:rsidRPr="005208DC" w:rsidRDefault="002F6FE6" w:rsidP="00857902">
      <w:pPr>
        <w:pStyle w:val="CommentText"/>
        <w:jc w:val="both"/>
        <w:rPr>
          <w:color w:val="0D0D0D" w:themeColor="text1" w:themeTint="F2"/>
          <w:sz w:val="24"/>
          <w:szCs w:val="24"/>
          <w:lang w:val="sq-AL"/>
        </w:rPr>
      </w:pPr>
      <w:r w:rsidRPr="005208DC">
        <w:rPr>
          <w:color w:val="0D0D0D" w:themeColor="text1" w:themeTint="F2"/>
          <w:sz w:val="24"/>
          <w:szCs w:val="24"/>
          <w:lang w:val="sq-AL"/>
        </w:rPr>
        <w:t xml:space="preserve">Të gjitha këto aktivitete përshkruhen më hollësisht në seksionin </w:t>
      </w:r>
      <w:r w:rsidRPr="005208DC">
        <w:rPr>
          <w:i/>
          <w:iCs/>
          <w:color w:val="0D0D0D" w:themeColor="text1" w:themeTint="F2"/>
          <w:sz w:val="24"/>
          <w:szCs w:val="24"/>
          <w:lang w:val="sq-AL"/>
        </w:rPr>
        <w:t>Masa e Reformës 06: Forcimi i luftës kundër informalitetit</w:t>
      </w:r>
      <w:r w:rsidRPr="005208DC">
        <w:rPr>
          <w:color w:val="0D0D0D" w:themeColor="text1" w:themeTint="F2"/>
          <w:sz w:val="24"/>
          <w:szCs w:val="24"/>
          <w:lang w:val="sq-AL"/>
        </w:rPr>
        <w:t>.</w:t>
      </w:r>
    </w:p>
    <w:p w14:paraId="19B89DC3" w14:textId="77777777" w:rsidR="002F6FE6" w:rsidRPr="005208DC" w:rsidRDefault="002F6FE6" w:rsidP="00857902">
      <w:pPr>
        <w:pStyle w:val="CommentText"/>
        <w:jc w:val="both"/>
        <w:rPr>
          <w:color w:val="0D0D0D" w:themeColor="text1" w:themeTint="F2"/>
          <w:sz w:val="24"/>
          <w:szCs w:val="24"/>
          <w:lang w:val="sq-AL"/>
        </w:rPr>
      </w:pPr>
      <w:r w:rsidRPr="005208DC">
        <w:rPr>
          <w:color w:val="0D0D0D" w:themeColor="text1" w:themeTint="F2"/>
          <w:sz w:val="24"/>
          <w:szCs w:val="24"/>
          <w:lang w:val="sq-AL"/>
        </w:rPr>
        <w:t>Administrata tatimore ka marrë në mënyrë të vazhdueshme masa në luftën ndaj informalitetit gjate periudhës se vitit 2021.</w:t>
      </w:r>
    </w:p>
    <w:p w14:paraId="5A89080C" w14:textId="77777777" w:rsidR="002F6FE6" w:rsidRPr="005208DC" w:rsidRDefault="002F6FE6" w:rsidP="00857902">
      <w:pPr>
        <w:pStyle w:val="CommentText"/>
        <w:jc w:val="both"/>
        <w:rPr>
          <w:color w:val="0D0D0D" w:themeColor="text1" w:themeTint="F2"/>
          <w:sz w:val="24"/>
          <w:szCs w:val="24"/>
          <w:lang w:val="sq-AL"/>
        </w:rPr>
      </w:pPr>
      <w:r w:rsidRPr="005208DC">
        <w:rPr>
          <w:color w:val="0D0D0D" w:themeColor="text1" w:themeTint="F2"/>
          <w:sz w:val="24"/>
          <w:szCs w:val="24"/>
          <w:lang w:val="sq-AL"/>
        </w:rPr>
        <w:t>Janë ndërmarrë hapa konkrete  në dërgimin e letrave të personalizuara, ne baze te kritereve te riskut te miratuara ne komitetin e përmbushjes për evidentimin e tatimpaguesve për deklarimin e pagës reale.</w:t>
      </w:r>
    </w:p>
    <w:p w14:paraId="560695C4" w14:textId="77777777" w:rsidR="002F6FE6" w:rsidRPr="005208DC" w:rsidRDefault="002F6FE6" w:rsidP="00857902">
      <w:pPr>
        <w:pStyle w:val="CommentText"/>
        <w:jc w:val="both"/>
        <w:rPr>
          <w:b/>
          <w:color w:val="0D0D0D" w:themeColor="text1" w:themeTint="F2"/>
          <w:sz w:val="24"/>
          <w:szCs w:val="24"/>
          <w:lang w:val="sq-AL"/>
        </w:rPr>
      </w:pPr>
      <w:r w:rsidRPr="005208DC">
        <w:rPr>
          <w:color w:val="0D0D0D" w:themeColor="text1" w:themeTint="F2"/>
          <w:sz w:val="24"/>
          <w:szCs w:val="24"/>
          <w:lang w:val="sq-AL"/>
        </w:rPr>
        <w:t>Konkretisht janë dërguar 3883 letra te personalizuara për  tatimpaguesit për deklarimin e pagës reale.</w:t>
      </w:r>
    </w:p>
    <w:p w14:paraId="55AC5F23" w14:textId="77777777" w:rsidR="002F6FE6" w:rsidRPr="005208DC" w:rsidRDefault="002F6FE6" w:rsidP="00857902">
      <w:pPr>
        <w:pStyle w:val="CommentText"/>
        <w:jc w:val="both"/>
        <w:rPr>
          <w:color w:val="0D0D0D" w:themeColor="text1" w:themeTint="F2"/>
          <w:sz w:val="24"/>
          <w:szCs w:val="24"/>
          <w:lang w:val="sq-AL"/>
        </w:rPr>
      </w:pPr>
      <w:r w:rsidRPr="005208DC">
        <w:rPr>
          <w:color w:val="0D0D0D" w:themeColor="text1" w:themeTint="F2"/>
          <w:sz w:val="24"/>
          <w:szCs w:val="24"/>
          <w:lang w:val="sq-AL"/>
        </w:rPr>
        <w:t xml:space="preserve">Nga monitorimi i kryer për reagimin e këtyre tatimpaguesve është vënë re se kemi një rritje me 2% të numrit të punonjësve dhe me të njëjtën normë të vendeve të punës. </w:t>
      </w:r>
    </w:p>
    <w:p w14:paraId="50CAA0E0" w14:textId="77777777" w:rsidR="002F6FE6" w:rsidRPr="005208DC" w:rsidRDefault="002F6FE6" w:rsidP="00857902">
      <w:pPr>
        <w:pStyle w:val="CommentText"/>
        <w:jc w:val="both"/>
        <w:rPr>
          <w:color w:val="0D0D0D" w:themeColor="text1" w:themeTint="F2"/>
          <w:sz w:val="24"/>
          <w:szCs w:val="24"/>
          <w:lang w:val="sq-AL"/>
        </w:rPr>
      </w:pPr>
      <w:r w:rsidRPr="005208DC">
        <w:rPr>
          <w:color w:val="0D0D0D" w:themeColor="text1" w:themeTint="F2"/>
          <w:sz w:val="24"/>
          <w:szCs w:val="24"/>
          <w:lang w:val="sq-AL"/>
        </w:rPr>
        <w:t xml:space="preserve">Nga të dhënat e fundit që disponojmë, kemi </w:t>
      </w:r>
    </w:p>
    <w:p w14:paraId="088A7F14" w14:textId="77777777" w:rsidR="002F6FE6" w:rsidRPr="005208DC" w:rsidRDefault="002F6FE6" w:rsidP="00F957E8">
      <w:pPr>
        <w:pStyle w:val="CommentText"/>
        <w:numPr>
          <w:ilvl w:val="0"/>
          <w:numId w:val="126"/>
        </w:numPr>
        <w:jc w:val="both"/>
        <w:rPr>
          <w:color w:val="0D0D0D" w:themeColor="text1" w:themeTint="F2"/>
          <w:sz w:val="24"/>
          <w:szCs w:val="24"/>
          <w:lang w:val="sq-AL"/>
        </w:rPr>
      </w:pPr>
      <w:r w:rsidRPr="005208DC">
        <w:rPr>
          <w:color w:val="0D0D0D" w:themeColor="text1" w:themeTint="F2"/>
          <w:sz w:val="24"/>
          <w:szCs w:val="24"/>
          <w:lang w:val="sq-AL"/>
        </w:rPr>
        <w:t>665,327 punonjës</w:t>
      </w:r>
    </w:p>
    <w:p w14:paraId="4439E39A" w14:textId="77777777" w:rsidR="002F6FE6" w:rsidRPr="005208DC" w:rsidRDefault="002F6FE6" w:rsidP="00F957E8">
      <w:pPr>
        <w:pStyle w:val="CommentText"/>
        <w:numPr>
          <w:ilvl w:val="0"/>
          <w:numId w:val="126"/>
        </w:numPr>
        <w:jc w:val="both"/>
        <w:rPr>
          <w:color w:val="0D0D0D" w:themeColor="text1" w:themeTint="F2"/>
          <w:sz w:val="24"/>
          <w:szCs w:val="24"/>
          <w:lang w:val="sq-AL"/>
        </w:rPr>
      </w:pPr>
      <w:r w:rsidRPr="005208DC">
        <w:rPr>
          <w:color w:val="0D0D0D" w:themeColor="text1" w:themeTint="F2"/>
          <w:sz w:val="24"/>
          <w:szCs w:val="24"/>
          <w:lang w:val="sq-AL"/>
        </w:rPr>
        <w:t>705,738 numri i vendeve të punës</w:t>
      </w:r>
    </w:p>
    <w:p w14:paraId="7BDD73C4" w14:textId="77777777" w:rsidR="002F6FE6" w:rsidRPr="005208DC" w:rsidRDefault="002F6FE6" w:rsidP="00857902">
      <w:pPr>
        <w:jc w:val="both"/>
        <w:rPr>
          <w:rFonts w:ascii="Times New Roman" w:eastAsia="Times New Roman" w:hAnsi="Times New Roman"/>
          <w:color w:val="0D0D0D" w:themeColor="text1" w:themeTint="F2"/>
          <w:lang w:val="sq-AL"/>
        </w:rPr>
      </w:pPr>
      <w:r w:rsidRPr="005208DC">
        <w:rPr>
          <w:rFonts w:ascii="Times New Roman" w:hAnsi="Times New Roman"/>
          <w:color w:val="0D0D0D" w:themeColor="text1" w:themeTint="F2"/>
          <w:lang w:val="sq-AL"/>
        </w:rPr>
        <w:t>Për periudhën Janar-Nëntor 2021, Kontributet shoqërore dhe shëndetësore janë në vlerën</w:t>
      </w:r>
      <w:r w:rsidRPr="005208DC">
        <w:rPr>
          <w:rFonts w:ascii="Times New Roman" w:eastAsia="Times New Roman" w:hAnsi="Times New Roman"/>
          <w:color w:val="0D0D0D" w:themeColor="text1" w:themeTint="F2"/>
          <w:lang w:val="sq-AL"/>
        </w:rPr>
        <w:t xml:space="preserve"> 99,121,021,923 lek.</w:t>
      </w:r>
    </w:p>
    <w:p w14:paraId="79AF2AD3" w14:textId="77777777" w:rsidR="002F6FE6" w:rsidRPr="005208DC" w:rsidRDefault="002F6FE6" w:rsidP="00F957E8">
      <w:pPr>
        <w:pStyle w:val="CommentText"/>
        <w:numPr>
          <w:ilvl w:val="0"/>
          <w:numId w:val="128"/>
        </w:numPr>
        <w:jc w:val="both"/>
        <w:rPr>
          <w:color w:val="0D0D0D" w:themeColor="text1" w:themeTint="F2"/>
          <w:sz w:val="24"/>
          <w:szCs w:val="24"/>
          <w:lang w:val="sq-AL"/>
        </w:rPr>
      </w:pPr>
      <w:r w:rsidRPr="005208DC">
        <w:rPr>
          <w:color w:val="0D0D0D" w:themeColor="text1" w:themeTint="F2"/>
          <w:sz w:val="24"/>
          <w:szCs w:val="24"/>
          <w:lang w:val="sq-AL"/>
        </w:rPr>
        <w:t>Rreth 59.000 tatimpagues aktivë të fiskalizuar dhe që prej datës 1 Janar të këtij viti.</w:t>
      </w:r>
    </w:p>
    <w:p w14:paraId="500ACDF9" w14:textId="77777777" w:rsidR="002F6FE6" w:rsidRPr="005208DC" w:rsidRDefault="002F6FE6" w:rsidP="00F957E8">
      <w:pPr>
        <w:pStyle w:val="CommentText"/>
        <w:numPr>
          <w:ilvl w:val="0"/>
          <w:numId w:val="128"/>
        </w:numPr>
        <w:jc w:val="both"/>
        <w:rPr>
          <w:color w:val="0D0D0D" w:themeColor="text1" w:themeTint="F2"/>
          <w:sz w:val="24"/>
          <w:szCs w:val="24"/>
          <w:lang w:val="sq-AL"/>
        </w:rPr>
      </w:pPr>
      <w:r w:rsidRPr="005208DC">
        <w:rPr>
          <w:color w:val="0D0D0D" w:themeColor="text1" w:themeTint="F2"/>
          <w:sz w:val="24"/>
          <w:szCs w:val="24"/>
          <w:lang w:val="sq-AL"/>
        </w:rPr>
        <w:t>88.609 tatimpagues ose 73% e totalit të tatimpaguesve aktivë janë pajisur me certifikatë fiskalizimi.</w:t>
      </w:r>
    </w:p>
    <w:p w14:paraId="498CA3E5" w14:textId="77777777" w:rsidR="002F6FE6" w:rsidRPr="005208DC" w:rsidRDefault="002F6FE6" w:rsidP="00F957E8">
      <w:pPr>
        <w:pStyle w:val="CommentText"/>
        <w:numPr>
          <w:ilvl w:val="0"/>
          <w:numId w:val="128"/>
        </w:numPr>
        <w:jc w:val="both"/>
        <w:rPr>
          <w:color w:val="0D0D0D" w:themeColor="text1" w:themeTint="F2"/>
          <w:sz w:val="24"/>
          <w:szCs w:val="24"/>
          <w:lang w:val="sq-AL"/>
        </w:rPr>
      </w:pPr>
      <w:r w:rsidRPr="005208DC">
        <w:rPr>
          <w:color w:val="0D0D0D" w:themeColor="text1" w:themeTint="F2"/>
          <w:sz w:val="24"/>
          <w:szCs w:val="24"/>
          <w:lang w:val="sq-AL"/>
        </w:rPr>
        <w:t>Rreth 55 698 biznese aktive janë te pajisura me  llogari bankare (sipas ligjit për procedurat tatimore në Republikën e Shqipërisë.)</w:t>
      </w:r>
    </w:p>
    <w:p w14:paraId="33786B3F" w14:textId="77777777" w:rsidR="002F6FE6" w:rsidRPr="005208DC" w:rsidRDefault="002F6FE6" w:rsidP="00F957E8">
      <w:pPr>
        <w:pStyle w:val="CommentText"/>
        <w:numPr>
          <w:ilvl w:val="0"/>
          <w:numId w:val="127"/>
        </w:numPr>
        <w:jc w:val="both"/>
        <w:rPr>
          <w:color w:val="0D0D0D" w:themeColor="text1" w:themeTint="F2"/>
          <w:sz w:val="24"/>
          <w:szCs w:val="24"/>
          <w:lang w:val="sq-AL"/>
        </w:rPr>
      </w:pPr>
      <w:r w:rsidRPr="005208DC">
        <w:rPr>
          <w:color w:val="0D0D0D" w:themeColor="text1" w:themeTint="F2"/>
          <w:sz w:val="24"/>
          <w:szCs w:val="24"/>
          <w:lang w:val="sq-AL"/>
        </w:rPr>
        <w:t>Të ardhurat tatimore neto për 11 mujorin e 2021 llogariten në vlerën 129,920,719 All  duke shënuar një rritje prej 4% në krahasim me gjithë vitin 2020.</w:t>
      </w:r>
    </w:p>
    <w:p w14:paraId="2DB72EAC" w14:textId="77777777" w:rsidR="002F6FE6" w:rsidRPr="005208DC" w:rsidRDefault="002F6FE6" w:rsidP="00857902">
      <w:pPr>
        <w:pStyle w:val="CommentText"/>
        <w:ind w:left="720"/>
        <w:jc w:val="both"/>
        <w:rPr>
          <w:color w:val="0D0D0D" w:themeColor="text1" w:themeTint="F2"/>
          <w:sz w:val="24"/>
          <w:szCs w:val="24"/>
          <w:lang w:val="sq-AL"/>
        </w:rPr>
      </w:pPr>
    </w:p>
    <w:tbl>
      <w:tblPr>
        <w:tblW w:w="7220" w:type="dxa"/>
        <w:jc w:val="center"/>
        <w:tblLook w:val="04A0" w:firstRow="1" w:lastRow="0" w:firstColumn="1" w:lastColumn="0" w:noHBand="0" w:noVBand="1"/>
      </w:tblPr>
      <w:tblGrid>
        <w:gridCol w:w="1084"/>
        <w:gridCol w:w="1948"/>
        <w:gridCol w:w="1494"/>
        <w:gridCol w:w="2694"/>
      </w:tblGrid>
      <w:tr w:rsidR="005208DC" w:rsidRPr="005208DC" w14:paraId="735B6E06" w14:textId="77777777" w:rsidTr="002F6FE6">
        <w:trPr>
          <w:trHeight w:val="1050"/>
          <w:jc w:val="center"/>
        </w:trPr>
        <w:tc>
          <w:tcPr>
            <w:tcW w:w="108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7864DB4" w14:textId="77777777" w:rsidR="002F6FE6" w:rsidRPr="005208DC" w:rsidRDefault="002F6FE6" w:rsidP="00857902">
            <w:pPr>
              <w:jc w:val="center"/>
              <w:rPr>
                <w:rFonts w:ascii="Times New Roman" w:eastAsia="Times New Roman" w:hAnsi="Times New Roman"/>
                <w:b/>
                <w:bCs/>
                <w:color w:val="0D0D0D" w:themeColor="text1" w:themeTint="F2"/>
                <w:sz w:val="22"/>
                <w:szCs w:val="22"/>
                <w:lang w:val="sq-AL"/>
              </w:rPr>
            </w:pPr>
            <w:r w:rsidRPr="005208DC">
              <w:rPr>
                <w:rFonts w:ascii="Times New Roman" w:eastAsia="Times New Roman" w:hAnsi="Times New Roman"/>
                <w:b/>
                <w:bCs/>
                <w:color w:val="0D0D0D" w:themeColor="text1" w:themeTint="F2"/>
                <w:sz w:val="22"/>
                <w:szCs w:val="22"/>
                <w:lang w:val="sq-AL"/>
              </w:rPr>
              <w:t>Periudha</w:t>
            </w:r>
          </w:p>
        </w:tc>
        <w:tc>
          <w:tcPr>
            <w:tcW w:w="1948" w:type="dxa"/>
            <w:tcBorders>
              <w:top w:val="single" w:sz="8" w:space="0" w:color="auto"/>
              <w:left w:val="nil"/>
              <w:bottom w:val="single" w:sz="4" w:space="0" w:color="auto"/>
              <w:right w:val="single" w:sz="4" w:space="0" w:color="auto"/>
            </w:tcBorders>
            <w:shd w:val="clear" w:color="auto" w:fill="auto"/>
            <w:vAlign w:val="center"/>
            <w:hideMark/>
          </w:tcPr>
          <w:p w14:paraId="265FEEB3" w14:textId="77777777" w:rsidR="002F6FE6" w:rsidRPr="005208DC" w:rsidRDefault="002F6FE6" w:rsidP="00857902">
            <w:pPr>
              <w:jc w:val="center"/>
              <w:rPr>
                <w:rFonts w:ascii="Times New Roman" w:eastAsia="Times New Roman" w:hAnsi="Times New Roman"/>
                <w:b/>
                <w:bCs/>
                <w:color w:val="0D0D0D" w:themeColor="text1" w:themeTint="F2"/>
                <w:sz w:val="22"/>
                <w:szCs w:val="22"/>
                <w:lang w:val="sq-AL"/>
              </w:rPr>
            </w:pPr>
            <w:r w:rsidRPr="005208DC">
              <w:rPr>
                <w:rFonts w:ascii="Times New Roman" w:eastAsia="Times New Roman" w:hAnsi="Times New Roman"/>
                <w:b/>
                <w:bCs/>
                <w:color w:val="0D0D0D" w:themeColor="text1" w:themeTint="F2"/>
                <w:sz w:val="22"/>
                <w:szCs w:val="22"/>
                <w:lang w:val="sq-AL"/>
              </w:rPr>
              <w:t>Nr. Punonjësve</w:t>
            </w:r>
          </w:p>
        </w:tc>
        <w:tc>
          <w:tcPr>
            <w:tcW w:w="1494" w:type="dxa"/>
            <w:tcBorders>
              <w:top w:val="single" w:sz="8" w:space="0" w:color="auto"/>
              <w:left w:val="nil"/>
              <w:bottom w:val="single" w:sz="4" w:space="0" w:color="auto"/>
              <w:right w:val="single" w:sz="4" w:space="0" w:color="auto"/>
            </w:tcBorders>
            <w:shd w:val="clear" w:color="auto" w:fill="auto"/>
            <w:vAlign w:val="center"/>
            <w:hideMark/>
          </w:tcPr>
          <w:p w14:paraId="4955099E" w14:textId="77777777" w:rsidR="002F6FE6" w:rsidRPr="005208DC" w:rsidRDefault="002F6FE6" w:rsidP="00857902">
            <w:pPr>
              <w:jc w:val="center"/>
              <w:rPr>
                <w:rFonts w:ascii="Times New Roman" w:eastAsia="Times New Roman" w:hAnsi="Times New Roman"/>
                <w:b/>
                <w:bCs/>
                <w:color w:val="0D0D0D" w:themeColor="text1" w:themeTint="F2"/>
                <w:sz w:val="22"/>
                <w:szCs w:val="22"/>
                <w:lang w:val="sq-AL"/>
              </w:rPr>
            </w:pPr>
            <w:r w:rsidRPr="005208DC">
              <w:rPr>
                <w:rFonts w:ascii="Times New Roman" w:eastAsia="Times New Roman" w:hAnsi="Times New Roman"/>
                <w:b/>
                <w:bCs/>
                <w:color w:val="0D0D0D" w:themeColor="text1" w:themeTint="F2"/>
                <w:sz w:val="22"/>
                <w:szCs w:val="22"/>
                <w:lang w:val="sq-AL"/>
              </w:rPr>
              <w:t>Nr. i vendeve te punës</w:t>
            </w:r>
          </w:p>
        </w:tc>
        <w:tc>
          <w:tcPr>
            <w:tcW w:w="2694" w:type="dxa"/>
            <w:tcBorders>
              <w:top w:val="single" w:sz="8" w:space="0" w:color="auto"/>
              <w:left w:val="nil"/>
              <w:bottom w:val="single" w:sz="4" w:space="0" w:color="auto"/>
              <w:right w:val="single" w:sz="8" w:space="0" w:color="auto"/>
            </w:tcBorders>
            <w:shd w:val="clear" w:color="auto" w:fill="auto"/>
            <w:vAlign w:val="center"/>
            <w:hideMark/>
          </w:tcPr>
          <w:p w14:paraId="5E5EBBE7" w14:textId="77777777" w:rsidR="002F6FE6" w:rsidRPr="005208DC" w:rsidRDefault="002F6FE6" w:rsidP="00857902">
            <w:pPr>
              <w:jc w:val="center"/>
              <w:rPr>
                <w:rFonts w:ascii="Times New Roman" w:eastAsia="Times New Roman" w:hAnsi="Times New Roman"/>
                <w:b/>
                <w:bCs/>
                <w:color w:val="0D0D0D" w:themeColor="text1" w:themeTint="F2"/>
                <w:sz w:val="22"/>
                <w:szCs w:val="22"/>
                <w:lang w:val="sq-AL"/>
              </w:rPr>
            </w:pPr>
            <w:r w:rsidRPr="005208DC">
              <w:rPr>
                <w:rFonts w:ascii="Times New Roman" w:eastAsia="Times New Roman" w:hAnsi="Times New Roman"/>
                <w:b/>
                <w:bCs/>
                <w:color w:val="0D0D0D" w:themeColor="text1" w:themeTint="F2"/>
                <w:sz w:val="22"/>
                <w:szCs w:val="22"/>
                <w:lang w:val="sq-AL"/>
              </w:rPr>
              <w:t>Kontributet shoqërore dhe shëndetësore ne total</w:t>
            </w:r>
          </w:p>
        </w:tc>
      </w:tr>
      <w:tr w:rsidR="005208DC" w:rsidRPr="005208DC" w14:paraId="545838BC" w14:textId="77777777" w:rsidTr="002F6FE6">
        <w:trPr>
          <w:trHeight w:val="315"/>
          <w:jc w:val="center"/>
        </w:trPr>
        <w:tc>
          <w:tcPr>
            <w:tcW w:w="1084" w:type="dxa"/>
            <w:tcBorders>
              <w:top w:val="nil"/>
              <w:left w:val="single" w:sz="8" w:space="0" w:color="auto"/>
              <w:bottom w:val="single" w:sz="8" w:space="0" w:color="auto"/>
              <w:right w:val="single" w:sz="4" w:space="0" w:color="auto"/>
            </w:tcBorders>
            <w:shd w:val="clear" w:color="auto" w:fill="auto"/>
            <w:noWrap/>
            <w:vAlign w:val="bottom"/>
            <w:hideMark/>
          </w:tcPr>
          <w:p w14:paraId="1598C59B" w14:textId="77777777" w:rsidR="002F6FE6" w:rsidRPr="005208DC" w:rsidRDefault="002F6FE6" w:rsidP="00857902">
            <w:pPr>
              <w:jc w:val="center"/>
              <w:rPr>
                <w:rFonts w:ascii="Times New Roman" w:eastAsia="Times New Roman" w:hAnsi="Times New Roman"/>
                <w:color w:val="0D0D0D" w:themeColor="text1" w:themeTint="F2"/>
                <w:sz w:val="22"/>
                <w:szCs w:val="22"/>
                <w:lang w:val="sq-AL"/>
              </w:rPr>
            </w:pPr>
            <w:r w:rsidRPr="005208DC">
              <w:rPr>
                <w:rFonts w:ascii="Times New Roman" w:eastAsia="Times New Roman" w:hAnsi="Times New Roman"/>
                <w:color w:val="0D0D0D" w:themeColor="text1" w:themeTint="F2"/>
                <w:sz w:val="22"/>
                <w:szCs w:val="22"/>
                <w:lang w:val="sq-AL"/>
              </w:rPr>
              <w:t>jan-nentor 2021</w:t>
            </w:r>
          </w:p>
        </w:tc>
        <w:tc>
          <w:tcPr>
            <w:tcW w:w="1948" w:type="dxa"/>
            <w:tcBorders>
              <w:top w:val="nil"/>
              <w:left w:val="nil"/>
              <w:bottom w:val="single" w:sz="8" w:space="0" w:color="auto"/>
              <w:right w:val="single" w:sz="4" w:space="0" w:color="auto"/>
            </w:tcBorders>
            <w:shd w:val="clear" w:color="auto" w:fill="auto"/>
            <w:noWrap/>
            <w:vAlign w:val="center"/>
            <w:hideMark/>
          </w:tcPr>
          <w:p w14:paraId="20E194AA" w14:textId="77777777" w:rsidR="002F6FE6" w:rsidRPr="005208DC" w:rsidRDefault="002F6FE6" w:rsidP="00857902">
            <w:pPr>
              <w:jc w:val="center"/>
              <w:rPr>
                <w:rFonts w:ascii="Times New Roman" w:eastAsia="Times New Roman" w:hAnsi="Times New Roman"/>
                <w:color w:val="0D0D0D" w:themeColor="text1" w:themeTint="F2"/>
                <w:sz w:val="22"/>
                <w:szCs w:val="22"/>
                <w:lang w:val="sq-AL"/>
              </w:rPr>
            </w:pPr>
            <w:r w:rsidRPr="005208DC">
              <w:rPr>
                <w:rFonts w:ascii="Times New Roman" w:eastAsia="Times New Roman" w:hAnsi="Times New Roman"/>
                <w:color w:val="0D0D0D" w:themeColor="text1" w:themeTint="F2"/>
                <w:sz w:val="22"/>
                <w:szCs w:val="22"/>
                <w:lang w:val="sq-AL"/>
              </w:rPr>
              <w:t>665,327</w:t>
            </w:r>
          </w:p>
        </w:tc>
        <w:tc>
          <w:tcPr>
            <w:tcW w:w="1494" w:type="dxa"/>
            <w:tcBorders>
              <w:top w:val="nil"/>
              <w:left w:val="nil"/>
              <w:bottom w:val="single" w:sz="8" w:space="0" w:color="auto"/>
              <w:right w:val="single" w:sz="4" w:space="0" w:color="auto"/>
            </w:tcBorders>
            <w:shd w:val="clear" w:color="auto" w:fill="auto"/>
            <w:noWrap/>
            <w:vAlign w:val="center"/>
            <w:hideMark/>
          </w:tcPr>
          <w:p w14:paraId="091110EF" w14:textId="77777777" w:rsidR="002F6FE6" w:rsidRPr="005208DC" w:rsidRDefault="002F6FE6" w:rsidP="00857902">
            <w:pPr>
              <w:jc w:val="center"/>
              <w:rPr>
                <w:rFonts w:ascii="Times New Roman" w:eastAsia="Times New Roman" w:hAnsi="Times New Roman"/>
                <w:color w:val="0D0D0D" w:themeColor="text1" w:themeTint="F2"/>
                <w:sz w:val="22"/>
                <w:szCs w:val="22"/>
                <w:lang w:val="sq-AL"/>
              </w:rPr>
            </w:pPr>
            <w:r w:rsidRPr="005208DC">
              <w:rPr>
                <w:rFonts w:ascii="Times New Roman" w:eastAsia="Times New Roman" w:hAnsi="Times New Roman"/>
                <w:color w:val="0D0D0D" w:themeColor="text1" w:themeTint="F2"/>
                <w:sz w:val="22"/>
                <w:szCs w:val="22"/>
                <w:lang w:val="sq-AL"/>
              </w:rPr>
              <w:t>705,738</w:t>
            </w:r>
          </w:p>
        </w:tc>
        <w:tc>
          <w:tcPr>
            <w:tcW w:w="2694" w:type="dxa"/>
            <w:tcBorders>
              <w:top w:val="nil"/>
              <w:left w:val="nil"/>
              <w:bottom w:val="single" w:sz="8" w:space="0" w:color="auto"/>
              <w:right w:val="single" w:sz="8" w:space="0" w:color="auto"/>
            </w:tcBorders>
            <w:shd w:val="clear" w:color="auto" w:fill="auto"/>
            <w:noWrap/>
            <w:vAlign w:val="center"/>
            <w:hideMark/>
          </w:tcPr>
          <w:p w14:paraId="6EC345C3" w14:textId="77777777" w:rsidR="002F6FE6" w:rsidRPr="005208DC" w:rsidRDefault="002F6FE6" w:rsidP="00857902">
            <w:pPr>
              <w:jc w:val="center"/>
              <w:rPr>
                <w:rFonts w:ascii="Times New Roman" w:eastAsia="Times New Roman" w:hAnsi="Times New Roman"/>
                <w:color w:val="0D0D0D" w:themeColor="text1" w:themeTint="F2"/>
                <w:sz w:val="22"/>
                <w:szCs w:val="22"/>
                <w:lang w:val="sq-AL"/>
              </w:rPr>
            </w:pPr>
            <w:r w:rsidRPr="005208DC">
              <w:rPr>
                <w:rFonts w:ascii="Times New Roman" w:eastAsia="Times New Roman" w:hAnsi="Times New Roman"/>
                <w:color w:val="0D0D0D" w:themeColor="text1" w:themeTint="F2"/>
                <w:sz w:val="22"/>
                <w:szCs w:val="22"/>
                <w:lang w:val="sq-AL"/>
              </w:rPr>
              <w:t>108,132,023,916 lekë</w:t>
            </w:r>
          </w:p>
        </w:tc>
      </w:tr>
    </w:tbl>
    <w:p w14:paraId="5785578B" w14:textId="77777777" w:rsidR="002F6FE6" w:rsidRPr="005208DC" w:rsidRDefault="002F6FE6" w:rsidP="00857902">
      <w:pPr>
        <w:pStyle w:val="CommentText"/>
        <w:jc w:val="both"/>
        <w:rPr>
          <w:color w:val="0D0D0D" w:themeColor="text1" w:themeTint="F2"/>
          <w:sz w:val="24"/>
          <w:szCs w:val="24"/>
          <w:lang w:val="sq-AL"/>
        </w:rPr>
      </w:pPr>
    </w:p>
    <w:p w14:paraId="317C41C5" w14:textId="77777777" w:rsidR="002F6FE6" w:rsidRPr="005208DC" w:rsidRDefault="002F6FE6" w:rsidP="00857902">
      <w:pPr>
        <w:pStyle w:val="CommentText"/>
        <w:jc w:val="both"/>
        <w:rPr>
          <w:color w:val="0D0D0D" w:themeColor="text1" w:themeTint="F2"/>
          <w:sz w:val="24"/>
          <w:szCs w:val="24"/>
          <w:lang w:val="sq-AL"/>
        </w:rPr>
      </w:pPr>
      <w:r w:rsidRPr="005208DC">
        <w:rPr>
          <w:color w:val="0D0D0D" w:themeColor="text1" w:themeTint="F2"/>
          <w:sz w:val="24"/>
          <w:szCs w:val="24"/>
          <w:lang w:val="sq-AL"/>
        </w:rPr>
        <w:t xml:space="preserve">Nëpërmjet planeve sektoriale administrata tatimore synon të identifikoje sektorë me risk ne ekonomi dhe të hartoje plane për të luftuar informalitetin ne fushat qe kane ndikim me të madh ne ekonomi si: nëndeklarimin e pagës reale apo mosdeklarim korrekt të numrit të punonjësve. Kjo do të behet nëpërmjet të dhënave qe disponon administrata tatimore nga sistemet informatike tatimore, duke evidentuar ata tatimpagues qe me pare kane patur një historik mospërmbushje të detyrimeve tatimore. Administrata tatimore synon përmirësimin e kuadrit bashkëpunues ndërinstitucional dhe sigurimin e planeve operacionale për të identifikuar punonjësit informale, duke u mbështetur ne një strategji të qarte. Përgjegjësia për trajtimin e punës së padeklaruar është e përhapur ne disa institucione: mospërmbushja e detyrimeve tatimore me administratën tatimore, trajtimi i kontributeve me ISSH dhe respektimi i Kodit të Punës nga Inspektorati i Punës. Ne vijimësi parashikojmë të forcojmë bashkëpunimin me njësinë e riskut të Zyrës së Punës për të garantuar një marrëveshje bashkëpunimi me qëllim shkëmbimin e informacionit ndërmjet këtyre institucioneve. Administrata tatimore disponon të dhëna më cilësore për tatimpaguesit që më pas do ti vendosen në dispozicion dhe Zyrës së Punës apo dhe Institutit të Sigurimeve Shoqërore.  </w:t>
      </w:r>
    </w:p>
    <w:p w14:paraId="06F3E6FB" w14:textId="77777777" w:rsidR="002F6FE6" w:rsidRPr="005208DC" w:rsidRDefault="002F6FE6" w:rsidP="00857902">
      <w:pPr>
        <w:pStyle w:val="CommentText"/>
        <w:jc w:val="both"/>
        <w:rPr>
          <w:color w:val="0D0D0D" w:themeColor="text1" w:themeTint="F2"/>
          <w:sz w:val="24"/>
          <w:szCs w:val="24"/>
          <w:lang w:val="sq-AL"/>
        </w:rPr>
      </w:pPr>
      <w:r w:rsidRPr="005208DC">
        <w:rPr>
          <w:color w:val="0D0D0D" w:themeColor="text1" w:themeTint="F2"/>
          <w:sz w:val="24"/>
          <w:szCs w:val="24"/>
          <w:lang w:val="sq-AL"/>
        </w:rPr>
        <w:t>Disa nga hapat konkrete qe do të ndiqen në vijimësi në përputhje me Strategjinë Afatmesme të të Ardhurave, kanë të bëjnë me:</w:t>
      </w:r>
    </w:p>
    <w:p w14:paraId="55F0D870" w14:textId="77777777" w:rsidR="002F6FE6" w:rsidRPr="005208DC" w:rsidRDefault="002F6FE6" w:rsidP="00F957E8">
      <w:pPr>
        <w:pStyle w:val="CommentText"/>
        <w:numPr>
          <w:ilvl w:val="0"/>
          <w:numId w:val="119"/>
        </w:numPr>
        <w:jc w:val="both"/>
        <w:rPr>
          <w:bCs/>
          <w:color w:val="0D0D0D" w:themeColor="text1" w:themeTint="F2"/>
          <w:sz w:val="24"/>
          <w:szCs w:val="24"/>
          <w:lang w:val="sq-AL"/>
        </w:rPr>
      </w:pPr>
      <w:r w:rsidRPr="005208DC">
        <w:rPr>
          <w:bCs/>
          <w:color w:val="0D0D0D" w:themeColor="text1" w:themeTint="F2"/>
          <w:sz w:val="24"/>
          <w:szCs w:val="24"/>
          <w:lang w:val="sq-AL"/>
        </w:rPr>
        <w:t>Zvogëlimi i hendekut të përmbushjes së TVSH. Indikatorët në zvogëlimin e hendekut të TVSH konsiderohen: Rritja e të ardhurave nga TVSH për të gjithë sektorët e ekonomisë; rritja e të ardhurave nga TVSH në sektorin e ndërtimit; koha e kontrollit të subjekteve; rritja e qarkullimit në baza mujore të sektorëve me risk.</w:t>
      </w:r>
    </w:p>
    <w:p w14:paraId="13AC35CE" w14:textId="77777777" w:rsidR="002F6FE6" w:rsidRPr="005208DC" w:rsidRDefault="002F6FE6" w:rsidP="00F957E8">
      <w:pPr>
        <w:pStyle w:val="CommentText"/>
        <w:numPr>
          <w:ilvl w:val="0"/>
          <w:numId w:val="119"/>
        </w:numPr>
        <w:jc w:val="both"/>
        <w:rPr>
          <w:bCs/>
          <w:color w:val="0D0D0D" w:themeColor="text1" w:themeTint="F2"/>
          <w:sz w:val="24"/>
          <w:szCs w:val="24"/>
          <w:lang w:val="sq-AL"/>
        </w:rPr>
      </w:pPr>
      <w:r w:rsidRPr="005208DC">
        <w:rPr>
          <w:bCs/>
          <w:color w:val="0D0D0D" w:themeColor="text1" w:themeTint="F2"/>
          <w:sz w:val="24"/>
          <w:szCs w:val="24"/>
          <w:lang w:val="sq-AL"/>
        </w:rPr>
        <w:t xml:space="preserve">Reduktimi i punës së padeklaruar dhe nëndeklarimet e ekonomisë </w:t>
      </w:r>
      <w:r w:rsidRPr="005208DC">
        <w:rPr>
          <w:bCs/>
          <w:i/>
          <w:iCs/>
          <w:color w:val="0D0D0D" w:themeColor="text1" w:themeTint="F2"/>
          <w:sz w:val="24"/>
          <w:szCs w:val="24"/>
          <w:lang w:val="sq-AL"/>
        </w:rPr>
        <w:t>cash</w:t>
      </w:r>
      <w:r w:rsidRPr="005208DC">
        <w:rPr>
          <w:bCs/>
          <w:color w:val="0D0D0D" w:themeColor="text1" w:themeTint="F2"/>
          <w:sz w:val="24"/>
          <w:szCs w:val="24"/>
          <w:lang w:val="sq-AL"/>
        </w:rPr>
        <w:t xml:space="preserve">. </w:t>
      </w:r>
    </w:p>
    <w:p w14:paraId="5098CFA4" w14:textId="77777777" w:rsidR="002F6FE6" w:rsidRPr="005208DC" w:rsidRDefault="002F6FE6" w:rsidP="00F957E8">
      <w:pPr>
        <w:pStyle w:val="CommentText"/>
        <w:numPr>
          <w:ilvl w:val="0"/>
          <w:numId w:val="119"/>
        </w:numPr>
        <w:jc w:val="both"/>
        <w:rPr>
          <w:bCs/>
          <w:color w:val="0D0D0D" w:themeColor="text1" w:themeTint="F2"/>
          <w:sz w:val="24"/>
          <w:szCs w:val="24"/>
          <w:lang w:val="sq-AL"/>
        </w:rPr>
      </w:pPr>
      <w:r w:rsidRPr="005208DC">
        <w:rPr>
          <w:bCs/>
          <w:color w:val="0D0D0D" w:themeColor="text1" w:themeTint="F2"/>
          <w:sz w:val="24"/>
          <w:szCs w:val="24"/>
          <w:lang w:val="sq-AL"/>
        </w:rPr>
        <w:t xml:space="preserve"> Tatimi i çdo pasurie të pajustifikuar brenda dhe jashtë vendit. </w:t>
      </w:r>
    </w:p>
    <w:p w14:paraId="11629C13" w14:textId="77777777" w:rsidR="002F6FE6" w:rsidRPr="005208DC" w:rsidRDefault="002F6FE6" w:rsidP="00F957E8">
      <w:pPr>
        <w:pStyle w:val="CommentText"/>
        <w:numPr>
          <w:ilvl w:val="0"/>
          <w:numId w:val="119"/>
        </w:numPr>
        <w:jc w:val="both"/>
        <w:rPr>
          <w:bCs/>
          <w:color w:val="0D0D0D" w:themeColor="text1" w:themeTint="F2"/>
          <w:sz w:val="24"/>
          <w:szCs w:val="24"/>
          <w:lang w:val="sq-AL"/>
        </w:rPr>
      </w:pPr>
      <w:r w:rsidRPr="005208DC">
        <w:rPr>
          <w:bCs/>
          <w:color w:val="0D0D0D" w:themeColor="text1" w:themeTint="F2"/>
          <w:sz w:val="24"/>
          <w:szCs w:val="24"/>
          <w:lang w:val="sq-AL"/>
        </w:rPr>
        <w:t xml:space="preserve">Zvogëlimi i shmangies së taksave. </w:t>
      </w:r>
    </w:p>
    <w:p w14:paraId="0F0A420C" w14:textId="77777777" w:rsidR="002F6FE6" w:rsidRPr="005208DC" w:rsidRDefault="002F6FE6" w:rsidP="00F957E8">
      <w:pPr>
        <w:pStyle w:val="CommentText"/>
        <w:numPr>
          <w:ilvl w:val="0"/>
          <w:numId w:val="119"/>
        </w:numPr>
        <w:jc w:val="both"/>
        <w:rPr>
          <w:bCs/>
          <w:color w:val="0D0D0D" w:themeColor="text1" w:themeTint="F2"/>
          <w:sz w:val="24"/>
          <w:szCs w:val="24"/>
          <w:lang w:val="sq-AL"/>
        </w:rPr>
      </w:pPr>
      <w:r w:rsidRPr="005208DC">
        <w:rPr>
          <w:bCs/>
          <w:color w:val="0D0D0D" w:themeColor="text1" w:themeTint="F2"/>
          <w:sz w:val="24"/>
          <w:szCs w:val="24"/>
          <w:lang w:val="sq-AL"/>
        </w:rPr>
        <w:t xml:space="preserve">Reduktimi i kostove të përmbushjes dhe rritja e sigurisë tatimore dhe besimit të administrate tatimore. </w:t>
      </w:r>
    </w:p>
    <w:p w14:paraId="1794823B" w14:textId="77777777" w:rsidR="002F6FE6" w:rsidRPr="005208DC" w:rsidRDefault="002F6FE6" w:rsidP="00F957E8">
      <w:pPr>
        <w:pStyle w:val="CommentText"/>
        <w:numPr>
          <w:ilvl w:val="0"/>
          <w:numId w:val="119"/>
        </w:numPr>
        <w:jc w:val="both"/>
        <w:rPr>
          <w:bCs/>
          <w:color w:val="0D0D0D" w:themeColor="text1" w:themeTint="F2"/>
          <w:sz w:val="24"/>
          <w:szCs w:val="24"/>
          <w:lang w:val="sq-AL"/>
        </w:rPr>
      </w:pPr>
      <w:r w:rsidRPr="005208DC">
        <w:rPr>
          <w:bCs/>
          <w:color w:val="0D0D0D" w:themeColor="text1" w:themeTint="F2"/>
          <w:sz w:val="24"/>
          <w:szCs w:val="24"/>
          <w:lang w:val="sq-AL"/>
        </w:rPr>
        <w:t xml:space="preserve">Motivimi i qytetarëve për të qenë pjesë e luftës ndaj informalitetit. </w:t>
      </w:r>
    </w:p>
    <w:p w14:paraId="3754C9EE" w14:textId="77777777" w:rsidR="002F6FE6" w:rsidRPr="005208DC" w:rsidRDefault="002F6FE6" w:rsidP="00857902">
      <w:pPr>
        <w:pStyle w:val="CommentText"/>
        <w:jc w:val="both"/>
        <w:rPr>
          <w:color w:val="0D0D0D" w:themeColor="text1" w:themeTint="F2"/>
          <w:sz w:val="24"/>
          <w:szCs w:val="24"/>
          <w:lang w:val="sq-AL"/>
        </w:rPr>
      </w:pPr>
      <w:r w:rsidRPr="005208DC">
        <w:rPr>
          <w:color w:val="0D0D0D" w:themeColor="text1" w:themeTint="F2"/>
          <w:sz w:val="24"/>
          <w:szCs w:val="24"/>
          <w:lang w:val="sq-AL"/>
        </w:rPr>
        <w:t>Gjithashtu administrata tatimore ka implementuar një proces madhor si Fiskalizimi që do të ndikojë pozitivisht në uljen e informalitetit. Në zbatim të Drejtorisë së Menaxhimit të Riskut do të jenë 101 kritere risku qe parashikojmë të zbatohen plotësisht brenda vitit 2024, me përditësimin e Modulit të Riskut, në bazë të Projektit të Fiskalizimit dhe ndërthurjes me modulin aktual.</w:t>
      </w:r>
    </w:p>
    <w:p w14:paraId="4AD387A7" w14:textId="77777777" w:rsidR="002F6FE6" w:rsidRPr="005208DC" w:rsidRDefault="002F6FE6"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Si fillim në vijimësi të punës së Drejtorisë së Menaxhimit të Riskut do të aplikohen vetëm 44 kritere.</w:t>
      </w:r>
    </w:p>
    <w:p w14:paraId="7883B3FD" w14:textId="77777777" w:rsidR="00CA5CBD" w:rsidRPr="005208DC" w:rsidRDefault="00CA5CBD" w:rsidP="00857902">
      <w:pPr>
        <w:snapToGrid w:val="0"/>
        <w:rPr>
          <w:rFonts w:asciiTheme="majorBidi" w:hAnsiTheme="majorBidi" w:cstheme="majorBidi"/>
          <w:color w:val="0D0D0D" w:themeColor="text1" w:themeTint="F2"/>
          <w:lang w:val="sq-AL"/>
        </w:rPr>
      </w:pPr>
    </w:p>
    <w:p w14:paraId="0DF55790" w14:textId="77777777" w:rsidR="00CA5CBD" w:rsidRPr="005208DC" w:rsidRDefault="00CA5CBD" w:rsidP="00857902">
      <w:pPr>
        <w:snapToGrid w:val="0"/>
        <w:rPr>
          <w:rFonts w:asciiTheme="majorBidi" w:hAnsiTheme="majorBidi" w:cstheme="majorBidi"/>
          <w:color w:val="0D0D0D" w:themeColor="text1" w:themeTint="F2"/>
          <w:lang w:val="sq-AL"/>
        </w:rPr>
      </w:pPr>
    </w:p>
    <w:p w14:paraId="739C47BE" w14:textId="0246DB27" w:rsidR="001B78FB" w:rsidRPr="005208DC" w:rsidRDefault="00A96FF1" w:rsidP="00857902">
      <w:pPr>
        <w:pStyle w:val="Heading2"/>
        <w:ind w:left="0"/>
        <w:rPr>
          <w:rFonts w:asciiTheme="majorBidi" w:hAnsiTheme="majorBidi" w:cstheme="majorBidi"/>
          <w:b/>
          <w:color w:val="0D0D0D" w:themeColor="text1" w:themeTint="F2"/>
          <w:lang w:val="sq-AL"/>
        </w:rPr>
      </w:pPr>
      <w:bookmarkStart w:id="15" w:name="_Toc62805575"/>
      <w:bookmarkStart w:id="16" w:name="_Toc92721121"/>
      <w:r w:rsidRPr="005208DC">
        <w:rPr>
          <w:rFonts w:asciiTheme="majorBidi" w:hAnsiTheme="majorBidi" w:cstheme="majorBidi"/>
          <w:b/>
          <w:color w:val="0D0D0D" w:themeColor="text1" w:themeTint="F2"/>
          <w:lang w:val="sq-AL"/>
        </w:rPr>
        <w:t>Rekomandimi</w:t>
      </w:r>
      <w:r w:rsidR="00626FE1" w:rsidRPr="005208DC">
        <w:rPr>
          <w:rFonts w:asciiTheme="majorBidi" w:hAnsiTheme="majorBidi" w:cstheme="majorBidi"/>
          <w:b/>
          <w:color w:val="0D0D0D" w:themeColor="text1" w:themeTint="F2"/>
          <w:lang w:val="sq-AL"/>
        </w:rPr>
        <w:t xml:space="preserve"> </w:t>
      </w:r>
      <w:r w:rsidR="006E790C" w:rsidRPr="005208DC">
        <w:rPr>
          <w:rFonts w:asciiTheme="majorBidi" w:hAnsiTheme="majorBidi" w:cstheme="majorBidi"/>
          <w:b/>
          <w:color w:val="0D0D0D" w:themeColor="text1" w:themeTint="F2"/>
          <w:lang w:val="sq-AL"/>
        </w:rPr>
        <w:t>5</w:t>
      </w:r>
      <w:bookmarkEnd w:id="15"/>
      <w:bookmarkEnd w:id="16"/>
    </w:p>
    <w:p w14:paraId="4F7FFE43" w14:textId="38B5F158" w:rsidR="00065C44" w:rsidRPr="005208DC" w:rsidRDefault="00065C44" w:rsidP="00857902">
      <w:pPr>
        <w:snapToGrid w:val="0"/>
        <w:rPr>
          <w:rFonts w:asciiTheme="majorBidi" w:hAnsiTheme="majorBidi" w:cstheme="majorBidi"/>
          <w:b/>
          <w:i/>
          <w:color w:val="0D0D0D" w:themeColor="text1" w:themeTint="F2"/>
          <w:lang w:val="sq-AL"/>
        </w:rPr>
      </w:pPr>
      <w:r w:rsidRPr="005208DC">
        <w:rPr>
          <w:rFonts w:asciiTheme="majorBidi" w:hAnsiTheme="majorBidi" w:cstheme="majorBidi"/>
          <w:b/>
          <w:i/>
          <w:color w:val="0D0D0D" w:themeColor="text1" w:themeTint="F2"/>
          <w:lang w:val="sq-AL"/>
        </w:rPr>
        <w:t>5.1</w:t>
      </w:r>
      <w:r w:rsidR="00626FE1" w:rsidRPr="005208DC">
        <w:rPr>
          <w:rFonts w:asciiTheme="majorBidi" w:hAnsiTheme="majorBidi" w:cstheme="majorBidi"/>
          <w:b/>
          <w:i/>
          <w:color w:val="0D0D0D" w:themeColor="text1" w:themeTint="F2"/>
          <w:lang w:val="sq-AL"/>
        </w:rPr>
        <w:t xml:space="preserve"> </w:t>
      </w:r>
      <w:r w:rsidR="00857902" w:rsidRPr="005208DC">
        <w:rPr>
          <w:rFonts w:asciiTheme="majorBidi" w:hAnsiTheme="majorBidi" w:cstheme="majorBidi"/>
          <w:b/>
          <w:i/>
          <w:color w:val="0D0D0D" w:themeColor="text1" w:themeTint="F2"/>
          <w:lang w:val="sq-AL"/>
        </w:rPr>
        <w:t>Krijimi i një task force ndërministrore që përfshin ministritë përkatëse, agjencitë e tyre dhe palët e interesuara për të zhvilluar një Plan Zbatimi të Garancisë Rinore</w:t>
      </w:r>
      <w:r w:rsidRPr="005208DC">
        <w:rPr>
          <w:rFonts w:asciiTheme="majorBidi" w:hAnsiTheme="majorBidi" w:cstheme="majorBidi"/>
          <w:b/>
          <w:i/>
          <w:color w:val="0D0D0D" w:themeColor="text1" w:themeTint="F2"/>
          <w:lang w:val="sq-AL"/>
        </w:rPr>
        <w:t>.</w:t>
      </w:r>
    </w:p>
    <w:p w14:paraId="3F127DB3" w14:textId="77777777" w:rsidR="00857902" w:rsidRPr="005208DC" w:rsidRDefault="00857902" w:rsidP="00857902">
      <w:pPr>
        <w:widowControl w:val="0"/>
        <w:autoSpaceDE w:val="0"/>
        <w:autoSpaceDN w:val="0"/>
        <w:adjustRightInd w:val="0"/>
        <w:jc w:val="both"/>
        <w:textAlignment w:val="center"/>
        <w:rPr>
          <w:rFonts w:asciiTheme="majorBidi" w:eastAsia="MS Mincho" w:hAnsiTheme="majorBidi" w:cstheme="majorBidi"/>
          <w:color w:val="0D0D0D" w:themeColor="text1" w:themeTint="F2"/>
          <w:lang w:val="sq-AL"/>
        </w:rPr>
      </w:pPr>
      <w:r w:rsidRPr="005208DC">
        <w:rPr>
          <w:rFonts w:asciiTheme="majorBidi" w:eastAsia="MS Mincho" w:hAnsiTheme="majorBidi" w:cstheme="majorBidi"/>
          <w:color w:val="0D0D0D" w:themeColor="text1" w:themeTint="F2"/>
          <w:lang w:val="sq-AL"/>
        </w:rPr>
        <w:t>Ngritja i Grupit ndërinstitucional u vonua disi për shkak të krijimit të Qeverisë së re të Shqipërisë, e cila ndodhi në mesin e shtatorit 2021. Bazuar në strukturën e re të ministrive kemi një listë paraprake të ministrive, agjencive dhe organizatave të shoqërisë civile të propozuara. Urdhri i Kryeministrit është përgatitur dhe është dërguar për miratim. Urdhri cakton Koordinatorin Kombëtar të GR-së (Zëvendësministrin përgjegjës për Punësimin dhe Aftësitë), krijimin e Grupit Ndërinstitucional dhe të Grupit Teknik.</w:t>
      </w:r>
    </w:p>
    <w:p w14:paraId="436D2082" w14:textId="77777777" w:rsidR="00857902" w:rsidRPr="005208DC" w:rsidRDefault="00857902" w:rsidP="00857902">
      <w:pPr>
        <w:widowControl w:val="0"/>
        <w:autoSpaceDE w:val="0"/>
        <w:autoSpaceDN w:val="0"/>
        <w:adjustRightInd w:val="0"/>
        <w:jc w:val="both"/>
        <w:textAlignment w:val="center"/>
        <w:rPr>
          <w:rFonts w:asciiTheme="majorBidi" w:eastAsia="MS Mincho" w:hAnsiTheme="majorBidi" w:cstheme="majorBidi"/>
          <w:color w:val="0D0D0D" w:themeColor="text1" w:themeTint="F2"/>
          <w:lang w:val="sq-AL"/>
        </w:rPr>
      </w:pPr>
    </w:p>
    <w:p w14:paraId="0B94B818" w14:textId="4C84E4F5" w:rsidR="0004171D" w:rsidRPr="005208DC" w:rsidRDefault="00857902" w:rsidP="00857902">
      <w:pPr>
        <w:widowControl w:val="0"/>
        <w:autoSpaceDE w:val="0"/>
        <w:autoSpaceDN w:val="0"/>
        <w:adjustRightInd w:val="0"/>
        <w:jc w:val="both"/>
        <w:textAlignment w:val="center"/>
        <w:rPr>
          <w:rFonts w:asciiTheme="majorBidi" w:eastAsia="MS Mincho" w:hAnsiTheme="majorBidi" w:cstheme="majorBidi"/>
          <w:color w:val="0D0D0D" w:themeColor="text1" w:themeTint="F2"/>
          <w:lang w:val="sq-AL"/>
        </w:rPr>
      </w:pPr>
      <w:r w:rsidRPr="005208DC">
        <w:rPr>
          <w:rFonts w:asciiTheme="majorBidi" w:eastAsia="MS Mincho" w:hAnsiTheme="majorBidi" w:cstheme="majorBidi"/>
          <w:color w:val="0D0D0D" w:themeColor="text1" w:themeTint="F2"/>
          <w:lang w:val="sq-AL"/>
        </w:rPr>
        <w:t>Grupi ndërinstitucional do të kryesohet nga Ministri i Financave dhe Ekonomisë dhe do të përbëhet nga institucione të ndryshme publike që do të jenë pjesë e skemës GR. Pjesë e grupit do të jenë edhe përfaqësues të partnerëve socialë dhe organizatave rinore. Grupi teknik i punës do të kryesohet nga Zëvendësministri i Financave dhe Ekonomisë, përgjegjës për punësimin dhe aftësitë dhe do të përbëhet nga përfaqësues të institucioneve dhe agjencive të ndryshme që lidhen me futjen e skemës GR në Shqipëri</w:t>
      </w:r>
      <w:r w:rsidR="009D2E42" w:rsidRPr="005208DC">
        <w:rPr>
          <w:rFonts w:asciiTheme="majorBidi" w:eastAsia="MS Mincho" w:hAnsiTheme="majorBidi" w:cstheme="majorBidi"/>
          <w:color w:val="0D0D0D" w:themeColor="text1" w:themeTint="F2"/>
          <w:lang w:val="sq-AL"/>
        </w:rPr>
        <w:t>.</w:t>
      </w:r>
    </w:p>
    <w:p w14:paraId="636728B0" w14:textId="77777777" w:rsidR="0004171D" w:rsidRPr="005208DC" w:rsidRDefault="0004171D" w:rsidP="00857902">
      <w:pPr>
        <w:snapToGrid w:val="0"/>
        <w:rPr>
          <w:rFonts w:asciiTheme="majorBidi" w:hAnsiTheme="majorBidi" w:cstheme="majorBidi"/>
          <w:color w:val="0D0D0D" w:themeColor="text1" w:themeTint="F2"/>
          <w:lang w:val="sq-AL"/>
        </w:rPr>
      </w:pPr>
    </w:p>
    <w:p w14:paraId="656EC46D" w14:textId="1E60270D" w:rsidR="00376E55" w:rsidRPr="005208DC" w:rsidRDefault="00065C44" w:rsidP="00D830F5">
      <w:pPr>
        <w:snapToGrid w:val="0"/>
        <w:rPr>
          <w:rFonts w:asciiTheme="majorBidi" w:hAnsiTheme="majorBidi" w:cstheme="majorBidi"/>
          <w:b/>
          <w:i/>
          <w:color w:val="0D0D0D" w:themeColor="text1" w:themeTint="F2"/>
          <w:lang w:val="sq-AL"/>
        </w:rPr>
      </w:pPr>
      <w:r w:rsidRPr="005208DC">
        <w:rPr>
          <w:rFonts w:asciiTheme="majorBidi" w:hAnsiTheme="majorBidi" w:cstheme="majorBidi"/>
          <w:b/>
          <w:i/>
          <w:color w:val="0D0D0D" w:themeColor="text1" w:themeTint="F2"/>
          <w:lang w:val="sq-AL"/>
        </w:rPr>
        <w:t>5.2</w:t>
      </w:r>
      <w:r w:rsidR="00626FE1" w:rsidRPr="005208DC">
        <w:rPr>
          <w:rFonts w:asciiTheme="majorBidi" w:hAnsiTheme="majorBidi" w:cstheme="majorBidi"/>
          <w:b/>
          <w:i/>
          <w:color w:val="0D0D0D" w:themeColor="text1" w:themeTint="F2"/>
          <w:lang w:val="sq-AL"/>
        </w:rPr>
        <w:t xml:space="preserve"> </w:t>
      </w:r>
      <w:r w:rsidR="00D830F5" w:rsidRPr="005208DC">
        <w:rPr>
          <w:rFonts w:asciiTheme="majorBidi" w:hAnsiTheme="majorBidi" w:cstheme="majorBidi"/>
          <w:b/>
          <w:i/>
          <w:color w:val="0D0D0D" w:themeColor="text1" w:themeTint="F2"/>
          <w:lang w:val="sq-AL"/>
        </w:rPr>
        <w:t>Zhvilloni mjete të institucionalizuara për monitorimin e nevojave për aftësi në tregun e punës me synimin për të ofruar udhëzime përkatëse për karrierë dhe për të përmirësuar ofertën e kurseve profesionale afatshkurtra në përputhje me rrethanat</w:t>
      </w:r>
      <w:r w:rsidR="00376E55" w:rsidRPr="005208DC">
        <w:rPr>
          <w:rFonts w:asciiTheme="majorBidi" w:hAnsiTheme="majorBidi" w:cstheme="majorBidi"/>
          <w:b/>
          <w:i/>
          <w:color w:val="0D0D0D" w:themeColor="text1" w:themeTint="F2"/>
          <w:lang w:val="sq-AL"/>
        </w:rPr>
        <w:t>.</w:t>
      </w:r>
    </w:p>
    <w:p w14:paraId="5D3FCD8D" w14:textId="77777777" w:rsidR="00D830F5" w:rsidRPr="005208DC" w:rsidRDefault="00D830F5" w:rsidP="00D830F5">
      <w:pPr>
        <w:snapToGrid w:val="0"/>
        <w:jc w:val="both"/>
        <w:rPr>
          <w:rFonts w:asciiTheme="majorBidi" w:hAnsiTheme="majorBidi" w:cstheme="majorBidi"/>
          <w:bCs/>
          <w:iCs/>
          <w:color w:val="0D0D0D" w:themeColor="text1" w:themeTint="F2"/>
          <w:lang w:val="sq-AL"/>
        </w:rPr>
      </w:pPr>
      <w:r w:rsidRPr="005208DC">
        <w:rPr>
          <w:rFonts w:asciiTheme="majorBidi" w:hAnsiTheme="majorBidi" w:cstheme="majorBidi"/>
          <w:bCs/>
          <w:iCs/>
          <w:color w:val="0D0D0D" w:themeColor="text1" w:themeTint="F2"/>
          <w:lang w:val="sq-AL"/>
        </w:rPr>
        <w:t>Analiza e nevojave për aftësi në nivel kombëtar është paraparë të bëhet në bashkëpunim me UNDP-në.</w:t>
      </w:r>
    </w:p>
    <w:p w14:paraId="73BD8179" w14:textId="77777777" w:rsidR="00D830F5" w:rsidRPr="005208DC" w:rsidRDefault="00D830F5" w:rsidP="00D830F5">
      <w:pPr>
        <w:snapToGrid w:val="0"/>
        <w:jc w:val="both"/>
        <w:rPr>
          <w:rFonts w:asciiTheme="majorBidi" w:hAnsiTheme="majorBidi" w:cstheme="majorBidi"/>
          <w:bCs/>
          <w:iCs/>
          <w:color w:val="0D0D0D" w:themeColor="text1" w:themeTint="F2"/>
          <w:lang w:val="sq-AL"/>
        </w:rPr>
      </w:pPr>
      <w:r w:rsidRPr="005208DC">
        <w:rPr>
          <w:rFonts w:asciiTheme="majorBidi" w:hAnsiTheme="majorBidi" w:cstheme="majorBidi"/>
          <w:bCs/>
          <w:iCs/>
          <w:color w:val="0D0D0D" w:themeColor="text1" w:themeTint="F2"/>
          <w:lang w:val="sq-AL"/>
        </w:rPr>
        <w:t>AKSHP në bashkëpunim me partnerët ka iniciuar kryerjen e analizave rajonale të tregut të punës me qëllim planifikimin më të mirë të nevojave për trajnim dhe edukim. Ky instrument u pilotua në Qarkun e Elbasanit dhe së shpejti do të bëhet prezantimi i gjetjeve. Ndërkohë, SNA në nivel kombëtar ende nuk është realizuar. Megjithatë, bashkëpunimi me UNDP-në ka filluar për realizimin e tij. Është planifikuar të zhvillohen takime me aktorë që kanë punuar më parë për këtë instrument. Qëllimi është që metodologjia të kthehet në një instrument të qëndrueshëm</w:t>
      </w:r>
    </w:p>
    <w:p w14:paraId="481CE456" w14:textId="77777777" w:rsidR="00D830F5" w:rsidRPr="005208DC" w:rsidRDefault="00D830F5" w:rsidP="00D830F5">
      <w:pPr>
        <w:snapToGrid w:val="0"/>
        <w:jc w:val="both"/>
        <w:rPr>
          <w:rFonts w:asciiTheme="majorBidi" w:hAnsiTheme="majorBidi" w:cstheme="majorBidi"/>
          <w:bCs/>
          <w:iCs/>
          <w:color w:val="0D0D0D" w:themeColor="text1" w:themeTint="F2"/>
          <w:lang w:val="sq-AL"/>
        </w:rPr>
      </w:pPr>
      <w:r w:rsidRPr="005208DC">
        <w:rPr>
          <w:rFonts w:asciiTheme="majorBidi" w:hAnsiTheme="majorBidi" w:cstheme="majorBidi"/>
          <w:bCs/>
          <w:iCs/>
          <w:color w:val="0D0D0D" w:themeColor="text1" w:themeTint="F2"/>
          <w:lang w:val="sq-AL"/>
        </w:rPr>
        <w:t>Në fund të vitit 2020, projekti Skills 4 Jobs organizoi 14 Workshope në 5 qarqe të vendit ku operon projekti, përkatësisht në Vlorë, Lezhë, Elbasan, Shkodër dhe Berat. Qëllimi i këtyre tabelave të dialogut është të lehtësojë procesin e përshtatjes së programeve të studimit dhe trajnimit në rajon me nevojat e bizneseve lokale për punëtorë të kualifikuar. Objektivat e platformës së dialogut janë:</w:t>
      </w:r>
    </w:p>
    <w:p w14:paraId="177087F1" w14:textId="77777777" w:rsidR="00D830F5" w:rsidRPr="005208DC" w:rsidRDefault="00D830F5" w:rsidP="00D830F5">
      <w:pPr>
        <w:snapToGrid w:val="0"/>
        <w:jc w:val="both"/>
        <w:rPr>
          <w:rFonts w:asciiTheme="majorBidi" w:hAnsiTheme="majorBidi" w:cstheme="majorBidi"/>
          <w:bCs/>
          <w:iCs/>
          <w:color w:val="0D0D0D" w:themeColor="text1" w:themeTint="F2"/>
          <w:lang w:val="sq-AL"/>
        </w:rPr>
      </w:pPr>
      <w:r w:rsidRPr="005208DC">
        <w:rPr>
          <w:rFonts w:asciiTheme="majorBidi" w:hAnsiTheme="majorBidi" w:cstheme="majorBidi"/>
          <w:bCs/>
          <w:iCs/>
          <w:color w:val="0D0D0D" w:themeColor="text1" w:themeTint="F2"/>
          <w:lang w:val="sq-AL"/>
        </w:rPr>
        <w:t>- Rritja e ndërgjegjësimit dhe shkëmbimit të informacionit në nivel qarku ndërmjet ofruesve të arsimit dhe trajnimit, dhe kompanive;</w:t>
      </w:r>
    </w:p>
    <w:p w14:paraId="531BF414" w14:textId="77777777" w:rsidR="00D830F5" w:rsidRPr="005208DC" w:rsidRDefault="00D830F5" w:rsidP="00D830F5">
      <w:pPr>
        <w:snapToGrid w:val="0"/>
        <w:jc w:val="both"/>
        <w:rPr>
          <w:rFonts w:asciiTheme="majorBidi" w:hAnsiTheme="majorBidi" w:cstheme="majorBidi"/>
          <w:bCs/>
          <w:iCs/>
          <w:color w:val="0D0D0D" w:themeColor="text1" w:themeTint="F2"/>
          <w:lang w:val="sq-AL"/>
        </w:rPr>
      </w:pPr>
      <w:r w:rsidRPr="005208DC">
        <w:rPr>
          <w:rFonts w:asciiTheme="majorBidi" w:hAnsiTheme="majorBidi" w:cstheme="majorBidi"/>
          <w:bCs/>
          <w:iCs/>
          <w:color w:val="0D0D0D" w:themeColor="text1" w:themeTint="F2"/>
          <w:lang w:val="sq-AL"/>
        </w:rPr>
        <w:t>- Lehtësimi i koordinimit dhe partneritetit ndërmjet ofruesve dhe punëdhënësve në mënyrë që të zvogëlohet hendeku midis arsimit dhe trajnimit, dhe botës së punës;</w:t>
      </w:r>
    </w:p>
    <w:p w14:paraId="726F80B3" w14:textId="77777777" w:rsidR="00D830F5" w:rsidRPr="005208DC" w:rsidRDefault="00D830F5" w:rsidP="00D830F5">
      <w:pPr>
        <w:snapToGrid w:val="0"/>
        <w:jc w:val="both"/>
        <w:rPr>
          <w:rFonts w:asciiTheme="majorBidi" w:hAnsiTheme="majorBidi" w:cstheme="majorBidi"/>
          <w:bCs/>
          <w:iCs/>
          <w:color w:val="0D0D0D" w:themeColor="text1" w:themeTint="F2"/>
          <w:lang w:val="sq-AL"/>
        </w:rPr>
      </w:pPr>
      <w:r w:rsidRPr="005208DC">
        <w:rPr>
          <w:rFonts w:asciiTheme="majorBidi" w:hAnsiTheme="majorBidi" w:cstheme="majorBidi"/>
          <w:bCs/>
          <w:iCs/>
          <w:color w:val="0D0D0D" w:themeColor="text1" w:themeTint="F2"/>
          <w:lang w:val="sq-AL"/>
        </w:rPr>
        <w:t>- Promovimi i zhvillimit të aftësive të kërkuara nga tregu i punës nëpërmjet një procesi të vlerësimit të nevojave pjesëmarrëse dhe gjithëpërfshirëse;</w:t>
      </w:r>
    </w:p>
    <w:p w14:paraId="3AA94046" w14:textId="77777777" w:rsidR="00D830F5" w:rsidRPr="005208DC" w:rsidRDefault="00D830F5" w:rsidP="00D830F5">
      <w:pPr>
        <w:snapToGrid w:val="0"/>
        <w:jc w:val="both"/>
        <w:rPr>
          <w:rFonts w:asciiTheme="majorBidi" w:hAnsiTheme="majorBidi" w:cstheme="majorBidi"/>
          <w:bCs/>
          <w:iCs/>
          <w:color w:val="0D0D0D" w:themeColor="text1" w:themeTint="F2"/>
          <w:lang w:val="sq-AL"/>
        </w:rPr>
      </w:pPr>
      <w:r w:rsidRPr="005208DC">
        <w:rPr>
          <w:rFonts w:asciiTheme="majorBidi" w:hAnsiTheme="majorBidi" w:cstheme="majorBidi"/>
          <w:bCs/>
          <w:iCs/>
          <w:color w:val="0D0D0D" w:themeColor="text1" w:themeTint="F2"/>
          <w:lang w:val="sq-AL"/>
        </w:rPr>
        <w:t>- Lehtësimi i përfshirjes më të madhe dhe në rritje të kompanive si në identifikimin e aftësive ashtu edhe në ofrimin e aftësive të reja.</w:t>
      </w:r>
    </w:p>
    <w:p w14:paraId="0A1390FA" w14:textId="77777777" w:rsidR="00D830F5" w:rsidRPr="005208DC" w:rsidRDefault="00D830F5" w:rsidP="00D830F5">
      <w:pPr>
        <w:snapToGrid w:val="0"/>
        <w:jc w:val="both"/>
        <w:rPr>
          <w:rFonts w:asciiTheme="majorBidi" w:hAnsiTheme="majorBidi" w:cstheme="majorBidi"/>
          <w:bCs/>
          <w:iCs/>
          <w:color w:val="0D0D0D" w:themeColor="text1" w:themeTint="F2"/>
          <w:lang w:val="sq-AL"/>
        </w:rPr>
      </w:pPr>
      <w:r w:rsidRPr="005208DC">
        <w:rPr>
          <w:rFonts w:asciiTheme="majorBidi" w:hAnsiTheme="majorBidi" w:cstheme="majorBidi"/>
          <w:bCs/>
          <w:iCs/>
          <w:color w:val="0D0D0D" w:themeColor="text1" w:themeTint="F2"/>
          <w:lang w:val="sq-AL"/>
        </w:rPr>
        <w:t>Ajo që u vu re dhe u konkludua nga këto takime ishte gatishmëria e lartë e sektorit privat për t'u përfshirë në krijimin e kurseve apo profileve afatshkurtra të prezantuara dhe pjesëmarrjen/frekuentimin e tyre nga punonjës të sektorëve përkatës.</w:t>
      </w:r>
    </w:p>
    <w:p w14:paraId="2BAD8E9A" w14:textId="77777777" w:rsidR="00D830F5" w:rsidRPr="005208DC" w:rsidRDefault="00D830F5" w:rsidP="00D830F5">
      <w:pPr>
        <w:snapToGrid w:val="0"/>
        <w:jc w:val="both"/>
        <w:rPr>
          <w:rFonts w:asciiTheme="majorBidi" w:hAnsiTheme="majorBidi" w:cstheme="majorBidi"/>
          <w:bCs/>
          <w:iCs/>
          <w:color w:val="0D0D0D" w:themeColor="text1" w:themeTint="F2"/>
          <w:lang w:val="sq-AL"/>
        </w:rPr>
      </w:pPr>
      <w:r w:rsidRPr="005208DC">
        <w:rPr>
          <w:rFonts w:asciiTheme="majorBidi" w:hAnsiTheme="majorBidi" w:cstheme="majorBidi"/>
          <w:bCs/>
          <w:iCs/>
          <w:color w:val="0D0D0D" w:themeColor="text1" w:themeTint="F2"/>
          <w:lang w:val="sq-AL"/>
        </w:rPr>
        <w:t>Ekziston gjithashtu një interes i shtuar i sektorit privat për të intensifikuar bashkëpunimin me institucionet e AFP-së dhe aktorë të tjerë; si rezultat i kërkesës në rritje për specialistë të kualifikuar në të gjitha industritë.</w:t>
      </w:r>
    </w:p>
    <w:p w14:paraId="3C44843C" w14:textId="77777777" w:rsidR="00D830F5" w:rsidRPr="005208DC" w:rsidRDefault="00D830F5" w:rsidP="00D830F5">
      <w:pPr>
        <w:snapToGrid w:val="0"/>
        <w:jc w:val="both"/>
        <w:rPr>
          <w:rFonts w:asciiTheme="majorBidi" w:hAnsiTheme="majorBidi" w:cstheme="majorBidi"/>
          <w:bCs/>
          <w:iCs/>
          <w:color w:val="0D0D0D" w:themeColor="text1" w:themeTint="F2"/>
          <w:lang w:val="sq-AL"/>
        </w:rPr>
      </w:pPr>
      <w:r w:rsidRPr="005208DC">
        <w:rPr>
          <w:rFonts w:asciiTheme="majorBidi" w:hAnsiTheme="majorBidi" w:cstheme="majorBidi"/>
          <w:bCs/>
          <w:iCs/>
          <w:color w:val="0D0D0D" w:themeColor="text1" w:themeTint="F2"/>
          <w:lang w:val="sq-AL"/>
        </w:rPr>
        <w:t>Gatishmëria e sektorit privat për bashkëpunim në përmirësimin e kurrikulave dhe moduleve mësimore, si dhe realizimin e praktikës profesionale, me qëllim përshtatjen e aftësive me kërkesat e industrisë.)</w:t>
      </w:r>
    </w:p>
    <w:p w14:paraId="23CC7D9D" w14:textId="2B91C6EB" w:rsidR="009D2E42" w:rsidRPr="005208DC" w:rsidRDefault="00D830F5" w:rsidP="00D830F5">
      <w:pPr>
        <w:snapToGrid w:val="0"/>
        <w:jc w:val="both"/>
        <w:rPr>
          <w:rFonts w:asciiTheme="majorBidi" w:hAnsiTheme="majorBidi" w:cstheme="majorBidi"/>
          <w:bCs/>
          <w:iCs/>
          <w:color w:val="0D0D0D" w:themeColor="text1" w:themeTint="F2"/>
          <w:lang w:val="sq-AL"/>
        </w:rPr>
      </w:pPr>
      <w:r w:rsidRPr="005208DC">
        <w:rPr>
          <w:rFonts w:asciiTheme="majorBidi" w:hAnsiTheme="majorBidi" w:cstheme="majorBidi"/>
          <w:bCs/>
          <w:iCs/>
          <w:color w:val="0D0D0D" w:themeColor="text1" w:themeTint="F2"/>
          <w:lang w:val="sq-AL"/>
        </w:rPr>
        <w:t>AKKSH në bashkëpunim me partnerët ka iniciuar kryerjen e analizave rajonale të tregut të punës për të planifikuar nevoja më të qarta për trajnim dhe trajnim. Ky instrument u pilotua në Qarkun e Elbasanit dhe së shpejti do të bëhet prezantimi i gjetjeve</w:t>
      </w:r>
      <w:r w:rsidR="009D2E42" w:rsidRPr="005208DC">
        <w:rPr>
          <w:rFonts w:asciiTheme="majorBidi" w:eastAsia="MS Mincho" w:hAnsiTheme="majorBidi" w:cstheme="majorBidi"/>
          <w:color w:val="0D0D0D" w:themeColor="text1" w:themeTint="F2"/>
          <w:lang w:val="sq-AL"/>
        </w:rPr>
        <w:t>.</w:t>
      </w:r>
    </w:p>
    <w:p w14:paraId="76FBA395" w14:textId="77777777" w:rsidR="009D2E42" w:rsidRPr="005208DC" w:rsidRDefault="009D2E42" w:rsidP="00857902">
      <w:pPr>
        <w:snapToGrid w:val="0"/>
        <w:rPr>
          <w:rFonts w:asciiTheme="majorBidi" w:hAnsiTheme="majorBidi" w:cstheme="majorBidi"/>
          <w:bCs/>
          <w:iCs/>
          <w:color w:val="0D0D0D" w:themeColor="text1" w:themeTint="F2"/>
          <w:lang w:val="sq-AL"/>
        </w:rPr>
      </w:pPr>
    </w:p>
    <w:p w14:paraId="30612583" w14:textId="625BD0AC" w:rsidR="000E7751" w:rsidRPr="005208DC" w:rsidRDefault="000E7751" w:rsidP="00D830F5">
      <w:pPr>
        <w:snapToGrid w:val="0"/>
        <w:rPr>
          <w:rFonts w:asciiTheme="majorBidi" w:hAnsiTheme="majorBidi" w:cstheme="majorBidi"/>
          <w:b/>
          <w:i/>
          <w:color w:val="0D0D0D" w:themeColor="text1" w:themeTint="F2"/>
          <w:lang w:val="sq-AL"/>
        </w:rPr>
      </w:pPr>
      <w:r w:rsidRPr="005208DC">
        <w:rPr>
          <w:rFonts w:asciiTheme="majorBidi" w:hAnsiTheme="majorBidi" w:cstheme="majorBidi"/>
          <w:b/>
          <w:i/>
          <w:color w:val="0D0D0D" w:themeColor="text1" w:themeTint="F2"/>
          <w:lang w:val="sq-AL"/>
        </w:rPr>
        <w:t xml:space="preserve">5.3 </w:t>
      </w:r>
      <w:r w:rsidR="00D830F5" w:rsidRPr="005208DC">
        <w:rPr>
          <w:rFonts w:asciiTheme="majorBidi" w:hAnsiTheme="majorBidi" w:cstheme="majorBidi"/>
          <w:b/>
          <w:i/>
          <w:color w:val="0D0D0D" w:themeColor="text1" w:themeTint="F2"/>
          <w:lang w:val="sq-AL"/>
        </w:rPr>
        <w:t>Incentivoni lidhjen midis bizneseve inovative dhe akademisë në draftin e ardhshëm të Strategjisë për Zhvillimin e Biznesit dhe Investimeve 2021-2027 duke përfshirë objektiva të qarta për të rritur financimin e shkencës dhe kërkimit dhe duke krijuar kushtet për zhvillimin e inkubatorëve të biznesit</w:t>
      </w:r>
      <w:r w:rsidRPr="005208DC">
        <w:rPr>
          <w:rFonts w:asciiTheme="majorBidi" w:hAnsiTheme="majorBidi" w:cstheme="majorBidi"/>
          <w:b/>
          <w:i/>
          <w:color w:val="0D0D0D" w:themeColor="text1" w:themeTint="F2"/>
          <w:lang w:val="sq-AL"/>
        </w:rPr>
        <w:t>.</w:t>
      </w:r>
    </w:p>
    <w:p w14:paraId="6D52C122" w14:textId="77777777" w:rsidR="00D830F5" w:rsidRPr="005208DC" w:rsidRDefault="00D830F5" w:rsidP="00D830F5">
      <w:pPr>
        <w:jc w:val="both"/>
        <w:rPr>
          <w:rFonts w:asciiTheme="majorBidi" w:eastAsiaTheme="minorHAnsi" w:hAnsiTheme="majorBidi" w:cstheme="majorBidi"/>
          <w:color w:val="0D0D0D" w:themeColor="text1" w:themeTint="F2"/>
          <w:lang w:val="sq-AL"/>
        </w:rPr>
      </w:pPr>
      <w:bookmarkStart w:id="17" w:name="_Toc62805576"/>
      <w:r w:rsidRPr="005208DC">
        <w:rPr>
          <w:rFonts w:asciiTheme="majorBidi" w:eastAsiaTheme="minorHAnsi" w:hAnsiTheme="majorBidi" w:cstheme="majorBidi"/>
          <w:color w:val="0D0D0D" w:themeColor="text1" w:themeTint="F2"/>
          <w:lang w:val="sq-AL"/>
        </w:rPr>
        <w:t>Inteligjenca e shkathtësive të shëndosha përbën pikën fillestare për sigurimin e arsimit dhe trajnimit modern dhe dinamik në përputhje me nevojat e tregut të punës dhe të shoqërisë. Bazuar në inteligjencën e aftësive të përditësuara dhe lehtësisht të arritshme, nevojiten përpjekje të bashkërenduara për të ndihmuar NVM-të në identifikimin e masave të duhura për përmirësimin e aftësive, për të zgjeruar ofertën e trajnimit dhe për të mbajtur ritmin me shpejtësinë e tranzicioneve dhe ndryshimeve në mjedisin konkurrues. Kjo përfshin forcimin e lidhjeve midis aktorëve të heliksit të trefishtë që eksplorojnë qasje të reja për të promovuar bashkëpunimin dhe lëvizshmërinë midis akademisë dhe bizneseve.</w:t>
      </w:r>
    </w:p>
    <w:p w14:paraId="1AC834CF" w14:textId="77777777" w:rsidR="00D830F5" w:rsidRPr="005208DC" w:rsidRDefault="00D830F5" w:rsidP="00D830F5">
      <w:pPr>
        <w:jc w:val="both"/>
        <w:rPr>
          <w:rFonts w:asciiTheme="majorBidi" w:eastAsiaTheme="minorHAnsi" w:hAnsiTheme="majorBidi" w:cstheme="majorBidi"/>
          <w:color w:val="0D0D0D" w:themeColor="text1" w:themeTint="F2"/>
          <w:lang w:val="sq-AL"/>
        </w:rPr>
      </w:pPr>
      <w:r w:rsidRPr="005208DC">
        <w:rPr>
          <w:rFonts w:asciiTheme="majorBidi" w:eastAsiaTheme="minorHAnsi" w:hAnsiTheme="majorBidi" w:cstheme="majorBidi"/>
          <w:color w:val="0D0D0D" w:themeColor="text1" w:themeTint="F2"/>
          <w:lang w:val="sq-AL"/>
        </w:rPr>
        <w:t>Në këtë kontekst, ekziston gjithashtu një potencial premtues për të përdorur sinergjitë në ndërlidhjen midis zhvillimit të kapitalit njerëzor dhe fushave të tjera të ndërhyrjes së BIDS në veçanti në lidhje me:</w:t>
      </w:r>
    </w:p>
    <w:p w14:paraId="0D9E9BA1" w14:textId="77777777" w:rsidR="00D830F5" w:rsidRPr="005208DC" w:rsidRDefault="00D830F5" w:rsidP="00D830F5">
      <w:pPr>
        <w:jc w:val="both"/>
        <w:rPr>
          <w:rFonts w:asciiTheme="majorBidi" w:eastAsiaTheme="minorHAnsi" w:hAnsiTheme="majorBidi" w:cstheme="majorBidi"/>
          <w:color w:val="0D0D0D" w:themeColor="text1" w:themeTint="F2"/>
          <w:lang w:val="sq-AL"/>
        </w:rPr>
      </w:pPr>
      <w:r w:rsidRPr="005208DC">
        <w:rPr>
          <w:rFonts w:asciiTheme="majorBidi" w:eastAsiaTheme="minorHAnsi" w:hAnsiTheme="majorBidi" w:cstheme="majorBidi"/>
          <w:color w:val="0D0D0D" w:themeColor="text1" w:themeTint="F2"/>
          <w:lang w:val="sq-AL"/>
        </w:rPr>
        <w:t>• Fokusimi në nevojat e investitorëve dhe përfshirja e tyre në masat e zhvillimit të aftësive në të njëjtën kohë;</w:t>
      </w:r>
    </w:p>
    <w:p w14:paraId="18C52C55" w14:textId="77777777" w:rsidR="00D830F5" w:rsidRPr="005208DC" w:rsidRDefault="00D830F5" w:rsidP="00D830F5">
      <w:pPr>
        <w:jc w:val="both"/>
        <w:rPr>
          <w:rFonts w:asciiTheme="majorBidi" w:eastAsiaTheme="minorHAnsi" w:hAnsiTheme="majorBidi" w:cstheme="majorBidi"/>
          <w:color w:val="0D0D0D" w:themeColor="text1" w:themeTint="F2"/>
          <w:lang w:val="sq-AL"/>
        </w:rPr>
      </w:pPr>
      <w:r w:rsidRPr="005208DC">
        <w:rPr>
          <w:rFonts w:asciiTheme="majorBidi" w:eastAsiaTheme="minorHAnsi" w:hAnsiTheme="majorBidi" w:cstheme="majorBidi"/>
          <w:color w:val="0D0D0D" w:themeColor="text1" w:themeTint="F2"/>
          <w:lang w:val="sq-AL"/>
        </w:rPr>
        <w:t>• Nxitja e të mësuarit sipërmarrës dhe intensifikimi i bashkëpunimit ndërmjet sipërmarrësve dhe institucioneve arsimore dhe trajnuese;</w:t>
      </w:r>
    </w:p>
    <w:p w14:paraId="5F427F3C" w14:textId="77777777" w:rsidR="00D830F5" w:rsidRPr="005208DC" w:rsidRDefault="00D830F5" w:rsidP="00D830F5">
      <w:pPr>
        <w:jc w:val="both"/>
        <w:rPr>
          <w:rFonts w:asciiTheme="majorBidi" w:eastAsiaTheme="minorHAnsi" w:hAnsiTheme="majorBidi" w:cstheme="majorBidi"/>
          <w:color w:val="0D0D0D" w:themeColor="text1" w:themeTint="F2"/>
          <w:lang w:val="sq-AL"/>
        </w:rPr>
      </w:pPr>
      <w:r w:rsidRPr="005208DC">
        <w:rPr>
          <w:rFonts w:asciiTheme="majorBidi" w:eastAsiaTheme="minorHAnsi" w:hAnsiTheme="majorBidi" w:cstheme="majorBidi"/>
          <w:color w:val="0D0D0D" w:themeColor="text1" w:themeTint="F2"/>
          <w:lang w:val="sq-AL"/>
        </w:rPr>
        <w:t>• Integrimi i zhvillimit të aftësive në masat dhe iniciativat mbështetëse të SME-ve për të përmirësuar zinxhirët premtues të vlerës në kontekstin e specializimit të zgjuar.</w:t>
      </w:r>
    </w:p>
    <w:p w14:paraId="15181025" w14:textId="77777777" w:rsidR="00D830F5" w:rsidRPr="005208DC" w:rsidRDefault="00D830F5" w:rsidP="00D830F5">
      <w:pPr>
        <w:jc w:val="both"/>
        <w:rPr>
          <w:rFonts w:asciiTheme="majorBidi" w:eastAsiaTheme="minorHAnsi" w:hAnsiTheme="majorBidi" w:cstheme="majorBidi"/>
          <w:color w:val="0D0D0D" w:themeColor="text1" w:themeTint="F2"/>
          <w:lang w:val="sq-AL"/>
        </w:rPr>
      </w:pPr>
      <w:r w:rsidRPr="005208DC">
        <w:rPr>
          <w:rFonts w:asciiTheme="majorBidi" w:eastAsiaTheme="minorHAnsi" w:hAnsiTheme="majorBidi" w:cstheme="majorBidi"/>
          <w:color w:val="0D0D0D" w:themeColor="text1" w:themeTint="F2"/>
          <w:lang w:val="sq-AL"/>
        </w:rPr>
        <w:t>Në fushën e ndërhyrjes 3: Zhvillimi i kapitalit njerëzor, Ka disa parime të Strategjisë së BE-së për SME-të dhe Axhendën e Aftësive, BIDS-i i ri thekson rëndësinë strategjike të aftësive nga këndvështrimi i SME-ve, investitorëve të mëdhenj dhe startup-eve. Aftësitë dhe të mësuarit gjatë gjithë jetës janë thelbësore për rritjen e qëndrueshme, produktivitetin dhe inovacionin. Është vetëm me aftësitë e duhura që Shqipëria mund të forcojë pozicionin e saj në konkurrencën ndërkombëtare dhe zinxhirët e vlerave dhe të ketë një rinisje të qëndrueshme ekonomike pas krizës pandemike.</w:t>
      </w:r>
    </w:p>
    <w:p w14:paraId="57300BC5" w14:textId="77777777" w:rsidR="00D830F5" w:rsidRPr="005208DC" w:rsidRDefault="00D830F5" w:rsidP="00D830F5">
      <w:pPr>
        <w:jc w:val="both"/>
        <w:rPr>
          <w:rFonts w:asciiTheme="majorBidi" w:eastAsiaTheme="minorHAnsi" w:hAnsiTheme="majorBidi" w:cstheme="majorBidi"/>
          <w:color w:val="0D0D0D" w:themeColor="text1" w:themeTint="F2"/>
          <w:lang w:val="sq-AL"/>
        </w:rPr>
      </w:pPr>
      <w:r w:rsidRPr="005208DC">
        <w:rPr>
          <w:rFonts w:asciiTheme="majorBidi" w:eastAsiaTheme="minorHAnsi" w:hAnsiTheme="majorBidi" w:cstheme="majorBidi"/>
          <w:color w:val="0D0D0D" w:themeColor="text1" w:themeTint="F2"/>
          <w:lang w:val="sq-AL"/>
        </w:rPr>
        <w:t>Aktivitetet arsimore dhe të aftësive të larta janë thelbësore për t'i bërë firmat lokale të përshtatshme për transformimin e zinxhirëve ndërkombëtarë të vlerës, tregun e vetëm, për specializim të zgjuar si dhe transformimin e gjelbër dhe dixhital. Në një mjedis konkurrues në ndryshim, startup-et dhe SME-të e krijuara njësoj shpesh sfidohen nga mungesa e punonjësve të kualifikuar. Ata shpesh nuk kanë të njëjtat burime si kompanitë e mëdha për të investuar në trajnimin e punonjësve të tyre. Në të njëjtën kohë, baza e aftësive ka fituar rëndësi në vendimet për vendndodhjen e investitorëve, veçanërisht nga grupet Synimi të drejtuara nga njohuritë dhe teknologjia.</w:t>
      </w:r>
    </w:p>
    <w:p w14:paraId="69406479" w14:textId="77777777" w:rsidR="00D830F5" w:rsidRPr="005208DC" w:rsidRDefault="00D830F5" w:rsidP="00D830F5">
      <w:pPr>
        <w:jc w:val="both"/>
        <w:rPr>
          <w:rFonts w:asciiTheme="majorBidi" w:eastAsiaTheme="minorHAnsi" w:hAnsiTheme="majorBidi" w:cstheme="majorBidi"/>
          <w:color w:val="0D0D0D" w:themeColor="text1" w:themeTint="F2"/>
          <w:lang w:val="sq-AL"/>
        </w:rPr>
      </w:pPr>
      <w:r w:rsidRPr="005208DC">
        <w:rPr>
          <w:rFonts w:asciiTheme="majorBidi" w:eastAsiaTheme="minorHAnsi" w:hAnsiTheme="majorBidi" w:cstheme="majorBidi"/>
          <w:color w:val="0D0D0D" w:themeColor="text1" w:themeTint="F2"/>
          <w:lang w:val="sq-AL"/>
        </w:rPr>
        <w:t>Duke marrë parasysh situatën aktuale dhe burimet e disponueshme, është e rëndësishme që të kontekstualizohet zhvillimi i kapitalit njerëzor me fushat e tjera të ndërhyrjes dhe të ndiqet një qasje e ardhshme dhe bashkëpunuese. Në këtë sfond, veprimet në këtë fushë ndërhyrje synojnë arritjen e objektivave dhe rezultateve të pritshme të paraqitura në figurën më poshtë duke plotësuar dhe specifikuar qëllimin e përcaktuar të politikës.</w:t>
      </w:r>
    </w:p>
    <w:p w14:paraId="665B62FA" w14:textId="77777777" w:rsidR="00D830F5" w:rsidRPr="005208DC" w:rsidRDefault="00D830F5" w:rsidP="00D830F5">
      <w:pPr>
        <w:jc w:val="both"/>
        <w:rPr>
          <w:rFonts w:asciiTheme="majorBidi" w:hAnsiTheme="majorBidi" w:cstheme="majorBidi"/>
          <w:color w:val="0D0D0D" w:themeColor="text1" w:themeTint="F2"/>
          <w:lang w:val="sq-AL" w:eastAsia="de-DE"/>
        </w:rPr>
      </w:pPr>
      <w:r w:rsidRPr="005208DC">
        <w:rPr>
          <w:rFonts w:asciiTheme="majorBidi" w:eastAsiaTheme="minorHAnsi" w:hAnsiTheme="majorBidi" w:cstheme="majorBidi"/>
          <w:color w:val="0D0D0D" w:themeColor="text1" w:themeTint="F2"/>
          <w:lang w:val="sq-AL"/>
        </w:rPr>
        <w:t>Ka disa masa që synojnë të forcojnë lidhjet midis bizneseve inovative dhe akademisë si:</w:t>
      </w:r>
    </w:p>
    <w:p w14:paraId="5AF0F5AC" w14:textId="77777777" w:rsidR="00D830F5" w:rsidRPr="005208DC" w:rsidRDefault="00D830F5" w:rsidP="00D830F5">
      <w:pPr>
        <w:ind w:left="284"/>
        <w:rPr>
          <w:rFonts w:asciiTheme="majorBidi" w:eastAsia="Arial Narrow" w:hAnsiTheme="majorBidi" w:cstheme="majorBidi"/>
          <w:color w:val="0D0D0D" w:themeColor="text1" w:themeTint="F2"/>
          <w:lang w:val="sq-AL" w:eastAsia="de-DE"/>
        </w:rPr>
      </w:pPr>
      <w:r w:rsidRPr="005208DC">
        <w:rPr>
          <w:rFonts w:asciiTheme="majorBidi" w:eastAsia="Arial Narrow" w:hAnsiTheme="majorBidi" w:cstheme="majorBidi"/>
          <w:color w:val="0D0D0D" w:themeColor="text1" w:themeTint="F2"/>
          <w:lang w:val="sq-AL" w:eastAsia="de-DE"/>
        </w:rPr>
        <w:t>- Skema e mbështetjes së zhvillimit të kapitalit njerëzor bashkëpunues</w:t>
      </w:r>
    </w:p>
    <w:p w14:paraId="690DB40E" w14:textId="77777777" w:rsidR="00D830F5" w:rsidRPr="005208DC" w:rsidRDefault="00D830F5" w:rsidP="00D830F5">
      <w:pPr>
        <w:ind w:left="284"/>
        <w:jc w:val="both"/>
        <w:rPr>
          <w:rFonts w:asciiTheme="majorBidi" w:eastAsia="Arial Narrow" w:hAnsiTheme="majorBidi" w:cstheme="majorBidi"/>
          <w:color w:val="0D0D0D" w:themeColor="text1" w:themeTint="F2"/>
          <w:lang w:val="sq-AL" w:eastAsia="de-DE"/>
        </w:rPr>
      </w:pPr>
      <w:r w:rsidRPr="005208DC">
        <w:rPr>
          <w:rFonts w:asciiTheme="majorBidi" w:eastAsia="Arial Narrow" w:hAnsiTheme="majorBidi" w:cstheme="majorBidi"/>
          <w:color w:val="0D0D0D" w:themeColor="text1" w:themeTint="F2"/>
          <w:lang w:val="sq-AL" w:eastAsia="de-DE"/>
        </w:rPr>
        <w:t>Si ndërmarrjet fillestare ashtu edhe SME-të e themeluara shpesh përballen me sfida nga mungesa e punonjësve të kualifikuar, veçanërisht për pozicionet e punës që kërkojnë më shumë aftësi. Bazuar në rekomandimet e Planit të Veprimit Triple Coil, do të zhvillohet një skemë mbështetëse për të rritur bazën e aftësive dhe për të eksploruar qasje të reja për të nxitur bashkëpunimin dhe lëvizshmërinë midis shkollës dhe bizneseve. Kjo skemë do të ofrojë mbështetje financiare për punësimin e talenteve të kualifikuar në projektet e K&amp;ZH dhe inovacionit dhe mbulon dy komponentë:</w:t>
      </w:r>
    </w:p>
    <w:p w14:paraId="4DC15E7E" w14:textId="77777777" w:rsidR="00D830F5" w:rsidRPr="005208DC" w:rsidRDefault="00D830F5" w:rsidP="00D830F5">
      <w:pPr>
        <w:ind w:left="284"/>
        <w:rPr>
          <w:rFonts w:asciiTheme="majorBidi" w:eastAsia="Arial Narrow" w:hAnsiTheme="majorBidi" w:cstheme="majorBidi"/>
          <w:color w:val="0D0D0D" w:themeColor="text1" w:themeTint="F2"/>
          <w:lang w:val="sq-AL" w:eastAsia="de-DE"/>
        </w:rPr>
      </w:pPr>
      <w:r w:rsidRPr="005208DC">
        <w:rPr>
          <w:rFonts w:asciiTheme="majorBidi" w:eastAsia="Arial Narrow" w:hAnsiTheme="majorBidi" w:cstheme="majorBidi"/>
          <w:color w:val="0D0D0D" w:themeColor="text1" w:themeTint="F2"/>
          <w:lang w:val="sq-AL" w:eastAsia="de-DE"/>
        </w:rPr>
        <w:t>1. Asistencë për SME-të që punësojnë të sapodiplomuar të talentuar për projekte inovacioni:</w:t>
      </w:r>
    </w:p>
    <w:p w14:paraId="0E52E6B6" w14:textId="77777777" w:rsidR="00D830F5" w:rsidRPr="005208DC" w:rsidRDefault="00D830F5" w:rsidP="00D830F5">
      <w:pPr>
        <w:ind w:left="284"/>
        <w:jc w:val="both"/>
        <w:rPr>
          <w:rFonts w:asciiTheme="majorBidi" w:eastAsia="Arial Narrow" w:hAnsiTheme="majorBidi" w:cstheme="majorBidi"/>
          <w:color w:val="0D0D0D" w:themeColor="text1" w:themeTint="F2"/>
          <w:lang w:val="sq-AL" w:eastAsia="de-DE"/>
        </w:rPr>
      </w:pPr>
      <w:r w:rsidRPr="005208DC">
        <w:rPr>
          <w:rFonts w:asciiTheme="majorBidi" w:eastAsia="Arial Narrow" w:hAnsiTheme="majorBidi" w:cstheme="majorBidi"/>
          <w:color w:val="0D0D0D" w:themeColor="text1" w:themeTint="F2"/>
          <w:lang w:val="sq-AL" w:eastAsia="de-DE"/>
        </w:rPr>
        <w:t>Të diplomuarit e rinj do të punësohen për detyra në fushat e kërkimit dhe zhvillimit, zhvillimit/përmirësimit të produkteve dhe proceseve të reja, kërkimit të tregut dhe zhvillimit të biznesit për inovacion.</w:t>
      </w:r>
    </w:p>
    <w:p w14:paraId="754FBAB5" w14:textId="750F10FE" w:rsidR="00D830F5" w:rsidRPr="005208DC" w:rsidRDefault="00D830F5" w:rsidP="00141929">
      <w:pPr>
        <w:ind w:left="284"/>
        <w:jc w:val="both"/>
        <w:rPr>
          <w:rFonts w:asciiTheme="majorBidi" w:eastAsia="Arial Narrow" w:hAnsiTheme="majorBidi" w:cstheme="majorBidi"/>
          <w:color w:val="0D0D0D" w:themeColor="text1" w:themeTint="F2"/>
          <w:lang w:val="sq-AL" w:eastAsia="de-DE"/>
        </w:rPr>
      </w:pPr>
      <w:r w:rsidRPr="005208DC">
        <w:rPr>
          <w:rFonts w:asciiTheme="majorBidi" w:eastAsia="Arial Narrow" w:hAnsiTheme="majorBidi" w:cstheme="majorBidi"/>
          <w:color w:val="0D0D0D" w:themeColor="text1" w:themeTint="F2"/>
          <w:lang w:val="sq-AL" w:eastAsia="de-DE"/>
        </w:rPr>
        <w:t>Kjo skemë do të sigurojë një subvencion pagash që mbulon deri në 50% të pagës bruto, si dhe shpenzimet e lidhura me punën (si trajnimi) të një të sapodiplomuari nga një SME për të punuar në projekte inovacioni, për një periudhë deri në 18 muaj. Kontributi maksimal do të arrijë vlerën 4500 euro për person (25 euro në muaj).</w:t>
      </w:r>
      <w:r w:rsidR="00141929" w:rsidRPr="005208DC">
        <w:rPr>
          <w:rFonts w:asciiTheme="majorBidi" w:eastAsia="Arial Narrow" w:hAnsiTheme="majorBidi" w:cstheme="majorBidi"/>
          <w:color w:val="0D0D0D" w:themeColor="text1" w:themeTint="F2"/>
          <w:lang w:val="sq-AL" w:eastAsia="de-DE"/>
        </w:rPr>
        <w:t xml:space="preserve"> </w:t>
      </w:r>
      <w:r w:rsidRPr="005208DC">
        <w:rPr>
          <w:rFonts w:asciiTheme="majorBidi" w:eastAsia="Arial Narrow" w:hAnsiTheme="majorBidi" w:cstheme="majorBidi"/>
          <w:color w:val="0D0D0D" w:themeColor="text1" w:themeTint="F2"/>
          <w:lang w:val="sq-AL" w:eastAsia="de-DE"/>
        </w:rPr>
        <w:t>Të diplomuarit e rinj do të punësohen sërish dhe për herë të parë. I sapodiplomuari nuk duhet të zëvendësojë një pozicion ekzistues.</w:t>
      </w:r>
    </w:p>
    <w:p w14:paraId="0EBA9975" w14:textId="77777777" w:rsidR="00D830F5" w:rsidRPr="005208DC" w:rsidRDefault="00D830F5" w:rsidP="00D830F5">
      <w:pPr>
        <w:ind w:left="284"/>
        <w:rPr>
          <w:rFonts w:asciiTheme="majorBidi" w:eastAsia="Arial Narrow" w:hAnsiTheme="majorBidi" w:cstheme="majorBidi"/>
          <w:color w:val="0D0D0D" w:themeColor="text1" w:themeTint="F2"/>
          <w:lang w:val="sq-AL" w:eastAsia="de-DE"/>
        </w:rPr>
      </w:pPr>
      <w:r w:rsidRPr="005208DC">
        <w:rPr>
          <w:rFonts w:asciiTheme="majorBidi" w:eastAsia="Arial Narrow" w:hAnsiTheme="majorBidi" w:cstheme="majorBidi"/>
          <w:color w:val="0D0D0D" w:themeColor="text1" w:themeTint="F2"/>
          <w:lang w:val="sq-AL" w:eastAsia="de-DE"/>
        </w:rPr>
        <w:t>2. Asistencë për studentët e doktoraturës:</w:t>
      </w:r>
    </w:p>
    <w:p w14:paraId="279DDFF8" w14:textId="77777777" w:rsidR="00D830F5" w:rsidRPr="005208DC" w:rsidRDefault="00D830F5" w:rsidP="00D830F5">
      <w:pPr>
        <w:ind w:left="284"/>
        <w:jc w:val="both"/>
        <w:rPr>
          <w:rFonts w:asciiTheme="majorBidi" w:eastAsia="Arial Narrow" w:hAnsiTheme="majorBidi" w:cstheme="majorBidi"/>
          <w:color w:val="0D0D0D" w:themeColor="text1" w:themeTint="F2"/>
          <w:lang w:val="sq-AL" w:eastAsia="de-DE"/>
        </w:rPr>
      </w:pPr>
      <w:r w:rsidRPr="005208DC">
        <w:rPr>
          <w:rFonts w:asciiTheme="majorBidi" w:eastAsia="Arial Narrow" w:hAnsiTheme="majorBidi" w:cstheme="majorBidi"/>
          <w:color w:val="0D0D0D" w:themeColor="text1" w:themeTint="F2"/>
          <w:lang w:val="sq-AL" w:eastAsia="de-DE"/>
        </w:rPr>
        <w:t>Programi i doktoraturës industriale është një projekt kërkimor i fokusuar në industri dhe program PHD dhe zhvillohet së bashku nga një kompani e sektorit privat, një kandidat për PHD industriale dhe një institucion i arsimit të lartë. Kandidati për PHD industrial është i punësuar në kompani dhe në të njëjtën kohë është i regjistruar në institucionet e arsimit të lartë dhe punon për të njëjtin projekt në të dy vendet. Kandidati duhet të kalojë gjithë kohën e punës duke punuar në projekt dhe nuk mund të kryejë detyra të tjera. Kompania merr një subvencion pagash për pagesën e kandidatit (p.sh. deri në 50% të pagës së plotë bruto / deri në 200 euro në muaj) për një periudhë deri në tre Viti. Institucionet e arsimit të lartë marrin një subvencion për mbikëqyrje, pajisje dhe shpenzime të tjera për arsimimin e kandidatit (p.sh. deri në 2,000 euro për Viti).</w:t>
      </w:r>
    </w:p>
    <w:p w14:paraId="6EA5E4FD" w14:textId="2C5CC185" w:rsidR="00D830F5" w:rsidRPr="005208DC" w:rsidRDefault="00D830F5" w:rsidP="00D830F5">
      <w:pPr>
        <w:ind w:left="284"/>
        <w:jc w:val="both"/>
        <w:rPr>
          <w:rFonts w:asciiTheme="majorBidi" w:eastAsia="Arial Narrow" w:hAnsiTheme="majorBidi" w:cstheme="majorBidi"/>
          <w:color w:val="0D0D0D" w:themeColor="text1" w:themeTint="F2"/>
          <w:lang w:val="sq-AL" w:eastAsia="de-DE"/>
        </w:rPr>
      </w:pPr>
      <w:r w:rsidRPr="005208DC">
        <w:rPr>
          <w:rFonts w:asciiTheme="majorBidi" w:eastAsia="Arial Narrow" w:hAnsiTheme="majorBidi" w:cstheme="majorBidi"/>
          <w:color w:val="0D0D0D" w:themeColor="text1" w:themeTint="F2"/>
          <w:lang w:val="sq-AL" w:eastAsia="de-DE"/>
        </w:rPr>
        <w:t>Nevojitet një pozicion shtesë i AIDA-s për të koordinuar skemën, e cila do të mbështesë edhe zbatimin e skemës së mbështetjes së sipërmarrjes (aksioni prioritar 2.1). Gjatë fazës së hartimit, do të vlerësohet nëse është i nevojshëm ndryshimi i kuadrit ligjor/rregullator. Bazuar në vlerësimet e përvojës së fituar, programi mund të zgjerohet në grupe te targetuara të tjera. Hartimi dhe zbatimi i një skeme mbështetëse që përfshin:</w:t>
      </w:r>
    </w:p>
    <w:p w14:paraId="6D4EAB14" w14:textId="77777777" w:rsidR="00D830F5" w:rsidRPr="005208DC" w:rsidRDefault="00D830F5" w:rsidP="00D830F5">
      <w:pPr>
        <w:ind w:left="284"/>
        <w:rPr>
          <w:rFonts w:asciiTheme="majorBidi" w:eastAsia="Arial Narrow" w:hAnsiTheme="majorBidi" w:cstheme="majorBidi"/>
          <w:color w:val="0D0D0D" w:themeColor="text1" w:themeTint="F2"/>
          <w:lang w:val="sq-AL" w:eastAsia="de-DE"/>
        </w:rPr>
      </w:pPr>
      <w:r w:rsidRPr="005208DC">
        <w:rPr>
          <w:rFonts w:asciiTheme="majorBidi" w:eastAsia="Arial Narrow" w:hAnsiTheme="majorBidi" w:cstheme="majorBidi"/>
          <w:color w:val="0D0D0D" w:themeColor="text1" w:themeTint="F2"/>
          <w:lang w:val="sq-AL" w:eastAsia="de-DE"/>
        </w:rPr>
        <w:t>• Asistencë për SME-të që punësojnë të sapodiplomuar për projekte inovative</w:t>
      </w:r>
    </w:p>
    <w:p w14:paraId="7E061121" w14:textId="77777777" w:rsidR="00D830F5" w:rsidRPr="005208DC" w:rsidRDefault="00D830F5" w:rsidP="00D830F5">
      <w:pPr>
        <w:ind w:left="284"/>
        <w:jc w:val="both"/>
        <w:rPr>
          <w:rFonts w:asciiTheme="majorBidi" w:eastAsia="Arial Narrow" w:hAnsiTheme="majorBidi" w:cstheme="majorBidi"/>
          <w:color w:val="0D0D0D" w:themeColor="text1" w:themeTint="F2"/>
          <w:lang w:val="sq-AL" w:eastAsia="de-DE"/>
        </w:rPr>
      </w:pPr>
      <w:r w:rsidRPr="005208DC">
        <w:rPr>
          <w:rFonts w:asciiTheme="majorBidi" w:eastAsia="Arial Narrow" w:hAnsiTheme="majorBidi" w:cstheme="majorBidi"/>
          <w:color w:val="0D0D0D" w:themeColor="text1" w:themeTint="F2"/>
          <w:lang w:val="sq-AL" w:eastAsia="de-DE"/>
        </w:rPr>
        <w:t>• Asistencë për doktorantët që janë të punësuar në NVM dhe njëkohësisht të regjistruar në institucionet e arsimit të lartë, duke punuar në një projekt të përbashkët kërkimor.</w:t>
      </w:r>
    </w:p>
    <w:p w14:paraId="49CC0A5C" w14:textId="77777777" w:rsidR="00D830F5" w:rsidRPr="005208DC" w:rsidRDefault="00D830F5" w:rsidP="00D830F5">
      <w:pPr>
        <w:ind w:left="284"/>
        <w:jc w:val="both"/>
        <w:rPr>
          <w:rFonts w:asciiTheme="majorBidi" w:hAnsiTheme="majorBidi" w:cstheme="majorBidi"/>
          <w:color w:val="0D0D0D" w:themeColor="text1" w:themeTint="F2"/>
          <w:lang w:val="sq-AL"/>
        </w:rPr>
      </w:pPr>
      <w:r w:rsidRPr="005208DC">
        <w:rPr>
          <w:rFonts w:asciiTheme="majorBidi" w:eastAsia="Arial Narrow" w:hAnsiTheme="majorBidi" w:cstheme="majorBidi"/>
          <w:color w:val="0D0D0D" w:themeColor="text1" w:themeTint="F2"/>
          <w:lang w:val="sq-AL" w:eastAsia="de-DE"/>
        </w:rPr>
        <w:t>• Programet "Inovacioni dhe ekselenca në prodhimtari" dhe "Inovacioni dhe ekselenca në IT" do të krijohen për trajnime në inovacion, dizajn, marketing, kërkim dhe zhvillim duke mbuluar 100% të kostove të trajnimit. Kostot do të rimbursohen 50% direkt dhe 50% si taksë e zbritshme 2 herë për kompanitë ku përfituesi është i punësuar. Kostot e këtyre programeve do të përcaktohen gjatë përgatitjes së politikave fiskale të mëposhtme.</w:t>
      </w:r>
    </w:p>
    <w:p w14:paraId="33B65080" w14:textId="77777777" w:rsidR="00D830F5" w:rsidRPr="005208DC" w:rsidRDefault="00D830F5" w:rsidP="00D830F5">
      <w:pPr>
        <w:ind w:left="360"/>
        <w:rPr>
          <w:rFonts w:asciiTheme="majorBidi" w:eastAsia="Arial Narrow" w:hAnsiTheme="majorBidi" w:cstheme="majorBidi"/>
          <w:color w:val="0D0D0D" w:themeColor="text1" w:themeTint="F2"/>
          <w:lang w:val="sq-AL"/>
        </w:rPr>
      </w:pPr>
      <w:r w:rsidRPr="005208DC">
        <w:rPr>
          <w:rFonts w:asciiTheme="majorBidi" w:eastAsia="Arial Narrow" w:hAnsiTheme="majorBidi" w:cstheme="majorBidi"/>
          <w:color w:val="0D0D0D" w:themeColor="text1" w:themeTint="F2"/>
          <w:lang w:val="sq-AL"/>
        </w:rPr>
        <w:t>- Programi i zhvillimit të fuqisë punëtore për dhe me NVM-të dhe investitorët</w:t>
      </w:r>
    </w:p>
    <w:p w14:paraId="743B199C" w14:textId="77777777" w:rsidR="00D830F5" w:rsidRPr="005208DC" w:rsidRDefault="00D830F5" w:rsidP="00D830F5">
      <w:pPr>
        <w:ind w:left="360"/>
        <w:jc w:val="both"/>
        <w:rPr>
          <w:rFonts w:asciiTheme="majorBidi" w:eastAsia="Arial Narrow" w:hAnsiTheme="majorBidi" w:cstheme="majorBidi"/>
          <w:color w:val="0D0D0D" w:themeColor="text1" w:themeTint="F2"/>
          <w:lang w:val="sq-AL"/>
        </w:rPr>
      </w:pPr>
      <w:r w:rsidRPr="005208DC">
        <w:rPr>
          <w:rFonts w:asciiTheme="majorBidi" w:eastAsia="Arial Narrow" w:hAnsiTheme="majorBidi" w:cstheme="majorBidi"/>
          <w:color w:val="0D0D0D" w:themeColor="text1" w:themeTint="F2"/>
          <w:lang w:val="sq-AL"/>
        </w:rPr>
        <w:t>Atraktiviteti i një destinacioni për investitorët varet shumë nga cilësia e bazës së aftësive, veçanërisht nga këndvështrimi i grupeve Synimi, bizneset e të cilëve mbështeten në njohuri dhe teknologji. Në të njëjtën kohë, përvoja ndërkombëtare tregon se investitorët dhe bizneset vendase mund të japin një kontribut të çmuar në forcimin e kapitalit njerëzor. Programi i zhvillimit të fuqisë punëtore do të përfshijë investitorët dhe SME-të në rritjen e bazës së aftësive si dhe rritjen e aftësive dixhitale për fuqinë punëtore të SME-ve, përmes trajnimeve të specializuara për TIK. Ky program përfshin tre komponentë të cilët do të zbatohen në faza.</w:t>
      </w:r>
    </w:p>
    <w:p w14:paraId="1A527115" w14:textId="77777777" w:rsidR="00D830F5" w:rsidRPr="005208DC" w:rsidRDefault="00D830F5" w:rsidP="00D830F5">
      <w:pPr>
        <w:ind w:left="360"/>
        <w:rPr>
          <w:rFonts w:asciiTheme="majorBidi" w:eastAsia="Arial Narrow" w:hAnsiTheme="majorBidi" w:cstheme="majorBidi"/>
          <w:i/>
          <w:iCs/>
          <w:color w:val="0D0D0D" w:themeColor="text1" w:themeTint="F2"/>
          <w:lang w:val="sq-AL"/>
        </w:rPr>
      </w:pPr>
      <w:r w:rsidRPr="005208DC">
        <w:rPr>
          <w:rFonts w:asciiTheme="majorBidi" w:eastAsia="Arial Narrow" w:hAnsiTheme="majorBidi" w:cstheme="majorBidi"/>
          <w:i/>
          <w:iCs/>
          <w:color w:val="0D0D0D" w:themeColor="text1" w:themeTint="F2"/>
          <w:lang w:val="sq-AL"/>
        </w:rPr>
        <w:t>Komponenti 1: Integrimi i zhvillimit të aftësive në shërbimet e kujdesit pasues</w:t>
      </w:r>
    </w:p>
    <w:p w14:paraId="67C8EC66" w14:textId="77777777" w:rsidR="00D830F5" w:rsidRPr="005208DC" w:rsidRDefault="00D830F5" w:rsidP="00D830F5">
      <w:pPr>
        <w:ind w:left="360"/>
        <w:jc w:val="both"/>
        <w:rPr>
          <w:rFonts w:asciiTheme="majorBidi" w:eastAsia="Arial Narrow" w:hAnsiTheme="majorBidi" w:cstheme="majorBidi"/>
          <w:color w:val="0D0D0D" w:themeColor="text1" w:themeTint="F2"/>
          <w:lang w:val="sq-AL"/>
        </w:rPr>
      </w:pPr>
      <w:r w:rsidRPr="005208DC">
        <w:rPr>
          <w:rFonts w:asciiTheme="majorBidi" w:eastAsia="Arial Narrow" w:hAnsiTheme="majorBidi" w:cstheme="majorBidi"/>
          <w:color w:val="0D0D0D" w:themeColor="text1" w:themeTint="F2"/>
          <w:lang w:val="sq-AL"/>
        </w:rPr>
        <w:t>Ky komponent mund të bazohet në aktivitetet ekzistuese dhe mbështetjen e donatorëve siç është asistenca nga GIZ për shërbime të mëtejshme të kujdesit. Fokusi do të jetë në lehtësimin e shërbimeve duke mbështetur investitorët për të zhvilluar fuqinë e tyre punëtore përmes strukturave dhe programeve ekzistuese, si trajnimi në vendin e punës dhe trajnimi profesional. Këto shërbime do të zhvillohen përmes bashkëpunimit të ngushtë ndërmjet AIDA-s, APK-së, qendrave të formimit profesional dhe palëve të tjera të interesuara si dhomat dhe organizatat. Ndarja e detyrave do të detajohet përmes MM.</w:t>
      </w:r>
    </w:p>
    <w:p w14:paraId="2221E09F" w14:textId="77777777" w:rsidR="00D830F5" w:rsidRPr="005208DC" w:rsidRDefault="00D830F5" w:rsidP="00D830F5">
      <w:pPr>
        <w:ind w:left="360"/>
        <w:jc w:val="both"/>
        <w:rPr>
          <w:rFonts w:asciiTheme="majorBidi" w:eastAsia="Arial Narrow" w:hAnsiTheme="majorBidi" w:cstheme="majorBidi"/>
          <w:color w:val="0D0D0D" w:themeColor="text1" w:themeTint="F2"/>
          <w:lang w:val="sq-AL"/>
        </w:rPr>
      </w:pPr>
      <w:r w:rsidRPr="005208DC">
        <w:rPr>
          <w:rFonts w:asciiTheme="majorBidi" w:eastAsia="Arial Narrow" w:hAnsiTheme="majorBidi" w:cstheme="majorBidi"/>
          <w:color w:val="0D0D0D" w:themeColor="text1" w:themeTint="F2"/>
          <w:lang w:val="sq-AL"/>
        </w:rPr>
        <w:t>Ky program do të koordinohet nga AIDA dhe do të zbatohet në bashkëpunim të ngushtë me ofruesit privatë të trajnimit dhe shoqatat e biznesit. Fokusi kryesor do të jetë në kurset afatshkurtra, p.sh. kurse trajnimi afatshkurtër për saldator. Kurset e trajnimit do të mbahen nga ekspertë të jashtëm / trajnerë privatë. Për të siguruar zbatimin efektiv, AIDA-s do të ketë nevojë për burime dhe kapacitete të përshtatshme. Koordinimi i programit të zhvillimit të fuqisë punëtore do të bëhet nga sektori i trajnimit.</w:t>
      </w:r>
    </w:p>
    <w:p w14:paraId="08B2E5E4" w14:textId="77777777" w:rsidR="00D830F5" w:rsidRPr="005208DC" w:rsidRDefault="00D830F5" w:rsidP="00D830F5">
      <w:pPr>
        <w:ind w:left="360"/>
        <w:rPr>
          <w:rFonts w:asciiTheme="majorBidi" w:eastAsia="Arial Narrow" w:hAnsiTheme="majorBidi" w:cstheme="majorBidi"/>
          <w:i/>
          <w:iCs/>
          <w:color w:val="0D0D0D" w:themeColor="text1" w:themeTint="F2"/>
          <w:lang w:val="sq-AL"/>
        </w:rPr>
      </w:pPr>
      <w:r w:rsidRPr="005208DC">
        <w:rPr>
          <w:rFonts w:asciiTheme="majorBidi" w:eastAsia="Arial Narrow" w:hAnsiTheme="majorBidi" w:cstheme="majorBidi"/>
          <w:i/>
          <w:iCs/>
          <w:color w:val="0D0D0D" w:themeColor="text1" w:themeTint="F2"/>
          <w:lang w:val="sq-AL"/>
        </w:rPr>
        <w:t>Komponenti 2: Studimi i fizibilitetit për një qendër zhvillimi aftësish sipas modelit PPP</w:t>
      </w:r>
    </w:p>
    <w:p w14:paraId="522A2329" w14:textId="77777777" w:rsidR="00D830F5" w:rsidRPr="005208DC" w:rsidRDefault="00D830F5" w:rsidP="00D830F5">
      <w:pPr>
        <w:ind w:left="360"/>
        <w:jc w:val="both"/>
        <w:rPr>
          <w:rFonts w:asciiTheme="majorBidi" w:eastAsia="Arial Narrow" w:hAnsiTheme="majorBidi" w:cstheme="majorBidi"/>
          <w:color w:val="0D0D0D" w:themeColor="text1" w:themeTint="F2"/>
          <w:lang w:val="sq-AL"/>
        </w:rPr>
      </w:pPr>
      <w:r w:rsidRPr="005208DC">
        <w:rPr>
          <w:rFonts w:asciiTheme="majorBidi" w:eastAsia="Arial Narrow" w:hAnsiTheme="majorBidi" w:cstheme="majorBidi"/>
          <w:color w:val="0D0D0D" w:themeColor="text1" w:themeTint="F2"/>
          <w:lang w:val="sq-AL"/>
        </w:rPr>
        <w:t>Përvoja ndërkombëtare tregon se ka një potencial premtues për bashkëpunim me investitorët në lidhje me masat e zhvillimit të aftësive. Zbatimi i modeleve PPP për zhvillimin e aftësive konsiderohet një opsion strategjik premtues. Në përputhje me praktikat e mira ndërkombëtare, siç është Qendra e Zhvillimit të Aftësive Penang, do të kryhet një studim gjithëpërfshirës fizibiliteti për të vlerësuar fizibilitetin e një qendre trajnimi pilot bazuar në modelin PPP dhe në bashkëpunim me investitorët në një TEDA. Kjo qendër mund të përfshijë programe trajnimi të orientuara nga Synimi, si kurse teknike, trajnime profesionale ose diploma bachelor.</w:t>
      </w:r>
    </w:p>
    <w:p w14:paraId="3593B2BD" w14:textId="77777777" w:rsidR="00D830F5" w:rsidRPr="005208DC" w:rsidRDefault="00D830F5" w:rsidP="00D830F5">
      <w:pPr>
        <w:ind w:left="360"/>
        <w:rPr>
          <w:rFonts w:asciiTheme="majorBidi" w:eastAsia="Arial Narrow" w:hAnsiTheme="majorBidi" w:cstheme="majorBidi"/>
          <w:color w:val="0D0D0D" w:themeColor="text1" w:themeTint="F2"/>
          <w:lang w:val="sq-AL"/>
        </w:rPr>
      </w:pPr>
      <w:r w:rsidRPr="005208DC">
        <w:rPr>
          <w:rFonts w:asciiTheme="majorBidi" w:eastAsia="Arial Narrow" w:hAnsiTheme="majorBidi" w:cstheme="majorBidi"/>
          <w:color w:val="0D0D0D" w:themeColor="text1" w:themeTint="F2"/>
          <w:lang w:val="sq-AL"/>
        </w:rPr>
        <w:t>Si KPI në Strategji është paraparë-</w:t>
      </w:r>
    </w:p>
    <w:p w14:paraId="50A8198E" w14:textId="1D9D3C7A" w:rsidR="00D830F5" w:rsidRPr="005208DC" w:rsidRDefault="00D830F5" w:rsidP="00D830F5">
      <w:pPr>
        <w:ind w:left="360"/>
        <w:rPr>
          <w:rFonts w:asciiTheme="majorBidi" w:eastAsia="Arial Narrow" w:hAnsiTheme="majorBidi" w:cstheme="majorBidi"/>
          <w:color w:val="0D0D0D" w:themeColor="text1" w:themeTint="F2"/>
          <w:lang w:val="sq-AL"/>
        </w:rPr>
      </w:pPr>
      <w:r w:rsidRPr="005208DC">
        <w:rPr>
          <w:rFonts w:asciiTheme="majorBidi" w:eastAsia="Arial Narrow" w:hAnsiTheme="majorBidi" w:cstheme="majorBidi"/>
          <w:color w:val="0D0D0D" w:themeColor="text1" w:themeTint="F2"/>
          <w:lang w:val="sq-AL"/>
        </w:rPr>
        <w:t>- Rritja e përqindjes së punësimeve në profesionet që kërkojnë njohuri të thelluara nga 17.5% në 19.5%.</w:t>
      </w:r>
    </w:p>
    <w:p w14:paraId="2C064850" w14:textId="5BE93B85" w:rsidR="00D44556" w:rsidRPr="005208DC" w:rsidRDefault="00D830F5" w:rsidP="00D830F5">
      <w:pPr>
        <w:ind w:left="360"/>
        <w:rPr>
          <w:rFonts w:asciiTheme="majorBidi" w:eastAsia="Arial Narrow" w:hAnsiTheme="majorBidi" w:cstheme="majorBidi"/>
          <w:color w:val="0D0D0D" w:themeColor="text1" w:themeTint="F2"/>
          <w:lang w:val="sq-AL"/>
        </w:rPr>
      </w:pPr>
      <w:r w:rsidRPr="005208DC">
        <w:rPr>
          <w:rFonts w:asciiTheme="majorBidi" w:eastAsia="Arial Narrow" w:hAnsiTheme="majorBidi" w:cstheme="majorBidi"/>
          <w:color w:val="0D0D0D" w:themeColor="text1" w:themeTint="F2"/>
          <w:lang w:val="sq-AL"/>
        </w:rPr>
        <w:t>- Rritja e vlerësimit në Indeksin e Politikave për SME-të (aftësitë sipërmarrëse) nga 4.3 në 3.9.</w:t>
      </w:r>
    </w:p>
    <w:p w14:paraId="3525AACF" w14:textId="77777777" w:rsidR="00D44556" w:rsidRPr="005208DC" w:rsidRDefault="00D44556" w:rsidP="00857902">
      <w:pPr>
        <w:jc w:val="both"/>
        <w:rPr>
          <w:rFonts w:asciiTheme="majorBidi" w:eastAsiaTheme="minorHAnsi" w:hAnsiTheme="majorBidi" w:cstheme="majorBidi"/>
          <w:color w:val="0D0D0D" w:themeColor="text1" w:themeTint="F2"/>
          <w:lang w:val="sq-AL"/>
        </w:rPr>
      </w:pPr>
    </w:p>
    <w:p w14:paraId="0545EDD0" w14:textId="77777777" w:rsidR="001F1F94" w:rsidRPr="005208DC" w:rsidRDefault="001F1F94" w:rsidP="00857902">
      <w:pPr>
        <w:jc w:val="both"/>
        <w:rPr>
          <w:rFonts w:asciiTheme="majorBidi" w:eastAsiaTheme="minorHAnsi" w:hAnsiTheme="majorBidi" w:cstheme="majorBidi"/>
          <w:color w:val="0D0D0D" w:themeColor="text1" w:themeTint="F2"/>
          <w:lang w:val="sq-AL"/>
        </w:rPr>
      </w:pPr>
    </w:p>
    <w:p w14:paraId="4EDD1347" w14:textId="2DC9D528" w:rsidR="001B78FB" w:rsidRPr="005208DC" w:rsidRDefault="00A96FF1" w:rsidP="00857902">
      <w:pPr>
        <w:pStyle w:val="Heading2"/>
        <w:ind w:left="0"/>
        <w:rPr>
          <w:rFonts w:asciiTheme="majorBidi" w:hAnsiTheme="majorBidi" w:cstheme="majorBidi"/>
          <w:b/>
          <w:color w:val="0D0D0D" w:themeColor="text1" w:themeTint="F2"/>
          <w:lang w:val="sq-AL"/>
        </w:rPr>
      </w:pPr>
      <w:bookmarkStart w:id="18" w:name="_Toc92721122"/>
      <w:r w:rsidRPr="005208DC">
        <w:rPr>
          <w:rFonts w:asciiTheme="majorBidi" w:hAnsiTheme="majorBidi" w:cstheme="majorBidi"/>
          <w:b/>
          <w:color w:val="0D0D0D" w:themeColor="text1" w:themeTint="F2"/>
          <w:lang w:val="sq-AL"/>
        </w:rPr>
        <w:t>Rekomandimi</w:t>
      </w:r>
      <w:r w:rsidR="00626FE1" w:rsidRPr="005208DC">
        <w:rPr>
          <w:rFonts w:asciiTheme="majorBidi" w:hAnsiTheme="majorBidi" w:cstheme="majorBidi"/>
          <w:b/>
          <w:color w:val="0D0D0D" w:themeColor="text1" w:themeTint="F2"/>
          <w:lang w:val="sq-AL"/>
        </w:rPr>
        <w:t xml:space="preserve"> </w:t>
      </w:r>
      <w:r w:rsidR="006E790C" w:rsidRPr="005208DC">
        <w:rPr>
          <w:rFonts w:asciiTheme="majorBidi" w:hAnsiTheme="majorBidi" w:cstheme="majorBidi"/>
          <w:b/>
          <w:color w:val="0D0D0D" w:themeColor="text1" w:themeTint="F2"/>
          <w:lang w:val="sq-AL"/>
        </w:rPr>
        <w:t>6</w:t>
      </w:r>
      <w:bookmarkEnd w:id="17"/>
      <w:bookmarkEnd w:id="18"/>
    </w:p>
    <w:p w14:paraId="539500D4" w14:textId="354D9076" w:rsidR="00065C44" w:rsidRPr="005208DC" w:rsidRDefault="00065C44" w:rsidP="00D830F5">
      <w:pPr>
        <w:snapToGrid w:val="0"/>
        <w:rPr>
          <w:rFonts w:asciiTheme="majorBidi" w:hAnsiTheme="majorBidi" w:cstheme="majorBidi"/>
          <w:b/>
          <w:i/>
          <w:color w:val="0D0D0D" w:themeColor="text1" w:themeTint="F2"/>
          <w:lang w:val="sq-AL"/>
        </w:rPr>
      </w:pPr>
      <w:r w:rsidRPr="005208DC">
        <w:rPr>
          <w:rFonts w:asciiTheme="majorBidi" w:hAnsiTheme="majorBidi" w:cstheme="majorBidi"/>
          <w:b/>
          <w:i/>
          <w:color w:val="0D0D0D" w:themeColor="text1" w:themeTint="F2"/>
          <w:lang w:val="sq-AL"/>
        </w:rPr>
        <w:t>6.1</w:t>
      </w:r>
      <w:r w:rsidR="00626FE1" w:rsidRPr="005208DC">
        <w:rPr>
          <w:rFonts w:asciiTheme="majorBidi" w:hAnsiTheme="majorBidi" w:cstheme="majorBidi"/>
          <w:b/>
          <w:i/>
          <w:color w:val="0D0D0D" w:themeColor="text1" w:themeTint="F2"/>
          <w:lang w:val="sq-AL"/>
        </w:rPr>
        <w:t xml:space="preserve"> </w:t>
      </w:r>
      <w:r w:rsidR="00D830F5" w:rsidRPr="005208DC">
        <w:rPr>
          <w:rFonts w:asciiTheme="majorBidi" w:hAnsiTheme="majorBidi" w:cstheme="majorBidi"/>
          <w:b/>
          <w:i/>
          <w:color w:val="0D0D0D" w:themeColor="text1" w:themeTint="F2"/>
          <w:lang w:val="sq-AL"/>
        </w:rPr>
        <w:t>Kryeni një vlerësim të mjaftueshmërisë së përfitimeve sipas skemës së ‘Ndihmës Ekonomike’, duke marrë parasysh të dhënat e anketës për ‘Statistikat e të Ardhurave dhe Kushtet e Jetesës’, në këndvështrimin e rregullimit në mënyrë sistematike</w:t>
      </w:r>
    </w:p>
    <w:p w14:paraId="36A7B689" w14:textId="77777777" w:rsidR="00A96FF1" w:rsidRPr="005208DC" w:rsidRDefault="00A96FF1" w:rsidP="00D830F5">
      <w:pPr>
        <w:snapToGrid w:val="0"/>
        <w:jc w:val="both"/>
        <w:rPr>
          <w:rFonts w:asciiTheme="majorBidi" w:hAnsiTheme="majorBidi" w:cstheme="majorBidi"/>
          <w:bCs/>
          <w:iCs/>
          <w:color w:val="0D0D0D" w:themeColor="text1" w:themeTint="F2"/>
          <w:lang w:val="sq-AL"/>
        </w:rPr>
      </w:pPr>
      <w:r w:rsidRPr="005208DC">
        <w:rPr>
          <w:rFonts w:asciiTheme="majorBidi" w:hAnsiTheme="majorBidi" w:cstheme="majorBidi"/>
          <w:bCs/>
          <w:iCs/>
          <w:color w:val="0D0D0D" w:themeColor="text1" w:themeTint="F2"/>
          <w:lang w:val="sq-AL"/>
        </w:rPr>
        <w:t>Qeveria ndërmori masa të përkohshme për të zgjeruar përshtatshmërinë e përfitimeve të ndihmës sociale dhe për të zgjeruar mbështetjen me të ardhura gjatë pandemisë. Buxheti i skemës së ndihmës ekonomike për vitin 2021 u rrit dhe si rrjedhojë, përfitimet u dyfishuan në gjashtëmujorin e parë të vitit 2021. Lidhur më këtë, është përgatitur tashmë udhërrëfyesi me hapat dhe afatet kohore për rregullimin e përfitimeve të ndihmës ekonomike dhe vendosjen e një mekanizmi transparent për rishikime të rregullta vjetore në përputhje me kushtin e Asistencës Makro-Financiare të BE-së për Shqipërinë.</w:t>
      </w:r>
    </w:p>
    <w:p w14:paraId="0866F93C" w14:textId="6F7CD7ED" w:rsidR="001F759C" w:rsidRPr="005208DC" w:rsidRDefault="00A96FF1" w:rsidP="00D830F5">
      <w:pPr>
        <w:snapToGrid w:val="0"/>
        <w:jc w:val="both"/>
        <w:rPr>
          <w:rFonts w:asciiTheme="majorBidi" w:hAnsiTheme="majorBidi" w:cstheme="majorBidi"/>
          <w:bCs/>
          <w:iCs/>
          <w:color w:val="0D0D0D" w:themeColor="text1" w:themeTint="F2"/>
          <w:lang w:val="sq-AL"/>
        </w:rPr>
      </w:pPr>
      <w:r w:rsidRPr="005208DC">
        <w:rPr>
          <w:rFonts w:asciiTheme="majorBidi" w:hAnsiTheme="majorBidi" w:cstheme="majorBidi"/>
          <w:bCs/>
          <w:iCs/>
          <w:color w:val="0D0D0D" w:themeColor="text1" w:themeTint="F2"/>
          <w:lang w:val="sq-AL"/>
        </w:rPr>
        <w:t>Për hapat e udhërrëfyesit angazhimi është të zbatohen deri në fund të vitit 2024. Hapat përfshijnë analizën e performancës së përfitimit të ndihmës ekonomike duke përdorur të dhënat më të fundit të HBS dhe EU-SILC dhe krijimin e një mekanizmi për të përditësuar rregullisht nivelin e përfitimeve të ndihmës ekonomike.</w:t>
      </w:r>
    </w:p>
    <w:p w14:paraId="680370CD" w14:textId="77777777" w:rsidR="00A96FF1" w:rsidRPr="005208DC" w:rsidRDefault="00A96FF1" w:rsidP="00857902">
      <w:pPr>
        <w:snapToGrid w:val="0"/>
        <w:rPr>
          <w:rFonts w:asciiTheme="majorBidi" w:hAnsiTheme="majorBidi" w:cstheme="majorBidi"/>
          <w:bCs/>
          <w:iCs/>
          <w:color w:val="0D0D0D" w:themeColor="text1" w:themeTint="F2"/>
          <w:lang w:val="sq-AL"/>
        </w:rPr>
      </w:pPr>
    </w:p>
    <w:p w14:paraId="1132A288" w14:textId="1CD49249" w:rsidR="00376E55" w:rsidRPr="005208DC" w:rsidRDefault="00065C44" w:rsidP="00D830F5">
      <w:pPr>
        <w:snapToGrid w:val="0"/>
        <w:rPr>
          <w:rFonts w:asciiTheme="majorBidi" w:hAnsiTheme="majorBidi" w:cstheme="majorBidi"/>
          <w:b/>
          <w:i/>
          <w:color w:val="0D0D0D" w:themeColor="text1" w:themeTint="F2"/>
          <w:lang w:val="sq-AL"/>
        </w:rPr>
      </w:pPr>
      <w:r w:rsidRPr="005208DC">
        <w:rPr>
          <w:rFonts w:asciiTheme="majorBidi" w:hAnsiTheme="majorBidi" w:cstheme="majorBidi"/>
          <w:b/>
          <w:i/>
          <w:color w:val="0D0D0D" w:themeColor="text1" w:themeTint="F2"/>
          <w:lang w:val="sq-AL"/>
        </w:rPr>
        <w:t>6.2</w:t>
      </w:r>
      <w:r w:rsidR="00626FE1" w:rsidRPr="005208DC">
        <w:rPr>
          <w:rFonts w:asciiTheme="majorBidi" w:hAnsiTheme="majorBidi" w:cstheme="majorBidi"/>
          <w:b/>
          <w:i/>
          <w:color w:val="0D0D0D" w:themeColor="text1" w:themeTint="F2"/>
          <w:lang w:val="sq-AL"/>
        </w:rPr>
        <w:t xml:space="preserve"> </w:t>
      </w:r>
      <w:r w:rsidR="00D830F5" w:rsidRPr="005208DC">
        <w:rPr>
          <w:rFonts w:asciiTheme="majorBidi" w:hAnsiTheme="majorBidi" w:cstheme="majorBidi"/>
          <w:b/>
          <w:i/>
          <w:color w:val="0D0D0D" w:themeColor="text1" w:themeTint="F2"/>
          <w:lang w:val="sq-AL"/>
        </w:rPr>
        <w:t>Ndërtoni kapacitete në qeverisjen vendore për të aplikuar për mbështetje nga Fondi Social dhe për të planifikuar, administruar dhe ofruar shërbime të kujdesit social</w:t>
      </w:r>
    </w:p>
    <w:p w14:paraId="6E689DF0" w14:textId="1A510A38" w:rsidR="000E7751" w:rsidRPr="005208DC" w:rsidRDefault="00A96FF1" w:rsidP="00857902">
      <w:pPr>
        <w:snapToGrid w:val="0"/>
        <w:jc w:val="both"/>
        <w:rPr>
          <w:rFonts w:asciiTheme="majorBidi" w:hAnsiTheme="majorBidi" w:cstheme="majorBidi"/>
          <w:bCs/>
          <w:iCs/>
          <w:color w:val="0D0D0D" w:themeColor="text1" w:themeTint="F2"/>
          <w:lang w:val="sq-AL"/>
        </w:rPr>
      </w:pPr>
      <w:r w:rsidRPr="005208DC">
        <w:rPr>
          <w:rFonts w:asciiTheme="majorBidi" w:hAnsiTheme="majorBidi" w:cstheme="majorBidi"/>
          <w:bCs/>
          <w:iCs/>
          <w:color w:val="0D0D0D" w:themeColor="text1" w:themeTint="F2"/>
          <w:lang w:val="sq-AL"/>
        </w:rPr>
        <w:t>Bazuar në Programin e Shërbimit Social Shtetëror Nr. 1756 prot. datë 06.11.2019 “Për bashkërendimin e procesit të hartimit dhe zbatimit të planeve sociale”, gjatë vitit 2021, 37 bashki të qarqeve Kukës, Dibër, Berat, Gjirokastër, Fier, Korcë dhe Vlorë janë asistuar në hartimin dhe zbatimin e planeve sociale. Së pari, ndihma u fokusua në identifikimin e çështjeve kyçe që duhet të  adresohen,  për të vlerësuar nevojat për shërbime sociale dhe së dyti, u prezantua një model  për hartimin e një plani social, bazuar në prioritetet e secilës bashki, përkthyer në projekte konkrete për aplikim në Fondin social. Për vitin 2021, ndër të tjera, 3 shërbime emergjente për viktimat e dhunës në familje (Gjirokastër, Berat, Kukës); 1 shërbim ditor për fëmijët me aftësi të kufizuar (Lushnje) dhe 2 Qendra Fëmijë&amp;Familje, në reformën De-I (Korçë dhe Vlorë) u mbështetën nga Fondi Social. Deri më tani 60 nga 61 bashki kanë miratuar planet e kujdesit social.</w:t>
      </w:r>
    </w:p>
    <w:p w14:paraId="3C880A7F" w14:textId="77777777" w:rsidR="00A96FF1" w:rsidRPr="005208DC" w:rsidRDefault="00A96FF1" w:rsidP="00857902">
      <w:pPr>
        <w:snapToGrid w:val="0"/>
        <w:rPr>
          <w:rFonts w:asciiTheme="majorBidi" w:hAnsiTheme="majorBidi" w:cstheme="majorBidi"/>
          <w:bCs/>
          <w:iCs/>
          <w:color w:val="0D0D0D" w:themeColor="text1" w:themeTint="F2"/>
          <w:lang w:val="sq-AL"/>
        </w:rPr>
      </w:pPr>
    </w:p>
    <w:p w14:paraId="3E7FE20B" w14:textId="2231D72B" w:rsidR="000E7751" w:rsidRPr="005208DC" w:rsidRDefault="000E7751" w:rsidP="00D830F5">
      <w:pPr>
        <w:snapToGrid w:val="0"/>
        <w:rPr>
          <w:rFonts w:asciiTheme="majorBidi" w:hAnsiTheme="majorBidi" w:cstheme="majorBidi"/>
          <w:b/>
          <w:i/>
          <w:color w:val="0D0D0D" w:themeColor="text1" w:themeTint="F2"/>
          <w:lang w:val="sq-AL"/>
        </w:rPr>
      </w:pPr>
      <w:r w:rsidRPr="005208DC">
        <w:rPr>
          <w:rFonts w:asciiTheme="majorBidi" w:hAnsiTheme="majorBidi" w:cstheme="majorBidi"/>
          <w:b/>
          <w:i/>
          <w:color w:val="0D0D0D" w:themeColor="text1" w:themeTint="F2"/>
          <w:lang w:val="sq-AL"/>
        </w:rPr>
        <w:t xml:space="preserve">6.3 </w:t>
      </w:r>
      <w:r w:rsidR="00D830F5" w:rsidRPr="005208DC">
        <w:rPr>
          <w:rFonts w:asciiTheme="majorBidi" w:hAnsiTheme="majorBidi" w:cstheme="majorBidi"/>
          <w:b/>
          <w:i/>
          <w:color w:val="0D0D0D" w:themeColor="text1" w:themeTint="F2"/>
          <w:lang w:val="sq-AL"/>
        </w:rPr>
        <w:t>Ridizajnoni politikën e mbulimit, duke përfshirë mjekësinë ambulatore, për të reduktuar nevojën e paplotësuar për kujdes mjekësor dhe vështirësi financiare, veçanërisht midis personave me aftësi të kufizuara dhe sëmundjeve kronike, familjeve të varfra, njerëzve të moshës 65 vjeç e lart dhe minoriteteve</w:t>
      </w:r>
    </w:p>
    <w:p w14:paraId="5E91F433" w14:textId="71743688" w:rsidR="00376E55" w:rsidRPr="005208DC" w:rsidRDefault="00376E55" w:rsidP="00857902">
      <w:pPr>
        <w:snapToGrid w:val="0"/>
        <w:jc w:val="both"/>
        <w:rPr>
          <w:rFonts w:asciiTheme="majorBidi" w:hAnsiTheme="majorBidi" w:cstheme="majorBidi"/>
          <w:color w:val="0D0D0D" w:themeColor="text1" w:themeTint="F2"/>
          <w:lang w:val="sq-AL"/>
        </w:rPr>
      </w:pPr>
    </w:p>
    <w:p w14:paraId="66404E97" w14:textId="77777777" w:rsidR="00EB1E05" w:rsidRPr="005208DC" w:rsidRDefault="00EB1E05" w:rsidP="00857902">
      <w:pPr>
        <w:snapToGrid w:val="0"/>
        <w:jc w:val="both"/>
        <w:rPr>
          <w:rFonts w:asciiTheme="majorBidi" w:hAnsiTheme="majorBidi" w:cstheme="majorBidi"/>
          <w:color w:val="0D0D0D" w:themeColor="text1" w:themeTint="F2"/>
          <w:lang w:val="sq-AL"/>
        </w:rPr>
      </w:pPr>
    </w:p>
    <w:p w14:paraId="74809C7D" w14:textId="77777777" w:rsidR="00EB1E05" w:rsidRPr="005208DC" w:rsidRDefault="00EB1E05" w:rsidP="00857902">
      <w:pPr>
        <w:snapToGrid w:val="0"/>
        <w:jc w:val="both"/>
        <w:rPr>
          <w:rFonts w:asciiTheme="majorBidi" w:hAnsiTheme="majorBidi" w:cstheme="majorBidi"/>
          <w:color w:val="0D0D0D" w:themeColor="text1" w:themeTint="F2"/>
          <w:lang w:val="sq-AL"/>
        </w:rPr>
        <w:sectPr w:rsidR="00EB1E05" w:rsidRPr="005208DC" w:rsidSect="00F27C55">
          <w:pgSz w:w="11900" w:h="16840"/>
          <w:pgMar w:top="720" w:right="720" w:bottom="720" w:left="720" w:header="567" w:footer="567" w:gutter="0"/>
          <w:cols w:space="708"/>
          <w:titlePg/>
          <w:docGrid w:linePitch="360"/>
        </w:sectPr>
      </w:pPr>
    </w:p>
    <w:p w14:paraId="50E17471" w14:textId="2B624098" w:rsidR="00DF1828" w:rsidRPr="005208DC" w:rsidRDefault="004D1F24" w:rsidP="00857902">
      <w:pPr>
        <w:pStyle w:val="Heading1"/>
        <w:numPr>
          <w:ilvl w:val="0"/>
          <w:numId w:val="1"/>
        </w:numPr>
        <w:snapToGrid w:val="0"/>
        <w:rPr>
          <w:rFonts w:asciiTheme="majorBidi" w:hAnsiTheme="majorBidi" w:cstheme="majorBidi"/>
          <w:color w:val="0D0D0D" w:themeColor="text1" w:themeTint="F2"/>
          <w:lang w:val="sq-AL"/>
        </w:rPr>
      </w:pPr>
      <w:bookmarkStart w:id="19" w:name="_Toc62805577"/>
      <w:bookmarkStart w:id="20" w:name="_Toc92721123"/>
      <w:r w:rsidRPr="005208DC">
        <w:rPr>
          <w:rFonts w:asciiTheme="majorBidi" w:hAnsiTheme="majorBidi" w:cstheme="majorBidi"/>
          <w:color w:val="0D0D0D" w:themeColor="text1" w:themeTint="F2"/>
          <w:lang w:val="sq-AL"/>
        </w:rPr>
        <w:t xml:space="preserve">KUADRI </w:t>
      </w:r>
      <w:r w:rsidR="00DF1828" w:rsidRPr="005208DC">
        <w:rPr>
          <w:rFonts w:asciiTheme="majorBidi" w:hAnsiTheme="majorBidi" w:cstheme="majorBidi"/>
          <w:color w:val="0D0D0D" w:themeColor="text1" w:themeTint="F2"/>
          <w:lang w:val="sq-AL"/>
        </w:rPr>
        <w:t>MA</w:t>
      </w:r>
      <w:r w:rsidRPr="005208DC">
        <w:rPr>
          <w:rFonts w:asciiTheme="majorBidi" w:hAnsiTheme="majorBidi" w:cstheme="majorBidi"/>
          <w:color w:val="0D0D0D" w:themeColor="text1" w:themeTint="F2"/>
          <w:lang w:val="sq-AL"/>
        </w:rPr>
        <w:t>KROEK</w:t>
      </w:r>
      <w:r w:rsidR="00DF1828" w:rsidRPr="005208DC">
        <w:rPr>
          <w:rFonts w:asciiTheme="majorBidi" w:hAnsiTheme="majorBidi" w:cstheme="majorBidi"/>
          <w:color w:val="0D0D0D" w:themeColor="text1" w:themeTint="F2"/>
          <w:lang w:val="sq-AL"/>
        </w:rPr>
        <w:t>ONOMI</w:t>
      </w:r>
      <w:r w:rsidRPr="005208DC">
        <w:rPr>
          <w:rFonts w:asciiTheme="majorBidi" w:hAnsiTheme="majorBidi" w:cstheme="majorBidi"/>
          <w:color w:val="0D0D0D" w:themeColor="text1" w:themeTint="F2"/>
          <w:lang w:val="sq-AL"/>
        </w:rPr>
        <w:t>K</w:t>
      </w:r>
      <w:bookmarkEnd w:id="4"/>
      <w:bookmarkEnd w:id="19"/>
      <w:bookmarkEnd w:id="20"/>
    </w:p>
    <w:p w14:paraId="75EFFEE5" w14:textId="77777777" w:rsidR="00783666" w:rsidRPr="005208DC" w:rsidRDefault="00783666" w:rsidP="00857902">
      <w:pPr>
        <w:snapToGrid w:val="0"/>
        <w:rPr>
          <w:rFonts w:asciiTheme="majorBidi" w:hAnsiTheme="majorBidi" w:cstheme="majorBidi"/>
          <w:color w:val="0D0D0D" w:themeColor="text1" w:themeTint="F2"/>
          <w:lang w:val="sq-AL"/>
        </w:rPr>
      </w:pPr>
    </w:p>
    <w:p w14:paraId="213EA66C" w14:textId="4D5D4DCF" w:rsidR="00432175" w:rsidRPr="005208DC" w:rsidRDefault="00E751F1" w:rsidP="00E751F1">
      <w:pPr>
        <w:pStyle w:val="Heading2"/>
        <w:numPr>
          <w:ilvl w:val="1"/>
          <w:numId w:val="1"/>
        </w:numPr>
        <w:snapToGrid w:val="0"/>
        <w:rPr>
          <w:rFonts w:asciiTheme="majorBidi" w:hAnsiTheme="majorBidi" w:cstheme="majorBidi"/>
          <w:b/>
          <w:color w:val="0D0D0D" w:themeColor="text1" w:themeTint="F2"/>
          <w:lang w:val="sq-AL"/>
        </w:rPr>
      </w:pPr>
      <w:bookmarkStart w:id="21" w:name="_Toc62805578"/>
      <w:bookmarkStart w:id="22" w:name="_Toc484076169"/>
      <w:bookmarkStart w:id="23" w:name="_Toc92721124"/>
      <w:r w:rsidRPr="005208DC">
        <w:rPr>
          <w:rFonts w:asciiTheme="majorBidi" w:hAnsiTheme="majorBidi" w:cstheme="majorBidi"/>
          <w:b/>
          <w:color w:val="0D0D0D" w:themeColor="text1" w:themeTint="F2"/>
          <w:lang w:val="sq-AL"/>
        </w:rPr>
        <w:t>Zhvillimet e fundit ekonomike</w:t>
      </w:r>
      <w:bookmarkEnd w:id="21"/>
      <w:bookmarkEnd w:id="23"/>
    </w:p>
    <w:p w14:paraId="5AFC00B1" w14:textId="4323E4AC" w:rsidR="00352148" w:rsidRPr="005208DC" w:rsidRDefault="00352148" w:rsidP="00857902">
      <w:pPr>
        <w:snapToGrid w:val="0"/>
        <w:jc w:val="both"/>
        <w:rPr>
          <w:rFonts w:asciiTheme="majorBidi" w:hAnsiTheme="majorBidi" w:cstheme="majorBidi"/>
          <w:color w:val="0D0D0D" w:themeColor="text1" w:themeTint="F2"/>
          <w:lang w:val="sq-AL"/>
        </w:rPr>
      </w:pPr>
    </w:p>
    <w:p w14:paraId="10B362EA" w14:textId="77777777" w:rsidR="00352148" w:rsidRPr="005208DC" w:rsidRDefault="00352148" w:rsidP="00857902">
      <w:pPr>
        <w:snapToGrid w:val="0"/>
        <w:jc w:val="both"/>
        <w:rPr>
          <w:rFonts w:asciiTheme="majorBidi" w:hAnsiTheme="majorBidi" w:cstheme="majorBidi"/>
          <w:color w:val="0D0D0D" w:themeColor="text1" w:themeTint="F2"/>
          <w:lang w:val="sq-AL"/>
        </w:rPr>
      </w:pPr>
    </w:p>
    <w:p w14:paraId="5B424CAA" w14:textId="77777777" w:rsidR="00E6546A" w:rsidRPr="005208DC" w:rsidRDefault="00E6546A" w:rsidP="00857902">
      <w:pPr>
        <w:snapToGrid w:val="0"/>
        <w:rPr>
          <w:rFonts w:asciiTheme="majorBidi" w:hAnsiTheme="majorBidi" w:cstheme="majorBidi"/>
          <w:color w:val="0D0D0D" w:themeColor="text1" w:themeTint="F2"/>
          <w:lang w:val="sq-AL"/>
        </w:rPr>
      </w:pPr>
    </w:p>
    <w:p w14:paraId="638913C5" w14:textId="755BD99D" w:rsidR="00DF1828" w:rsidRPr="005208DC" w:rsidRDefault="00E751F1" w:rsidP="00E751F1">
      <w:pPr>
        <w:pStyle w:val="Heading2"/>
        <w:numPr>
          <w:ilvl w:val="1"/>
          <w:numId w:val="1"/>
        </w:numPr>
        <w:snapToGrid w:val="0"/>
        <w:rPr>
          <w:rFonts w:asciiTheme="majorBidi" w:hAnsiTheme="majorBidi" w:cstheme="majorBidi"/>
          <w:b/>
          <w:color w:val="0D0D0D" w:themeColor="text1" w:themeTint="F2"/>
          <w:lang w:val="sq-AL"/>
        </w:rPr>
      </w:pPr>
      <w:bookmarkStart w:id="24" w:name="_Toc62805579"/>
      <w:bookmarkStart w:id="25" w:name="_Toc92721125"/>
      <w:r w:rsidRPr="005208DC">
        <w:rPr>
          <w:rFonts w:asciiTheme="majorBidi" w:hAnsiTheme="majorBidi" w:cstheme="majorBidi"/>
          <w:b/>
          <w:color w:val="0D0D0D" w:themeColor="text1" w:themeTint="F2"/>
          <w:lang w:val="sq-AL"/>
        </w:rPr>
        <w:t>Skenari m</w:t>
      </w:r>
      <w:bookmarkEnd w:id="22"/>
      <w:r w:rsidRPr="005208DC">
        <w:rPr>
          <w:rFonts w:asciiTheme="majorBidi" w:hAnsiTheme="majorBidi" w:cstheme="majorBidi"/>
          <w:b/>
          <w:color w:val="0D0D0D" w:themeColor="text1" w:themeTint="F2"/>
          <w:lang w:val="sq-AL"/>
        </w:rPr>
        <w:t>ak</w:t>
      </w:r>
      <w:r w:rsidR="003F634C" w:rsidRPr="005208DC">
        <w:rPr>
          <w:rFonts w:asciiTheme="majorBidi" w:hAnsiTheme="majorBidi" w:cstheme="majorBidi"/>
          <w:b/>
          <w:color w:val="0D0D0D" w:themeColor="text1" w:themeTint="F2"/>
          <w:lang w:val="sq-AL"/>
        </w:rPr>
        <w:t>roe</w:t>
      </w:r>
      <w:r w:rsidRPr="005208DC">
        <w:rPr>
          <w:rFonts w:asciiTheme="majorBidi" w:hAnsiTheme="majorBidi" w:cstheme="majorBidi"/>
          <w:b/>
          <w:color w:val="0D0D0D" w:themeColor="text1" w:themeTint="F2"/>
          <w:lang w:val="sq-AL"/>
        </w:rPr>
        <w:t>k</w:t>
      </w:r>
      <w:r w:rsidR="003F634C" w:rsidRPr="005208DC">
        <w:rPr>
          <w:rFonts w:asciiTheme="majorBidi" w:hAnsiTheme="majorBidi" w:cstheme="majorBidi"/>
          <w:b/>
          <w:color w:val="0D0D0D" w:themeColor="text1" w:themeTint="F2"/>
          <w:lang w:val="sq-AL"/>
        </w:rPr>
        <w:t>onomi</w:t>
      </w:r>
      <w:r w:rsidRPr="005208DC">
        <w:rPr>
          <w:rFonts w:asciiTheme="majorBidi" w:hAnsiTheme="majorBidi" w:cstheme="majorBidi"/>
          <w:b/>
          <w:color w:val="0D0D0D" w:themeColor="text1" w:themeTint="F2"/>
          <w:lang w:val="sq-AL"/>
        </w:rPr>
        <w:t>k afatmesëm</w:t>
      </w:r>
      <w:bookmarkEnd w:id="24"/>
      <w:bookmarkEnd w:id="25"/>
    </w:p>
    <w:p w14:paraId="189484D0" w14:textId="530880FC" w:rsidR="00352148" w:rsidRPr="005208DC" w:rsidRDefault="00352148" w:rsidP="00857902">
      <w:pPr>
        <w:autoSpaceDE w:val="0"/>
        <w:autoSpaceDN w:val="0"/>
        <w:jc w:val="both"/>
        <w:rPr>
          <w:rFonts w:asciiTheme="majorBidi" w:hAnsiTheme="majorBidi" w:cstheme="majorBidi"/>
          <w:color w:val="0D0D0D" w:themeColor="text1" w:themeTint="F2"/>
          <w:lang w:val="sq-AL"/>
        </w:rPr>
      </w:pPr>
      <w:bookmarkStart w:id="26" w:name="_Toc31280633"/>
    </w:p>
    <w:bookmarkEnd w:id="26"/>
    <w:p w14:paraId="14B7E852" w14:textId="77777777" w:rsidR="00352148" w:rsidRPr="005208DC" w:rsidRDefault="00352148" w:rsidP="00857902">
      <w:pPr>
        <w:snapToGrid w:val="0"/>
        <w:rPr>
          <w:rFonts w:asciiTheme="majorBidi" w:hAnsiTheme="majorBidi" w:cstheme="majorBidi"/>
          <w:color w:val="0D0D0D" w:themeColor="text1" w:themeTint="F2"/>
          <w:lang w:val="sq-AL"/>
        </w:rPr>
      </w:pPr>
    </w:p>
    <w:p w14:paraId="3F13D423" w14:textId="77777777" w:rsidR="00E6546A" w:rsidRPr="005208DC" w:rsidRDefault="00E6546A" w:rsidP="00857902">
      <w:pPr>
        <w:snapToGrid w:val="0"/>
        <w:rPr>
          <w:rFonts w:asciiTheme="majorBidi" w:hAnsiTheme="majorBidi" w:cstheme="majorBidi"/>
          <w:color w:val="0D0D0D" w:themeColor="text1" w:themeTint="F2"/>
          <w:lang w:val="sq-AL"/>
        </w:rPr>
      </w:pPr>
    </w:p>
    <w:p w14:paraId="3CA35970" w14:textId="7A2EB6FB" w:rsidR="009E2E7B" w:rsidRPr="005208DC" w:rsidRDefault="00E751F1" w:rsidP="00E751F1">
      <w:pPr>
        <w:pStyle w:val="Heading2"/>
        <w:numPr>
          <w:ilvl w:val="1"/>
          <w:numId w:val="1"/>
        </w:numPr>
        <w:snapToGrid w:val="0"/>
        <w:rPr>
          <w:rFonts w:asciiTheme="majorBidi" w:hAnsiTheme="majorBidi" w:cstheme="majorBidi"/>
          <w:b/>
          <w:color w:val="0D0D0D" w:themeColor="text1" w:themeTint="F2"/>
          <w:lang w:val="sq-AL"/>
        </w:rPr>
      </w:pPr>
      <w:bookmarkStart w:id="27" w:name="_Toc484076171"/>
      <w:bookmarkStart w:id="28" w:name="_Toc62805580"/>
      <w:bookmarkStart w:id="29" w:name="_Toc92721126"/>
      <w:r w:rsidRPr="005208DC">
        <w:rPr>
          <w:rFonts w:asciiTheme="majorBidi" w:hAnsiTheme="majorBidi" w:cstheme="majorBidi"/>
          <w:b/>
          <w:color w:val="0D0D0D" w:themeColor="text1" w:themeTint="F2"/>
          <w:lang w:val="sq-AL"/>
        </w:rPr>
        <w:t>Skenari alternativ dhe rreziqet</w:t>
      </w:r>
      <w:bookmarkEnd w:id="27"/>
      <w:bookmarkEnd w:id="28"/>
      <w:bookmarkEnd w:id="29"/>
    </w:p>
    <w:p w14:paraId="2B2E8AD7" w14:textId="77777777" w:rsidR="00E6546A" w:rsidRPr="005208DC" w:rsidRDefault="00E6546A" w:rsidP="00857902">
      <w:pPr>
        <w:snapToGrid w:val="0"/>
        <w:rPr>
          <w:rFonts w:asciiTheme="majorBidi" w:hAnsiTheme="majorBidi" w:cstheme="majorBidi"/>
          <w:color w:val="0D0D0D" w:themeColor="text1" w:themeTint="F2"/>
          <w:lang w:val="sq-AL"/>
        </w:rPr>
      </w:pPr>
    </w:p>
    <w:p w14:paraId="08492FF9" w14:textId="77777777" w:rsidR="00C505A7" w:rsidRPr="005208DC" w:rsidRDefault="00C505A7" w:rsidP="00857902">
      <w:pPr>
        <w:snapToGrid w:val="0"/>
        <w:rPr>
          <w:rFonts w:asciiTheme="majorBidi" w:hAnsiTheme="majorBidi" w:cstheme="majorBidi"/>
          <w:color w:val="0D0D0D" w:themeColor="text1" w:themeTint="F2"/>
          <w:lang w:val="sq-AL"/>
        </w:rPr>
      </w:pPr>
    </w:p>
    <w:p w14:paraId="7AC21090" w14:textId="77777777" w:rsidR="00C505A7" w:rsidRPr="005208DC" w:rsidRDefault="00C505A7" w:rsidP="00857902">
      <w:pPr>
        <w:snapToGrid w:val="0"/>
        <w:rPr>
          <w:rFonts w:asciiTheme="majorBidi" w:hAnsiTheme="majorBidi" w:cstheme="majorBidi"/>
          <w:color w:val="0D0D0D" w:themeColor="text1" w:themeTint="F2"/>
          <w:lang w:val="sq-AL"/>
        </w:rPr>
      </w:pPr>
    </w:p>
    <w:p w14:paraId="22FC58DB" w14:textId="77777777" w:rsidR="00EB1E05" w:rsidRPr="005208DC" w:rsidRDefault="00EB1E05" w:rsidP="00857902">
      <w:pPr>
        <w:snapToGrid w:val="0"/>
        <w:rPr>
          <w:rFonts w:asciiTheme="majorBidi" w:hAnsiTheme="majorBidi" w:cstheme="majorBidi"/>
          <w:color w:val="0D0D0D" w:themeColor="text1" w:themeTint="F2"/>
          <w:lang w:val="sq-AL"/>
        </w:rPr>
        <w:sectPr w:rsidR="00EB1E05" w:rsidRPr="005208DC" w:rsidSect="00F27C55">
          <w:pgSz w:w="11900" w:h="16840"/>
          <w:pgMar w:top="720" w:right="720" w:bottom="720" w:left="720" w:header="567" w:footer="567" w:gutter="0"/>
          <w:cols w:space="708"/>
          <w:titlePg/>
          <w:docGrid w:linePitch="360"/>
        </w:sectPr>
      </w:pPr>
    </w:p>
    <w:p w14:paraId="1F0B0AC4" w14:textId="4CE9F7AF" w:rsidR="00DF1828" w:rsidRPr="005208DC" w:rsidRDefault="004D1F24" w:rsidP="00857902">
      <w:pPr>
        <w:pStyle w:val="Heading1"/>
        <w:numPr>
          <w:ilvl w:val="0"/>
          <w:numId w:val="1"/>
        </w:numPr>
        <w:snapToGrid w:val="0"/>
        <w:rPr>
          <w:rFonts w:asciiTheme="majorBidi" w:hAnsiTheme="majorBidi" w:cstheme="majorBidi"/>
          <w:color w:val="0D0D0D" w:themeColor="text1" w:themeTint="F2"/>
          <w:lang w:val="sq-AL"/>
        </w:rPr>
      </w:pPr>
      <w:bookmarkStart w:id="30" w:name="_Toc484076172"/>
      <w:bookmarkStart w:id="31" w:name="_Toc62805581"/>
      <w:bookmarkStart w:id="32" w:name="_Toc92721127"/>
      <w:r w:rsidRPr="005208DC">
        <w:rPr>
          <w:rFonts w:asciiTheme="majorBidi" w:hAnsiTheme="majorBidi" w:cstheme="majorBidi"/>
          <w:color w:val="0D0D0D" w:themeColor="text1" w:themeTint="F2"/>
          <w:lang w:val="sq-AL"/>
        </w:rPr>
        <w:t xml:space="preserve">KUADRI </w:t>
      </w:r>
      <w:r w:rsidR="00DF1828" w:rsidRPr="005208DC">
        <w:rPr>
          <w:rFonts w:asciiTheme="majorBidi" w:hAnsiTheme="majorBidi" w:cstheme="majorBidi"/>
          <w:color w:val="0D0D0D" w:themeColor="text1" w:themeTint="F2"/>
          <w:lang w:val="sq-AL"/>
        </w:rPr>
        <w:t>FIS</w:t>
      </w:r>
      <w:r w:rsidRPr="005208DC">
        <w:rPr>
          <w:rFonts w:asciiTheme="majorBidi" w:hAnsiTheme="majorBidi" w:cstheme="majorBidi"/>
          <w:color w:val="0D0D0D" w:themeColor="text1" w:themeTint="F2"/>
          <w:lang w:val="sq-AL"/>
        </w:rPr>
        <w:t>K</w:t>
      </w:r>
      <w:r w:rsidR="00DF1828" w:rsidRPr="005208DC">
        <w:rPr>
          <w:rFonts w:asciiTheme="majorBidi" w:hAnsiTheme="majorBidi" w:cstheme="majorBidi"/>
          <w:color w:val="0D0D0D" w:themeColor="text1" w:themeTint="F2"/>
          <w:lang w:val="sq-AL"/>
        </w:rPr>
        <w:t>AL</w:t>
      </w:r>
      <w:bookmarkEnd w:id="30"/>
      <w:bookmarkEnd w:id="31"/>
      <w:bookmarkEnd w:id="32"/>
    </w:p>
    <w:p w14:paraId="05A8CE29" w14:textId="77777777" w:rsidR="00ED673F" w:rsidRPr="005208DC" w:rsidRDefault="00ED673F" w:rsidP="00857902">
      <w:pPr>
        <w:snapToGrid w:val="0"/>
        <w:rPr>
          <w:rFonts w:asciiTheme="majorBidi" w:hAnsiTheme="majorBidi" w:cstheme="majorBidi"/>
          <w:color w:val="0D0D0D" w:themeColor="text1" w:themeTint="F2"/>
          <w:lang w:val="sq-AL"/>
        </w:rPr>
      </w:pPr>
    </w:p>
    <w:p w14:paraId="37F99CEA" w14:textId="7F7A2682" w:rsidR="00DF1828" w:rsidRPr="005208DC" w:rsidRDefault="00E751F1" w:rsidP="00857902">
      <w:pPr>
        <w:pStyle w:val="Heading2"/>
        <w:numPr>
          <w:ilvl w:val="1"/>
          <w:numId w:val="1"/>
        </w:numPr>
        <w:snapToGrid w:val="0"/>
        <w:ind w:left="993" w:hanging="633"/>
        <w:rPr>
          <w:rFonts w:asciiTheme="majorBidi" w:hAnsiTheme="majorBidi" w:cstheme="majorBidi"/>
          <w:b/>
          <w:color w:val="0D0D0D" w:themeColor="text1" w:themeTint="F2"/>
          <w:lang w:val="sq-AL"/>
        </w:rPr>
      </w:pPr>
      <w:bookmarkStart w:id="33" w:name="_Toc484076173"/>
      <w:bookmarkStart w:id="34" w:name="_Toc61854153"/>
      <w:bookmarkStart w:id="35" w:name="_Toc92721128"/>
      <w:r w:rsidRPr="005208DC">
        <w:rPr>
          <w:b/>
          <w:color w:val="0D0D0D" w:themeColor="text1" w:themeTint="F2"/>
          <w:lang w:val="sq-AL"/>
        </w:rPr>
        <w:t>Politikat strategjike dhe objektivat afatmesme</w:t>
      </w:r>
      <w:bookmarkEnd w:id="33"/>
      <w:bookmarkEnd w:id="34"/>
      <w:bookmarkEnd w:id="35"/>
    </w:p>
    <w:p w14:paraId="0645BA71" w14:textId="77777777" w:rsidR="00352148" w:rsidRPr="005208DC" w:rsidRDefault="00352148" w:rsidP="00857902">
      <w:pPr>
        <w:snapToGrid w:val="0"/>
        <w:rPr>
          <w:rFonts w:asciiTheme="majorBidi" w:hAnsiTheme="majorBidi" w:cstheme="majorBidi"/>
          <w:color w:val="0D0D0D" w:themeColor="text1" w:themeTint="F2"/>
          <w:lang w:val="sq-AL"/>
        </w:rPr>
      </w:pPr>
    </w:p>
    <w:p w14:paraId="2D16D8E5" w14:textId="77777777" w:rsidR="00C505A7" w:rsidRPr="005208DC" w:rsidRDefault="00C505A7" w:rsidP="00857902">
      <w:pPr>
        <w:snapToGrid w:val="0"/>
        <w:rPr>
          <w:rFonts w:asciiTheme="majorBidi" w:hAnsiTheme="majorBidi" w:cstheme="majorBidi"/>
          <w:color w:val="0D0D0D" w:themeColor="text1" w:themeTint="F2"/>
          <w:lang w:val="sq-AL"/>
        </w:rPr>
      </w:pPr>
    </w:p>
    <w:p w14:paraId="608BA4E8" w14:textId="77777777" w:rsidR="00C505A7" w:rsidRPr="005208DC" w:rsidRDefault="00C505A7" w:rsidP="00857902">
      <w:pPr>
        <w:snapToGrid w:val="0"/>
        <w:rPr>
          <w:rFonts w:asciiTheme="majorBidi" w:hAnsiTheme="majorBidi" w:cstheme="majorBidi"/>
          <w:color w:val="0D0D0D" w:themeColor="text1" w:themeTint="F2"/>
          <w:lang w:val="sq-AL"/>
        </w:rPr>
      </w:pPr>
    </w:p>
    <w:p w14:paraId="346537F1" w14:textId="3CD9001D" w:rsidR="00DF1828" w:rsidRPr="005208DC" w:rsidRDefault="005B4C87" w:rsidP="00857902">
      <w:pPr>
        <w:pStyle w:val="Heading2"/>
        <w:numPr>
          <w:ilvl w:val="1"/>
          <w:numId w:val="1"/>
        </w:numPr>
        <w:snapToGrid w:val="0"/>
        <w:ind w:left="993" w:hanging="633"/>
        <w:rPr>
          <w:rFonts w:asciiTheme="majorBidi" w:hAnsiTheme="majorBidi" w:cstheme="majorBidi"/>
          <w:b/>
          <w:color w:val="0D0D0D" w:themeColor="text1" w:themeTint="F2"/>
          <w:lang w:val="sq-AL"/>
        </w:rPr>
      </w:pPr>
      <w:bookmarkStart w:id="36" w:name="_Toc484076174"/>
      <w:bookmarkStart w:id="37" w:name="_Toc61854154"/>
      <w:bookmarkStart w:id="38" w:name="_Toc92721129"/>
      <w:r w:rsidRPr="005208DC">
        <w:rPr>
          <w:b/>
          <w:color w:val="0D0D0D" w:themeColor="text1" w:themeTint="F2"/>
          <w:lang w:val="sq-AL"/>
        </w:rPr>
        <w:t>Implementimi i buxhetit për vitin 20</w:t>
      </w:r>
      <w:bookmarkEnd w:id="36"/>
      <w:r w:rsidRPr="005208DC">
        <w:rPr>
          <w:b/>
          <w:color w:val="0D0D0D" w:themeColor="text1" w:themeTint="F2"/>
          <w:lang w:val="sq-AL"/>
        </w:rPr>
        <w:t>20</w:t>
      </w:r>
      <w:bookmarkEnd w:id="37"/>
      <w:bookmarkEnd w:id="38"/>
    </w:p>
    <w:p w14:paraId="66FCE67C" w14:textId="77777777" w:rsidR="00352148" w:rsidRPr="005208DC" w:rsidRDefault="00352148" w:rsidP="00857902">
      <w:pPr>
        <w:snapToGrid w:val="0"/>
        <w:rPr>
          <w:rFonts w:asciiTheme="majorBidi" w:hAnsiTheme="majorBidi" w:cstheme="majorBidi"/>
          <w:color w:val="0D0D0D" w:themeColor="text1" w:themeTint="F2"/>
          <w:lang w:val="sq-AL"/>
        </w:rPr>
      </w:pPr>
    </w:p>
    <w:p w14:paraId="68422F59" w14:textId="77777777" w:rsidR="00C505A7" w:rsidRPr="005208DC" w:rsidRDefault="00C505A7" w:rsidP="00857902">
      <w:pPr>
        <w:snapToGrid w:val="0"/>
        <w:rPr>
          <w:rFonts w:asciiTheme="majorBidi" w:hAnsiTheme="majorBidi" w:cstheme="majorBidi"/>
          <w:color w:val="0D0D0D" w:themeColor="text1" w:themeTint="F2"/>
          <w:lang w:val="sq-AL"/>
        </w:rPr>
      </w:pPr>
    </w:p>
    <w:p w14:paraId="4E1F45B8" w14:textId="77777777" w:rsidR="00C505A7" w:rsidRPr="005208DC" w:rsidRDefault="00C505A7" w:rsidP="00857902">
      <w:pPr>
        <w:snapToGrid w:val="0"/>
        <w:rPr>
          <w:rFonts w:asciiTheme="majorBidi" w:hAnsiTheme="majorBidi" w:cstheme="majorBidi"/>
          <w:color w:val="0D0D0D" w:themeColor="text1" w:themeTint="F2"/>
          <w:lang w:val="sq-AL"/>
        </w:rPr>
      </w:pPr>
    </w:p>
    <w:p w14:paraId="55DDCC99" w14:textId="124D0C0F" w:rsidR="004E6105" w:rsidRPr="005208DC" w:rsidRDefault="005B4C87" w:rsidP="00857902">
      <w:pPr>
        <w:pStyle w:val="Heading2"/>
        <w:numPr>
          <w:ilvl w:val="1"/>
          <w:numId w:val="1"/>
        </w:numPr>
        <w:snapToGrid w:val="0"/>
        <w:ind w:left="993" w:hanging="633"/>
        <w:rPr>
          <w:rFonts w:asciiTheme="majorBidi" w:hAnsiTheme="majorBidi" w:cstheme="majorBidi"/>
          <w:b/>
          <w:color w:val="0D0D0D" w:themeColor="text1" w:themeTint="F2"/>
          <w:lang w:val="sq-AL"/>
        </w:rPr>
      </w:pPr>
      <w:bookmarkStart w:id="39" w:name="_Toc484076175"/>
      <w:bookmarkStart w:id="40" w:name="_Toc92721130"/>
      <w:r w:rsidRPr="005208DC">
        <w:rPr>
          <w:b/>
          <w:color w:val="0D0D0D" w:themeColor="text1" w:themeTint="F2"/>
          <w:lang w:val="sq-AL"/>
        </w:rPr>
        <w:t>Planet buxhetore për vitin e dorëzimit të ERP-së</w:t>
      </w:r>
      <w:bookmarkEnd w:id="40"/>
    </w:p>
    <w:p w14:paraId="3DA6E761" w14:textId="77777777" w:rsidR="00352148" w:rsidRPr="005208DC" w:rsidRDefault="00352148" w:rsidP="00857902">
      <w:pPr>
        <w:rPr>
          <w:rFonts w:asciiTheme="majorBidi" w:hAnsiTheme="majorBidi" w:cstheme="majorBidi"/>
          <w:color w:val="0D0D0D" w:themeColor="text1" w:themeTint="F2"/>
          <w:lang w:val="sq-AL"/>
        </w:rPr>
      </w:pPr>
    </w:p>
    <w:p w14:paraId="26AA925B" w14:textId="77777777" w:rsidR="00C505A7" w:rsidRPr="005208DC" w:rsidRDefault="00C505A7" w:rsidP="00857902">
      <w:pPr>
        <w:rPr>
          <w:rFonts w:asciiTheme="majorBidi" w:hAnsiTheme="majorBidi" w:cstheme="majorBidi"/>
          <w:color w:val="0D0D0D" w:themeColor="text1" w:themeTint="F2"/>
          <w:lang w:val="sq-AL"/>
        </w:rPr>
      </w:pPr>
    </w:p>
    <w:p w14:paraId="78BD742A" w14:textId="77777777" w:rsidR="00C505A7" w:rsidRPr="005208DC" w:rsidRDefault="00C505A7" w:rsidP="00857902">
      <w:pPr>
        <w:rPr>
          <w:rFonts w:asciiTheme="majorBidi" w:hAnsiTheme="majorBidi" w:cstheme="majorBidi"/>
          <w:color w:val="0D0D0D" w:themeColor="text1" w:themeTint="F2"/>
          <w:lang w:val="sq-AL"/>
        </w:rPr>
      </w:pPr>
    </w:p>
    <w:p w14:paraId="27D2333A" w14:textId="4ABA4DD3" w:rsidR="009D0A0E" w:rsidRPr="005208DC" w:rsidRDefault="005B4C87" w:rsidP="00857902">
      <w:pPr>
        <w:pStyle w:val="Heading2"/>
        <w:numPr>
          <w:ilvl w:val="1"/>
          <w:numId w:val="1"/>
        </w:numPr>
        <w:snapToGrid w:val="0"/>
        <w:ind w:left="993" w:hanging="633"/>
        <w:rPr>
          <w:rFonts w:asciiTheme="majorBidi" w:hAnsiTheme="majorBidi" w:cstheme="majorBidi"/>
          <w:b/>
          <w:color w:val="0D0D0D" w:themeColor="text1" w:themeTint="F2"/>
          <w:lang w:val="sq-AL"/>
        </w:rPr>
      </w:pPr>
      <w:bookmarkStart w:id="41" w:name="_Toc61854156"/>
      <w:bookmarkStart w:id="42" w:name="_Toc92721131"/>
      <w:r w:rsidRPr="005208DC">
        <w:rPr>
          <w:b/>
          <w:color w:val="0D0D0D" w:themeColor="text1" w:themeTint="F2"/>
          <w:lang w:val="sq-AL"/>
        </w:rPr>
        <w:t>Perspektiva buxhetore afatmesme</w:t>
      </w:r>
      <w:bookmarkEnd w:id="41"/>
      <w:bookmarkEnd w:id="42"/>
    </w:p>
    <w:p w14:paraId="61B4C8F6" w14:textId="77777777" w:rsidR="00352148" w:rsidRPr="005208DC" w:rsidRDefault="00352148" w:rsidP="00857902">
      <w:pPr>
        <w:snapToGrid w:val="0"/>
        <w:rPr>
          <w:rFonts w:asciiTheme="majorBidi" w:hAnsiTheme="majorBidi" w:cstheme="majorBidi"/>
          <w:color w:val="0D0D0D" w:themeColor="text1" w:themeTint="F2"/>
          <w:lang w:val="sq-AL"/>
        </w:rPr>
      </w:pPr>
    </w:p>
    <w:p w14:paraId="171E5790" w14:textId="77777777" w:rsidR="00C505A7" w:rsidRPr="005208DC" w:rsidRDefault="00C505A7" w:rsidP="00857902">
      <w:pPr>
        <w:snapToGrid w:val="0"/>
        <w:rPr>
          <w:rFonts w:asciiTheme="majorBidi" w:hAnsiTheme="majorBidi" w:cstheme="majorBidi"/>
          <w:color w:val="0D0D0D" w:themeColor="text1" w:themeTint="F2"/>
          <w:lang w:val="sq-AL"/>
        </w:rPr>
      </w:pPr>
    </w:p>
    <w:p w14:paraId="5B03A839" w14:textId="77777777" w:rsidR="00C505A7" w:rsidRPr="005208DC" w:rsidRDefault="00C505A7" w:rsidP="00857902">
      <w:pPr>
        <w:snapToGrid w:val="0"/>
        <w:rPr>
          <w:rFonts w:asciiTheme="majorBidi" w:hAnsiTheme="majorBidi" w:cstheme="majorBidi"/>
          <w:color w:val="0D0D0D" w:themeColor="text1" w:themeTint="F2"/>
          <w:lang w:val="sq-AL"/>
        </w:rPr>
      </w:pPr>
    </w:p>
    <w:p w14:paraId="680E13AB" w14:textId="77777777" w:rsidR="005B4C87" w:rsidRPr="005208DC" w:rsidRDefault="005B4C87" w:rsidP="005B4C87">
      <w:pPr>
        <w:pStyle w:val="Heading2"/>
        <w:numPr>
          <w:ilvl w:val="1"/>
          <w:numId w:val="1"/>
        </w:numPr>
        <w:snapToGrid w:val="0"/>
        <w:ind w:left="993" w:hanging="633"/>
        <w:rPr>
          <w:rFonts w:asciiTheme="majorBidi" w:hAnsiTheme="majorBidi" w:cstheme="majorBidi"/>
          <w:b/>
          <w:color w:val="0D0D0D" w:themeColor="text1" w:themeTint="F2"/>
          <w:lang w:val="sq-AL"/>
        </w:rPr>
      </w:pPr>
      <w:bookmarkStart w:id="43" w:name="_Toc30416396"/>
      <w:bookmarkStart w:id="44" w:name="_Toc61854157"/>
      <w:bookmarkStart w:id="45" w:name="_Toc62805586"/>
      <w:bookmarkStart w:id="46" w:name="_Toc92721132"/>
      <w:r w:rsidRPr="005208DC">
        <w:rPr>
          <w:b/>
          <w:color w:val="0D0D0D" w:themeColor="text1" w:themeTint="F2"/>
          <w:lang w:val="sq-AL"/>
        </w:rPr>
        <w:t>Bilanci strukturor</w:t>
      </w:r>
      <w:bookmarkEnd w:id="43"/>
      <w:bookmarkEnd w:id="44"/>
      <w:bookmarkEnd w:id="46"/>
    </w:p>
    <w:p w14:paraId="288D1171" w14:textId="7348E498" w:rsidR="00EC487F" w:rsidRPr="005208DC" w:rsidRDefault="004E6105" w:rsidP="005B4C87">
      <w:pPr>
        <w:rPr>
          <w:rFonts w:asciiTheme="majorBidi" w:hAnsiTheme="majorBidi" w:cstheme="majorBidi"/>
          <w:b/>
          <w:color w:val="0D0D0D" w:themeColor="text1" w:themeTint="F2"/>
          <w:lang w:val="sq-AL"/>
        </w:rPr>
      </w:pPr>
      <w:r w:rsidRPr="005208DC">
        <w:rPr>
          <w:rFonts w:asciiTheme="majorBidi" w:hAnsiTheme="majorBidi" w:cstheme="majorBidi"/>
          <w:color w:val="0D0D0D" w:themeColor="text1" w:themeTint="F2"/>
          <w:lang w:val="sq-AL"/>
        </w:rPr>
        <w:t>(</w:t>
      </w:r>
      <w:r w:rsidR="005B4C87" w:rsidRPr="005208DC">
        <w:rPr>
          <w:rFonts w:ascii="Times New Roman" w:hAnsi="Times New Roman"/>
          <w:i/>
          <w:color w:val="0D0D0D" w:themeColor="text1" w:themeTint="F2"/>
          <w:lang w:val="sq-AL"/>
        </w:rPr>
        <w:t>përbërësi ciklik i deficitit, masat e njëhershme dhe të përkohshme, pozicioni fiskal</w:t>
      </w:r>
      <w:r w:rsidR="007C3BD0" w:rsidRPr="005208DC">
        <w:rPr>
          <w:rFonts w:asciiTheme="majorBidi" w:hAnsiTheme="majorBidi" w:cstheme="majorBidi"/>
          <w:color w:val="0D0D0D" w:themeColor="text1" w:themeTint="F2"/>
          <w:lang w:val="sq-AL"/>
        </w:rPr>
        <w:t>)</w:t>
      </w:r>
      <w:bookmarkEnd w:id="39"/>
      <w:bookmarkEnd w:id="45"/>
    </w:p>
    <w:p w14:paraId="4827AA11" w14:textId="77777777" w:rsidR="00352148" w:rsidRPr="005208DC" w:rsidRDefault="00352148" w:rsidP="00857902">
      <w:pPr>
        <w:snapToGrid w:val="0"/>
        <w:rPr>
          <w:rFonts w:asciiTheme="majorBidi" w:hAnsiTheme="majorBidi" w:cstheme="majorBidi"/>
          <w:color w:val="0D0D0D" w:themeColor="text1" w:themeTint="F2"/>
          <w:lang w:val="sq-AL"/>
        </w:rPr>
      </w:pPr>
    </w:p>
    <w:p w14:paraId="715A6556" w14:textId="77777777" w:rsidR="00C505A7" w:rsidRPr="005208DC" w:rsidRDefault="00C505A7" w:rsidP="00857902">
      <w:pPr>
        <w:snapToGrid w:val="0"/>
        <w:rPr>
          <w:rFonts w:asciiTheme="majorBidi" w:hAnsiTheme="majorBidi" w:cstheme="majorBidi"/>
          <w:color w:val="0D0D0D" w:themeColor="text1" w:themeTint="F2"/>
          <w:lang w:val="sq-AL"/>
        </w:rPr>
      </w:pPr>
    </w:p>
    <w:p w14:paraId="33EE7700" w14:textId="77777777" w:rsidR="00C505A7" w:rsidRPr="005208DC" w:rsidRDefault="00C505A7" w:rsidP="00857902">
      <w:pPr>
        <w:snapToGrid w:val="0"/>
        <w:rPr>
          <w:rFonts w:asciiTheme="majorBidi" w:hAnsiTheme="majorBidi" w:cstheme="majorBidi"/>
          <w:color w:val="0D0D0D" w:themeColor="text1" w:themeTint="F2"/>
          <w:lang w:val="sq-AL"/>
        </w:rPr>
      </w:pPr>
    </w:p>
    <w:p w14:paraId="54253888" w14:textId="0C8E62E5" w:rsidR="008B60AF" w:rsidRPr="005208DC" w:rsidRDefault="005B4C87" w:rsidP="00857902">
      <w:pPr>
        <w:pStyle w:val="Heading2"/>
        <w:numPr>
          <w:ilvl w:val="1"/>
          <w:numId w:val="1"/>
        </w:numPr>
        <w:snapToGrid w:val="0"/>
        <w:ind w:left="993" w:hanging="633"/>
        <w:rPr>
          <w:rFonts w:asciiTheme="majorBidi" w:hAnsiTheme="majorBidi" w:cstheme="majorBidi"/>
          <w:b/>
          <w:color w:val="0D0D0D" w:themeColor="text1" w:themeTint="F2"/>
          <w:lang w:val="sq-AL"/>
        </w:rPr>
      </w:pPr>
      <w:bookmarkStart w:id="47" w:name="_Toc30416397"/>
      <w:bookmarkStart w:id="48" w:name="_Toc61854158"/>
      <w:bookmarkStart w:id="49" w:name="_Toc484076176"/>
      <w:bookmarkStart w:id="50" w:name="_Toc92721133"/>
      <w:r w:rsidRPr="005208DC">
        <w:rPr>
          <w:b/>
          <w:color w:val="0D0D0D" w:themeColor="text1" w:themeTint="F2"/>
          <w:lang w:val="sq-AL"/>
        </w:rPr>
        <w:t>Niveli i borxhit dhe zhvillimet</w:t>
      </w:r>
      <w:bookmarkEnd w:id="47"/>
      <w:bookmarkEnd w:id="48"/>
      <w:bookmarkEnd w:id="50"/>
    </w:p>
    <w:p w14:paraId="3B8896BD" w14:textId="77777777" w:rsidR="00352148" w:rsidRPr="005208DC" w:rsidRDefault="00352148" w:rsidP="00857902">
      <w:pPr>
        <w:snapToGrid w:val="0"/>
        <w:rPr>
          <w:rFonts w:asciiTheme="majorBidi" w:hAnsiTheme="majorBidi" w:cstheme="majorBidi"/>
          <w:color w:val="0D0D0D" w:themeColor="text1" w:themeTint="F2"/>
          <w:lang w:val="sq-AL"/>
        </w:rPr>
      </w:pPr>
    </w:p>
    <w:p w14:paraId="3C2AE5EC" w14:textId="77777777" w:rsidR="00C505A7" w:rsidRPr="005208DC" w:rsidRDefault="00C505A7" w:rsidP="00857902">
      <w:pPr>
        <w:snapToGrid w:val="0"/>
        <w:rPr>
          <w:rFonts w:asciiTheme="majorBidi" w:hAnsiTheme="majorBidi" w:cstheme="majorBidi"/>
          <w:color w:val="0D0D0D" w:themeColor="text1" w:themeTint="F2"/>
          <w:lang w:val="sq-AL"/>
        </w:rPr>
      </w:pPr>
    </w:p>
    <w:p w14:paraId="1A2E1A62" w14:textId="77777777" w:rsidR="00C505A7" w:rsidRPr="005208DC" w:rsidRDefault="00C505A7" w:rsidP="00857902">
      <w:pPr>
        <w:snapToGrid w:val="0"/>
        <w:rPr>
          <w:rFonts w:asciiTheme="majorBidi" w:hAnsiTheme="majorBidi" w:cstheme="majorBidi"/>
          <w:color w:val="0D0D0D" w:themeColor="text1" w:themeTint="F2"/>
          <w:lang w:val="sq-AL"/>
        </w:rPr>
      </w:pPr>
    </w:p>
    <w:p w14:paraId="36CDADAE" w14:textId="3D5A31B7" w:rsidR="00DF1828" w:rsidRPr="005208DC" w:rsidRDefault="000A27DD" w:rsidP="00857902">
      <w:pPr>
        <w:pStyle w:val="Heading2"/>
        <w:numPr>
          <w:ilvl w:val="1"/>
          <w:numId w:val="1"/>
        </w:numPr>
        <w:snapToGrid w:val="0"/>
        <w:ind w:left="993" w:hanging="633"/>
        <w:rPr>
          <w:rFonts w:asciiTheme="majorBidi" w:hAnsiTheme="majorBidi" w:cstheme="majorBidi"/>
          <w:b/>
          <w:color w:val="0D0D0D" w:themeColor="text1" w:themeTint="F2"/>
          <w:lang w:val="sq-AL"/>
        </w:rPr>
      </w:pPr>
      <w:bookmarkStart w:id="51" w:name="_Toc30416398"/>
      <w:bookmarkStart w:id="52" w:name="_Toc61854159"/>
      <w:bookmarkStart w:id="53" w:name="_Toc92721134"/>
      <w:bookmarkEnd w:id="49"/>
      <w:r w:rsidRPr="005208DC">
        <w:rPr>
          <w:b/>
          <w:color w:val="0D0D0D" w:themeColor="text1" w:themeTint="F2"/>
          <w:lang w:val="sq-AL"/>
        </w:rPr>
        <w:t>Analiza e ndjeshmërisë dhe krahasimi me programin e mëparshëm</w:t>
      </w:r>
      <w:bookmarkEnd w:id="51"/>
      <w:bookmarkEnd w:id="52"/>
      <w:bookmarkEnd w:id="53"/>
    </w:p>
    <w:p w14:paraId="2DAEB67E" w14:textId="77777777" w:rsidR="00E6546A" w:rsidRPr="005208DC" w:rsidRDefault="00E6546A" w:rsidP="00857902">
      <w:pPr>
        <w:snapToGrid w:val="0"/>
        <w:rPr>
          <w:rFonts w:asciiTheme="majorBidi" w:hAnsiTheme="majorBidi" w:cstheme="majorBidi"/>
          <w:color w:val="0D0D0D" w:themeColor="text1" w:themeTint="F2"/>
          <w:lang w:val="sq-AL"/>
        </w:rPr>
      </w:pPr>
    </w:p>
    <w:p w14:paraId="36D9A815" w14:textId="77777777" w:rsidR="00C505A7" w:rsidRPr="005208DC" w:rsidRDefault="00C505A7" w:rsidP="00857902">
      <w:pPr>
        <w:snapToGrid w:val="0"/>
        <w:rPr>
          <w:rFonts w:asciiTheme="majorBidi" w:hAnsiTheme="majorBidi" w:cstheme="majorBidi"/>
          <w:color w:val="0D0D0D" w:themeColor="text1" w:themeTint="F2"/>
          <w:lang w:val="sq-AL"/>
        </w:rPr>
      </w:pPr>
    </w:p>
    <w:p w14:paraId="5711F928" w14:textId="77777777" w:rsidR="00C505A7" w:rsidRPr="005208DC" w:rsidRDefault="00C505A7" w:rsidP="00857902">
      <w:pPr>
        <w:snapToGrid w:val="0"/>
        <w:rPr>
          <w:rFonts w:asciiTheme="majorBidi" w:hAnsiTheme="majorBidi" w:cstheme="majorBidi"/>
          <w:color w:val="0D0D0D" w:themeColor="text1" w:themeTint="F2"/>
          <w:lang w:val="sq-AL"/>
        </w:rPr>
      </w:pPr>
    </w:p>
    <w:p w14:paraId="4A45AF0D" w14:textId="1C3D0BCC" w:rsidR="004E6105" w:rsidRPr="005208DC" w:rsidRDefault="000A27DD" w:rsidP="00857902">
      <w:pPr>
        <w:pStyle w:val="Heading2"/>
        <w:numPr>
          <w:ilvl w:val="1"/>
          <w:numId w:val="1"/>
        </w:numPr>
        <w:snapToGrid w:val="0"/>
        <w:ind w:left="993" w:hanging="633"/>
        <w:rPr>
          <w:rFonts w:asciiTheme="majorBidi" w:hAnsiTheme="majorBidi" w:cstheme="majorBidi"/>
          <w:b/>
          <w:color w:val="0D0D0D" w:themeColor="text1" w:themeTint="F2"/>
          <w:lang w:val="sq-AL"/>
        </w:rPr>
      </w:pPr>
      <w:bookmarkStart w:id="54" w:name="_Toc61854160"/>
      <w:bookmarkStart w:id="55" w:name="_Toc92721135"/>
      <w:r w:rsidRPr="005208DC">
        <w:rPr>
          <w:b/>
          <w:color w:val="0D0D0D" w:themeColor="text1" w:themeTint="F2"/>
          <w:lang w:val="sq-AL"/>
        </w:rPr>
        <w:t>Cilësia e financave publike</w:t>
      </w:r>
      <w:bookmarkEnd w:id="54"/>
      <w:bookmarkEnd w:id="55"/>
    </w:p>
    <w:p w14:paraId="342D77BC" w14:textId="77777777" w:rsidR="00352148" w:rsidRPr="005208DC" w:rsidRDefault="00352148" w:rsidP="00857902">
      <w:pPr>
        <w:rPr>
          <w:rFonts w:asciiTheme="majorBidi" w:hAnsiTheme="majorBidi" w:cstheme="majorBidi"/>
          <w:color w:val="0D0D0D" w:themeColor="text1" w:themeTint="F2"/>
          <w:lang w:val="sq-AL"/>
        </w:rPr>
      </w:pPr>
    </w:p>
    <w:p w14:paraId="679050F7" w14:textId="77777777" w:rsidR="00C505A7" w:rsidRPr="005208DC" w:rsidRDefault="00C505A7" w:rsidP="00857902">
      <w:pPr>
        <w:rPr>
          <w:rFonts w:asciiTheme="majorBidi" w:hAnsiTheme="majorBidi" w:cstheme="majorBidi"/>
          <w:color w:val="0D0D0D" w:themeColor="text1" w:themeTint="F2"/>
          <w:lang w:val="sq-AL"/>
        </w:rPr>
      </w:pPr>
    </w:p>
    <w:p w14:paraId="267F00FA" w14:textId="77777777" w:rsidR="00C505A7" w:rsidRPr="005208DC" w:rsidRDefault="00C505A7" w:rsidP="00857902">
      <w:pPr>
        <w:rPr>
          <w:rFonts w:asciiTheme="majorBidi" w:hAnsiTheme="majorBidi" w:cstheme="majorBidi"/>
          <w:color w:val="0D0D0D" w:themeColor="text1" w:themeTint="F2"/>
          <w:lang w:val="sq-AL"/>
        </w:rPr>
      </w:pPr>
    </w:p>
    <w:p w14:paraId="7FF4FC34" w14:textId="6EE2B749" w:rsidR="00A05FC8" w:rsidRPr="005208DC" w:rsidRDefault="000A27DD" w:rsidP="00857902">
      <w:pPr>
        <w:pStyle w:val="Heading2"/>
        <w:numPr>
          <w:ilvl w:val="1"/>
          <w:numId w:val="1"/>
        </w:numPr>
        <w:snapToGrid w:val="0"/>
        <w:ind w:left="993" w:hanging="633"/>
        <w:rPr>
          <w:rFonts w:asciiTheme="majorBidi" w:hAnsiTheme="majorBidi" w:cstheme="majorBidi"/>
          <w:b/>
          <w:color w:val="0D0D0D" w:themeColor="text1" w:themeTint="F2"/>
          <w:lang w:val="sq-AL"/>
        </w:rPr>
      </w:pPr>
      <w:bookmarkStart w:id="56" w:name="_Toc61854161"/>
      <w:bookmarkStart w:id="57" w:name="_Toc92721136"/>
      <w:r w:rsidRPr="005208DC">
        <w:rPr>
          <w:b/>
          <w:color w:val="0D0D0D" w:themeColor="text1" w:themeTint="F2"/>
          <w:lang w:val="sq-AL"/>
        </w:rPr>
        <w:t>Qeverisja fiskale dhe kuadri buxhetor</w:t>
      </w:r>
      <w:bookmarkEnd w:id="56"/>
      <w:bookmarkEnd w:id="57"/>
    </w:p>
    <w:p w14:paraId="2A42FBF3" w14:textId="77777777" w:rsidR="00352148" w:rsidRPr="005208DC" w:rsidRDefault="00352148" w:rsidP="00857902">
      <w:pPr>
        <w:snapToGrid w:val="0"/>
        <w:jc w:val="both"/>
        <w:rPr>
          <w:rFonts w:asciiTheme="majorBidi" w:hAnsiTheme="majorBidi" w:cstheme="majorBidi"/>
          <w:color w:val="0D0D0D" w:themeColor="text1" w:themeTint="F2"/>
          <w:lang w:val="sq-AL"/>
        </w:rPr>
      </w:pPr>
    </w:p>
    <w:p w14:paraId="3DCD13F8" w14:textId="77777777" w:rsidR="00C505A7" w:rsidRPr="005208DC" w:rsidRDefault="00C505A7" w:rsidP="00857902">
      <w:pPr>
        <w:snapToGrid w:val="0"/>
        <w:jc w:val="both"/>
        <w:rPr>
          <w:rFonts w:asciiTheme="majorBidi" w:hAnsiTheme="majorBidi" w:cstheme="majorBidi"/>
          <w:color w:val="0D0D0D" w:themeColor="text1" w:themeTint="F2"/>
          <w:lang w:val="sq-AL"/>
        </w:rPr>
      </w:pPr>
    </w:p>
    <w:p w14:paraId="7F83E589" w14:textId="77777777" w:rsidR="00C505A7" w:rsidRPr="005208DC" w:rsidRDefault="00C505A7" w:rsidP="00857902">
      <w:pPr>
        <w:snapToGrid w:val="0"/>
        <w:jc w:val="both"/>
        <w:rPr>
          <w:rFonts w:asciiTheme="majorBidi" w:hAnsiTheme="majorBidi" w:cstheme="majorBidi"/>
          <w:color w:val="0D0D0D" w:themeColor="text1" w:themeTint="F2"/>
          <w:lang w:val="sq-AL"/>
        </w:rPr>
      </w:pPr>
    </w:p>
    <w:p w14:paraId="0DB96EB5" w14:textId="5480DB75" w:rsidR="00F23FB0" w:rsidRPr="005208DC" w:rsidRDefault="000A27DD" w:rsidP="00857902">
      <w:pPr>
        <w:pStyle w:val="Heading2"/>
        <w:numPr>
          <w:ilvl w:val="1"/>
          <w:numId w:val="1"/>
        </w:numPr>
        <w:snapToGrid w:val="0"/>
        <w:ind w:left="993" w:hanging="633"/>
        <w:rPr>
          <w:rFonts w:asciiTheme="majorBidi" w:hAnsiTheme="majorBidi" w:cstheme="majorBidi"/>
          <w:b/>
          <w:color w:val="0D0D0D" w:themeColor="text1" w:themeTint="F2"/>
          <w:lang w:val="sq-AL"/>
        </w:rPr>
      </w:pPr>
      <w:bookmarkStart w:id="58" w:name="_Toc61854162"/>
      <w:bookmarkStart w:id="59" w:name="_Toc92721137"/>
      <w:r w:rsidRPr="005208DC">
        <w:rPr>
          <w:b/>
          <w:color w:val="0D0D0D" w:themeColor="text1" w:themeTint="F2"/>
          <w:lang w:val="sq-AL"/>
        </w:rPr>
        <w:t>Qëndrueshmëria e financave publike</w:t>
      </w:r>
      <w:bookmarkEnd w:id="58"/>
      <w:bookmarkEnd w:id="59"/>
    </w:p>
    <w:p w14:paraId="0291BFC9" w14:textId="0209ADD0" w:rsidR="00352148" w:rsidRPr="005208DC" w:rsidRDefault="00352148" w:rsidP="00857902">
      <w:pPr>
        <w:snapToGrid w:val="0"/>
        <w:jc w:val="both"/>
        <w:rPr>
          <w:rFonts w:asciiTheme="majorBidi" w:hAnsiTheme="majorBidi" w:cstheme="majorBidi"/>
          <w:color w:val="0D0D0D" w:themeColor="text1" w:themeTint="F2"/>
          <w:lang w:val="sq-AL"/>
        </w:rPr>
      </w:pPr>
    </w:p>
    <w:p w14:paraId="485DAD8C" w14:textId="77777777" w:rsidR="00C505A7" w:rsidRPr="005208DC" w:rsidRDefault="00C505A7" w:rsidP="00857902">
      <w:pPr>
        <w:snapToGrid w:val="0"/>
        <w:jc w:val="both"/>
        <w:rPr>
          <w:rFonts w:asciiTheme="majorBidi" w:hAnsiTheme="majorBidi" w:cstheme="majorBidi"/>
          <w:color w:val="0D0D0D" w:themeColor="text1" w:themeTint="F2"/>
          <w:lang w:val="sq-AL"/>
        </w:rPr>
      </w:pPr>
    </w:p>
    <w:p w14:paraId="2D89857A" w14:textId="77777777" w:rsidR="00EB1E05" w:rsidRPr="005208DC" w:rsidRDefault="00EB1E05" w:rsidP="00857902">
      <w:pPr>
        <w:snapToGrid w:val="0"/>
        <w:jc w:val="both"/>
        <w:rPr>
          <w:rFonts w:asciiTheme="majorBidi" w:hAnsiTheme="majorBidi" w:cstheme="majorBidi"/>
          <w:color w:val="0D0D0D" w:themeColor="text1" w:themeTint="F2"/>
          <w:lang w:val="sq-AL"/>
        </w:rPr>
        <w:sectPr w:rsidR="00EB1E05" w:rsidRPr="005208DC" w:rsidSect="00F27C55">
          <w:pgSz w:w="11900" w:h="16840"/>
          <w:pgMar w:top="720" w:right="720" w:bottom="720" w:left="720" w:header="567" w:footer="567" w:gutter="0"/>
          <w:cols w:space="708"/>
          <w:titlePg/>
          <w:docGrid w:linePitch="360"/>
        </w:sectPr>
      </w:pPr>
    </w:p>
    <w:p w14:paraId="3F50DD79" w14:textId="383804BA" w:rsidR="00DF1828" w:rsidRPr="005208DC" w:rsidRDefault="007A5665" w:rsidP="00857902">
      <w:pPr>
        <w:pStyle w:val="Heading1"/>
        <w:numPr>
          <w:ilvl w:val="0"/>
          <w:numId w:val="1"/>
        </w:numPr>
        <w:snapToGrid w:val="0"/>
        <w:rPr>
          <w:rFonts w:asciiTheme="majorBidi" w:hAnsiTheme="majorBidi" w:cstheme="majorBidi"/>
          <w:color w:val="0D0D0D" w:themeColor="text1" w:themeTint="F2"/>
          <w:lang w:val="sq-AL"/>
        </w:rPr>
      </w:pPr>
      <w:bookmarkStart w:id="60" w:name="_Toc484076181"/>
      <w:bookmarkStart w:id="61" w:name="_Toc62805592"/>
      <w:bookmarkStart w:id="62" w:name="_Toc92721138"/>
      <w:r w:rsidRPr="005208DC">
        <w:rPr>
          <w:rFonts w:asciiTheme="majorBidi" w:hAnsiTheme="majorBidi" w:cstheme="majorBidi"/>
          <w:color w:val="0D0D0D" w:themeColor="text1" w:themeTint="F2"/>
          <w:lang w:val="sq-AL"/>
        </w:rPr>
        <w:t xml:space="preserve">REFORMAT STRUKTURORE </w:t>
      </w:r>
      <w:r w:rsidR="004D1F24" w:rsidRPr="005208DC">
        <w:rPr>
          <w:rFonts w:asciiTheme="majorBidi" w:hAnsiTheme="majorBidi" w:cstheme="majorBidi"/>
          <w:color w:val="0D0D0D" w:themeColor="text1" w:themeTint="F2"/>
          <w:lang w:val="sq-AL"/>
        </w:rPr>
        <w:t>PARËSORE</w:t>
      </w:r>
      <w:r w:rsidRPr="005208DC">
        <w:rPr>
          <w:rFonts w:asciiTheme="majorBidi" w:hAnsiTheme="majorBidi" w:cstheme="majorBidi"/>
          <w:color w:val="0D0D0D" w:themeColor="text1" w:themeTint="F2"/>
          <w:lang w:val="sq-AL"/>
        </w:rPr>
        <w:t xml:space="preserve"> NË</w:t>
      </w:r>
      <w:r w:rsidR="00626FE1" w:rsidRPr="005208DC">
        <w:rPr>
          <w:rFonts w:asciiTheme="majorBidi" w:hAnsiTheme="majorBidi" w:cstheme="majorBidi"/>
          <w:color w:val="0D0D0D" w:themeColor="text1" w:themeTint="F2"/>
          <w:lang w:val="sq-AL"/>
        </w:rPr>
        <w:t xml:space="preserve"> </w:t>
      </w:r>
      <w:r w:rsidR="00C725BB" w:rsidRPr="005208DC">
        <w:rPr>
          <w:rFonts w:asciiTheme="majorBidi" w:hAnsiTheme="majorBidi" w:cstheme="majorBidi"/>
          <w:color w:val="0D0D0D" w:themeColor="text1" w:themeTint="F2"/>
          <w:lang w:val="sq-AL"/>
        </w:rPr>
        <w:t>202</w:t>
      </w:r>
      <w:r w:rsidR="000B0C45" w:rsidRPr="005208DC">
        <w:rPr>
          <w:rFonts w:asciiTheme="majorBidi" w:hAnsiTheme="majorBidi" w:cstheme="majorBidi"/>
          <w:color w:val="0D0D0D" w:themeColor="text1" w:themeTint="F2"/>
          <w:lang w:val="sq-AL"/>
        </w:rPr>
        <w:t>2</w:t>
      </w:r>
      <w:r w:rsidR="00DF1828" w:rsidRPr="005208DC">
        <w:rPr>
          <w:rFonts w:asciiTheme="majorBidi" w:hAnsiTheme="majorBidi" w:cstheme="majorBidi"/>
          <w:color w:val="0D0D0D" w:themeColor="text1" w:themeTint="F2"/>
          <w:lang w:val="sq-AL"/>
        </w:rPr>
        <w:t>-20</w:t>
      </w:r>
      <w:r w:rsidR="00F87585" w:rsidRPr="005208DC">
        <w:rPr>
          <w:rFonts w:asciiTheme="majorBidi" w:hAnsiTheme="majorBidi" w:cstheme="majorBidi"/>
          <w:color w:val="0D0D0D" w:themeColor="text1" w:themeTint="F2"/>
          <w:lang w:val="sq-AL"/>
        </w:rPr>
        <w:t>2</w:t>
      </w:r>
      <w:bookmarkEnd w:id="60"/>
      <w:r w:rsidR="000B0C45" w:rsidRPr="005208DC">
        <w:rPr>
          <w:rFonts w:asciiTheme="majorBidi" w:hAnsiTheme="majorBidi" w:cstheme="majorBidi"/>
          <w:color w:val="0D0D0D" w:themeColor="text1" w:themeTint="F2"/>
          <w:lang w:val="sq-AL"/>
        </w:rPr>
        <w:t>4</w:t>
      </w:r>
      <w:bookmarkEnd w:id="61"/>
      <w:bookmarkEnd w:id="62"/>
    </w:p>
    <w:p w14:paraId="1C4D4E77" w14:textId="77777777" w:rsidR="00ED673F" w:rsidRPr="005208DC" w:rsidRDefault="00ED673F" w:rsidP="00857902">
      <w:pPr>
        <w:snapToGrid w:val="0"/>
        <w:rPr>
          <w:rFonts w:asciiTheme="majorBidi" w:hAnsiTheme="majorBidi" w:cstheme="majorBidi"/>
          <w:color w:val="0D0D0D" w:themeColor="text1" w:themeTint="F2"/>
          <w:lang w:val="sq-AL"/>
        </w:rPr>
      </w:pPr>
    </w:p>
    <w:p w14:paraId="5CC7E719" w14:textId="17F07F6B" w:rsidR="00DF1828" w:rsidRPr="005208DC" w:rsidRDefault="005E44FE" w:rsidP="00857902">
      <w:pPr>
        <w:pStyle w:val="Heading2"/>
        <w:numPr>
          <w:ilvl w:val="1"/>
          <w:numId w:val="1"/>
        </w:numPr>
        <w:snapToGrid w:val="0"/>
        <w:rPr>
          <w:rFonts w:asciiTheme="majorBidi" w:hAnsiTheme="majorBidi" w:cstheme="majorBidi"/>
          <w:b/>
          <w:color w:val="0D0D0D" w:themeColor="text1" w:themeTint="F2"/>
          <w:lang w:val="sq-AL"/>
        </w:rPr>
      </w:pPr>
      <w:bookmarkStart w:id="63" w:name="_Toc484076182"/>
      <w:bookmarkStart w:id="64" w:name="_Toc62805593"/>
      <w:bookmarkStart w:id="65" w:name="_Toc92721139"/>
      <w:r w:rsidRPr="005208DC">
        <w:rPr>
          <w:rFonts w:asciiTheme="majorBidi" w:hAnsiTheme="majorBidi" w:cstheme="majorBidi"/>
          <w:b/>
          <w:color w:val="0D0D0D" w:themeColor="text1" w:themeTint="F2"/>
          <w:lang w:val="sq-AL"/>
        </w:rPr>
        <w:t>Përditësim mbi tre pengesat kryesore në konkurrueshmëri dhe rritje përfshirëse dhe masat e reformave të lidhura</w:t>
      </w:r>
      <w:bookmarkEnd w:id="63"/>
      <w:bookmarkEnd w:id="64"/>
      <w:bookmarkEnd w:id="65"/>
    </w:p>
    <w:p w14:paraId="35C14D9C" w14:textId="77777777" w:rsidR="00BF2996" w:rsidRPr="005208DC" w:rsidRDefault="00BF2996" w:rsidP="00857902">
      <w:pPr>
        <w:snapToGrid w:val="0"/>
        <w:jc w:val="both"/>
        <w:rPr>
          <w:rFonts w:asciiTheme="majorBidi" w:eastAsia="Times New Roman" w:hAnsiTheme="majorBidi" w:cstheme="majorBidi"/>
          <w:color w:val="0D0D0D" w:themeColor="text1" w:themeTint="F2"/>
          <w:lang w:val="sq-AL"/>
        </w:rPr>
      </w:pPr>
    </w:p>
    <w:p w14:paraId="67E66409" w14:textId="527979C3" w:rsidR="00106240" w:rsidRPr="005208DC" w:rsidRDefault="00B2062A" w:rsidP="00857902">
      <w:pPr>
        <w:pStyle w:val="Heading3"/>
        <w:rPr>
          <w:rFonts w:asciiTheme="majorBidi" w:hAnsiTheme="majorBidi" w:cstheme="majorBidi"/>
          <w:b/>
          <w:bCs/>
          <w:color w:val="0D0D0D" w:themeColor="text1" w:themeTint="F2"/>
          <w:sz w:val="24"/>
          <w:szCs w:val="24"/>
          <w:lang w:val="sq-AL"/>
        </w:rPr>
      </w:pPr>
      <w:bookmarkStart w:id="66" w:name="_Toc92721140"/>
      <w:r w:rsidRPr="005208DC">
        <w:rPr>
          <w:rFonts w:asciiTheme="majorBidi" w:hAnsiTheme="majorBidi" w:cstheme="majorBidi"/>
          <w:b/>
          <w:bCs/>
          <w:color w:val="0D0D0D" w:themeColor="text1" w:themeTint="F2"/>
          <w:sz w:val="24"/>
          <w:szCs w:val="24"/>
          <w:lang w:val="sq-AL"/>
        </w:rPr>
        <w:t>Sfida Kyçe</w:t>
      </w:r>
      <w:r w:rsidR="00106240" w:rsidRPr="005208DC">
        <w:rPr>
          <w:rFonts w:asciiTheme="majorBidi" w:hAnsiTheme="majorBidi" w:cstheme="majorBidi"/>
          <w:b/>
          <w:bCs/>
          <w:color w:val="0D0D0D" w:themeColor="text1" w:themeTint="F2"/>
          <w:sz w:val="24"/>
          <w:szCs w:val="24"/>
          <w:lang w:val="sq-AL"/>
        </w:rPr>
        <w:t xml:space="preserve"> #1</w:t>
      </w:r>
      <w:bookmarkEnd w:id="66"/>
    </w:p>
    <w:p w14:paraId="54CB7489" w14:textId="1A829BA0" w:rsidR="00AE4EA3" w:rsidRPr="005208DC" w:rsidRDefault="00AE4EA3" w:rsidP="00857902">
      <w:pPr>
        <w:rPr>
          <w:rFonts w:asciiTheme="majorBidi" w:hAnsiTheme="majorBidi" w:cstheme="majorBidi"/>
          <w:b/>
          <w:bCs/>
          <w:color w:val="0D0D0D" w:themeColor="text1" w:themeTint="F2"/>
          <w:lang w:val="sq-AL"/>
        </w:rPr>
      </w:pPr>
      <w:r w:rsidRPr="005208DC">
        <w:rPr>
          <w:rFonts w:asciiTheme="majorBidi" w:hAnsiTheme="majorBidi" w:cstheme="majorBidi"/>
          <w:b/>
          <w:bCs/>
          <w:color w:val="0D0D0D" w:themeColor="text1" w:themeTint="F2"/>
          <w:lang w:val="sq-AL"/>
        </w:rPr>
        <w:t>Rritja e inovacionit dhe aftësive të të rinjve dhe të rriturve për të rritur punësimin</w:t>
      </w:r>
    </w:p>
    <w:p w14:paraId="28C0CF78" w14:textId="2BF3DF72" w:rsidR="004F312A" w:rsidRPr="005208DC" w:rsidRDefault="00B2062A" w:rsidP="00857902">
      <w:pPr>
        <w:pStyle w:val="Heading4"/>
        <w:numPr>
          <w:ilvl w:val="0"/>
          <w:numId w:val="3"/>
        </w:numPr>
        <w:snapToGrid w:val="0"/>
        <w:ind w:left="567" w:hanging="283"/>
        <w:rPr>
          <w:rFonts w:asciiTheme="majorBidi" w:hAnsiTheme="majorBidi" w:cstheme="majorBidi"/>
          <w:b w:val="0"/>
          <w:i/>
          <w:color w:val="0D0D0D" w:themeColor="text1" w:themeTint="F2"/>
          <w:sz w:val="24"/>
          <w:szCs w:val="24"/>
          <w:lang w:val="sq-AL"/>
        </w:rPr>
      </w:pPr>
      <w:r w:rsidRPr="005208DC">
        <w:rPr>
          <w:rFonts w:asciiTheme="majorBidi" w:hAnsiTheme="majorBidi" w:cstheme="majorBidi"/>
          <w:b w:val="0"/>
          <w:i/>
          <w:color w:val="0D0D0D" w:themeColor="text1" w:themeTint="F2"/>
          <w:sz w:val="24"/>
          <w:szCs w:val="24"/>
          <w:lang w:val="sq-AL"/>
        </w:rPr>
        <w:t>Analiza e pengesave kryesore</w:t>
      </w:r>
    </w:p>
    <w:p w14:paraId="5781B6CC" w14:textId="57EF315E" w:rsidR="00857902" w:rsidRPr="005208DC" w:rsidRDefault="00857902" w:rsidP="00857902">
      <w:pPr>
        <w:jc w:val="both"/>
        <w:rPr>
          <w:rFonts w:ascii="Times New Roman" w:hAnsi="Times New Roman"/>
          <w:color w:val="0D0D0D" w:themeColor="text1" w:themeTint="F2"/>
          <w:lang w:val="sq-AL"/>
        </w:rPr>
      </w:pPr>
      <w:r w:rsidRPr="005208DC">
        <w:rPr>
          <w:rStyle w:val="jlqj4b"/>
          <w:rFonts w:ascii="Times New Roman" w:hAnsi="Times New Roman"/>
          <w:color w:val="0D0D0D" w:themeColor="text1" w:themeTint="F2"/>
          <w:lang w:val="sq-AL"/>
        </w:rPr>
        <w:t xml:space="preserve">Brenda kësaj grupmoshe, përqindja </w:t>
      </w:r>
      <w:r w:rsidRPr="005208DC">
        <w:rPr>
          <w:rFonts w:ascii="Times New Roman" w:hAnsi="Times New Roman"/>
          <w:color w:val="0D0D0D" w:themeColor="text1" w:themeTint="F2"/>
          <w:lang w:val="sq-AL"/>
        </w:rPr>
        <w:t xml:space="preserve">tek të rinjtë as në punësim, as në arsim ose trajnim (NEET) </w:t>
      </w:r>
      <w:r w:rsidRPr="005208DC">
        <w:rPr>
          <w:rStyle w:val="jlqj4b"/>
          <w:rFonts w:ascii="Times New Roman" w:hAnsi="Times New Roman"/>
          <w:color w:val="0D0D0D" w:themeColor="text1" w:themeTint="F2"/>
          <w:lang w:val="sq-AL"/>
        </w:rPr>
        <w:t>ishte më e larta në mesin e të diplomuarve të mesëm të lartë (28.9%), të ndjekur nga të diplomuarit në universitet (26.5%), ndërsa të rinjtë me jo më shumë se arsim të mesëm të ulët dolën më mirë (24.4%). Kjo lidhet me strukturën e sipërmarrjeve që nuk janë ende në gjendje të absorbojnë numrin në rritje të të diplomuarve me arsim të lartë, shoqëruar me tërheqjen aktualisht të ulët të investimeve të huaja direkte në vend dhe orientimin e kufizuar ose inekzistent të karrierës, ku studentët b</w:t>
      </w:r>
      <w:r w:rsidR="001C5DAB" w:rsidRPr="005208DC">
        <w:rPr>
          <w:rStyle w:val="jlqj4b"/>
          <w:rFonts w:ascii="Times New Roman" w:hAnsi="Times New Roman"/>
          <w:color w:val="0D0D0D" w:themeColor="text1" w:themeTint="F2"/>
          <w:lang w:val="sq-AL"/>
        </w:rPr>
        <w:t>ëjnë zgjedhje që mund të mos të</w:t>
      </w:r>
      <w:r w:rsidRPr="005208DC">
        <w:rPr>
          <w:rStyle w:val="jlqj4b"/>
          <w:rFonts w:ascii="Times New Roman" w:hAnsi="Times New Roman"/>
          <w:color w:val="0D0D0D" w:themeColor="text1" w:themeTint="F2"/>
          <w:lang w:val="sq-AL"/>
        </w:rPr>
        <w:t xml:space="preserve"> korrespondojnë gjithmonë me kërkesën e tregut të punës. </w:t>
      </w:r>
      <w:r w:rsidRPr="005208DC">
        <w:rPr>
          <w:rFonts w:ascii="Times New Roman" w:hAnsi="Times New Roman"/>
          <w:color w:val="0D0D0D" w:themeColor="text1" w:themeTint="F2"/>
          <w:lang w:val="sq-AL"/>
        </w:rPr>
        <w:t>Situata gjithashtu thekson një nevojë të mundshme për masa shtesë për të kanalizuar fuqinë punëtore të re gjithnjë e më të aftë në sipërmarrje dhe në ekonomi sociale. Të rinjtë shqiptarë përballen me sfida të rëndësishme në përputhjen e kualifikimeve të tyre të arsimit të lartë me kërkesat e tregut të punës dhe shpesh pranojnë pozicione të përkohshme punësimi për të cilat ata janë të mbikualifikuar, si një alternativë ndaj vendeve të pakta të punës në fushat e tyre përkatëse të specializimit. Kjo shpesh çon në vonesa në fillimin e një jete të pavarur dhe mungesë motivimi për të krijuar një familje, ose për të qenë më aktiv në shoqëri dhe afatgjatë që çon në të ardhura më të ulëta, rrezik më të lartë të varfërisë dhe dekurajim për të qenë aktiv në tregun e punës për të rinjtë. Ekziston një nevojë e vazhdueshme për t'u fokusuar tek të rinjtë</w:t>
      </w:r>
      <w:r w:rsidRPr="005208DC">
        <w:rPr>
          <w:color w:val="0D0D0D" w:themeColor="text1" w:themeTint="F2"/>
          <w:lang w:val="sq-AL"/>
        </w:rPr>
        <w:t xml:space="preserve"> </w:t>
      </w:r>
      <w:r w:rsidRPr="005208DC">
        <w:rPr>
          <w:rFonts w:ascii="Times New Roman" w:hAnsi="Times New Roman"/>
          <w:color w:val="0D0D0D" w:themeColor="text1" w:themeTint="F2"/>
          <w:lang w:val="sq-AL"/>
        </w:rPr>
        <w:t>NEET nga grupet vulnerabël.</w:t>
      </w:r>
    </w:p>
    <w:p w14:paraId="264E889A" w14:textId="77777777" w:rsidR="00857902" w:rsidRPr="005208DC" w:rsidRDefault="00857902"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Rinia mund të identifikohet si një grup vulnerabël që përballet me sfida të mëdha si rreziku i varfërisë, papunësia e lartë, papunësisë afatgjatë dhe normat e larta NEET. Disa nga sfidat janë edhe më të mëdha për të rejat femra dhe të tjera për të rinjtë. Pjesëmarrja ekonomike e të rinjve është ende dukshëm nën mesataren e BE-së.</w:t>
      </w:r>
    </w:p>
    <w:p w14:paraId="2DDB4347" w14:textId="38D96840" w:rsidR="00857902" w:rsidRPr="005208DC" w:rsidRDefault="00857902" w:rsidP="001C5DAB">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 xml:space="preserve">Gjatë viteve 2014-2021 Shqipëria ka bërë përparim të rëndësishëm drejt sigurimit që si burrat ashtu edhe gratë të kenë akses </w:t>
      </w:r>
      <w:r w:rsidR="001C5DAB" w:rsidRPr="005208DC">
        <w:rPr>
          <w:rFonts w:ascii="Times New Roman" w:hAnsi="Times New Roman"/>
          <w:color w:val="0D0D0D" w:themeColor="text1" w:themeTint="F2"/>
          <w:lang w:val="sq-AL"/>
        </w:rPr>
        <w:t xml:space="preserve">të shtuar </w:t>
      </w:r>
      <w:r w:rsidRPr="005208DC">
        <w:rPr>
          <w:rFonts w:ascii="Times New Roman" w:hAnsi="Times New Roman"/>
          <w:color w:val="0D0D0D" w:themeColor="text1" w:themeTint="F2"/>
          <w:lang w:val="sq-AL"/>
        </w:rPr>
        <w:t xml:space="preserve">në </w:t>
      </w:r>
      <w:r w:rsidR="001C5DAB" w:rsidRPr="005208DC">
        <w:rPr>
          <w:rFonts w:ascii="Times New Roman" w:hAnsi="Times New Roman"/>
          <w:color w:val="0D0D0D" w:themeColor="text1" w:themeTint="F2"/>
          <w:lang w:val="sq-AL"/>
        </w:rPr>
        <w:t>shanse</w:t>
      </w:r>
      <w:r w:rsidRPr="005208DC">
        <w:rPr>
          <w:rFonts w:ascii="Times New Roman" w:hAnsi="Times New Roman"/>
          <w:color w:val="0D0D0D" w:themeColor="text1" w:themeTint="F2"/>
          <w:lang w:val="sq-AL"/>
        </w:rPr>
        <w:t xml:space="preserve"> punësimi. Tendenca pozitive e viteve të fundit vazhdoi gjatë gjithë vitit 2019 dhe tremujorit të parë të 2020 në të gjithë treguesit e tregut të punës. Megjithatë, gjatë vitit 2020, pandemia Covid-19 dhe masat e marra për të kufizuar përhapjen e virusit ndikuan në tregun shqiptar të punës. Ndikimi i Covid-19 u bë më i theksuar në TM2-2020, siç pasqyrohet nga treguesit standardë të tregut të punës (punësimi, papunësia dhe shkalla e pjesëmarrjes në fuqinë punëtore). Gjatë tremujorit të dytë 2021, shkalla e punësimit për popullsinë nga 15 deri në 64 vjeç është 60,7%. Gjatë këtij tremujori, numri i përgjithshëm i të</w:t>
      </w:r>
      <w:r w:rsidR="001C5DAB" w:rsidRPr="005208DC">
        <w:rPr>
          <w:rFonts w:ascii="Times New Roman" w:hAnsi="Times New Roman"/>
          <w:color w:val="0D0D0D" w:themeColor="text1" w:themeTint="F2"/>
          <w:lang w:val="sq-AL"/>
        </w:rPr>
        <w:t xml:space="preserve"> punësuarve është rritur me 1,0</w:t>
      </w:r>
      <w:r w:rsidRPr="005208DC">
        <w:rPr>
          <w:rFonts w:ascii="Times New Roman" w:hAnsi="Times New Roman"/>
          <w:color w:val="0D0D0D" w:themeColor="text1" w:themeTint="F2"/>
          <w:lang w:val="sq-AL"/>
        </w:rPr>
        <w:t>% krahasuar me tremujorin e dytë 2020 dhe me 2,9% krahasuar me tremujorin e parë 2021.</w:t>
      </w:r>
    </w:p>
    <w:p w14:paraId="4FB0D1A2" w14:textId="7FFF64ED" w:rsidR="00857902" w:rsidRPr="005208DC" w:rsidRDefault="00857902" w:rsidP="001C5DAB">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Në tremujorin e dytë të vitit 2021, shkalla e pjesëmarrjes në fuqinë punëtore për popullsinë ng</w:t>
      </w:r>
      <w:r w:rsidR="001C5DAB" w:rsidRPr="005208DC">
        <w:rPr>
          <w:rFonts w:ascii="Times New Roman" w:hAnsi="Times New Roman"/>
          <w:color w:val="0D0D0D" w:themeColor="text1" w:themeTint="F2"/>
          <w:lang w:val="sq-AL"/>
        </w:rPr>
        <w:t>a 15 deri në 64 vjeç është 69,0</w:t>
      </w:r>
      <w:r w:rsidRPr="005208DC">
        <w:rPr>
          <w:rFonts w:ascii="Times New Roman" w:hAnsi="Times New Roman"/>
          <w:color w:val="0D0D0D" w:themeColor="text1" w:themeTint="F2"/>
          <w:lang w:val="sq-AL"/>
        </w:rPr>
        <w:t>%. Norma e pjesëmarrjes në fuqinë punëtore është 0,9 pikë përqindjeje më e lartë krahasuar me tremujorin e dytë 2020 dhe është rritur gjithashtu me 1,5 pikë përqindje krahasuar me tremujorin paraardhës. Shkalla e pjesëmarrjes së grav</w:t>
      </w:r>
      <w:r w:rsidR="001C5DAB" w:rsidRPr="005208DC">
        <w:rPr>
          <w:rFonts w:ascii="Times New Roman" w:hAnsi="Times New Roman"/>
          <w:color w:val="0D0D0D" w:themeColor="text1" w:themeTint="F2"/>
          <w:lang w:val="sq-AL"/>
        </w:rPr>
        <w:t>e në fuqinë punëtore është 60,9</w:t>
      </w:r>
      <w:r w:rsidRPr="005208DC">
        <w:rPr>
          <w:rFonts w:ascii="Times New Roman" w:hAnsi="Times New Roman"/>
          <w:color w:val="0D0D0D" w:themeColor="text1" w:themeTint="F2"/>
          <w:lang w:val="sq-AL"/>
        </w:rPr>
        <w:t>%, ndërsa për burrat ky tregues është 77,3%. Shkalla e pjesëmarrjes së burrave në fuqinë punëtore është 16.4 pikë përqindje më e lartë se e grave. Shkalla e pjesëmarrjes në fuqinë punëtore për gratë është rritur me 0,2 pikë përqindje dhe për burrat është rritur me 1,6 pikë përqindje krahasuar me të njëjtin tremujor të vitit 2020/ Gjatë tremujorit të dytë 2021, shkalla e pjesëmarrjes në fuqinë punëtore të të rinjve (popullsia nga 15 në 29 vjeç) është 51,9 %. Ky tregues u rrit me 1,1 pikë përqindjeje krahasuar me tremujorin e dytë 2020.</w:t>
      </w:r>
    </w:p>
    <w:p w14:paraId="4D6721B2" w14:textId="77777777" w:rsidR="00857902" w:rsidRPr="005208DC" w:rsidRDefault="00857902"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Pavarësisht se shkalla e punësimit është përmirësuar ndjeshëm në vitet e fundit, Shqipëria mbetet pas mesatares së Bashkimit Evropian. Shkalla e punësimit është përmirësuar ndjeshëm sidomos tek gratë (nga 40% në 2013 në 53.7% në TM2-2021). Megjithatë, pabarazia gjinore në punësim mbetet problematike, ku shkalla e punësimit të meshkujve tejkalon atë të femrave me 14,1%. Shkalla e punësimit është rritur me 1,6 pikë përqindje për burrat dhe për gratë me 0,5 pikë përqindje krahasuar me të njëjtin tremujor të vitit 2020. Shkalla e punësimit të të rinjve është 41,6 %. Pavarësisht një rritjeje prej 1,9 pikë përqindjeje në vitin 2021, punësimi i të rinjve 15-24 vjeç mbetet prapa pjesës tjetër të popullsisë së rritur, duke qëndruar në një mesatare prej 41,6% në vitin 2021. Megjithatë, normat e pjesëmarrjes në fuqinë punëtore mbeten gjithashtu nën mesataret e BE-së, me një hendeku gjinor prej 16%. Në vitin 2021, shkalla e pjesëmarrjes së të rinjve (popullsia nga 15 deri në 29 vjeç) vazhdoi të ishte më e ulët se për pjesën tjetër të popullsisë së rritur (51.9%). Ky tregues është rritur me 1,1 pikë përqindjeje krahasuar me tremujorin e dytë 2020 dhe me 1,7 pikë përqindje krahasuar me tremujorin e parë 2021.</w:t>
      </w:r>
    </w:p>
    <w:p w14:paraId="08848E72" w14:textId="77777777" w:rsidR="00857902" w:rsidRPr="005208DC" w:rsidRDefault="00857902"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Në tremujorin e dytë të vitit 2021, shkalla zyrtare e papunësisë në Shqipëri, për popullsinë 15 vjeç e lart është 11,6 %. Në terma vjetorë, niveli i papunësisë u ul me 2,5 %, dhe krahasuar me tremujorin paraardhës u ul me 1,9 %. Në tremujorin e dytë të vitit 2021, shkalla zyrtare e papunësisë në Shqipëri është 11,6 %. Shkalla zyrtare e papunësisë është ulur me 0,3 pikë përqindjeje krahasuar me tremujorin e dytë 2020 dhe me tremujorin e parë të 2021. Shkalla zyrtare e papunësisë është 11,8 % për meshkujt dhe 11,3 % për femrat. Shkalla e papunësisë.</w:t>
      </w:r>
    </w:p>
    <w:p w14:paraId="60596AA7" w14:textId="77777777" w:rsidR="00857902" w:rsidRPr="005208DC" w:rsidRDefault="00857902"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Shkalla e papunësisë u ul me 0,2 pikë përqindje për burrat dhe me 0,6 pikë përqindje për gratë, krahasuar me të njëjtin tremujor të vitit 2020. Papunësia e të rinjve është ulur nga një kulm prej rreth 43% në 2014 në 26,5% në 2020 për grupmoshën 15-25 vjeç. Një përqindje e lartë e të rinjve as në punësim, as në arsim dhe trajnim (NEET), veçanërisht në mesin e më të arsimuarve tregon një tranzicion sfidues të tregut të punës për të rinjtë.</w:t>
      </w:r>
    </w:p>
    <w:p w14:paraId="615D6E32" w14:textId="77777777" w:rsidR="00857902" w:rsidRPr="005208DC" w:rsidRDefault="00857902"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Norma e NEET për Shqipërinë në 2020 ishte 27.9, nga 26.6 në 2019 (INSTAT), më shumë se dyfishi i mesatares së BE-27 (12.6%). Në këtë grup, 36,5% klasifikohen si të papunë (INSTAT 2020). Shkalla e papunësisë së të rinjve ishte 21.5% në 2019. Megjithatë vetëm rreth 18,000 të rinj NEET, nga gjithsej që janë mbi 190,000, janë regjistruar në Shërbimin Publik të Punësimit dhe shtrirja duhet të shtrihet përtej këtij grupi që përfaqëson më pak se 10% të të rinjve NEET. Të rinjtë në Shqipëri aktualisht vuajnë nga disa sfida, duke përfshirë një shkallë të ulët punësimi prej 21.5%, një nga më të ulëtat në rajon.</w:t>
      </w:r>
    </w:p>
    <w:p w14:paraId="585952B9" w14:textId="77777777" w:rsidR="00857902" w:rsidRPr="005208DC" w:rsidRDefault="00857902"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Pandemia e COVID-19 imponoi sfida të rëndësishme në zhvillimin dhe zbatimin e politikave të AFP-së, si dhe në ofrimin e programeve të arsimit dhe trajnimit profesional. Në fillimin e pandemisë, të gjithë ofruesit e arsimit të mesëm profesional duhej të kalonin nga mësimi në klasë dhe të mësuarit në vendin e punës në mësimin online (duke përdorur platforma të ndryshme online, duke përfshirë klasën e Google, Zoom, Skype, WhatsApp, etj.). Për të mbështetur këtë të fundit, u hartua dhe miratua një udhëzues. Punimet e lëndëve dhe leksionet për lëndët e përgjithshme, si matematika, gjuha, biologjia, kimia, u transmetuan në Kanalin e Transmetimit të Radio Televizionit Kombëtar Shqiptar (RTSH). Progresi në zbatimin e mësimit online u monitorua përmes pyetësorëve të hartuar nga AKAFPK, duke ofruar një pasqyrë të zbatimit të këtij procesi dhe vështirësive të hasura. Gjithashtu, në bashkëpunim me Agjencinë Kombëtare për Sigurimin e Cilësisë në Arsimin Parauniversitar (ASCAP), AKKAFP ka koordinuar ofrimin e trajnimeve për kompetencat dixhitale dhe mësimdhënien online për mësuesit e AFP-së.</w:t>
      </w:r>
    </w:p>
    <w:p w14:paraId="75C765E2" w14:textId="77777777" w:rsidR="00857902" w:rsidRPr="005208DC" w:rsidRDefault="00857902"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Ndërsa ofruesit e AFP-së raportojnë se mesatarisht 87.6% e të gjithë studentëve kanë marrë pjesë në një formë të mësimit online, nuk mund të nënvizohen çështjet që lidhen me aksesin në internet, pajisjet/teknologjitë dixhitale dhe kapacitetet e mësuesve për të përdorur platformat online dhe për të zhvilluar përmbajtje dixhitale. Me mbylljen e shkollave dhe aksesin e kufizuar në mësimin në distancë, rreziku i braktisjes së përhershme të shkollës dhe pabarazive të të mësuarit mund të jetë përkeqësuar, veçanërisht për ato që tashmë kanë qenë të pafavorizuara përpara pandemisë.</w:t>
      </w:r>
    </w:p>
    <w:p w14:paraId="057F951F" w14:textId="7D9C97C4" w:rsidR="00AE4EA3" w:rsidRPr="005208DC" w:rsidRDefault="00857902" w:rsidP="00857902">
      <w:pPr>
        <w:adjustRightInd w:val="0"/>
        <w:ind w:left="57" w:right="57"/>
        <w:jc w:val="both"/>
        <w:rPr>
          <w:rFonts w:asciiTheme="majorBidi" w:hAnsiTheme="majorBidi" w:cstheme="majorBidi"/>
          <w:color w:val="0D0D0D" w:themeColor="text1" w:themeTint="F2"/>
          <w:lang w:val="sq-AL" w:eastAsia="en-GB"/>
        </w:rPr>
      </w:pPr>
      <w:r w:rsidRPr="005208DC">
        <w:rPr>
          <w:rFonts w:ascii="Times New Roman" w:hAnsi="Times New Roman"/>
          <w:color w:val="0D0D0D" w:themeColor="text1" w:themeTint="F2"/>
          <w:lang w:val="sq-AL"/>
        </w:rPr>
        <w:t>Trajnimi fillestar dhe zhvillimi i vazhdueshëm profesional i mësuesve/instruktorëve vazhdoi edhe gjatë vitit 2020 pavarësisht COVID-19. Konkretisht, 35 mësues/instruktorë janë trajnuar me programin Bazat e didaktikës në AAP dhe 40 mësues dhe instruktorë me programe të tjera trajnimi për zhvillim të vazhdueshëm profesional. Gjithashtu u organizuan uebinarë në trajnimin e mësuesve/instruktorëve për aspekte të mësimit online dhe vlerësimit të studentëve në kuadër të Covid-19. Megjithatë, zhvillimi i vazhdueshëm profesional i mësuesve dhe instruktorëve, si dhe dixhitalizimi i sistemit të AFP-së në përgjithësi kërkojnë një shtysë më të fortë. Ndërkohë, me mbështetjen e GIZ-it, ky program po përmirësohet duke integruar plotësisht kompetencat dixhitale që duhet të zotërojnë të gjithë mësuesit në AFP. Programi i trajnimit 24-ditor është duke u integruar në kuadrin ligjor si një trajnim fillestar i detyrueshëm për të gjithë mësuesit e rinj të rekrutuar dhe përzgjedhur në ofruesit publikë të AFP-së.</w:t>
      </w:r>
    </w:p>
    <w:p w14:paraId="503391D6" w14:textId="77777777" w:rsidR="00AE4EA3" w:rsidRPr="005208DC" w:rsidRDefault="00AE4EA3" w:rsidP="00857902">
      <w:pPr>
        <w:adjustRightInd w:val="0"/>
        <w:ind w:left="57" w:right="57"/>
        <w:jc w:val="both"/>
        <w:rPr>
          <w:rFonts w:asciiTheme="majorBidi" w:hAnsiTheme="majorBidi" w:cstheme="majorBidi"/>
          <w:color w:val="0D0D0D" w:themeColor="text1" w:themeTint="F2"/>
          <w:lang w:val="sq-AL" w:eastAsia="en-GB"/>
        </w:rPr>
      </w:pPr>
    </w:p>
    <w:p w14:paraId="70514A2E" w14:textId="2969420C" w:rsidR="004F312A" w:rsidRPr="005208DC" w:rsidRDefault="00B2062A" w:rsidP="00857902">
      <w:pPr>
        <w:pStyle w:val="Heading4"/>
        <w:numPr>
          <w:ilvl w:val="0"/>
          <w:numId w:val="3"/>
        </w:numPr>
        <w:snapToGrid w:val="0"/>
        <w:ind w:left="567" w:hanging="283"/>
        <w:rPr>
          <w:rFonts w:asciiTheme="majorBidi" w:hAnsiTheme="majorBidi" w:cstheme="majorBidi"/>
          <w:b w:val="0"/>
          <w:i/>
          <w:color w:val="0D0D0D" w:themeColor="text1" w:themeTint="F2"/>
          <w:sz w:val="24"/>
          <w:szCs w:val="24"/>
          <w:lang w:val="sq-AL"/>
        </w:rPr>
      </w:pPr>
      <w:r w:rsidRPr="005208DC">
        <w:rPr>
          <w:rFonts w:asciiTheme="majorBidi" w:hAnsiTheme="majorBidi" w:cstheme="majorBidi"/>
          <w:b w:val="0"/>
          <w:i/>
          <w:color w:val="0D0D0D" w:themeColor="text1" w:themeTint="F2"/>
          <w:sz w:val="24"/>
          <w:szCs w:val="24"/>
          <w:lang w:val="sq-AL"/>
        </w:rPr>
        <w:t>Masat e reformës</w:t>
      </w:r>
    </w:p>
    <w:p w14:paraId="7997BA06" w14:textId="0CE5DDAC" w:rsidR="004F312A" w:rsidRPr="005208DC" w:rsidRDefault="00B2062A" w:rsidP="00857902">
      <w:pPr>
        <w:pStyle w:val="Heading5"/>
        <w:snapToGrid w:val="0"/>
        <w:ind w:left="0"/>
        <w:rPr>
          <w:rFonts w:asciiTheme="majorBidi" w:hAnsiTheme="majorBidi" w:cstheme="majorBidi"/>
          <w:i w:val="0"/>
          <w:color w:val="0D0D0D" w:themeColor="text1" w:themeTint="F2"/>
          <w:sz w:val="24"/>
          <w:szCs w:val="24"/>
          <w:lang w:val="sq-AL"/>
        </w:rPr>
      </w:pPr>
      <w:r w:rsidRPr="005208DC">
        <w:rPr>
          <w:rFonts w:asciiTheme="majorBidi" w:hAnsiTheme="majorBidi" w:cstheme="majorBidi"/>
          <w:i w:val="0"/>
          <w:color w:val="0D0D0D" w:themeColor="text1" w:themeTint="F2"/>
          <w:sz w:val="24"/>
          <w:szCs w:val="24"/>
          <w:lang w:val="sq-AL"/>
        </w:rPr>
        <w:t>Masa e reformës</w:t>
      </w:r>
      <w:r w:rsidR="005358F8" w:rsidRPr="005208DC">
        <w:rPr>
          <w:rFonts w:asciiTheme="majorBidi" w:hAnsiTheme="majorBidi" w:cstheme="majorBidi"/>
          <w:i w:val="0"/>
          <w:color w:val="0D0D0D" w:themeColor="text1" w:themeTint="F2"/>
          <w:sz w:val="24"/>
          <w:szCs w:val="24"/>
          <w:lang w:val="sq-AL"/>
        </w:rPr>
        <w:t xml:space="preserve"> 01</w:t>
      </w:r>
      <w:r w:rsidR="004F312A" w:rsidRPr="005208DC">
        <w:rPr>
          <w:rFonts w:asciiTheme="majorBidi" w:hAnsiTheme="majorBidi" w:cstheme="majorBidi"/>
          <w:i w:val="0"/>
          <w:color w:val="0D0D0D" w:themeColor="text1" w:themeTint="F2"/>
          <w:sz w:val="24"/>
          <w:szCs w:val="24"/>
          <w:lang w:val="sq-AL"/>
        </w:rPr>
        <w:t xml:space="preserve">: </w:t>
      </w:r>
      <w:r w:rsidR="009F7319" w:rsidRPr="005208DC">
        <w:rPr>
          <w:rFonts w:asciiTheme="majorBidi" w:hAnsiTheme="majorBidi" w:cstheme="majorBidi"/>
          <w:i w:val="0"/>
          <w:color w:val="0D0D0D" w:themeColor="text1" w:themeTint="F2"/>
          <w:sz w:val="24"/>
          <w:szCs w:val="24"/>
          <w:lang w:val="sq-AL"/>
        </w:rPr>
        <w:t>Rritja e cilësisë dhe aksesit në AFP</w:t>
      </w:r>
    </w:p>
    <w:p w14:paraId="4CC86700" w14:textId="7FA58179" w:rsidR="004F312A" w:rsidRPr="005208DC" w:rsidRDefault="00B2062A" w:rsidP="00857902">
      <w:pPr>
        <w:pStyle w:val="Heading6"/>
        <w:numPr>
          <w:ilvl w:val="0"/>
          <w:numId w:val="5"/>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Përshkrimi i masës</w:t>
      </w:r>
    </w:p>
    <w:p w14:paraId="01ACD299" w14:textId="77777777" w:rsidR="00FB30AC" w:rsidRPr="005208DC" w:rsidRDefault="00FB30AC"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Strategjia Kombëtare e Punësimit dhe Aftësive 2019 - 2022 është dokumenti kryesor i politikave që orienton zbatimin e veprimeve në lidhje me punësimin dhe zhvillimin e aftësive në vend. Objektivat (Rritja e cilësisë së rezultateve të arsimit, zhvillimi i kualifikimeve, atraktiviteti dhe rëndësia e sistemit të arsimit profesional dhe parashikimi i aftësive për korrigjimin e mospërputhjeve dhe përmirësimin e njohjes së aftësive) do të arrihen përmes disa aktiviteteve që lidhen me modernizimin e përfshirjes së AFP-së. , duke synuar zhvillimin e tregut të punës.</w:t>
      </w:r>
    </w:p>
    <w:p w14:paraId="5E17EAD5" w14:textId="77777777" w:rsidR="00FB30AC" w:rsidRPr="005208DC" w:rsidRDefault="00FB30AC"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Ofrimi i arsimit dhe trajnimit profesional cilësor për të rinjtë dhe të rriturit janë prioritetet e përgjithshme strategjike të AAP-së. Mungesa e kapaciteteve në infrastrukturë në disa qarqe (Tiranë, Durrës, Elbasan) dhe përdorimi jo racional i tyre në disa qarqe të tjera (Korçë, Berat) bëjnë të domosdoshëm zbatimin e menjëhershëm të planit për optimizimin e ofruesve publikë të arsimit dhe formimit profesional.</w:t>
      </w:r>
    </w:p>
    <w:p w14:paraId="5698D083" w14:textId="53634C25" w:rsidR="00FB30AC" w:rsidRPr="005208DC" w:rsidRDefault="00FB30AC"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Përvoja pozitive e bashkëpunimit me komunitetin e biznesit duhet të shtrihet në të gjitha fushat që ofrojnë shkollat profesionale. Mos u kufizoni në hoteleri-turizëm, shërbime automjetesh etj.</w:t>
      </w:r>
    </w:p>
    <w:p w14:paraId="3F8407FC" w14:textId="4FE2B88E" w:rsidR="00FB30AC" w:rsidRPr="005208DC" w:rsidRDefault="00FB30AC"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Edhe pse, siç u përmend më lart, si pasojë e pandemisë, promovimi i AFP-së nuk u krye në kushtet më të mira, megjitha</w:t>
      </w:r>
      <w:r w:rsidR="00AE4EA3" w:rsidRPr="005208DC">
        <w:rPr>
          <w:rFonts w:asciiTheme="majorBidi" w:hAnsiTheme="majorBidi" w:cstheme="majorBidi"/>
          <w:color w:val="0D0D0D" w:themeColor="text1" w:themeTint="F2"/>
          <w:lang w:val="sq-AL"/>
        </w:rPr>
        <w:t xml:space="preserve">të në bashkëpunim me shkollat </w:t>
      </w:r>
      <w:r w:rsidRPr="005208DC">
        <w:rPr>
          <w:rFonts w:asciiTheme="majorBidi" w:hAnsiTheme="majorBidi" w:cstheme="majorBidi"/>
          <w:color w:val="0D0D0D" w:themeColor="text1" w:themeTint="F2"/>
          <w:lang w:val="sq-AL"/>
        </w:rPr>
        <w:t>profesionale patëm një fillim të mbarë të vitit shkollor 2021-2022 përsa i përket regjistrimeve në vitet e para (mbi 4500 studentë u regjistruan).</w:t>
      </w:r>
    </w:p>
    <w:p w14:paraId="6E1DC28A" w14:textId="47331295" w:rsidR="00FB30AC" w:rsidRPr="005208DC" w:rsidRDefault="00FB30AC"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Miratimi i akteve nënligjore në zbatim të ligjit të AFP-së duhet të kishte përfunduar, por aktet e fundit tashmë janë hartuar, janë dorëzuar në sistemin e-akte dhe janë duke u koordinuar me institucionet e tjera në mënyrë që brenda vitit 2021 të miratohen nga Këshilli i Ministrat.</w:t>
      </w:r>
    </w:p>
    <w:p w14:paraId="06BD293D" w14:textId="77777777" w:rsidR="00FB30AC" w:rsidRPr="005208DC" w:rsidRDefault="00FB30AC" w:rsidP="00857902">
      <w:pPr>
        <w:snapToGrid w:val="0"/>
        <w:rPr>
          <w:rFonts w:asciiTheme="majorBidi" w:hAnsiTheme="majorBidi" w:cstheme="majorBidi"/>
          <w:color w:val="0D0D0D" w:themeColor="text1" w:themeTint="F2"/>
          <w:lang w:val="sq-AL"/>
        </w:rPr>
      </w:pPr>
    </w:p>
    <w:p w14:paraId="3607E05D" w14:textId="4120407C" w:rsidR="004F312A" w:rsidRPr="005208DC" w:rsidRDefault="00B2062A" w:rsidP="00857902">
      <w:pPr>
        <w:pStyle w:val="ListParagraph"/>
        <w:numPr>
          <w:ilvl w:val="0"/>
          <w:numId w:val="7"/>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4F312A" w:rsidRPr="005208DC">
        <w:rPr>
          <w:rFonts w:asciiTheme="majorBidi" w:hAnsiTheme="majorBidi" w:cstheme="majorBidi"/>
          <w:b/>
          <w:color w:val="0D0D0D" w:themeColor="text1" w:themeTint="F2"/>
          <w:sz w:val="24"/>
          <w:szCs w:val="24"/>
          <w:lang w:val="sq-AL"/>
        </w:rPr>
        <w:t xml:space="preserve"> 2022</w:t>
      </w:r>
    </w:p>
    <w:p w14:paraId="71DDB3AB" w14:textId="77777777" w:rsidR="00FB30AC" w:rsidRPr="005208DC" w:rsidRDefault="00FB30AC" w:rsidP="00857902">
      <w:pPr>
        <w:pStyle w:val="ListParagraph"/>
        <w:numPr>
          <w:ilvl w:val="1"/>
          <w:numId w:val="4"/>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Plotësoni kuadrin ligjor për të siguruar autonominë financiare, gjenerimin e të ardhurave për ofruesit e AFP-së. Rishikoni metodën e ndarjes së buxhetit. Zhvilloni një instrument për të vlerësuar implikimet e kostos specifike të programit në konsultim të ngushtë me ofruesit e AFP-së.</w:t>
      </w:r>
    </w:p>
    <w:p w14:paraId="1DC6824B" w14:textId="77777777" w:rsidR="00FB30AC" w:rsidRPr="005208DC" w:rsidRDefault="00FB30AC" w:rsidP="00857902">
      <w:pPr>
        <w:pStyle w:val="ListParagraph"/>
        <w:numPr>
          <w:ilvl w:val="1"/>
          <w:numId w:val="4"/>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Finalizimi i procesit të referimit të Kornizës Shqiptare të Kualifikimeve në atë Kuadër Evropiane të Kualifikimeve.</w:t>
      </w:r>
    </w:p>
    <w:p w14:paraId="581085B4" w14:textId="77777777" w:rsidR="00FB30AC" w:rsidRPr="005208DC" w:rsidRDefault="00FB30AC" w:rsidP="00857902">
      <w:pPr>
        <w:pStyle w:val="ListParagraph"/>
        <w:numPr>
          <w:ilvl w:val="1"/>
          <w:numId w:val="4"/>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Përsosni procesin e përkthimit të Standardeve Profesionale dhe të Kualifikimit në Standarde Vlerësimi me ndihmën e specialistëve të sektorit dhe ekspertëve të çështjeve nga sektori privat për të siguruar që provimet e nivelit të jenë të përshtatshme për verifikimin e kompetencave profesionale të një kandidati siç përcaktohen nga industria.</w:t>
      </w:r>
    </w:p>
    <w:p w14:paraId="4DF33C44" w14:textId="77777777" w:rsidR="00FB30AC" w:rsidRPr="005208DC" w:rsidRDefault="00FB30AC" w:rsidP="00857902">
      <w:pPr>
        <w:pStyle w:val="ListParagraph"/>
        <w:numPr>
          <w:ilvl w:val="1"/>
          <w:numId w:val="4"/>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Përhapja, ndërtimi i kapaciteteve të palëve të përfshira dhe konsolidimi i zbatimit të sistemit të akreditimit.</w:t>
      </w:r>
    </w:p>
    <w:p w14:paraId="56A45CB9" w14:textId="77777777" w:rsidR="00FB30AC" w:rsidRPr="005208DC" w:rsidRDefault="00FB30AC" w:rsidP="00857902">
      <w:pPr>
        <w:pStyle w:val="ListParagraph"/>
        <w:numPr>
          <w:ilvl w:val="1"/>
          <w:numId w:val="4"/>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Zhvillimi i kompetencave të 170 mësuesve të AFP-së dhe stafit mbështetës, si dhe trajnerëve të mësuesve.</w:t>
      </w:r>
    </w:p>
    <w:p w14:paraId="467A2DB5" w14:textId="77777777" w:rsidR="00FB30AC" w:rsidRPr="005208DC" w:rsidRDefault="00FB30AC" w:rsidP="00857902">
      <w:pPr>
        <w:pStyle w:val="ListParagraph"/>
        <w:numPr>
          <w:ilvl w:val="1"/>
          <w:numId w:val="4"/>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Institucionalizimi i Këshillit Kombëtar të Arsimit dhe Formimit Profesional.</w:t>
      </w:r>
    </w:p>
    <w:p w14:paraId="7F0B2748" w14:textId="77777777" w:rsidR="00FB30AC" w:rsidRPr="005208DC" w:rsidRDefault="00FB30AC" w:rsidP="00857902">
      <w:pPr>
        <w:pStyle w:val="ListParagraph"/>
        <w:numPr>
          <w:ilvl w:val="1"/>
          <w:numId w:val="4"/>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Ngritja e Komitetit të Dytë Sektorial.</w:t>
      </w:r>
    </w:p>
    <w:p w14:paraId="25AF7BC3" w14:textId="77777777" w:rsidR="00FB30AC" w:rsidRPr="005208DC" w:rsidRDefault="00FB30AC" w:rsidP="00857902">
      <w:pPr>
        <w:pStyle w:val="ListParagraph"/>
        <w:numPr>
          <w:ilvl w:val="1"/>
          <w:numId w:val="4"/>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Fillimi i punës për hartimin e një Strategjie të re në fushën e punësimit dhe aftësive profesionale.</w:t>
      </w:r>
    </w:p>
    <w:p w14:paraId="5CBB963E" w14:textId="582B9D0A" w:rsidR="00FB30AC" w:rsidRPr="005208DC" w:rsidRDefault="00FB30AC" w:rsidP="00857902">
      <w:pPr>
        <w:pStyle w:val="ListParagraph"/>
        <w:numPr>
          <w:ilvl w:val="1"/>
          <w:numId w:val="4"/>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Vazhdimi i punës për ngritjen e komiteteve sektoriale.</w:t>
      </w:r>
    </w:p>
    <w:p w14:paraId="49EE74AD" w14:textId="71A8E697" w:rsidR="004F312A" w:rsidRPr="005208DC" w:rsidRDefault="00B2062A" w:rsidP="00857902">
      <w:pPr>
        <w:pStyle w:val="ListParagraph"/>
        <w:numPr>
          <w:ilvl w:val="0"/>
          <w:numId w:val="7"/>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4F312A" w:rsidRPr="005208DC">
        <w:rPr>
          <w:rFonts w:asciiTheme="majorBidi" w:hAnsiTheme="majorBidi" w:cstheme="majorBidi"/>
          <w:b/>
          <w:color w:val="0D0D0D" w:themeColor="text1" w:themeTint="F2"/>
          <w:sz w:val="24"/>
          <w:szCs w:val="24"/>
          <w:lang w:val="sq-AL"/>
        </w:rPr>
        <w:t xml:space="preserve"> 2023</w:t>
      </w:r>
    </w:p>
    <w:p w14:paraId="784FA04A" w14:textId="77777777" w:rsidR="00FB30AC" w:rsidRPr="005208DC" w:rsidRDefault="00FB30AC" w:rsidP="00857902">
      <w:pPr>
        <w:pStyle w:val="ListParagraph"/>
        <w:numPr>
          <w:ilvl w:val="1"/>
          <w:numId w:val="8"/>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Të vazhdohet me zbatimin e planeve zhvillimore infrastrukturore dhe institucionale.</w:t>
      </w:r>
    </w:p>
    <w:p w14:paraId="4D252553" w14:textId="77777777" w:rsidR="00FB30AC" w:rsidRPr="005208DC" w:rsidRDefault="00FB30AC" w:rsidP="00857902">
      <w:pPr>
        <w:pStyle w:val="ListParagraph"/>
        <w:numPr>
          <w:ilvl w:val="1"/>
          <w:numId w:val="8"/>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Zhvillimi i kompetencave të 200 mësuesve të AFP-së dhe stafit mbështetës, si dhe trajnerëve të mësuesve.</w:t>
      </w:r>
    </w:p>
    <w:p w14:paraId="7B662FB4" w14:textId="77777777" w:rsidR="00FB30AC" w:rsidRPr="005208DC" w:rsidRDefault="00FB30AC" w:rsidP="00857902">
      <w:pPr>
        <w:pStyle w:val="ListParagraph"/>
        <w:numPr>
          <w:ilvl w:val="1"/>
          <w:numId w:val="8"/>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Vazhdimi i punës për ngritjen e komiteteve sektoriale.</w:t>
      </w:r>
    </w:p>
    <w:p w14:paraId="68520477" w14:textId="1A41051B" w:rsidR="00FB30AC" w:rsidRPr="005208DC" w:rsidRDefault="00FB30AC" w:rsidP="00857902">
      <w:pPr>
        <w:pStyle w:val="ListParagraph"/>
        <w:numPr>
          <w:ilvl w:val="1"/>
          <w:numId w:val="8"/>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Mbledhja e rregullt e Këshillit Kombëtar të Arsimit dhe Formimit Profesional.</w:t>
      </w:r>
    </w:p>
    <w:p w14:paraId="5EB4A5A4" w14:textId="77A32FE1" w:rsidR="004F312A" w:rsidRPr="005208DC" w:rsidRDefault="00B2062A" w:rsidP="00857902">
      <w:pPr>
        <w:pStyle w:val="ListParagraph"/>
        <w:numPr>
          <w:ilvl w:val="0"/>
          <w:numId w:val="7"/>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4F312A" w:rsidRPr="005208DC">
        <w:rPr>
          <w:rFonts w:asciiTheme="majorBidi" w:hAnsiTheme="majorBidi" w:cstheme="majorBidi"/>
          <w:b/>
          <w:color w:val="0D0D0D" w:themeColor="text1" w:themeTint="F2"/>
          <w:sz w:val="24"/>
          <w:szCs w:val="24"/>
          <w:lang w:val="sq-AL"/>
        </w:rPr>
        <w:t xml:space="preserve"> 2024</w:t>
      </w:r>
    </w:p>
    <w:p w14:paraId="403A3515" w14:textId="77777777" w:rsidR="00FB30AC" w:rsidRPr="005208DC" w:rsidRDefault="00FB30AC" w:rsidP="00857902">
      <w:pPr>
        <w:pStyle w:val="ListParagraph"/>
        <w:numPr>
          <w:ilvl w:val="0"/>
          <w:numId w:val="10"/>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Zhvillimi i kompetencave të 200 mësuesve të AFP-së dhe stafit mbështetës, si dhe trajnerëve të mësuesve.</w:t>
      </w:r>
    </w:p>
    <w:p w14:paraId="3C564751" w14:textId="77777777" w:rsidR="00FB30AC" w:rsidRPr="005208DC" w:rsidRDefault="00FB30AC" w:rsidP="00857902">
      <w:pPr>
        <w:pStyle w:val="ListParagraph"/>
        <w:numPr>
          <w:ilvl w:val="0"/>
          <w:numId w:val="10"/>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Vazhdimi i punës për ngritjen e komiteteve sektoriale.</w:t>
      </w:r>
    </w:p>
    <w:p w14:paraId="7C5B66A3" w14:textId="54FACBDC" w:rsidR="00FB30AC" w:rsidRPr="005208DC" w:rsidRDefault="00FB30AC" w:rsidP="00857902">
      <w:pPr>
        <w:pStyle w:val="ListParagraph"/>
        <w:numPr>
          <w:ilvl w:val="0"/>
          <w:numId w:val="10"/>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Mbledhja e rregullt e Këshillit Kombëtar të Arsimit dhe Formimit Profesional.</w:t>
      </w:r>
    </w:p>
    <w:p w14:paraId="5CC326EF" w14:textId="77777777" w:rsidR="004F312A" w:rsidRPr="005208DC" w:rsidRDefault="004F312A" w:rsidP="00857902">
      <w:pPr>
        <w:snapToGrid w:val="0"/>
        <w:rPr>
          <w:rFonts w:asciiTheme="majorBidi" w:hAnsiTheme="majorBidi" w:cstheme="majorBidi"/>
          <w:color w:val="0D0D0D" w:themeColor="text1" w:themeTint="F2"/>
          <w:lang w:val="sq-AL"/>
        </w:rPr>
      </w:pPr>
    </w:p>
    <w:p w14:paraId="45B9943D" w14:textId="6440EBD2" w:rsidR="004F312A" w:rsidRPr="005208DC" w:rsidRDefault="00B2062A" w:rsidP="00857902">
      <w:pPr>
        <w:pStyle w:val="Heading6"/>
        <w:numPr>
          <w:ilvl w:val="0"/>
          <w:numId w:val="5"/>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Treguesit e rezultateve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0"/>
        <w:gridCol w:w="1848"/>
        <w:gridCol w:w="1848"/>
        <w:gridCol w:w="1848"/>
      </w:tblGrid>
      <w:tr w:rsidR="005208DC" w:rsidRPr="005208DC" w14:paraId="6DA6F6CF" w14:textId="77777777" w:rsidTr="00951D71">
        <w:tc>
          <w:tcPr>
            <w:tcW w:w="4090" w:type="dxa"/>
            <w:shd w:val="clear" w:color="auto" w:fill="auto"/>
          </w:tcPr>
          <w:p w14:paraId="2A9F09BF" w14:textId="35148BD9" w:rsidR="00951D71" w:rsidRPr="005208DC" w:rsidRDefault="00B2062A" w:rsidP="00857902">
            <w:pPr>
              <w:widowControl w:val="0"/>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w:t>
            </w:r>
          </w:p>
        </w:tc>
        <w:tc>
          <w:tcPr>
            <w:tcW w:w="1848" w:type="dxa"/>
            <w:shd w:val="clear" w:color="auto" w:fill="auto"/>
          </w:tcPr>
          <w:p w14:paraId="3840AD03" w14:textId="42A44E0D" w:rsidR="00951D71" w:rsidRPr="005208DC" w:rsidRDefault="00B2062A" w:rsidP="00857902">
            <w:pPr>
              <w:widowControl w:val="0"/>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Bazë</w:t>
            </w:r>
            <w:r w:rsidR="00951D71" w:rsidRPr="005208DC">
              <w:rPr>
                <w:rFonts w:asciiTheme="majorBidi" w:hAnsiTheme="majorBidi" w:cstheme="majorBidi"/>
                <w:color w:val="0D0D0D" w:themeColor="text1" w:themeTint="F2"/>
                <w:lang w:val="sq-AL"/>
              </w:rPr>
              <w:t xml:space="preserve"> (2022)</w:t>
            </w:r>
          </w:p>
        </w:tc>
        <w:tc>
          <w:tcPr>
            <w:tcW w:w="1848" w:type="dxa"/>
            <w:shd w:val="clear" w:color="auto" w:fill="auto"/>
          </w:tcPr>
          <w:p w14:paraId="631EEC0A" w14:textId="2355FC71" w:rsidR="00951D71" w:rsidRPr="005208DC" w:rsidRDefault="00B2062A" w:rsidP="00857902">
            <w:pPr>
              <w:widowControl w:val="0"/>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 ndërmjetëm</w:t>
            </w:r>
            <w:r w:rsidR="00951D71" w:rsidRPr="005208DC">
              <w:rPr>
                <w:rFonts w:asciiTheme="majorBidi" w:hAnsiTheme="majorBidi" w:cstheme="majorBidi"/>
                <w:color w:val="0D0D0D" w:themeColor="text1" w:themeTint="F2"/>
                <w:lang w:val="sq-AL"/>
              </w:rPr>
              <w:t xml:space="preserve"> (2023)</w:t>
            </w:r>
          </w:p>
        </w:tc>
        <w:tc>
          <w:tcPr>
            <w:tcW w:w="1848" w:type="dxa"/>
            <w:shd w:val="clear" w:color="auto" w:fill="auto"/>
          </w:tcPr>
          <w:p w14:paraId="4FDD08C9" w14:textId="41B1A1BB" w:rsidR="00951D71" w:rsidRPr="005208DC" w:rsidRDefault="00B2062A" w:rsidP="00857902">
            <w:pPr>
              <w:widowControl w:val="0"/>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Synimi</w:t>
            </w:r>
            <w:r w:rsidR="00951D71" w:rsidRPr="005208DC">
              <w:rPr>
                <w:rFonts w:asciiTheme="majorBidi" w:hAnsiTheme="majorBidi" w:cstheme="majorBidi"/>
                <w:color w:val="0D0D0D" w:themeColor="text1" w:themeTint="F2"/>
                <w:lang w:val="sq-AL"/>
              </w:rPr>
              <w:t xml:space="preserve"> (2024)</w:t>
            </w:r>
          </w:p>
        </w:tc>
      </w:tr>
      <w:tr w:rsidR="005208DC" w:rsidRPr="005208DC" w14:paraId="7FDA9476" w14:textId="77777777" w:rsidTr="00951D71">
        <w:tc>
          <w:tcPr>
            <w:tcW w:w="4090" w:type="dxa"/>
            <w:shd w:val="clear" w:color="auto" w:fill="auto"/>
          </w:tcPr>
          <w:p w14:paraId="395763B4" w14:textId="29FDD778" w:rsidR="00951D71" w:rsidRPr="005208DC" w:rsidRDefault="00FB30AC" w:rsidP="00857902">
            <w:pPr>
              <w:widowControl w:val="0"/>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e të diplomuarve tani në punësim</w:t>
            </w:r>
          </w:p>
        </w:tc>
        <w:tc>
          <w:tcPr>
            <w:tcW w:w="1848" w:type="dxa"/>
            <w:shd w:val="clear" w:color="auto" w:fill="auto"/>
          </w:tcPr>
          <w:p w14:paraId="6898B7A5" w14:textId="77777777" w:rsidR="00951D71" w:rsidRPr="005208DC" w:rsidRDefault="00951D71" w:rsidP="00857902">
            <w:pPr>
              <w:widowControl w:val="0"/>
              <w:snapToGrid w:val="0"/>
              <w:rPr>
                <w:rFonts w:asciiTheme="majorBidi" w:hAnsiTheme="majorBidi" w:cstheme="majorBidi"/>
                <w:color w:val="0D0D0D" w:themeColor="text1" w:themeTint="F2"/>
                <w:lang w:val="sq-AL"/>
              </w:rPr>
            </w:pPr>
          </w:p>
        </w:tc>
        <w:tc>
          <w:tcPr>
            <w:tcW w:w="1848" w:type="dxa"/>
            <w:shd w:val="clear" w:color="auto" w:fill="auto"/>
          </w:tcPr>
          <w:p w14:paraId="45CA2B2E" w14:textId="77777777" w:rsidR="00951D71" w:rsidRPr="005208DC" w:rsidRDefault="00951D71" w:rsidP="00857902">
            <w:pPr>
              <w:widowControl w:val="0"/>
              <w:snapToGrid w:val="0"/>
              <w:rPr>
                <w:rFonts w:asciiTheme="majorBidi" w:hAnsiTheme="majorBidi" w:cstheme="majorBidi"/>
                <w:color w:val="0D0D0D" w:themeColor="text1" w:themeTint="F2"/>
                <w:lang w:val="sq-AL"/>
              </w:rPr>
            </w:pPr>
          </w:p>
        </w:tc>
        <w:tc>
          <w:tcPr>
            <w:tcW w:w="1848" w:type="dxa"/>
            <w:shd w:val="clear" w:color="auto" w:fill="auto"/>
          </w:tcPr>
          <w:p w14:paraId="77E74F4F" w14:textId="77777777" w:rsidR="00951D71" w:rsidRPr="005208DC" w:rsidRDefault="00951D71" w:rsidP="00857902">
            <w:pPr>
              <w:widowControl w:val="0"/>
              <w:snapToGrid w:val="0"/>
              <w:rPr>
                <w:rFonts w:asciiTheme="majorBidi" w:hAnsiTheme="majorBidi" w:cstheme="majorBidi"/>
                <w:color w:val="0D0D0D" w:themeColor="text1" w:themeTint="F2"/>
                <w:lang w:val="sq-AL"/>
              </w:rPr>
            </w:pPr>
          </w:p>
        </w:tc>
      </w:tr>
      <w:tr w:rsidR="005208DC" w:rsidRPr="005208DC" w14:paraId="6BDAD7C2" w14:textId="77777777" w:rsidTr="00951D71">
        <w:tc>
          <w:tcPr>
            <w:tcW w:w="4090" w:type="dxa"/>
            <w:shd w:val="clear" w:color="auto" w:fill="auto"/>
          </w:tcPr>
          <w:p w14:paraId="7F7E825A" w14:textId="33A11B75" w:rsidR="00FB30AC" w:rsidRPr="005208DC" w:rsidRDefault="00FB30AC" w:rsidP="00857902">
            <w:pPr>
              <w:widowControl w:val="0"/>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Numri i mësuesve të trajnuar në trajnime gjatë gjithë jetës</w:t>
            </w:r>
          </w:p>
        </w:tc>
        <w:tc>
          <w:tcPr>
            <w:tcW w:w="1848" w:type="dxa"/>
            <w:shd w:val="clear" w:color="auto" w:fill="auto"/>
          </w:tcPr>
          <w:p w14:paraId="335BB0E8" w14:textId="6811DD4D" w:rsidR="00FB30AC" w:rsidRPr="005208DC" w:rsidRDefault="00FB30AC" w:rsidP="00857902">
            <w:pPr>
              <w:widowControl w:val="0"/>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170</w:t>
            </w:r>
          </w:p>
        </w:tc>
        <w:tc>
          <w:tcPr>
            <w:tcW w:w="1848" w:type="dxa"/>
            <w:shd w:val="clear" w:color="auto" w:fill="auto"/>
          </w:tcPr>
          <w:p w14:paraId="5F9E71A5" w14:textId="1063C431" w:rsidR="00FB30AC" w:rsidRPr="005208DC" w:rsidRDefault="00FB30AC" w:rsidP="00857902">
            <w:pPr>
              <w:widowControl w:val="0"/>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200</w:t>
            </w:r>
          </w:p>
        </w:tc>
        <w:tc>
          <w:tcPr>
            <w:tcW w:w="1848" w:type="dxa"/>
            <w:shd w:val="clear" w:color="auto" w:fill="auto"/>
          </w:tcPr>
          <w:p w14:paraId="5C7ABE13" w14:textId="5E6A50E2" w:rsidR="00FB30AC" w:rsidRPr="005208DC" w:rsidRDefault="00FB30AC" w:rsidP="00857902">
            <w:pPr>
              <w:widowControl w:val="0"/>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200</w:t>
            </w:r>
          </w:p>
        </w:tc>
      </w:tr>
      <w:tr w:rsidR="005208DC" w:rsidRPr="005208DC" w14:paraId="3B08B82C" w14:textId="77777777" w:rsidTr="00951D71">
        <w:tc>
          <w:tcPr>
            <w:tcW w:w="4090" w:type="dxa"/>
            <w:shd w:val="clear" w:color="auto" w:fill="auto"/>
          </w:tcPr>
          <w:p w14:paraId="45942D28" w14:textId="140F8D01" w:rsidR="00FB30AC" w:rsidRPr="005208DC" w:rsidRDefault="00FB30AC" w:rsidP="00857902">
            <w:pPr>
              <w:widowControl w:val="0"/>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Numri i regjistrimeve në AP dhe % e nxënësve që ndjekin arsimin e mesëm të lartë</w:t>
            </w:r>
          </w:p>
        </w:tc>
        <w:tc>
          <w:tcPr>
            <w:tcW w:w="1848" w:type="dxa"/>
            <w:shd w:val="clear" w:color="auto" w:fill="auto"/>
          </w:tcPr>
          <w:p w14:paraId="60951EC9" w14:textId="2FADDA13" w:rsidR="00FB30AC" w:rsidRPr="005208DC" w:rsidRDefault="00FB30AC" w:rsidP="00857902">
            <w:pPr>
              <w:widowControl w:val="0"/>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17.5%</w:t>
            </w:r>
          </w:p>
        </w:tc>
        <w:tc>
          <w:tcPr>
            <w:tcW w:w="1848" w:type="dxa"/>
            <w:shd w:val="clear" w:color="auto" w:fill="auto"/>
          </w:tcPr>
          <w:p w14:paraId="53CAFB41" w14:textId="3B93DAED" w:rsidR="00FB30AC" w:rsidRPr="005208DC" w:rsidRDefault="00FB30AC" w:rsidP="00857902">
            <w:pPr>
              <w:widowControl w:val="0"/>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18%</w:t>
            </w:r>
          </w:p>
        </w:tc>
        <w:tc>
          <w:tcPr>
            <w:tcW w:w="1848" w:type="dxa"/>
            <w:shd w:val="clear" w:color="auto" w:fill="auto"/>
          </w:tcPr>
          <w:p w14:paraId="2D15DE95" w14:textId="32428FA3" w:rsidR="00FB30AC" w:rsidRPr="005208DC" w:rsidRDefault="00FB30AC" w:rsidP="00857902">
            <w:pPr>
              <w:widowControl w:val="0"/>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18.2%</w:t>
            </w:r>
          </w:p>
        </w:tc>
      </w:tr>
      <w:tr w:rsidR="005208DC" w:rsidRPr="005208DC" w14:paraId="1E8F5B50" w14:textId="77777777" w:rsidTr="00951D71">
        <w:tc>
          <w:tcPr>
            <w:tcW w:w="4090" w:type="dxa"/>
            <w:shd w:val="clear" w:color="auto" w:fill="auto"/>
          </w:tcPr>
          <w:p w14:paraId="588E32BF" w14:textId="2AFBAC59" w:rsidR="00FB30AC" w:rsidRPr="005208DC" w:rsidRDefault="00FB30AC" w:rsidP="00857902">
            <w:pPr>
              <w:widowControl w:val="0"/>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e nxënësve femra që ndjekin shkollat e arsimit të lartë</w:t>
            </w:r>
          </w:p>
        </w:tc>
        <w:tc>
          <w:tcPr>
            <w:tcW w:w="1848" w:type="dxa"/>
            <w:shd w:val="clear" w:color="auto" w:fill="auto"/>
          </w:tcPr>
          <w:p w14:paraId="623D9D28" w14:textId="3E8D3C61" w:rsidR="00FB30AC" w:rsidRPr="005208DC" w:rsidRDefault="00FB30AC" w:rsidP="00857902">
            <w:pPr>
              <w:widowControl w:val="0"/>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16.7%</w:t>
            </w:r>
          </w:p>
        </w:tc>
        <w:tc>
          <w:tcPr>
            <w:tcW w:w="1848" w:type="dxa"/>
            <w:shd w:val="clear" w:color="auto" w:fill="auto"/>
          </w:tcPr>
          <w:p w14:paraId="70C2E437" w14:textId="4B5218C0" w:rsidR="00FB30AC" w:rsidRPr="005208DC" w:rsidRDefault="00FB30AC" w:rsidP="00857902">
            <w:pPr>
              <w:widowControl w:val="0"/>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17%</w:t>
            </w:r>
          </w:p>
        </w:tc>
        <w:tc>
          <w:tcPr>
            <w:tcW w:w="1848" w:type="dxa"/>
            <w:shd w:val="clear" w:color="auto" w:fill="auto"/>
          </w:tcPr>
          <w:p w14:paraId="7FBA0644" w14:textId="278C4A7A" w:rsidR="00FB30AC" w:rsidRPr="005208DC" w:rsidRDefault="00FB30AC" w:rsidP="00857902">
            <w:pPr>
              <w:widowControl w:val="0"/>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17.3%</w:t>
            </w:r>
          </w:p>
        </w:tc>
      </w:tr>
    </w:tbl>
    <w:p w14:paraId="65EA03BF" w14:textId="77777777" w:rsidR="00951D71" w:rsidRPr="005208DC" w:rsidRDefault="00951D71" w:rsidP="00857902">
      <w:pPr>
        <w:snapToGrid w:val="0"/>
        <w:rPr>
          <w:rFonts w:asciiTheme="majorBidi" w:hAnsiTheme="majorBidi" w:cstheme="majorBidi"/>
          <w:color w:val="0D0D0D" w:themeColor="text1" w:themeTint="F2"/>
          <w:lang w:val="sq-AL"/>
        </w:rPr>
      </w:pPr>
    </w:p>
    <w:p w14:paraId="210C973A" w14:textId="2CF458D2" w:rsidR="004F312A" w:rsidRPr="005208DC" w:rsidRDefault="00B2062A" w:rsidP="00857902">
      <w:pPr>
        <w:pStyle w:val="Heading6"/>
        <w:numPr>
          <w:ilvl w:val="0"/>
          <w:numId w:val="5"/>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konkurrueshmëri</w:t>
      </w:r>
    </w:p>
    <w:p w14:paraId="3F925867" w14:textId="1243C067" w:rsidR="00FB30AC" w:rsidRPr="005208DC" w:rsidRDefault="00FB30AC"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Reforma synon t'i pajisë të rinjtë me trajnimet, aftësitë dhe kualifikimet e nevojshme për të konkurruar në tregun e punës dhe për të rritur mundësitë e tyre të punësimit. Një fuqi punëtore e kualifikuar është një parakusht për tërheqjen e investimeve të bazuara në teknologji, zhvillimin e mëtejshëm të sektorëve shqiptarë me avantazhe krahasuese dhe/ose mundësi dhe pika të forta dhe një faktor i rëndësishëm që stimulon flukset hyrëse të IHD-ve.</w:t>
      </w:r>
    </w:p>
    <w:p w14:paraId="44A31611" w14:textId="77777777" w:rsidR="00FB30AC" w:rsidRPr="005208DC" w:rsidRDefault="00FB30AC" w:rsidP="00857902">
      <w:pPr>
        <w:snapToGrid w:val="0"/>
        <w:rPr>
          <w:rFonts w:asciiTheme="majorBidi" w:hAnsiTheme="majorBidi" w:cstheme="majorBidi"/>
          <w:color w:val="0D0D0D" w:themeColor="text1" w:themeTint="F2"/>
          <w:lang w:val="sq-AL"/>
        </w:rPr>
      </w:pPr>
    </w:p>
    <w:p w14:paraId="1EEA2516" w14:textId="62FDF391" w:rsidR="004F312A" w:rsidRPr="005208DC" w:rsidRDefault="00B2062A" w:rsidP="00857902">
      <w:pPr>
        <w:pStyle w:val="Heading6"/>
        <w:numPr>
          <w:ilvl w:val="0"/>
          <w:numId w:val="5"/>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Kosto e parashikuar e aktiviteteve dhe burimi i financimit</w:t>
      </w:r>
    </w:p>
    <w:p w14:paraId="7E939963" w14:textId="6B4FDC35" w:rsidR="00FB30AC" w:rsidRPr="005208DC" w:rsidRDefault="00FB30AC"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Shpenzimet për zbatimin e masave të AFP-së janë të përfshira në Programin Buxhetor Afatmesëm. Buxheti afatmesëm 2022-2024 është në proces miratimi.</w:t>
      </w:r>
    </w:p>
    <w:p w14:paraId="7F706E29" w14:textId="77777777" w:rsidR="00FB30AC" w:rsidRPr="005208DC" w:rsidRDefault="00FB30AC" w:rsidP="00857902">
      <w:pPr>
        <w:snapToGrid w:val="0"/>
        <w:rPr>
          <w:rFonts w:asciiTheme="majorBidi" w:hAnsiTheme="majorBidi" w:cstheme="majorBidi"/>
          <w:color w:val="0D0D0D" w:themeColor="text1" w:themeTint="F2"/>
          <w:lang w:val="sq-AL"/>
        </w:rPr>
      </w:pPr>
    </w:p>
    <w:p w14:paraId="3E3DF1E5" w14:textId="7BF38394" w:rsidR="004F312A" w:rsidRPr="005208DC" w:rsidRDefault="00B2062A" w:rsidP="00857902">
      <w:pPr>
        <w:pStyle w:val="Heading6"/>
        <w:numPr>
          <w:ilvl w:val="0"/>
          <w:numId w:val="5"/>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përfundimet sociale si punësimi, ulja e varfërisë, barazia gjinore dhe aksesi në kujdesin shëndetësor</w:t>
      </w:r>
    </w:p>
    <w:p w14:paraId="4D0C438D" w14:textId="0F406AA5" w:rsidR="00FB30AC" w:rsidRPr="005208DC" w:rsidRDefault="00FB30AC"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Reforma synon të sigurojë arsim gjithëpërfshirës dhe me cilësi të barabartë dhe të promovojë mundësitë e të mësuarit gjatë gjithë jetës për të gjithë. Gjithashtu, rifokusi synon zhvillimin e aftësive, veçanërisht në lidhje me aksesin në aftësitë profesionale për punësim, punë të denjë dhe sipërmarrje; eliminimi i pabarazisë gjinore dhe sigurimi i aksesit për shtresat vulnerabël.</w:t>
      </w:r>
    </w:p>
    <w:p w14:paraId="6A884F37" w14:textId="77777777" w:rsidR="00FB30AC" w:rsidRPr="005208DC" w:rsidRDefault="00FB30AC" w:rsidP="00857902">
      <w:pPr>
        <w:snapToGrid w:val="0"/>
        <w:rPr>
          <w:rFonts w:asciiTheme="majorBidi" w:hAnsiTheme="majorBidi" w:cstheme="majorBidi"/>
          <w:color w:val="0D0D0D" w:themeColor="text1" w:themeTint="F2"/>
          <w:lang w:val="sq-AL"/>
        </w:rPr>
      </w:pPr>
    </w:p>
    <w:p w14:paraId="11CB8819" w14:textId="5621E79E" w:rsidR="004F312A" w:rsidRPr="005208DC" w:rsidRDefault="00B2062A" w:rsidP="00857902">
      <w:pPr>
        <w:pStyle w:val="Heading6"/>
        <w:numPr>
          <w:ilvl w:val="0"/>
          <w:numId w:val="5"/>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mjedis dhe ndryshimi i klimës</w:t>
      </w:r>
    </w:p>
    <w:p w14:paraId="36009D0F" w14:textId="4CE9231E" w:rsidR="00FB30AC" w:rsidRPr="005208DC" w:rsidRDefault="00FB30AC"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Masa e reformës nuk pritet të ketë ndikim në mjedis.</w:t>
      </w:r>
    </w:p>
    <w:p w14:paraId="50962390" w14:textId="77777777" w:rsidR="00FB30AC" w:rsidRPr="005208DC" w:rsidRDefault="00FB30AC" w:rsidP="00857902">
      <w:pPr>
        <w:snapToGrid w:val="0"/>
        <w:rPr>
          <w:rFonts w:asciiTheme="majorBidi" w:hAnsiTheme="majorBidi" w:cstheme="majorBidi"/>
          <w:color w:val="0D0D0D" w:themeColor="text1" w:themeTint="F2"/>
          <w:lang w:val="sq-AL"/>
        </w:rPr>
      </w:pPr>
    </w:p>
    <w:p w14:paraId="7B1C85CA" w14:textId="225CFC3D" w:rsidR="004F312A" w:rsidRPr="005208DC" w:rsidRDefault="00B2062A" w:rsidP="00857902">
      <w:pPr>
        <w:pStyle w:val="Heading6"/>
        <w:numPr>
          <w:ilvl w:val="0"/>
          <w:numId w:val="5"/>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Rreziqet e mundshme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5"/>
        <w:gridCol w:w="1556"/>
        <w:gridCol w:w="4215"/>
      </w:tblGrid>
      <w:tr w:rsidR="005208DC" w:rsidRPr="005208DC" w14:paraId="1218059C" w14:textId="77777777" w:rsidTr="008E61CF">
        <w:tc>
          <w:tcPr>
            <w:tcW w:w="3805" w:type="dxa"/>
            <w:shd w:val="clear" w:color="auto" w:fill="auto"/>
          </w:tcPr>
          <w:p w14:paraId="09329355" w14:textId="0AF715D7" w:rsidR="00951D71" w:rsidRPr="005208DC" w:rsidRDefault="00B2062A" w:rsidP="00857902">
            <w:pPr>
              <w:widowControl w:val="0"/>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Rreziku</w:t>
            </w:r>
          </w:p>
        </w:tc>
        <w:tc>
          <w:tcPr>
            <w:tcW w:w="1556" w:type="dxa"/>
            <w:shd w:val="clear" w:color="auto" w:fill="auto"/>
          </w:tcPr>
          <w:p w14:paraId="744AEB22" w14:textId="651A6223" w:rsidR="00951D71" w:rsidRPr="005208DC" w:rsidRDefault="00B2062A" w:rsidP="00857902">
            <w:pPr>
              <w:widowControl w:val="0"/>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Mundësia</w:t>
            </w:r>
            <w:r w:rsidR="00951D71" w:rsidRPr="005208DC">
              <w:rPr>
                <w:rFonts w:asciiTheme="majorBidi" w:hAnsiTheme="majorBidi" w:cstheme="majorBidi"/>
                <w:color w:val="0D0D0D" w:themeColor="text1" w:themeTint="F2"/>
                <w:lang w:val="sq-AL"/>
              </w:rPr>
              <w:t xml:space="preserve"> (</w:t>
            </w:r>
            <w:r w:rsidRPr="005208DC">
              <w:rPr>
                <w:rFonts w:asciiTheme="majorBidi" w:hAnsiTheme="majorBidi" w:cstheme="majorBidi"/>
                <w:color w:val="0D0D0D" w:themeColor="text1" w:themeTint="F2"/>
                <w:lang w:val="sq-AL"/>
              </w:rPr>
              <w:t>e ulët, e lartë</w:t>
            </w:r>
            <w:r w:rsidR="00951D71" w:rsidRPr="005208DC">
              <w:rPr>
                <w:rFonts w:asciiTheme="majorBidi" w:hAnsiTheme="majorBidi" w:cstheme="majorBidi"/>
                <w:color w:val="0D0D0D" w:themeColor="text1" w:themeTint="F2"/>
                <w:lang w:val="sq-AL"/>
              </w:rPr>
              <w:t>)</w:t>
            </w:r>
          </w:p>
        </w:tc>
        <w:tc>
          <w:tcPr>
            <w:tcW w:w="4215" w:type="dxa"/>
            <w:shd w:val="clear" w:color="auto" w:fill="auto"/>
          </w:tcPr>
          <w:p w14:paraId="792B6D96" w14:textId="55095776" w:rsidR="00951D71" w:rsidRPr="005208DC" w:rsidRDefault="00B2062A" w:rsidP="00857902">
            <w:pPr>
              <w:widowControl w:val="0"/>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Veprimi zbutës i parashikuar</w:t>
            </w:r>
          </w:p>
        </w:tc>
      </w:tr>
      <w:tr w:rsidR="005208DC" w:rsidRPr="005208DC" w14:paraId="3A5727DA" w14:textId="77777777" w:rsidTr="008E61CF">
        <w:tc>
          <w:tcPr>
            <w:tcW w:w="3805" w:type="dxa"/>
            <w:shd w:val="clear" w:color="auto" w:fill="auto"/>
          </w:tcPr>
          <w:p w14:paraId="3E9BFDB9" w14:textId="7DDB58DA" w:rsidR="00951D71" w:rsidRPr="005208DC" w:rsidRDefault="00FB30AC" w:rsidP="00857902">
            <w:pPr>
              <w:widowControl w:val="0"/>
              <w:rPr>
                <w:rFonts w:asciiTheme="majorBidi"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Disponueshmëria e pamjaftueshme për trajnim/praktikë në punë në treg.</w:t>
            </w:r>
          </w:p>
        </w:tc>
        <w:tc>
          <w:tcPr>
            <w:tcW w:w="1556" w:type="dxa"/>
            <w:shd w:val="clear" w:color="auto" w:fill="auto"/>
          </w:tcPr>
          <w:p w14:paraId="01618A10" w14:textId="48430CD0" w:rsidR="00951D71" w:rsidRPr="005208DC" w:rsidRDefault="00FB30AC" w:rsidP="00857902">
            <w:pPr>
              <w:widowControl w:val="0"/>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E ulët</w:t>
            </w:r>
          </w:p>
        </w:tc>
        <w:tc>
          <w:tcPr>
            <w:tcW w:w="4215" w:type="dxa"/>
            <w:shd w:val="clear" w:color="auto" w:fill="auto"/>
            <w:vAlign w:val="center"/>
          </w:tcPr>
          <w:p w14:paraId="15FA31DA" w14:textId="18946FCA" w:rsidR="00951D71" w:rsidRPr="005208DC" w:rsidRDefault="009C6BEF" w:rsidP="00857902">
            <w:pPr>
              <w:widowControl w:val="0"/>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Fushata sensibilizuese për bizneset për njohjen dhe zbatimin e rregullores së të mësuarit në vendin e punës.</w:t>
            </w:r>
          </w:p>
        </w:tc>
      </w:tr>
      <w:tr w:rsidR="005208DC" w:rsidRPr="005208DC" w14:paraId="5EEB8E72" w14:textId="77777777" w:rsidTr="008E61CF">
        <w:tc>
          <w:tcPr>
            <w:tcW w:w="3805" w:type="dxa"/>
            <w:shd w:val="clear" w:color="auto" w:fill="auto"/>
          </w:tcPr>
          <w:p w14:paraId="3CA0A941" w14:textId="131357ED" w:rsidR="00951D71" w:rsidRPr="005208DC" w:rsidRDefault="00FB30AC" w:rsidP="00857902">
            <w:pPr>
              <w:widowControl w:val="0"/>
              <w:rPr>
                <w:rFonts w:asciiTheme="majorBidi" w:hAnsiTheme="majorBidi" w:cstheme="majorBidi"/>
                <w:color w:val="0D0D0D" w:themeColor="text1" w:themeTint="F2"/>
                <w:lang w:val="sq-AL" w:eastAsia="sq-AL"/>
              </w:rPr>
            </w:pPr>
            <w:r w:rsidRPr="005208DC">
              <w:rPr>
                <w:rFonts w:asciiTheme="majorBidi" w:eastAsia="Times New Roman" w:hAnsiTheme="majorBidi" w:cstheme="majorBidi"/>
                <w:color w:val="0D0D0D" w:themeColor="text1" w:themeTint="F2"/>
                <w:lang w:val="sq-AL"/>
              </w:rPr>
              <w:t>Ngurrimi i mësuesve për të marrë pjesë në trajnime të vazhdueshme.</w:t>
            </w:r>
          </w:p>
        </w:tc>
        <w:tc>
          <w:tcPr>
            <w:tcW w:w="1556" w:type="dxa"/>
            <w:shd w:val="clear" w:color="auto" w:fill="auto"/>
          </w:tcPr>
          <w:p w14:paraId="7A89F6AE" w14:textId="25610F5A" w:rsidR="00951D71" w:rsidRPr="005208DC" w:rsidRDefault="00FB30AC" w:rsidP="00857902">
            <w:pPr>
              <w:widowControl w:val="0"/>
              <w:snapToGrid w:val="0"/>
              <w:rPr>
                <w:rFonts w:asciiTheme="majorBidi" w:hAnsiTheme="majorBidi" w:cstheme="majorBidi"/>
                <w:color w:val="0D0D0D" w:themeColor="text1" w:themeTint="F2"/>
                <w:lang w:val="sq-AL" w:eastAsia="sq-AL"/>
              </w:rPr>
            </w:pPr>
            <w:r w:rsidRPr="005208DC">
              <w:rPr>
                <w:rFonts w:asciiTheme="majorBidi" w:hAnsiTheme="majorBidi" w:cstheme="majorBidi"/>
                <w:color w:val="0D0D0D" w:themeColor="text1" w:themeTint="F2"/>
                <w:lang w:val="sq-AL"/>
              </w:rPr>
              <w:t>E ulët</w:t>
            </w:r>
          </w:p>
        </w:tc>
        <w:tc>
          <w:tcPr>
            <w:tcW w:w="4215" w:type="dxa"/>
            <w:shd w:val="clear" w:color="auto" w:fill="auto"/>
            <w:vAlign w:val="center"/>
          </w:tcPr>
          <w:p w14:paraId="19C969C6" w14:textId="1EFAB430" w:rsidR="00951D71" w:rsidRPr="005208DC" w:rsidRDefault="009C6BEF" w:rsidP="00857902">
            <w:pPr>
              <w:widowControl w:val="0"/>
              <w:snapToGrid w:val="0"/>
              <w:rPr>
                <w:rFonts w:asciiTheme="majorBidi" w:hAnsiTheme="majorBidi" w:cstheme="majorBidi"/>
                <w:color w:val="0D0D0D" w:themeColor="text1" w:themeTint="F2"/>
                <w:lang w:val="sq-AL" w:eastAsia="sq-AL"/>
              </w:rPr>
            </w:pPr>
            <w:r w:rsidRPr="005208DC">
              <w:rPr>
                <w:rFonts w:asciiTheme="majorBidi" w:hAnsiTheme="majorBidi" w:cstheme="majorBidi"/>
                <w:color w:val="0D0D0D" w:themeColor="text1" w:themeTint="F2"/>
                <w:lang w:val="sq-AL" w:eastAsia="sq-AL"/>
              </w:rPr>
              <w:t>Informacion në ofruesit e AFP-së për rëndësinë e trajnimit të vazhdueshëm. Zbatimi i masave promovuese për shpërblimin e kualifikimeve në pagë.</w:t>
            </w:r>
          </w:p>
        </w:tc>
      </w:tr>
      <w:tr w:rsidR="005208DC" w:rsidRPr="005208DC" w14:paraId="5A11FB0C" w14:textId="77777777" w:rsidTr="008E61CF">
        <w:tc>
          <w:tcPr>
            <w:tcW w:w="3805" w:type="dxa"/>
            <w:shd w:val="clear" w:color="auto" w:fill="auto"/>
          </w:tcPr>
          <w:p w14:paraId="0DC48A20" w14:textId="3FFAEC6A" w:rsidR="00951D71" w:rsidRPr="005208DC" w:rsidRDefault="00FB30AC" w:rsidP="00857902">
            <w:pPr>
              <w:widowControl w:val="0"/>
              <w:rPr>
                <w:rFonts w:asciiTheme="majorBidi" w:hAnsiTheme="majorBidi" w:cstheme="majorBidi"/>
                <w:color w:val="0D0D0D" w:themeColor="text1" w:themeTint="F2"/>
                <w:lang w:val="sq-AL" w:eastAsia="sq-AL"/>
              </w:rPr>
            </w:pPr>
            <w:r w:rsidRPr="005208DC">
              <w:rPr>
                <w:rFonts w:asciiTheme="majorBidi" w:eastAsia="Times New Roman" w:hAnsiTheme="majorBidi" w:cstheme="majorBidi"/>
                <w:color w:val="0D0D0D" w:themeColor="text1" w:themeTint="F2"/>
                <w:lang w:val="sq-AL"/>
              </w:rPr>
              <w:t>Niveli joadekuat i koordinimit me bizneset për mbështetje më të mirë në AAP.</w:t>
            </w:r>
          </w:p>
        </w:tc>
        <w:tc>
          <w:tcPr>
            <w:tcW w:w="1556" w:type="dxa"/>
            <w:shd w:val="clear" w:color="auto" w:fill="auto"/>
          </w:tcPr>
          <w:p w14:paraId="47F3B7E1" w14:textId="1796B2FC" w:rsidR="00951D71" w:rsidRPr="005208DC" w:rsidRDefault="00FB30AC" w:rsidP="00857902">
            <w:pPr>
              <w:widowControl w:val="0"/>
              <w:snapToGrid w:val="0"/>
              <w:rPr>
                <w:rFonts w:asciiTheme="majorBidi" w:hAnsiTheme="majorBidi" w:cstheme="majorBidi"/>
                <w:color w:val="0D0D0D" w:themeColor="text1" w:themeTint="F2"/>
                <w:lang w:val="sq-AL" w:eastAsia="sq-AL"/>
              </w:rPr>
            </w:pPr>
            <w:r w:rsidRPr="005208DC">
              <w:rPr>
                <w:rFonts w:asciiTheme="majorBidi" w:hAnsiTheme="majorBidi" w:cstheme="majorBidi"/>
                <w:color w:val="0D0D0D" w:themeColor="text1" w:themeTint="F2"/>
                <w:lang w:val="sq-AL" w:eastAsia="sq-AL"/>
              </w:rPr>
              <w:t>E mesme</w:t>
            </w:r>
          </w:p>
        </w:tc>
        <w:tc>
          <w:tcPr>
            <w:tcW w:w="4215" w:type="dxa"/>
            <w:shd w:val="clear" w:color="auto" w:fill="auto"/>
          </w:tcPr>
          <w:p w14:paraId="6BE20CCD" w14:textId="00492C99" w:rsidR="00951D71" w:rsidRPr="005208DC" w:rsidRDefault="009C6BEF" w:rsidP="00857902">
            <w:pPr>
              <w:widowControl w:val="0"/>
              <w:snapToGrid w:val="0"/>
              <w:rPr>
                <w:rFonts w:asciiTheme="majorBidi" w:hAnsiTheme="majorBidi" w:cstheme="majorBidi"/>
                <w:color w:val="0D0D0D" w:themeColor="text1" w:themeTint="F2"/>
                <w:lang w:val="sq-AL" w:eastAsia="sq-AL"/>
              </w:rPr>
            </w:pPr>
            <w:r w:rsidRPr="005208DC">
              <w:rPr>
                <w:rFonts w:asciiTheme="majorBidi" w:hAnsiTheme="majorBidi" w:cstheme="majorBidi"/>
                <w:color w:val="0D0D0D" w:themeColor="text1" w:themeTint="F2"/>
                <w:lang w:val="sq-AL" w:eastAsia="sq-AL"/>
              </w:rPr>
              <w:t>Forcimi i rolit të njësisë së zhvillimit të ofruesve dhe shoqatave të biznesit duke rritur kapacitetin e koordinatorëve të biznesit.</w:t>
            </w:r>
          </w:p>
        </w:tc>
      </w:tr>
      <w:tr w:rsidR="005208DC" w:rsidRPr="005208DC" w14:paraId="3BF562F1" w14:textId="77777777" w:rsidTr="008E61CF">
        <w:tc>
          <w:tcPr>
            <w:tcW w:w="3805" w:type="dxa"/>
            <w:shd w:val="clear" w:color="auto" w:fill="auto"/>
          </w:tcPr>
          <w:p w14:paraId="7ED8EED2" w14:textId="526006F1" w:rsidR="00951D71" w:rsidRPr="005208DC" w:rsidRDefault="00FB30AC" w:rsidP="00857902">
            <w:pPr>
              <w:snapToGrid w:val="0"/>
              <w:jc w:val="both"/>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Mungesa e vlerësimit specifik rajonal për aftësitë që mungojnë në tregun e punës.</w:t>
            </w:r>
          </w:p>
        </w:tc>
        <w:tc>
          <w:tcPr>
            <w:tcW w:w="1556" w:type="dxa"/>
            <w:shd w:val="clear" w:color="auto" w:fill="auto"/>
          </w:tcPr>
          <w:p w14:paraId="634EEAF8" w14:textId="40C2E63E" w:rsidR="00951D71" w:rsidRPr="005208DC" w:rsidRDefault="00FB30AC" w:rsidP="00857902">
            <w:pPr>
              <w:widowControl w:val="0"/>
              <w:snapToGrid w:val="0"/>
              <w:rPr>
                <w:rFonts w:asciiTheme="majorBidi" w:hAnsiTheme="majorBidi" w:cstheme="majorBidi"/>
                <w:color w:val="0D0D0D" w:themeColor="text1" w:themeTint="F2"/>
                <w:lang w:val="sq-AL" w:eastAsia="sq-AL"/>
              </w:rPr>
            </w:pPr>
            <w:r w:rsidRPr="005208DC">
              <w:rPr>
                <w:rFonts w:asciiTheme="majorBidi" w:hAnsiTheme="majorBidi" w:cstheme="majorBidi"/>
                <w:color w:val="0D0D0D" w:themeColor="text1" w:themeTint="F2"/>
                <w:lang w:val="sq-AL" w:eastAsia="sq-AL"/>
              </w:rPr>
              <w:t>E mesme</w:t>
            </w:r>
          </w:p>
        </w:tc>
        <w:tc>
          <w:tcPr>
            <w:tcW w:w="4215" w:type="dxa"/>
            <w:shd w:val="clear" w:color="auto" w:fill="auto"/>
          </w:tcPr>
          <w:p w14:paraId="65990F86" w14:textId="52E11FD7" w:rsidR="00951D71" w:rsidRPr="005208DC" w:rsidRDefault="00405262" w:rsidP="00857902">
            <w:pPr>
              <w:widowControl w:val="0"/>
              <w:snapToGrid w:val="0"/>
              <w:rPr>
                <w:rFonts w:asciiTheme="majorBidi" w:hAnsiTheme="majorBidi" w:cstheme="majorBidi"/>
                <w:color w:val="0D0D0D" w:themeColor="text1" w:themeTint="F2"/>
                <w:lang w:val="sq-AL" w:eastAsia="sq-AL"/>
              </w:rPr>
            </w:pPr>
            <w:r w:rsidRPr="005208DC">
              <w:rPr>
                <w:rFonts w:asciiTheme="majorBidi" w:hAnsiTheme="majorBidi" w:cstheme="majorBidi"/>
                <w:color w:val="0D0D0D" w:themeColor="text1" w:themeTint="F2"/>
                <w:lang w:val="sq-AL" w:eastAsia="sq-AL"/>
              </w:rPr>
              <w:t>Studim mbi aftësitë që mungojnë në tregun rajonal të punës.</w:t>
            </w:r>
          </w:p>
        </w:tc>
      </w:tr>
      <w:tr w:rsidR="005208DC" w:rsidRPr="005208DC" w14:paraId="36F56B4B" w14:textId="77777777" w:rsidTr="008E61CF">
        <w:tc>
          <w:tcPr>
            <w:tcW w:w="3805" w:type="dxa"/>
            <w:shd w:val="clear" w:color="auto" w:fill="auto"/>
          </w:tcPr>
          <w:p w14:paraId="4FE19A88" w14:textId="42EDFD6C" w:rsidR="00951D71" w:rsidRPr="005208DC" w:rsidRDefault="00FB30AC" w:rsidP="00857902">
            <w:pPr>
              <w:widowControl w:val="0"/>
              <w:rPr>
                <w:rFonts w:asciiTheme="majorBidi" w:hAnsiTheme="majorBidi" w:cstheme="majorBidi"/>
                <w:color w:val="0D0D0D" w:themeColor="text1" w:themeTint="F2"/>
                <w:lang w:val="sq-AL" w:eastAsia="sq-AL"/>
              </w:rPr>
            </w:pPr>
            <w:r w:rsidRPr="005208DC">
              <w:rPr>
                <w:rFonts w:asciiTheme="majorBidi" w:eastAsia="Times New Roman" w:hAnsiTheme="majorBidi" w:cstheme="majorBidi"/>
                <w:color w:val="0D0D0D" w:themeColor="text1" w:themeTint="F2"/>
                <w:lang w:val="sq-AL"/>
              </w:rPr>
              <w:t>Mungesa e pajisjeve të teknologjisë së lartë</w:t>
            </w:r>
          </w:p>
        </w:tc>
        <w:tc>
          <w:tcPr>
            <w:tcW w:w="1556" w:type="dxa"/>
            <w:shd w:val="clear" w:color="auto" w:fill="auto"/>
          </w:tcPr>
          <w:p w14:paraId="1CF22B3A" w14:textId="1007BC7B" w:rsidR="00951D71" w:rsidRPr="005208DC" w:rsidRDefault="00FB30AC" w:rsidP="00857902">
            <w:pPr>
              <w:widowControl w:val="0"/>
              <w:snapToGrid w:val="0"/>
              <w:rPr>
                <w:rFonts w:asciiTheme="majorBidi" w:hAnsiTheme="majorBidi" w:cstheme="majorBidi"/>
                <w:color w:val="0D0D0D" w:themeColor="text1" w:themeTint="F2"/>
                <w:lang w:val="sq-AL" w:eastAsia="sq-AL"/>
              </w:rPr>
            </w:pPr>
            <w:r w:rsidRPr="005208DC">
              <w:rPr>
                <w:rFonts w:asciiTheme="majorBidi" w:hAnsiTheme="majorBidi" w:cstheme="majorBidi"/>
                <w:color w:val="0D0D0D" w:themeColor="text1" w:themeTint="F2"/>
                <w:lang w:val="sq-AL" w:eastAsia="sq-AL"/>
              </w:rPr>
              <w:t>E mesme</w:t>
            </w:r>
          </w:p>
        </w:tc>
        <w:tc>
          <w:tcPr>
            <w:tcW w:w="4215" w:type="dxa"/>
            <w:shd w:val="clear" w:color="auto" w:fill="auto"/>
          </w:tcPr>
          <w:p w14:paraId="1170FF0E" w14:textId="096A1B34" w:rsidR="00951D71" w:rsidRPr="005208DC" w:rsidRDefault="00405262" w:rsidP="00857902">
            <w:pPr>
              <w:widowControl w:val="0"/>
              <w:snapToGrid w:val="0"/>
              <w:rPr>
                <w:rFonts w:asciiTheme="majorBidi" w:hAnsiTheme="majorBidi" w:cstheme="majorBidi"/>
                <w:color w:val="0D0D0D" w:themeColor="text1" w:themeTint="F2"/>
                <w:lang w:val="sq-AL" w:eastAsia="sq-AL"/>
              </w:rPr>
            </w:pPr>
            <w:r w:rsidRPr="005208DC">
              <w:rPr>
                <w:rFonts w:asciiTheme="majorBidi" w:hAnsiTheme="majorBidi" w:cstheme="majorBidi"/>
                <w:color w:val="0D0D0D" w:themeColor="text1" w:themeTint="F2"/>
                <w:lang w:val="sq-AL" w:eastAsia="sq-AL"/>
              </w:rPr>
              <w:t>Identifikimi, planifikimi i nevojave dhe kostove për pajisjen e ofruesve të AFP-së për dixhitalizim dhe fokus dhe investime për rritjen e teknologjisë.</w:t>
            </w:r>
          </w:p>
        </w:tc>
      </w:tr>
    </w:tbl>
    <w:p w14:paraId="605A92BD" w14:textId="77777777" w:rsidR="00FB30AC" w:rsidRPr="005208DC" w:rsidRDefault="00FB30AC" w:rsidP="00857902">
      <w:pPr>
        <w:snapToGrid w:val="0"/>
        <w:jc w:val="both"/>
        <w:rPr>
          <w:rFonts w:asciiTheme="majorBidi" w:eastAsia="Times New Roman" w:hAnsiTheme="majorBidi" w:cstheme="majorBidi"/>
          <w:color w:val="0D0D0D" w:themeColor="text1" w:themeTint="F2"/>
          <w:lang w:val="sq-AL"/>
        </w:rPr>
      </w:pPr>
    </w:p>
    <w:p w14:paraId="341C8559" w14:textId="77777777" w:rsidR="00951D71" w:rsidRPr="005208DC" w:rsidRDefault="00951D71" w:rsidP="00857902">
      <w:pPr>
        <w:snapToGrid w:val="0"/>
        <w:jc w:val="both"/>
        <w:rPr>
          <w:rFonts w:asciiTheme="majorBidi" w:eastAsia="Times New Roman" w:hAnsiTheme="majorBidi" w:cstheme="majorBidi"/>
          <w:color w:val="0D0D0D" w:themeColor="text1" w:themeTint="F2"/>
          <w:lang w:val="sq-AL"/>
        </w:rPr>
      </w:pPr>
    </w:p>
    <w:p w14:paraId="1E285FE4" w14:textId="77777777" w:rsidR="00857902" w:rsidRPr="005208DC" w:rsidRDefault="00B2062A" w:rsidP="00857902">
      <w:pPr>
        <w:pStyle w:val="Heading5"/>
        <w:snapToGrid w:val="0"/>
        <w:ind w:left="0"/>
        <w:rPr>
          <w:rFonts w:asciiTheme="majorBidi" w:hAnsiTheme="majorBidi" w:cstheme="majorBidi"/>
          <w:i w:val="0"/>
          <w:color w:val="0D0D0D" w:themeColor="text1" w:themeTint="F2"/>
          <w:sz w:val="24"/>
          <w:szCs w:val="24"/>
          <w:lang w:val="sq-AL"/>
        </w:rPr>
      </w:pPr>
      <w:r w:rsidRPr="005208DC">
        <w:rPr>
          <w:rFonts w:asciiTheme="majorBidi" w:hAnsiTheme="majorBidi" w:cstheme="majorBidi"/>
          <w:i w:val="0"/>
          <w:color w:val="0D0D0D" w:themeColor="text1" w:themeTint="F2"/>
          <w:sz w:val="24"/>
          <w:szCs w:val="24"/>
          <w:lang w:val="sq-AL"/>
        </w:rPr>
        <w:t>Masa e reformës</w:t>
      </w:r>
      <w:r w:rsidR="005358F8" w:rsidRPr="005208DC">
        <w:rPr>
          <w:rFonts w:asciiTheme="majorBidi" w:hAnsiTheme="majorBidi" w:cstheme="majorBidi"/>
          <w:i w:val="0"/>
          <w:color w:val="0D0D0D" w:themeColor="text1" w:themeTint="F2"/>
          <w:sz w:val="24"/>
          <w:szCs w:val="24"/>
          <w:lang w:val="sq-AL"/>
        </w:rPr>
        <w:t xml:space="preserve"> 02</w:t>
      </w:r>
      <w:r w:rsidR="00DB22AB" w:rsidRPr="005208DC">
        <w:rPr>
          <w:rFonts w:asciiTheme="majorBidi" w:hAnsiTheme="majorBidi" w:cstheme="majorBidi"/>
          <w:i w:val="0"/>
          <w:color w:val="0D0D0D" w:themeColor="text1" w:themeTint="F2"/>
          <w:sz w:val="24"/>
          <w:szCs w:val="24"/>
          <w:lang w:val="sq-AL"/>
        </w:rPr>
        <w:t xml:space="preserve">: </w:t>
      </w:r>
      <w:r w:rsidR="00857902" w:rsidRPr="005208DC">
        <w:rPr>
          <w:rFonts w:asciiTheme="majorBidi" w:hAnsiTheme="majorBidi" w:cstheme="majorBidi"/>
          <w:i w:val="0"/>
          <w:color w:val="0D0D0D" w:themeColor="text1" w:themeTint="F2"/>
          <w:sz w:val="24"/>
          <w:szCs w:val="24"/>
          <w:lang w:val="sq-AL"/>
        </w:rPr>
        <w:t>Përmirësimi i punësueshmërisë së punëkërkuesve të papunë më vulnerabël, veçanërisht atyre të prekur nga COVID-19, përmes PNP-ve dhe shërbimeve të punësimit të reja dhe të rishikuara</w:t>
      </w:r>
    </w:p>
    <w:p w14:paraId="2C4175C4" w14:textId="71D028CE" w:rsidR="00DB22AB" w:rsidRPr="005208DC" w:rsidRDefault="00B2062A" w:rsidP="00857902">
      <w:pPr>
        <w:pStyle w:val="Heading6"/>
        <w:numPr>
          <w:ilvl w:val="0"/>
          <w:numId w:val="2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Përshkrimi i masës</w:t>
      </w:r>
    </w:p>
    <w:p w14:paraId="13EB784B" w14:textId="77777777" w:rsidR="00857902" w:rsidRPr="005208DC" w:rsidRDefault="00857902" w:rsidP="00857902">
      <w:pPr>
        <w:jc w:val="both"/>
        <w:rPr>
          <w:rFonts w:ascii="Times New Roman" w:hAnsi="Times New Roman"/>
          <w:color w:val="0D0D0D" w:themeColor="text1" w:themeTint="F2"/>
          <w:lang w:val="sq-AL" w:eastAsia="x-none"/>
        </w:rPr>
      </w:pPr>
      <w:r w:rsidRPr="005208DC">
        <w:rPr>
          <w:rFonts w:ascii="Times New Roman" w:hAnsi="Times New Roman"/>
          <w:color w:val="0D0D0D" w:themeColor="text1" w:themeTint="F2"/>
          <w:lang w:val="sq-AL" w:eastAsia="x-none"/>
        </w:rPr>
        <w:t>Strategjia Kombëtare e Punësimit dhe Aftësive (SKP) 2019-2022, strategjia dhe plani i veprimit që lidhet me të mbështetet nga PBA, si dhe nga projektet e donatorëve. Objektivi kryesor i Strategjisë Kombëtare të Punësimit dhe Aftësive 2019 - 2022 dhe planit të saj të veprimit është identifikimi dhe hartimi i politikave të përshtatshme nxitëse në vend për punësimin dhe formimin profesional të fuqisë punëtore me qëllim krijimin e vendeve të punës cilësore dhe mundësive për punësim dhe aftësi në të gjithë vendin. ciklin jetësor. Plani i veprimit fokusohet në rritjen e mundësive të punës së denjë përmes politikave efikase të tregut të punës, duke ofruar arsim dhe trajnim cilësor për të rinjtë dhe të rriturit, nxitjen e përfshirjes dhe kohezionit social dhe forcimin e sistemit të punës dhe kualifikimeve në treg.</w:t>
      </w:r>
    </w:p>
    <w:p w14:paraId="4B729B74" w14:textId="77777777" w:rsidR="00857902" w:rsidRPr="005208DC" w:rsidRDefault="00857902" w:rsidP="00857902">
      <w:pPr>
        <w:jc w:val="both"/>
        <w:rPr>
          <w:rFonts w:ascii="Times New Roman" w:hAnsi="Times New Roman"/>
          <w:color w:val="0D0D0D" w:themeColor="text1" w:themeTint="F2"/>
          <w:lang w:val="sq-AL" w:eastAsia="x-none"/>
        </w:rPr>
      </w:pPr>
      <w:r w:rsidRPr="005208DC">
        <w:rPr>
          <w:rFonts w:ascii="Times New Roman" w:hAnsi="Times New Roman"/>
          <w:color w:val="0D0D0D" w:themeColor="text1" w:themeTint="F2"/>
          <w:lang w:val="sq-AL" w:eastAsia="x-none"/>
        </w:rPr>
        <w:t>Tetë programet e reja dhe të rishikuara të Nxitjes së Punësimit, përfshirë ato për situatën COVID-19, me qëllim që të arrihet një përgjigje më e mirë ndaj nevojave të punëkërkuesve të papunë, veçanërisht atyre më të cenueshëm dhe të harmonizohen ndërveprimet dhe ndërhyrjet e AKPA-s, Shërbimit Social Shtetëror dhe autoriteteve vendore janë në zbatim.</w:t>
      </w:r>
    </w:p>
    <w:p w14:paraId="06C2928D" w14:textId="77777777" w:rsidR="00857902" w:rsidRPr="005208DC" w:rsidRDefault="00857902" w:rsidP="00857902">
      <w:pPr>
        <w:jc w:val="both"/>
        <w:rPr>
          <w:rFonts w:ascii="Times New Roman" w:hAnsi="Times New Roman"/>
          <w:color w:val="0D0D0D" w:themeColor="text1" w:themeTint="F2"/>
          <w:lang w:val="sq-AL" w:eastAsia="x-none"/>
        </w:rPr>
      </w:pPr>
      <w:r w:rsidRPr="005208DC">
        <w:rPr>
          <w:rFonts w:ascii="Times New Roman" w:hAnsi="Times New Roman"/>
          <w:color w:val="0D0D0D" w:themeColor="text1" w:themeTint="F2"/>
          <w:lang w:val="sq-AL" w:eastAsia="x-none"/>
        </w:rPr>
        <w:t>Covid-19 ekspozoi më tej cenueshmërinë e shtuar me të cilën përballen punëtorët informalë në tregun e punës. Mbështetja për riintegrimin në tregun e punës të ish-punëtorëve informalë dhe formalizimi i tyre do të vazhdojë, si dhe bashkëpunimi ndërinstitucional ndërmjet Drejtorisë së Përgjithshme të Tatimeve, Inspektoratit Shtetëror të Punës dhe AKPA-s. Për më tepër, politikat dhe rregulloret e tregut të punës do të duhet të analizohen për sa i përket ndikimit që mund të kenë në reduktimin e punësimit informal.</w:t>
      </w:r>
    </w:p>
    <w:p w14:paraId="717CE3CA" w14:textId="77777777" w:rsidR="00857902" w:rsidRPr="005208DC" w:rsidRDefault="00857902" w:rsidP="00857902">
      <w:pPr>
        <w:jc w:val="both"/>
        <w:rPr>
          <w:rFonts w:ascii="Times New Roman" w:hAnsi="Times New Roman"/>
          <w:color w:val="0D0D0D" w:themeColor="text1" w:themeTint="F2"/>
          <w:lang w:val="sq-AL" w:eastAsia="x-none"/>
        </w:rPr>
      </w:pPr>
      <w:r w:rsidRPr="005208DC">
        <w:rPr>
          <w:rFonts w:ascii="Times New Roman" w:hAnsi="Times New Roman"/>
          <w:color w:val="0D0D0D" w:themeColor="text1" w:themeTint="F2"/>
          <w:lang w:val="sq-AL" w:eastAsia="x-none"/>
        </w:rPr>
        <w:t>Finalizimi i sistemit të informacionit të AKPA-s dhe zhvillimi i planeve individuale të punësimit janë në zbatim. Operacionalizimi i funksioneve të AKPa-sdhe mbështetja e kapaciteteve për stafin e AKPA-s në të gjitha nivelet ka vazhduar.</w:t>
      </w:r>
    </w:p>
    <w:p w14:paraId="5F3BC1E7" w14:textId="77777777" w:rsidR="00857902" w:rsidRPr="005208DC" w:rsidRDefault="00857902" w:rsidP="00857902">
      <w:pPr>
        <w:jc w:val="both"/>
        <w:rPr>
          <w:rFonts w:ascii="Times New Roman" w:hAnsi="Times New Roman"/>
          <w:color w:val="0D0D0D" w:themeColor="text1" w:themeTint="F2"/>
          <w:lang w:val="sq-AL" w:eastAsia="x-none"/>
        </w:rPr>
      </w:pPr>
      <w:r w:rsidRPr="005208DC">
        <w:rPr>
          <w:rFonts w:ascii="Times New Roman" w:hAnsi="Times New Roman"/>
          <w:color w:val="0D0D0D" w:themeColor="text1" w:themeTint="F2"/>
          <w:lang w:val="sq-AL" w:eastAsia="x-none"/>
        </w:rPr>
        <w:t>Promovimi i punësimit të të rinjve është një nga prioritetet e qeverisë shqiptare dhe një nga programet që do të zbatohet është Programi i Garancisë Rinore. Fokusi i programit do të jetë NEET, pasi shkalla e papunësisë dhe pasiviteti për këtë kategori është shumë e lartë. Puna për ngritjen e grupit ndërinstitucional për hartimin e planit YG është në vazhdim.</w:t>
      </w:r>
    </w:p>
    <w:p w14:paraId="06EE412F" w14:textId="128AAF23" w:rsidR="00700A3C" w:rsidRPr="005208DC" w:rsidRDefault="00857902" w:rsidP="00857902">
      <w:pPr>
        <w:snapToGrid w:val="0"/>
        <w:jc w:val="both"/>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eastAsia="x-none"/>
        </w:rPr>
        <w:t>AKPA ka ndërtuar një plan të qëndrueshëm për të adresuar kategoritë vulnerabël që gjenden në bazën e të dhënave të tij. Gjatë planifikimit të treguesve vjetorë që lidhen me punësimin, programet e nxitjes së punësimit dhe kurset e formimit profesional në secilin prej treguesve, janë vendosur objektiva për përfshirjen e kategorive të veçanta në këto shërbime. Kjo siguron trajtimin e planifikuar të kategorive vulnerabël. Sistemi i ri i punësimit ka mundësuar edhe integrimin me sisteme të tjera si asistenca ekonomike dhe personat me aftësi të kufizuara, gjë që siguron ndërveprimin e të dhënave dhe lehtësimin e procedurave</w:t>
      </w:r>
      <w:r w:rsidR="00700A3C" w:rsidRPr="005208DC">
        <w:rPr>
          <w:rFonts w:asciiTheme="majorBidi" w:hAnsiTheme="majorBidi" w:cstheme="majorBidi"/>
          <w:color w:val="0D0D0D" w:themeColor="text1" w:themeTint="F2"/>
          <w:lang w:val="sq-AL"/>
        </w:rPr>
        <w:t>.</w:t>
      </w:r>
    </w:p>
    <w:p w14:paraId="7D475361" w14:textId="77777777" w:rsidR="00700A3C" w:rsidRPr="005208DC" w:rsidRDefault="00700A3C" w:rsidP="00857902">
      <w:pPr>
        <w:snapToGrid w:val="0"/>
        <w:rPr>
          <w:rFonts w:asciiTheme="majorBidi" w:hAnsiTheme="majorBidi" w:cstheme="majorBidi"/>
          <w:color w:val="0D0D0D" w:themeColor="text1" w:themeTint="F2"/>
          <w:lang w:val="sq-AL"/>
        </w:rPr>
      </w:pPr>
    </w:p>
    <w:p w14:paraId="1A26C6B5" w14:textId="56605A1C" w:rsidR="00DB22AB" w:rsidRPr="005208DC" w:rsidRDefault="00B2062A" w:rsidP="00857902">
      <w:pPr>
        <w:pStyle w:val="ListParagraph"/>
        <w:numPr>
          <w:ilvl w:val="0"/>
          <w:numId w:val="24"/>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DB22AB" w:rsidRPr="005208DC">
        <w:rPr>
          <w:rFonts w:asciiTheme="majorBidi" w:hAnsiTheme="majorBidi" w:cstheme="majorBidi"/>
          <w:b/>
          <w:color w:val="0D0D0D" w:themeColor="text1" w:themeTint="F2"/>
          <w:sz w:val="24"/>
          <w:szCs w:val="24"/>
          <w:lang w:val="sq-AL"/>
        </w:rPr>
        <w:t xml:space="preserve"> 2022</w:t>
      </w:r>
    </w:p>
    <w:p w14:paraId="05A1CF3D" w14:textId="77777777" w:rsidR="00857902" w:rsidRPr="005208DC" w:rsidRDefault="00857902" w:rsidP="00857902">
      <w:pPr>
        <w:pStyle w:val="ListParagraph"/>
        <w:widowControl/>
        <w:numPr>
          <w:ilvl w:val="0"/>
          <w:numId w:val="25"/>
        </w:numPr>
        <w:contextualSpacing/>
        <w:jc w:val="both"/>
        <w:rPr>
          <w:rFonts w:ascii="Times New Roman" w:hAnsi="Times New Roman" w:cs="Times New Roman"/>
          <w:color w:val="0D0D0D" w:themeColor="text1" w:themeTint="F2"/>
          <w:sz w:val="24"/>
          <w:szCs w:val="24"/>
          <w:lang w:val="sq-AL" w:eastAsia="x-none"/>
        </w:rPr>
      </w:pPr>
      <w:r w:rsidRPr="005208DC">
        <w:rPr>
          <w:rFonts w:ascii="Times New Roman" w:hAnsi="Times New Roman" w:cs="Times New Roman"/>
          <w:color w:val="0D0D0D" w:themeColor="text1" w:themeTint="F2"/>
          <w:sz w:val="24"/>
          <w:szCs w:val="24"/>
          <w:lang w:val="sq-AL" w:eastAsia="x-none"/>
        </w:rPr>
        <w:t>Zbatimi i programeve të nxitjes së punësimit, përfshirë programet e dedikuara për COVID-19, që synojnë mbështetjen e grupeve më vulnerabël dhe aktivizimin dhe numrin e punëkërkuesve të regjistruar të papunë që përfitojnë nga programet e nxitjes së punësimit, synohet të arrijë në 7% të të papunëve të regjistruar;</w:t>
      </w:r>
    </w:p>
    <w:p w14:paraId="2B981BF2" w14:textId="77777777" w:rsidR="00857902" w:rsidRPr="005208DC" w:rsidRDefault="00857902" w:rsidP="00857902">
      <w:pPr>
        <w:pStyle w:val="ListParagraph"/>
        <w:widowControl/>
        <w:numPr>
          <w:ilvl w:val="0"/>
          <w:numId w:val="25"/>
        </w:numPr>
        <w:contextualSpacing/>
        <w:jc w:val="both"/>
        <w:rPr>
          <w:rFonts w:ascii="Times New Roman" w:hAnsi="Times New Roman" w:cs="Times New Roman"/>
          <w:color w:val="0D0D0D" w:themeColor="text1" w:themeTint="F2"/>
          <w:sz w:val="24"/>
          <w:szCs w:val="24"/>
          <w:lang w:val="sq-AL" w:eastAsia="x-none"/>
        </w:rPr>
      </w:pPr>
      <w:r w:rsidRPr="005208DC">
        <w:rPr>
          <w:rFonts w:ascii="Times New Roman" w:hAnsi="Times New Roman" w:cs="Times New Roman"/>
          <w:color w:val="0D0D0D" w:themeColor="text1" w:themeTint="F2"/>
          <w:sz w:val="24"/>
          <w:szCs w:val="24"/>
          <w:lang w:val="sq-AL" w:eastAsia="x-none"/>
        </w:rPr>
        <w:t>Hartimi i programit të garancisë për të rinjtë (VKM) që synon papunësinë e të rinjve veçanërisht NEET;</w:t>
      </w:r>
    </w:p>
    <w:p w14:paraId="0574E304" w14:textId="77777777" w:rsidR="00857902" w:rsidRPr="005208DC" w:rsidRDefault="00857902" w:rsidP="00857902">
      <w:pPr>
        <w:pStyle w:val="ListParagraph"/>
        <w:widowControl/>
        <w:numPr>
          <w:ilvl w:val="0"/>
          <w:numId w:val="25"/>
        </w:numPr>
        <w:contextualSpacing/>
        <w:jc w:val="both"/>
        <w:rPr>
          <w:rFonts w:ascii="Times New Roman" w:hAnsi="Times New Roman" w:cs="Times New Roman"/>
          <w:color w:val="0D0D0D" w:themeColor="text1" w:themeTint="F2"/>
          <w:sz w:val="24"/>
          <w:szCs w:val="24"/>
          <w:lang w:val="sq-AL" w:eastAsia="x-none"/>
        </w:rPr>
      </w:pPr>
      <w:r w:rsidRPr="005208DC">
        <w:rPr>
          <w:rFonts w:ascii="Times New Roman" w:hAnsi="Times New Roman" w:cs="Times New Roman"/>
          <w:color w:val="0D0D0D" w:themeColor="text1" w:themeTint="F2"/>
          <w:sz w:val="24"/>
          <w:szCs w:val="24"/>
          <w:lang w:val="sq-AL" w:eastAsia="x-none"/>
        </w:rPr>
        <w:t>Zbatimi i marrëveshjeve të nënshkruara me komunat në zonat e pambuluara;</w:t>
      </w:r>
    </w:p>
    <w:p w14:paraId="7035CA98" w14:textId="77777777" w:rsidR="00857902" w:rsidRPr="005208DC" w:rsidRDefault="00857902" w:rsidP="00857902">
      <w:pPr>
        <w:pStyle w:val="ListParagraph"/>
        <w:widowControl/>
        <w:numPr>
          <w:ilvl w:val="0"/>
          <w:numId w:val="25"/>
        </w:numPr>
        <w:contextualSpacing/>
        <w:jc w:val="both"/>
        <w:rPr>
          <w:rFonts w:ascii="Times New Roman" w:hAnsi="Times New Roman" w:cs="Times New Roman"/>
          <w:color w:val="0D0D0D" w:themeColor="text1" w:themeTint="F2"/>
          <w:sz w:val="24"/>
          <w:szCs w:val="24"/>
          <w:lang w:val="sq-AL" w:eastAsia="x-none"/>
        </w:rPr>
      </w:pPr>
      <w:r w:rsidRPr="005208DC">
        <w:rPr>
          <w:rFonts w:ascii="Times New Roman" w:hAnsi="Times New Roman" w:cs="Times New Roman"/>
          <w:color w:val="0D0D0D" w:themeColor="text1" w:themeTint="F2"/>
          <w:sz w:val="24"/>
          <w:szCs w:val="24"/>
          <w:lang w:val="sq-AL" w:eastAsia="x-none"/>
        </w:rPr>
        <w:t>Përmirësimi i cilësisë dhe efektivitetit të institucioneve dhe shërbimeve të tregut të punës, nëpërmjet rritjes së performancës së stafit;</w:t>
      </w:r>
    </w:p>
    <w:p w14:paraId="5AAA279F" w14:textId="77777777" w:rsidR="00857902" w:rsidRPr="005208DC" w:rsidRDefault="00857902" w:rsidP="00857902">
      <w:pPr>
        <w:pStyle w:val="ListParagraph"/>
        <w:widowControl/>
        <w:numPr>
          <w:ilvl w:val="0"/>
          <w:numId w:val="25"/>
        </w:numPr>
        <w:contextualSpacing/>
        <w:jc w:val="both"/>
        <w:rPr>
          <w:rFonts w:ascii="Times New Roman" w:hAnsi="Times New Roman" w:cs="Times New Roman"/>
          <w:color w:val="0D0D0D" w:themeColor="text1" w:themeTint="F2"/>
          <w:sz w:val="24"/>
          <w:szCs w:val="24"/>
          <w:lang w:val="sq-AL" w:eastAsia="x-none"/>
        </w:rPr>
      </w:pPr>
      <w:r w:rsidRPr="005208DC">
        <w:rPr>
          <w:rFonts w:ascii="Times New Roman" w:hAnsi="Times New Roman" w:cs="Times New Roman"/>
          <w:color w:val="0D0D0D" w:themeColor="text1" w:themeTint="F2"/>
          <w:sz w:val="24"/>
          <w:szCs w:val="24"/>
          <w:lang w:val="sq-AL" w:eastAsia="x-none"/>
        </w:rPr>
        <w:t>Zhvillimi dhe publikimi i informacionit dhe analiza cilësore të tregut të punës dhe përmirësimi i marrëdhënieve me publikun;</w:t>
      </w:r>
    </w:p>
    <w:p w14:paraId="1C3268CD" w14:textId="77777777" w:rsidR="00857902" w:rsidRPr="005208DC" w:rsidRDefault="00857902" w:rsidP="00857902">
      <w:pPr>
        <w:pStyle w:val="ListParagraph"/>
        <w:widowControl/>
        <w:numPr>
          <w:ilvl w:val="0"/>
          <w:numId w:val="25"/>
        </w:numPr>
        <w:contextualSpacing/>
        <w:jc w:val="both"/>
        <w:rPr>
          <w:rFonts w:ascii="Times New Roman" w:hAnsi="Times New Roman" w:cs="Times New Roman"/>
          <w:color w:val="0D0D0D" w:themeColor="text1" w:themeTint="F2"/>
          <w:sz w:val="24"/>
          <w:szCs w:val="24"/>
          <w:lang w:val="sq-AL" w:eastAsia="x-none"/>
        </w:rPr>
      </w:pPr>
      <w:r w:rsidRPr="005208DC">
        <w:rPr>
          <w:rFonts w:ascii="Times New Roman" w:hAnsi="Times New Roman" w:cs="Times New Roman"/>
          <w:color w:val="0D0D0D" w:themeColor="text1" w:themeTint="F2"/>
          <w:sz w:val="24"/>
          <w:szCs w:val="24"/>
          <w:lang w:val="sq-AL" w:eastAsia="x-none"/>
        </w:rPr>
        <w:t>Përgatitja e të gjitha procedurave për zbatimin e programit të garancisë për të rinjtë dhe pilotimi i tij;</w:t>
      </w:r>
    </w:p>
    <w:p w14:paraId="38E0080E" w14:textId="2B666292" w:rsidR="00857902" w:rsidRPr="005208DC" w:rsidRDefault="00857902" w:rsidP="00857902">
      <w:pPr>
        <w:pStyle w:val="ListParagraph"/>
        <w:widowControl/>
        <w:numPr>
          <w:ilvl w:val="0"/>
          <w:numId w:val="25"/>
        </w:numPr>
        <w:contextualSpacing/>
        <w:jc w:val="both"/>
        <w:rPr>
          <w:rFonts w:ascii="Times New Roman" w:hAnsi="Times New Roman" w:cs="Times New Roman"/>
          <w:color w:val="0D0D0D" w:themeColor="text1" w:themeTint="F2"/>
          <w:sz w:val="24"/>
          <w:szCs w:val="24"/>
          <w:lang w:val="sq-AL" w:eastAsia="x-none"/>
        </w:rPr>
      </w:pPr>
      <w:r w:rsidRPr="005208DC">
        <w:rPr>
          <w:rFonts w:ascii="Times New Roman" w:hAnsi="Times New Roman" w:cs="Times New Roman"/>
          <w:color w:val="0D0D0D" w:themeColor="text1" w:themeTint="F2"/>
          <w:sz w:val="24"/>
          <w:szCs w:val="24"/>
          <w:lang w:val="sq-AL" w:eastAsia="x-none"/>
        </w:rPr>
        <w:t>Kryerja e një vlerësimi për të matur ndikimin e Programeve të Nxitjes së Punësimit të zbatuara (2020-2021).</w:t>
      </w:r>
    </w:p>
    <w:p w14:paraId="489AD6C6" w14:textId="15C2A0DD" w:rsidR="00DB22AB" w:rsidRPr="005208DC" w:rsidRDefault="00B2062A" w:rsidP="00857902">
      <w:pPr>
        <w:pStyle w:val="ListParagraph"/>
        <w:numPr>
          <w:ilvl w:val="0"/>
          <w:numId w:val="24"/>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DB22AB" w:rsidRPr="005208DC">
        <w:rPr>
          <w:rFonts w:asciiTheme="majorBidi" w:hAnsiTheme="majorBidi" w:cstheme="majorBidi"/>
          <w:b/>
          <w:color w:val="0D0D0D" w:themeColor="text1" w:themeTint="F2"/>
          <w:sz w:val="24"/>
          <w:szCs w:val="24"/>
          <w:lang w:val="sq-AL"/>
        </w:rPr>
        <w:t xml:space="preserve"> 2023</w:t>
      </w:r>
    </w:p>
    <w:p w14:paraId="3B9E94EF" w14:textId="77777777" w:rsidR="00857902" w:rsidRPr="005208DC" w:rsidRDefault="00857902" w:rsidP="00857902">
      <w:pPr>
        <w:pStyle w:val="ListParagraph"/>
        <w:widowControl/>
        <w:numPr>
          <w:ilvl w:val="0"/>
          <w:numId w:val="26"/>
        </w:numPr>
        <w:jc w:val="both"/>
        <w:rPr>
          <w:rFonts w:asciiTheme="majorBidi" w:hAnsiTheme="majorBidi" w:cstheme="majorBidi"/>
          <w:color w:val="0D0D0D" w:themeColor="text1" w:themeTint="F2"/>
          <w:sz w:val="24"/>
          <w:szCs w:val="24"/>
          <w:lang w:val="sq-AL" w:eastAsia="x-none"/>
        </w:rPr>
      </w:pPr>
      <w:r w:rsidRPr="005208DC">
        <w:rPr>
          <w:rFonts w:asciiTheme="majorBidi" w:hAnsiTheme="majorBidi" w:cstheme="majorBidi"/>
          <w:color w:val="0D0D0D" w:themeColor="text1" w:themeTint="F2"/>
          <w:sz w:val="24"/>
          <w:szCs w:val="24"/>
          <w:lang w:val="sq-AL" w:eastAsia="x-none"/>
        </w:rPr>
        <w:t>Përmirësimi i cilësisë dhe efektivitetit të institucioneve dhe shërbimeve të tregut të punës, nëpërmjet rritjes së performancës së stafit;</w:t>
      </w:r>
    </w:p>
    <w:p w14:paraId="6FBC2422" w14:textId="77777777" w:rsidR="00857902" w:rsidRPr="005208DC" w:rsidRDefault="00857902" w:rsidP="00857902">
      <w:pPr>
        <w:pStyle w:val="ListParagraph"/>
        <w:widowControl/>
        <w:numPr>
          <w:ilvl w:val="0"/>
          <w:numId w:val="26"/>
        </w:numPr>
        <w:jc w:val="both"/>
        <w:rPr>
          <w:rFonts w:asciiTheme="majorBidi" w:hAnsiTheme="majorBidi" w:cstheme="majorBidi"/>
          <w:color w:val="0D0D0D" w:themeColor="text1" w:themeTint="F2"/>
          <w:sz w:val="24"/>
          <w:szCs w:val="24"/>
          <w:lang w:val="sq-AL" w:eastAsia="x-none"/>
        </w:rPr>
      </w:pPr>
      <w:r w:rsidRPr="005208DC">
        <w:rPr>
          <w:rFonts w:asciiTheme="majorBidi" w:hAnsiTheme="majorBidi" w:cstheme="majorBidi"/>
          <w:color w:val="0D0D0D" w:themeColor="text1" w:themeTint="F2"/>
          <w:sz w:val="24"/>
          <w:szCs w:val="24"/>
          <w:lang w:val="sq-AL" w:eastAsia="x-none"/>
        </w:rPr>
        <w:t>Zbatimi i Programit të Garancisë për Rininë;</w:t>
      </w:r>
    </w:p>
    <w:p w14:paraId="11E04E70" w14:textId="1FC325E3" w:rsidR="00857902" w:rsidRPr="005208DC" w:rsidRDefault="00857902" w:rsidP="00857902">
      <w:pPr>
        <w:pStyle w:val="ListParagraph"/>
        <w:widowControl/>
        <w:numPr>
          <w:ilvl w:val="0"/>
          <w:numId w:val="26"/>
        </w:numPr>
        <w:jc w:val="both"/>
        <w:rPr>
          <w:rFonts w:asciiTheme="majorBidi" w:hAnsiTheme="majorBidi" w:cstheme="majorBidi"/>
          <w:color w:val="0D0D0D" w:themeColor="text1" w:themeTint="F2"/>
          <w:sz w:val="24"/>
          <w:szCs w:val="24"/>
          <w:lang w:val="sq-AL" w:eastAsia="x-none"/>
        </w:rPr>
      </w:pPr>
      <w:r w:rsidRPr="005208DC">
        <w:rPr>
          <w:rFonts w:asciiTheme="majorBidi" w:hAnsiTheme="majorBidi" w:cstheme="majorBidi"/>
          <w:color w:val="0D0D0D" w:themeColor="text1" w:themeTint="F2"/>
          <w:sz w:val="24"/>
          <w:szCs w:val="24"/>
          <w:lang w:val="sq-AL" w:eastAsia="x-none"/>
        </w:rPr>
        <w:t>Zbatimi i programeve të nxitjes së punësimit që synojnë mbështetjen e grupeve më vulnerabël dhe synohet aktivizimi e numri i punëkërkuesve të papunë të regjistruar që përfitojnë nga programet e nxitjes së punësimit të arrijë në 7% të punëkërkuesve të papunë të regjistruar.</w:t>
      </w:r>
    </w:p>
    <w:p w14:paraId="4307C3F7" w14:textId="6ED2CB5A" w:rsidR="00DB22AB" w:rsidRPr="005208DC" w:rsidRDefault="00B2062A" w:rsidP="00857902">
      <w:pPr>
        <w:pStyle w:val="ListParagraph"/>
        <w:numPr>
          <w:ilvl w:val="0"/>
          <w:numId w:val="24"/>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DB22AB" w:rsidRPr="005208DC">
        <w:rPr>
          <w:rFonts w:asciiTheme="majorBidi" w:hAnsiTheme="majorBidi" w:cstheme="majorBidi"/>
          <w:b/>
          <w:color w:val="0D0D0D" w:themeColor="text1" w:themeTint="F2"/>
          <w:sz w:val="24"/>
          <w:szCs w:val="24"/>
          <w:lang w:val="sq-AL"/>
        </w:rPr>
        <w:t xml:space="preserve"> 2024</w:t>
      </w:r>
    </w:p>
    <w:p w14:paraId="6ECEA599" w14:textId="77777777" w:rsidR="00857902" w:rsidRPr="005208DC" w:rsidRDefault="00857902" w:rsidP="00857902">
      <w:pPr>
        <w:pStyle w:val="ListParagraph"/>
        <w:widowControl/>
        <w:numPr>
          <w:ilvl w:val="0"/>
          <w:numId w:val="27"/>
        </w:numPr>
        <w:jc w:val="both"/>
        <w:rPr>
          <w:rFonts w:asciiTheme="majorBidi" w:hAnsiTheme="majorBidi" w:cstheme="majorBidi"/>
          <w:color w:val="0D0D0D" w:themeColor="text1" w:themeTint="F2"/>
          <w:sz w:val="24"/>
          <w:szCs w:val="24"/>
          <w:lang w:val="sq-AL" w:eastAsia="x-none"/>
        </w:rPr>
      </w:pPr>
      <w:r w:rsidRPr="005208DC">
        <w:rPr>
          <w:rFonts w:asciiTheme="majorBidi" w:hAnsiTheme="majorBidi" w:cstheme="majorBidi"/>
          <w:color w:val="0D0D0D" w:themeColor="text1" w:themeTint="F2"/>
          <w:sz w:val="24"/>
          <w:szCs w:val="24"/>
          <w:lang w:val="sq-AL" w:eastAsia="x-none"/>
        </w:rPr>
        <w:t>Përmirësimi i cilësisë dhe efektivitetit të institucioneve dhe shërbimeve të tregut të punës, nëpërmjet rritjes së performancës së stafit;</w:t>
      </w:r>
    </w:p>
    <w:p w14:paraId="08B3D99E" w14:textId="77777777" w:rsidR="00857902" w:rsidRPr="005208DC" w:rsidRDefault="00857902" w:rsidP="00857902">
      <w:pPr>
        <w:pStyle w:val="ListParagraph"/>
        <w:widowControl/>
        <w:numPr>
          <w:ilvl w:val="0"/>
          <w:numId w:val="27"/>
        </w:numPr>
        <w:jc w:val="both"/>
        <w:rPr>
          <w:rFonts w:asciiTheme="majorBidi" w:hAnsiTheme="majorBidi" w:cstheme="majorBidi"/>
          <w:color w:val="0D0D0D" w:themeColor="text1" w:themeTint="F2"/>
          <w:sz w:val="24"/>
          <w:szCs w:val="24"/>
          <w:lang w:val="sq-AL" w:eastAsia="x-none"/>
        </w:rPr>
      </w:pPr>
      <w:r w:rsidRPr="005208DC">
        <w:rPr>
          <w:rFonts w:asciiTheme="majorBidi" w:hAnsiTheme="majorBidi" w:cstheme="majorBidi"/>
          <w:color w:val="0D0D0D" w:themeColor="text1" w:themeTint="F2"/>
          <w:sz w:val="24"/>
          <w:szCs w:val="24"/>
          <w:lang w:val="sq-AL" w:eastAsia="x-none"/>
        </w:rPr>
        <w:t>Zbatimi i programit të garancisë rinore;</w:t>
      </w:r>
    </w:p>
    <w:p w14:paraId="74DE22F7" w14:textId="77777777" w:rsidR="00857902" w:rsidRPr="005208DC" w:rsidRDefault="00857902" w:rsidP="00857902">
      <w:pPr>
        <w:pStyle w:val="ListParagraph"/>
        <w:widowControl/>
        <w:numPr>
          <w:ilvl w:val="0"/>
          <w:numId w:val="27"/>
        </w:numPr>
        <w:jc w:val="both"/>
        <w:rPr>
          <w:rFonts w:asciiTheme="majorBidi" w:hAnsiTheme="majorBidi" w:cstheme="majorBidi"/>
          <w:color w:val="0D0D0D" w:themeColor="text1" w:themeTint="F2"/>
          <w:sz w:val="24"/>
          <w:szCs w:val="24"/>
          <w:lang w:val="sq-AL" w:eastAsia="x-none"/>
        </w:rPr>
      </w:pPr>
      <w:r w:rsidRPr="005208DC">
        <w:rPr>
          <w:rFonts w:asciiTheme="majorBidi" w:hAnsiTheme="majorBidi" w:cstheme="majorBidi"/>
          <w:color w:val="0D0D0D" w:themeColor="text1" w:themeTint="F2"/>
          <w:sz w:val="24"/>
          <w:szCs w:val="24"/>
          <w:lang w:val="sq-AL" w:eastAsia="x-none"/>
        </w:rPr>
        <w:t>Zbatimi i programeve të nxitjes së punësimit që synojnë mbështetjen e grupeve më vulnerabël dhe synohet aktivizimi e numrin e punëkërkuesve të regjistruar të papunë që përfitojnë nga programet e nxitjes së punësimit të arrijë në 7.2%;</w:t>
      </w:r>
    </w:p>
    <w:p w14:paraId="6E717A40" w14:textId="08F040CA" w:rsidR="00857902" w:rsidRPr="005208DC" w:rsidRDefault="00857902" w:rsidP="00857902">
      <w:pPr>
        <w:pStyle w:val="ListParagraph"/>
        <w:widowControl/>
        <w:numPr>
          <w:ilvl w:val="0"/>
          <w:numId w:val="27"/>
        </w:numPr>
        <w:jc w:val="both"/>
        <w:rPr>
          <w:rFonts w:asciiTheme="majorBidi" w:hAnsiTheme="majorBidi" w:cstheme="majorBidi"/>
          <w:color w:val="0D0D0D" w:themeColor="text1" w:themeTint="F2"/>
          <w:sz w:val="24"/>
          <w:szCs w:val="24"/>
          <w:lang w:val="sq-AL" w:eastAsia="x-none"/>
        </w:rPr>
      </w:pPr>
      <w:r w:rsidRPr="005208DC">
        <w:rPr>
          <w:rFonts w:asciiTheme="majorBidi" w:hAnsiTheme="majorBidi" w:cstheme="majorBidi"/>
          <w:color w:val="0D0D0D" w:themeColor="text1" w:themeTint="F2"/>
          <w:sz w:val="24"/>
          <w:szCs w:val="24"/>
          <w:lang w:val="sq-AL" w:eastAsia="x-none"/>
        </w:rPr>
        <w:t>Vlerësimi i ndikimit të programeve të nxitjes së punësimit</w:t>
      </w:r>
      <w:r w:rsidRPr="005208DC">
        <w:rPr>
          <w:rFonts w:asciiTheme="majorBidi" w:hAnsiTheme="majorBidi" w:cstheme="majorBidi"/>
          <w:color w:val="0D0D0D" w:themeColor="text1" w:themeTint="F2"/>
          <w:lang w:val="sq-AL" w:eastAsia="x-none"/>
        </w:rPr>
        <w:t>.</w:t>
      </w:r>
    </w:p>
    <w:p w14:paraId="3C569420" w14:textId="77777777" w:rsidR="00DB22AB" w:rsidRPr="005208DC" w:rsidRDefault="00DB22AB" w:rsidP="00857902">
      <w:pPr>
        <w:snapToGrid w:val="0"/>
        <w:rPr>
          <w:rFonts w:asciiTheme="majorBidi" w:hAnsiTheme="majorBidi" w:cstheme="majorBidi"/>
          <w:color w:val="0D0D0D" w:themeColor="text1" w:themeTint="F2"/>
          <w:lang w:val="sq-AL"/>
        </w:rPr>
      </w:pPr>
    </w:p>
    <w:p w14:paraId="607D6351" w14:textId="0C979992" w:rsidR="00DB22AB" w:rsidRPr="005208DC" w:rsidRDefault="00B2062A" w:rsidP="00857902">
      <w:pPr>
        <w:pStyle w:val="Heading6"/>
        <w:numPr>
          <w:ilvl w:val="0"/>
          <w:numId w:val="2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Treguesit e rezultateve</w:t>
      </w:r>
    </w:p>
    <w:tbl>
      <w:tblPr>
        <w:tblStyle w:val="TableGrid2"/>
        <w:tblW w:w="0" w:type="auto"/>
        <w:tblLook w:val="04A0" w:firstRow="1" w:lastRow="0" w:firstColumn="1" w:lastColumn="0" w:noHBand="0" w:noVBand="1"/>
      </w:tblPr>
      <w:tblGrid>
        <w:gridCol w:w="4677"/>
        <w:gridCol w:w="856"/>
        <w:gridCol w:w="1603"/>
        <w:gridCol w:w="1603"/>
        <w:gridCol w:w="1604"/>
      </w:tblGrid>
      <w:tr w:rsidR="005208DC" w:rsidRPr="005208DC" w14:paraId="10EF55F7" w14:textId="77777777" w:rsidTr="00700A3C">
        <w:tc>
          <w:tcPr>
            <w:tcW w:w="4677" w:type="dxa"/>
          </w:tcPr>
          <w:p w14:paraId="10B8E5AA" w14:textId="439ADE0D" w:rsidR="008725CE"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w:t>
            </w:r>
          </w:p>
        </w:tc>
        <w:tc>
          <w:tcPr>
            <w:tcW w:w="856" w:type="dxa"/>
          </w:tcPr>
          <w:p w14:paraId="204F673A" w14:textId="739E48C7" w:rsidR="008725CE"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Bazë</w:t>
            </w:r>
            <w:r w:rsidR="008725CE" w:rsidRPr="005208DC">
              <w:rPr>
                <w:rFonts w:asciiTheme="majorBidi" w:hAnsiTheme="majorBidi" w:cstheme="majorBidi"/>
                <w:color w:val="0D0D0D" w:themeColor="text1" w:themeTint="F2"/>
                <w:lang w:val="sq-AL"/>
              </w:rPr>
              <w:t xml:space="preserve"> (2020)</w:t>
            </w:r>
          </w:p>
        </w:tc>
        <w:tc>
          <w:tcPr>
            <w:tcW w:w="1603" w:type="dxa"/>
          </w:tcPr>
          <w:p w14:paraId="2137E5F4" w14:textId="511482A0" w:rsidR="008725CE"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 ndërmjetëm</w:t>
            </w:r>
            <w:r w:rsidR="008D080B" w:rsidRPr="005208DC">
              <w:rPr>
                <w:rFonts w:asciiTheme="majorBidi" w:hAnsiTheme="majorBidi" w:cstheme="majorBidi"/>
                <w:color w:val="0D0D0D" w:themeColor="text1" w:themeTint="F2"/>
                <w:lang w:val="sq-AL"/>
              </w:rPr>
              <w:t xml:space="preserve"> </w:t>
            </w:r>
            <w:r w:rsidR="008725CE" w:rsidRPr="005208DC">
              <w:rPr>
                <w:rFonts w:asciiTheme="majorBidi" w:hAnsiTheme="majorBidi" w:cstheme="majorBidi"/>
                <w:color w:val="0D0D0D" w:themeColor="text1" w:themeTint="F2"/>
                <w:lang w:val="sq-AL"/>
              </w:rPr>
              <w:t>(2021)</w:t>
            </w:r>
          </w:p>
        </w:tc>
        <w:tc>
          <w:tcPr>
            <w:tcW w:w="1603" w:type="dxa"/>
          </w:tcPr>
          <w:p w14:paraId="787D78DC" w14:textId="7018A60B" w:rsidR="008725CE"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 ndërmjetëm</w:t>
            </w:r>
            <w:r w:rsidR="008725CE" w:rsidRPr="005208DC">
              <w:rPr>
                <w:rFonts w:asciiTheme="majorBidi" w:hAnsiTheme="majorBidi" w:cstheme="majorBidi"/>
                <w:color w:val="0D0D0D" w:themeColor="text1" w:themeTint="F2"/>
                <w:lang w:val="sq-AL"/>
              </w:rPr>
              <w:t xml:space="preserve"> (2022)</w:t>
            </w:r>
          </w:p>
        </w:tc>
        <w:tc>
          <w:tcPr>
            <w:tcW w:w="1604" w:type="dxa"/>
          </w:tcPr>
          <w:p w14:paraId="00928B1C" w14:textId="614C8B48" w:rsidR="008725CE"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Synimi</w:t>
            </w:r>
            <w:r w:rsidR="008725CE" w:rsidRPr="005208DC">
              <w:rPr>
                <w:rFonts w:asciiTheme="majorBidi" w:hAnsiTheme="majorBidi" w:cstheme="majorBidi"/>
                <w:color w:val="0D0D0D" w:themeColor="text1" w:themeTint="F2"/>
                <w:lang w:val="sq-AL"/>
              </w:rPr>
              <w:t xml:space="preserve"> (2023)</w:t>
            </w:r>
          </w:p>
        </w:tc>
      </w:tr>
      <w:tr w:rsidR="005208DC" w:rsidRPr="005208DC" w14:paraId="666CE96C" w14:textId="77777777" w:rsidTr="00700A3C">
        <w:tc>
          <w:tcPr>
            <w:tcW w:w="4677" w:type="dxa"/>
          </w:tcPr>
          <w:p w14:paraId="48C19F53" w14:textId="6AAEEE02" w:rsidR="00857902" w:rsidRPr="005208DC" w:rsidRDefault="00857902" w:rsidP="00857902">
            <w:pPr>
              <w:snapToGrid w:val="0"/>
              <w:rPr>
                <w:rFonts w:asciiTheme="majorBidi" w:hAnsiTheme="majorBidi" w:cstheme="majorBidi"/>
                <w:color w:val="0D0D0D" w:themeColor="text1" w:themeTint="F2"/>
                <w:lang w:val="sq-AL"/>
              </w:rPr>
            </w:pPr>
            <w:r w:rsidRPr="005208DC">
              <w:rPr>
                <w:rFonts w:asciiTheme="majorBidi" w:eastAsia="Arial Narrow" w:hAnsiTheme="majorBidi" w:cstheme="majorBidi"/>
                <w:color w:val="0D0D0D" w:themeColor="text1" w:themeTint="F2"/>
                <w:lang w:val="sq-AL"/>
              </w:rPr>
              <w:t>Rritja e punësimit të punëkërkuesve përmes shërbimeve të ndërmjetësimit për punë</w:t>
            </w:r>
          </w:p>
        </w:tc>
        <w:tc>
          <w:tcPr>
            <w:tcW w:w="856" w:type="dxa"/>
          </w:tcPr>
          <w:p w14:paraId="470A1A24" w14:textId="5CAB575F" w:rsidR="00857902" w:rsidRPr="005208DC" w:rsidRDefault="00857902"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28%</w:t>
            </w:r>
          </w:p>
        </w:tc>
        <w:tc>
          <w:tcPr>
            <w:tcW w:w="1603" w:type="dxa"/>
          </w:tcPr>
          <w:p w14:paraId="6999B749" w14:textId="3443BCF7" w:rsidR="00857902" w:rsidRPr="005208DC" w:rsidRDefault="00857902"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38%</w:t>
            </w:r>
          </w:p>
        </w:tc>
        <w:tc>
          <w:tcPr>
            <w:tcW w:w="1603" w:type="dxa"/>
          </w:tcPr>
          <w:p w14:paraId="49194E0D" w14:textId="25B52753" w:rsidR="00857902" w:rsidRPr="005208DC" w:rsidRDefault="00857902"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43%</w:t>
            </w:r>
          </w:p>
        </w:tc>
        <w:tc>
          <w:tcPr>
            <w:tcW w:w="1604" w:type="dxa"/>
          </w:tcPr>
          <w:p w14:paraId="6AD41D17" w14:textId="31B25B98" w:rsidR="00857902" w:rsidRPr="005208DC" w:rsidRDefault="00857902"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48%</w:t>
            </w:r>
          </w:p>
        </w:tc>
      </w:tr>
      <w:tr w:rsidR="005208DC" w:rsidRPr="005208DC" w14:paraId="3B35D0C8" w14:textId="77777777" w:rsidTr="00700A3C">
        <w:tc>
          <w:tcPr>
            <w:tcW w:w="4677" w:type="dxa"/>
          </w:tcPr>
          <w:p w14:paraId="7B43CDFD" w14:textId="61734C1E" w:rsidR="00857902" w:rsidRPr="005208DC" w:rsidRDefault="00857902" w:rsidP="00857902">
            <w:pPr>
              <w:snapToGrid w:val="0"/>
              <w:rPr>
                <w:rFonts w:asciiTheme="majorBidi" w:hAnsiTheme="majorBidi" w:cstheme="majorBidi"/>
                <w:color w:val="0D0D0D" w:themeColor="text1" w:themeTint="F2"/>
                <w:lang w:val="sq-AL"/>
              </w:rPr>
            </w:pPr>
            <w:r w:rsidRPr="005208DC">
              <w:rPr>
                <w:rFonts w:asciiTheme="majorBidi" w:eastAsia="Arial Narrow" w:hAnsiTheme="majorBidi" w:cstheme="majorBidi"/>
                <w:color w:val="0D0D0D" w:themeColor="text1" w:themeTint="F2"/>
                <w:lang w:val="sq-AL"/>
              </w:rPr>
              <w:t>Rritja e pjesëmarrjes së punëkërkuesve të papunë në programet e nxitjes së punësimit</w:t>
            </w:r>
          </w:p>
        </w:tc>
        <w:tc>
          <w:tcPr>
            <w:tcW w:w="856" w:type="dxa"/>
          </w:tcPr>
          <w:p w14:paraId="7342697B" w14:textId="227091CA" w:rsidR="00857902" w:rsidRPr="005208DC" w:rsidRDefault="00857902" w:rsidP="00857902">
            <w:pPr>
              <w:snapToGrid w:val="0"/>
              <w:rPr>
                <w:rFonts w:asciiTheme="majorBidi" w:hAnsiTheme="majorBidi" w:cstheme="majorBidi"/>
                <w:color w:val="0D0D0D" w:themeColor="text1" w:themeTint="F2"/>
                <w:lang w:val="sq-AL"/>
              </w:rPr>
            </w:pPr>
            <w:r w:rsidRPr="005208DC">
              <w:rPr>
                <w:rFonts w:asciiTheme="majorBidi" w:eastAsia="Arial Narrow" w:hAnsiTheme="majorBidi" w:cstheme="majorBidi"/>
                <w:color w:val="0D0D0D" w:themeColor="text1" w:themeTint="F2"/>
                <w:lang w:val="sq-AL"/>
              </w:rPr>
              <w:t>6,4%</w:t>
            </w:r>
          </w:p>
        </w:tc>
        <w:tc>
          <w:tcPr>
            <w:tcW w:w="1603" w:type="dxa"/>
          </w:tcPr>
          <w:p w14:paraId="55D57637" w14:textId="5395B55E" w:rsidR="00857902" w:rsidRPr="005208DC" w:rsidRDefault="00857902"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6,7%</w:t>
            </w:r>
          </w:p>
        </w:tc>
        <w:tc>
          <w:tcPr>
            <w:tcW w:w="1603" w:type="dxa"/>
          </w:tcPr>
          <w:p w14:paraId="7924F06C" w14:textId="315BBFD3" w:rsidR="00857902" w:rsidRPr="005208DC" w:rsidRDefault="00857902"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7,0%</w:t>
            </w:r>
          </w:p>
        </w:tc>
        <w:tc>
          <w:tcPr>
            <w:tcW w:w="1604" w:type="dxa"/>
          </w:tcPr>
          <w:p w14:paraId="19285446" w14:textId="27DAD1FA" w:rsidR="00857902" w:rsidRPr="005208DC" w:rsidRDefault="00857902"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7.3%</w:t>
            </w:r>
          </w:p>
        </w:tc>
      </w:tr>
      <w:tr w:rsidR="005208DC" w:rsidRPr="005208DC" w14:paraId="4DBD6C5C" w14:textId="77777777" w:rsidTr="00700A3C">
        <w:tc>
          <w:tcPr>
            <w:tcW w:w="4677" w:type="dxa"/>
          </w:tcPr>
          <w:p w14:paraId="1A9749D9" w14:textId="5B98B7C7" w:rsidR="00857902" w:rsidRPr="005208DC" w:rsidRDefault="00857902" w:rsidP="00857902">
            <w:pPr>
              <w:snapToGrid w:val="0"/>
              <w:rPr>
                <w:rFonts w:asciiTheme="majorBidi" w:hAnsiTheme="majorBidi" w:cstheme="majorBidi"/>
                <w:color w:val="0D0D0D" w:themeColor="text1" w:themeTint="F2"/>
                <w:lang w:val="sq-AL"/>
              </w:rPr>
            </w:pPr>
            <w:r w:rsidRPr="005208DC">
              <w:rPr>
                <w:rFonts w:asciiTheme="majorBidi" w:eastAsia="Arial Narrow" w:hAnsiTheme="majorBidi" w:cstheme="majorBidi"/>
                <w:color w:val="0D0D0D" w:themeColor="text1" w:themeTint="F2"/>
                <w:lang w:val="sq-AL"/>
              </w:rPr>
              <w:t>Rritja e trajnimeve për punëkërkuesit e papunë</w:t>
            </w:r>
          </w:p>
        </w:tc>
        <w:tc>
          <w:tcPr>
            <w:tcW w:w="856" w:type="dxa"/>
          </w:tcPr>
          <w:p w14:paraId="38F8BE5C" w14:textId="10B632DF" w:rsidR="00857902" w:rsidRPr="005208DC" w:rsidRDefault="00857902"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50%</w:t>
            </w:r>
          </w:p>
        </w:tc>
        <w:tc>
          <w:tcPr>
            <w:tcW w:w="1603" w:type="dxa"/>
          </w:tcPr>
          <w:p w14:paraId="39AB8F90" w14:textId="38CA60B1" w:rsidR="00857902" w:rsidRPr="005208DC" w:rsidRDefault="00857902"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60%</w:t>
            </w:r>
          </w:p>
        </w:tc>
        <w:tc>
          <w:tcPr>
            <w:tcW w:w="1603" w:type="dxa"/>
          </w:tcPr>
          <w:p w14:paraId="05AF4D60" w14:textId="46EC2B4F" w:rsidR="00857902" w:rsidRPr="005208DC" w:rsidRDefault="00857902"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65%</w:t>
            </w:r>
          </w:p>
        </w:tc>
        <w:tc>
          <w:tcPr>
            <w:tcW w:w="1604" w:type="dxa"/>
          </w:tcPr>
          <w:p w14:paraId="313808FC" w14:textId="6D465AB3" w:rsidR="00857902" w:rsidRPr="005208DC" w:rsidRDefault="00857902"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70%</w:t>
            </w:r>
          </w:p>
        </w:tc>
      </w:tr>
    </w:tbl>
    <w:p w14:paraId="77DB33D4" w14:textId="77777777" w:rsidR="008725CE" w:rsidRPr="005208DC" w:rsidRDefault="008725CE" w:rsidP="00857902">
      <w:pPr>
        <w:snapToGrid w:val="0"/>
        <w:rPr>
          <w:rFonts w:asciiTheme="majorBidi" w:hAnsiTheme="majorBidi" w:cstheme="majorBidi"/>
          <w:color w:val="0D0D0D" w:themeColor="text1" w:themeTint="F2"/>
          <w:lang w:val="sq-AL"/>
        </w:rPr>
      </w:pPr>
    </w:p>
    <w:tbl>
      <w:tblPr>
        <w:tblW w:w="10348" w:type="dxa"/>
        <w:tblInd w:w="-10" w:type="dxa"/>
        <w:tblLayout w:type="fixed"/>
        <w:tblLook w:val="04A0" w:firstRow="1" w:lastRow="0" w:firstColumn="1" w:lastColumn="0" w:noHBand="0" w:noVBand="1"/>
      </w:tblPr>
      <w:tblGrid>
        <w:gridCol w:w="4395"/>
        <w:gridCol w:w="1190"/>
        <w:gridCol w:w="1191"/>
        <w:gridCol w:w="1190"/>
        <w:gridCol w:w="1191"/>
        <w:gridCol w:w="1191"/>
      </w:tblGrid>
      <w:tr w:rsidR="005208DC" w:rsidRPr="005208DC" w14:paraId="2DC272F7" w14:textId="77777777" w:rsidTr="00A96D39">
        <w:trPr>
          <w:trHeight w:val="219"/>
        </w:trPr>
        <w:tc>
          <w:tcPr>
            <w:tcW w:w="439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146DB74" w14:textId="77777777" w:rsidR="00857902" w:rsidRPr="005208DC" w:rsidRDefault="00857902" w:rsidP="00A96D39">
            <w:pPr>
              <w:jc w:val="center"/>
              <w:rPr>
                <w:rFonts w:asciiTheme="majorBidi" w:eastAsia="Times New Roman" w:hAnsiTheme="majorBidi" w:cstheme="majorBidi"/>
                <w:color w:val="0D0D0D" w:themeColor="text1" w:themeTint="F2"/>
                <w:lang w:val="sq-AL"/>
              </w:rPr>
            </w:pPr>
            <w:r w:rsidRPr="005208DC">
              <w:rPr>
                <w:rFonts w:asciiTheme="majorBidi" w:hAnsiTheme="majorBidi" w:cstheme="majorBidi"/>
                <w:color w:val="0D0D0D" w:themeColor="text1" w:themeTint="F2"/>
                <w:lang w:val="sq-AL"/>
              </w:rPr>
              <w:t>Indikatori</w:t>
            </w:r>
          </w:p>
        </w:tc>
        <w:tc>
          <w:tcPr>
            <w:tcW w:w="1190" w:type="dxa"/>
            <w:tcBorders>
              <w:top w:val="single" w:sz="8" w:space="0" w:color="auto"/>
              <w:left w:val="nil"/>
              <w:bottom w:val="single" w:sz="8" w:space="0" w:color="auto"/>
              <w:right w:val="single" w:sz="8" w:space="0" w:color="auto"/>
            </w:tcBorders>
            <w:shd w:val="clear" w:color="000000" w:fill="FFFFFF"/>
            <w:vAlign w:val="center"/>
            <w:hideMark/>
          </w:tcPr>
          <w:p w14:paraId="23C5B8F3" w14:textId="7FB88F4C" w:rsidR="00857902" w:rsidRPr="005208DC" w:rsidRDefault="00857902" w:rsidP="00857902">
            <w:pPr>
              <w:jc w:val="cente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2018</w:t>
            </w:r>
          </w:p>
        </w:tc>
        <w:tc>
          <w:tcPr>
            <w:tcW w:w="1191" w:type="dxa"/>
            <w:tcBorders>
              <w:top w:val="single" w:sz="8" w:space="0" w:color="auto"/>
              <w:left w:val="nil"/>
              <w:bottom w:val="single" w:sz="8" w:space="0" w:color="auto"/>
              <w:right w:val="single" w:sz="8" w:space="0" w:color="auto"/>
            </w:tcBorders>
            <w:shd w:val="clear" w:color="000000" w:fill="FFFFFF"/>
            <w:vAlign w:val="center"/>
            <w:hideMark/>
          </w:tcPr>
          <w:p w14:paraId="73550C57" w14:textId="77777777" w:rsidR="00857902" w:rsidRPr="005208DC" w:rsidRDefault="00857902" w:rsidP="00A96D39">
            <w:pPr>
              <w:jc w:val="center"/>
              <w:rPr>
                <w:rFonts w:asciiTheme="majorBidi" w:eastAsia="Times New Roman" w:hAnsiTheme="majorBidi" w:cstheme="majorBidi"/>
                <w:bCs/>
                <w:color w:val="0D0D0D" w:themeColor="text1" w:themeTint="F2"/>
                <w:lang w:val="sq-AL"/>
              </w:rPr>
            </w:pPr>
            <w:r w:rsidRPr="005208DC">
              <w:rPr>
                <w:rFonts w:asciiTheme="majorBidi" w:eastAsia="Times New Roman" w:hAnsiTheme="majorBidi" w:cstheme="majorBidi"/>
                <w:bCs/>
                <w:color w:val="0D0D0D" w:themeColor="text1" w:themeTint="F2"/>
                <w:lang w:val="sq-AL"/>
              </w:rPr>
              <w:t>2019</w:t>
            </w:r>
          </w:p>
        </w:tc>
        <w:tc>
          <w:tcPr>
            <w:tcW w:w="1190" w:type="dxa"/>
            <w:tcBorders>
              <w:top w:val="single" w:sz="8" w:space="0" w:color="auto"/>
              <w:left w:val="nil"/>
              <w:bottom w:val="single" w:sz="8" w:space="0" w:color="auto"/>
              <w:right w:val="single" w:sz="8" w:space="0" w:color="auto"/>
            </w:tcBorders>
            <w:shd w:val="clear" w:color="000000" w:fill="FFFFFF"/>
            <w:vAlign w:val="center"/>
            <w:hideMark/>
          </w:tcPr>
          <w:p w14:paraId="20C767CC" w14:textId="77777777" w:rsidR="00857902" w:rsidRPr="005208DC" w:rsidRDefault="00857902" w:rsidP="00A96D39">
            <w:pPr>
              <w:jc w:val="center"/>
              <w:rPr>
                <w:rFonts w:asciiTheme="majorBidi" w:eastAsia="Times New Roman" w:hAnsiTheme="majorBidi" w:cstheme="majorBidi"/>
                <w:bCs/>
                <w:color w:val="0D0D0D" w:themeColor="text1" w:themeTint="F2"/>
                <w:lang w:val="sq-AL"/>
              </w:rPr>
            </w:pPr>
            <w:r w:rsidRPr="005208DC">
              <w:rPr>
                <w:rFonts w:asciiTheme="majorBidi" w:eastAsia="Times New Roman" w:hAnsiTheme="majorBidi" w:cstheme="majorBidi"/>
                <w:bCs/>
                <w:color w:val="0D0D0D" w:themeColor="text1" w:themeTint="F2"/>
                <w:lang w:val="sq-AL"/>
              </w:rPr>
              <w:t>2020</w:t>
            </w:r>
          </w:p>
        </w:tc>
        <w:tc>
          <w:tcPr>
            <w:tcW w:w="1191" w:type="dxa"/>
            <w:tcBorders>
              <w:top w:val="single" w:sz="8" w:space="0" w:color="auto"/>
              <w:left w:val="nil"/>
              <w:bottom w:val="single" w:sz="8" w:space="0" w:color="auto"/>
              <w:right w:val="single" w:sz="8" w:space="0" w:color="auto"/>
            </w:tcBorders>
            <w:shd w:val="clear" w:color="000000" w:fill="FFFFFF"/>
            <w:vAlign w:val="center"/>
            <w:hideMark/>
          </w:tcPr>
          <w:p w14:paraId="1CE5B47C" w14:textId="77777777" w:rsidR="00857902" w:rsidRPr="005208DC" w:rsidRDefault="00857902" w:rsidP="00A96D39">
            <w:pPr>
              <w:jc w:val="cente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(2021)</w:t>
            </w:r>
          </w:p>
        </w:tc>
        <w:tc>
          <w:tcPr>
            <w:tcW w:w="1191" w:type="dxa"/>
            <w:tcBorders>
              <w:top w:val="single" w:sz="8" w:space="0" w:color="auto"/>
              <w:left w:val="nil"/>
              <w:bottom w:val="single" w:sz="8" w:space="0" w:color="auto"/>
              <w:right w:val="single" w:sz="8" w:space="0" w:color="auto"/>
            </w:tcBorders>
            <w:shd w:val="clear" w:color="000000" w:fill="FFFFFF"/>
            <w:vAlign w:val="center"/>
            <w:hideMark/>
          </w:tcPr>
          <w:p w14:paraId="3349B571" w14:textId="77777777" w:rsidR="00857902" w:rsidRPr="005208DC" w:rsidRDefault="00857902" w:rsidP="00A96D39">
            <w:pPr>
              <w:jc w:val="cente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Objektivi (2022)</w:t>
            </w:r>
          </w:p>
        </w:tc>
      </w:tr>
      <w:tr w:rsidR="005208DC" w:rsidRPr="005208DC" w14:paraId="470C9F87" w14:textId="77777777" w:rsidTr="00A96D39">
        <w:trPr>
          <w:trHeight w:val="564"/>
        </w:trPr>
        <w:tc>
          <w:tcPr>
            <w:tcW w:w="4395" w:type="dxa"/>
            <w:tcBorders>
              <w:top w:val="nil"/>
              <w:left w:val="single" w:sz="8" w:space="0" w:color="auto"/>
              <w:bottom w:val="single" w:sz="8" w:space="0" w:color="auto"/>
              <w:right w:val="single" w:sz="8" w:space="0" w:color="auto"/>
            </w:tcBorders>
            <w:shd w:val="clear" w:color="000000" w:fill="FFFFFF"/>
            <w:vAlign w:val="center"/>
            <w:hideMark/>
          </w:tcPr>
          <w:p w14:paraId="17C12914" w14:textId="77777777" w:rsidR="00857902" w:rsidRPr="005208DC" w:rsidRDefault="00857902" w:rsidP="00A96D39">
            <w:pP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Rritja e pjesëmarrjes në kurset e formimit profesional për punëkërkuesit e papunë</w:t>
            </w:r>
          </w:p>
        </w:tc>
        <w:tc>
          <w:tcPr>
            <w:tcW w:w="1190" w:type="dxa"/>
            <w:tcBorders>
              <w:top w:val="nil"/>
              <w:left w:val="nil"/>
              <w:bottom w:val="single" w:sz="8" w:space="0" w:color="auto"/>
              <w:right w:val="single" w:sz="8" w:space="0" w:color="auto"/>
            </w:tcBorders>
            <w:shd w:val="clear" w:color="000000" w:fill="FFFFFF"/>
            <w:vAlign w:val="center"/>
            <w:hideMark/>
          </w:tcPr>
          <w:p w14:paraId="68519258" w14:textId="202F3416" w:rsidR="00857902" w:rsidRPr="005208DC" w:rsidRDefault="00857902" w:rsidP="007F2542">
            <w:pPr>
              <w:jc w:val="right"/>
              <w:rPr>
                <w:rFonts w:asciiTheme="majorBidi" w:eastAsia="Times New Roman" w:hAnsiTheme="majorBidi" w:cstheme="majorBidi"/>
                <w:bCs/>
                <w:color w:val="0D0D0D" w:themeColor="text1" w:themeTint="F2"/>
                <w:lang w:val="sq-AL"/>
              </w:rPr>
            </w:pPr>
            <w:r w:rsidRPr="005208DC">
              <w:rPr>
                <w:rFonts w:asciiTheme="majorBidi" w:eastAsia="Times New Roman" w:hAnsiTheme="majorBidi" w:cstheme="majorBidi"/>
                <w:bCs/>
                <w:color w:val="0D0D0D" w:themeColor="text1" w:themeTint="F2"/>
                <w:u w:val="single"/>
                <w:lang w:val="sq-AL"/>
              </w:rPr>
              <w:t>(8770/16574)</w:t>
            </w:r>
            <w:r w:rsidRPr="005208DC">
              <w:rPr>
                <w:rFonts w:asciiTheme="majorBidi" w:eastAsia="Times New Roman" w:hAnsiTheme="majorBidi" w:cstheme="majorBidi"/>
                <w:bCs/>
                <w:color w:val="0D0D0D" w:themeColor="text1" w:themeTint="F2"/>
                <w:lang w:val="sq-AL"/>
              </w:rPr>
              <w:t xml:space="preserve"> </w:t>
            </w:r>
            <w:r w:rsidRPr="005208DC">
              <w:rPr>
                <w:rFonts w:asciiTheme="majorBidi" w:eastAsia="Times New Roman" w:hAnsiTheme="majorBidi" w:cstheme="majorBidi"/>
                <w:color w:val="0D0D0D" w:themeColor="text1" w:themeTint="F2"/>
                <w:lang w:val="sq-AL"/>
              </w:rPr>
              <w:t>53%</w:t>
            </w:r>
          </w:p>
        </w:tc>
        <w:tc>
          <w:tcPr>
            <w:tcW w:w="1191" w:type="dxa"/>
            <w:tcBorders>
              <w:top w:val="nil"/>
              <w:left w:val="nil"/>
              <w:bottom w:val="single" w:sz="8" w:space="0" w:color="auto"/>
              <w:right w:val="single" w:sz="8" w:space="0" w:color="auto"/>
            </w:tcBorders>
            <w:shd w:val="clear" w:color="000000" w:fill="FFFFFF"/>
            <w:vAlign w:val="center"/>
            <w:hideMark/>
          </w:tcPr>
          <w:p w14:paraId="1C682F02" w14:textId="77777777" w:rsidR="00857902" w:rsidRPr="005208DC" w:rsidRDefault="00857902" w:rsidP="00A96D39">
            <w:pPr>
              <w:jc w:val="right"/>
              <w:rPr>
                <w:rFonts w:asciiTheme="majorBidi" w:eastAsia="Times New Roman" w:hAnsiTheme="majorBidi" w:cstheme="majorBidi"/>
                <w:bCs/>
                <w:color w:val="0D0D0D" w:themeColor="text1" w:themeTint="F2"/>
                <w:u w:val="single"/>
                <w:lang w:val="sq-AL"/>
              </w:rPr>
            </w:pPr>
            <w:r w:rsidRPr="005208DC">
              <w:rPr>
                <w:rFonts w:asciiTheme="majorBidi" w:eastAsia="Times New Roman" w:hAnsiTheme="majorBidi" w:cstheme="majorBidi"/>
                <w:bCs/>
                <w:color w:val="0D0D0D" w:themeColor="text1" w:themeTint="F2"/>
                <w:u w:val="single"/>
                <w:lang w:val="sq-AL"/>
              </w:rPr>
              <w:t>(8,818/15,143)</w:t>
            </w:r>
            <w:r w:rsidRPr="005208DC">
              <w:rPr>
                <w:rFonts w:asciiTheme="majorBidi" w:eastAsia="Times New Roman" w:hAnsiTheme="majorBidi" w:cstheme="majorBidi"/>
                <w:color w:val="0D0D0D" w:themeColor="text1" w:themeTint="F2"/>
                <w:lang w:val="sq-AL"/>
              </w:rPr>
              <w:t xml:space="preserve"> 58%</w:t>
            </w:r>
          </w:p>
        </w:tc>
        <w:tc>
          <w:tcPr>
            <w:tcW w:w="1190" w:type="dxa"/>
            <w:tcBorders>
              <w:top w:val="nil"/>
              <w:left w:val="nil"/>
              <w:bottom w:val="single" w:sz="8" w:space="0" w:color="auto"/>
              <w:right w:val="single" w:sz="8" w:space="0" w:color="auto"/>
            </w:tcBorders>
            <w:shd w:val="clear" w:color="000000" w:fill="FFFFFF"/>
            <w:vAlign w:val="center"/>
            <w:hideMark/>
          </w:tcPr>
          <w:p w14:paraId="63E02EED" w14:textId="77777777" w:rsidR="00857902" w:rsidRPr="005208DC" w:rsidRDefault="00857902" w:rsidP="00A96D39">
            <w:pPr>
              <w:jc w:val="right"/>
              <w:rPr>
                <w:rFonts w:asciiTheme="majorBidi" w:eastAsia="Times New Roman" w:hAnsiTheme="majorBidi" w:cstheme="majorBidi"/>
                <w:bCs/>
                <w:color w:val="0D0D0D" w:themeColor="text1" w:themeTint="F2"/>
                <w:lang w:val="sq-AL"/>
              </w:rPr>
            </w:pPr>
            <w:r w:rsidRPr="005208DC">
              <w:rPr>
                <w:rFonts w:asciiTheme="majorBidi" w:eastAsia="Times New Roman" w:hAnsiTheme="majorBidi" w:cstheme="majorBidi"/>
                <w:bCs/>
                <w:color w:val="0D0D0D" w:themeColor="text1" w:themeTint="F2"/>
                <w:lang w:val="sq-AL"/>
              </w:rPr>
              <w:t>(4386/7427)</w:t>
            </w:r>
            <w:r w:rsidRPr="005208DC">
              <w:rPr>
                <w:rFonts w:asciiTheme="majorBidi" w:eastAsia="Times New Roman" w:hAnsiTheme="majorBidi" w:cstheme="majorBidi"/>
                <w:color w:val="0D0D0D" w:themeColor="text1" w:themeTint="F2"/>
                <w:lang w:val="sq-AL"/>
              </w:rPr>
              <w:t xml:space="preserve"> 59% (Jan- Dec) 2020)</w:t>
            </w:r>
          </w:p>
        </w:tc>
        <w:tc>
          <w:tcPr>
            <w:tcW w:w="1191" w:type="dxa"/>
            <w:tcBorders>
              <w:top w:val="nil"/>
              <w:left w:val="nil"/>
              <w:bottom w:val="single" w:sz="8" w:space="0" w:color="auto"/>
              <w:right w:val="single" w:sz="8" w:space="0" w:color="auto"/>
            </w:tcBorders>
            <w:shd w:val="clear" w:color="000000" w:fill="FFFFFF"/>
            <w:vAlign w:val="center"/>
            <w:hideMark/>
          </w:tcPr>
          <w:p w14:paraId="2A7513B7" w14:textId="77777777" w:rsidR="00857902" w:rsidRPr="005208DC" w:rsidRDefault="00857902" w:rsidP="00A96D39">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(3984/6839)</w:t>
            </w:r>
          </w:p>
          <w:p w14:paraId="6882103F" w14:textId="77777777" w:rsidR="00857902" w:rsidRPr="005208DC" w:rsidRDefault="00857902" w:rsidP="00A96D39">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58%</w:t>
            </w:r>
          </w:p>
          <w:p w14:paraId="60B626A3" w14:textId="77777777" w:rsidR="00857902" w:rsidRPr="005208DC" w:rsidRDefault="00857902" w:rsidP="00A96D39">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(Jan-Aug)</w:t>
            </w:r>
          </w:p>
        </w:tc>
        <w:tc>
          <w:tcPr>
            <w:tcW w:w="1191" w:type="dxa"/>
            <w:tcBorders>
              <w:top w:val="nil"/>
              <w:left w:val="nil"/>
              <w:bottom w:val="single" w:sz="8" w:space="0" w:color="auto"/>
              <w:right w:val="single" w:sz="8" w:space="0" w:color="auto"/>
            </w:tcBorders>
            <w:shd w:val="clear" w:color="000000" w:fill="FFFFFF"/>
            <w:vAlign w:val="center"/>
            <w:hideMark/>
          </w:tcPr>
          <w:p w14:paraId="46F52EAE" w14:textId="77777777" w:rsidR="00857902" w:rsidRPr="005208DC" w:rsidRDefault="00857902" w:rsidP="00A96D39">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70%</w:t>
            </w:r>
          </w:p>
        </w:tc>
      </w:tr>
      <w:tr w:rsidR="005208DC" w:rsidRPr="005208DC" w14:paraId="67E9D116" w14:textId="77777777" w:rsidTr="00A96D39">
        <w:trPr>
          <w:trHeight w:val="554"/>
        </w:trPr>
        <w:tc>
          <w:tcPr>
            <w:tcW w:w="4395" w:type="dxa"/>
            <w:tcBorders>
              <w:top w:val="nil"/>
              <w:left w:val="single" w:sz="8" w:space="0" w:color="auto"/>
              <w:bottom w:val="single" w:sz="8" w:space="0" w:color="auto"/>
              <w:right w:val="single" w:sz="8" w:space="0" w:color="auto"/>
            </w:tcBorders>
            <w:shd w:val="clear" w:color="000000" w:fill="FFFFFF"/>
            <w:vAlign w:val="center"/>
            <w:hideMark/>
          </w:tcPr>
          <w:p w14:paraId="4A50E179" w14:textId="77777777" w:rsidR="00857902" w:rsidRPr="005208DC" w:rsidRDefault="00857902" w:rsidP="00A96D39">
            <w:pP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Rritja e punësimit të punëkërkuesve përmes shërbimeve të ndërmjetësimit për punë</w:t>
            </w:r>
          </w:p>
        </w:tc>
        <w:tc>
          <w:tcPr>
            <w:tcW w:w="1190" w:type="dxa"/>
            <w:tcBorders>
              <w:top w:val="nil"/>
              <w:left w:val="nil"/>
              <w:bottom w:val="single" w:sz="8" w:space="0" w:color="auto"/>
              <w:right w:val="single" w:sz="8" w:space="0" w:color="auto"/>
            </w:tcBorders>
            <w:shd w:val="clear" w:color="000000" w:fill="FFFFFF"/>
            <w:vAlign w:val="center"/>
            <w:hideMark/>
          </w:tcPr>
          <w:p w14:paraId="1BE6BA39" w14:textId="77777777" w:rsidR="00857902" w:rsidRPr="005208DC" w:rsidRDefault="00857902" w:rsidP="00A96D39">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bCs/>
                <w:color w:val="0D0D0D" w:themeColor="text1" w:themeTint="F2"/>
                <w:u w:val="single"/>
                <w:lang w:val="sq-AL"/>
              </w:rPr>
              <w:t>(20,808)</w:t>
            </w:r>
            <w:r w:rsidRPr="005208DC">
              <w:rPr>
                <w:rFonts w:asciiTheme="majorBidi" w:eastAsia="Times New Roman" w:hAnsiTheme="majorBidi" w:cstheme="majorBidi"/>
                <w:color w:val="0D0D0D" w:themeColor="text1" w:themeTint="F2"/>
                <w:lang w:val="sq-AL"/>
              </w:rPr>
              <w:t xml:space="preserve"> 28%</w:t>
            </w:r>
          </w:p>
        </w:tc>
        <w:tc>
          <w:tcPr>
            <w:tcW w:w="1191" w:type="dxa"/>
            <w:tcBorders>
              <w:top w:val="nil"/>
              <w:left w:val="nil"/>
              <w:bottom w:val="single" w:sz="8" w:space="0" w:color="auto"/>
              <w:right w:val="single" w:sz="8" w:space="0" w:color="auto"/>
            </w:tcBorders>
            <w:shd w:val="clear" w:color="000000" w:fill="FFFFFF"/>
            <w:vAlign w:val="center"/>
            <w:hideMark/>
          </w:tcPr>
          <w:p w14:paraId="7D82D952" w14:textId="77777777" w:rsidR="00857902" w:rsidRPr="005208DC" w:rsidRDefault="00857902" w:rsidP="00A96D39">
            <w:pPr>
              <w:jc w:val="right"/>
              <w:rPr>
                <w:rFonts w:asciiTheme="majorBidi" w:eastAsia="Times New Roman" w:hAnsiTheme="majorBidi" w:cstheme="majorBidi"/>
                <w:bCs/>
                <w:color w:val="0D0D0D" w:themeColor="text1" w:themeTint="F2"/>
                <w:u w:val="single"/>
                <w:lang w:val="sq-AL"/>
              </w:rPr>
            </w:pPr>
            <w:r w:rsidRPr="005208DC">
              <w:rPr>
                <w:rFonts w:asciiTheme="majorBidi" w:eastAsia="Times New Roman" w:hAnsiTheme="majorBidi" w:cstheme="majorBidi"/>
                <w:bCs/>
                <w:color w:val="0D0D0D" w:themeColor="text1" w:themeTint="F2"/>
                <w:u w:val="single"/>
                <w:lang w:val="sq-AL"/>
              </w:rPr>
              <w:t>(20,880)</w:t>
            </w:r>
            <w:r w:rsidRPr="005208DC">
              <w:rPr>
                <w:rFonts w:asciiTheme="majorBidi" w:eastAsia="Times New Roman" w:hAnsiTheme="majorBidi" w:cstheme="majorBidi"/>
                <w:color w:val="0D0D0D" w:themeColor="text1" w:themeTint="F2"/>
                <w:lang w:val="sq-AL"/>
              </w:rPr>
              <w:t xml:space="preserve"> 29.4%</w:t>
            </w:r>
          </w:p>
        </w:tc>
        <w:tc>
          <w:tcPr>
            <w:tcW w:w="1190" w:type="dxa"/>
            <w:tcBorders>
              <w:top w:val="nil"/>
              <w:left w:val="nil"/>
              <w:bottom w:val="single" w:sz="8" w:space="0" w:color="auto"/>
              <w:right w:val="single" w:sz="8" w:space="0" w:color="auto"/>
            </w:tcBorders>
            <w:shd w:val="clear" w:color="000000" w:fill="FFFFFF"/>
            <w:vAlign w:val="center"/>
            <w:hideMark/>
          </w:tcPr>
          <w:p w14:paraId="1FD81CF8" w14:textId="77777777" w:rsidR="00857902" w:rsidRPr="005208DC" w:rsidRDefault="00857902" w:rsidP="00A96D39">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bCs/>
                <w:color w:val="0D0D0D" w:themeColor="text1" w:themeTint="F2"/>
                <w:lang w:val="sq-AL"/>
              </w:rPr>
              <w:t xml:space="preserve">(8,830) </w:t>
            </w:r>
            <w:r w:rsidRPr="005208DC">
              <w:rPr>
                <w:rFonts w:asciiTheme="majorBidi" w:eastAsia="Times New Roman" w:hAnsiTheme="majorBidi" w:cstheme="majorBidi"/>
                <w:color w:val="0D0D0D" w:themeColor="text1" w:themeTint="F2"/>
                <w:lang w:val="sq-AL"/>
              </w:rPr>
              <w:t>10.6% (Jan- Dec 2020)</w:t>
            </w:r>
          </w:p>
        </w:tc>
        <w:tc>
          <w:tcPr>
            <w:tcW w:w="1191" w:type="dxa"/>
            <w:tcBorders>
              <w:top w:val="nil"/>
              <w:left w:val="nil"/>
              <w:bottom w:val="single" w:sz="8" w:space="0" w:color="auto"/>
              <w:right w:val="single" w:sz="8" w:space="0" w:color="auto"/>
            </w:tcBorders>
            <w:shd w:val="clear" w:color="000000" w:fill="FFFFFF"/>
            <w:vAlign w:val="center"/>
            <w:hideMark/>
          </w:tcPr>
          <w:p w14:paraId="40DC2B70" w14:textId="77777777" w:rsidR="00857902" w:rsidRPr="005208DC" w:rsidRDefault="00857902" w:rsidP="00A96D39">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(5368) 5.6% (Jan-Aug)</w:t>
            </w:r>
          </w:p>
        </w:tc>
        <w:tc>
          <w:tcPr>
            <w:tcW w:w="1191" w:type="dxa"/>
            <w:tcBorders>
              <w:top w:val="nil"/>
              <w:left w:val="nil"/>
              <w:bottom w:val="single" w:sz="8" w:space="0" w:color="auto"/>
              <w:right w:val="single" w:sz="8" w:space="0" w:color="auto"/>
            </w:tcBorders>
            <w:shd w:val="clear" w:color="000000" w:fill="FFFFFF"/>
            <w:vAlign w:val="center"/>
            <w:hideMark/>
          </w:tcPr>
          <w:p w14:paraId="597B3D41" w14:textId="77777777" w:rsidR="00857902" w:rsidRPr="005208DC" w:rsidRDefault="00857902" w:rsidP="00A96D39">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48%</w:t>
            </w:r>
          </w:p>
        </w:tc>
      </w:tr>
      <w:tr w:rsidR="005208DC" w:rsidRPr="005208DC" w14:paraId="2493A33C" w14:textId="77777777" w:rsidTr="00A96D39">
        <w:trPr>
          <w:trHeight w:val="575"/>
        </w:trPr>
        <w:tc>
          <w:tcPr>
            <w:tcW w:w="4395" w:type="dxa"/>
            <w:tcBorders>
              <w:top w:val="nil"/>
              <w:left w:val="single" w:sz="8" w:space="0" w:color="auto"/>
              <w:bottom w:val="single" w:sz="8" w:space="0" w:color="auto"/>
              <w:right w:val="single" w:sz="8" w:space="0" w:color="auto"/>
            </w:tcBorders>
            <w:shd w:val="clear" w:color="000000" w:fill="FFFFFF"/>
            <w:vAlign w:val="center"/>
            <w:hideMark/>
          </w:tcPr>
          <w:p w14:paraId="1007171B" w14:textId="77777777" w:rsidR="00857902" w:rsidRPr="005208DC" w:rsidRDefault="00857902" w:rsidP="00A96D39">
            <w:pP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Rritja e pjesëmarrjes së punëkërkuesve të papunë në programet e nxitjes së punësimit</w:t>
            </w:r>
          </w:p>
        </w:tc>
        <w:tc>
          <w:tcPr>
            <w:tcW w:w="1190" w:type="dxa"/>
            <w:tcBorders>
              <w:top w:val="nil"/>
              <w:left w:val="nil"/>
              <w:bottom w:val="single" w:sz="8" w:space="0" w:color="auto"/>
              <w:right w:val="single" w:sz="8" w:space="0" w:color="auto"/>
            </w:tcBorders>
            <w:shd w:val="clear" w:color="000000" w:fill="FFFFFF"/>
            <w:vAlign w:val="center"/>
            <w:hideMark/>
          </w:tcPr>
          <w:p w14:paraId="7B0E1FAD" w14:textId="77777777" w:rsidR="00857902" w:rsidRPr="005208DC" w:rsidRDefault="00857902" w:rsidP="00A96D39">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bCs/>
                <w:color w:val="0D0D0D" w:themeColor="text1" w:themeTint="F2"/>
                <w:u w:val="single"/>
                <w:lang w:val="sq-AL"/>
              </w:rPr>
              <w:t>(4,808)</w:t>
            </w:r>
            <w:r w:rsidRPr="005208DC">
              <w:rPr>
                <w:rFonts w:asciiTheme="majorBidi" w:eastAsia="Times New Roman" w:hAnsiTheme="majorBidi" w:cstheme="majorBidi"/>
                <w:color w:val="0D0D0D" w:themeColor="text1" w:themeTint="F2"/>
                <w:lang w:val="sq-AL"/>
              </w:rPr>
              <w:t xml:space="preserve"> 6,4%</w:t>
            </w:r>
          </w:p>
        </w:tc>
        <w:tc>
          <w:tcPr>
            <w:tcW w:w="1191" w:type="dxa"/>
            <w:tcBorders>
              <w:top w:val="nil"/>
              <w:left w:val="nil"/>
              <w:bottom w:val="single" w:sz="8" w:space="0" w:color="auto"/>
              <w:right w:val="single" w:sz="8" w:space="0" w:color="auto"/>
            </w:tcBorders>
            <w:shd w:val="clear" w:color="000000" w:fill="FFFFFF"/>
            <w:vAlign w:val="center"/>
            <w:hideMark/>
          </w:tcPr>
          <w:p w14:paraId="67E22AE1" w14:textId="77777777" w:rsidR="00857902" w:rsidRPr="005208DC" w:rsidRDefault="00857902" w:rsidP="00A96D39">
            <w:pPr>
              <w:jc w:val="right"/>
              <w:rPr>
                <w:rFonts w:asciiTheme="majorBidi" w:eastAsia="Times New Roman" w:hAnsiTheme="majorBidi" w:cstheme="majorBidi"/>
                <w:bCs/>
                <w:color w:val="0D0D0D" w:themeColor="text1" w:themeTint="F2"/>
                <w:u w:val="single"/>
                <w:lang w:val="sq-AL"/>
              </w:rPr>
            </w:pPr>
            <w:r w:rsidRPr="005208DC">
              <w:rPr>
                <w:rFonts w:asciiTheme="majorBidi" w:eastAsia="Times New Roman" w:hAnsiTheme="majorBidi" w:cstheme="majorBidi"/>
                <w:bCs/>
                <w:color w:val="0D0D0D" w:themeColor="text1" w:themeTint="F2"/>
                <w:u w:val="single"/>
                <w:lang w:val="sq-AL"/>
              </w:rPr>
              <w:t>(5,338)</w:t>
            </w:r>
            <w:r w:rsidRPr="005208DC">
              <w:rPr>
                <w:rFonts w:asciiTheme="majorBidi" w:eastAsia="Times New Roman" w:hAnsiTheme="majorBidi" w:cstheme="majorBidi"/>
                <w:color w:val="0D0D0D" w:themeColor="text1" w:themeTint="F2"/>
                <w:lang w:val="sq-AL"/>
              </w:rPr>
              <w:t xml:space="preserve"> 7.5%</w:t>
            </w:r>
          </w:p>
        </w:tc>
        <w:tc>
          <w:tcPr>
            <w:tcW w:w="1190" w:type="dxa"/>
            <w:tcBorders>
              <w:top w:val="nil"/>
              <w:left w:val="nil"/>
              <w:bottom w:val="single" w:sz="8" w:space="0" w:color="auto"/>
              <w:right w:val="single" w:sz="8" w:space="0" w:color="auto"/>
            </w:tcBorders>
            <w:shd w:val="clear" w:color="000000" w:fill="FFFFFF"/>
            <w:vAlign w:val="center"/>
            <w:hideMark/>
          </w:tcPr>
          <w:p w14:paraId="6A93DD77" w14:textId="77777777" w:rsidR="00857902" w:rsidRPr="005208DC" w:rsidRDefault="00857902" w:rsidP="00A96D39">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bCs/>
                <w:color w:val="0D0D0D" w:themeColor="text1" w:themeTint="F2"/>
                <w:lang w:val="sq-AL"/>
              </w:rPr>
              <w:t xml:space="preserve">(4,141) </w:t>
            </w:r>
            <w:r w:rsidRPr="005208DC">
              <w:rPr>
                <w:rFonts w:asciiTheme="majorBidi" w:eastAsia="Times New Roman" w:hAnsiTheme="majorBidi" w:cstheme="majorBidi"/>
                <w:color w:val="0D0D0D" w:themeColor="text1" w:themeTint="F2"/>
                <w:lang w:val="sq-AL"/>
              </w:rPr>
              <w:t>5% (Jan- Dec 2020)</w:t>
            </w:r>
          </w:p>
        </w:tc>
        <w:tc>
          <w:tcPr>
            <w:tcW w:w="1191" w:type="dxa"/>
            <w:tcBorders>
              <w:top w:val="nil"/>
              <w:left w:val="nil"/>
              <w:bottom w:val="single" w:sz="8" w:space="0" w:color="auto"/>
              <w:right w:val="single" w:sz="8" w:space="0" w:color="auto"/>
            </w:tcBorders>
            <w:shd w:val="clear" w:color="000000" w:fill="FFFFFF"/>
            <w:vAlign w:val="center"/>
            <w:hideMark/>
          </w:tcPr>
          <w:p w14:paraId="45A4155E" w14:textId="77777777" w:rsidR="00857902" w:rsidRPr="005208DC" w:rsidRDefault="00857902" w:rsidP="00A96D39">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(3236) 3.3%</w:t>
            </w:r>
          </w:p>
          <w:p w14:paraId="42D489A5" w14:textId="77777777" w:rsidR="00857902" w:rsidRPr="005208DC" w:rsidRDefault="00857902" w:rsidP="00A96D39">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 xml:space="preserve">(Jan- Jun) </w:t>
            </w:r>
          </w:p>
        </w:tc>
        <w:tc>
          <w:tcPr>
            <w:tcW w:w="1191" w:type="dxa"/>
            <w:tcBorders>
              <w:top w:val="nil"/>
              <w:left w:val="nil"/>
              <w:bottom w:val="single" w:sz="8" w:space="0" w:color="auto"/>
              <w:right w:val="single" w:sz="8" w:space="0" w:color="auto"/>
            </w:tcBorders>
            <w:shd w:val="clear" w:color="000000" w:fill="FFFFFF"/>
            <w:vAlign w:val="center"/>
            <w:hideMark/>
          </w:tcPr>
          <w:p w14:paraId="6EB15841" w14:textId="77777777" w:rsidR="00857902" w:rsidRPr="005208DC" w:rsidRDefault="00857902" w:rsidP="00A96D39">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7.30%</w:t>
            </w:r>
          </w:p>
        </w:tc>
      </w:tr>
      <w:tr w:rsidR="005208DC" w:rsidRPr="005208DC" w14:paraId="52FFCE35" w14:textId="77777777" w:rsidTr="00A96D39">
        <w:trPr>
          <w:trHeight w:val="564"/>
        </w:trPr>
        <w:tc>
          <w:tcPr>
            <w:tcW w:w="4395" w:type="dxa"/>
            <w:tcBorders>
              <w:top w:val="nil"/>
              <w:left w:val="single" w:sz="8" w:space="0" w:color="auto"/>
              <w:bottom w:val="single" w:sz="8" w:space="0" w:color="auto"/>
              <w:right w:val="single" w:sz="8" w:space="0" w:color="auto"/>
            </w:tcBorders>
            <w:shd w:val="clear" w:color="000000" w:fill="FFFFFF"/>
            <w:vAlign w:val="center"/>
            <w:hideMark/>
          </w:tcPr>
          <w:p w14:paraId="4EEA04BF" w14:textId="77777777" w:rsidR="00857902" w:rsidRPr="005208DC" w:rsidRDefault="00857902" w:rsidP="00A96D39">
            <w:pP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Numri mesatar i punëkërkuesve të papunë të regjistruar (Stock)</w:t>
            </w:r>
          </w:p>
        </w:tc>
        <w:tc>
          <w:tcPr>
            <w:tcW w:w="1190" w:type="dxa"/>
            <w:tcBorders>
              <w:top w:val="nil"/>
              <w:left w:val="nil"/>
              <w:bottom w:val="single" w:sz="8" w:space="0" w:color="auto"/>
              <w:right w:val="single" w:sz="8" w:space="0" w:color="auto"/>
            </w:tcBorders>
            <w:shd w:val="clear" w:color="000000" w:fill="FFFFFF"/>
            <w:vAlign w:val="center"/>
            <w:hideMark/>
          </w:tcPr>
          <w:p w14:paraId="02C4E5F6" w14:textId="77777777" w:rsidR="00857902" w:rsidRPr="005208DC" w:rsidRDefault="00857902" w:rsidP="00A96D39">
            <w:pPr>
              <w:jc w:val="right"/>
              <w:rPr>
                <w:rFonts w:asciiTheme="majorBidi" w:eastAsia="Times New Roman" w:hAnsiTheme="majorBidi" w:cstheme="majorBidi"/>
                <w:bCs/>
                <w:color w:val="0D0D0D" w:themeColor="text1" w:themeTint="F2"/>
                <w:u w:val="single"/>
                <w:lang w:val="sq-AL"/>
              </w:rPr>
            </w:pPr>
            <w:r w:rsidRPr="005208DC">
              <w:rPr>
                <w:rFonts w:asciiTheme="majorBidi" w:eastAsia="Times New Roman" w:hAnsiTheme="majorBidi" w:cstheme="majorBidi"/>
                <w:bCs/>
                <w:color w:val="0D0D0D" w:themeColor="text1" w:themeTint="F2"/>
                <w:u w:val="single"/>
                <w:lang w:val="sq-AL"/>
              </w:rPr>
              <w:t>74,686</w:t>
            </w:r>
          </w:p>
        </w:tc>
        <w:tc>
          <w:tcPr>
            <w:tcW w:w="1191" w:type="dxa"/>
            <w:tcBorders>
              <w:top w:val="nil"/>
              <w:left w:val="nil"/>
              <w:bottom w:val="single" w:sz="8" w:space="0" w:color="auto"/>
              <w:right w:val="single" w:sz="8" w:space="0" w:color="auto"/>
            </w:tcBorders>
            <w:shd w:val="clear" w:color="000000" w:fill="FFFFFF"/>
            <w:vAlign w:val="center"/>
            <w:hideMark/>
          </w:tcPr>
          <w:p w14:paraId="56B6C849" w14:textId="77777777" w:rsidR="00857902" w:rsidRPr="005208DC" w:rsidRDefault="00857902" w:rsidP="00A96D39">
            <w:pPr>
              <w:jc w:val="right"/>
              <w:rPr>
                <w:rFonts w:asciiTheme="majorBidi" w:eastAsia="Times New Roman" w:hAnsiTheme="majorBidi" w:cstheme="majorBidi"/>
                <w:bCs/>
                <w:color w:val="0D0D0D" w:themeColor="text1" w:themeTint="F2"/>
                <w:u w:val="single"/>
                <w:lang w:val="sq-AL"/>
              </w:rPr>
            </w:pPr>
            <w:r w:rsidRPr="005208DC">
              <w:rPr>
                <w:rFonts w:asciiTheme="majorBidi" w:eastAsia="Times New Roman" w:hAnsiTheme="majorBidi" w:cstheme="majorBidi"/>
                <w:bCs/>
                <w:color w:val="0D0D0D" w:themeColor="text1" w:themeTint="F2"/>
                <w:u w:val="single"/>
                <w:lang w:val="sq-AL"/>
              </w:rPr>
              <w:t>70,930</w:t>
            </w:r>
          </w:p>
        </w:tc>
        <w:tc>
          <w:tcPr>
            <w:tcW w:w="1190" w:type="dxa"/>
            <w:tcBorders>
              <w:top w:val="nil"/>
              <w:left w:val="nil"/>
              <w:bottom w:val="single" w:sz="8" w:space="0" w:color="auto"/>
              <w:right w:val="single" w:sz="8" w:space="0" w:color="auto"/>
            </w:tcBorders>
            <w:shd w:val="clear" w:color="000000" w:fill="FFFFFF"/>
            <w:vAlign w:val="center"/>
            <w:hideMark/>
          </w:tcPr>
          <w:p w14:paraId="3D2E8205" w14:textId="77777777" w:rsidR="00857902" w:rsidRPr="005208DC" w:rsidRDefault="00857902" w:rsidP="00A96D39">
            <w:pPr>
              <w:jc w:val="right"/>
              <w:rPr>
                <w:rFonts w:asciiTheme="majorBidi" w:eastAsia="Times New Roman" w:hAnsiTheme="majorBidi" w:cstheme="majorBidi"/>
                <w:bCs/>
                <w:color w:val="0D0D0D" w:themeColor="text1" w:themeTint="F2"/>
                <w:u w:val="single"/>
                <w:lang w:val="sq-AL"/>
              </w:rPr>
            </w:pPr>
            <w:r w:rsidRPr="005208DC">
              <w:rPr>
                <w:rFonts w:asciiTheme="majorBidi" w:eastAsia="Times New Roman" w:hAnsiTheme="majorBidi" w:cstheme="majorBidi"/>
                <w:bCs/>
                <w:color w:val="0D0D0D" w:themeColor="text1" w:themeTint="F2"/>
                <w:u w:val="single"/>
                <w:lang w:val="sq-AL"/>
              </w:rPr>
              <w:t xml:space="preserve">82,921 </w:t>
            </w:r>
            <w:r w:rsidRPr="005208DC">
              <w:rPr>
                <w:rFonts w:asciiTheme="majorBidi" w:eastAsia="Times New Roman" w:hAnsiTheme="majorBidi" w:cstheme="majorBidi"/>
                <w:color w:val="0D0D0D" w:themeColor="text1" w:themeTint="F2"/>
                <w:lang w:val="sq-AL"/>
              </w:rPr>
              <w:t>(Jan- Dec 2020)</w:t>
            </w:r>
          </w:p>
        </w:tc>
        <w:tc>
          <w:tcPr>
            <w:tcW w:w="1191" w:type="dxa"/>
            <w:tcBorders>
              <w:top w:val="nil"/>
              <w:left w:val="nil"/>
              <w:bottom w:val="single" w:sz="8" w:space="0" w:color="auto"/>
              <w:right w:val="single" w:sz="8" w:space="0" w:color="auto"/>
            </w:tcBorders>
            <w:shd w:val="clear" w:color="000000" w:fill="FFFFFF"/>
            <w:vAlign w:val="center"/>
            <w:hideMark/>
          </w:tcPr>
          <w:p w14:paraId="3C3EE111" w14:textId="77777777" w:rsidR="00857902" w:rsidRPr="005208DC" w:rsidRDefault="00857902" w:rsidP="00A96D39">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(95,806) Jan- Apr)</w:t>
            </w:r>
          </w:p>
        </w:tc>
        <w:tc>
          <w:tcPr>
            <w:tcW w:w="1191" w:type="dxa"/>
            <w:tcBorders>
              <w:top w:val="nil"/>
              <w:left w:val="nil"/>
              <w:bottom w:val="single" w:sz="8" w:space="0" w:color="auto"/>
              <w:right w:val="single" w:sz="8" w:space="0" w:color="auto"/>
            </w:tcBorders>
            <w:shd w:val="clear" w:color="000000" w:fill="FFFFFF"/>
            <w:vAlign w:val="center"/>
            <w:hideMark/>
          </w:tcPr>
          <w:p w14:paraId="534D2E8E" w14:textId="77777777" w:rsidR="00857902" w:rsidRPr="005208DC" w:rsidRDefault="00857902" w:rsidP="00A96D39">
            <w:pPr>
              <w:jc w:val="right"/>
              <w:rPr>
                <w:rFonts w:asciiTheme="majorBidi" w:eastAsia="Times New Roman" w:hAnsiTheme="majorBidi" w:cstheme="majorBidi"/>
                <w:color w:val="0D0D0D" w:themeColor="text1" w:themeTint="F2"/>
                <w:lang w:val="sq-AL"/>
              </w:rPr>
            </w:pPr>
          </w:p>
        </w:tc>
      </w:tr>
    </w:tbl>
    <w:p w14:paraId="037BC540" w14:textId="77777777" w:rsidR="00857902" w:rsidRPr="005208DC" w:rsidRDefault="00857902" w:rsidP="00857902">
      <w:pPr>
        <w:snapToGrid w:val="0"/>
        <w:rPr>
          <w:rFonts w:asciiTheme="majorBidi" w:hAnsiTheme="majorBidi" w:cstheme="majorBidi"/>
          <w:color w:val="0D0D0D" w:themeColor="text1" w:themeTint="F2"/>
          <w:lang w:val="sq-AL"/>
        </w:rPr>
      </w:pPr>
    </w:p>
    <w:p w14:paraId="10D72FDD" w14:textId="66E3A8C3" w:rsidR="00DB22AB" w:rsidRPr="005208DC" w:rsidRDefault="00B2062A" w:rsidP="00857902">
      <w:pPr>
        <w:pStyle w:val="Heading6"/>
        <w:numPr>
          <w:ilvl w:val="0"/>
          <w:numId w:val="2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konkurrueshmëri</w:t>
      </w:r>
    </w:p>
    <w:p w14:paraId="0C1AC283" w14:textId="78C6035E" w:rsidR="00700A3C" w:rsidRPr="005208DC" w:rsidRDefault="007F2542"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eastAsia="x-none"/>
        </w:rPr>
        <w:t>Masa e reformës synon të përmirësojë punësueshmërinë, aftësitë dhe kualifikimet e punëkërkuesve të papunë; pra rritjen e cilësisë së fuqisë punëtore. Në periudhën afatmesme dhe afatgjatë, masa pritet të ndihmojë në tërheqjen e investimeve të huaja direkte pasi fuqia punëtore e kualifikuar i përket faktorit më të rëndësishëm të vendndodhjes</w:t>
      </w:r>
      <w:r w:rsidR="00700A3C" w:rsidRPr="005208DC">
        <w:rPr>
          <w:rFonts w:asciiTheme="majorBidi" w:hAnsiTheme="majorBidi" w:cstheme="majorBidi"/>
          <w:color w:val="0D0D0D" w:themeColor="text1" w:themeTint="F2"/>
          <w:lang w:val="sq-AL"/>
        </w:rPr>
        <w:t>.</w:t>
      </w:r>
    </w:p>
    <w:p w14:paraId="79A4E3AB" w14:textId="77777777" w:rsidR="00700A3C" w:rsidRPr="005208DC" w:rsidRDefault="00700A3C" w:rsidP="00857902">
      <w:pPr>
        <w:snapToGrid w:val="0"/>
        <w:rPr>
          <w:rFonts w:asciiTheme="majorBidi" w:hAnsiTheme="majorBidi" w:cstheme="majorBidi"/>
          <w:color w:val="0D0D0D" w:themeColor="text1" w:themeTint="F2"/>
          <w:lang w:val="sq-AL"/>
        </w:rPr>
      </w:pPr>
    </w:p>
    <w:p w14:paraId="397203ED" w14:textId="1CB51A25" w:rsidR="00DB22AB" w:rsidRPr="005208DC" w:rsidRDefault="00B2062A" w:rsidP="00857902">
      <w:pPr>
        <w:pStyle w:val="Heading6"/>
        <w:numPr>
          <w:ilvl w:val="0"/>
          <w:numId w:val="2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Kosto e parashikuar e aktiviteteve dhe burimi i financimit</w:t>
      </w:r>
    </w:p>
    <w:tbl>
      <w:tblPr>
        <w:tblStyle w:val="TableGrid2"/>
        <w:tblW w:w="0" w:type="auto"/>
        <w:tblLayout w:type="fixed"/>
        <w:tblLook w:val="04A0" w:firstRow="1" w:lastRow="0" w:firstColumn="1" w:lastColumn="0" w:noHBand="0" w:noVBand="1"/>
      </w:tblPr>
      <w:tblGrid>
        <w:gridCol w:w="3381"/>
        <w:gridCol w:w="1413"/>
        <w:gridCol w:w="1414"/>
        <w:gridCol w:w="1414"/>
        <w:gridCol w:w="1414"/>
        <w:gridCol w:w="1414"/>
      </w:tblGrid>
      <w:tr w:rsidR="005208DC" w:rsidRPr="005208DC" w14:paraId="1635F6FC" w14:textId="77777777" w:rsidTr="00A96D39">
        <w:trPr>
          <w:trHeight w:val="356"/>
        </w:trPr>
        <w:tc>
          <w:tcPr>
            <w:tcW w:w="3381" w:type="dxa"/>
            <w:vMerge w:val="restart"/>
            <w:hideMark/>
          </w:tcPr>
          <w:p w14:paraId="37311CF0" w14:textId="77777777" w:rsidR="007F2542" w:rsidRPr="005208DC" w:rsidRDefault="007F2542" w:rsidP="00A96D39">
            <w:pPr>
              <w:snapToGrid w:val="0"/>
              <w:jc w:val="center"/>
              <w:rPr>
                <w:rFonts w:asciiTheme="majorBidi" w:eastAsia="Times New Roman" w:hAnsiTheme="majorBidi" w:cstheme="majorBidi"/>
                <w:b/>
                <w:color w:val="0D0D0D" w:themeColor="text1" w:themeTint="F2"/>
                <w:lang w:val="sq-AL"/>
              </w:rPr>
            </w:pPr>
          </w:p>
          <w:p w14:paraId="722FEABE" w14:textId="77777777" w:rsidR="007F2542" w:rsidRPr="005208DC" w:rsidRDefault="007F2542" w:rsidP="00A96D39">
            <w:pPr>
              <w:snapToGrid w:val="0"/>
              <w:rPr>
                <w:rFonts w:asciiTheme="majorBidi" w:eastAsia="Times New Roman" w:hAnsiTheme="majorBidi" w:cstheme="majorBidi"/>
                <w:b/>
                <w:color w:val="0D0D0D" w:themeColor="text1" w:themeTint="F2"/>
                <w:lang w:val="sq-AL"/>
              </w:rPr>
            </w:pPr>
          </w:p>
        </w:tc>
        <w:tc>
          <w:tcPr>
            <w:tcW w:w="1413" w:type="dxa"/>
            <w:hideMark/>
          </w:tcPr>
          <w:p w14:paraId="334D66C5" w14:textId="77777777" w:rsidR="007F2542" w:rsidRPr="005208DC" w:rsidRDefault="007F2542" w:rsidP="00A96D39">
            <w:pPr>
              <w:snapToGrid w:val="0"/>
              <w:jc w:val="center"/>
              <w:rPr>
                <w:rFonts w:asciiTheme="majorBidi" w:hAnsiTheme="majorBidi" w:cstheme="majorBidi"/>
                <w:b/>
                <w:color w:val="0D0D0D" w:themeColor="text1" w:themeTint="F2"/>
                <w:lang w:val="sq-AL"/>
              </w:rPr>
            </w:pPr>
            <w:r w:rsidRPr="005208DC">
              <w:rPr>
                <w:rFonts w:asciiTheme="majorBidi" w:hAnsiTheme="majorBidi" w:cstheme="majorBidi"/>
                <w:b/>
                <w:color w:val="0D0D0D" w:themeColor="text1" w:themeTint="F2"/>
                <w:lang w:val="sq-AL"/>
              </w:rPr>
              <w:t>2020</w:t>
            </w:r>
          </w:p>
        </w:tc>
        <w:tc>
          <w:tcPr>
            <w:tcW w:w="1414" w:type="dxa"/>
            <w:hideMark/>
          </w:tcPr>
          <w:p w14:paraId="3B6C7533" w14:textId="77777777" w:rsidR="007F2542" w:rsidRPr="005208DC" w:rsidRDefault="007F2542" w:rsidP="00A96D39">
            <w:pPr>
              <w:snapToGrid w:val="0"/>
              <w:jc w:val="center"/>
              <w:rPr>
                <w:rFonts w:asciiTheme="majorBidi" w:hAnsiTheme="majorBidi" w:cstheme="majorBidi"/>
                <w:b/>
                <w:color w:val="0D0D0D" w:themeColor="text1" w:themeTint="F2"/>
                <w:lang w:val="sq-AL"/>
              </w:rPr>
            </w:pPr>
            <w:r w:rsidRPr="005208DC">
              <w:rPr>
                <w:rFonts w:asciiTheme="majorBidi" w:hAnsiTheme="majorBidi" w:cstheme="majorBidi"/>
                <w:b/>
                <w:color w:val="0D0D0D" w:themeColor="text1" w:themeTint="F2"/>
                <w:lang w:val="sq-AL"/>
              </w:rPr>
              <w:t>2021</w:t>
            </w:r>
          </w:p>
        </w:tc>
        <w:tc>
          <w:tcPr>
            <w:tcW w:w="1414" w:type="dxa"/>
            <w:hideMark/>
          </w:tcPr>
          <w:p w14:paraId="4AD8F301" w14:textId="77777777" w:rsidR="007F2542" w:rsidRPr="005208DC" w:rsidRDefault="007F2542" w:rsidP="00A96D39">
            <w:pPr>
              <w:snapToGrid w:val="0"/>
              <w:jc w:val="center"/>
              <w:rPr>
                <w:rFonts w:asciiTheme="majorBidi" w:hAnsiTheme="majorBidi" w:cstheme="majorBidi"/>
                <w:b/>
                <w:color w:val="0D0D0D" w:themeColor="text1" w:themeTint="F2"/>
                <w:lang w:val="sq-AL"/>
              </w:rPr>
            </w:pPr>
            <w:r w:rsidRPr="005208DC">
              <w:rPr>
                <w:rFonts w:asciiTheme="majorBidi" w:hAnsiTheme="majorBidi" w:cstheme="majorBidi"/>
                <w:b/>
                <w:color w:val="0D0D0D" w:themeColor="text1" w:themeTint="F2"/>
                <w:lang w:val="sq-AL"/>
              </w:rPr>
              <w:t>2022</w:t>
            </w:r>
          </w:p>
        </w:tc>
        <w:tc>
          <w:tcPr>
            <w:tcW w:w="1414" w:type="dxa"/>
          </w:tcPr>
          <w:p w14:paraId="7FEF4028" w14:textId="77777777" w:rsidR="007F2542" w:rsidRPr="005208DC" w:rsidRDefault="007F2542" w:rsidP="00A96D39">
            <w:pPr>
              <w:snapToGrid w:val="0"/>
              <w:jc w:val="center"/>
              <w:rPr>
                <w:rFonts w:asciiTheme="majorBidi" w:hAnsiTheme="majorBidi" w:cstheme="majorBidi"/>
                <w:b/>
                <w:color w:val="0D0D0D" w:themeColor="text1" w:themeTint="F2"/>
                <w:lang w:val="sq-AL"/>
              </w:rPr>
            </w:pPr>
            <w:r w:rsidRPr="005208DC">
              <w:rPr>
                <w:rFonts w:asciiTheme="majorBidi" w:hAnsiTheme="majorBidi" w:cstheme="majorBidi"/>
                <w:b/>
                <w:color w:val="0D0D0D" w:themeColor="text1" w:themeTint="F2"/>
                <w:lang w:val="sq-AL"/>
              </w:rPr>
              <w:t>2023</w:t>
            </w:r>
          </w:p>
        </w:tc>
        <w:tc>
          <w:tcPr>
            <w:tcW w:w="1414" w:type="dxa"/>
          </w:tcPr>
          <w:p w14:paraId="187D33B9" w14:textId="77777777" w:rsidR="007F2542" w:rsidRPr="005208DC" w:rsidRDefault="007F2542" w:rsidP="00A96D39">
            <w:pPr>
              <w:snapToGrid w:val="0"/>
              <w:jc w:val="center"/>
              <w:rPr>
                <w:rFonts w:asciiTheme="majorBidi" w:hAnsiTheme="majorBidi" w:cstheme="majorBidi"/>
                <w:b/>
                <w:color w:val="0D0D0D" w:themeColor="text1" w:themeTint="F2"/>
                <w:lang w:val="sq-AL"/>
              </w:rPr>
            </w:pPr>
            <w:r w:rsidRPr="005208DC">
              <w:rPr>
                <w:rFonts w:asciiTheme="majorBidi" w:hAnsiTheme="majorBidi" w:cstheme="majorBidi"/>
                <w:b/>
                <w:color w:val="0D0D0D" w:themeColor="text1" w:themeTint="F2"/>
                <w:lang w:val="sq-AL"/>
              </w:rPr>
              <w:t>2024</w:t>
            </w:r>
          </w:p>
        </w:tc>
      </w:tr>
      <w:tr w:rsidR="005208DC" w:rsidRPr="005208DC" w14:paraId="17C1E461" w14:textId="77777777" w:rsidTr="00A96D39">
        <w:trPr>
          <w:trHeight w:val="315"/>
        </w:trPr>
        <w:tc>
          <w:tcPr>
            <w:tcW w:w="3381" w:type="dxa"/>
            <w:vMerge/>
            <w:hideMark/>
          </w:tcPr>
          <w:p w14:paraId="2F50CC8F" w14:textId="77777777" w:rsidR="007F2542" w:rsidRPr="005208DC" w:rsidRDefault="007F2542" w:rsidP="00A96D39">
            <w:pPr>
              <w:snapToGrid w:val="0"/>
              <w:rPr>
                <w:rFonts w:asciiTheme="majorBidi" w:hAnsiTheme="majorBidi" w:cstheme="majorBidi"/>
                <w:b/>
                <w:color w:val="0D0D0D" w:themeColor="text1" w:themeTint="F2"/>
                <w:lang w:val="sq-AL"/>
              </w:rPr>
            </w:pPr>
          </w:p>
        </w:tc>
        <w:tc>
          <w:tcPr>
            <w:tcW w:w="1413" w:type="dxa"/>
            <w:hideMark/>
          </w:tcPr>
          <w:p w14:paraId="49C44777" w14:textId="77777777" w:rsidR="007F2542" w:rsidRPr="005208DC" w:rsidRDefault="007F2542" w:rsidP="00A96D39">
            <w:pPr>
              <w:snapToGrid w:val="0"/>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Parashikimi në EUR</w:t>
            </w:r>
          </w:p>
        </w:tc>
        <w:tc>
          <w:tcPr>
            <w:tcW w:w="1414" w:type="dxa"/>
            <w:hideMark/>
          </w:tcPr>
          <w:p w14:paraId="09F67EF2" w14:textId="77777777" w:rsidR="007F2542" w:rsidRPr="005208DC" w:rsidRDefault="007F2542" w:rsidP="00A96D39">
            <w:pPr>
              <w:snapToGrid w:val="0"/>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Parashikimi në EUR</w:t>
            </w:r>
          </w:p>
        </w:tc>
        <w:tc>
          <w:tcPr>
            <w:tcW w:w="1414" w:type="dxa"/>
            <w:hideMark/>
          </w:tcPr>
          <w:p w14:paraId="5070ADCE" w14:textId="77777777" w:rsidR="007F2542" w:rsidRPr="005208DC" w:rsidRDefault="007F2542" w:rsidP="00A96D39">
            <w:pPr>
              <w:snapToGrid w:val="0"/>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Parashikimi në EUR</w:t>
            </w:r>
          </w:p>
        </w:tc>
        <w:tc>
          <w:tcPr>
            <w:tcW w:w="1414" w:type="dxa"/>
          </w:tcPr>
          <w:p w14:paraId="0DC891E7" w14:textId="77777777" w:rsidR="007F2542" w:rsidRPr="005208DC" w:rsidRDefault="007F2542" w:rsidP="00A96D39">
            <w:pPr>
              <w:snapToGrid w:val="0"/>
              <w:jc w:val="right"/>
              <w:rPr>
                <w:rFonts w:asciiTheme="majorBidi" w:eastAsia="Times New Roman" w:hAnsiTheme="majorBidi" w:cstheme="majorBidi"/>
                <w:color w:val="0D0D0D" w:themeColor="text1" w:themeTint="F2"/>
                <w:lang w:val="sq-AL"/>
              </w:rPr>
            </w:pPr>
          </w:p>
        </w:tc>
        <w:tc>
          <w:tcPr>
            <w:tcW w:w="1414" w:type="dxa"/>
          </w:tcPr>
          <w:p w14:paraId="62920B21" w14:textId="77777777" w:rsidR="007F2542" w:rsidRPr="005208DC" w:rsidRDefault="007F2542" w:rsidP="00A96D39">
            <w:pPr>
              <w:snapToGrid w:val="0"/>
              <w:jc w:val="right"/>
              <w:rPr>
                <w:rFonts w:asciiTheme="majorBidi" w:eastAsia="Times New Roman" w:hAnsiTheme="majorBidi" w:cstheme="majorBidi"/>
                <w:color w:val="0D0D0D" w:themeColor="text1" w:themeTint="F2"/>
                <w:lang w:val="sq-AL"/>
              </w:rPr>
            </w:pPr>
          </w:p>
        </w:tc>
      </w:tr>
      <w:tr w:rsidR="005208DC" w:rsidRPr="005208DC" w14:paraId="779AE3C6" w14:textId="77777777" w:rsidTr="00A96D39">
        <w:trPr>
          <w:trHeight w:val="315"/>
        </w:trPr>
        <w:tc>
          <w:tcPr>
            <w:tcW w:w="3381" w:type="dxa"/>
            <w:hideMark/>
          </w:tcPr>
          <w:p w14:paraId="04632C97" w14:textId="77777777" w:rsidR="007F2542" w:rsidRPr="005208DC" w:rsidRDefault="007F2542" w:rsidP="00A96D39">
            <w:pPr>
              <w:snapToGrid w:val="0"/>
              <w:rPr>
                <w:rFonts w:asciiTheme="majorBidi" w:eastAsia="Times New Roman" w:hAnsiTheme="majorBidi" w:cstheme="majorBidi"/>
                <w:color w:val="0D0D0D" w:themeColor="text1" w:themeTint="F2"/>
                <w:lang w:val="sq-AL"/>
              </w:rPr>
            </w:pPr>
            <w:r w:rsidRPr="005208DC">
              <w:rPr>
                <w:rFonts w:asciiTheme="majorBidi" w:hAnsiTheme="majorBidi" w:cstheme="majorBidi"/>
                <w:color w:val="0D0D0D" w:themeColor="text1" w:themeTint="F2"/>
                <w:lang w:val="sq-AL"/>
              </w:rPr>
              <w:t>Ndërmjetësimet e kryera nga Zyrat e Punës</w:t>
            </w:r>
          </w:p>
        </w:tc>
        <w:tc>
          <w:tcPr>
            <w:tcW w:w="1413" w:type="dxa"/>
            <w:hideMark/>
          </w:tcPr>
          <w:p w14:paraId="6BB25E0A" w14:textId="77777777" w:rsidR="007F2542" w:rsidRPr="005208DC" w:rsidRDefault="007F2542" w:rsidP="00A96D39">
            <w:pPr>
              <w:snapToGrid w:val="0"/>
              <w:jc w:val="right"/>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2,179,934</w:t>
            </w:r>
          </w:p>
        </w:tc>
        <w:tc>
          <w:tcPr>
            <w:tcW w:w="1414" w:type="dxa"/>
            <w:hideMark/>
          </w:tcPr>
          <w:p w14:paraId="34CEA6E3" w14:textId="77777777" w:rsidR="007F2542" w:rsidRPr="005208DC" w:rsidRDefault="007F2542" w:rsidP="00A96D39">
            <w:pPr>
              <w:snapToGrid w:val="0"/>
              <w:jc w:val="right"/>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2,509,090</w:t>
            </w:r>
          </w:p>
        </w:tc>
        <w:tc>
          <w:tcPr>
            <w:tcW w:w="1414" w:type="dxa"/>
            <w:hideMark/>
          </w:tcPr>
          <w:p w14:paraId="76E512AD" w14:textId="77777777" w:rsidR="007F2542" w:rsidRPr="005208DC" w:rsidRDefault="007F2542" w:rsidP="00A96D39">
            <w:pPr>
              <w:snapToGrid w:val="0"/>
              <w:jc w:val="right"/>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3,176,811</w:t>
            </w:r>
          </w:p>
        </w:tc>
        <w:tc>
          <w:tcPr>
            <w:tcW w:w="1414" w:type="dxa"/>
          </w:tcPr>
          <w:p w14:paraId="4D0A6A3D" w14:textId="77777777" w:rsidR="007F2542" w:rsidRPr="005208DC" w:rsidRDefault="007F2542" w:rsidP="00A96D39">
            <w:pPr>
              <w:snapToGrid w:val="0"/>
              <w:jc w:val="right"/>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3,176,811</w:t>
            </w:r>
          </w:p>
        </w:tc>
        <w:tc>
          <w:tcPr>
            <w:tcW w:w="1414" w:type="dxa"/>
          </w:tcPr>
          <w:p w14:paraId="239A7583" w14:textId="77777777" w:rsidR="007F2542" w:rsidRPr="005208DC" w:rsidRDefault="007F2542" w:rsidP="00A96D39">
            <w:pPr>
              <w:snapToGrid w:val="0"/>
              <w:jc w:val="right"/>
              <w:rPr>
                <w:rFonts w:asciiTheme="majorBidi" w:hAnsiTheme="majorBidi" w:cstheme="majorBidi"/>
                <w:color w:val="0D0D0D" w:themeColor="text1" w:themeTint="F2"/>
                <w:lang w:val="sq-AL"/>
              </w:rPr>
            </w:pPr>
          </w:p>
        </w:tc>
      </w:tr>
      <w:tr w:rsidR="005208DC" w:rsidRPr="005208DC" w14:paraId="23CDDBA3" w14:textId="77777777" w:rsidTr="00A96D39">
        <w:trPr>
          <w:trHeight w:val="465"/>
        </w:trPr>
        <w:tc>
          <w:tcPr>
            <w:tcW w:w="3381" w:type="dxa"/>
            <w:hideMark/>
          </w:tcPr>
          <w:p w14:paraId="0C21242F" w14:textId="77777777" w:rsidR="007F2542" w:rsidRPr="005208DC" w:rsidRDefault="007F2542" w:rsidP="00A96D39">
            <w:pPr>
              <w:snapToGrid w:val="0"/>
              <w:rPr>
                <w:rFonts w:asciiTheme="majorBidi" w:eastAsia="Times New Roman" w:hAnsiTheme="majorBidi" w:cstheme="majorBidi"/>
                <w:color w:val="0D0D0D" w:themeColor="text1" w:themeTint="F2"/>
                <w:lang w:val="sq-AL"/>
              </w:rPr>
            </w:pPr>
            <w:r w:rsidRPr="005208DC">
              <w:rPr>
                <w:rFonts w:asciiTheme="majorBidi" w:hAnsiTheme="majorBidi" w:cstheme="majorBidi"/>
                <w:color w:val="0D0D0D" w:themeColor="text1" w:themeTint="F2"/>
                <w:lang w:val="sq-AL"/>
              </w:rPr>
              <w:t>Zbatimi i programeve të nxitjes së punësimit</w:t>
            </w:r>
          </w:p>
        </w:tc>
        <w:tc>
          <w:tcPr>
            <w:tcW w:w="1413" w:type="dxa"/>
            <w:hideMark/>
          </w:tcPr>
          <w:p w14:paraId="6E75DF49" w14:textId="77777777" w:rsidR="007F2542" w:rsidRPr="005208DC" w:rsidRDefault="007F2542" w:rsidP="00A96D39">
            <w:pPr>
              <w:snapToGrid w:val="0"/>
              <w:jc w:val="right"/>
              <w:rPr>
                <w:rFonts w:asciiTheme="majorBidi" w:hAnsiTheme="majorBidi" w:cstheme="majorBidi"/>
                <w:color w:val="0D0D0D" w:themeColor="text1" w:themeTint="F2"/>
                <w:lang w:val="sq-AL"/>
              </w:rPr>
            </w:pPr>
          </w:p>
        </w:tc>
        <w:tc>
          <w:tcPr>
            <w:tcW w:w="1414" w:type="dxa"/>
            <w:hideMark/>
          </w:tcPr>
          <w:p w14:paraId="3B03E6E9" w14:textId="77777777" w:rsidR="007F2542" w:rsidRPr="005208DC" w:rsidRDefault="007F2542" w:rsidP="00A96D39">
            <w:pPr>
              <w:snapToGrid w:val="0"/>
              <w:jc w:val="right"/>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4,275,090</w:t>
            </w:r>
          </w:p>
        </w:tc>
        <w:tc>
          <w:tcPr>
            <w:tcW w:w="1414" w:type="dxa"/>
            <w:hideMark/>
          </w:tcPr>
          <w:p w14:paraId="1FBE47FF" w14:textId="77777777" w:rsidR="007F2542" w:rsidRPr="005208DC" w:rsidRDefault="007F2542" w:rsidP="00A96D39">
            <w:pPr>
              <w:snapToGrid w:val="0"/>
              <w:jc w:val="right"/>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4,508,197</w:t>
            </w:r>
          </w:p>
        </w:tc>
        <w:tc>
          <w:tcPr>
            <w:tcW w:w="1414" w:type="dxa"/>
          </w:tcPr>
          <w:p w14:paraId="61DCC2D3" w14:textId="77777777" w:rsidR="007F2542" w:rsidRPr="005208DC" w:rsidRDefault="007F2542" w:rsidP="00A96D39">
            <w:pPr>
              <w:snapToGrid w:val="0"/>
              <w:jc w:val="right"/>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4,508,197</w:t>
            </w:r>
          </w:p>
        </w:tc>
        <w:tc>
          <w:tcPr>
            <w:tcW w:w="1414" w:type="dxa"/>
          </w:tcPr>
          <w:p w14:paraId="6D2AF38A" w14:textId="77777777" w:rsidR="007F2542" w:rsidRPr="005208DC" w:rsidRDefault="007F2542" w:rsidP="00A96D39">
            <w:pPr>
              <w:snapToGrid w:val="0"/>
              <w:jc w:val="right"/>
              <w:rPr>
                <w:rFonts w:asciiTheme="majorBidi" w:hAnsiTheme="majorBidi" w:cstheme="majorBidi"/>
                <w:color w:val="0D0D0D" w:themeColor="text1" w:themeTint="F2"/>
                <w:lang w:val="sq-AL"/>
              </w:rPr>
            </w:pPr>
          </w:p>
        </w:tc>
      </w:tr>
      <w:tr w:rsidR="005208DC" w:rsidRPr="005208DC" w14:paraId="3AD6770A" w14:textId="77777777" w:rsidTr="00A96D39">
        <w:trPr>
          <w:trHeight w:val="315"/>
        </w:trPr>
        <w:tc>
          <w:tcPr>
            <w:tcW w:w="3381" w:type="dxa"/>
            <w:hideMark/>
          </w:tcPr>
          <w:p w14:paraId="2B6FC246" w14:textId="77777777" w:rsidR="007F2542" w:rsidRPr="005208DC" w:rsidRDefault="007F2542" w:rsidP="00A96D39">
            <w:pPr>
              <w:snapToGrid w:val="0"/>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Trajnim në QFP</w:t>
            </w:r>
          </w:p>
        </w:tc>
        <w:tc>
          <w:tcPr>
            <w:tcW w:w="1413" w:type="dxa"/>
            <w:hideMark/>
          </w:tcPr>
          <w:p w14:paraId="797CCAE6" w14:textId="77777777" w:rsidR="007F2542" w:rsidRPr="005208DC" w:rsidRDefault="007F2542" w:rsidP="00A96D39">
            <w:pPr>
              <w:snapToGrid w:val="0"/>
              <w:jc w:val="right"/>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1,945,516</w:t>
            </w:r>
          </w:p>
        </w:tc>
        <w:tc>
          <w:tcPr>
            <w:tcW w:w="1414" w:type="dxa"/>
            <w:hideMark/>
          </w:tcPr>
          <w:p w14:paraId="4380C0BB" w14:textId="77777777" w:rsidR="007F2542" w:rsidRPr="005208DC" w:rsidRDefault="007F2542" w:rsidP="00A96D39">
            <w:pPr>
              <w:snapToGrid w:val="0"/>
              <w:jc w:val="right"/>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2,766,352</w:t>
            </w:r>
          </w:p>
        </w:tc>
        <w:tc>
          <w:tcPr>
            <w:tcW w:w="1414" w:type="dxa"/>
            <w:hideMark/>
          </w:tcPr>
          <w:p w14:paraId="3D6EA46B" w14:textId="77777777" w:rsidR="007F2542" w:rsidRPr="005208DC" w:rsidRDefault="007F2542" w:rsidP="00A96D39">
            <w:pPr>
              <w:snapToGrid w:val="0"/>
              <w:jc w:val="right"/>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3,091,221</w:t>
            </w:r>
          </w:p>
        </w:tc>
        <w:tc>
          <w:tcPr>
            <w:tcW w:w="1414" w:type="dxa"/>
          </w:tcPr>
          <w:p w14:paraId="58A67895" w14:textId="77777777" w:rsidR="007F2542" w:rsidRPr="005208DC" w:rsidRDefault="007F2542" w:rsidP="00A96D39">
            <w:pPr>
              <w:snapToGrid w:val="0"/>
              <w:jc w:val="right"/>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3,091,221</w:t>
            </w:r>
          </w:p>
        </w:tc>
        <w:tc>
          <w:tcPr>
            <w:tcW w:w="1414" w:type="dxa"/>
          </w:tcPr>
          <w:p w14:paraId="056CD28F" w14:textId="77777777" w:rsidR="007F2542" w:rsidRPr="005208DC" w:rsidRDefault="007F2542" w:rsidP="00A96D39">
            <w:pPr>
              <w:snapToGrid w:val="0"/>
              <w:jc w:val="right"/>
              <w:rPr>
                <w:rFonts w:asciiTheme="majorBidi" w:hAnsiTheme="majorBidi" w:cstheme="majorBidi"/>
                <w:color w:val="0D0D0D" w:themeColor="text1" w:themeTint="F2"/>
                <w:lang w:val="sq-AL"/>
              </w:rPr>
            </w:pPr>
          </w:p>
        </w:tc>
      </w:tr>
      <w:tr w:rsidR="005208DC" w:rsidRPr="005208DC" w14:paraId="76AB536D" w14:textId="77777777" w:rsidTr="00A96D39">
        <w:trPr>
          <w:trHeight w:val="315"/>
        </w:trPr>
        <w:tc>
          <w:tcPr>
            <w:tcW w:w="3381" w:type="dxa"/>
          </w:tcPr>
          <w:p w14:paraId="50A19239" w14:textId="77777777" w:rsidR="007F2542" w:rsidRPr="005208DC" w:rsidRDefault="007F2542" w:rsidP="00A96D39">
            <w:pPr>
              <w:snapToGrid w:val="0"/>
              <w:rPr>
                <w:rFonts w:asciiTheme="majorBidi" w:eastAsia="Times New Roman"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Përfitimet e papunësisë/transferta</w:t>
            </w:r>
          </w:p>
        </w:tc>
        <w:tc>
          <w:tcPr>
            <w:tcW w:w="1413" w:type="dxa"/>
          </w:tcPr>
          <w:p w14:paraId="61737B82" w14:textId="77777777" w:rsidR="007F2542" w:rsidRPr="005208DC" w:rsidRDefault="007F2542" w:rsidP="00A96D39">
            <w:pPr>
              <w:snapToGrid w:val="0"/>
              <w:jc w:val="right"/>
              <w:rPr>
                <w:rFonts w:asciiTheme="majorBidi" w:eastAsia="Times New Roman" w:hAnsiTheme="majorBidi" w:cstheme="majorBidi"/>
                <w:color w:val="0D0D0D" w:themeColor="text1" w:themeTint="F2"/>
                <w:lang w:val="sq-AL"/>
              </w:rPr>
            </w:pPr>
            <w:r w:rsidRPr="005208DC">
              <w:rPr>
                <w:rFonts w:asciiTheme="majorBidi" w:hAnsiTheme="majorBidi" w:cstheme="majorBidi"/>
                <w:color w:val="0D0D0D" w:themeColor="text1" w:themeTint="F2"/>
                <w:lang w:val="sq-AL"/>
              </w:rPr>
              <w:t>7,267,213</w:t>
            </w:r>
          </w:p>
        </w:tc>
        <w:tc>
          <w:tcPr>
            <w:tcW w:w="1414" w:type="dxa"/>
          </w:tcPr>
          <w:p w14:paraId="26560C29" w14:textId="77777777" w:rsidR="007F2542" w:rsidRPr="005208DC" w:rsidRDefault="007F2542" w:rsidP="00A96D39">
            <w:pPr>
              <w:snapToGrid w:val="0"/>
              <w:jc w:val="right"/>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8,085,131</w:t>
            </w:r>
          </w:p>
        </w:tc>
        <w:tc>
          <w:tcPr>
            <w:tcW w:w="1414" w:type="dxa"/>
          </w:tcPr>
          <w:p w14:paraId="4E1D43E1" w14:textId="77777777" w:rsidR="007F2542" w:rsidRPr="005208DC" w:rsidRDefault="007F2542" w:rsidP="00A96D39">
            <w:pPr>
              <w:snapToGrid w:val="0"/>
              <w:jc w:val="right"/>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7,377,049</w:t>
            </w:r>
          </w:p>
        </w:tc>
        <w:tc>
          <w:tcPr>
            <w:tcW w:w="1414" w:type="dxa"/>
          </w:tcPr>
          <w:p w14:paraId="53C1F76A" w14:textId="77777777" w:rsidR="007F2542" w:rsidRPr="005208DC" w:rsidRDefault="007F2542" w:rsidP="00A96D39">
            <w:pPr>
              <w:snapToGrid w:val="0"/>
              <w:jc w:val="right"/>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7,377,049</w:t>
            </w:r>
          </w:p>
        </w:tc>
        <w:tc>
          <w:tcPr>
            <w:tcW w:w="1414" w:type="dxa"/>
          </w:tcPr>
          <w:p w14:paraId="533D6DD5" w14:textId="77777777" w:rsidR="007F2542" w:rsidRPr="005208DC" w:rsidRDefault="007F2542" w:rsidP="00A96D39">
            <w:pPr>
              <w:snapToGrid w:val="0"/>
              <w:jc w:val="right"/>
              <w:rPr>
                <w:rFonts w:asciiTheme="majorBidi" w:hAnsiTheme="majorBidi" w:cstheme="majorBidi"/>
                <w:color w:val="0D0D0D" w:themeColor="text1" w:themeTint="F2"/>
                <w:lang w:val="sq-AL"/>
              </w:rPr>
            </w:pPr>
          </w:p>
        </w:tc>
      </w:tr>
      <w:tr w:rsidR="005208DC" w:rsidRPr="005208DC" w14:paraId="5253DAC7" w14:textId="77777777" w:rsidTr="00A96D39">
        <w:trPr>
          <w:trHeight w:val="315"/>
        </w:trPr>
        <w:tc>
          <w:tcPr>
            <w:tcW w:w="3381" w:type="dxa"/>
          </w:tcPr>
          <w:p w14:paraId="25AC6EA4" w14:textId="77777777" w:rsidR="007F2542" w:rsidRPr="005208DC" w:rsidRDefault="007F2542" w:rsidP="00A96D39">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Investimet</w:t>
            </w:r>
          </w:p>
        </w:tc>
        <w:tc>
          <w:tcPr>
            <w:tcW w:w="1413" w:type="dxa"/>
          </w:tcPr>
          <w:p w14:paraId="631D4EBC" w14:textId="77777777" w:rsidR="007F2542" w:rsidRPr="005208DC" w:rsidRDefault="007F2542" w:rsidP="00A96D39">
            <w:pPr>
              <w:snapToGrid w:val="0"/>
              <w:jc w:val="right"/>
              <w:rPr>
                <w:rFonts w:asciiTheme="majorBidi" w:hAnsiTheme="majorBidi" w:cstheme="majorBidi"/>
                <w:bCs/>
                <w:color w:val="0D0D0D" w:themeColor="text1" w:themeTint="F2"/>
                <w:lang w:val="sq-AL"/>
              </w:rPr>
            </w:pPr>
            <w:r w:rsidRPr="005208DC">
              <w:rPr>
                <w:rFonts w:asciiTheme="majorBidi" w:hAnsiTheme="majorBidi" w:cstheme="majorBidi"/>
                <w:color w:val="0D0D0D" w:themeColor="text1" w:themeTint="F2"/>
                <w:lang w:val="sq-AL"/>
              </w:rPr>
              <w:t>285,393</w:t>
            </w:r>
          </w:p>
        </w:tc>
        <w:tc>
          <w:tcPr>
            <w:tcW w:w="1414" w:type="dxa"/>
          </w:tcPr>
          <w:p w14:paraId="7662753C" w14:textId="77777777" w:rsidR="007F2542" w:rsidRPr="005208DC" w:rsidRDefault="007F2542" w:rsidP="00A96D39">
            <w:pPr>
              <w:snapToGrid w:val="0"/>
              <w:jc w:val="right"/>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532,787</w:t>
            </w:r>
          </w:p>
        </w:tc>
        <w:tc>
          <w:tcPr>
            <w:tcW w:w="1414" w:type="dxa"/>
          </w:tcPr>
          <w:p w14:paraId="3A387110" w14:textId="77777777" w:rsidR="007F2542" w:rsidRPr="005208DC" w:rsidRDefault="007F2542" w:rsidP="00A96D39">
            <w:pPr>
              <w:snapToGrid w:val="0"/>
              <w:jc w:val="right"/>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663,934</w:t>
            </w:r>
          </w:p>
        </w:tc>
        <w:tc>
          <w:tcPr>
            <w:tcW w:w="1414" w:type="dxa"/>
          </w:tcPr>
          <w:p w14:paraId="22564CCE" w14:textId="77777777" w:rsidR="007F2542" w:rsidRPr="005208DC" w:rsidRDefault="007F2542" w:rsidP="00A96D39">
            <w:pPr>
              <w:snapToGrid w:val="0"/>
              <w:jc w:val="right"/>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663,934</w:t>
            </w:r>
          </w:p>
        </w:tc>
        <w:tc>
          <w:tcPr>
            <w:tcW w:w="1414" w:type="dxa"/>
          </w:tcPr>
          <w:p w14:paraId="63CD3414" w14:textId="77777777" w:rsidR="007F2542" w:rsidRPr="005208DC" w:rsidRDefault="007F2542" w:rsidP="00A96D39">
            <w:pPr>
              <w:snapToGrid w:val="0"/>
              <w:jc w:val="right"/>
              <w:rPr>
                <w:rFonts w:asciiTheme="majorBidi" w:hAnsiTheme="majorBidi" w:cstheme="majorBidi"/>
                <w:color w:val="0D0D0D" w:themeColor="text1" w:themeTint="F2"/>
                <w:lang w:val="sq-AL"/>
              </w:rPr>
            </w:pPr>
          </w:p>
        </w:tc>
      </w:tr>
      <w:tr w:rsidR="005208DC" w:rsidRPr="005208DC" w14:paraId="78D6B634" w14:textId="77777777" w:rsidTr="00A96D39">
        <w:trPr>
          <w:trHeight w:val="315"/>
        </w:trPr>
        <w:tc>
          <w:tcPr>
            <w:tcW w:w="3381" w:type="dxa"/>
          </w:tcPr>
          <w:p w14:paraId="75FCD344" w14:textId="77777777" w:rsidR="007F2542" w:rsidRPr="005208DC" w:rsidRDefault="007F2542" w:rsidP="00A96D39">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Shpenzime të tjera administrative</w:t>
            </w:r>
          </w:p>
        </w:tc>
        <w:tc>
          <w:tcPr>
            <w:tcW w:w="1413" w:type="dxa"/>
          </w:tcPr>
          <w:p w14:paraId="7F41C2C6" w14:textId="77777777" w:rsidR="007F2542" w:rsidRPr="005208DC" w:rsidRDefault="007F2542" w:rsidP="00A96D39">
            <w:pPr>
              <w:snapToGrid w:val="0"/>
              <w:jc w:val="right"/>
              <w:rPr>
                <w:rFonts w:asciiTheme="majorBidi" w:hAnsiTheme="majorBidi" w:cstheme="majorBidi"/>
                <w:bCs/>
                <w:color w:val="0D0D0D" w:themeColor="text1" w:themeTint="F2"/>
                <w:lang w:val="sq-AL"/>
              </w:rPr>
            </w:pPr>
            <w:r w:rsidRPr="005208DC">
              <w:rPr>
                <w:rFonts w:asciiTheme="majorBidi" w:hAnsiTheme="majorBidi" w:cstheme="majorBidi"/>
                <w:color w:val="0D0D0D" w:themeColor="text1" w:themeTint="F2"/>
                <w:lang w:val="sq-AL"/>
              </w:rPr>
              <w:t>415,574</w:t>
            </w:r>
          </w:p>
        </w:tc>
        <w:tc>
          <w:tcPr>
            <w:tcW w:w="1414" w:type="dxa"/>
          </w:tcPr>
          <w:p w14:paraId="18DA1580" w14:textId="77777777" w:rsidR="007F2542" w:rsidRPr="005208DC" w:rsidRDefault="007F2542" w:rsidP="00A96D39">
            <w:pPr>
              <w:snapToGrid w:val="0"/>
              <w:jc w:val="right"/>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684,008</w:t>
            </w:r>
          </w:p>
        </w:tc>
        <w:tc>
          <w:tcPr>
            <w:tcW w:w="1414" w:type="dxa"/>
          </w:tcPr>
          <w:p w14:paraId="017794D0" w14:textId="77777777" w:rsidR="007F2542" w:rsidRPr="005208DC" w:rsidRDefault="007F2542" w:rsidP="00A96D39">
            <w:pPr>
              <w:snapToGrid w:val="0"/>
              <w:jc w:val="right"/>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1,105,738</w:t>
            </w:r>
          </w:p>
        </w:tc>
        <w:tc>
          <w:tcPr>
            <w:tcW w:w="1414" w:type="dxa"/>
          </w:tcPr>
          <w:p w14:paraId="6394A3B6" w14:textId="77777777" w:rsidR="007F2542" w:rsidRPr="005208DC" w:rsidRDefault="007F2542" w:rsidP="00A96D39">
            <w:pPr>
              <w:snapToGrid w:val="0"/>
              <w:jc w:val="right"/>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1,105,738</w:t>
            </w:r>
          </w:p>
        </w:tc>
        <w:tc>
          <w:tcPr>
            <w:tcW w:w="1414" w:type="dxa"/>
          </w:tcPr>
          <w:p w14:paraId="58596724" w14:textId="77777777" w:rsidR="007F2542" w:rsidRPr="005208DC" w:rsidRDefault="007F2542" w:rsidP="00A96D39">
            <w:pPr>
              <w:snapToGrid w:val="0"/>
              <w:jc w:val="right"/>
              <w:rPr>
                <w:rFonts w:asciiTheme="majorBidi" w:hAnsiTheme="majorBidi" w:cstheme="majorBidi"/>
                <w:color w:val="0D0D0D" w:themeColor="text1" w:themeTint="F2"/>
                <w:lang w:val="sq-AL"/>
              </w:rPr>
            </w:pPr>
          </w:p>
        </w:tc>
      </w:tr>
      <w:tr w:rsidR="005208DC" w:rsidRPr="005208DC" w14:paraId="4152EFF6" w14:textId="77777777" w:rsidTr="00A96D39">
        <w:trPr>
          <w:trHeight w:val="315"/>
        </w:trPr>
        <w:tc>
          <w:tcPr>
            <w:tcW w:w="3381" w:type="dxa"/>
          </w:tcPr>
          <w:p w14:paraId="6018D8D5" w14:textId="77777777" w:rsidR="007F2542" w:rsidRPr="005208DC" w:rsidRDefault="007F2542" w:rsidP="00A96D39">
            <w:pPr>
              <w:snapToGrid w:val="0"/>
              <w:rPr>
                <w:rFonts w:asciiTheme="majorBidi" w:eastAsia="Times New Roman" w:hAnsiTheme="majorBidi" w:cstheme="majorBidi"/>
                <w:b/>
                <w:color w:val="0D0D0D" w:themeColor="text1" w:themeTint="F2"/>
                <w:lang w:val="sq-AL"/>
              </w:rPr>
            </w:pPr>
            <w:r w:rsidRPr="005208DC">
              <w:rPr>
                <w:rFonts w:asciiTheme="majorBidi" w:eastAsia="Times New Roman" w:hAnsiTheme="majorBidi" w:cstheme="majorBidi"/>
                <w:b/>
                <w:color w:val="0D0D0D" w:themeColor="text1" w:themeTint="F2"/>
                <w:lang w:val="sq-AL"/>
              </w:rPr>
              <w:t>Totali (me shpenzimet administrative)</w:t>
            </w:r>
          </w:p>
        </w:tc>
        <w:tc>
          <w:tcPr>
            <w:tcW w:w="1413" w:type="dxa"/>
          </w:tcPr>
          <w:p w14:paraId="34434B9B" w14:textId="77777777" w:rsidR="007F2542" w:rsidRPr="005208DC" w:rsidRDefault="007F2542" w:rsidP="00A96D39">
            <w:pPr>
              <w:snapToGrid w:val="0"/>
              <w:jc w:val="right"/>
              <w:rPr>
                <w:rFonts w:asciiTheme="majorBidi" w:hAnsiTheme="majorBidi" w:cstheme="majorBidi"/>
                <w:b/>
                <w:bCs/>
                <w:color w:val="0D0D0D" w:themeColor="text1" w:themeTint="F2"/>
                <w:lang w:val="sq-AL"/>
              </w:rPr>
            </w:pPr>
            <w:r w:rsidRPr="005208DC">
              <w:rPr>
                <w:rFonts w:asciiTheme="majorBidi" w:hAnsiTheme="majorBidi" w:cstheme="majorBidi"/>
                <w:color w:val="0D0D0D" w:themeColor="text1" w:themeTint="F2"/>
                <w:lang w:val="sq-AL"/>
              </w:rPr>
              <w:t>12,680,148</w:t>
            </w:r>
          </w:p>
        </w:tc>
        <w:tc>
          <w:tcPr>
            <w:tcW w:w="1414" w:type="dxa"/>
          </w:tcPr>
          <w:p w14:paraId="14B84630" w14:textId="77777777" w:rsidR="007F2542" w:rsidRPr="005208DC" w:rsidRDefault="007F2542" w:rsidP="00A96D39">
            <w:pPr>
              <w:snapToGrid w:val="0"/>
              <w:jc w:val="right"/>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18,852,459</w:t>
            </w:r>
          </w:p>
        </w:tc>
        <w:tc>
          <w:tcPr>
            <w:tcW w:w="1414" w:type="dxa"/>
          </w:tcPr>
          <w:p w14:paraId="7C6960D9" w14:textId="77777777" w:rsidR="007F2542" w:rsidRPr="005208DC" w:rsidRDefault="007F2542" w:rsidP="00A96D39">
            <w:pPr>
              <w:snapToGrid w:val="0"/>
              <w:jc w:val="right"/>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19,922,951</w:t>
            </w:r>
          </w:p>
        </w:tc>
        <w:tc>
          <w:tcPr>
            <w:tcW w:w="1414" w:type="dxa"/>
          </w:tcPr>
          <w:p w14:paraId="71B5549F" w14:textId="77777777" w:rsidR="007F2542" w:rsidRPr="005208DC" w:rsidRDefault="007F2542" w:rsidP="00A96D39">
            <w:pPr>
              <w:snapToGrid w:val="0"/>
              <w:jc w:val="right"/>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19,922,951</w:t>
            </w:r>
          </w:p>
        </w:tc>
        <w:tc>
          <w:tcPr>
            <w:tcW w:w="1414" w:type="dxa"/>
          </w:tcPr>
          <w:p w14:paraId="547C5843" w14:textId="77777777" w:rsidR="007F2542" w:rsidRPr="005208DC" w:rsidRDefault="007F2542" w:rsidP="00A96D39">
            <w:pPr>
              <w:snapToGrid w:val="0"/>
              <w:jc w:val="right"/>
              <w:rPr>
                <w:rFonts w:asciiTheme="majorBidi" w:hAnsiTheme="majorBidi" w:cstheme="majorBidi"/>
                <w:color w:val="0D0D0D" w:themeColor="text1" w:themeTint="F2"/>
                <w:lang w:val="sq-AL"/>
              </w:rPr>
            </w:pPr>
          </w:p>
        </w:tc>
      </w:tr>
      <w:tr w:rsidR="005208DC" w:rsidRPr="005208DC" w14:paraId="24D8C2E1" w14:textId="77777777" w:rsidTr="00A96D39">
        <w:trPr>
          <w:trHeight w:val="315"/>
        </w:trPr>
        <w:tc>
          <w:tcPr>
            <w:tcW w:w="3381" w:type="dxa"/>
          </w:tcPr>
          <w:p w14:paraId="25CC803E" w14:textId="77777777" w:rsidR="007F2542" w:rsidRPr="005208DC" w:rsidRDefault="007F2542" w:rsidP="00A96D39">
            <w:pPr>
              <w:snapToGrid w:val="0"/>
              <w:rPr>
                <w:rFonts w:asciiTheme="majorBidi" w:eastAsia="Times New Roman" w:hAnsiTheme="majorBidi" w:cstheme="majorBidi"/>
                <w:b/>
                <w:color w:val="0D0D0D" w:themeColor="text1" w:themeTint="F2"/>
                <w:lang w:val="sq-AL"/>
              </w:rPr>
            </w:pPr>
            <w:r w:rsidRPr="005208DC">
              <w:rPr>
                <w:rFonts w:asciiTheme="majorBidi" w:eastAsia="Times New Roman" w:hAnsiTheme="majorBidi" w:cstheme="majorBidi"/>
                <w:b/>
                <w:color w:val="0D0D0D" w:themeColor="text1" w:themeTint="F2"/>
                <w:lang w:val="sq-AL"/>
              </w:rPr>
              <w:t>Totali (pa shpenzime administrative)</w:t>
            </w:r>
          </w:p>
        </w:tc>
        <w:tc>
          <w:tcPr>
            <w:tcW w:w="1413" w:type="dxa"/>
          </w:tcPr>
          <w:p w14:paraId="31609621" w14:textId="77777777" w:rsidR="007F2542" w:rsidRPr="005208DC" w:rsidRDefault="007F2542" w:rsidP="00A96D39">
            <w:pPr>
              <w:snapToGrid w:val="0"/>
              <w:jc w:val="right"/>
              <w:rPr>
                <w:rFonts w:asciiTheme="majorBidi" w:hAnsiTheme="majorBidi" w:cstheme="majorBidi"/>
                <w:b/>
                <w:bCs/>
                <w:color w:val="0D0D0D" w:themeColor="text1" w:themeTint="F2"/>
                <w:lang w:val="sq-AL"/>
              </w:rPr>
            </w:pPr>
            <w:r w:rsidRPr="005208DC">
              <w:rPr>
                <w:rFonts w:asciiTheme="majorBidi" w:hAnsiTheme="majorBidi" w:cstheme="majorBidi"/>
                <w:color w:val="0D0D0D" w:themeColor="text1" w:themeTint="F2"/>
                <w:lang w:val="sq-AL"/>
              </w:rPr>
              <w:t>12,394,754</w:t>
            </w:r>
          </w:p>
        </w:tc>
        <w:tc>
          <w:tcPr>
            <w:tcW w:w="1414" w:type="dxa"/>
          </w:tcPr>
          <w:p w14:paraId="616C2E07" w14:textId="77777777" w:rsidR="007F2542" w:rsidRPr="005208DC" w:rsidRDefault="007F2542" w:rsidP="00A96D39">
            <w:pPr>
              <w:jc w:val="right"/>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18,319,672</w:t>
            </w:r>
          </w:p>
        </w:tc>
        <w:tc>
          <w:tcPr>
            <w:tcW w:w="1414" w:type="dxa"/>
          </w:tcPr>
          <w:p w14:paraId="0E2EABAC" w14:textId="77777777" w:rsidR="007F2542" w:rsidRPr="005208DC" w:rsidRDefault="007F2542" w:rsidP="00A96D39">
            <w:pPr>
              <w:snapToGrid w:val="0"/>
              <w:jc w:val="right"/>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19,259,016</w:t>
            </w:r>
          </w:p>
        </w:tc>
        <w:tc>
          <w:tcPr>
            <w:tcW w:w="1414" w:type="dxa"/>
          </w:tcPr>
          <w:p w14:paraId="2F7C92E4" w14:textId="77777777" w:rsidR="007F2542" w:rsidRPr="005208DC" w:rsidRDefault="007F2542" w:rsidP="00A96D39">
            <w:pPr>
              <w:snapToGrid w:val="0"/>
              <w:jc w:val="right"/>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19,259,016</w:t>
            </w:r>
          </w:p>
        </w:tc>
        <w:tc>
          <w:tcPr>
            <w:tcW w:w="1414" w:type="dxa"/>
          </w:tcPr>
          <w:p w14:paraId="591C1183" w14:textId="77777777" w:rsidR="007F2542" w:rsidRPr="005208DC" w:rsidRDefault="007F2542" w:rsidP="00A96D39">
            <w:pPr>
              <w:snapToGrid w:val="0"/>
              <w:jc w:val="right"/>
              <w:rPr>
                <w:rFonts w:asciiTheme="majorBidi" w:hAnsiTheme="majorBidi" w:cstheme="majorBidi"/>
                <w:color w:val="0D0D0D" w:themeColor="text1" w:themeTint="F2"/>
                <w:lang w:val="sq-AL"/>
              </w:rPr>
            </w:pPr>
          </w:p>
        </w:tc>
      </w:tr>
    </w:tbl>
    <w:p w14:paraId="3FCB8E88" w14:textId="77777777" w:rsidR="007F2542" w:rsidRPr="005208DC" w:rsidRDefault="007F2542" w:rsidP="00857902">
      <w:pPr>
        <w:snapToGrid w:val="0"/>
        <w:rPr>
          <w:rFonts w:asciiTheme="majorBidi" w:hAnsiTheme="majorBidi" w:cstheme="majorBidi"/>
          <w:color w:val="0D0D0D" w:themeColor="text1" w:themeTint="F2"/>
          <w:lang w:val="sq-AL"/>
        </w:rPr>
      </w:pPr>
    </w:p>
    <w:p w14:paraId="7F27DC08" w14:textId="77777777" w:rsidR="007F2542" w:rsidRPr="005208DC" w:rsidRDefault="007F2542" w:rsidP="00857902">
      <w:pPr>
        <w:snapToGrid w:val="0"/>
        <w:rPr>
          <w:rFonts w:asciiTheme="majorBidi" w:hAnsiTheme="majorBidi" w:cstheme="majorBidi"/>
          <w:color w:val="0D0D0D" w:themeColor="text1" w:themeTint="F2"/>
          <w:lang w:val="sq-AL"/>
        </w:rPr>
      </w:pPr>
    </w:p>
    <w:p w14:paraId="2F3242D1" w14:textId="074DE74F" w:rsidR="00DB22AB" w:rsidRPr="005208DC" w:rsidRDefault="00B2062A" w:rsidP="00857902">
      <w:pPr>
        <w:pStyle w:val="Heading6"/>
        <w:numPr>
          <w:ilvl w:val="0"/>
          <w:numId w:val="2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përfundimet sociale si punësimi, ulja e varfërisë, barazia gjinore dhe aksesi në kujdesin shëndetësor</w:t>
      </w:r>
    </w:p>
    <w:p w14:paraId="3369DECC" w14:textId="58E30D53" w:rsidR="006D2AFB" w:rsidRPr="005208DC" w:rsidRDefault="007F2542"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eastAsia="x-none"/>
        </w:rPr>
        <w:t>Ulja e papunësisë dhe pasiviteti i lartë, veçanërisht në grupin e të rinjve dhe grave. Rritja e kënaqësisë së grave dhe vajzave të përfshira në programe aktive të tregut të punës. Promovoni një rritje ekonomike të qëndrueshme, gjithëpërfshirëse dhe të qëndrueshme, punësim të plotë dhe produktiv dhe punë të denjë për të gjithë (SDG 8)</w:t>
      </w:r>
      <w:r w:rsidR="006D2AFB" w:rsidRPr="005208DC">
        <w:rPr>
          <w:rFonts w:asciiTheme="majorBidi" w:hAnsiTheme="majorBidi" w:cstheme="majorBidi"/>
          <w:color w:val="0D0D0D" w:themeColor="text1" w:themeTint="F2"/>
          <w:lang w:val="sq-AL"/>
        </w:rPr>
        <w:t>.</w:t>
      </w:r>
    </w:p>
    <w:p w14:paraId="331E7B38" w14:textId="77777777" w:rsidR="006D2AFB" w:rsidRPr="005208DC" w:rsidRDefault="006D2AFB" w:rsidP="00857902">
      <w:pPr>
        <w:snapToGrid w:val="0"/>
        <w:rPr>
          <w:rFonts w:asciiTheme="majorBidi" w:hAnsiTheme="majorBidi" w:cstheme="majorBidi"/>
          <w:color w:val="0D0D0D" w:themeColor="text1" w:themeTint="F2"/>
          <w:lang w:val="sq-AL"/>
        </w:rPr>
      </w:pPr>
    </w:p>
    <w:p w14:paraId="4B2A8E36" w14:textId="6637CCB1" w:rsidR="00DB22AB" w:rsidRPr="005208DC" w:rsidRDefault="00B2062A" w:rsidP="00857902">
      <w:pPr>
        <w:pStyle w:val="Heading6"/>
        <w:numPr>
          <w:ilvl w:val="0"/>
          <w:numId w:val="2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mjedis dhe ndryshimi i klimës</w:t>
      </w:r>
    </w:p>
    <w:p w14:paraId="1B314966" w14:textId="114D624A" w:rsidR="006D2AFB" w:rsidRPr="005208DC" w:rsidRDefault="007F2542"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eastAsia="x-none"/>
        </w:rPr>
        <w:t>Masa është neutrale për sa i përket ndikimit mjedisor</w:t>
      </w:r>
      <w:r w:rsidR="006D2AFB" w:rsidRPr="005208DC">
        <w:rPr>
          <w:rFonts w:asciiTheme="majorBidi" w:hAnsiTheme="majorBidi" w:cstheme="majorBidi"/>
          <w:color w:val="0D0D0D" w:themeColor="text1" w:themeTint="F2"/>
          <w:lang w:val="sq-AL"/>
        </w:rPr>
        <w:t>.</w:t>
      </w:r>
    </w:p>
    <w:p w14:paraId="4CD980B5" w14:textId="77777777" w:rsidR="006D2AFB" w:rsidRPr="005208DC" w:rsidRDefault="006D2AFB" w:rsidP="00857902">
      <w:pPr>
        <w:snapToGrid w:val="0"/>
        <w:rPr>
          <w:rFonts w:asciiTheme="majorBidi" w:hAnsiTheme="majorBidi" w:cstheme="majorBidi"/>
          <w:color w:val="0D0D0D" w:themeColor="text1" w:themeTint="F2"/>
          <w:lang w:val="sq-AL"/>
        </w:rPr>
      </w:pPr>
    </w:p>
    <w:p w14:paraId="2DFECFBC" w14:textId="5584F074" w:rsidR="00DB22AB" w:rsidRPr="005208DC" w:rsidRDefault="00B2062A" w:rsidP="00857902">
      <w:pPr>
        <w:pStyle w:val="Heading6"/>
        <w:numPr>
          <w:ilvl w:val="0"/>
          <w:numId w:val="2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Rreziqet e mundshme</w:t>
      </w:r>
    </w:p>
    <w:tbl>
      <w:tblPr>
        <w:tblStyle w:val="TableGrid2"/>
        <w:tblW w:w="0" w:type="auto"/>
        <w:tblLook w:val="04A0" w:firstRow="1" w:lastRow="0" w:firstColumn="1" w:lastColumn="0" w:noHBand="0" w:noVBand="1"/>
      </w:tblPr>
      <w:tblGrid>
        <w:gridCol w:w="4531"/>
        <w:gridCol w:w="1276"/>
        <w:gridCol w:w="4536"/>
      </w:tblGrid>
      <w:tr w:rsidR="005208DC" w:rsidRPr="005208DC" w14:paraId="0ED1EF7E" w14:textId="77777777" w:rsidTr="007F2542">
        <w:tc>
          <w:tcPr>
            <w:tcW w:w="4531" w:type="dxa"/>
          </w:tcPr>
          <w:p w14:paraId="6375FC26" w14:textId="77777777" w:rsidR="007F2542" w:rsidRPr="005208DC" w:rsidRDefault="007F2542" w:rsidP="007F254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Risku</w:t>
            </w:r>
          </w:p>
        </w:tc>
        <w:tc>
          <w:tcPr>
            <w:tcW w:w="1276" w:type="dxa"/>
          </w:tcPr>
          <w:p w14:paraId="40573671" w14:textId="10D767D1" w:rsidR="007F2542" w:rsidRPr="005208DC" w:rsidRDefault="007F2542" w:rsidP="007F254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Mundësia (e ulët, e lartë)</w:t>
            </w:r>
          </w:p>
        </w:tc>
        <w:tc>
          <w:tcPr>
            <w:tcW w:w="4536" w:type="dxa"/>
          </w:tcPr>
          <w:p w14:paraId="6CD05175" w14:textId="77777777" w:rsidR="007F2542" w:rsidRPr="005208DC" w:rsidRDefault="007F2542" w:rsidP="007F254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Veprime zbutëse të planifikuara</w:t>
            </w:r>
          </w:p>
        </w:tc>
      </w:tr>
      <w:tr w:rsidR="005208DC" w:rsidRPr="005208DC" w14:paraId="1693E6D8" w14:textId="77777777" w:rsidTr="007F2542">
        <w:tc>
          <w:tcPr>
            <w:tcW w:w="4531" w:type="dxa"/>
          </w:tcPr>
          <w:p w14:paraId="26DD5D29" w14:textId="77777777" w:rsidR="007F2542" w:rsidRPr="005208DC" w:rsidRDefault="007F2542" w:rsidP="00A96D39">
            <w:pPr>
              <w:snapToGrid w:val="0"/>
              <w:rPr>
                <w:rFonts w:asciiTheme="majorBidi" w:eastAsia="Arial Narrow" w:hAnsiTheme="majorBidi" w:cstheme="majorBidi"/>
                <w:color w:val="0D0D0D" w:themeColor="text1" w:themeTint="F2"/>
                <w:lang w:val="sq-AL"/>
              </w:rPr>
            </w:pPr>
            <w:r w:rsidRPr="005208DC">
              <w:rPr>
                <w:rFonts w:asciiTheme="majorBidi" w:eastAsia="Arial Narrow" w:hAnsiTheme="majorBidi" w:cstheme="majorBidi"/>
                <w:color w:val="0D0D0D" w:themeColor="text1" w:themeTint="F2"/>
                <w:lang w:val="sq-AL"/>
              </w:rPr>
              <w:t>COVID-19 kufizon aftësinë e AKPA-s për të zbatuar PNP dhe shërbime të tjera punësimi/trajnimi.</w:t>
            </w:r>
          </w:p>
        </w:tc>
        <w:tc>
          <w:tcPr>
            <w:tcW w:w="1276" w:type="dxa"/>
          </w:tcPr>
          <w:p w14:paraId="154BC411" w14:textId="77777777" w:rsidR="007F2542" w:rsidRPr="005208DC" w:rsidRDefault="007F2542" w:rsidP="00A96D39">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E ulët</w:t>
            </w:r>
          </w:p>
        </w:tc>
        <w:tc>
          <w:tcPr>
            <w:tcW w:w="4536" w:type="dxa"/>
          </w:tcPr>
          <w:p w14:paraId="16AD6F4F" w14:textId="77777777" w:rsidR="007F2542" w:rsidRPr="005208DC" w:rsidRDefault="007F2542" w:rsidP="00A96D39">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Të vazhdohet me thjeshtësimin e procedurave të aplikimit për të mundësuar pjesëmarrje të madhe të sektorit privat;</w:t>
            </w:r>
          </w:p>
        </w:tc>
      </w:tr>
      <w:tr w:rsidR="005208DC" w:rsidRPr="005208DC" w14:paraId="58358209" w14:textId="77777777" w:rsidTr="007F2542">
        <w:tc>
          <w:tcPr>
            <w:tcW w:w="4531" w:type="dxa"/>
          </w:tcPr>
          <w:p w14:paraId="430BA856" w14:textId="77777777" w:rsidR="007F2542" w:rsidRPr="005208DC" w:rsidRDefault="007F2542" w:rsidP="00A96D39">
            <w:pPr>
              <w:snapToGrid w:val="0"/>
              <w:rPr>
                <w:rFonts w:asciiTheme="majorBidi" w:eastAsia="Arial Narrow" w:hAnsiTheme="majorBidi" w:cstheme="majorBidi"/>
                <w:color w:val="0D0D0D" w:themeColor="text1" w:themeTint="F2"/>
                <w:lang w:val="sq-AL"/>
              </w:rPr>
            </w:pPr>
            <w:r w:rsidRPr="005208DC">
              <w:rPr>
                <w:rFonts w:asciiTheme="majorBidi" w:eastAsia="Arial Narrow" w:hAnsiTheme="majorBidi" w:cstheme="majorBidi"/>
                <w:color w:val="0D0D0D" w:themeColor="text1" w:themeTint="F2"/>
                <w:lang w:val="sq-AL"/>
              </w:rPr>
              <w:t>Mungesa e bashkëpunimit ndërmjet aktorëve të ndryshëm të përfshirë në këtë proces është një nga vështirësitë e identifikuara në këtë sektor.</w:t>
            </w:r>
          </w:p>
        </w:tc>
        <w:tc>
          <w:tcPr>
            <w:tcW w:w="1276" w:type="dxa"/>
          </w:tcPr>
          <w:p w14:paraId="3145CA1A" w14:textId="77777777" w:rsidR="007F2542" w:rsidRPr="005208DC" w:rsidRDefault="007F2542" w:rsidP="00A96D39">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E ulët</w:t>
            </w:r>
          </w:p>
        </w:tc>
        <w:tc>
          <w:tcPr>
            <w:tcW w:w="4536" w:type="dxa"/>
          </w:tcPr>
          <w:p w14:paraId="5D671FA2" w14:textId="77777777" w:rsidR="007F2542" w:rsidRPr="005208DC" w:rsidRDefault="007F2542" w:rsidP="00A96D39">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Duke pasur monitorim, raportim dhe bashkëpunim të ngushtë ndërmjet palëve përkatëse të interesuara (organizata e punëdhënësve, Organizatat  e Shoqerise civile, pushteti vendor ministri të tjera etj.)</w:t>
            </w:r>
          </w:p>
        </w:tc>
      </w:tr>
      <w:tr w:rsidR="005208DC" w:rsidRPr="005208DC" w14:paraId="021BA1A6" w14:textId="77777777" w:rsidTr="007F2542">
        <w:tc>
          <w:tcPr>
            <w:tcW w:w="4531" w:type="dxa"/>
          </w:tcPr>
          <w:p w14:paraId="17CA7A99" w14:textId="77777777" w:rsidR="007F2542" w:rsidRPr="005208DC" w:rsidRDefault="007F2542" w:rsidP="00A96D39">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Rritja e besimit të qytetarëve në shërbimet e ofruara nga zyrat e punësimit, qendrat e formimit profesional.</w:t>
            </w:r>
          </w:p>
        </w:tc>
        <w:tc>
          <w:tcPr>
            <w:tcW w:w="1276" w:type="dxa"/>
          </w:tcPr>
          <w:p w14:paraId="4DCE0591" w14:textId="77777777" w:rsidR="007F2542" w:rsidRPr="005208DC" w:rsidRDefault="007F2542" w:rsidP="00A96D39">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E ulët</w:t>
            </w:r>
          </w:p>
        </w:tc>
        <w:tc>
          <w:tcPr>
            <w:tcW w:w="4536" w:type="dxa"/>
          </w:tcPr>
          <w:p w14:paraId="73B8582D" w14:textId="77777777" w:rsidR="007F2542" w:rsidRPr="005208DC" w:rsidRDefault="007F2542" w:rsidP="00A96D39">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Publikime të programeve aktive, si dhe raste të suksesshme me të gjitha mjetet e mundshme elektronike dhe nëpërmjet medias</w:t>
            </w:r>
          </w:p>
        </w:tc>
      </w:tr>
      <w:tr w:rsidR="005208DC" w:rsidRPr="005208DC" w14:paraId="19B1B308" w14:textId="77777777" w:rsidTr="007F2542">
        <w:tc>
          <w:tcPr>
            <w:tcW w:w="4531" w:type="dxa"/>
          </w:tcPr>
          <w:p w14:paraId="791514F9" w14:textId="77777777" w:rsidR="007F2542" w:rsidRPr="005208DC" w:rsidRDefault="007F2542" w:rsidP="00A96D39">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Mungesa e përmirësimit të cilësisë së shërbimeve në nivel rajonal dhe lokal, për shkak të trajnimit të pamjaftueshëm</w:t>
            </w:r>
          </w:p>
        </w:tc>
        <w:tc>
          <w:tcPr>
            <w:tcW w:w="1276" w:type="dxa"/>
          </w:tcPr>
          <w:p w14:paraId="38D29317" w14:textId="77777777" w:rsidR="007F2542" w:rsidRPr="005208DC" w:rsidRDefault="007F2542" w:rsidP="00A96D39">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E ulët</w:t>
            </w:r>
          </w:p>
        </w:tc>
        <w:tc>
          <w:tcPr>
            <w:tcW w:w="4536" w:type="dxa"/>
          </w:tcPr>
          <w:p w14:paraId="0161A2DD" w14:textId="77777777" w:rsidR="007F2542" w:rsidRPr="005208DC" w:rsidRDefault="007F2542" w:rsidP="00A96D39">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Monitorimi nga afër i aktiviteteve trajnuese dhe rritja e numrit të trajnerëve në dispozicion.</w:t>
            </w:r>
          </w:p>
        </w:tc>
      </w:tr>
    </w:tbl>
    <w:p w14:paraId="40DC6E08" w14:textId="77777777" w:rsidR="007F2542" w:rsidRPr="005208DC" w:rsidRDefault="007F2542" w:rsidP="00857902">
      <w:pPr>
        <w:snapToGrid w:val="0"/>
        <w:jc w:val="both"/>
        <w:rPr>
          <w:rFonts w:asciiTheme="majorBidi" w:eastAsia="Times New Roman" w:hAnsiTheme="majorBidi" w:cstheme="majorBidi"/>
          <w:color w:val="0D0D0D" w:themeColor="text1" w:themeTint="F2"/>
          <w:lang w:val="sq-AL"/>
        </w:rPr>
      </w:pPr>
    </w:p>
    <w:p w14:paraId="7684CAA4" w14:textId="77777777" w:rsidR="008725CE" w:rsidRPr="005208DC" w:rsidRDefault="008725CE" w:rsidP="00857902">
      <w:pPr>
        <w:snapToGrid w:val="0"/>
        <w:jc w:val="both"/>
        <w:rPr>
          <w:rFonts w:asciiTheme="majorBidi" w:eastAsia="Times New Roman" w:hAnsiTheme="majorBidi" w:cstheme="majorBidi"/>
          <w:color w:val="0D0D0D" w:themeColor="text1" w:themeTint="F2"/>
          <w:lang w:val="sq-AL"/>
        </w:rPr>
      </w:pPr>
    </w:p>
    <w:p w14:paraId="6F9ED520" w14:textId="41193F4F" w:rsidR="00DB22AB" w:rsidRPr="005208DC" w:rsidRDefault="00B2062A" w:rsidP="00857902">
      <w:pPr>
        <w:pStyle w:val="Heading5"/>
        <w:snapToGrid w:val="0"/>
        <w:ind w:left="0"/>
        <w:rPr>
          <w:rFonts w:asciiTheme="majorBidi" w:hAnsiTheme="majorBidi" w:cstheme="majorBidi"/>
          <w:i w:val="0"/>
          <w:color w:val="0D0D0D" w:themeColor="text1" w:themeTint="F2"/>
          <w:sz w:val="24"/>
          <w:szCs w:val="24"/>
          <w:lang w:val="sq-AL"/>
        </w:rPr>
      </w:pPr>
      <w:r w:rsidRPr="005208DC">
        <w:rPr>
          <w:rFonts w:asciiTheme="majorBidi" w:hAnsiTheme="majorBidi" w:cstheme="majorBidi"/>
          <w:i w:val="0"/>
          <w:color w:val="0D0D0D" w:themeColor="text1" w:themeTint="F2"/>
          <w:sz w:val="24"/>
          <w:szCs w:val="24"/>
          <w:lang w:val="sq-AL"/>
        </w:rPr>
        <w:t>Masa e reformës</w:t>
      </w:r>
      <w:r w:rsidR="005358F8" w:rsidRPr="005208DC">
        <w:rPr>
          <w:rFonts w:asciiTheme="majorBidi" w:hAnsiTheme="majorBidi" w:cstheme="majorBidi"/>
          <w:i w:val="0"/>
          <w:color w:val="0D0D0D" w:themeColor="text1" w:themeTint="F2"/>
          <w:sz w:val="24"/>
          <w:szCs w:val="24"/>
          <w:lang w:val="sq-AL"/>
        </w:rPr>
        <w:t xml:space="preserve"> 03</w:t>
      </w:r>
      <w:r w:rsidR="003276FB" w:rsidRPr="005208DC">
        <w:rPr>
          <w:rFonts w:asciiTheme="majorBidi" w:hAnsiTheme="majorBidi" w:cstheme="majorBidi"/>
          <w:i w:val="0"/>
          <w:color w:val="0D0D0D" w:themeColor="text1" w:themeTint="F2"/>
          <w:sz w:val="24"/>
          <w:szCs w:val="24"/>
          <w:lang w:val="sq-AL"/>
        </w:rPr>
        <w:t>: Përmirësimi i kapaciteteve institucionale, financiare dhe njerëzore për kërkim dhe inovacion</w:t>
      </w:r>
    </w:p>
    <w:p w14:paraId="3B6325DD" w14:textId="5DBC8BA3" w:rsidR="00DB22AB" w:rsidRPr="005208DC" w:rsidRDefault="00B2062A" w:rsidP="00857902">
      <w:pPr>
        <w:pStyle w:val="Heading6"/>
        <w:numPr>
          <w:ilvl w:val="0"/>
          <w:numId w:val="28"/>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Përshkrimi i masës</w:t>
      </w:r>
    </w:p>
    <w:p w14:paraId="76BEB597" w14:textId="1669FE46" w:rsidR="00BC7829" w:rsidRPr="005208DC" w:rsidRDefault="00BC7829"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Masa e reformës, është në përputhje me Strategjinë për Shkencën, Teknologjinë dhe Inovacionin 2017-2022 (SKSHTI), Planin Kombëtar për Integrimin Evropian 2021-23, "Kapitulli 25" Shkenca dhe Kërkimi Shkencor, dhe rekomandimet e Komisionit Evropian për Shkencën. dhe Kërkimit Shkencor. Ministria e Arsimit dhe Sportit (MAS) aktualisht është duke punuar për hartimin e raportit të dytë të monitorimit të strategjisë. Për sa i përket programeve kuadër të BE-së, pjesëmarrja në Horizon 2021 është përmirësuar ndjeshëm dhe tregon një zhvillim të mirë për vitin 2021. Duke filluar nga shtatori 2021, Agjencia Kombëtare e Kërkimit Shkencor, Inovacionit dhe Teknologjisë (AKKSHI) me Projektin e Asistencës Teknike të BE-së për Programet e BE-së në Shqipëri. , ka ndërmarrë një turne informues në disa Universitete të Shqipërisë për t'i njohur ata me këto programe, me fokus Horizon Europe. Gjatë vitit 2021 janë zhvilluar negociatat për Marrëveshjen e re Horizon Europe e cila ende nuk është nënshkruar zyrtarisht.</w:t>
      </w:r>
    </w:p>
    <w:p w14:paraId="51975E8A" w14:textId="77777777" w:rsidR="00BC7829" w:rsidRPr="005208DC" w:rsidRDefault="00BC7829"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AKKSHI dhe INSTAT në qershor 2020, nënshkruan një memorandum bashkëpunimi, për futjen në programin zyrtar statistikor të një sërë treguesish në fushën e kërkimit dhe zhvillimit. Të dhënat e para pritet të publikohen në mars 2022.</w:t>
      </w:r>
    </w:p>
    <w:p w14:paraId="64B70376" w14:textId="77777777" w:rsidR="00BC7829" w:rsidRPr="005208DC" w:rsidRDefault="00BC7829"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Referuar Raportit të Komisionit Evropian për Shqipërinë 2021, Shqipëria ka një nivel përgatitjeje në fushën e shkencës dhe kërkimit. Është bërë progres i mirë gjatë periudhës raportuese, veçanërisht me përfundimin e fazës së analizës sasiore të Strategjisë së Specializimit të zgjuar (S3), në përmirësimin e mëtejshëm të pjesëmarrjes në Horizon 2020, në arritjen e diasporës dhe në bashkëpunimin e biznesit akademik. U hartua një udhërrëfyes për procesin S3, në bashkëpunim me Komisionin Evropian. Për sa i përket programeve kuadër të BE-së, Shqipëria merr pjesë në Horizon 2020 si vend i asociuar. Pjesëmarrja e saj në Horizon 2020 është përmirësuar dhe tregon një rezultat shumë të mirë për vitin 2020, megjithatë shkalla e përgjithshme e suksesit të saj vazhdon të jetë e ulët. Shkalla e suksesit të propozimeve me pjesëmarrjen shqiptare është 8,7 % (nga 7,8 % që ishte vitin e kaluar) krahasuar me 12,1 % përqindjen e suksesit të Horizon 2020. Agjencia Kombëtare e Kërkimit Shkencor dhe Inovacionit (NASRI) vazhdoi përpjekjet e saj për të rritur ndërgjegjësimin mbi mundësitë e financimit të Horizont. Duhet të zbatohen masa të shtuara për të rritur ndërgjegjësimin për pjesëmarrjen në Horizon Europe.</w:t>
      </w:r>
    </w:p>
    <w:p w14:paraId="5C0CAC5E" w14:textId="77777777" w:rsidR="00BC7829" w:rsidRPr="005208DC" w:rsidRDefault="00BC7829" w:rsidP="00857902">
      <w:pPr>
        <w:jc w:val="both"/>
        <w:rPr>
          <w:rFonts w:asciiTheme="majorBidi" w:hAnsiTheme="majorBidi" w:cstheme="majorBidi"/>
          <w:color w:val="0D0D0D" w:themeColor="text1" w:themeTint="F2"/>
          <w:lang w:val="sq-AL"/>
        </w:rPr>
      </w:pPr>
    </w:p>
    <w:p w14:paraId="6D3D7E91" w14:textId="77777777" w:rsidR="00BC7829" w:rsidRPr="005208DC" w:rsidRDefault="00BC7829"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Megjithatë, rekomandimet e vitit të kaluar nuk janë adresuar plotësisht dhe për këtë arsye mbeten të vlefshme. Në vitin e ardhshëm, vendi duhet në veçanti:</w:t>
      </w:r>
    </w:p>
    <w:p w14:paraId="5A57552D" w14:textId="77777777" w:rsidR="00BC7829" w:rsidRPr="005208DC" w:rsidRDefault="00BC7829" w:rsidP="00F957E8">
      <w:pPr>
        <w:pStyle w:val="ListParagraph"/>
        <w:numPr>
          <w:ilvl w:val="0"/>
          <w:numId w:val="122"/>
        </w:numPr>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rritja e investimeve në kërkime, në përputhje me angazhimet e veta dhe prioritetet e zonës evropiane të kërkimit;</w:t>
      </w:r>
    </w:p>
    <w:p w14:paraId="73C4DA49" w14:textId="77777777" w:rsidR="00BC7829" w:rsidRPr="005208DC" w:rsidRDefault="00BC7829" w:rsidP="00F957E8">
      <w:pPr>
        <w:pStyle w:val="ListParagraph"/>
        <w:numPr>
          <w:ilvl w:val="0"/>
          <w:numId w:val="122"/>
        </w:numPr>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vazhdimi i zhvillimit të Strategjisë së Specializimit Smart;</w:t>
      </w:r>
    </w:p>
    <w:p w14:paraId="043871A6" w14:textId="61F71947" w:rsidR="00BC7829" w:rsidRPr="005208DC" w:rsidRDefault="00BC7829" w:rsidP="00F957E8">
      <w:pPr>
        <w:pStyle w:val="ListParagraph"/>
        <w:numPr>
          <w:ilvl w:val="0"/>
          <w:numId w:val="122"/>
        </w:numPr>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siguron shoqërim dhe pjesëmarrje në kohë në Horizon Europe.</w:t>
      </w:r>
    </w:p>
    <w:p w14:paraId="2160EDC2" w14:textId="77777777" w:rsidR="00BC7829" w:rsidRPr="005208DC" w:rsidRDefault="00BC7829" w:rsidP="00F957E8">
      <w:pPr>
        <w:pStyle w:val="ListParagraph"/>
        <w:numPr>
          <w:ilvl w:val="0"/>
          <w:numId w:val="123"/>
        </w:numPr>
        <w:ind w:left="993"/>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Qëllimi i masës është zhvillimi i infrastrukturës së kërkimit dhe inovacionit, aktivizimi i burimeve financiare publike dhe private që mbështesin kërkimin shkencor dhe promovojnë kërkuesit shkencorë. Për më tepër, ai synon të rrisë bashkëpunimin midis studiuesve dhe komunitetit të biznesit që mbështesin krijimin e vendeve të punës dhe zhvillimin ekonomik të vendit. Masa përfshin nisma ligjore që do të zhvillohen gjatë periudhës 2022-2024; aktivitetet në lidhje me përmirësimin e infrastrukturës kërkimore; aktivitete promovuese për programet shkencore evropiane; investimet për të mbështetur kërkimin e lidhur ngushtë me zhvillimin ekonomik të vendit; aktivitetet e promovimit të kapitalit njerëzor, etj. Kjo masë lidhet me Kriteret Ekonomike, për të qenë konkurrues në BE, gjë që kërkon një sasi të mjaftueshme kapitali njerëzor, arsim, kërkim, inovacion dhe zhvillime të ardhshme në këtë fushë.</w:t>
      </w:r>
    </w:p>
    <w:p w14:paraId="330F6DB8" w14:textId="77777777" w:rsidR="00BC7829" w:rsidRPr="005208DC" w:rsidRDefault="00BC7829" w:rsidP="00F957E8">
      <w:pPr>
        <w:pStyle w:val="ListParagraph"/>
        <w:numPr>
          <w:ilvl w:val="0"/>
          <w:numId w:val="123"/>
        </w:numPr>
        <w:ind w:left="993"/>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një sasi dhe cilësi të mjaftueshme të kapitalit fizik dhe infrastrukturës.</w:t>
      </w:r>
    </w:p>
    <w:p w14:paraId="70F7218D" w14:textId="733C3E51" w:rsidR="00BC7829" w:rsidRPr="005208DC" w:rsidRDefault="00BC7829" w:rsidP="00F957E8">
      <w:pPr>
        <w:pStyle w:val="ListParagraph"/>
        <w:numPr>
          <w:ilvl w:val="0"/>
          <w:numId w:val="123"/>
        </w:numPr>
        <w:ind w:left="993"/>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ndryshimet në strukturën e sektorit dhe të ndërmarrjeve në ekonomi, duke përfshirë rolin e NVM.</w:t>
      </w:r>
    </w:p>
    <w:p w14:paraId="53CF1030" w14:textId="77777777" w:rsidR="00BC7829" w:rsidRPr="005208DC" w:rsidRDefault="00BC7829" w:rsidP="00857902">
      <w:pPr>
        <w:jc w:val="both"/>
        <w:rPr>
          <w:rFonts w:asciiTheme="majorBidi" w:hAnsiTheme="majorBidi" w:cstheme="majorBidi"/>
          <w:color w:val="0D0D0D" w:themeColor="text1" w:themeTint="F2"/>
          <w:lang w:val="sq-AL"/>
        </w:rPr>
      </w:pPr>
    </w:p>
    <w:p w14:paraId="56DCFF35" w14:textId="79F5BF8A" w:rsidR="00DB22AB" w:rsidRPr="005208DC" w:rsidRDefault="00B2062A" w:rsidP="00857902">
      <w:pPr>
        <w:pStyle w:val="ListParagraph"/>
        <w:numPr>
          <w:ilvl w:val="0"/>
          <w:numId w:val="29"/>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DB22AB" w:rsidRPr="005208DC">
        <w:rPr>
          <w:rFonts w:asciiTheme="majorBidi" w:hAnsiTheme="majorBidi" w:cstheme="majorBidi"/>
          <w:b/>
          <w:color w:val="0D0D0D" w:themeColor="text1" w:themeTint="F2"/>
          <w:sz w:val="24"/>
          <w:szCs w:val="24"/>
          <w:lang w:val="sq-AL"/>
        </w:rPr>
        <w:t xml:space="preserve"> 2022</w:t>
      </w:r>
    </w:p>
    <w:p w14:paraId="72A6D5E5" w14:textId="77777777" w:rsidR="00BC7829" w:rsidRPr="005208DC" w:rsidRDefault="00BC7829" w:rsidP="00857902">
      <w:pPr>
        <w:widowControl w:val="0"/>
        <w:numPr>
          <w:ilvl w:val="0"/>
          <w:numId w:val="30"/>
        </w:numPr>
        <w:jc w:val="both"/>
        <w:rPr>
          <w:rFonts w:asciiTheme="majorBidi" w:eastAsia="Arial Narrow" w:hAnsiTheme="majorBidi" w:cstheme="majorBidi"/>
          <w:bCs/>
          <w:color w:val="0D0D0D" w:themeColor="text1" w:themeTint="F2"/>
          <w:lang w:val="sq-AL"/>
        </w:rPr>
      </w:pPr>
      <w:r w:rsidRPr="005208DC">
        <w:rPr>
          <w:rFonts w:asciiTheme="majorBidi" w:eastAsia="Arial Narrow" w:hAnsiTheme="majorBidi" w:cstheme="majorBidi"/>
          <w:bCs/>
          <w:color w:val="0D0D0D" w:themeColor="text1" w:themeTint="F2"/>
          <w:lang w:val="sq-AL"/>
        </w:rPr>
        <w:t>Vazhdoni zhvillimin e Strategjisë së Specializimit të zgjuar (S3) dhe siguroni fillimin e zbatimit të saj. (MAS dhe grupi ndërinstitucional).</w:t>
      </w:r>
    </w:p>
    <w:p w14:paraId="32CCEB04" w14:textId="77777777" w:rsidR="00BC7829" w:rsidRPr="005208DC" w:rsidRDefault="00BC7829" w:rsidP="00857902">
      <w:pPr>
        <w:widowControl w:val="0"/>
        <w:numPr>
          <w:ilvl w:val="0"/>
          <w:numId w:val="30"/>
        </w:numPr>
        <w:jc w:val="both"/>
        <w:rPr>
          <w:rFonts w:asciiTheme="majorBidi" w:eastAsia="Arial Narrow" w:hAnsiTheme="majorBidi" w:cstheme="majorBidi"/>
          <w:bCs/>
          <w:color w:val="0D0D0D" w:themeColor="text1" w:themeTint="F2"/>
          <w:lang w:val="sq-AL"/>
        </w:rPr>
      </w:pPr>
      <w:r w:rsidRPr="005208DC">
        <w:rPr>
          <w:rFonts w:asciiTheme="majorBidi" w:eastAsia="Arial Narrow" w:hAnsiTheme="majorBidi" w:cstheme="majorBidi"/>
          <w:bCs/>
          <w:color w:val="0D0D0D" w:themeColor="text1" w:themeTint="F2"/>
          <w:lang w:val="sq-AL"/>
        </w:rPr>
        <w:t>Rritja e bashkëpunimit dypalësh në fushën e teknologjisë, kërkimit shkencor dhe inovacionit ndërmjet institucioneve të arsimit të lartë në Shqipëri dhe atyre të huaja.</w:t>
      </w:r>
    </w:p>
    <w:p w14:paraId="010F0215" w14:textId="77777777" w:rsidR="00BC7829" w:rsidRPr="005208DC" w:rsidRDefault="00BC7829" w:rsidP="00857902">
      <w:pPr>
        <w:widowControl w:val="0"/>
        <w:numPr>
          <w:ilvl w:val="0"/>
          <w:numId w:val="30"/>
        </w:numPr>
        <w:jc w:val="both"/>
        <w:rPr>
          <w:rFonts w:asciiTheme="majorBidi" w:eastAsia="Arial Narrow" w:hAnsiTheme="majorBidi" w:cstheme="majorBidi"/>
          <w:bCs/>
          <w:color w:val="0D0D0D" w:themeColor="text1" w:themeTint="F2"/>
          <w:lang w:val="sq-AL"/>
        </w:rPr>
      </w:pPr>
      <w:r w:rsidRPr="005208DC">
        <w:rPr>
          <w:rFonts w:asciiTheme="majorBidi" w:eastAsia="Arial Narrow" w:hAnsiTheme="majorBidi" w:cstheme="majorBidi"/>
          <w:bCs/>
          <w:color w:val="0D0D0D" w:themeColor="text1" w:themeTint="F2"/>
          <w:lang w:val="sq-AL"/>
        </w:rPr>
        <w:t>Infrastruktura kërkimore do të vazhdojë të mbështetet bazuar në monitorimin e performancës. (MAS dhe NASRI).</w:t>
      </w:r>
    </w:p>
    <w:p w14:paraId="532D730D" w14:textId="77777777" w:rsidR="00BC7829" w:rsidRPr="005208DC" w:rsidRDefault="00BC7829" w:rsidP="00857902">
      <w:pPr>
        <w:widowControl w:val="0"/>
        <w:numPr>
          <w:ilvl w:val="0"/>
          <w:numId w:val="30"/>
        </w:numPr>
        <w:jc w:val="both"/>
        <w:rPr>
          <w:rFonts w:asciiTheme="majorBidi" w:eastAsia="Arial Narrow" w:hAnsiTheme="majorBidi" w:cstheme="majorBidi"/>
          <w:bCs/>
          <w:color w:val="0D0D0D" w:themeColor="text1" w:themeTint="F2"/>
          <w:lang w:val="sq-AL"/>
        </w:rPr>
      </w:pPr>
      <w:r w:rsidRPr="005208DC">
        <w:rPr>
          <w:rFonts w:asciiTheme="majorBidi" w:eastAsia="Arial Narrow" w:hAnsiTheme="majorBidi" w:cstheme="majorBidi"/>
          <w:bCs/>
          <w:color w:val="0D0D0D" w:themeColor="text1" w:themeTint="F2"/>
          <w:lang w:val="sq-AL"/>
        </w:rPr>
        <w:t>Zbatimi i platformës së studiuesve shqiptarë përfshirë diasporën dhe ndërgjegjësimi për të. Përgatitja e udhëzimeve se si studiuesit në vende të bashkëpunojnë me ata në diasporë.</w:t>
      </w:r>
    </w:p>
    <w:p w14:paraId="6CE5E6AD" w14:textId="77777777" w:rsidR="00BC7829" w:rsidRPr="005208DC" w:rsidRDefault="00BC7829" w:rsidP="00857902">
      <w:pPr>
        <w:widowControl w:val="0"/>
        <w:numPr>
          <w:ilvl w:val="0"/>
          <w:numId w:val="30"/>
        </w:numPr>
        <w:jc w:val="both"/>
        <w:rPr>
          <w:rFonts w:asciiTheme="majorBidi" w:eastAsia="Arial Narrow" w:hAnsiTheme="majorBidi" w:cstheme="majorBidi"/>
          <w:bCs/>
          <w:color w:val="0D0D0D" w:themeColor="text1" w:themeTint="F2"/>
          <w:lang w:val="sq-AL"/>
        </w:rPr>
      </w:pPr>
      <w:r w:rsidRPr="005208DC">
        <w:rPr>
          <w:rFonts w:asciiTheme="majorBidi" w:eastAsia="Arial Narrow" w:hAnsiTheme="majorBidi" w:cstheme="majorBidi"/>
          <w:bCs/>
          <w:color w:val="0D0D0D" w:themeColor="text1" w:themeTint="F2"/>
          <w:lang w:val="sq-AL"/>
        </w:rPr>
        <w:t>Vlerësoni punën e rrjetit NCP H2020 dhe mbështesni ata për pjesëmarrje në takime kombëtare/ndërkombëtare.</w:t>
      </w:r>
    </w:p>
    <w:p w14:paraId="0F21D4CE" w14:textId="77777777" w:rsidR="00BC7829" w:rsidRPr="005208DC" w:rsidRDefault="00BC7829" w:rsidP="00857902">
      <w:pPr>
        <w:widowControl w:val="0"/>
        <w:numPr>
          <w:ilvl w:val="0"/>
          <w:numId w:val="30"/>
        </w:numPr>
        <w:jc w:val="both"/>
        <w:rPr>
          <w:rFonts w:asciiTheme="majorBidi" w:eastAsia="Arial Narrow" w:hAnsiTheme="majorBidi" w:cstheme="majorBidi"/>
          <w:bCs/>
          <w:color w:val="0D0D0D" w:themeColor="text1" w:themeTint="F2"/>
          <w:lang w:val="sq-AL"/>
        </w:rPr>
      </w:pPr>
      <w:r w:rsidRPr="005208DC">
        <w:rPr>
          <w:rFonts w:asciiTheme="majorBidi" w:eastAsia="Arial Narrow" w:hAnsiTheme="majorBidi" w:cstheme="majorBidi"/>
          <w:bCs/>
          <w:color w:val="0D0D0D" w:themeColor="text1" w:themeTint="F2"/>
          <w:lang w:val="sq-AL"/>
        </w:rPr>
        <w:t>Mbështetni pjesëmarrjen në Komitetet e ERA-s dhe parashikoni ndryshimet e nevojshme ligjore për zbatimin e prioriteteve dhe parimeve të ERA-s (AKKSHI dhe MASH).</w:t>
      </w:r>
    </w:p>
    <w:p w14:paraId="7BB6F401" w14:textId="1FED9A36" w:rsidR="00BC7829" w:rsidRPr="005208DC" w:rsidRDefault="00BC7829" w:rsidP="00857902">
      <w:pPr>
        <w:widowControl w:val="0"/>
        <w:numPr>
          <w:ilvl w:val="0"/>
          <w:numId w:val="30"/>
        </w:numPr>
        <w:jc w:val="both"/>
        <w:rPr>
          <w:rFonts w:asciiTheme="majorBidi" w:eastAsia="Arial Narrow" w:hAnsiTheme="majorBidi" w:cstheme="majorBidi"/>
          <w:bCs/>
          <w:color w:val="0D0D0D" w:themeColor="text1" w:themeTint="F2"/>
          <w:lang w:val="sq-AL"/>
        </w:rPr>
      </w:pPr>
      <w:r w:rsidRPr="005208DC">
        <w:rPr>
          <w:rFonts w:asciiTheme="majorBidi" w:eastAsia="Arial Narrow" w:hAnsiTheme="majorBidi" w:cstheme="majorBidi"/>
          <w:bCs/>
          <w:color w:val="0D0D0D" w:themeColor="text1" w:themeTint="F2"/>
          <w:lang w:val="sq-AL"/>
        </w:rPr>
        <w:t>Të prodhojë statistika dhe të dhëna të besueshme për shkencën dhe teknologjinë, duke përfshirë treguesin mbi shpenzimet e brendshme bruto për Kërkimin dhe Inovacionin (NASRI dhe Instituti i Statistikave).</w:t>
      </w:r>
    </w:p>
    <w:p w14:paraId="258CF4A0" w14:textId="2830F5C8" w:rsidR="00DB22AB" w:rsidRPr="005208DC" w:rsidRDefault="00B2062A" w:rsidP="00857902">
      <w:pPr>
        <w:pStyle w:val="ListParagraph"/>
        <w:numPr>
          <w:ilvl w:val="0"/>
          <w:numId w:val="29"/>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DB22AB" w:rsidRPr="005208DC">
        <w:rPr>
          <w:rFonts w:asciiTheme="majorBidi" w:hAnsiTheme="majorBidi" w:cstheme="majorBidi"/>
          <w:b/>
          <w:color w:val="0D0D0D" w:themeColor="text1" w:themeTint="F2"/>
          <w:sz w:val="24"/>
          <w:szCs w:val="24"/>
          <w:lang w:val="sq-AL"/>
        </w:rPr>
        <w:t xml:space="preserve"> 2023</w:t>
      </w:r>
    </w:p>
    <w:p w14:paraId="7BD3E75F" w14:textId="77777777" w:rsidR="00BC7829" w:rsidRPr="005208DC" w:rsidRDefault="00BC7829" w:rsidP="00857902">
      <w:pPr>
        <w:widowControl w:val="0"/>
        <w:numPr>
          <w:ilvl w:val="0"/>
          <w:numId w:val="31"/>
        </w:numPr>
        <w:jc w:val="both"/>
        <w:rPr>
          <w:rFonts w:asciiTheme="majorBidi" w:eastAsia="Arial Narrow" w:hAnsiTheme="majorBidi" w:cstheme="majorBidi"/>
          <w:b/>
          <w:color w:val="0D0D0D" w:themeColor="text1" w:themeTint="F2"/>
          <w:lang w:val="sq-AL"/>
        </w:rPr>
      </w:pPr>
      <w:r w:rsidRPr="005208DC">
        <w:rPr>
          <w:rFonts w:asciiTheme="majorBidi" w:eastAsia="Arial Narrow" w:hAnsiTheme="majorBidi" w:cstheme="majorBidi"/>
          <w:bCs/>
          <w:color w:val="0D0D0D" w:themeColor="text1" w:themeTint="F2"/>
          <w:lang w:val="sq-AL"/>
        </w:rPr>
        <w:t>Miratimi dhe fillimi i zbatimit të Strategjisë së Specializimit Smart.</w:t>
      </w:r>
    </w:p>
    <w:p w14:paraId="15264E72" w14:textId="77777777" w:rsidR="00BC7829" w:rsidRPr="005208DC" w:rsidRDefault="00BC7829" w:rsidP="00857902">
      <w:pPr>
        <w:widowControl w:val="0"/>
        <w:numPr>
          <w:ilvl w:val="0"/>
          <w:numId w:val="31"/>
        </w:numPr>
        <w:jc w:val="both"/>
        <w:rPr>
          <w:rFonts w:asciiTheme="majorBidi" w:eastAsia="Arial Narrow" w:hAnsiTheme="majorBidi" w:cstheme="majorBidi"/>
          <w:b/>
          <w:color w:val="0D0D0D" w:themeColor="text1" w:themeTint="F2"/>
          <w:lang w:val="sq-AL"/>
        </w:rPr>
      </w:pPr>
      <w:r w:rsidRPr="005208DC">
        <w:rPr>
          <w:rFonts w:asciiTheme="majorBidi" w:eastAsia="Arial Narrow" w:hAnsiTheme="majorBidi" w:cstheme="majorBidi"/>
          <w:bCs/>
          <w:color w:val="0D0D0D" w:themeColor="text1" w:themeTint="F2"/>
          <w:lang w:val="sq-AL"/>
        </w:rPr>
        <w:t>Hartimi dhe miratimi i strategjisë së re kombëtare të teknologjisë, kërkimit dhe inovacionit;</w:t>
      </w:r>
    </w:p>
    <w:p w14:paraId="7458199A" w14:textId="77777777" w:rsidR="00BC7829" w:rsidRPr="005208DC" w:rsidRDefault="00BC7829" w:rsidP="00857902">
      <w:pPr>
        <w:widowControl w:val="0"/>
        <w:numPr>
          <w:ilvl w:val="0"/>
          <w:numId w:val="31"/>
        </w:numPr>
        <w:jc w:val="both"/>
        <w:rPr>
          <w:rFonts w:asciiTheme="majorBidi" w:eastAsia="Arial Narrow" w:hAnsiTheme="majorBidi" w:cstheme="majorBidi"/>
          <w:b/>
          <w:color w:val="0D0D0D" w:themeColor="text1" w:themeTint="F2"/>
          <w:lang w:val="sq-AL"/>
        </w:rPr>
      </w:pPr>
      <w:r w:rsidRPr="005208DC">
        <w:rPr>
          <w:rFonts w:asciiTheme="majorBidi" w:eastAsia="Arial Narrow" w:hAnsiTheme="majorBidi" w:cstheme="majorBidi"/>
          <w:bCs/>
          <w:color w:val="0D0D0D" w:themeColor="text1" w:themeTint="F2"/>
          <w:lang w:val="sq-AL"/>
        </w:rPr>
        <w:t>Hartimi dhe miratimi i ligjit të ri për kërkimin shkencor dhe inovacionin</w:t>
      </w:r>
    </w:p>
    <w:p w14:paraId="778715D5" w14:textId="77777777" w:rsidR="00BC7829" w:rsidRPr="005208DC" w:rsidRDefault="00BC7829" w:rsidP="00857902">
      <w:pPr>
        <w:widowControl w:val="0"/>
        <w:numPr>
          <w:ilvl w:val="0"/>
          <w:numId w:val="31"/>
        </w:numPr>
        <w:jc w:val="both"/>
        <w:rPr>
          <w:rFonts w:asciiTheme="majorBidi" w:eastAsia="Arial Narrow" w:hAnsiTheme="majorBidi" w:cstheme="majorBidi"/>
          <w:b/>
          <w:color w:val="0D0D0D" w:themeColor="text1" w:themeTint="F2"/>
          <w:lang w:val="sq-AL"/>
        </w:rPr>
      </w:pPr>
      <w:r w:rsidRPr="005208DC">
        <w:rPr>
          <w:rFonts w:asciiTheme="majorBidi" w:eastAsia="Arial Narrow" w:hAnsiTheme="majorBidi" w:cstheme="majorBidi"/>
          <w:bCs/>
          <w:color w:val="0D0D0D" w:themeColor="text1" w:themeTint="F2"/>
          <w:lang w:val="sq-AL"/>
        </w:rPr>
        <w:t>Zhvillimi i një metodologjie të qartë për krijimin e fondeve për kërkimin dhe shkencën</w:t>
      </w:r>
    </w:p>
    <w:p w14:paraId="40961553" w14:textId="77777777" w:rsidR="00BC7829" w:rsidRPr="005208DC" w:rsidRDefault="00BC7829" w:rsidP="00857902">
      <w:pPr>
        <w:widowControl w:val="0"/>
        <w:numPr>
          <w:ilvl w:val="0"/>
          <w:numId w:val="31"/>
        </w:numPr>
        <w:jc w:val="both"/>
        <w:rPr>
          <w:rFonts w:asciiTheme="majorBidi" w:eastAsia="Arial Narrow" w:hAnsiTheme="majorBidi" w:cstheme="majorBidi"/>
          <w:b/>
          <w:color w:val="0D0D0D" w:themeColor="text1" w:themeTint="F2"/>
          <w:lang w:val="sq-AL"/>
        </w:rPr>
      </w:pPr>
      <w:r w:rsidRPr="005208DC">
        <w:rPr>
          <w:rFonts w:asciiTheme="majorBidi" w:eastAsia="Arial Narrow" w:hAnsiTheme="majorBidi" w:cstheme="majorBidi"/>
          <w:bCs/>
          <w:color w:val="0D0D0D" w:themeColor="text1" w:themeTint="F2"/>
          <w:lang w:val="sq-AL"/>
        </w:rPr>
        <w:t>Projektet e inovacionit do të mbështeten dhe financohen nëse në thelb kanë bashkëpunimin midis Shkencës (Universiteteve) dhe Biznesit, duke promovuar modele të reja si hackathons dhe triple-helix.</w:t>
      </w:r>
    </w:p>
    <w:p w14:paraId="50A88A05" w14:textId="22BBB0B9" w:rsidR="00BC7829" w:rsidRPr="005208DC" w:rsidRDefault="00BC7829" w:rsidP="00857902">
      <w:pPr>
        <w:widowControl w:val="0"/>
        <w:numPr>
          <w:ilvl w:val="0"/>
          <w:numId w:val="31"/>
        </w:numPr>
        <w:jc w:val="both"/>
        <w:rPr>
          <w:rFonts w:asciiTheme="majorBidi" w:eastAsia="Arial Narrow" w:hAnsiTheme="majorBidi" w:cstheme="majorBidi"/>
          <w:b/>
          <w:color w:val="0D0D0D" w:themeColor="text1" w:themeTint="F2"/>
          <w:lang w:val="sq-AL"/>
        </w:rPr>
      </w:pPr>
      <w:r w:rsidRPr="005208DC">
        <w:rPr>
          <w:rFonts w:asciiTheme="majorBidi" w:eastAsia="Arial Narrow" w:hAnsiTheme="majorBidi" w:cstheme="majorBidi"/>
          <w:bCs/>
          <w:color w:val="0D0D0D" w:themeColor="text1" w:themeTint="F2"/>
          <w:lang w:val="sq-AL"/>
        </w:rPr>
        <w:t>Përgatitja e kornizës ligjore për të mbështetur kompanitë që investojnë në kërkime. (MASH dhe MFE).</w:t>
      </w:r>
    </w:p>
    <w:p w14:paraId="6FB53B0A" w14:textId="77777777" w:rsidR="00BC7829" w:rsidRPr="005208DC" w:rsidRDefault="00BC7829" w:rsidP="00857902">
      <w:pPr>
        <w:widowControl w:val="0"/>
        <w:numPr>
          <w:ilvl w:val="0"/>
          <w:numId w:val="31"/>
        </w:numPr>
        <w:jc w:val="both"/>
        <w:rPr>
          <w:rFonts w:asciiTheme="majorBidi" w:eastAsia="Arial Narrow" w:hAnsiTheme="majorBidi" w:cstheme="majorBidi"/>
          <w:b/>
          <w:color w:val="0D0D0D" w:themeColor="text1" w:themeTint="F2"/>
          <w:lang w:val="sq-AL"/>
        </w:rPr>
      </w:pPr>
      <w:r w:rsidRPr="005208DC">
        <w:rPr>
          <w:rFonts w:asciiTheme="majorBidi" w:eastAsia="Arial Narrow" w:hAnsiTheme="majorBidi" w:cstheme="majorBidi"/>
          <w:bCs/>
          <w:color w:val="0D0D0D" w:themeColor="text1" w:themeTint="F2"/>
          <w:lang w:val="sq-AL"/>
        </w:rPr>
        <w:t>Krijimi i qendrës së parë rajonale të ekselencës në Shqipëri. (MASH dhe ZKM).</w:t>
      </w:r>
    </w:p>
    <w:p w14:paraId="1D559426" w14:textId="16A6DCB5" w:rsidR="00BC7829" w:rsidRPr="005208DC" w:rsidRDefault="00BC7829" w:rsidP="00857902">
      <w:pPr>
        <w:widowControl w:val="0"/>
        <w:numPr>
          <w:ilvl w:val="0"/>
          <w:numId w:val="31"/>
        </w:numPr>
        <w:jc w:val="both"/>
        <w:rPr>
          <w:rFonts w:asciiTheme="majorBidi" w:eastAsia="Arial Narrow" w:hAnsiTheme="majorBidi" w:cstheme="majorBidi"/>
          <w:b/>
          <w:color w:val="0D0D0D" w:themeColor="text1" w:themeTint="F2"/>
          <w:lang w:val="sq-AL"/>
        </w:rPr>
      </w:pPr>
      <w:r w:rsidRPr="005208DC">
        <w:rPr>
          <w:rFonts w:asciiTheme="majorBidi" w:eastAsia="Arial Narrow" w:hAnsiTheme="majorBidi" w:cstheme="majorBidi"/>
          <w:bCs/>
          <w:color w:val="0D0D0D" w:themeColor="text1" w:themeTint="F2"/>
          <w:lang w:val="sq-AL"/>
        </w:rPr>
        <w:t>Rritja e bashkëpunimit dypalësh në fushën e teknologjisë, kërkimit shkencor dhe inovacionit ndërmjet institucioneve të arsimit të lartë në Shqipëri dhe atyre të huaja.</w:t>
      </w:r>
    </w:p>
    <w:p w14:paraId="02308465" w14:textId="4E435953" w:rsidR="00DB22AB" w:rsidRPr="005208DC" w:rsidRDefault="00B2062A" w:rsidP="00857902">
      <w:pPr>
        <w:pStyle w:val="ListParagraph"/>
        <w:numPr>
          <w:ilvl w:val="0"/>
          <w:numId w:val="29"/>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DB22AB" w:rsidRPr="005208DC">
        <w:rPr>
          <w:rFonts w:asciiTheme="majorBidi" w:hAnsiTheme="majorBidi" w:cstheme="majorBidi"/>
          <w:b/>
          <w:color w:val="0D0D0D" w:themeColor="text1" w:themeTint="F2"/>
          <w:sz w:val="24"/>
          <w:szCs w:val="24"/>
          <w:lang w:val="sq-AL"/>
        </w:rPr>
        <w:t xml:space="preserve"> 2024</w:t>
      </w:r>
    </w:p>
    <w:p w14:paraId="621F7468" w14:textId="77777777" w:rsidR="00BC7829" w:rsidRPr="005208DC" w:rsidRDefault="00BC7829" w:rsidP="00857902">
      <w:pPr>
        <w:pStyle w:val="ListParagraph"/>
        <w:numPr>
          <w:ilvl w:val="0"/>
          <w:numId w:val="32"/>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Kuadri i ri ligjor i kërkimit shkencor dhe inovacionit do të plotësohet me akte të reja nënligjore.</w:t>
      </w:r>
    </w:p>
    <w:p w14:paraId="1753E49B" w14:textId="6BC19B69" w:rsidR="0040068D" w:rsidRPr="005208DC" w:rsidRDefault="00BC7829" w:rsidP="00857902">
      <w:pPr>
        <w:pStyle w:val="ListParagraph"/>
        <w:numPr>
          <w:ilvl w:val="0"/>
          <w:numId w:val="32"/>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Projektet e inovacionit do të mbështeten dhe financohen nëse në thelb kanë bashkëpunimin midis Shkencës (Universiteteve) dhe Biznesit, duke promovuar modele të reja si hackathons dhe triple-helix.</w:t>
      </w:r>
    </w:p>
    <w:p w14:paraId="7E6B428F" w14:textId="77777777" w:rsidR="00BC7829" w:rsidRPr="005208DC" w:rsidRDefault="00BC7829" w:rsidP="00857902">
      <w:pPr>
        <w:jc w:val="both"/>
        <w:rPr>
          <w:rFonts w:asciiTheme="majorBidi" w:hAnsiTheme="majorBidi" w:cstheme="majorBidi"/>
          <w:b/>
          <w:color w:val="0D0D0D" w:themeColor="text1" w:themeTint="F2"/>
          <w:lang w:val="sq-AL"/>
        </w:rPr>
      </w:pPr>
    </w:p>
    <w:p w14:paraId="73298504" w14:textId="0FF1EFA0" w:rsidR="00DB22AB" w:rsidRPr="005208DC" w:rsidRDefault="00B2062A" w:rsidP="00857902">
      <w:pPr>
        <w:pStyle w:val="Heading6"/>
        <w:numPr>
          <w:ilvl w:val="0"/>
          <w:numId w:val="28"/>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Treguesit e rezultateve</w:t>
      </w:r>
    </w:p>
    <w:tbl>
      <w:tblPr>
        <w:tblStyle w:val="TableGrid"/>
        <w:tblW w:w="9634" w:type="dxa"/>
        <w:tblLook w:val="04A0" w:firstRow="1" w:lastRow="0" w:firstColumn="1" w:lastColumn="0" w:noHBand="0" w:noVBand="1"/>
      </w:tblPr>
      <w:tblGrid>
        <w:gridCol w:w="4673"/>
        <w:gridCol w:w="1701"/>
        <w:gridCol w:w="1701"/>
        <w:gridCol w:w="1559"/>
      </w:tblGrid>
      <w:tr w:rsidR="005208DC" w:rsidRPr="005208DC" w14:paraId="0DA1528E" w14:textId="77777777" w:rsidTr="0036310F">
        <w:tc>
          <w:tcPr>
            <w:tcW w:w="4673" w:type="dxa"/>
          </w:tcPr>
          <w:p w14:paraId="5ECBA23E" w14:textId="30AA3492" w:rsidR="0040068D"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w:t>
            </w:r>
          </w:p>
        </w:tc>
        <w:tc>
          <w:tcPr>
            <w:tcW w:w="1701" w:type="dxa"/>
          </w:tcPr>
          <w:p w14:paraId="451C0CD3" w14:textId="2B381AB3" w:rsidR="0040068D" w:rsidRPr="005208DC" w:rsidRDefault="00B2062A"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Bazë</w:t>
            </w:r>
            <w:r w:rsidR="0040068D" w:rsidRPr="005208DC">
              <w:rPr>
                <w:rFonts w:asciiTheme="majorBidi" w:hAnsiTheme="majorBidi" w:cstheme="majorBidi"/>
                <w:color w:val="0D0D0D" w:themeColor="text1" w:themeTint="F2"/>
                <w:lang w:val="sq-AL"/>
              </w:rPr>
              <w:t xml:space="preserve"> (2022)</w:t>
            </w:r>
          </w:p>
        </w:tc>
        <w:tc>
          <w:tcPr>
            <w:tcW w:w="1701" w:type="dxa"/>
          </w:tcPr>
          <w:p w14:paraId="6024CE7F" w14:textId="27754E02" w:rsidR="0040068D" w:rsidRPr="005208DC" w:rsidRDefault="00B2062A"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 ndërmjetëm</w:t>
            </w:r>
            <w:r w:rsidR="0040068D" w:rsidRPr="005208DC">
              <w:rPr>
                <w:rFonts w:asciiTheme="majorBidi" w:hAnsiTheme="majorBidi" w:cstheme="majorBidi"/>
                <w:color w:val="0D0D0D" w:themeColor="text1" w:themeTint="F2"/>
                <w:lang w:val="sq-AL"/>
              </w:rPr>
              <w:t xml:space="preserve"> (2022)</w:t>
            </w:r>
          </w:p>
        </w:tc>
        <w:tc>
          <w:tcPr>
            <w:tcW w:w="1559" w:type="dxa"/>
          </w:tcPr>
          <w:p w14:paraId="7F12C1CA" w14:textId="13E9A8D6" w:rsidR="0040068D" w:rsidRPr="005208DC" w:rsidRDefault="00B2062A"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Synimi</w:t>
            </w:r>
            <w:r w:rsidR="0040068D" w:rsidRPr="005208DC">
              <w:rPr>
                <w:rFonts w:asciiTheme="majorBidi" w:hAnsiTheme="majorBidi" w:cstheme="majorBidi"/>
                <w:color w:val="0D0D0D" w:themeColor="text1" w:themeTint="F2"/>
                <w:lang w:val="sq-AL"/>
              </w:rPr>
              <w:t xml:space="preserve"> (2024)</w:t>
            </w:r>
          </w:p>
        </w:tc>
      </w:tr>
      <w:tr w:rsidR="005208DC" w:rsidRPr="005208DC" w14:paraId="0A4D47CE" w14:textId="77777777" w:rsidTr="007A5665">
        <w:tc>
          <w:tcPr>
            <w:tcW w:w="4673" w:type="dxa"/>
          </w:tcPr>
          <w:p w14:paraId="00E8C1EB" w14:textId="3509FE89" w:rsidR="00BC7829" w:rsidRPr="005208DC" w:rsidRDefault="00BC7829" w:rsidP="00857902">
            <w:pP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Numri i projekteve te kërkim dhe inovacion te financuar</w:t>
            </w:r>
          </w:p>
        </w:tc>
        <w:tc>
          <w:tcPr>
            <w:tcW w:w="1701" w:type="dxa"/>
          </w:tcPr>
          <w:p w14:paraId="336CAF1D" w14:textId="489562C0" w:rsidR="00BC7829" w:rsidRPr="005208DC" w:rsidRDefault="00BC7829" w:rsidP="00857902">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10 (projekte K&amp;Zh)</w:t>
            </w:r>
          </w:p>
          <w:p w14:paraId="2576B708" w14:textId="2580925B" w:rsidR="00BC7829" w:rsidRPr="005208DC" w:rsidRDefault="00BC7829" w:rsidP="00857902">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20 (projekte per infrastrukturen e kerkimit shkencor)</w:t>
            </w:r>
          </w:p>
        </w:tc>
        <w:tc>
          <w:tcPr>
            <w:tcW w:w="1701" w:type="dxa"/>
          </w:tcPr>
          <w:p w14:paraId="56587802" w14:textId="2888F101" w:rsidR="00BC7829" w:rsidRPr="005208DC" w:rsidRDefault="00BC7829" w:rsidP="00857902">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15/25</w:t>
            </w:r>
          </w:p>
        </w:tc>
        <w:tc>
          <w:tcPr>
            <w:tcW w:w="1559" w:type="dxa"/>
          </w:tcPr>
          <w:p w14:paraId="1B00D738" w14:textId="28926A23" w:rsidR="00BC7829" w:rsidRPr="005208DC" w:rsidRDefault="00BC7829" w:rsidP="00857902">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20/30</w:t>
            </w:r>
          </w:p>
        </w:tc>
      </w:tr>
      <w:tr w:rsidR="005208DC" w:rsidRPr="005208DC" w14:paraId="24BB6739" w14:textId="77777777" w:rsidTr="007A5665">
        <w:tc>
          <w:tcPr>
            <w:tcW w:w="4673" w:type="dxa"/>
          </w:tcPr>
          <w:p w14:paraId="51C84FC0" w14:textId="7321DE47" w:rsidR="00BC7829" w:rsidRPr="005208DC" w:rsidRDefault="00BC7829" w:rsidP="00857902">
            <w:pP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 e fondit për kërkim dhe inovacion ne raport me PBB (GERD)</w:t>
            </w:r>
          </w:p>
        </w:tc>
        <w:tc>
          <w:tcPr>
            <w:tcW w:w="1701" w:type="dxa"/>
          </w:tcPr>
          <w:p w14:paraId="0CA84F25" w14:textId="13FE9217" w:rsidR="00BC7829" w:rsidRPr="005208DC" w:rsidRDefault="00BC7829" w:rsidP="00857902">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0.1</w:t>
            </w:r>
          </w:p>
        </w:tc>
        <w:tc>
          <w:tcPr>
            <w:tcW w:w="1701" w:type="dxa"/>
          </w:tcPr>
          <w:p w14:paraId="2FF1027A" w14:textId="283739E0" w:rsidR="00BC7829" w:rsidRPr="005208DC" w:rsidRDefault="00BC7829" w:rsidP="00857902">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0.15</w:t>
            </w:r>
          </w:p>
        </w:tc>
        <w:tc>
          <w:tcPr>
            <w:tcW w:w="1559" w:type="dxa"/>
          </w:tcPr>
          <w:p w14:paraId="4BF8D976" w14:textId="69B3FEB8" w:rsidR="00BC7829" w:rsidRPr="005208DC" w:rsidRDefault="00BC7829" w:rsidP="00857902">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0.2</w:t>
            </w:r>
          </w:p>
        </w:tc>
      </w:tr>
      <w:tr w:rsidR="005208DC" w:rsidRPr="005208DC" w14:paraId="0863D2B1" w14:textId="77777777" w:rsidTr="007A5665">
        <w:tc>
          <w:tcPr>
            <w:tcW w:w="4673" w:type="dxa"/>
          </w:tcPr>
          <w:p w14:paraId="4473CA00" w14:textId="16BC675F" w:rsidR="00BC7829" w:rsidRPr="005208DC" w:rsidRDefault="00BC7829" w:rsidP="00857902">
            <w:pP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Numri i marrëveshjeve / projekteve dypalësh dhe shumëpalësh</w:t>
            </w:r>
          </w:p>
        </w:tc>
        <w:tc>
          <w:tcPr>
            <w:tcW w:w="0" w:type="auto"/>
          </w:tcPr>
          <w:p w14:paraId="2919491A" w14:textId="393FC976" w:rsidR="00BC7829" w:rsidRPr="005208DC" w:rsidRDefault="00BC7829" w:rsidP="00857902">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5+</w:t>
            </w:r>
          </w:p>
        </w:tc>
        <w:tc>
          <w:tcPr>
            <w:tcW w:w="0" w:type="auto"/>
          </w:tcPr>
          <w:p w14:paraId="4A1641E3" w14:textId="5F208DEE" w:rsidR="00BC7829" w:rsidRPr="005208DC" w:rsidRDefault="00BC7829" w:rsidP="00857902">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10+</w:t>
            </w:r>
          </w:p>
        </w:tc>
        <w:tc>
          <w:tcPr>
            <w:tcW w:w="0" w:type="auto"/>
          </w:tcPr>
          <w:p w14:paraId="52EA7A54" w14:textId="7EF1CA09" w:rsidR="00BC7829" w:rsidRPr="005208DC" w:rsidRDefault="00BC7829" w:rsidP="00857902">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10+</w:t>
            </w:r>
          </w:p>
        </w:tc>
      </w:tr>
    </w:tbl>
    <w:p w14:paraId="695C0E27" w14:textId="77777777" w:rsidR="0040068D" w:rsidRPr="005208DC" w:rsidRDefault="0040068D" w:rsidP="00857902">
      <w:pPr>
        <w:snapToGrid w:val="0"/>
        <w:rPr>
          <w:rFonts w:asciiTheme="majorBidi" w:hAnsiTheme="majorBidi" w:cstheme="majorBidi"/>
          <w:color w:val="0D0D0D" w:themeColor="text1" w:themeTint="F2"/>
          <w:lang w:val="sq-AL"/>
        </w:rPr>
      </w:pPr>
    </w:p>
    <w:p w14:paraId="4EFC0962" w14:textId="6F23F160" w:rsidR="00DB22AB" w:rsidRPr="005208DC" w:rsidRDefault="00B2062A" w:rsidP="00857902">
      <w:pPr>
        <w:pStyle w:val="Heading6"/>
        <w:numPr>
          <w:ilvl w:val="0"/>
          <w:numId w:val="28"/>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konkurrueshmëri</w:t>
      </w:r>
    </w:p>
    <w:p w14:paraId="40AC0713" w14:textId="77777777" w:rsidR="00BC7829" w:rsidRPr="005208DC" w:rsidRDefault="00BC7829"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Forcimi i kapaciteteve kërkimore institucionale do të kontribuojë në përmirësimin e pjesëmarrjes në programet e Horizon Europe dhe do të forcojë lidhjet midis akademisë, biznesit dhe qeverisë në periudhën afatmesme dhe afatgjatë. Të ushqyerit e biznesit me kërkime dhe inovacione do të çojë në prodhimin e produkteve inovative në këto infrastruktura dhe do të krijojë vlerë të shtuar përmes komercializimit të këtyre produkteve.</w:t>
      </w:r>
    </w:p>
    <w:p w14:paraId="7CB02D57" w14:textId="4606CDE0" w:rsidR="00BC7829" w:rsidRPr="005208DC" w:rsidRDefault="00BC7829"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Lidhur me konceptin S3, arsyetimi themelor pas është se duke përqendruar burimet e njohurive dhe duke i lidhur ato me një numër të kufizuar aktivitetesh prioritare ekonomike, vendet dhe rajonet mund të bëhen - dhe të mbeten - konkurrues në ekonominë globale. Ky lloj specializimi u mundëson rajoneve të përfitojnë nga shkalla, shtrirja dhe përhapja në prodhimin dhe përdorimin e njohurive, të cilat janë shtytës të rëndësishëm të produktivitetit. Shkurtimisht, Specializimi i zgjuar ka të bëjë me gjenerimin e aseteve dhe aftësive unike bazuar në strukturat e veçanta të industrisë dhe bazat e njohurive të rajonit.</w:t>
      </w:r>
    </w:p>
    <w:p w14:paraId="0DC855A0" w14:textId="77777777" w:rsidR="00BC7829" w:rsidRPr="005208DC" w:rsidRDefault="00BC7829" w:rsidP="00857902">
      <w:pPr>
        <w:snapToGrid w:val="0"/>
        <w:rPr>
          <w:rFonts w:asciiTheme="majorBidi" w:hAnsiTheme="majorBidi" w:cstheme="majorBidi"/>
          <w:color w:val="0D0D0D" w:themeColor="text1" w:themeTint="F2"/>
          <w:lang w:val="sq-AL"/>
        </w:rPr>
      </w:pPr>
    </w:p>
    <w:p w14:paraId="23723373" w14:textId="4A28BBE3" w:rsidR="00DB22AB" w:rsidRPr="005208DC" w:rsidRDefault="00B2062A" w:rsidP="00857902">
      <w:pPr>
        <w:pStyle w:val="Heading6"/>
        <w:numPr>
          <w:ilvl w:val="0"/>
          <w:numId w:val="28"/>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Kosto e parashikuar e aktiviteteve dhe burimi i financimit</w:t>
      </w:r>
    </w:p>
    <w:p w14:paraId="2A3C4588" w14:textId="6E869D0A" w:rsidR="00BC7829" w:rsidRPr="005208DC" w:rsidRDefault="00BC7829"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Buxheti total i programit kërkimor në draft buxhetin e planifikimit afatmesëm.</w:t>
      </w:r>
    </w:p>
    <w:p w14:paraId="65444DD1" w14:textId="77777777" w:rsidR="00BC7829" w:rsidRPr="005208DC" w:rsidRDefault="00BC7829" w:rsidP="00857902">
      <w:pPr>
        <w:snapToGrid w:val="0"/>
        <w:rPr>
          <w:rFonts w:asciiTheme="majorBidi" w:hAnsiTheme="majorBidi" w:cstheme="majorBidi"/>
          <w:color w:val="0D0D0D" w:themeColor="text1" w:themeTint="F2"/>
          <w:lang w:val="sq-AL"/>
        </w:rPr>
      </w:pPr>
    </w:p>
    <w:p w14:paraId="01642C2E" w14:textId="30A4EBB8" w:rsidR="00DB22AB" w:rsidRPr="005208DC" w:rsidRDefault="00B2062A" w:rsidP="00857902">
      <w:pPr>
        <w:pStyle w:val="Heading6"/>
        <w:numPr>
          <w:ilvl w:val="0"/>
          <w:numId w:val="28"/>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përfundimet sociale si punësimi, ulja e varfërisë, barazia gjinore dhe aksesi në kujdesin shëndetësor</w:t>
      </w:r>
    </w:p>
    <w:p w14:paraId="73EC45BF" w14:textId="77777777" w:rsidR="00BC7829" w:rsidRPr="005208DC" w:rsidRDefault="00BC7829"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pozitiv në punësim reflektohet në krijimin e një qëndrueshmërie afatgjatë për personelin e kualifikuar. Fondet e siguruara nga MAS nëpërmjet instrumenteve “Projekte për Përmirësimin e Infrastrukturës”; "Projektet dypalëshe" dhe "Projektet e kërkimit dhe zhvillimit", ndër të tjera, mbështesin krijimin e vendeve të punës. Zhvillimet në inovacione pritet të kenë ndikim pozitiv në një gamë të gjerë aspektesh të aspekteve ekonomike dhe sociale dhe të zhvillimit.</w:t>
      </w:r>
    </w:p>
    <w:p w14:paraId="677A912B" w14:textId="12D6FF0F" w:rsidR="00BC7829" w:rsidRPr="005208DC" w:rsidRDefault="00BC7829"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Adoptimi si specializim i zgjuar synon të nxisë rritjen dhe vendet e punës duke i mundësuar vendit të identifikojë dhe zhvillojë avantazhet e veta konkurruese. Nëpërmjet partneritetit dhe qasjes nga poshtë-lart, specializimi i zgjuar bashkon autoritetet lokale, akademinë, sferat e biznesit dhe shoqërinë civile, duke punuar për zbatimin e strategjive afatgjata të rritjes të mbështetura nga fondet e BE-së.</w:t>
      </w:r>
    </w:p>
    <w:p w14:paraId="64200053" w14:textId="77777777" w:rsidR="00BC7829" w:rsidRPr="005208DC" w:rsidRDefault="00BC7829" w:rsidP="00857902">
      <w:pPr>
        <w:snapToGrid w:val="0"/>
        <w:rPr>
          <w:rFonts w:asciiTheme="majorBidi" w:hAnsiTheme="majorBidi" w:cstheme="majorBidi"/>
          <w:color w:val="0D0D0D" w:themeColor="text1" w:themeTint="F2"/>
          <w:lang w:val="sq-AL"/>
        </w:rPr>
      </w:pPr>
    </w:p>
    <w:p w14:paraId="6DC7C2CE" w14:textId="78953C8A" w:rsidR="00DB22AB" w:rsidRPr="005208DC" w:rsidRDefault="00B2062A" w:rsidP="00857902">
      <w:pPr>
        <w:pStyle w:val="Heading6"/>
        <w:numPr>
          <w:ilvl w:val="0"/>
          <w:numId w:val="28"/>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mjedis dhe ndryshimi i klimës</w:t>
      </w:r>
    </w:p>
    <w:p w14:paraId="559BACC0" w14:textId="4A34D6AE" w:rsidR="00BC7829" w:rsidRPr="005208DC" w:rsidRDefault="00BC7829"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Masat konsiderohen neutrale për sa i përket ndikimit në mjedis. Nuk parashikohen ndikime negative në mjedis; përkundrazi, projektet inovative kanë potencialin të sjellin rezultate pozitive.</w:t>
      </w:r>
    </w:p>
    <w:p w14:paraId="503F17FE" w14:textId="77777777" w:rsidR="00BC7829" w:rsidRPr="005208DC" w:rsidRDefault="00BC7829" w:rsidP="00857902">
      <w:pPr>
        <w:snapToGrid w:val="0"/>
        <w:rPr>
          <w:rFonts w:asciiTheme="majorBidi" w:hAnsiTheme="majorBidi" w:cstheme="majorBidi"/>
          <w:color w:val="0D0D0D" w:themeColor="text1" w:themeTint="F2"/>
          <w:lang w:val="sq-AL"/>
        </w:rPr>
      </w:pPr>
    </w:p>
    <w:p w14:paraId="49EFDB3D" w14:textId="4F3DAE4D" w:rsidR="00DB22AB" w:rsidRPr="005208DC" w:rsidRDefault="00B2062A" w:rsidP="00857902">
      <w:pPr>
        <w:pStyle w:val="Heading6"/>
        <w:numPr>
          <w:ilvl w:val="0"/>
          <w:numId w:val="28"/>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Rreziqet e mundshme</w:t>
      </w:r>
    </w:p>
    <w:p w14:paraId="5DF66294" w14:textId="74167017" w:rsidR="00BC7829" w:rsidRPr="005208DC" w:rsidRDefault="00BC7829" w:rsidP="00857902">
      <w:pPr>
        <w:jc w:val="both"/>
        <w:rPr>
          <w:rFonts w:asciiTheme="majorBidi" w:hAnsiTheme="majorBidi" w:cstheme="majorBidi"/>
          <w:color w:val="0D0D0D" w:themeColor="text1" w:themeTint="F2"/>
          <w:lang w:val="sq-AL" w:eastAsia="x-none"/>
        </w:rPr>
      </w:pPr>
      <w:r w:rsidRPr="005208DC">
        <w:rPr>
          <w:rFonts w:asciiTheme="majorBidi" w:hAnsiTheme="majorBidi" w:cstheme="majorBidi"/>
          <w:color w:val="0D0D0D" w:themeColor="text1" w:themeTint="F2"/>
          <w:lang w:val="sq-AL" w:eastAsia="x-none"/>
        </w:rPr>
        <w:t>Sfidat për zbatimin e masave të lartpërmendura në fushën e kërkimit dhe inovacionit përfshijnë vështirësi në koordinimin ndërinstitucional si dhe kufizime buxhetore.</w:t>
      </w:r>
    </w:p>
    <w:tbl>
      <w:tblPr>
        <w:tblStyle w:val="TableGrid"/>
        <w:tblW w:w="10485" w:type="dxa"/>
        <w:tblLook w:val="04A0" w:firstRow="1" w:lastRow="0" w:firstColumn="1" w:lastColumn="0" w:noHBand="0" w:noVBand="1"/>
      </w:tblPr>
      <w:tblGrid>
        <w:gridCol w:w="4106"/>
        <w:gridCol w:w="1418"/>
        <w:gridCol w:w="4961"/>
      </w:tblGrid>
      <w:tr w:rsidR="005208DC" w:rsidRPr="005208DC" w14:paraId="7488FBBB" w14:textId="77777777" w:rsidTr="00BC7829">
        <w:tc>
          <w:tcPr>
            <w:tcW w:w="4106" w:type="dxa"/>
          </w:tcPr>
          <w:p w14:paraId="5602366E" w14:textId="68D03EE5" w:rsidR="0030742B" w:rsidRPr="005208DC" w:rsidRDefault="00B2062A" w:rsidP="00857902">
            <w:pPr>
              <w:widowControl/>
              <w:snapToGrid w:val="0"/>
              <w:rPr>
                <w:rFonts w:asciiTheme="majorBidi" w:eastAsiaTheme="minorHAnsi" w:hAnsiTheme="majorBidi" w:cstheme="majorBidi"/>
                <w:color w:val="0D0D0D" w:themeColor="text1" w:themeTint="F2"/>
                <w:lang w:val="sq-AL"/>
              </w:rPr>
            </w:pPr>
            <w:r w:rsidRPr="005208DC">
              <w:rPr>
                <w:rFonts w:asciiTheme="majorBidi" w:eastAsiaTheme="minorHAnsi" w:hAnsiTheme="majorBidi" w:cstheme="majorBidi"/>
                <w:color w:val="0D0D0D" w:themeColor="text1" w:themeTint="F2"/>
                <w:lang w:val="sq-AL"/>
              </w:rPr>
              <w:t>Rreziku</w:t>
            </w:r>
          </w:p>
        </w:tc>
        <w:tc>
          <w:tcPr>
            <w:tcW w:w="1418" w:type="dxa"/>
          </w:tcPr>
          <w:p w14:paraId="2DEEEFC1" w14:textId="615750ED" w:rsidR="0030742B" w:rsidRPr="005208DC" w:rsidRDefault="00B2062A" w:rsidP="00857902">
            <w:pPr>
              <w:widowControl/>
              <w:snapToGrid w:val="0"/>
              <w:rPr>
                <w:rFonts w:asciiTheme="majorBidi" w:eastAsiaTheme="minorHAnsi" w:hAnsiTheme="majorBidi" w:cstheme="majorBidi"/>
                <w:color w:val="0D0D0D" w:themeColor="text1" w:themeTint="F2"/>
                <w:lang w:val="sq-AL"/>
              </w:rPr>
            </w:pPr>
            <w:r w:rsidRPr="005208DC">
              <w:rPr>
                <w:rFonts w:asciiTheme="majorBidi" w:eastAsiaTheme="minorHAnsi" w:hAnsiTheme="majorBidi" w:cstheme="majorBidi"/>
                <w:color w:val="0D0D0D" w:themeColor="text1" w:themeTint="F2"/>
                <w:lang w:val="sq-AL"/>
              </w:rPr>
              <w:t>Mundësia</w:t>
            </w:r>
            <w:r w:rsidR="0030742B" w:rsidRPr="005208DC">
              <w:rPr>
                <w:rFonts w:asciiTheme="majorBidi" w:eastAsiaTheme="minorHAnsi" w:hAnsiTheme="majorBidi" w:cstheme="majorBidi"/>
                <w:color w:val="0D0D0D" w:themeColor="text1" w:themeTint="F2"/>
                <w:lang w:val="sq-AL"/>
              </w:rPr>
              <w:t xml:space="preserve"> (</w:t>
            </w:r>
            <w:r w:rsidRPr="005208DC">
              <w:rPr>
                <w:rFonts w:asciiTheme="majorBidi" w:eastAsiaTheme="minorHAnsi" w:hAnsiTheme="majorBidi" w:cstheme="majorBidi"/>
                <w:color w:val="0D0D0D" w:themeColor="text1" w:themeTint="F2"/>
                <w:lang w:val="sq-AL"/>
              </w:rPr>
              <w:t>e ulët, e lartë</w:t>
            </w:r>
            <w:r w:rsidR="0030742B" w:rsidRPr="005208DC">
              <w:rPr>
                <w:rFonts w:asciiTheme="majorBidi" w:eastAsiaTheme="minorHAnsi" w:hAnsiTheme="majorBidi" w:cstheme="majorBidi"/>
                <w:color w:val="0D0D0D" w:themeColor="text1" w:themeTint="F2"/>
                <w:lang w:val="sq-AL"/>
              </w:rPr>
              <w:t>)</w:t>
            </w:r>
          </w:p>
        </w:tc>
        <w:tc>
          <w:tcPr>
            <w:tcW w:w="4961" w:type="dxa"/>
          </w:tcPr>
          <w:p w14:paraId="42709821" w14:textId="5A8D9488" w:rsidR="0030742B" w:rsidRPr="005208DC" w:rsidRDefault="00B2062A" w:rsidP="00857902">
            <w:pPr>
              <w:widowControl/>
              <w:snapToGrid w:val="0"/>
              <w:rPr>
                <w:rFonts w:asciiTheme="majorBidi" w:eastAsiaTheme="minorHAnsi" w:hAnsiTheme="majorBidi" w:cstheme="majorBidi"/>
                <w:color w:val="0D0D0D" w:themeColor="text1" w:themeTint="F2"/>
                <w:lang w:val="sq-AL"/>
              </w:rPr>
            </w:pPr>
            <w:r w:rsidRPr="005208DC">
              <w:rPr>
                <w:rFonts w:asciiTheme="majorBidi" w:eastAsiaTheme="minorHAnsi" w:hAnsiTheme="majorBidi" w:cstheme="majorBidi"/>
                <w:color w:val="0D0D0D" w:themeColor="text1" w:themeTint="F2"/>
                <w:lang w:val="sq-AL"/>
              </w:rPr>
              <w:t>Veprimi zbutës i parashikuar</w:t>
            </w:r>
          </w:p>
        </w:tc>
      </w:tr>
      <w:tr w:rsidR="005208DC" w:rsidRPr="005208DC" w14:paraId="48965685" w14:textId="77777777" w:rsidTr="00BC7829">
        <w:tc>
          <w:tcPr>
            <w:tcW w:w="4106" w:type="dxa"/>
          </w:tcPr>
          <w:p w14:paraId="462E3BA8" w14:textId="38907342" w:rsidR="0030742B" w:rsidRPr="005208DC" w:rsidRDefault="00BC7829" w:rsidP="00857902">
            <w:pPr>
              <w:widowControl/>
              <w:snapToGrid w:val="0"/>
              <w:rPr>
                <w:rFonts w:asciiTheme="majorBidi" w:eastAsiaTheme="minorHAnsi" w:hAnsiTheme="majorBidi" w:cstheme="majorBidi"/>
                <w:color w:val="0D0D0D" w:themeColor="text1" w:themeTint="F2"/>
                <w:lang w:val="sq-AL"/>
              </w:rPr>
            </w:pPr>
            <w:r w:rsidRPr="005208DC">
              <w:rPr>
                <w:rFonts w:asciiTheme="majorBidi" w:eastAsiaTheme="minorHAnsi" w:hAnsiTheme="majorBidi" w:cstheme="majorBidi"/>
                <w:color w:val="0D0D0D" w:themeColor="text1" w:themeTint="F2"/>
                <w:lang w:val="sq-AL"/>
              </w:rPr>
              <w:t>Kufizimet buxhetore</w:t>
            </w:r>
          </w:p>
        </w:tc>
        <w:tc>
          <w:tcPr>
            <w:tcW w:w="1418" w:type="dxa"/>
          </w:tcPr>
          <w:p w14:paraId="76B36648" w14:textId="68EBE10B" w:rsidR="0030742B" w:rsidRPr="005208DC" w:rsidRDefault="00BC7829" w:rsidP="00857902">
            <w:pPr>
              <w:widowControl/>
              <w:snapToGrid w:val="0"/>
              <w:rPr>
                <w:rFonts w:asciiTheme="majorBidi" w:eastAsiaTheme="minorHAnsi" w:hAnsiTheme="majorBidi" w:cstheme="majorBidi"/>
                <w:color w:val="0D0D0D" w:themeColor="text1" w:themeTint="F2"/>
                <w:lang w:val="sq-AL"/>
              </w:rPr>
            </w:pPr>
            <w:r w:rsidRPr="005208DC">
              <w:rPr>
                <w:rFonts w:asciiTheme="majorBidi" w:eastAsiaTheme="minorHAnsi" w:hAnsiTheme="majorBidi" w:cstheme="majorBidi"/>
                <w:color w:val="0D0D0D" w:themeColor="text1" w:themeTint="F2"/>
                <w:lang w:val="sq-AL"/>
              </w:rPr>
              <w:t>Ulët</w:t>
            </w:r>
          </w:p>
        </w:tc>
        <w:tc>
          <w:tcPr>
            <w:tcW w:w="4961" w:type="dxa"/>
          </w:tcPr>
          <w:p w14:paraId="39ECB2DB" w14:textId="2976E279" w:rsidR="0030742B" w:rsidRPr="005208DC" w:rsidRDefault="005013E4" w:rsidP="00857902">
            <w:pPr>
              <w:widowControl/>
              <w:snapToGrid w:val="0"/>
              <w:rPr>
                <w:rFonts w:asciiTheme="majorBidi" w:eastAsiaTheme="minorHAnsi" w:hAnsiTheme="majorBidi" w:cstheme="majorBidi"/>
                <w:color w:val="0D0D0D" w:themeColor="text1" w:themeTint="F2"/>
                <w:lang w:val="sq-AL"/>
              </w:rPr>
            </w:pPr>
            <w:r w:rsidRPr="005208DC">
              <w:rPr>
                <w:rFonts w:asciiTheme="majorBidi" w:eastAsiaTheme="minorHAnsi" w:hAnsiTheme="majorBidi" w:cstheme="majorBidi"/>
                <w:color w:val="0D0D0D" w:themeColor="text1" w:themeTint="F2"/>
                <w:lang w:val="sq-AL"/>
              </w:rPr>
              <w:t>Sipas kuadrit buxhetor afatmesëm, fondet e planifikuara për programet kombëtare për K&amp;Zh, infrastrukturën e kërkimit shkencor dhe projektet dypalëshe/shumëpalëshe do të rriten për tre vitet e ardhshme.</w:t>
            </w:r>
          </w:p>
        </w:tc>
      </w:tr>
    </w:tbl>
    <w:p w14:paraId="10A9BD99" w14:textId="77777777" w:rsidR="00DB22AB" w:rsidRPr="005208DC" w:rsidRDefault="00DB22AB" w:rsidP="00857902">
      <w:pPr>
        <w:snapToGrid w:val="0"/>
        <w:jc w:val="both"/>
        <w:rPr>
          <w:rFonts w:asciiTheme="majorBidi" w:eastAsia="Times New Roman" w:hAnsiTheme="majorBidi" w:cstheme="majorBidi"/>
          <w:color w:val="0D0D0D" w:themeColor="text1" w:themeTint="F2"/>
          <w:lang w:val="sq-AL"/>
        </w:rPr>
      </w:pPr>
    </w:p>
    <w:p w14:paraId="543F91E0" w14:textId="77777777" w:rsidR="004F312A" w:rsidRPr="005208DC" w:rsidRDefault="004F312A" w:rsidP="00857902">
      <w:pPr>
        <w:snapToGrid w:val="0"/>
        <w:jc w:val="both"/>
        <w:rPr>
          <w:rFonts w:asciiTheme="majorBidi" w:eastAsia="Times New Roman" w:hAnsiTheme="majorBidi" w:cstheme="majorBidi"/>
          <w:color w:val="0D0D0D" w:themeColor="text1" w:themeTint="F2"/>
          <w:lang w:val="sq-AL"/>
        </w:rPr>
      </w:pPr>
    </w:p>
    <w:p w14:paraId="4463E617" w14:textId="3D3312EB" w:rsidR="00106240" w:rsidRPr="005208DC" w:rsidRDefault="00B2062A" w:rsidP="00857902">
      <w:pPr>
        <w:pStyle w:val="Heading3"/>
        <w:rPr>
          <w:rFonts w:asciiTheme="majorBidi" w:hAnsiTheme="majorBidi" w:cstheme="majorBidi"/>
          <w:b/>
          <w:bCs/>
          <w:color w:val="0D0D0D" w:themeColor="text1" w:themeTint="F2"/>
          <w:sz w:val="24"/>
          <w:szCs w:val="24"/>
          <w:lang w:val="sq-AL"/>
        </w:rPr>
      </w:pPr>
      <w:bookmarkStart w:id="67" w:name="_Toc92721141"/>
      <w:r w:rsidRPr="005208DC">
        <w:rPr>
          <w:rFonts w:asciiTheme="majorBidi" w:hAnsiTheme="majorBidi" w:cstheme="majorBidi"/>
          <w:b/>
          <w:bCs/>
          <w:color w:val="0D0D0D" w:themeColor="text1" w:themeTint="F2"/>
          <w:sz w:val="24"/>
          <w:szCs w:val="24"/>
          <w:lang w:val="sq-AL"/>
        </w:rPr>
        <w:t>Sfida Kyçe</w:t>
      </w:r>
      <w:r w:rsidR="00106240" w:rsidRPr="005208DC">
        <w:rPr>
          <w:rFonts w:asciiTheme="majorBidi" w:hAnsiTheme="majorBidi" w:cstheme="majorBidi"/>
          <w:b/>
          <w:bCs/>
          <w:color w:val="0D0D0D" w:themeColor="text1" w:themeTint="F2"/>
          <w:sz w:val="24"/>
          <w:szCs w:val="24"/>
          <w:lang w:val="sq-AL"/>
        </w:rPr>
        <w:t xml:space="preserve"> #2</w:t>
      </w:r>
      <w:bookmarkEnd w:id="67"/>
    </w:p>
    <w:p w14:paraId="5D2EAD78" w14:textId="0D45D3D3" w:rsidR="0089011F" w:rsidRPr="005208DC" w:rsidRDefault="0089011F" w:rsidP="00857902">
      <w:pPr>
        <w:jc w:val="both"/>
        <w:rPr>
          <w:rFonts w:asciiTheme="majorBidi" w:hAnsiTheme="majorBidi" w:cstheme="majorBidi"/>
          <w:b/>
          <w:bCs/>
          <w:color w:val="0D0D0D" w:themeColor="text1" w:themeTint="F2"/>
          <w:lang w:val="sq-AL"/>
        </w:rPr>
      </w:pPr>
      <w:r w:rsidRPr="005208DC">
        <w:rPr>
          <w:rFonts w:ascii="Times New Roman" w:hAnsi="Times New Roman"/>
          <w:b/>
          <w:bCs/>
          <w:color w:val="0D0D0D" w:themeColor="text1" w:themeTint="F2"/>
          <w:lang w:val="sq-AL"/>
        </w:rPr>
        <w:t>Rritja e mbulimit dhe mjaftueshmërisë së mbrojtjes sociale dhe sigurimit shëndetësor për të reduktuar popullsisë që rrezikohet nga varfëria</w:t>
      </w:r>
    </w:p>
    <w:p w14:paraId="5ABC2310" w14:textId="52519E88" w:rsidR="004F312A" w:rsidRPr="005208DC" w:rsidRDefault="00B2062A" w:rsidP="00857902">
      <w:pPr>
        <w:pStyle w:val="Heading4"/>
        <w:numPr>
          <w:ilvl w:val="0"/>
          <w:numId w:val="11"/>
        </w:numPr>
        <w:snapToGrid w:val="0"/>
        <w:ind w:left="567" w:hanging="283"/>
        <w:rPr>
          <w:rFonts w:asciiTheme="majorBidi" w:hAnsiTheme="majorBidi" w:cstheme="majorBidi"/>
          <w:b w:val="0"/>
          <w:i/>
          <w:color w:val="0D0D0D" w:themeColor="text1" w:themeTint="F2"/>
          <w:sz w:val="24"/>
          <w:szCs w:val="24"/>
          <w:lang w:val="sq-AL"/>
        </w:rPr>
      </w:pPr>
      <w:r w:rsidRPr="005208DC">
        <w:rPr>
          <w:rFonts w:asciiTheme="majorBidi" w:hAnsiTheme="majorBidi" w:cstheme="majorBidi"/>
          <w:b w:val="0"/>
          <w:i/>
          <w:color w:val="0D0D0D" w:themeColor="text1" w:themeTint="F2"/>
          <w:sz w:val="24"/>
          <w:szCs w:val="24"/>
          <w:lang w:val="sq-AL"/>
        </w:rPr>
        <w:t>Analiza e pengesave kryesore</w:t>
      </w:r>
    </w:p>
    <w:p w14:paraId="28CFF6A6" w14:textId="77777777" w:rsidR="0089011F" w:rsidRPr="005208DC" w:rsidRDefault="0089011F"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Sistemi i mbrojtjes sociale në Shqipëri mbizotërohet nga skemat e sigurimeve shoqërore (pensionet, përfitimet e papunësisë) si edhe nga programet jo-kontributive të parave (ndihma ekonomike dhe transfertat e aftësisë së kufizuar). Megjithëse është tejkaluar dyfishi që nga viti 2005, shpenzimi i përgjithshëm në Shqipëri për mbrojtjen sociale mbetet i ulët. Shqipëria shpenzoi 9.4% të PBB-së së saj për mbrojtjen sociale, që përkon me  gjysmën e mesatares së BE-27, 18.6%. Pjesa më e madhe e shpenzimeve për mbrojtjen sociale mbulon pensionet (82.4%), e ndjekur nga programet e asistencës në para jo kontributive për personat me aftësi të kufizuara dhe personat e rrezikuar nga varfëria dhe skema e bonusit të bebes.</w:t>
      </w:r>
    </w:p>
    <w:p w14:paraId="4D35FC1F" w14:textId="77777777" w:rsidR="0089011F" w:rsidRPr="005208DC" w:rsidRDefault="0089011F"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Shkalla e rrezikut nga varfëria në vitin 2019 është ulur me 0.4% krahasuar me vitin 2018. Aktualsiht është 23.0%. Gjithashtu,  treguesi i rrezikut nga varfëria apo përjashtimi social është ulur me 2.8%.</w:t>
      </w:r>
    </w:p>
    <w:p w14:paraId="2B16057C" w14:textId="77777777" w:rsidR="0089011F" w:rsidRPr="005208DC" w:rsidRDefault="0089011F"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46.2% e popullsisë ishte në rrezik të varfërisë ose përjashtimit social, shifër me e lartë se mesatarja e BE-27 prej 21.6%.</w:t>
      </w:r>
    </w:p>
    <w:p w14:paraId="06DD1FD2" w14:textId="77777777" w:rsidR="0089011F" w:rsidRPr="005208DC" w:rsidRDefault="0089011F"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Transfertat sociale, si pensionet e pleqërisë dhe ato familjare, të përfshira në të ardhurat e disponueshme të familjes, reduktojnë tendencën e rrezikut nga varfëria. Kur në nivelin e të ardhurave nuk përfshihen të gjitha transfertat sociale, rreziku i varfërisë në vitin 2019 vlerësohet 38,1 %, ndërsa vlerësohet 26,1 % kur në nivelin e të ardhurave përfshihen transfertat sociale vetëm nga pensionet e pleqërisë dhe ato familjare.</w:t>
      </w:r>
    </w:p>
    <w:p w14:paraId="6C1A707C" w14:textId="77777777" w:rsidR="0089011F" w:rsidRPr="005208DC" w:rsidRDefault="0089011F"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Skema e Ndihmës Ekonomike është programi kryesor i transfertave në para për të varfërit në Shqipëri që është përmirësuar rrënjësisht  gjatë viteve të fundit.</w:t>
      </w:r>
    </w:p>
    <w:p w14:paraId="4D5A43E6" w14:textId="77777777" w:rsidR="0089011F" w:rsidRPr="005208DC" w:rsidRDefault="0089011F"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Kjo skemë ende has në disa pengesa (i) Niveli i përfitimit mund të mos jetë adekuat krahasimisht me nevojat e popullsisë së targetuar nga ky program; (ii) Nuk ka një mekanizëm nëpërmjet të cilit niveli i përfitimit të përditësohet rregullisht; (iii) Formula e targetimit mund të rishikohet, për arsye se Shqipëria ka shkuar drejt përdorimit të anketës EU-SILC për llogaritjen e treguesve të varfërisë, ndërsa  formula e përshtatshmërisë është llogaritur bazuar në Anketën e Buxhetit të Familjes; (iv) Mbulimi i programit mund të mos jetë adekuat përsa i përket madhësisë së popullsisë aktualisht në nevojë.</w:t>
      </w:r>
    </w:p>
    <w:p w14:paraId="1AEBBC54" w14:textId="77777777" w:rsidR="0089011F" w:rsidRPr="005208DC" w:rsidRDefault="0089011F"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Qeveria ka ndërmarrë masa të përkohshme për të rritur përshtatshmërinë e përfitimeve të asistencës socialë dhe për të zgjeruar mbështetjen e të ardhurave gjatë pandemisë. Për vitin 2021, buxheti për skemën u rrit  nga 4.6 miliardë lekë në 7.1 miliardë lekë dhe  përfitimet u dyfishuan në gjashtëmujorin e parë të 2021. Nga këto masa përfituan mesatarisht 69,700 familje.</w:t>
      </w:r>
    </w:p>
    <w:p w14:paraId="60A499F6" w14:textId="77777777" w:rsidR="0089011F" w:rsidRPr="005208DC" w:rsidRDefault="0089011F"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Zbatimi i reformës së shërbimeve të kujdesit shoqëror u shoqërua me vënien në funksionim të Fondit Social. Fondi total i disbursuar për pushtetin vendor nga Fondi Social gjatë viteve 2020 dhe 2021 është përkatësisht 1,2 ml euro dhe 1,5 ml euro.</w:t>
      </w:r>
    </w:p>
    <w:p w14:paraId="25B35C18" w14:textId="77777777" w:rsidR="0089011F" w:rsidRPr="005208DC" w:rsidRDefault="0089011F" w:rsidP="00857902">
      <w:pPr>
        <w:snapToGrid w:val="0"/>
        <w:jc w:val="both"/>
        <w:rPr>
          <w:rFonts w:ascii="Times New Roman" w:hAnsi="Times New Roman"/>
          <w:color w:val="0D0D0D" w:themeColor="text1" w:themeTint="F2"/>
          <w:lang w:val="sq-AL"/>
        </w:rPr>
      </w:pPr>
    </w:p>
    <w:p w14:paraId="6CE0C382" w14:textId="77777777" w:rsidR="0089011F" w:rsidRPr="005208DC" w:rsidRDefault="0089011F"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Në vitin 2020, shërbimet e kujdesit shoqëror të financuara nga Fondi Social funksionuan vetëm në 8 bashki.</w:t>
      </w:r>
    </w:p>
    <w:p w14:paraId="05B93450" w14:textId="77777777" w:rsidR="0089011F" w:rsidRPr="005208DC" w:rsidRDefault="0089011F"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Ndikimi i kësaj reforme është zgjerimi i hartës së shërbimeve (gjatë vitit 2021, 5 bashki (Kavajë, Krujë, Lezhë, Berati, Gjirokastër) së pari, kanë ofruar të paktën tre lloje shërbime të mbrojtjes sociale); rritja e numrit të përfituesve (në vitin 2020- 0.56% e popullsisë në krahasim me 0.35% në 2019).</w:t>
      </w:r>
    </w:p>
    <w:p w14:paraId="2D188BB3" w14:textId="77777777" w:rsidR="0089011F" w:rsidRPr="005208DC" w:rsidRDefault="0089011F"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Programi i Përbashkët i OKB “Askush mos të mbetet pas” në bashkëpunim me SHSSH ka kontribuar në aftësimin e bashkive për të planifikuar, buxhetuar, ofruar dhe monitoruar shërbimet vendore të kujdesit social, bazuar në të drejtat, siç parashikohet në Strategjinë e Mbrojtjes Sociale dhe Ligjin për Shërbimet e Kujdesit Shoqëror. Bashkitë kanë forcuar kapacitetet e tyre për zbatim të politikave të përfshirjes sociale në nivel lokal duke zhvilluar dhe kostuar plane të kujdesit social të cilat u përgjigjen nevojave të burrave dhe grave në  nevojë. 60 bashki kanë hartuar dhe miratuar tashmë plane të kujdesit social.</w:t>
      </w:r>
    </w:p>
    <w:p w14:paraId="21B41311" w14:textId="77777777" w:rsidR="0089011F" w:rsidRPr="005208DC" w:rsidRDefault="0089011F"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Buxheti afatmesëm për 2021-2023 parashikon që vlera vjetore arrin në 1.61 milionë euro, pavarësisht rritjes së numrit të bashkie që kualifikohen dhe  rrjedhimisht në burimet e nevojshme. Masat për promovimin e përfshirjes sociale dhe mundësive të barabarta për grupet vulnerabël fokusohen në gratë, të rinjtë, minoritetet rome dhe egjiptiane, personat me aftësi të kufizuara dhe të moshuarit. Fuqizimi dhe promovimi i të drejtave të barabarta dhe mosdiskriminimi përbëjnë çelësin për adresimin e pabarazive në kushtet e jetesës. Trajtimi i problemit të përjashtimit dhe diskriminimit në zonat urbane dhe rurale duhet të ketë një mbulim më të gjerë dhe aksesi në shërbime duke targetuar popullatën në nevojë për të mbështetur kohezionin social. Shqipëria ka bashkëpunuar me OKB-në për integrimin dhe përshpejtimin e OZHQ-ve në politikat dhe monitorimin e përfshirjes sociale dhe OZHQ-ve. Barazia gjinore, përfshirja sociale dhe planet kombëtare të veprimit për fëmijët, romët dhe egjiptianët dhe personat me aftësi të kufizuara përmbajnë një kornizë treguesish që duhet të monitorohen me efektivitet nga secili aktor për të rritur zbatueshmërinë e të drejtave sociale-ekonomike në nivel qendror dhe vendor.</w:t>
      </w:r>
    </w:p>
    <w:p w14:paraId="435C5A46" w14:textId="4C44FA5E" w:rsidR="0089011F" w:rsidRPr="005208DC" w:rsidRDefault="0089011F"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Përmirësimi i shtrirjes dhe mbulimit të shërbimeve të kujdesit shoqëror,  si mjediset e kujdesit për fëmijët, mjediset për personat me aftësi të kufizuara ose të moshuarit, janë komponente thelbësore që mungon në sistemin e mbrojtjes sociale dhe do t'i ndihmojë këto kategori të rrisin pjesëmarrjen në tregun e punës dhe të zbutin varfërinë.</w:t>
      </w:r>
    </w:p>
    <w:p w14:paraId="490001B3" w14:textId="77777777" w:rsidR="0089011F" w:rsidRPr="005208DC" w:rsidRDefault="0089011F" w:rsidP="00857902">
      <w:pPr>
        <w:snapToGrid w:val="0"/>
        <w:rPr>
          <w:rFonts w:asciiTheme="majorBidi" w:hAnsiTheme="majorBidi" w:cstheme="majorBidi"/>
          <w:color w:val="0D0D0D" w:themeColor="text1" w:themeTint="F2"/>
          <w:lang w:val="sq-AL"/>
        </w:rPr>
      </w:pPr>
    </w:p>
    <w:p w14:paraId="7DA72E60" w14:textId="11614D9C" w:rsidR="004F312A" w:rsidRPr="005208DC" w:rsidRDefault="00B2062A" w:rsidP="00857902">
      <w:pPr>
        <w:pStyle w:val="Heading4"/>
        <w:numPr>
          <w:ilvl w:val="0"/>
          <w:numId w:val="11"/>
        </w:numPr>
        <w:snapToGrid w:val="0"/>
        <w:ind w:left="567" w:hanging="283"/>
        <w:rPr>
          <w:rFonts w:asciiTheme="majorBidi" w:hAnsiTheme="majorBidi" w:cstheme="majorBidi"/>
          <w:b w:val="0"/>
          <w:i/>
          <w:color w:val="0D0D0D" w:themeColor="text1" w:themeTint="F2"/>
          <w:sz w:val="24"/>
          <w:szCs w:val="24"/>
          <w:lang w:val="sq-AL"/>
        </w:rPr>
      </w:pPr>
      <w:r w:rsidRPr="005208DC">
        <w:rPr>
          <w:rFonts w:asciiTheme="majorBidi" w:hAnsiTheme="majorBidi" w:cstheme="majorBidi"/>
          <w:b w:val="0"/>
          <w:i/>
          <w:color w:val="0D0D0D" w:themeColor="text1" w:themeTint="F2"/>
          <w:sz w:val="24"/>
          <w:szCs w:val="24"/>
          <w:lang w:val="sq-AL"/>
        </w:rPr>
        <w:t>Masat e reformës</w:t>
      </w:r>
    </w:p>
    <w:p w14:paraId="11AB1170" w14:textId="2F54E464" w:rsidR="004F312A" w:rsidRPr="005208DC" w:rsidRDefault="00B2062A" w:rsidP="00857902">
      <w:pPr>
        <w:pStyle w:val="Heading5"/>
        <w:snapToGrid w:val="0"/>
        <w:ind w:left="0"/>
        <w:rPr>
          <w:rFonts w:asciiTheme="majorBidi" w:hAnsiTheme="majorBidi" w:cstheme="majorBidi"/>
          <w:i w:val="0"/>
          <w:color w:val="0D0D0D" w:themeColor="text1" w:themeTint="F2"/>
          <w:sz w:val="24"/>
          <w:szCs w:val="24"/>
          <w:lang w:val="sq-AL"/>
        </w:rPr>
      </w:pPr>
      <w:r w:rsidRPr="005208DC">
        <w:rPr>
          <w:rFonts w:asciiTheme="majorBidi" w:hAnsiTheme="majorBidi" w:cstheme="majorBidi"/>
          <w:i w:val="0"/>
          <w:color w:val="0D0D0D" w:themeColor="text1" w:themeTint="F2"/>
          <w:sz w:val="24"/>
          <w:szCs w:val="24"/>
          <w:lang w:val="sq-AL"/>
        </w:rPr>
        <w:t>Masa e reformës</w:t>
      </w:r>
      <w:r w:rsidR="005358F8" w:rsidRPr="005208DC">
        <w:rPr>
          <w:rFonts w:asciiTheme="majorBidi" w:hAnsiTheme="majorBidi" w:cstheme="majorBidi"/>
          <w:i w:val="0"/>
          <w:color w:val="0D0D0D" w:themeColor="text1" w:themeTint="F2"/>
          <w:sz w:val="24"/>
          <w:szCs w:val="24"/>
          <w:lang w:val="sq-AL"/>
        </w:rPr>
        <w:t xml:space="preserve"> 04</w:t>
      </w:r>
      <w:r w:rsidR="004F312A" w:rsidRPr="005208DC">
        <w:rPr>
          <w:rFonts w:asciiTheme="majorBidi" w:hAnsiTheme="majorBidi" w:cstheme="majorBidi"/>
          <w:i w:val="0"/>
          <w:color w:val="0D0D0D" w:themeColor="text1" w:themeTint="F2"/>
          <w:sz w:val="24"/>
          <w:szCs w:val="24"/>
          <w:lang w:val="sq-AL"/>
        </w:rPr>
        <w:t xml:space="preserve">: </w:t>
      </w:r>
      <w:r w:rsidR="0089011F" w:rsidRPr="005208DC">
        <w:rPr>
          <w:rFonts w:ascii="Times New Roman" w:hAnsi="Times New Roman"/>
          <w:i w:val="0"/>
          <w:color w:val="0D0D0D" w:themeColor="text1" w:themeTint="F2"/>
          <w:sz w:val="24"/>
          <w:szCs w:val="24"/>
          <w:lang w:val="sq-AL"/>
        </w:rPr>
        <w:t>Rritja e mbulimit dhe përshtatshmërisë së mbrojtjes sociale dhe sigurimeve shëndetësore për të ulur përqindjen e popullsisë së rrezikuar nga varfëria</w:t>
      </w:r>
    </w:p>
    <w:p w14:paraId="308FB09A" w14:textId="05A880C3" w:rsidR="004F312A" w:rsidRPr="005208DC" w:rsidRDefault="00B2062A" w:rsidP="00857902">
      <w:pPr>
        <w:pStyle w:val="Heading6"/>
        <w:numPr>
          <w:ilvl w:val="0"/>
          <w:numId w:val="12"/>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Përshkrimi i masës</w:t>
      </w:r>
    </w:p>
    <w:p w14:paraId="5AD230BB" w14:textId="30BF66B3" w:rsidR="0089011F" w:rsidRPr="005208DC" w:rsidRDefault="0089011F"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Qëllimi i përgjithshëm i kësaj mase është zgjerimi i mbulimit, gjithë përfshirjes, efektivitetit dhe shënjestrimit më të mirë të individëve në nevojë me shërbime të integruara sociale dhe mekanizmave financiarë: fondit social dhe ndërmarrjeve sociale.</w:t>
      </w:r>
    </w:p>
    <w:p w14:paraId="5A2187BC" w14:textId="0BA61D76" w:rsidR="0089011F" w:rsidRPr="005208DC" w:rsidRDefault="0089011F"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Vëmendje e veçantë do tu kushtohet: i- shërbimeve të integruara shëndetësore dhe sociale; ii- të fuqizohen njësitë e qeverisjes vendore për të përfshirë shërbimet dhe mekanizmat e duhur të kujdesit social në planet e tyre të politikave sociale; iii- vazhdimësisë së zbatimit të planit kombëtar të veprimit për deinstitucionalizimin; iv- rishikimit të standardeve minimale ekzistuese për 17 shërbime të kujdesit social dhe identifikimi i standardeve të reja funksionale dhe strukturore sipas nevojës; v- hartimit të një metodologjie dhe përcaktimit të kostos për njësi për shërbimet e kujdesit social bazuar në standardet minimale strukturore dhe të funksionimit; vi- zhvillimit të metodologjisë për vlerësimin dhe shpërndarjen e Fondit Social Kombëtar duke marrë parasysh masat që adresojnë përmirësimin e transparencës dhe barazisë vertikale dhe horizontale.</w:t>
      </w:r>
    </w:p>
    <w:p w14:paraId="4E1A7A8A" w14:textId="77777777" w:rsidR="0089011F" w:rsidRPr="005208DC" w:rsidRDefault="0089011F"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Bazuar në vlerësimin e ecurisë së nivelit të përfitimit të ndihmës ekonomike, do të vendoset një mekanizëm transparent për rishikimin e rregullt të saj</w:t>
      </w:r>
    </w:p>
    <w:p w14:paraId="58DDCDBE" w14:textId="77777777" w:rsidR="0089011F" w:rsidRPr="005208DC" w:rsidRDefault="0089011F"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Është ngritur një mekanizëm koordinues ndërinstitucional në nivel qendror, me ekipe pune në nivel rajonal dhe vendor për referimin dhe punësimin e individëve dhe anëtarëve në moshë pune të familjeve që përfitojnë ndihmë sociale. Këto struktura do të sigurojnë riintegrimin social, nëpërmjet koordinimit dhe zbatimit të një programi të daljes nga skema e ndihmës ekonomike. Është miratuar programi i daljes dhe plani i veprimit me qëllimin për të nxitur integrimin shoqëror të familjeve nëpërmjet programeve të nxitjes së punësimit, në mënyrë që kjo skemë të mos përdoret si mjet përfitimi që mund të çojë drejt papunësisë së zgjatur të familjeve përfituese të ndihmës ekonomike dhe ta kthejë atë në një skemë aktive.</w:t>
      </w:r>
    </w:p>
    <w:p w14:paraId="502AE364" w14:textId="77777777" w:rsidR="0089011F" w:rsidRPr="005208DC" w:rsidRDefault="0089011F"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Aktualisht, është përgatitur udhërrëfyesi me hapat dhe afatet kohore për rregullimin e përfitimeve të ndihmës ekonomike dhe vendosjen e një mekanizmi transparent për rishikimin e rregullt vjetor të tyre, në përputhje me kushtin e Asistencës Makro-Financiare të BE-së për Shqipërinë.</w:t>
      </w:r>
    </w:p>
    <w:p w14:paraId="1862465A" w14:textId="77777777" w:rsidR="0089011F" w:rsidRPr="005208DC" w:rsidRDefault="0089011F"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 xml:space="preserve">Hapat e udhërrëfyesit sipas angazhimit do të zbatohen deri në fund të vitit 2024. Hapat përfshijnë analizën e performancës së përfitimit të ndihmës ekonomike duke përdorur të dhënat më të fundit të HBS dhe EU-SILC dhe krijimin e një mekanizmi për të përditësuar rregullisht nivelin e përfitimit të ndihmës ekonomike. </w:t>
      </w:r>
    </w:p>
    <w:p w14:paraId="45093E96" w14:textId="77777777" w:rsidR="0089011F" w:rsidRPr="005208DC" w:rsidRDefault="0089011F"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Me ligjin 57/2019 “Për aistencën sociale në Republikën e Shqipërisë”, u hoq një kufizim i mëparshëm për të garantuar që përfitimet e fituara për shkak të aftësisë së kufizuar të mos ndërpriteshin në rast punësimi për personat me aftësi të kufizuar, një hap drejt përfshirjes dhe integrimit social.</w:t>
      </w:r>
    </w:p>
    <w:p w14:paraId="7D550D39" w14:textId="77777777" w:rsidR="0089011F" w:rsidRPr="005208DC" w:rsidRDefault="0089011F"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Në kuadër të barazisë gjinore dhe përfshirjes sociale, Qeveria ka miratuar dokumentet strategjike: Strategjia për Barazinë Gjinore 2021-2030; Plani Kombëtar për Personat LGBTI; Plani Kombëtar i Veprimit për Aftësinë e Kufizuar 2021-2025; Plani Kombëtar për Barazinë, Përfshirjen dhe Pjesëmarrjen e Romëve dhe Egjiptianëve 2021-2025 dhe Axhenda Kombëtare për të Drejtat e Fëmijëve 2021-2026.</w:t>
      </w:r>
    </w:p>
    <w:p w14:paraId="42E93154" w14:textId="77777777" w:rsidR="0089011F" w:rsidRPr="005208DC" w:rsidRDefault="0089011F"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Ndërhyrjet konkrete synojnë:</w:t>
      </w:r>
    </w:p>
    <w:p w14:paraId="07163378" w14:textId="77777777" w:rsidR="0089011F" w:rsidRPr="005208DC" w:rsidRDefault="0089011F"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(i) krijimin e një mekanizmi për të rishikuar masën e përfitimit të ndihmës ekonomike.</w:t>
      </w:r>
    </w:p>
    <w:p w14:paraId="79C12ECC" w14:textId="77777777" w:rsidR="0089011F" w:rsidRPr="005208DC" w:rsidRDefault="0089011F"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(ii) forcimin  e kapaciteteve administrative të qeverisjes vendore për sektorin social,  veçanërisht për të aplikuar për mbështetje nga Fondi Social dhe për të planifikuar, administruar dhe ofruar shërbime të reja të kujdesit social. Bazuar në një metodologji të re në lidhje me vlerësimin dhe shpërndarjen e Fondit Social Kombëtar, shërbimet sociale në territor duhet t'u përgjigjen më mirë nevojave të grupeve vulnerabël.</w:t>
      </w:r>
    </w:p>
    <w:p w14:paraId="032D4EC2" w14:textId="77777777" w:rsidR="0089011F" w:rsidRPr="005208DC" w:rsidRDefault="0089011F"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(iii) mbështetjen e personave nga grupet e pafavorizuara me punësim në ndërmarrjet sociale në zbatim të legjislacionit për ndërmarrjet sociale dhe akteve nënligjore, si mjet për riintegrimin e personave nga grupet vulnerabël. Nga kjo masë kanë përfituar statusin e ndërmarrjeve sociale 8 organizata, të cilat janë parashikuar të punësojnë 80 persona nga grupet vulnerabël.</w:t>
      </w:r>
    </w:p>
    <w:p w14:paraId="6AC2D78A" w14:textId="521FD628" w:rsidR="0089011F" w:rsidRPr="005208DC" w:rsidRDefault="0089011F" w:rsidP="00857902">
      <w:pPr>
        <w:jc w:val="both"/>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(iv) mbështetjen për të vazhduar aksesin në shërbimet e mbështetjes sociale edhe në rrethanat e reja të krijuara nga COVID 19 për gratë, burrat, vajzat, djemtë dhe fëmijët vulnerabël që rrezikojnë të mbeten pas.</w:t>
      </w:r>
    </w:p>
    <w:p w14:paraId="068F85A9" w14:textId="77777777" w:rsidR="001F0BF2" w:rsidRPr="005208DC" w:rsidRDefault="001F0BF2" w:rsidP="00857902">
      <w:pPr>
        <w:jc w:val="both"/>
        <w:rPr>
          <w:rFonts w:asciiTheme="majorBidi" w:hAnsiTheme="majorBidi" w:cstheme="majorBidi"/>
          <w:color w:val="0D0D0D" w:themeColor="text1" w:themeTint="F2"/>
          <w:lang w:val="sq-AL"/>
        </w:rPr>
      </w:pPr>
    </w:p>
    <w:p w14:paraId="4FD15497" w14:textId="466C8C58" w:rsidR="004F312A" w:rsidRPr="005208DC" w:rsidRDefault="00B2062A" w:rsidP="00857902">
      <w:pPr>
        <w:pStyle w:val="ListParagraph"/>
        <w:numPr>
          <w:ilvl w:val="0"/>
          <w:numId w:val="13"/>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4F312A" w:rsidRPr="005208DC">
        <w:rPr>
          <w:rFonts w:asciiTheme="majorBidi" w:hAnsiTheme="majorBidi" w:cstheme="majorBidi"/>
          <w:b/>
          <w:color w:val="0D0D0D" w:themeColor="text1" w:themeTint="F2"/>
          <w:sz w:val="24"/>
          <w:szCs w:val="24"/>
          <w:lang w:val="sq-AL"/>
        </w:rPr>
        <w:t xml:space="preserve"> 2022</w:t>
      </w:r>
    </w:p>
    <w:p w14:paraId="5540039C" w14:textId="77777777" w:rsidR="0089011F" w:rsidRPr="005208DC" w:rsidRDefault="0089011F" w:rsidP="00857902">
      <w:pPr>
        <w:pStyle w:val="ListParagraph"/>
        <w:numPr>
          <w:ilvl w:val="0"/>
          <w:numId w:val="57"/>
        </w:numPr>
        <w:jc w:val="both"/>
        <w:rPr>
          <w:rFonts w:asciiTheme="majorBidi" w:hAnsiTheme="majorBidi" w:cstheme="majorBidi"/>
          <w:b/>
          <w:color w:val="0D0D0D" w:themeColor="text1" w:themeTint="F2"/>
          <w:sz w:val="24"/>
          <w:szCs w:val="24"/>
          <w:lang w:val="sq-AL"/>
        </w:rPr>
      </w:pPr>
      <w:r w:rsidRPr="005208DC">
        <w:rPr>
          <w:rFonts w:ascii="Times New Roman" w:eastAsia="Calibri" w:hAnsi="Times New Roman" w:cs="Times New Roman"/>
          <w:color w:val="0D0D0D" w:themeColor="text1" w:themeTint="F2"/>
          <w:sz w:val="24"/>
          <w:szCs w:val="24"/>
          <w:lang w:val="sq-AL"/>
        </w:rPr>
        <w:t>Krijimi i mekanizmit për përditësimin e rregullt të nivelit të përfitimit të NE.</w:t>
      </w:r>
    </w:p>
    <w:p w14:paraId="193B40CC" w14:textId="32CAA995" w:rsidR="0089011F" w:rsidRPr="005208DC" w:rsidRDefault="0089011F" w:rsidP="00857902">
      <w:pPr>
        <w:pStyle w:val="ListParagraph"/>
        <w:numPr>
          <w:ilvl w:val="0"/>
          <w:numId w:val="57"/>
        </w:numPr>
        <w:jc w:val="both"/>
        <w:rPr>
          <w:rFonts w:asciiTheme="majorBidi" w:hAnsiTheme="majorBidi" w:cstheme="majorBidi"/>
          <w:b/>
          <w:color w:val="0D0D0D" w:themeColor="text1" w:themeTint="F2"/>
          <w:sz w:val="24"/>
          <w:szCs w:val="24"/>
          <w:lang w:val="sq-AL"/>
        </w:rPr>
      </w:pPr>
      <w:r w:rsidRPr="005208DC">
        <w:rPr>
          <w:rFonts w:ascii="Times New Roman" w:eastAsia="Calibri" w:hAnsi="Times New Roman" w:cs="Times New Roman"/>
          <w:color w:val="0D0D0D" w:themeColor="text1" w:themeTint="F2"/>
          <w:sz w:val="24"/>
          <w:szCs w:val="24"/>
          <w:lang w:val="sq-AL"/>
        </w:rPr>
        <w:t>Zbatimi i sistemit të vlerësimit bio-psiko-social për personat me aftësi të kufizuara me mbështetje në para dhe kujdes shoqëror në katër qarqe.</w:t>
      </w:r>
    </w:p>
    <w:p w14:paraId="60B06204" w14:textId="77777777" w:rsidR="0089011F" w:rsidRPr="005208DC" w:rsidRDefault="0089011F" w:rsidP="00857902">
      <w:pPr>
        <w:pStyle w:val="ListParagraph"/>
        <w:numPr>
          <w:ilvl w:val="0"/>
          <w:numId w:val="57"/>
        </w:numPr>
        <w:jc w:val="both"/>
        <w:rPr>
          <w:rFonts w:asciiTheme="majorBidi" w:hAnsiTheme="majorBidi" w:cstheme="majorBidi"/>
          <w:b/>
          <w:color w:val="0D0D0D" w:themeColor="text1" w:themeTint="F2"/>
          <w:sz w:val="24"/>
          <w:szCs w:val="24"/>
          <w:lang w:val="sq-AL"/>
        </w:rPr>
      </w:pPr>
      <w:r w:rsidRPr="005208DC">
        <w:rPr>
          <w:rFonts w:ascii="Times New Roman" w:eastAsia="Calibri" w:hAnsi="Times New Roman" w:cs="Times New Roman"/>
          <w:color w:val="0D0D0D" w:themeColor="text1" w:themeTint="F2"/>
          <w:sz w:val="24"/>
          <w:szCs w:val="24"/>
          <w:lang w:val="sq-AL"/>
        </w:rPr>
        <w:t>Mbështetje për personat nga shtresat e disavantazhuara, veçanërisht përfituesit e ndihmës ekonomike dhe personat me aftësi të kufizuara drejt punësimit në ndërmarrjet sociale. Financimi i 5 ndërmarrjeve sociale.</w:t>
      </w:r>
    </w:p>
    <w:p w14:paraId="6D20112E" w14:textId="77777777" w:rsidR="0089011F" w:rsidRPr="005208DC" w:rsidRDefault="0089011F" w:rsidP="00857902">
      <w:pPr>
        <w:pStyle w:val="ListParagraph"/>
        <w:numPr>
          <w:ilvl w:val="0"/>
          <w:numId w:val="57"/>
        </w:numPr>
        <w:jc w:val="both"/>
        <w:rPr>
          <w:rFonts w:asciiTheme="majorBidi" w:hAnsiTheme="majorBidi" w:cstheme="majorBidi"/>
          <w:b/>
          <w:color w:val="0D0D0D" w:themeColor="text1" w:themeTint="F2"/>
          <w:sz w:val="24"/>
          <w:szCs w:val="24"/>
          <w:lang w:val="sq-AL"/>
        </w:rPr>
      </w:pPr>
      <w:r w:rsidRPr="005208DC">
        <w:rPr>
          <w:rFonts w:ascii="Times New Roman" w:eastAsia="Calibri" w:hAnsi="Times New Roman" w:cs="Times New Roman"/>
          <w:color w:val="0D0D0D" w:themeColor="text1" w:themeTint="F2"/>
          <w:sz w:val="24"/>
          <w:szCs w:val="24"/>
          <w:lang w:val="sq-AL"/>
        </w:rPr>
        <w:t>Përmirësimi dhe zgjerimi i ofrimit të shërbimeve sociale të integruara me bazë komunitare nga njësitë e qeverisjes vendore për të gjitha kategoritë në nevojë në kuadër të Fondit Social.</w:t>
      </w:r>
    </w:p>
    <w:p w14:paraId="3468F875" w14:textId="77777777" w:rsidR="0089011F" w:rsidRPr="005208DC" w:rsidRDefault="0089011F" w:rsidP="00857902">
      <w:pPr>
        <w:pStyle w:val="ListParagraph"/>
        <w:numPr>
          <w:ilvl w:val="0"/>
          <w:numId w:val="57"/>
        </w:numPr>
        <w:jc w:val="both"/>
        <w:rPr>
          <w:rFonts w:asciiTheme="majorBidi" w:hAnsiTheme="majorBidi" w:cstheme="majorBidi"/>
          <w:b/>
          <w:color w:val="0D0D0D" w:themeColor="text1" w:themeTint="F2"/>
          <w:sz w:val="24"/>
          <w:szCs w:val="24"/>
          <w:lang w:val="sq-AL"/>
        </w:rPr>
      </w:pPr>
      <w:r w:rsidRPr="005208DC">
        <w:rPr>
          <w:rFonts w:ascii="Times New Roman" w:eastAsia="Calibri" w:hAnsi="Times New Roman" w:cs="Times New Roman"/>
          <w:color w:val="0D0D0D" w:themeColor="text1" w:themeTint="F2"/>
          <w:sz w:val="24"/>
          <w:szCs w:val="24"/>
          <w:lang w:val="sq-AL"/>
        </w:rPr>
        <w:t>Vlerësim i gjithë institucioneve publike të kujdesit rezidencial dhe zhvillimi i planit të transformimit të tyre.</w:t>
      </w:r>
    </w:p>
    <w:p w14:paraId="698AF7BB" w14:textId="43FDF6E7" w:rsidR="0089011F" w:rsidRPr="005208DC" w:rsidRDefault="0089011F" w:rsidP="00857902">
      <w:pPr>
        <w:pStyle w:val="ListParagraph"/>
        <w:numPr>
          <w:ilvl w:val="0"/>
          <w:numId w:val="57"/>
        </w:numPr>
        <w:jc w:val="both"/>
        <w:rPr>
          <w:rFonts w:asciiTheme="majorBidi" w:hAnsiTheme="majorBidi" w:cstheme="majorBidi"/>
          <w:b/>
          <w:color w:val="0D0D0D" w:themeColor="text1" w:themeTint="F2"/>
          <w:sz w:val="24"/>
          <w:szCs w:val="24"/>
          <w:lang w:val="sq-AL"/>
        </w:rPr>
      </w:pPr>
      <w:r w:rsidRPr="005208DC">
        <w:rPr>
          <w:rFonts w:ascii="Times New Roman" w:eastAsia="Calibri" w:hAnsi="Times New Roman" w:cs="Times New Roman"/>
          <w:color w:val="0D0D0D" w:themeColor="text1" w:themeTint="F2"/>
          <w:sz w:val="24"/>
          <w:szCs w:val="24"/>
          <w:lang w:val="sq-AL"/>
        </w:rPr>
        <w:t>Krijimi i një qendre mbështetëse dhe miqësore për fëmijët në Tiranë, Shkodër dhe Durrës, bazuar në pilotimin aktual në Korçë dhe Vlorë.</w:t>
      </w:r>
    </w:p>
    <w:p w14:paraId="4988010F" w14:textId="134EC0C4" w:rsidR="0089011F" w:rsidRPr="005208DC" w:rsidRDefault="0089011F" w:rsidP="00857902">
      <w:pPr>
        <w:pStyle w:val="ListParagraph"/>
        <w:numPr>
          <w:ilvl w:val="0"/>
          <w:numId w:val="57"/>
        </w:numPr>
        <w:jc w:val="both"/>
        <w:rPr>
          <w:rFonts w:asciiTheme="majorBidi" w:hAnsiTheme="majorBidi" w:cstheme="majorBidi"/>
          <w:b/>
          <w:color w:val="0D0D0D" w:themeColor="text1" w:themeTint="F2"/>
          <w:sz w:val="24"/>
          <w:szCs w:val="24"/>
          <w:lang w:val="sq-AL"/>
        </w:rPr>
      </w:pPr>
      <w:r w:rsidRPr="005208DC">
        <w:rPr>
          <w:rFonts w:ascii="Times New Roman" w:eastAsia="Calibri" w:hAnsi="Times New Roman" w:cs="Times New Roman"/>
          <w:color w:val="0D0D0D" w:themeColor="text1" w:themeTint="F2"/>
          <w:sz w:val="24"/>
          <w:szCs w:val="24"/>
          <w:lang w:val="sq-AL"/>
        </w:rPr>
        <w:t>Zbatimi i Planeve Kombëtare të Veprimit për përfshirjen sociale dhe reduktimin e varfërisë nëpërmjet politikëbërjes dhe treguesve të përmirësuar.</w:t>
      </w:r>
    </w:p>
    <w:p w14:paraId="1F6E6E5A" w14:textId="317C1FAB" w:rsidR="004F312A" w:rsidRPr="005208DC" w:rsidRDefault="00B2062A" w:rsidP="00857902">
      <w:pPr>
        <w:pStyle w:val="ListParagraph"/>
        <w:numPr>
          <w:ilvl w:val="0"/>
          <w:numId w:val="13"/>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4F312A" w:rsidRPr="005208DC">
        <w:rPr>
          <w:rFonts w:asciiTheme="majorBidi" w:hAnsiTheme="majorBidi" w:cstheme="majorBidi"/>
          <w:b/>
          <w:color w:val="0D0D0D" w:themeColor="text1" w:themeTint="F2"/>
          <w:sz w:val="24"/>
          <w:szCs w:val="24"/>
          <w:lang w:val="sq-AL"/>
        </w:rPr>
        <w:t xml:space="preserve"> 2023</w:t>
      </w:r>
    </w:p>
    <w:p w14:paraId="6E1D8A08" w14:textId="77777777" w:rsidR="0089011F" w:rsidRPr="005208DC" w:rsidRDefault="0089011F" w:rsidP="00857902">
      <w:pPr>
        <w:pStyle w:val="ListParagraph"/>
        <w:numPr>
          <w:ilvl w:val="0"/>
          <w:numId w:val="58"/>
        </w:numPr>
        <w:jc w:val="both"/>
        <w:rPr>
          <w:rFonts w:asciiTheme="majorBidi" w:hAnsiTheme="majorBidi" w:cstheme="majorBidi"/>
          <w:b/>
          <w:color w:val="0D0D0D" w:themeColor="text1" w:themeTint="F2"/>
          <w:sz w:val="24"/>
          <w:szCs w:val="24"/>
          <w:lang w:val="sq-AL"/>
        </w:rPr>
      </w:pPr>
      <w:r w:rsidRPr="005208DC">
        <w:rPr>
          <w:rFonts w:ascii="Times New Roman" w:eastAsia="Calibri" w:hAnsi="Times New Roman" w:cs="Times New Roman"/>
          <w:color w:val="0D0D0D" w:themeColor="text1" w:themeTint="F2"/>
          <w:sz w:val="24"/>
          <w:szCs w:val="24"/>
          <w:lang w:val="sq-AL"/>
        </w:rPr>
        <w:t>Rregullimi i përfitimeve të ndihmës ekonomike.</w:t>
      </w:r>
    </w:p>
    <w:p w14:paraId="75F830A3" w14:textId="77777777" w:rsidR="0089011F" w:rsidRPr="005208DC" w:rsidRDefault="0089011F" w:rsidP="00857902">
      <w:pPr>
        <w:pStyle w:val="ListParagraph"/>
        <w:numPr>
          <w:ilvl w:val="0"/>
          <w:numId w:val="58"/>
        </w:numPr>
        <w:jc w:val="both"/>
        <w:rPr>
          <w:rFonts w:asciiTheme="majorBidi" w:hAnsiTheme="majorBidi" w:cstheme="majorBidi"/>
          <w:b/>
          <w:color w:val="0D0D0D" w:themeColor="text1" w:themeTint="F2"/>
          <w:sz w:val="24"/>
          <w:szCs w:val="24"/>
          <w:lang w:val="sq-AL"/>
        </w:rPr>
      </w:pPr>
      <w:r w:rsidRPr="005208DC">
        <w:rPr>
          <w:rFonts w:ascii="Times New Roman" w:eastAsia="Calibri" w:hAnsi="Times New Roman" w:cs="Times New Roman"/>
          <w:color w:val="0D0D0D" w:themeColor="text1" w:themeTint="F2"/>
          <w:sz w:val="24"/>
          <w:szCs w:val="24"/>
          <w:lang w:val="sq-AL"/>
        </w:rPr>
        <w:t>Zgjerimi i zbatimit të sistemit të vlerësimit bio-psiko-social për të mbështetur personat me aftësi të kufizuara me mbështetje të kombinuar në para dhe kujdes social në rajone të tjera.</w:t>
      </w:r>
    </w:p>
    <w:p w14:paraId="218EAC98" w14:textId="462B3B67" w:rsidR="0089011F" w:rsidRPr="005208DC" w:rsidRDefault="0089011F" w:rsidP="00857902">
      <w:pPr>
        <w:pStyle w:val="ListParagraph"/>
        <w:numPr>
          <w:ilvl w:val="0"/>
          <w:numId w:val="58"/>
        </w:numPr>
        <w:jc w:val="both"/>
        <w:rPr>
          <w:rFonts w:asciiTheme="majorBidi" w:hAnsiTheme="majorBidi" w:cstheme="majorBidi"/>
          <w:b/>
          <w:color w:val="0D0D0D" w:themeColor="text1" w:themeTint="F2"/>
          <w:sz w:val="24"/>
          <w:szCs w:val="24"/>
          <w:lang w:val="sq-AL"/>
        </w:rPr>
      </w:pPr>
      <w:r w:rsidRPr="005208DC">
        <w:rPr>
          <w:rFonts w:ascii="Times New Roman" w:eastAsia="Calibri" w:hAnsi="Times New Roman" w:cs="Times New Roman"/>
          <w:color w:val="0D0D0D" w:themeColor="text1" w:themeTint="F2"/>
          <w:sz w:val="24"/>
          <w:szCs w:val="24"/>
          <w:lang w:val="sq-AL"/>
        </w:rPr>
        <w:t>Mbështetje për personat nga shtresat në nevojë veçanërisht përfituesit e ndihmës ekonomike dhe personat me aftësi të kufizuara drejt punësimit në ndërmarrjet sociale. Financimi i ndërmarrjeve sociale.</w:t>
      </w:r>
    </w:p>
    <w:p w14:paraId="21CE878D" w14:textId="4B0ECB55" w:rsidR="004F312A" w:rsidRPr="005208DC" w:rsidRDefault="00B2062A" w:rsidP="00857902">
      <w:pPr>
        <w:pStyle w:val="ListParagraph"/>
        <w:numPr>
          <w:ilvl w:val="0"/>
          <w:numId w:val="13"/>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4F312A" w:rsidRPr="005208DC">
        <w:rPr>
          <w:rFonts w:asciiTheme="majorBidi" w:hAnsiTheme="majorBidi" w:cstheme="majorBidi"/>
          <w:b/>
          <w:color w:val="0D0D0D" w:themeColor="text1" w:themeTint="F2"/>
          <w:sz w:val="24"/>
          <w:szCs w:val="24"/>
          <w:lang w:val="sq-AL"/>
        </w:rPr>
        <w:t xml:space="preserve"> 2024</w:t>
      </w:r>
    </w:p>
    <w:p w14:paraId="46DDF563" w14:textId="77777777" w:rsidR="0089011F" w:rsidRPr="005208DC" w:rsidRDefault="0089011F" w:rsidP="00857902">
      <w:pPr>
        <w:pStyle w:val="ListParagraph"/>
        <w:numPr>
          <w:ilvl w:val="0"/>
          <w:numId w:val="59"/>
        </w:numPr>
        <w:jc w:val="both"/>
        <w:rPr>
          <w:rFonts w:asciiTheme="majorBidi" w:hAnsiTheme="majorBidi" w:cstheme="majorBidi"/>
          <w:b/>
          <w:color w:val="0D0D0D" w:themeColor="text1" w:themeTint="F2"/>
          <w:sz w:val="24"/>
          <w:szCs w:val="24"/>
          <w:lang w:val="sq-AL"/>
        </w:rPr>
      </w:pPr>
      <w:r w:rsidRPr="005208DC">
        <w:rPr>
          <w:rFonts w:ascii="Times New Roman" w:eastAsia="Calibri" w:hAnsi="Times New Roman" w:cs="Times New Roman"/>
          <w:color w:val="0D0D0D" w:themeColor="text1" w:themeTint="F2"/>
          <w:sz w:val="24"/>
          <w:szCs w:val="24"/>
          <w:lang w:val="sq-AL"/>
        </w:rPr>
        <w:t>Zgjerimi i zbatimit të skemës së vlerësimit bio-psiko-social për të mbështetur personat me aftësi të kufizuara me mbështetje të kombinuar në para dhe kujdes social në qarqe të tjera.</w:t>
      </w:r>
    </w:p>
    <w:p w14:paraId="2A94F0E9" w14:textId="77777777" w:rsidR="0089011F" w:rsidRPr="005208DC" w:rsidRDefault="0089011F" w:rsidP="00857902">
      <w:pPr>
        <w:pStyle w:val="ListParagraph"/>
        <w:numPr>
          <w:ilvl w:val="0"/>
          <w:numId w:val="59"/>
        </w:numPr>
        <w:jc w:val="both"/>
        <w:rPr>
          <w:rFonts w:asciiTheme="majorBidi" w:hAnsiTheme="majorBidi" w:cstheme="majorBidi"/>
          <w:b/>
          <w:color w:val="0D0D0D" w:themeColor="text1" w:themeTint="F2"/>
          <w:sz w:val="24"/>
          <w:szCs w:val="24"/>
          <w:lang w:val="sq-AL"/>
        </w:rPr>
      </w:pPr>
      <w:r w:rsidRPr="005208DC">
        <w:rPr>
          <w:rFonts w:ascii="Times New Roman" w:eastAsia="Calibri" w:hAnsi="Times New Roman" w:cs="Times New Roman"/>
          <w:color w:val="0D0D0D" w:themeColor="text1" w:themeTint="F2"/>
          <w:sz w:val="24"/>
          <w:szCs w:val="24"/>
          <w:lang w:val="sq-AL"/>
        </w:rPr>
        <w:t>Mbështetje për personat nga shtresat e pafavorizuara, veçanërisht përfituesit e ndihmës ekonomike dhe personat me aftësi të kufizuara drejt punësimit në ndërmarrjet sociale. Financimi i ndërmarrjeve sociale.</w:t>
      </w:r>
    </w:p>
    <w:p w14:paraId="47F44F8D" w14:textId="77777777" w:rsidR="0089011F" w:rsidRPr="005208DC" w:rsidRDefault="0089011F" w:rsidP="00857902">
      <w:pPr>
        <w:pStyle w:val="ListParagraph"/>
        <w:numPr>
          <w:ilvl w:val="0"/>
          <w:numId w:val="59"/>
        </w:numPr>
        <w:jc w:val="both"/>
        <w:rPr>
          <w:rFonts w:asciiTheme="majorBidi" w:hAnsiTheme="majorBidi" w:cstheme="majorBidi"/>
          <w:b/>
          <w:color w:val="0D0D0D" w:themeColor="text1" w:themeTint="F2"/>
          <w:sz w:val="24"/>
          <w:szCs w:val="24"/>
          <w:lang w:val="sq-AL"/>
        </w:rPr>
      </w:pPr>
      <w:r w:rsidRPr="005208DC">
        <w:rPr>
          <w:rFonts w:ascii="Times New Roman" w:eastAsia="Calibri" w:hAnsi="Times New Roman" w:cs="Times New Roman"/>
          <w:color w:val="0D0D0D" w:themeColor="text1" w:themeTint="F2"/>
          <w:sz w:val="24"/>
          <w:szCs w:val="24"/>
          <w:lang w:val="sq-AL"/>
        </w:rPr>
        <w:t>Përmirësimi i ofrimit të shërbimeve sociale me bazë komunitare nga njësitë e qeverisjes vendore për të gjitha kategoritë në nevojë në kuadër të Fondit Social.</w:t>
      </w:r>
    </w:p>
    <w:p w14:paraId="4AAB14D1" w14:textId="1A9CA284" w:rsidR="0089011F" w:rsidRPr="005208DC" w:rsidRDefault="0089011F" w:rsidP="00857902">
      <w:pPr>
        <w:pStyle w:val="ListParagraph"/>
        <w:numPr>
          <w:ilvl w:val="0"/>
          <w:numId w:val="59"/>
        </w:numPr>
        <w:jc w:val="both"/>
        <w:rPr>
          <w:rFonts w:asciiTheme="majorBidi" w:hAnsiTheme="majorBidi" w:cstheme="majorBidi"/>
          <w:b/>
          <w:color w:val="0D0D0D" w:themeColor="text1" w:themeTint="F2"/>
          <w:sz w:val="24"/>
          <w:szCs w:val="24"/>
          <w:lang w:val="sq-AL"/>
        </w:rPr>
      </w:pPr>
      <w:r w:rsidRPr="005208DC">
        <w:rPr>
          <w:rFonts w:ascii="Times New Roman" w:eastAsia="Calibri" w:hAnsi="Times New Roman" w:cs="Times New Roman"/>
          <w:color w:val="0D0D0D" w:themeColor="text1" w:themeTint="F2"/>
          <w:sz w:val="24"/>
          <w:szCs w:val="24"/>
          <w:lang w:val="sq-AL"/>
        </w:rPr>
        <w:t>Finalizimi i transformimit për i gjithë shërbimeve rezidenciale, njëkohësisht transformimi i avancuar i institucioneve rezidenciale jopublike.</w:t>
      </w:r>
    </w:p>
    <w:p w14:paraId="3D96892F" w14:textId="204A8559" w:rsidR="0089011F" w:rsidRPr="005208DC" w:rsidRDefault="0089011F" w:rsidP="00857902">
      <w:pPr>
        <w:pStyle w:val="ListParagraph"/>
        <w:numPr>
          <w:ilvl w:val="0"/>
          <w:numId w:val="59"/>
        </w:numPr>
        <w:jc w:val="both"/>
        <w:rPr>
          <w:rFonts w:asciiTheme="majorBidi" w:hAnsiTheme="majorBidi" w:cstheme="majorBidi"/>
          <w:b/>
          <w:color w:val="0D0D0D" w:themeColor="text1" w:themeTint="F2"/>
          <w:sz w:val="24"/>
          <w:szCs w:val="24"/>
          <w:lang w:val="sq-AL"/>
        </w:rPr>
      </w:pPr>
      <w:r w:rsidRPr="005208DC">
        <w:rPr>
          <w:rFonts w:ascii="Times New Roman" w:eastAsia="Calibri" w:hAnsi="Times New Roman" w:cs="Times New Roman"/>
          <w:color w:val="0D0D0D" w:themeColor="text1" w:themeTint="F2"/>
          <w:sz w:val="24"/>
          <w:szCs w:val="24"/>
          <w:lang w:val="sq-AL"/>
        </w:rPr>
        <w:t>Zbatimi i Planeve Kombëtare të Veprimit për përfshirjen sociale dhe reduktimin e varfërisë nëpërmjet politikëbërjes dhe treguesve të përmirësuar.</w:t>
      </w:r>
    </w:p>
    <w:p w14:paraId="5319B753" w14:textId="77777777" w:rsidR="0089011F" w:rsidRPr="005208DC" w:rsidRDefault="0089011F" w:rsidP="00857902">
      <w:pPr>
        <w:snapToGrid w:val="0"/>
        <w:rPr>
          <w:rFonts w:asciiTheme="majorBidi" w:hAnsiTheme="majorBidi" w:cstheme="majorBidi"/>
          <w:color w:val="0D0D0D" w:themeColor="text1" w:themeTint="F2"/>
          <w:lang w:val="sq-AL"/>
        </w:rPr>
      </w:pPr>
    </w:p>
    <w:p w14:paraId="1D5421E3" w14:textId="5F9482B3" w:rsidR="004F312A" w:rsidRPr="005208DC" w:rsidRDefault="00B2062A" w:rsidP="00857902">
      <w:pPr>
        <w:pStyle w:val="Heading6"/>
        <w:numPr>
          <w:ilvl w:val="0"/>
          <w:numId w:val="12"/>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Treguesit e rezultateve</w:t>
      </w:r>
    </w:p>
    <w:tbl>
      <w:tblPr>
        <w:tblStyle w:val="TableGrid"/>
        <w:tblW w:w="0" w:type="auto"/>
        <w:tblLook w:val="04A0" w:firstRow="1" w:lastRow="0" w:firstColumn="1" w:lastColumn="0" w:noHBand="0" w:noVBand="1"/>
      </w:tblPr>
      <w:tblGrid>
        <w:gridCol w:w="5380"/>
        <w:gridCol w:w="1134"/>
        <w:gridCol w:w="1665"/>
        <w:gridCol w:w="1456"/>
      </w:tblGrid>
      <w:tr w:rsidR="005208DC" w:rsidRPr="005208DC" w14:paraId="5938DEEF" w14:textId="77777777" w:rsidTr="008E61CF">
        <w:tc>
          <w:tcPr>
            <w:tcW w:w="5380" w:type="dxa"/>
          </w:tcPr>
          <w:p w14:paraId="2CB29654" w14:textId="43EB6366" w:rsidR="00CF7FC1"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w:t>
            </w:r>
          </w:p>
        </w:tc>
        <w:tc>
          <w:tcPr>
            <w:tcW w:w="1134" w:type="dxa"/>
          </w:tcPr>
          <w:p w14:paraId="5A3DD21B" w14:textId="1CB15893" w:rsidR="00CF7FC1"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Bazë</w:t>
            </w:r>
            <w:r w:rsidR="00CF7FC1" w:rsidRPr="005208DC">
              <w:rPr>
                <w:rFonts w:asciiTheme="majorBidi" w:hAnsiTheme="majorBidi" w:cstheme="majorBidi"/>
                <w:color w:val="0D0D0D" w:themeColor="text1" w:themeTint="F2"/>
                <w:lang w:val="sq-AL"/>
              </w:rPr>
              <w:t xml:space="preserve"> (2021)</w:t>
            </w:r>
          </w:p>
        </w:tc>
        <w:tc>
          <w:tcPr>
            <w:tcW w:w="1665" w:type="dxa"/>
          </w:tcPr>
          <w:p w14:paraId="10B23B7D" w14:textId="254CD141" w:rsidR="00CF7FC1"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 ndërmjetëm</w:t>
            </w:r>
            <w:r w:rsidR="00CF7FC1" w:rsidRPr="005208DC">
              <w:rPr>
                <w:rFonts w:asciiTheme="majorBidi" w:hAnsiTheme="majorBidi" w:cstheme="majorBidi"/>
                <w:color w:val="0D0D0D" w:themeColor="text1" w:themeTint="F2"/>
                <w:lang w:val="sq-AL"/>
              </w:rPr>
              <w:t xml:space="preserve"> (2023)</w:t>
            </w:r>
          </w:p>
        </w:tc>
        <w:tc>
          <w:tcPr>
            <w:tcW w:w="1443" w:type="dxa"/>
          </w:tcPr>
          <w:p w14:paraId="20A0F08C" w14:textId="1A13DA87" w:rsidR="00CF7FC1"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Synimi</w:t>
            </w:r>
            <w:r w:rsidR="00CF7FC1" w:rsidRPr="005208DC">
              <w:rPr>
                <w:rFonts w:asciiTheme="majorBidi" w:hAnsiTheme="majorBidi" w:cstheme="majorBidi"/>
                <w:color w:val="0D0D0D" w:themeColor="text1" w:themeTint="F2"/>
                <w:lang w:val="sq-AL"/>
              </w:rPr>
              <w:t xml:space="preserve"> (2024)</w:t>
            </w:r>
          </w:p>
        </w:tc>
      </w:tr>
      <w:tr w:rsidR="005208DC" w:rsidRPr="005208DC" w14:paraId="603573C3" w14:textId="77777777" w:rsidTr="008E61CF">
        <w:tc>
          <w:tcPr>
            <w:tcW w:w="5380" w:type="dxa"/>
          </w:tcPr>
          <w:p w14:paraId="75CD59E0" w14:textId="2426C30F" w:rsidR="0089011F" w:rsidRPr="005208DC" w:rsidRDefault="0089011F"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 e popullsisë të rrezikuar nga varfëria dhe përjashtimi social</w:t>
            </w:r>
          </w:p>
        </w:tc>
        <w:tc>
          <w:tcPr>
            <w:tcW w:w="1134" w:type="dxa"/>
          </w:tcPr>
          <w:p w14:paraId="61FDEB85" w14:textId="7E15D589" w:rsidR="0089011F" w:rsidRPr="005208DC" w:rsidRDefault="0089011F" w:rsidP="00857902">
            <w:pPr>
              <w:autoSpaceDE w:val="0"/>
              <w:autoSpaceDN w:val="0"/>
              <w:adjustRightIn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46.2% (2019)</w:t>
            </w:r>
          </w:p>
        </w:tc>
        <w:tc>
          <w:tcPr>
            <w:tcW w:w="1665" w:type="dxa"/>
          </w:tcPr>
          <w:p w14:paraId="654144FA" w14:textId="26ADE6BA" w:rsidR="0089011F" w:rsidRPr="005208DC" w:rsidRDefault="0089011F"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45%</w:t>
            </w:r>
          </w:p>
        </w:tc>
        <w:tc>
          <w:tcPr>
            <w:tcW w:w="1443" w:type="dxa"/>
          </w:tcPr>
          <w:p w14:paraId="140007BC" w14:textId="78792E15" w:rsidR="0089011F" w:rsidRPr="005208DC" w:rsidRDefault="0089011F"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44%</w:t>
            </w:r>
          </w:p>
        </w:tc>
      </w:tr>
      <w:tr w:rsidR="005208DC" w:rsidRPr="005208DC" w14:paraId="6002FCF9" w14:textId="77777777" w:rsidTr="008E61CF">
        <w:tc>
          <w:tcPr>
            <w:tcW w:w="5380" w:type="dxa"/>
          </w:tcPr>
          <w:p w14:paraId="7DA6F014" w14:textId="5BE9C487" w:rsidR="0089011F" w:rsidRPr="005208DC" w:rsidRDefault="0089011F"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Numri i shërbimeve të reja sociale për grupet e pafavorizuara të ofruara nëpërmjet njësive të qeverisjes vendore duke përdorur burime nga fondi social</w:t>
            </w:r>
          </w:p>
        </w:tc>
        <w:tc>
          <w:tcPr>
            <w:tcW w:w="1134" w:type="dxa"/>
          </w:tcPr>
          <w:p w14:paraId="08553338" w14:textId="32255446" w:rsidR="0089011F" w:rsidRPr="005208DC" w:rsidRDefault="0089011F"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19</w:t>
            </w:r>
          </w:p>
        </w:tc>
        <w:tc>
          <w:tcPr>
            <w:tcW w:w="1665" w:type="dxa"/>
          </w:tcPr>
          <w:p w14:paraId="5D1EC41D" w14:textId="77777777" w:rsidR="0089011F" w:rsidRPr="005208DC" w:rsidRDefault="0089011F" w:rsidP="00857902">
            <w:pPr>
              <w:snapToGrid w:val="0"/>
              <w:rPr>
                <w:rFonts w:ascii="Times New Roman" w:hAnsi="Times New Roman"/>
                <w:color w:val="0D0D0D" w:themeColor="text1" w:themeTint="F2"/>
                <w:lang w:val="sq-AL"/>
              </w:rPr>
            </w:pPr>
            <w:r w:rsidRPr="005208DC">
              <w:rPr>
                <w:rFonts w:ascii="Times New Roman" w:hAnsi="Times New Roman"/>
                <w:color w:val="0D0D0D" w:themeColor="text1" w:themeTint="F2"/>
                <w:lang w:val="sq-AL"/>
              </w:rPr>
              <w:t>30</w:t>
            </w:r>
          </w:p>
          <w:p w14:paraId="479A99E0" w14:textId="00567FB4" w:rsidR="0089011F" w:rsidRPr="005208DC" w:rsidRDefault="0089011F"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(kumulative)</w:t>
            </w:r>
          </w:p>
        </w:tc>
        <w:tc>
          <w:tcPr>
            <w:tcW w:w="1443" w:type="dxa"/>
          </w:tcPr>
          <w:p w14:paraId="116DD6D6" w14:textId="77777777" w:rsidR="0089011F" w:rsidRPr="005208DC" w:rsidRDefault="0089011F" w:rsidP="00857902">
            <w:pPr>
              <w:snapToGrid w:val="0"/>
              <w:rPr>
                <w:rFonts w:ascii="Times New Roman" w:hAnsi="Times New Roman"/>
                <w:color w:val="0D0D0D" w:themeColor="text1" w:themeTint="F2"/>
                <w:lang w:val="sq-AL"/>
              </w:rPr>
            </w:pPr>
            <w:r w:rsidRPr="005208DC">
              <w:rPr>
                <w:rFonts w:ascii="Times New Roman" w:hAnsi="Times New Roman"/>
                <w:color w:val="0D0D0D" w:themeColor="text1" w:themeTint="F2"/>
                <w:lang w:val="sq-AL"/>
              </w:rPr>
              <w:t>45</w:t>
            </w:r>
          </w:p>
          <w:p w14:paraId="110DF880" w14:textId="3DD79D4B" w:rsidR="0089011F" w:rsidRPr="005208DC" w:rsidRDefault="0089011F"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(kumulative)</w:t>
            </w:r>
          </w:p>
        </w:tc>
      </w:tr>
      <w:tr w:rsidR="005208DC" w:rsidRPr="005208DC" w14:paraId="0FDDD79A" w14:textId="77777777" w:rsidTr="008E61CF">
        <w:tc>
          <w:tcPr>
            <w:tcW w:w="5380" w:type="dxa"/>
          </w:tcPr>
          <w:p w14:paraId="6DAFB851" w14:textId="13BA2E61" w:rsidR="0089011F" w:rsidRPr="005208DC" w:rsidRDefault="0089011F"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Numri i personave vulnerabël të punësuar në ndërmarrjet sociale</w:t>
            </w:r>
          </w:p>
        </w:tc>
        <w:tc>
          <w:tcPr>
            <w:tcW w:w="1134" w:type="dxa"/>
          </w:tcPr>
          <w:p w14:paraId="093EEFCB" w14:textId="68920D03" w:rsidR="0089011F" w:rsidRPr="005208DC" w:rsidRDefault="0089011F"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N/A</w:t>
            </w:r>
          </w:p>
        </w:tc>
        <w:tc>
          <w:tcPr>
            <w:tcW w:w="1665" w:type="dxa"/>
          </w:tcPr>
          <w:p w14:paraId="4E81F5AB" w14:textId="460A1AC2" w:rsidR="0089011F" w:rsidRPr="005208DC" w:rsidRDefault="0089011F"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100 (kumulative)</w:t>
            </w:r>
          </w:p>
        </w:tc>
        <w:tc>
          <w:tcPr>
            <w:tcW w:w="1443" w:type="dxa"/>
          </w:tcPr>
          <w:p w14:paraId="6ABA806D" w14:textId="0CB1692F" w:rsidR="0089011F" w:rsidRPr="005208DC" w:rsidRDefault="0089011F"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150 (kumulative)</w:t>
            </w:r>
          </w:p>
        </w:tc>
      </w:tr>
    </w:tbl>
    <w:p w14:paraId="584A1272" w14:textId="77777777" w:rsidR="00CF7FC1" w:rsidRPr="005208DC" w:rsidRDefault="00CF7FC1" w:rsidP="00857902">
      <w:pPr>
        <w:snapToGrid w:val="0"/>
        <w:rPr>
          <w:rFonts w:asciiTheme="majorBidi" w:hAnsiTheme="majorBidi" w:cstheme="majorBidi"/>
          <w:color w:val="0D0D0D" w:themeColor="text1" w:themeTint="F2"/>
          <w:lang w:val="sq-AL"/>
        </w:rPr>
      </w:pPr>
    </w:p>
    <w:p w14:paraId="7822962D" w14:textId="432263BB" w:rsidR="004F312A" w:rsidRPr="005208DC" w:rsidRDefault="00B2062A" w:rsidP="00857902">
      <w:pPr>
        <w:pStyle w:val="Heading6"/>
        <w:numPr>
          <w:ilvl w:val="0"/>
          <w:numId w:val="12"/>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Kosto e parashikuar e aktiviteteve dhe burimi i financimit</w:t>
      </w:r>
    </w:p>
    <w:p w14:paraId="53734B29" w14:textId="77777777" w:rsidR="0089011F" w:rsidRPr="005208DC" w:rsidRDefault="0089011F" w:rsidP="00857902">
      <w:pPr>
        <w:snapToGrid w:val="0"/>
        <w:rPr>
          <w:rFonts w:ascii="Times New Roman" w:hAnsi="Times New Roman"/>
          <w:color w:val="0D0D0D" w:themeColor="text1" w:themeTint="F2"/>
          <w:lang w:val="sq-AL"/>
        </w:rPr>
      </w:pPr>
      <w:r w:rsidRPr="005208DC">
        <w:rPr>
          <w:rFonts w:ascii="Times New Roman" w:hAnsi="Times New Roman"/>
          <w:color w:val="0D0D0D" w:themeColor="text1" w:themeTint="F2"/>
          <w:lang w:val="sq-AL"/>
        </w:rPr>
        <w:t>Buxheti i Mbrojtjes dhe Përfshirjes Sociale për vitin 2022 është 209,584,879 EUR</w:t>
      </w:r>
    </w:p>
    <w:p w14:paraId="09174707" w14:textId="77777777" w:rsidR="0089011F" w:rsidRPr="005208DC" w:rsidRDefault="0089011F" w:rsidP="00857902">
      <w:pPr>
        <w:snapToGrid w:val="0"/>
        <w:rPr>
          <w:rFonts w:ascii="Times New Roman" w:hAnsi="Times New Roman"/>
          <w:color w:val="0D0D0D" w:themeColor="text1" w:themeTint="F2"/>
          <w:lang w:val="sq-AL"/>
        </w:rPr>
      </w:pPr>
      <w:r w:rsidRPr="005208DC">
        <w:rPr>
          <w:rFonts w:ascii="Times New Roman" w:hAnsi="Times New Roman"/>
          <w:color w:val="0D0D0D" w:themeColor="text1" w:themeTint="F2"/>
          <w:lang w:val="sq-AL"/>
        </w:rPr>
        <w:t>Buxheti i Mbrojtjes dhe Përfshirjes Sociale për vitin 2023 është 216,679,174 EUR</w:t>
      </w:r>
    </w:p>
    <w:p w14:paraId="5D0C96EE" w14:textId="4C66D6DE" w:rsidR="0089011F" w:rsidRPr="005208DC" w:rsidRDefault="0089011F" w:rsidP="00857902">
      <w:pPr>
        <w:snapToGrid w:val="0"/>
        <w:rPr>
          <w:rFonts w:ascii="Times New Roman" w:hAnsi="Times New Roman"/>
          <w:color w:val="0D0D0D" w:themeColor="text1" w:themeTint="F2"/>
          <w:lang w:val="sq-AL"/>
        </w:rPr>
      </w:pPr>
      <w:r w:rsidRPr="005208DC">
        <w:rPr>
          <w:rFonts w:ascii="Times New Roman" w:hAnsi="Times New Roman"/>
          <w:color w:val="0D0D0D" w:themeColor="text1" w:themeTint="F2"/>
          <w:lang w:val="sq-AL"/>
        </w:rPr>
        <w:t>Buxheti i Mbrojtjes dhe Përfshirjes Sociale për vitin 2024 është  216,499,794 EUR</w:t>
      </w:r>
    </w:p>
    <w:p w14:paraId="47071BED" w14:textId="70EE00C1" w:rsidR="0089011F" w:rsidRPr="005208DC" w:rsidRDefault="0089011F" w:rsidP="00857902">
      <w:pPr>
        <w:snapToGrid w:val="0"/>
        <w:rPr>
          <w:rFonts w:ascii="Times New Roman" w:hAnsi="Times New Roman"/>
          <w:color w:val="0D0D0D" w:themeColor="text1" w:themeTint="F2"/>
          <w:lang w:val="sq-AL"/>
        </w:rPr>
      </w:pPr>
      <w:r w:rsidRPr="005208DC">
        <w:rPr>
          <w:rFonts w:ascii="Times New Roman" w:hAnsi="Times New Roman"/>
          <w:color w:val="0D0D0D" w:themeColor="text1" w:themeTint="F2"/>
          <w:lang w:val="sq-AL"/>
        </w:rPr>
        <w:t>Nga ky buxhet,  për vitin 2022 fondi për pagesën e ndihmës ekonomike dhe aftësisë së kufizuar vlerësohet në 177 920 686 EUR.</w:t>
      </w:r>
    </w:p>
    <w:p w14:paraId="76C72969" w14:textId="77777777" w:rsidR="0089011F" w:rsidRPr="005208DC" w:rsidRDefault="0089011F" w:rsidP="00857902">
      <w:pPr>
        <w:snapToGrid w:val="0"/>
        <w:rPr>
          <w:rFonts w:ascii="Times New Roman" w:hAnsi="Times New Roman"/>
          <w:color w:val="0D0D0D" w:themeColor="text1" w:themeTint="F2"/>
          <w:lang w:val="sq-AL"/>
        </w:rPr>
      </w:pPr>
      <w:r w:rsidRPr="005208DC">
        <w:rPr>
          <w:rFonts w:ascii="Times New Roman" w:hAnsi="Times New Roman"/>
          <w:color w:val="0D0D0D" w:themeColor="text1" w:themeTint="F2"/>
          <w:lang w:val="sq-AL"/>
        </w:rPr>
        <w:t>Financimi për Fondin Social përllogaritet në 1,6 milionë EUR dhe për ndërmarrjet sociale 1 milionë EUR.</w:t>
      </w:r>
    </w:p>
    <w:p w14:paraId="45F8DAE6" w14:textId="518CAAF0" w:rsidR="0089011F" w:rsidRPr="005208DC" w:rsidRDefault="0089011F"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Nga IPA (IPA 2019/04 l-203/Shqipëri/ BE për Përfshirjen Sociale është vlerësuar një fond për Fondin Social 1 milion Euro për vitin 2022 dhe 1.5 milion për 2023</w:t>
      </w:r>
    </w:p>
    <w:p w14:paraId="76F2960C" w14:textId="77777777" w:rsidR="0089011F" w:rsidRPr="005208DC" w:rsidRDefault="0089011F" w:rsidP="00857902">
      <w:pPr>
        <w:snapToGrid w:val="0"/>
        <w:rPr>
          <w:rFonts w:asciiTheme="majorBidi" w:hAnsiTheme="majorBidi" w:cstheme="majorBidi"/>
          <w:color w:val="0D0D0D" w:themeColor="text1" w:themeTint="F2"/>
          <w:lang w:val="sq-AL"/>
        </w:rPr>
      </w:pPr>
    </w:p>
    <w:p w14:paraId="2D7E5195" w14:textId="3E7585CB" w:rsidR="004F312A" w:rsidRPr="005208DC" w:rsidRDefault="00B2062A" w:rsidP="00857902">
      <w:pPr>
        <w:pStyle w:val="Heading6"/>
        <w:numPr>
          <w:ilvl w:val="0"/>
          <w:numId w:val="12"/>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përfundimet sociale si punësimi, ulja e varfërisë, barazia gjinore dhe aksesi në kujdesin shëndetësor</w:t>
      </w:r>
    </w:p>
    <w:p w14:paraId="2F88C714" w14:textId="4443E8DE" w:rsidR="0089011F" w:rsidRPr="005208DC" w:rsidRDefault="0089011F" w:rsidP="00857902">
      <w:pPr>
        <w:snapToGrid w:val="0"/>
        <w:jc w:val="both"/>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Përmirësimi i situatës socio-ekonomike të kategorive në nevojë, ndikimi i drejtpërdrejtë në zbutjen e varfërisë duke rritur nivelin e përfitimit të ndihmës ekonomike. Rritja e aksesit në paketën bazë të shërbimeve sociale dhe shëndetësore.</w:t>
      </w:r>
    </w:p>
    <w:p w14:paraId="2D4A2023" w14:textId="77777777" w:rsidR="0089011F" w:rsidRPr="005208DC" w:rsidRDefault="0089011F" w:rsidP="00857902">
      <w:pPr>
        <w:snapToGrid w:val="0"/>
        <w:jc w:val="both"/>
        <w:rPr>
          <w:rFonts w:asciiTheme="majorBidi" w:hAnsiTheme="majorBidi" w:cstheme="majorBidi"/>
          <w:color w:val="0D0D0D" w:themeColor="text1" w:themeTint="F2"/>
          <w:lang w:val="sq-AL"/>
        </w:rPr>
      </w:pPr>
    </w:p>
    <w:p w14:paraId="7F9DF22E" w14:textId="13AAD21D" w:rsidR="004F312A" w:rsidRPr="005208DC" w:rsidRDefault="00B2062A" w:rsidP="00857902">
      <w:pPr>
        <w:pStyle w:val="Heading6"/>
        <w:numPr>
          <w:ilvl w:val="0"/>
          <w:numId w:val="12"/>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mjedis dhe ndryshimi i klimës</w:t>
      </w:r>
    </w:p>
    <w:p w14:paraId="25B15C1C" w14:textId="0084D367" w:rsidR="0089011F" w:rsidRPr="005208DC" w:rsidRDefault="0089011F"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Masa e reformës nuk pritet të ketë ndikim në mjedis.</w:t>
      </w:r>
    </w:p>
    <w:p w14:paraId="20277671" w14:textId="77777777" w:rsidR="0089011F" w:rsidRPr="005208DC" w:rsidRDefault="0089011F" w:rsidP="00857902">
      <w:pPr>
        <w:snapToGrid w:val="0"/>
        <w:rPr>
          <w:rFonts w:asciiTheme="majorBidi" w:hAnsiTheme="majorBidi" w:cstheme="majorBidi"/>
          <w:color w:val="0D0D0D" w:themeColor="text1" w:themeTint="F2"/>
          <w:lang w:val="sq-AL"/>
        </w:rPr>
      </w:pPr>
    </w:p>
    <w:p w14:paraId="50A45245" w14:textId="2355E0FB" w:rsidR="004F312A" w:rsidRPr="005208DC" w:rsidRDefault="00B2062A" w:rsidP="00857902">
      <w:pPr>
        <w:pStyle w:val="Heading6"/>
        <w:numPr>
          <w:ilvl w:val="0"/>
          <w:numId w:val="12"/>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Rreziqet e mundshme</w:t>
      </w:r>
    </w:p>
    <w:tbl>
      <w:tblPr>
        <w:tblStyle w:val="TableGrid"/>
        <w:tblW w:w="0" w:type="auto"/>
        <w:tblLook w:val="04A0" w:firstRow="1" w:lastRow="0" w:firstColumn="1" w:lastColumn="0" w:noHBand="0" w:noVBand="1"/>
      </w:tblPr>
      <w:tblGrid>
        <w:gridCol w:w="3964"/>
        <w:gridCol w:w="1560"/>
        <w:gridCol w:w="4098"/>
      </w:tblGrid>
      <w:tr w:rsidR="005208DC" w:rsidRPr="005208DC" w14:paraId="567B2FF9" w14:textId="77777777" w:rsidTr="00AE6BDB">
        <w:tc>
          <w:tcPr>
            <w:tcW w:w="3964" w:type="dxa"/>
          </w:tcPr>
          <w:p w14:paraId="6307F27F" w14:textId="378F43FD" w:rsidR="00A01BB6"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Rreziku</w:t>
            </w:r>
          </w:p>
        </w:tc>
        <w:tc>
          <w:tcPr>
            <w:tcW w:w="1560" w:type="dxa"/>
          </w:tcPr>
          <w:p w14:paraId="42EEE4C7" w14:textId="3EC0CFC1" w:rsidR="00A01BB6"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Mundësia</w:t>
            </w:r>
            <w:r w:rsidR="00A01BB6" w:rsidRPr="005208DC">
              <w:rPr>
                <w:rFonts w:asciiTheme="majorBidi" w:hAnsiTheme="majorBidi" w:cstheme="majorBidi"/>
                <w:color w:val="0D0D0D" w:themeColor="text1" w:themeTint="F2"/>
                <w:lang w:val="sq-AL"/>
              </w:rPr>
              <w:t xml:space="preserve"> (</w:t>
            </w:r>
            <w:r w:rsidRPr="005208DC">
              <w:rPr>
                <w:rFonts w:asciiTheme="majorBidi" w:hAnsiTheme="majorBidi" w:cstheme="majorBidi"/>
                <w:color w:val="0D0D0D" w:themeColor="text1" w:themeTint="F2"/>
                <w:lang w:val="sq-AL"/>
              </w:rPr>
              <w:t>e ulët, e lartë</w:t>
            </w:r>
            <w:r w:rsidR="00A01BB6" w:rsidRPr="005208DC">
              <w:rPr>
                <w:rFonts w:asciiTheme="majorBidi" w:hAnsiTheme="majorBidi" w:cstheme="majorBidi"/>
                <w:color w:val="0D0D0D" w:themeColor="text1" w:themeTint="F2"/>
                <w:lang w:val="sq-AL"/>
              </w:rPr>
              <w:t>)</w:t>
            </w:r>
          </w:p>
        </w:tc>
        <w:tc>
          <w:tcPr>
            <w:tcW w:w="4098" w:type="dxa"/>
          </w:tcPr>
          <w:p w14:paraId="61CB7CAF" w14:textId="71045DCC" w:rsidR="00A01BB6"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Veprimi zbutës i parashikuar</w:t>
            </w:r>
          </w:p>
        </w:tc>
      </w:tr>
      <w:tr w:rsidR="005208DC" w:rsidRPr="005208DC" w14:paraId="0F9686CA" w14:textId="77777777" w:rsidTr="00AE6BDB">
        <w:tc>
          <w:tcPr>
            <w:tcW w:w="3964" w:type="dxa"/>
          </w:tcPr>
          <w:p w14:paraId="4EEC3A99" w14:textId="5D445070" w:rsidR="0089011F" w:rsidRPr="005208DC" w:rsidRDefault="0089011F" w:rsidP="00857902">
            <w:pPr>
              <w:ind w:right="63"/>
              <w:rPr>
                <w:rFonts w:asciiTheme="majorBidi" w:eastAsia="Arial Narrow" w:hAnsiTheme="majorBidi" w:cstheme="majorBidi"/>
                <w:color w:val="0D0D0D" w:themeColor="text1" w:themeTint="F2"/>
                <w:lang w:val="sq-AL"/>
              </w:rPr>
            </w:pPr>
            <w:r w:rsidRPr="005208DC">
              <w:rPr>
                <w:rFonts w:ascii="Times New Roman" w:eastAsia="Arial Narrow" w:hAnsi="Times New Roman"/>
                <w:color w:val="0D0D0D" w:themeColor="text1" w:themeTint="F2"/>
                <w:lang w:val="sq-AL"/>
              </w:rPr>
              <w:t xml:space="preserve">Kapacitete të munguara apo të ulëta në nivel vendor për hartimin e planeve të detajuara sociale. </w:t>
            </w:r>
          </w:p>
        </w:tc>
        <w:tc>
          <w:tcPr>
            <w:tcW w:w="1560" w:type="dxa"/>
          </w:tcPr>
          <w:p w14:paraId="5790E2F0" w14:textId="343C3B5F" w:rsidR="0089011F" w:rsidRPr="005208DC" w:rsidRDefault="0089011F"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i ulët</w:t>
            </w:r>
          </w:p>
        </w:tc>
        <w:tc>
          <w:tcPr>
            <w:tcW w:w="4098" w:type="dxa"/>
          </w:tcPr>
          <w:p w14:paraId="6C5EE57B" w14:textId="64010A90" w:rsidR="0089011F" w:rsidRPr="005208DC" w:rsidRDefault="0089011F"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Bashkëpunimi me aktorët lokalë për ngritjen e kapaciteteve për plane sociale.</w:t>
            </w:r>
          </w:p>
        </w:tc>
      </w:tr>
      <w:tr w:rsidR="005208DC" w:rsidRPr="005208DC" w14:paraId="7E075768" w14:textId="77777777" w:rsidTr="00AE6BDB">
        <w:tc>
          <w:tcPr>
            <w:tcW w:w="3964" w:type="dxa"/>
          </w:tcPr>
          <w:p w14:paraId="1CBDA477" w14:textId="16FF17A6" w:rsidR="0089011F" w:rsidRPr="005208DC" w:rsidRDefault="0089011F"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Rritja e nivelit të varfërisë përtej parashikimeve për shkak të krizave të COVID-19</w:t>
            </w:r>
          </w:p>
        </w:tc>
        <w:tc>
          <w:tcPr>
            <w:tcW w:w="1560" w:type="dxa"/>
          </w:tcPr>
          <w:p w14:paraId="325B1BBC" w14:textId="533AECE8" w:rsidR="0089011F" w:rsidRPr="005208DC" w:rsidRDefault="0089011F"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i lartë</w:t>
            </w:r>
          </w:p>
        </w:tc>
        <w:tc>
          <w:tcPr>
            <w:tcW w:w="4098" w:type="dxa"/>
          </w:tcPr>
          <w:p w14:paraId="169F6390" w14:textId="77777777" w:rsidR="0089011F" w:rsidRPr="005208DC" w:rsidRDefault="0089011F" w:rsidP="00857902">
            <w:pPr>
              <w:rPr>
                <w:rFonts w:ascii="Times New Roman" w:hAnsi="Times New Roman"/>
                <w:color w:val="0D0D0D" w:themeColor="text1" w:themeTint="F2"/>
                <w:lang w:val="sq-AL"/>
              </w:rPr>
            </w:pPr>
            <w:r w:rsidRPr="005208DC">
              <w:rPr>
                <w:rFonts w:ascii="Times New Roman" w:hAnsi="Times New Roman"/>
                <w:color w:val="0D0D0D" w:themeColor="text1" w:themeTint="F2"/>
                <w:lang w:val="sq-AL"/>
              </w:rPr>
              <w:t>Rishikimi i përfitimeve të ndihmës sociale</w:t>
            </w:r>
          </w:p>
          <w:p w14:paraId="6C43BF1B" w14:textId="5A02328C" w:rsidR="0089011F" w:rsidRPr="005208DC" w:rsidRDefault="0089011F" w:rsidP="00857902">
            <w:pPr>
              <w:snapToGrid w:val="0"/>
              <w:rPr>
                <w:rFonts w:asciiTheme="majorBidi" w:hAnsiTheme="majorBidi" w:cstheme="majorBidi"/>
                <w:color w:val="0D0D0D" w:themeColor="text1" w:themeTint="F2"/>
                <w:lang w:val="sq-AL"/>
              </w:rPr>
            </w:pPr>
          </w:p>
        </w:tc>
      </w:tr>
    </w:tbl>
    <w:p w14:paraId="3B55BB87" w14:textId="77777777" w:rsidR="00A01BB6" w:rsidRPr="005208DC" w:rsidRDefault="00A01BB6" w:rsidP="00857902">
      <w:pPr>
        <w:snapToGrid w:val="0"/>
        <w:rPr>
          <w:rFonts w:asciiTheme="majorBidi" w:hAnsiTheme="majorBidi" w:cstheme="majorBidi"/>
          <w:color w:val="0D0D0D" w:themeColor="text1" w:themeTint="F2"/>
          <w:lang w:val="sq-AL"/>
        </w:rPr>
      </w:pPr>
    </w:p>
    <w:p w14:paraId="70C211C6" w14:textId="77777777" w:rsidR="00E43B82" w:rsidRPr="005208DC" w:rsidRDefault="00E43B82" w:rsidP="00857902">
      <w:pPr>
        <w:snapToGrid w:val="0"/>
        <w:rPr>
          <w:rFonts w:asciiTheme="majorBidi" w:hAnsiTheme="majorBidi" w:cstheme="majorBidi"/>
          <w:color w:val="0D0D0D" w:themeColor="text1" w:themeTint="F2"/>
          <w:lang w:val="sq-AL"/>
        </w:rPr>
      </w:pPr>
    </w:p>
    <w:p w14:paraId="49D0A416" w14:textId="1633F773" w:rsidR="00E43B82" w:rsidRPr="005208DC" w:rsidRDefault="00B2062A" w:rsidP="00857902">
      <w:pPr>
        <w:pStyle w:val="Heading5"/>
        <w:snapToGrid w:val="0"/>
        <w:ind w:left="0"/>
        <w:rPr>
          <w:rFonts w:asciiTheme="majorBidi" w:hAnsiTheme="majorBidi" w:cstheme="majorBidi"/>
          <w:i w:val="0"/>
          <w:color w:val="0D0D0D" w:themeColor="text1" w:themeTint="F2"/>
          <w:sz w:val="24"/>
          <w:szCs w:val="24"/>
          <w:lang w:val="sq-AL"/>
        </w:rPr>
      </w:pPr>
      <w:r w:rsidRPr="005208DC">
        <w:rPr>
          <w:rFonts w:asciiTheme="majorBidi" w:hAnsiTheme="majorBidi" w:cstheme="majorBidi"/>
          <w:i w:val="0"/>
          <w:color w:val="0D0D0D" w:themeColor="text1" w:themeTint="F2"/>
          <w:sz w:val="24"/>
          <w:szCs w:val="24"/>
          <w:lang w:val="sq-AL"/>
        </w:rPr>
        <w:t>Masa e reformës</w:t>
      </w:r>
      <w:r w:rsidR="005358F8" w:rsidRPr="005208DC">
        <w:rPr>
          <w:rFonts w:asciiTheme="majorBidi" w:hAnsiTheme="majorBidi" w:cstheme="majorBidi"/>
          <w:i w:val="0"/>
          <w:color w:val="0D0D0D" w:themeColor="text1" w:themeTint="F2"/>
          <w:sz w:val="24"/>
          <w:szCs w:val="24"/>
          <w:lang w:val="sq-AL"/>
        </w:rPr>
        <w:t xml:space="preserve"> 05</w:t>
      </w:r>
      <w:r w:rsidR="00E43B82" w:rsidRPr="005208DC">
        <w:rPr>
          <w:rFonts w:asciiTheme="majorBidi" w:hAnsiTheme="majorBidi" w:cstheme="majorBidi"/>
          <w:i w:val="0"/>
          <w:color w:val="0D0D0D" w:themeColor="text1" w:themeTint="F2"/>
          <w:sz w:val="24"/>
          <w:szCs w:val="24"/>
          <w:lang w:val="sq-AL"/>
        </w:rPr>
        <w:t xml:space="preserve">: </w:t>
      </w:r>
      <w:r w:rsidR="00C12939" w:rsidRPr="005208DC">
        <w:rPr>
          <w:rFonts w:asciiTheme="majorBidi" w:hAnsiTheme="majorBidi" w:cstheme="majorBidi"/>
          <w:i w:val="0"/>
          <w:color w:val="0D0D0D" w:themeColor="text1" w:themeTint="F2"/>
          <w:sz w:val="24"/>
          <w:szCs w:val="24"/>
          <w:lang w:val="sq-AL"/>
        </w:rPr>
        <w:t>Rritja e aksesit në kujdesin shëndetësor</w:t>
      </w:r>
    </w:p>
    <w:p w14:paraId="6433B5B5" w14:textId="0CE2B1AD" w:rsidR="00E43B82" w:rsidRPr="005208DC" w:rsidRDefault="00B2062A" w:rsidP="00857902">
      <w:pPr>
        <w:pStyle w:val="Heading6"/>
        <w:numPr>
          <w:ilvl w:val="0"/>
          <w:numId w:val="70"/>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Përshkrimi i masës</w:t>
      </w:r>
    </w:p>
    <w:p w14:paraId="510B1F5B" w14:textId="77777777" w:rsidR="00C12939" w:rsidRPr="005208DC" w:rsidRDefault="00C12939" w:rsidP="00857902">
      <w:pPr>
        <w:jc w:val="both"/>
        <w:rPr>
          <w:rFonts w:ascii="Times New Roman" w:eastAsia="Times New Roman" w:hAnsi="Times New Roman"/>
          <w:bCs/>
          <w:color w:val="0D0D0D" w:themeColor="text1" w:themeTint="F2"/>
          <w:lang w:val="sq-AL"/>
        </w:rPr>
      </w:pPr>
      <w:r w:rsidRPr="005208DC">
        <w:rPr>
          <w:rFonts w:ascii="Times New Roman" w:eastAsia="Times New Roman" w:hAnsi="Times New Roman"/>
          <w:bCs/>
          <w:color w:val="0D0D0D" w:themeColor="text1" w:themeTint="F2"/>
          <w:lang w:val="sq-AL"/>
        </w:rPr>
        <w:t>Shëndeti për të gjithë mbetet synimi ynë kryesor. Rritja e aksesit në kujdesin shëndetësor dhe ofrimi i një kujdesi shëndetësor të sigurt dhe të barabartë në të gjitha nivelet e sistemit publik dhe jo vetëm, mbetet një nga objektivat kryesore të qeverisë shqiptare. Ky objektiv është në përmbajtje të gjithë dokumenteve e politikave që janë në proces zbatimi, hartimi dhe buxhetimi të Ministrisë së Shëndetësisë dhe Mbrojtjes Sociale nga viti 2013 e në vazhdim.</w:t>
      </w:r>
    </w:p>
    <w:p w14:paraId="32BECAB0" w14:textId="77777777" w:rsidR="00C12939" w:rsidRPr="005208DC" w:rsidRDefault="00C12939" w:rsidP="00857902">
      <w:pPr>
        <w:jc w:val="both"/>
        <w:rPr>
          <w:rFonts w:ascii="Times New Roman" w:hAnsi="Times New Roman"/>
          <w:color w:val="0D0D0D" w:themeColor="text1" w:themeTint="F2"/>
          <w:lang w:val="sq-AL"/>
        </w:rPr>
      </w:pPr>
      <w:r w:rsidRPr="005208DC">
        <w:rPr>
          <w:rFonts w:ascii="Times New Roman" w:eastAsia="Times New Roman" w:hAnsi="Times New Roman"/>
          <w:bCs/>
          <w:color w:val="0D0D0D" w:themeColor="text1" w:themeTint="F2"/>
          <w:lang w:val="sq-AL"/>
        </w:rPr>
        <w:t>Ka pasur rritje progresive të buxhetit të dedikuar për shëndetësinë. Në vitin 2021 buxheti i dedikuar për shëndetësinë është 63.7 miliardë lekë ose 10.6% e buxhetit të shtetit dhe 3.6% e PBB-së (krahasuar me vitin 2020 ka një rritje prej 0.3% të PBB-së). Buxheti për vitin 2021 është 20.8% më i lartë se buxheti i shëndetësisë për vitin 2020 dhe 79.1% rritje krahasuar me vitin 2013. Shpenzimet për shëndetësi për frymë janë rritur nga 12,295 lekë në 2013 në 22,410 në 2021 me një rritje prej 82.3%.</w:t>
      </w:r>
      <w:r w:rsidRPr="005208DC">
        <w:rPr>
          <w:rFonts w:ascii="Times New Roman" w:hAnsi="Times New Roman"/>
          <w:color w:val="0D0D0D" w:themeColor="text1" w:themeTint="F2"/>
          <w:lang w:val="sq-AL"/>
        </w:rPr>
        <w:t xml:space="preserve"> </w:t>
      </w:r>
    </w:p>
    <w:p w14:paraId="5C72999A" w14:textId="77777777" w:rsidR="00C12939" w:rsidRPr="005208DC" w:rsidRDefault="00C12939" w:rsidP="00857902">
      <w:pPr>
        <w:jc w:val="both"/>
        <w:rPr>
          <w:rFonts w:ascii="Times New Roman" w:eastAsia="Times New Roman" w:hAnsi="Times New Roman"/>
          <w:bCs/>
          <w:color w:val="0D0D0D" w:themeColor="text1" w:themeTint="F2"/>
          <w:lang w:val="sq-AL"/>
        </w:rPr>
      </w:pPr>
      <w:r w:rsidRPr="005208DC">
        <w:rPr>
          <w:rFonts w:ascii="Times New Roman" w:eastAsia="Times New Roman" w:hAnsi="Times New Roman"/>
          <w:bCs/>
          <w:color w:val="0D0D0D" w:themeColor="text1" w:themeTint="F2"/>
          <w:lang w:val="sq-AL"/>
        </w:rPr>
        <w:t>Kontributet e kujdesit shëndetësor në vitin 2021 arrijnë në 14,084 milionë lekë dhe projeksioni për tre vitet e ardhshme është një rritje progresive vjetore të kontributeve shëndetësore mesatarisht 7%. Projeksioni është që në vitin 2022 kontributet shëndetësore të jenë 15,096 milionë lekë, në vitin 2023 kontributet 15,151 milionë lekë dhe në vitin 2024 do të jenë në masën 17,172 milionë lekë ose një rritje prej 21,78% krahasuar me vitin 2021.</w:t>
      </w:r>
    </w:p>
    <w:p w14:paraId="337B96B7" w14:textId="77777777" w:rsidR="00C12939" w:rsidRPr="005208DC" w:rsidRDefault="00C12939" w:rsidP="00857902">
      <w:pPr>
        <w:jc w:val="both"/>
        <w:rPr>
          <w:rFonts w:ascii="Times New Roman" w:eastAsia="Times New Roman" w:hAnsi="Times New Roman"/>
          <w:bCs/>
          <w:color w:val="0D0D0D" w:themeColor="text1" w:themeTint="F2"/>
          <w:lang w:val="sq-AL"/>
        </w:rPr>
      </w:pPr>
      <w:r w:rsidRPr="005208DC">
        <w:rPr>
          <w:rFonts w:ascii="Times New Roman" w:eastAsia="Times New Roman" w:hAnsi="Times New Roman"/>
          <w:bCs/>
          <w:color w:val="0D0D0D" w:themeColor="text1" w:themeTint="F2"/>
          <w:lang w:val="sq-AL"/>
        </w:rPr>
        <w:t>Kujdesi shëndetësor në Shqipëri është tashmë në procesin e transformimit dhe modernizimit të vazhdueshëm. Objektivi ynë është të ofrojmë një ofertë shëndetësore të barabartë, të aksesueshme dhe të qëndrueshme pavarësisht nga statusi social dhe ekonomik, mosha, duke filluar nga lindja e deri tek të moshuarit.</w:t>
      </w:r>
    </w:p>
    <w:p w14:paraId="2751C84B" w14:textId="77777777" w:rsidR="00C12939" w:rsidRPr="005208DC" w:rsidRDefault="00C12939" w:rsidP="00857902">
      <w:pPr>
        <w:jc w:val="both"/>
        <w:rPr>
          <w:rFonts w:ascii="Times New Roman" w:eastAsia="Times New Roman" w:hAnsi="Times New Roman"/>
          <w:bCs/>
          <w:color w:val="0D0D0D" w:themeColor="text1" w:themeTint="F2"/>
          <w:lang w:val="sq-AL"/>
        </w:rPr>
      </w:pPr>
      <w:r w:rsidRPr="005208DC">
        <w:rPr>
          <w:rFonts w:ascii="Times New Roman" w:eastAsia="Times New Roman" w:hAnsi="Times New Roman"/>
          <w:bCs/>
          <w:color w:val="0D0D0D" w:themeColor="text1" w:themeTint="F2"/>
          <w:lang w:val="sq-AL"/>
        </w:rPr>
        <w:t>Nga viti 2017 Qeveria shqiptare ka zhvilluar një Program Kombëtar për Rindërtimin e të gjitha objekteve të kujdesit shëndetësor. Deri në vitin 2021, përmes këtij programi, 300 objekte të kujdesit parësor shëndetësor jo vetëm që u transformuan për sa i përket punimeve civile, por edhe u pajisën me pajisje të reja mjekësore. Programi do të vijojë të zbatohet edhe gjatë viteve në vazhdim duke synuar transformimin e të gjitha objekteve të kujdesit shëndetësor parësor në vend brenda vitit 2025.</w:t>
      </w:r>
    </w:p>
    <w:p w14:paraId="077DA89C" w14:textId="77777777" w:rsidR="00C12939" w:rsidRPr="005208DC" w:rsidRDefault="00C12939" w:rsidP="00857902">
      <w:pPr>
        <w:jc w:val="both"/>
        <w:rPr>
          <w:rFonts w:ascii="Times New Roman" w:eastAsia="Times New Roman" w:hAnsi="Times New Roman"/>
          <w:bCs/>
          <w:color w:val="0D0D0D" w:themeColor="text1" w:themeTint="F2"/>
          <w:lang w:val="sq-AL"/>
        </w:rPr>
      </w:pPr>
      <w:r w:rsidRPr="005208DC">
        <w:rPr>
          <w:rFonts w:ascii="Times New Roman" w:eastAsia="Times New Roman" w:hAnsi="Times New Roman"/>
          <w:bCs/>
          <w:color w:val="0D0D0D" w:themeColor="text1" w:themeTint="F2"/>
          <w:lang w:val="sq-AL"/>
        </w:rPr>
        <w:t>Parandalimi dhe diagnostikimi i hershëm i sëmundjeve tumorale do të vazhdojë të mbetet prioritet në fushën e shëndetit publik. Synimi është zgjerimi i tre programeve ekzistuese Check Up, Programet e Kancerit të Gjirit dhe Kancerit të Qafës së mitrës, jo vetëm për kategoritë e grupmoshave, por edhe në lidhje me terapitë e trajtimit sipas standardeve më të mira ndërkombëtare. Synimi është që brenda vitit 2025 vaksina HPV të jetë pjesë e Programit Kombëtar për Kancerin e Qafës së Mitrës, aktivitet ky që do të bëhet i mundur nëpërmjet bashkëpunimit të ngushtë me Institutin e Shëndetit Publik dhe Organizatën Botërore të Shëndetësisë.</w:t>
      </w:r>
    </w:p>
    <w:p w14:paraId="7ABA2775" w14:textId="77777777" w:rsidR="00C12939" w:rsidRPr="005208DC" w:rsidRDefault="00C12939" w:rsidP="00857902">
      <w:pPr>
        <w:jc w:val="both"/>
        <w:rPr>
          <w:rFonts w:ascii="Times New Roman" w:eastAsia="Times New Roman" w:hAnsi="Times New Roman"/>
          <w:bCs/>
          <w:color w:val="0D0D0D" w:themeColor="text1" w:themeTint="F2"/>
          <w:lang w:val="sq-AL"/>
        </w:rPr>
      </w:pPr>
      <w:r w:rsidRPr="005208DC">
        <w:rPr>
          <w:rFonts w:ascii="Times New Roman" w:eastAsia="Times New Roman" w:hAnsi="Times New Roman"/>
          <w:bCs/>
          <w:color w:val="0D0D0D" w:themeColor="text1" w:themeTint="F2"/>
          <w:lang w:val="sq-AL"/>
        </w:rPr>
        <w:t>Nga viti 2013 e deri më tani është përfshirë në listën e barnave me rimbursim 214 barna të reja dhe është rritur me 25% fondet e dedikuara rimbursimin e barnave nga lista, duke garantuar jo vetëm një paketë të plotë barnash që ofrohet falas për të gjithë qytetarët me sëmundje kronike por edhe një listë me terapi inovative për të cilat 8 vite më parë qytetarët kishin koston nga buxheti i tyre familjar.</w:t>
      </w:r>
    </w:p>
    <w:p w14:paraId="5288BBF3" w14:textId="77777777" w:rsidR="00C12939" w:rsidRPr="005208DC" w:rsidRDefault="00C12939" w:rsidP="00857902">
      <w:pPr>
        <w:jc w:val="both"/>
        <w:rPr>
          <w:rFonts w:ascii="Times New Roman" w:eastAsia="Times New Roman" w:hAnsi="Times New Roman"/>
          <w:bCs/>
          <w:color w:val="0D0D0D" w:themeColor="text1" w:themeTint="F2"/>
          <w:lang w:val="sq-AL"/>
        </w:rPr>
      </w:pPr>
      <w:r w:rsidRPr="005208DC">
        <w:rPr>
          <w:rFonts w:ascii="Times New Roman" w:eastAsia="Times New Roman" w:hAnsi="Times New Roman"/>
          <w:bCs/>
          <w:color w:val="0D0D0D" w:themeColor="text1" w:themeTint="F2"/>
          <w:lang w:val="sq-AL"/>
        </w:rPr>
        <w:t>Është trefishuar financimi i barnave për trajtimin e pacientëve me kancer dhe tashmë garantojmë trajtim 100% falas me barna për pacientët me kancer gjiri dhe kancer malinj të gjakut.</w:t>
      </w:r>
    </w:p>
    <w:p w14:paraId="629F2A46" w14:textId="77777777" w:rsidR="00C12939" w:rsidRPr="005208DC" w:rsidRDefault="00C12939" w:rsidP="00857902">
      <w:pPr>
        <w:jc w:val="both"/>
        <w:rPr>
          <w:rFonts w:ascii="Times New Roman" w:eastAsia="Times New Roman" w:hAnsi="Times New Roman"/>
          <w:bCs/>
          <w:color w:val="0D0D0D" w:themeColor="text1" w:themeTint="F2"/>
          <w:lang w:val="sq-AL"/>
        </w:rPr>
      </w:pPr>
      <w:r w:rsidRPr="005208DC">
        <w:rPr>
          <w:rFonts w:ascii="Times New Roman" w:eastAsia="Times New Roman" w:hAnsi="Times New Roman"/>
          <w:bCs/>
          <w:color w:val="0D0D0D" w:themeColor="text1" w:themeTint="F2"/>
          <w:lang w:val="sq-AL"/>
        </w:rPr>
        <w:t>Brenda vitit 2023 synohet ndryshimi i hartimit të Listës së Rimbursimit të Barnave duke zhvendosur fokusin nga rimbursimi i barit si produkt në rimbursimin e protokollit të trajtimit të diagnozave, për t'iu përgjigjur më mirë nevojave të pacientëve, teknologjitë dhe risitë në Shërbimin Farmaceutik.</w:t>
      </w:r>
    </w:p>
    <w:p w14:paraId="0F25A6D6" w14:textId="77777777" w:rsidR="00C12939" w:rsidRPr="005208DC" w:rsidRDefault="00C12939" w:rsidP="00857902">
      <w:pPr>
        <w:jc w:val="both"/>
        <w:rPr>
          <w:rFonts w:ascii="Times New Roman" w:eastAsia="Times New Roman" w:hAnsi="Times New Roman"/>
          <w:bCs/>
          <w:color w:val="0D0D0D" w:themeColor="text1" w:themeTint="F2"/>
          <w:lang w:val="sq-AL"/>
        </w:rPr>
      </w:pPr>
      <w:r w:rsidRPr="005208DC">
        <w:rPr>
          <w:rFonts w:ascii="Times New Roman" w:eastAsia="Times New Roman" w:hAnsi="Times New Roman"/>
          <w:bCs/>
          <w:color w:val="0D0D0D" w:themeColor="text1" w:themeTint="F2"/>
          <w:lang w:val="sq-AL"/>
        </w:rPr>
        <w:t>Sistemi i gjurmueshmërisë të barnave do të jetë një tjetër aktivitet që do të zhvillohet brenda vitit 2023 me synim rritjen e disponueshmërisë së barnave dhe garantimin e një monitorimi të plotë të barnave që qarkullojnë në Republikën e Shqipërisë.</w:t>
      </w:r>
    </w:p>
    <w:p w14:paraId="327E0655" w14:textId="77777777" w:rsidR="00C12939" w:rsidRPr="005208DC" w:rsidRDefault="00C12939" w:rsidP="00857902">
      <w:pPr>
        <w:jc w:val="both"/>
        <w:rPr>
          <w:rFonts w:ascii="Times New Roman" w:eastAsia="Times New Roman" w:hAnsi="Times New Roman"/>
          <w:bCs/>
          <w:color w:val="0D0D0D" w:themeColor="text1" w:themeTint="F2"/>
          <w:lang w:val="sq-AL"/>
        </w:rPr>
      </w:pPr>
      <w:r w:rsidRPr="005208DC">
        <w:rPr>
          <w:rFonts w:ascii="Times New Roman" w:eastAsia="Times New Roman" w:hAnsi="Times New Roman"/>
          <w:bCs/>
          <w:color w:val="0D0D0D" w:themeColor="text1" w:themeTint="F2"/>
          <w:lang w:val="sq-AL"/>
        </w:rPr>
        <w:t>Për herë të parë në vitin 2018 është përfshirë në skemën e rimbursimit edhe rimbursimin e pajisjeve mjekësore. Dhe që nga viti 2018 të gjithë fëmijët dhe të rinjtë deri në moshën 25 vjeç përfitojnë falas fishat e diabetit.</w:t>
      </w:r>
    </w:p>
    <w:p w14:paraId="27C5B343" w14:textId="77777777" w:rsidR="00C12939" w:rsidRPr="005208DC" w:rsidRDefault="00C12939" w:rsidP="00857902">
      <w:pPr>
        <w:jc w:val="both"/>
        <w:rPr>
          <w:rFonts w:ascii="Times New Roman" w:eastAsia="Times New Roman" w:hAnsi="Times New Roman"/>
          <w:bCs/>
          <w:color w:val="0D0D0D" w:themeColor="text1" w:themeTint="F2"/>
          <w:lang w:val="sq-AL"/>
        </w:rPr>
      </w:pPr>
      <w:r w:rsidRPr="005208DC">
        <w:rPr>
          <w:rFonts w:ascii="Times New Roman" w:eastAsia="Times New Roman" w:hAnsi="Times New Roman"/>
          <w:bCs/>
          <w:color w:val="0D0D0D" w:themeColor="text1" w:themeTint="F2"/>
          <w:lang w:val="sq-AL"/>
        </w:rPr>
        <w:t>Me synimin e mbulimit universal për fëmijët 0 – 18 vjeç në 2019 u zgjerua numri i vaksinave në Programin Kombëtar të Imunizimit dhe Vaksinimit duke përfshirë vaksinën e Rotavirusit dhe synimin për të vazhduar mbështetjen për forcimin e Programit për të mbrojtur mbulimin me vaksinim në 98%.</w:t>
      </w:r>
    </w:p>
    <w:p w14:paraId="667AD6A6" w14:textId="77777777" w:rsidR="00C12939" w:rsidRPr="005208DC" w:rsidRDefault="00C12939" w:rsidP="00857902">
      <w:pPr>
        <w:jc w:val="both"/>
        <w:rPr>
          <w:rFonts w:ascii="Times New Roman" w:eastAsia="Times New Roman" w:hAnsi="Times New Roman"/>
          <w:bCs/>
          <w:color w:val="0D0D0D" w:themeColor="text1" w:themeTint="F2"/>
          <w:lang w:val="sq-AL"/>
        </w:rPr>
      </w:pPr>
      <w:r w:rsidRPr="005208DC">
        <w:rPr>
          <w:rFonts w:ascii="Times New Roman" w:eastAsia="Times New Roman" w:hAnsi="Times New Roman"/>
          <w:bCs/>
          <w:color w:val="0D0D0D" w:themeColor="text1" w:themeTint="F2"/>
          <w:lang w:val="sq-AL"/>
        </w:rPr>
        <w:t>Për më tepër do të vazhdohet mbështetja financiare për çdo familje që sjell në jetë një fëmijë me programin dedikuar të Baby Bonus, nga i cili që nga fillimi i programit në 2019 janë rreth 100 mijë familje që kanë përfituar bonusin financiar të tremujorin e parë të jetës së të porsalindurit.</w:t>
      </w:r>
    </w:p>
    <w:p w14:paraId="118978D2" w14:textId="77777777" w:rsidR="00C12939" w:rsidRPr="005208DC" w:rsidRDefault="00C12939" w:rsidP="00857902">
      <w:pPr>
        <w:jc w:val="both"/>
        <w:rPr>
          <w:rFonts w:ascii="Times New Roman" w:eastAsia="Times New Roman" w:hAnsi="Times New Roman"/>
          <w:bCs/>
          <w:color w:val="0D0D0D" w:themeColor="text1" w:themeTint="F2"/>
          <w:lang w:val="sq-AL"/>
        </w:rPr>
      </w:pPr>
      <w:r w:rsidRPr="005208DC">
        <w:rPr>
          <w:rFonts w:ascii="Times New Roman" w:eastAsia="Times New Roman" w:hAnsi="Times New Roman"/>
          <w:bCs/>
          <w:color w:val="0D0D0D" w:themeColor="text1" w:themeTint="F2"/>
          <w:lang w:val="sq-AL"/>
        </w:rPr>
        <w:t>Në drejtim të përmirësimit të shëndetit të popullatës do të vazhdohet financimi dhe shtimi i paketave shëndetësore me synim rritjen e aksesit në trajtime mjekësore dhe ofrimin e shërbimeve shëndetësore të shtuara  pranë vendbanimit.</w:t>
      </w:r>
    </w:p>
    <w:p w14:paraId="61ECD3F3" w14:textId="77777777" w:rsidR="00C12939" w:rsidRPr="005208DC" w:rsidRDefault="00C12939" w:rsidP="00857902">
      <w:pPr>
        <w:jc w:val="both"/>
        <w:rPr>
          <w:rFonts w:ascii="Times New Roman" w:eastAsia="Times New Roman" w:hAnsi="Times New Roman"/>
          <w:bCs/>
          <w:color w:val="0D0D0D" w:themeColor="text1" w:themeTint="F2"/>
          <w:lang w:val="sq-AL"/>
        </w:rPr>
      </w:pPr>
      <w:r w:rsidRPr="005208DC">
        <w:rPr>
          <w:rFonts w:ascii="Times New Roman" w:eastAsia="Times New Roman" w:hAnsi="Times New Roman"/>
          <w:bCs/>
          <w:color w:val="0D0D0D" w:themeColor="text1" w:themeTint="F2"/>
          <w:lang w:val="sq-AL"/>
        </w:rPr>
        <w:t>Nga buxheti i shtetit mbulohen plotësisht mbi 85% e nevojave të popullsisë për trajtimin e diagnozave kardiovaskulare dhe veshkave dhe synohet rritja e mbulimit me 5% deri në fund të vitit 2024 duke zgjeruar paketat me paketat e dedikuara shëndetësore për rehabilitimin, kujdesi paliativ dhe geriatrik.</w:t>
      </w:r>
    </w:p>
    <w:p w14:paraId="558BEBF1" w14:textId="77777777" w:rsidR="00C12939" w:rsidRPr="005208DC" w:rsidRDefault="00C12939" w:rsidP="00857902">
      <w:pPr>
        <w:jc w:val="both"/>
        <w:rPr>
          <w:rFonts w:ascii="Times New Roman" w:eastAsia="Times New Roman" w:hAnsi="Times New Roman"/>
          <w:bCs/>
          <w:color w:val="0D0D0D" w:themeColor="text1" w:themeTint="F2"/>
          <w:lang w:val="sq-AL"/>
        </w:rPr>
      </w:pPr>
      <w:r w:rsidRPr="005208DC">
        <w:rPr>
          <w:rFonts w:ascii="Times New Roman" w:eastAsia="Times New Roman" w:hAnsi="Times New Roman"/>
          <w:bCs/>
          <w:color w:val="0D0D0D" w:themeColor="text1" w:themeTint="F2"/>
          <w:lang w:val="sq-AL"/>
        </w:rPr>
        <w:t>Gjatë këtyre 8 viteve është investuar në modernizimin e rrjetit të spitalit Obstetrik Gjinekolog, duke filluar me punimet civile dhe pajisjet e reja mjekësore në SUOGJ Koço Gliozheni, SUOGJ Mbreteresha Gelardine, Spitalet e reja Obstetrike dhe Gjinekologe në Berat, Kukës, Sarandë, Lezhë. Në Korçë kanë vijuar investime të mëdha dhe në Spitalet Pediatrike Nënë Tereza, Durrës dhe Elbasan.</w:t>
      </w:r>
    </w:p>
    <w:p w14:paraId="73E74E25" w14:textId="77777777" w:rsidR="00C12939" w:rsidRPr="005208DC" w:rsidRDefault="00C12939" w:rsidP="00857902">
      <w:pPr>
        <w:jc w:val="both"/>
        <w:rPr>
          <w:rFonts w:ascii="Times New Roman" w:eastAsia="Times New Roman" w:hAnsi="Times New Roman"/>
          <w:bCs/>
          <w:color w:val="0D0D0D" w:themeColor="text1" w:themeTint="F2"/>
          <w:lang w:val="sq-AL"/>
        </w:rPr>
      </w:pPr>
      <w:r w:rsidRPr="005208DC">
        <w:rPr>
          <w:rFonts w:ascii="Times New Roman" w:eastAsia="Times New Roman" w:hAnsi="Times New Roman"/>
          <w:bCs/>
          <w:color w:val="0D0D0D" w:themeColor="text1" w:themeTint="F2"/>
          <w:lang w:val="sq-AL"/>
        </w:rPr>
        <w:t>Synimi është që brenda vitit 2024 të jenë ngritur 4 pole spitalore rajonale që do të krijohen në Qendrat Referuese të Diagnostifikimit dhe Trajtimit si dhe të krijohet dhe të funksionojnë plotësisht 10 qendra të mjekësisë familjare që do të ofrojnë shërbime të integruara sociale dhe shëndetësore me fokus në shëndeti mendor, shërbimet për fëmijët dhe të rinjtë si dhe kujdesi paliativ.</w:t>
      </w:r>
    </w:p>
    <w:p w14:paraId="0BADDA3B" w14:textId="77777777" w:rsidR="00C12939" w:rsidRPr="005208DC" w:rsidRDefault="00C12939" w:rsidP="00857902">
      <w:pPr>
        <w:jc w:val="both"/>
        <w:rPr>
          <w:rFonts w:ascii="Times New Roman" w:eastAsia="Times New Roman" w:hAnsi="Times New Roman"/>
          <w:bCs/>
          <w:color w:val="0D0D0D" w:themeColor="text1" w:themeTint="F2"/>
          <w:lang w:val="sq-AL"/>
        </w:rPr>
      </w:pPr>
      <w:r w:rsidRPr="005208DC">
        <w:rPr>
          <w:rFonts w:ascii="Times New Roman" w:eastAsia="Times New Roman" w:hAnsi="Times New Roman"/>
          <w:bCs/>
          <w:color w:val="0D0D0D" w:themeColor="text1" w:themeTint="F2"/>
          <w:lang w:val="sq-AL"/>
        </w:rPr>
        <w:t>Pandemia e COVID 19 testoi të gjitha nivelet e sistemit. Me mbështetjen e OBSH-së u përgatitën 4 dokumente strategjike si udhërrëfyes i qasjes sonë të integruar për të menaxhuar pandeminë dhe për t'u siguruar që sistemi ynë shëndetësor publik të ofrontë akses në kohë  për shërbimin e kujdesit shëndetësor duke filluar nga parandalimi, diagnostikimi, trajtimi dhe vaksinimi.</w:t>
      </w:r>
    </w:p>
    <w:p w14:paraId="2799B56B" w14:textId="77777777" w:rsidR="00C12939" w:rsidRPr="005208DC" w:rsidRDefault="00C12939" w:rsidP="00857902">
      <w:pPr>
        <w:jc w:val="both"/>
        <w:rPr>
          <w:rFonts w:ascii="Times New Roman" w:eastAsia="Times New Roman" w:hAnsi="Times New Roman"/>
          <w:bCs/>
          <w:color w:val="0D0D0D" w:themeColor="text1" w:themeTint="F2"/>
          <w:lang w:val="sq-AL"/>
        </w:rPr>
      </w:pPr>
      <w:r w:rsidRPr="005208DC">
        <w:rPr>
          <w:rFonts w:ascii="Times New Roman" w:eastAsia="Times New Roman" w:hAnsi="Times New Roman"/>
          <w:bCs/>
          <w:color w:val="0D0D0D" w:themeColor="text1" w:themeTint="F2"/>
          <w:lang w:val="sq-AL"/>
        </w:rPr>
        <w:t>Në kohë rekord u transformuan 4 spitale në spitale COVID – 19, nga këto dy u krijuan për herë të parë si spitale. Është dyfishuar numri i ventilatorëve dhe njësive të ICU, si dhe u rritën katër herë kapacitetet laboratorike për testim. Mbështetje e veçantë financiare është ofruar nëpërmjet mekanizmit të bonusit prej 1000 euro mbi pagën për të gjithë personelin mjekësor dhe 500 euro mbi pagën për personelin ndihmës.</w:t>
      </w:r>
    </w:p>
    <w:p w14:paraId="4ED19540" w14:textId="77777777" w:rsidR="00C12939" w:rsidRPr="005208DC" w:rsidRDefault="00C12939" w:rsidP="00857902">
      <w:pPr>
        <w:jc w:val="both"/>
        <w:rPr>
          <w:rFonts w:ascii="Times New Roman" w:eastAsia="Times New Roman" w:hAnsi="Times New Roman"/>
          <w:bCs/>
          <w:color w:val="0D0D0D" w:themeColor="text1" w:themeTint="F2"/>
          <w:lang w:val="sq-AL"/>
        </w:rPr>
      </w:pPr>
      <w:r w:rsidRPr="005208DC">
        <w:rPr>
          <w:rFonts w:ascii="Times New Roman" w:eastAsia="Times New Roman" w:hAnsi="Times New Roman"/>
          <w:bCs/>
          <w:color w:val="0D0D0D" w:themeColor="text1" w:themeTint="F2"/>
          <w:lang w:val="sq-AL"/>
        </w:rPr>
        <w:t>Nga marsi i vitit të kaluar e deri më tani rreth 4000 personel mjekësor kanë përfituar 1000 euro bonus dhe mbi 1200 staf ndihmës kanë përfituar 500 euro bonus mbi pagën.</w:t>
      </w:r>
    </w:p>
    <w:p w14:paraId="595787BF" w14:textId="77777777" w:rsidR="00C12939" w:rsidRPr="005208DC" w:rsidRDefault="00C12939" w:rsidP="00857902">
      <w:pPr>
        <w:jc w:val="both"/>
        <w:rPr>
          <w:rFonts w:ascii="Times New Roman" w:eastAsia="Times New Roman" w:hAnsi="Times New Roman"/>
          <w:bCs/>
          <w:color w:val="0D0D0D" w:themeColor="text1" w:themeTint="F2"/>
          <w:lang w:val="sq-AL"/>
        </w:rPr>
      </w:pPr>
      <w:r w:rsidRPr="005208DC">
        <w:rPr>
          <w:rFonts w:ascii="Times New Roman" w:eastAsia="Times New Roman" w:hAnsi="Times New Roman"/>
          <w:bCs/>
          <w:color w:val="0D0D0D" w:themeColor="text1" w:themeTint="F2"/>
          <w:lang w:val="sq-AL"/>
        </w:rPr>
        <w:t>Mbështetja financiare për personelin mjekësor dhe personelin ndihmës do të vazhdojë të ofrohet deri në përfundimin e pandemisë së COVID-19.</w:t>
      </w:r>
    </w:p>
    <w:p w14:paraId="0DFF9FE1" w14:textId="77777777" w:rsidR="00C12939" w:rsidRPr="005208DC" w:rsidRDefault="00C12939" w:rsidP="00857902">
      <w:pPr>
        <w:jc w:val="both"/>
        <w:rPr>
          <w:rFonts w:ascii="Times New Roman" w:eastAsia="Times New Roman" w:hAnsi="Times New Roman"/>
          <w:bCs/>
          <w:color w:val="0D0D0D" w:themeColor="text1" w:themeTint="F2"/>
          <w:lang w:val="sq-AL"/>
        </w:rPr>
      </w:pPr>
      <w:r w:rsidRPr="005208DC">
        <w:rPr>
          <w:rFonts w:ascii="Times New Roman" w:eastAsia="Times New Roman" w:hAnsi="Times New Roman"/>
          <w:bCs/>
          <w:color w:val="0D0D0D" w:themeColor="text1" w:themeTint="F2"/>
          <w:lang w:val="sq-AL"/>
        </w:rPr>
        <w:t>Gjatë këtij viti të pandemisë, kemi investuar dhe përgatitur njësitë e kujdesit të kujdesit shëndetësor dhe pavionet e sëmundjeve infektive në 11 spitalet rajonale për të qenë gati për çdo lloj emergjence.</w:t>
      </w:r>
    </w:p>
    <w:p w14:paraId="22A52706" w14:textId="77777777" w:rsidR="00C12939" w:rsidRPr="005208DC" w:rsidRDefault="00C12939" w:rsidP="00857902">
      <w:pPr>
        <w:jc w:val="both"/>
        <w:rPr>
          <w:rFonts w:ascii="Times New Roman" w:eastAsia="Times New Roman" w:hAnsi="Times New Roman"/>
          <w:bCs/>
          <w:color w:val="0D0D0D" w:themeColor="text1" w:themeTint="F2"/>
          <w:lang w:val="sq-AL"/>
        </w:rPr>
      </w:pPr>
      <w:r w:rsidRPr="005208DC">
        <w:rPr>
          <w:rFonts w:ascii="Times New Roman" w:eastAsia="Times New Roman" w:hAnsi="Times New Roman"/>
          <w:bCs/>
          <w:color w:val="0D0D0D" w:themeColor="text1" w:themeTint="F2"/>
          <w:lang w:val="sq-AL"/>
        </w:rPr>
        <w:t>Gjatë këtij katërvjeçari do të vazhdohet të garantohen dhe ofrohen shërbime shëndetësore që mbulohen 100% nga buxheti i shtetit, duke filluar nga diagnozat e deri te fuqizimi i rrjetit laboratorik publik me pajisje dhe pajisje të reja mjekësore për të garantuar në sektorin spitalor publik të gjitha analizat mjekësore. Trajtimi nëpërmjet paketës së dedikuar të Listës së Rimbursimit të Barnave për të gjithë pacientët që janë të infektuar nga SARS – COV – 2 si dhe një paketë të plotë trajtimi sipas praktikave dhe protokolleve më të mira ndërkombëtare për të gjithë pacientët tanë që do të kenë nevojë për trajtim spitalor.</w:t>
      </w:r>
    </w:p>
    <w:p w14:paraId="34D6D212" w14:textId="77777777" w:rsidR="00C12939" w:rsidRPr="005208DC" w:rsidRDefault="00C12939" w:rsidP="00857902">
      <w:pPr>
        <w:jc w:val="both"/>
        <w:rPr>
          <w:rFonts w:ascii="Times New Roman" w:eastAsia="Times New Roman" w:hAnsi="Times New Roman"/>
          <w:bCs/>
          <w:color w:val="0D0D0D" w:themeColor="text1" w:themeTint="F2"/>
          <w:lang w:val="sq-AL"/>
        </w:rPr>
      </w:pPr>
      <w:r w:rsidRPr="005208DC">
        <w:rPr>
          <w:rFonts w:ascii="Times New Roman" w:eastAsia="Times New Roman" w:hAnsi="Times New Roman"/>
          <w:bCs/>
          <w:color w:val="0D0D0D" w:themeColor="text1" w:themeTint="F2"/>
          <w:lang w:val="sq-AL"/>
        </w:rPr>
        <w:t>Brenda vitit 2022 do të jetë përfunduar modernizimi i infrastrukturës së Spitalit tonë të Sëmundjeve Infektive në Qendrën Spitalore Nënë Tereza në Tiranë që do të garantojë jo vetëm një transformim të plotë të kujdesit spitalor për qytetarët tanë, por edhe dyfishimin e njësive të ICU.</w:t>
      </w:r>
    </w:p>
    <w:p w14:paraId="3045BB8E" w14:textId="77777777" w:rsidR="00C12939" w:rsidRPr="005208DC" w:rsidRDefault="00C12939" w:rsidP="00857902">
      <w:pPr>
        <w:jc w:val="both"/>
        <w:rPr>
          <w:rFonts w:ascii="Times New Roman" w:eastAsia="Times New Roman" w:hAnsi="Times New Roman"/>
          <w:bCs/>
          <w:color w:val="0D0D0D" w:themeColor="text1" w:themeTint="F2"/>
          <w:lang w:val="sq-AL"/>
        </w:rPr>
      </w:pPr>
      <w:r w:rsidRPr="005208DC">
        <w:rPr>
          <w:rFonts w:ascii="Times New Roman" w:eastAsia="Times New Roman" w:hAnsi="Times New Roman"/>
          <w:bCs/>
          <w:color w:val="0D0D0D" w:themeColor="text1" w:themeTint="F2"/>
          <w:lang w:val="sq-AL"/>
        </w:rPr>
        <w:t>Në një kohë rekord është arritur të të garantohen rreth 3 milionë doza vaksinash dhe deri në fund të pranverës përmes mekanizmit COVAX dhe kontraktimit të drejtpërdrejtë me prodhuesit dhe shpërndarësit e autorizuar do të garantohen 5 milionë doza për të nisur edhe aplikimin e dozës së tretë dhe doza dhe për fëmijët nën 18 vjeç sipas rekomandimeve të OBSH dhe ICDC.</w:t>
      </w:r>
    </w:p>
    <w:p w14:paraId="7E390735" w14:textId="77777777" w:rsidR="00C12939" w:rsidRPr="005208DC" w:rsidRDefault="00C12939" w:rsidP="00857902">
      <w:pPr>
        <w:jc w:val="both"/>
        <w:rPr>
          <w:rFonts w:ascii="Times New Roman" w:eastAsia="Times New Roman" w:hAnsi="Times New Roman"/>
          <w:bCs/>
          <w:color w:val="0D0D0D" w:themeColor="text1" w:themeTint="F2"/>
          <w:lang w:val="sq-AL"/>
        </w:rPr>
      </w:pPr>
      <w:r w:rsidRPr="005208DC">
        <w:rPr>
          <w:rFonts w:ascii="Times New Roman" w:eastAsia="Times New Roman" w:hAnsi="Times New Roman"/>
          <w:bCs/>
          <w:color w:val="0D0D0D" w:themeColor="text1" w:themeTint="F2"/>
          <w:lang w:val="sq-AL"/>
        </w:rPr>
        <w:t>Shëndeti do të vazhdojë të mbetet një e mirë publike dhe për këtë arsye deri në vitin 2030 synohet rritja e financimit publik për shëndetësinë në 70% duke garantuar që asnjë familje shqiptare të mos bjerë në varfëri për shkak të kostove shëndetësore.</w:t>
      </w:r>
    </w:p>
    <w:p w14:paraId="6CD6672D" w14:textId="77777777" w:rsidR="00C12939" w:rsidRPr="005208DC" w:rsidRDefault="00C12939" w:rsidP="00857902">
      <w:pPr>
        <w:jc w:val="both"/>
        <w:rPr>
          <w:rFonts w:ascii="Times New Roman" w:eastAsia="Times New Roman" w:hAnsi="Times New Roman"/>
          <w:bCs/>
          <w:color w:val="0D0D0D" w:themeColor="text1" w:themeTint="F2"/>
          <w:lang w:val="sq-AL"/>
        </w:rPr>
      </w:pPr>
      <w:r w:rsidRPr="005208DC">
        <w:rPr>
          <w:rFonts w:ascii="Times New Roman" w:eastAsia="Times New Roman" w:hAnsi="Times New Roman"/>
          <w:bCs/>
          <w:color w:val="0D0D0D" w:themeColor="text1" w:themeTint="F2"/>
          <w:lang w:val="sq-AL"/>
        </w:rPr>
        <w:t>Gjatë këtyre 8 viteve i është kthyer dinjiteti i personelit mjekësor. Sot një mjek ose një infermier që është i punësuar në një spital publik ka një pagë 63% më të lartë se në vitin 2013. Një mjek i përgjithshëm ose një infermier në qendrën e kujdesit shëndetësor parësor ka një pagë 68% më të lartë se në vitin 2013. Do të vazhdohet edhe gjatë këtij katërvjeçari për të zbatuar politikën për rritjen e pagave deri në 40% për personelin mjekësor.</w:t>
      </w:r>
    </w:p>
    <w:p w14:paraId="0598D93C" w14:textId="724F0CBB" w:rsidR="00C12939" w:rsidRPr="005208DC" w:rsidRDefault="00C12939" w:rsidP="00857902">
      <w:pPr>
        <w:snapToGrid w:val="0"/>
        <w:jc w:val="both"/>
        <w:rPr>
          <w:rFonts w:asciiTheme="majorBidi" w:hAnsiTheme="majorBidi" w:cstheme="majorBidi"/>
          <w:color w:val="0D0D0D" w:themeColor="text1" w:themeTint="F2"/>
          <w:lang w:val="sq-AL"/>
        </w:rPr>
      </w:pPr>
      <w:r w:rsidRPr="005208DC">
        <w:rPr>
          <w:rFonts w:ascii="Times New Roman" w:eastAsia="Times New Roman" w:hAnsi="Times New Roman"/>
          <w:bCs/>
          <w:color w:val="0D0D0D" w:themeColor="text1" w:themeTint="F2"/>
          <w:lang w:val="sq-AL"/>
        </w:rPr>
        <w:t>Brenda vitit 2025 do të përfundohet testimi dhe modernizimi i rrjetit laboratorik publik në 10 spitale rajonale dhe bashkiake duke garantuar një rritje prej 20% të qytetarëve që do të përfitojnë nga ekzaminimet laboratorike, rritjen e kapaciteteve diagnostikuese në 10 spitale bashkiake, rajonale dhe universitare, nëpërmjet investimit në pajisje mjekësore, ngritja e 3 Qendrave Rajonale të Ekselencës në ofrimin e kujdesit për sëmundjet akute ishemike si dhe investime të mëdha do të bëhen edhe në modernizimin e institucioneve  të shëndetit mendor.</w:t>
      </w:r>
    </w:p>
    <w:p w14:paraId="53D29781" w14:textId="77777777" w:rsidR="00C12939" w:rsidRPr="005208DC" w:rsidRDefault="00C12939" w:rsidP="00857902">
      <w:pPr>
        <w:snapToGrid w:val="0"/>
        <w:jc w:val="both"/>
        <w:rPr>
          <w:rFonts w:asciiTheme="majorBidi" w:hAnsiTheme="majorBidi" w:cstheme="majorBidi"/>
          <w:color w:val="0D0D0D" w:themeColor="text1" w:themeTint="F2"/>
          <w:lang w:val="sq-AL"/>
        </w:rPr>
      </w:pPr>
    </w:p>
    <w:p w14:paraId="2588099C" w14:textId="1236B9DD" w:rsidR="00E43B82" w:rsidRPr="005208DC" w:rsidRDefault="00B2062A" w:rsidP="00857902">
      <w:pPr>
        <w:pStyle w:val="ListParagraph"/>
        <w:numPr>
          <w:ilvl w:val="0"/>
          <w:numId w:val="71"/>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E43B82" w:rsidRPr="005208DC">
        <w:rPr>
          <w:rFonts w:asciiTheme="majorBidi" w:hAnsiTheme="majorBidi" w:cstheme="majorBidi"/>
          <w:b/>
          <w:color w:val="0D0D0D" w:themeColor="text1" w:themeTint="F2"/>
          <w:sz w:val="24"/>
          <w:szCs w:val="24"/>
          <w:lang w:val="sq-AL"/>
        </w:rPr>
        <w:t xml:space="preserve"> 2022</w:t>
      </w:r>
      <w:r w:rsidR="009A0B10" w:rsidRPr="005208DC">
        <w:rPr>
          <w:rFonts w:asciiTheme="majorBidi" w:hAnsiTheme="majorBidi" w:cstheme="majorBidi"/>
          <w:b/>
          <w:color w:val="0D0D0D" w:themeColor="text1" w:themeTint="F2"/>
          <w:sz w:val="24"/>
          <w:szCs w:val="24"/>
          <w:lang w:val="sq-AL"/>
        </w:rPr>
        <w:t>-2024</w:t>
      </w:r>
    </w:p>
    <w:p w14:paraId="64D8B5B4" w14:textId="2C61B56A" w:rsidR="00C12939" w:rsidRPr="005208DC" w:rsidRDefault="00C12939" w:rsidP="00857902">
      <w:pPr>
        <w:pStyle w:val="ListParagraph"/>
        <w:numPr>
          <w:ilvl w:val="0"/>
          <w:numId w:val="72"/>
        </w:numPr>
        <w:jc w:val="both"/>
        <w:rPr>
          <w:rFonts w:ascii="Times New Roman" w:eastAsia="Times New Roman" w:hAnsi="Times New Roman"/>
          <w:bCs/>
          <w:color w:val="0D0D0D" w:themeColor="text1" w:themeTint="F2"/>
          <w:sz w:val="24"/>
          <w:szCs w:val="24"/>
          <w:lang w:val="sq-AL"/>
        </w:rPr>
      </w:pPr>
      <w:r w:rsidRPr="005208DC">
        <w:rPr>
          <w:rFonts w:ascii="Times New Roman" w:eastAsia="Times New Roman" w:hAnsi="Times New Roman"/>
          <w:bCs/>
          <w:color w:val="0D0D0D" w:themeColor="text1" w:themeTint="F2"/>
          <w:sz w:val="24"/>
          <w:szCs w:val="24"/>
          <w:lang w:val="sq-AL"/>
        </w:rPr>
        <w:t>Financimi i këtij lloji të kujdesit shëndetësor (të tre nivelet e sistemit primar, sekondar dhe terciar).</w:t>
      </w:r>
    </w:p>
    <w:p w14:paraId="68BF97AD" w14:textId="3F0F8DE7" w:rsidR="00C12939" w:rsidRPr="005208DC" w:rsidRDefault="00C12939" w:rsidP="00857902">
      <w:pPr>
        <w:pStyle w:val="ListParagraph"/>
        <w:numPr>
          <w:ilvl w:val="0"/>
          <w:numId w:val="72"/>
        </w:numPr>
        <w:jc w:val="both"/>
        <w:rPr>
          <w:rFonts w:ascii="Times New Roman" w:eastAsia="Times New Roman" w:hAnsi="Times New Roman"/>
          <w:bCs/>
          <w:color w:val="0D0D0D" w:themeColor="text1" w:themeTint="F2"/>
          <w:sz w:val="24"/>
          <w:szCs w:val="24"/>
          <w:lang w:val="sq-AL"/>
        </w:rPr>
      </w:pPr>
      <w:r w:rsidRPr="005208DC">
        <w:rPr>
          <w:rFonts w:ascii="Times New Roman" w:eastAsia="Times New Roman" w:hAnsi="Times New Roman"/>
          <w:bCs/>
          <w:color w:val="0D0D0D" w:themeColor="text1" w:themeTint="F2"/>
          <w:sz w:val="24"/>
          <w:szCs w:val="24"/>
          <w:lang w:val="sq-AL"/>
        </w:rPr>
        <w:t>Rritja e kostos – efikasitetit të listës së barnave të rimbursimit dhe rishikimi i legjislacionit kombëtar për barnat dhe shërbimet farmaceutike.</w:t>
      </w:r>
    </w:p>
    <w:p w14:paraId="192AA729" w14:textId="34FCBB35" w:rsidR="00C12939" w:rsidRPr="005208DC" w:rsidRDefault="00C12939" w:rsidP="00857902">
      <w:pPr>
        <w:pStyle w:val="ListParagraph"/>
        <w:numPr>
          <w:ilvl w:val="0"/>
          <w:numId w:val="72"/>
        </w:numPr>
        <w:jc w:val="both"/>
        <w:rPr>
          <w:rFonts w:ascii="Times New Roman" w:eastAsia="Times New Roman" w:hAnsi="Times New Roman"/>
          <w:bCs/>
          <w:color w:val="0D0D0D" w:themeColor="text1" w:themeTint="F2"/>
          <w:sz w:val="24"/>
          <w:szCs w:val="24"/>
          <w:lang w:val="sq-AL"/>
        </w:rPr>
      </w:pPr>
      <w:r w:rsidRPr="005208DC">
        <w:rPr>
          <w:rFonts w:ascii="Times New Roman" w:eastAsia="Times New Roman" w:hAnsi="Times New Roman"/>
          <w:bCs/>
          <w:color w:val="0D0D0D" w:themeColor="text1" w:themeTint="F2"/>
          <w:sz w:val="24"/>
          <w:szCs w:val="24"/>
          <w:lang w:val="sq-AL"/>
        </w:rPr>
        <w:t>Vazhdimi i financimit të 12 paketave të kujdesit shëndetësor të ofruara në spitalet publike dhe private dhe rritja e numrit të përfituesve me 5% në bazë vjetore.</w:t>
      </w:r>
    </w:p>
    <w:p w14:paraId="145B852C" w14:textId="39F6A228" w:rsidR="00C12939" w:rsidRPr="005208DC" w:rsidRDefault="00C12939" w:rsidP="00857902">
      <w:pPr>
        <w:pStyle w:val="ListParagraph"/>
        <w:numPr>
          <w:ilvl w:val="0"/>
          <w:numId w:val="72"/>
        </w:numPr>
        <w:jc w:val="both"/>
        <w:rPr>
          <w:rFonts w:ascii="Times New Roman" w:eastAsia="Times New Roman" w:hAnsi="Times New Roman"/>
          <w:bCs/>
          <w:color w:val="0D0D0D" w:themeColor="text1" w:themeTint="F2"/>
          <w:sz w:val="24"/>
          <w:szCs w:val="24"/>
          <w:lang w:val="sq-AL"/>
        </w:rPr>
      </w:pPr>
      <w:r w:rsidRPr="005208DC">
        <w:rPr>
          <w:rFonts w:ascii="Times New Roman" w:eastAsia="Times New Roman" w:hAnsi="Times New Roman"/>
          <w:bCs/>
          <w:color w:val="0D0D0D" w:themeColor="text1" w:themeTint="F2"/>
          <w:sz w:val="24"/>
          <w:szCs w:val="24"/>
          <w:lang w:val="sq-AL"/>
        </w:rPr>
        <w:t>Rishikimi i ligjit për spitalet dhe metodologjia e kostos së shërbimeve të kujdesit shëndetësor me qëllim përmirësimin e mekanizmit të financimit të institucioneve të kujdesit shëndetësor.</w:t>
      </w:r>
    </w:p>
    <w:p w14:paraId="1610A215" w14:textId="2F8E22DD" w:rsidR="00C12939" w:rsidRPr="005208DC" w:rsidRDefault="00C12939" w:rsidP="00857902">
      <w:pPr>
        <w:pStyle w:val="ListParagraph"/>
        <w:numPr>
          <w:ilvl w:val="0"/>
          <w:numId w:val="72"/>
        </w:numPr>
        <w:jc w:val="both"/>
        <w:rPr>
          <w:rFonts w:ascii="Times New Roman" w:eastAsia="Times New Roman" w:hAnsi="Times New Roman"/>
          <w:bCs/>
          <w:color w:val="0D0D0D" w:themeColor="text1" w:themeTint="F2"/>
          <w:sz w:val="24"/>
          <w:szCs w:val="24"/>
          <w:lang w:val="sq-AL"/>
        </w:rPr>
      </w:pPr>
      <w:r w:rsidRPr="005208DC">
        <w:rPr>
          <w:rFonts w:ascii="Times New Roman" w:eastAsia="Times New Roman" w:hAnsi="Times New Roman"/>
          <w:bCs/>
          <w:color w:val="0D0D0D" w:themeColor="text1" w:themeTint="F2"/>
          <w:sz w:val="24"/>
          <w:szCs w:val="24"/>
          <w:lang w:val="sq-AL"/>
        </w:rPr>
        <w:t>Vazhdimi i financimit të programeve të depistimit parandalues ​​dhe rritja deri në 10% të numrit të përfituesve.</w:t>
      </w:r>
    </w:p>
    <w:p w14:paraId="1726C2D8" w14:textId="6E0B8C8A" w:rsidR="00C12939" w:rsidRPr="005208DC" w:rsidRDefault="00C12939" w:rsidP="00857902">
      <w:pPr>
        <w:pStyle w:val="ListParagraph"/>
        <w:numPr>
          <w:ilvl w:val="0"/>
          <w:numId w:val="72"/>
        </w:numPr>
        <w:jc w:val="both"/>
        <w:rPr>
          <w:rFonts w:ascii="Times New Roman" w:eastAsia="Times New Roman" w:hAnsi="Times New Roman"/>
          <w:bCs/>
          <w:color w:val="0D0D0D" w:themeColor="text1" w:themeTint="F2"/>
          <w:sz w:val="24"/>
          <w:szCs w:val="24"/>
          <w:lang w:val="sq-AL"/>
        </w:rPr>
      </w:pPr>
      <w:r w:rsidRPr="005208DC">
        <w:rPr>
          <w:rFonts w:ascii="Times New Roman" w:eastAsia="Times New Roman" w:hAnsi="Times New Roman"/>
          <w:bCs/>
          <w:color w:val="0D0D0D" w:themeColor="text1" w:themeTint="F2"/>
          <w:sz w:val="24"/>
          <w:szCs w:val="24"/>
          <w:lang w:val="sq-AL"/>
        </w:rPr>
        <w:t>Politikat e dedikuara për profesionistët e kujdesit shëndetësor parashikojnë praktikën e dyfishtë dhe klasifikimin e pagave sipas treguesve të performancës.</w:t>
      </w:r>
    </w:p>
    <w:p w14:paraId="450D8952" w14:textId="572F5BA5" w:rsidR="00C12939" w:rsidRPr="005208DC" w:rsidRDefault="00C12939" w:rsidP="00857902">
      <w:pPr>
        <w:pStyle w:val="ListParagraph"/>
        <w:numPr>
          <w:ilvl w:val="0"/>
          <w:numId w:val="72"/>
        </w:numPr>
        <w:rPr>
          <w:rFonts w:ascii="Times New Roman" w:eastAsia="Times New Roman" w:hAnsi="Times New Roman"/>
          <w:bCs/>
          <w:color w:val="0D0D0D" w:themeColor="text1" w:themeTint="F2"/>
          <w:sz w:val="24"/>
          <w:szCs w:val="24"/>
          <w:lang w:val="sq-AL"/>
        </w:rPr>
      </w:pPr>
      <w:r w:rsidRPr="005208DC">
        <w:rPr>
          <w:rFonts w:ascii="Times New Roman" w:eastAsia="Times New Roman" w:hAnsi="Times New Roman"/>
          <w:bCs/>
          <w:color w:val="0D0D0D" w:themeColor="text1" w:themeTint="F2"/>
          <w:sz w:val="24"/>
          <w:szCs w:val="24"/>
          <w:lang w:val="sq-AL"/>
        </w:rPr>
        <w:t>Krijimi i Shërbimit Shëndetësor Kombëtar, si një pagues i vetëm dhe transformimi gradual i financimit të spitaleve nga buxheti historik në paketat e shërbimit shëndetësor.</w:t>
      </w:r>
    </w:p>
    <w:p w14:paraId="1C053DC5" w14:textId="5B3741DF" w:rsidR="00C12939" w:rsidRPr="005208DC" w:rsidRDefault="00C12939" w:rsidP="00857902">
      <w:pPr>
        <w:pStyle w:val="ListParagraph"/>
        <w:numPr>
          <w:ilvl w:val="0"/>
          <w:numId w:val="72"/>
        </w:numPr>
        <w:jc w:val="both"/>
        <w:rPr>
          <w:rFonts w:asciiTheme="majorBidi" w:hAnsiTheme="majorBidi" w:cstheme="majorBidi"/>
          <w:b/>
          <w:color w:val="0D0D0D" w:themeColor="text1" w:themeTint="F2"/>
          <w:sz w:val="24"/>
          <w:szCs w:val="24"/>
          <w:lang w:val="sq-AL"/>
        </w:rPr>
      </w:pPr>
      <w:r w:rsidRPr="005208DC">
        <w:rPr>
          <w:rFonts w:ascii="Times New Roman" w:eastAsia="Times New Roman" w:hAnsi="Times New Roman"/>
          <w:bCs/>
          <w:color w:val="0D0D0D" w:themeColor="text1" w:themeTint="F2"/>
          <w:sz w:val="24"/>
          <w:szCs w:val="24"/>
          <w:lang w:val="sq-AL"/>
        </w:rPr>
        <w:t>Strategjia Kombëtare e Shëndetësisë 2021 – 2025 dhe Plani i Veprimit i buxhetuar.</w:t>
      </w:r>
    </w:p>
    <w:p w14:paraId="57F755C6" w14:textId="77777777" w:rsidR="00E43B82" w:rsidRPr="005208DC" w:rsidRDefault="00E43B82" w:rsidP="00857902">
      <w:pPr>
        <w:snapToGrid w:val="0"/>
        <w:rPr>
          <w:rFonts w:asciiTheme="majorBidi" w:hAnsiTheme="majorBidi" w:cstheme="majorBidi"/>
          <w:color w:val="0D0D0D" w:themeColor="text1" w:themeTint="F2"/>
          <w:lang w:val="sq-AL"/>
        </w:rPr>
      </w:pPr>
    </w:p>
    <w:p w14:paraId="46A27A2D" w14:textId="099CA55C" w:rsidR="00E43B82" w:rsidRPr="005208DC" w:rsidRDefault="00B2062A" w:rsidP="00857902">
      <w:pPr>
        <w:pStyle w:val="Heading6"/>
        <w:numPr>
          <w:ilvl w:val="0"/>
          <w:numId w:val="70"/>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Treguesit e rezultateve</w:t>
      </w:r>
    </w:p>
    <w:tbl>
      <w:tblPr>
        <w:tblStyle w:val="TableGrid"/>
        <w:tblW w:w="0" w:type="auto"/>
        <w:tblLook w:val="04A0" w:firstRow="1" w:lastRow="0" w:firstColumn="1" w:lastColumn="0" w:noHBand="0" w:noVBand="1"/>
      </w:tblPr>
      <w:tblGrid>
        <w:gridCol w:w="5665"/>
        <w:gridCol w:w="1265"/>
        <w:gridCol w:w="1429"/>
        <w:gridCol w:w="1263"/>
      </w:tblGrid>
      <w:tr w:rsidR="005208DC" w:rsidRPr="005208DC" w14:paraId="282361E6" w14:textId="77777777" w:rsidTr="003D2C7A">
        <w:tc>
          <w:tcPr>
            <w:tcW w:w="5665" w:type="dxa"/>
          </w:tcPr>
          <w:p w14:paraId="208383F3" w14:textId="1B582C7C" w:rsidR="009A0B10"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w:t>
            </w:r>
          </w:p>
        </w:tc>
        <w:tc>
          <w:tcPr>
            <w:tcW w:w="1265" w:type="dxa"/>
          </w:tcPr>
          <w:p w14:paraId="7069D4D2" w14:textId="1FBEEFE9" w:rsidR="009A0B10"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Bazë</w:t>
            </w:r>
          </w:p>
        </w:tc>
        <w:tc>
          <w:tcPr>
            <w:tcW w:w="1429" w:type="dxa"/>
          </w:tcPr>
          <w:p w14:paraId="27166A6F" w14:textId="279D6F44" w:rsidR="009A0B10"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 ndërmjetëm</w:t>
            </w:r>
          </w:p>
        </w:tc>
        <w:tc>
          <w:tcPr>
            <w:tcW w:w="1263" w:type="dxa"/>
          </w:tcPr>
          <w:p w14:paraId="21FDFEC4" w14:textId="61BDAC9C" w:rsidR="009A0B10"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Synimi</w:t>
            </w:r>
          </w:p>
        </w:tc>
      </w:tr>
      <w:tr w:rsidR="005208DC" w:rsidRPr="005208DC" w14:paraId="389DDB74" w14:textId="77777777" w:rsidTr="003D2C7A">
        <w:tc>
          <w:tcPr>
            <w:tcW w:w="5665" w:type="dxa"/>
          </w:tcPr>
          <w:p w14:paraId="706F6CF9" w14:textId="069A20EB" w:rsidR="00C12939" w:rsidRPr="005208DC" w:rsidRDefault="00C12939"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Numri i qytetarëve që përfitojnë nga shërbimet e kujdesit shëndetësor publik</w:t>
            </w:r>
          </w:p>
        </w:tc>
        <w:tc>
          <w:tcPr>
            <w:tcW w:w="1265" w:type="dxa"/>
          </w:tcPr>
          <w:p w14:paraId="7DB4840A" w14:textId="61ED8BF8" w:rsidR="00C12939" w:rsidRPr="005208DC" w:rsidRDefault="00C12939"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93%</w:t>
            </w:r>
          </w:p>
        </w:tc>
        <w:tc>
          <w:tcPr>
            <w:tcW w:w="1429" w:type="dxa"/>
          </w:tcPr>
          <w:p w14:paraId="113A6FF1" w14:textId="711F9690" w:rsidR="00C12939" w:rsidRPr="005208DC" w:rsidRDefault="00C12939"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95%</w:t>
            </w:r>
          </w:p>
        </w:tc>
        <w:tc>
          <w:tcPr>
            <w:tcW w:w="1263" w:type="dxa"/>
          </w:tcPr>
          <w:p w14:paraId="09E53138" w14:textId="63DFFA9C" w:rsidR="00C12939" w:rsidRPr="005208DC" w:rsidRDefault="00C12939"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97%</w:t>
            </w:r>
          </w:p>
        </w:tc>
      </w:tr>
      <w:tr w:rsidR="005208DC" w:rsidRPr="005208DC" w14:paraId="3A60581D" w14:textId="77777777" w:rsidTr="003D2C7A">
        <w:tc>
          <w:tcPr>
            <w:tcW w:w="5665" w:type="dxa"/>
          </w:tcPr>
          <w:p w14:paraId="1AF8CE21" w14:textId="229E2CE2" w:rsidR="00C12939" w:rsidRPr="005208DC" w:rsidRDefault="00C12939"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Numri i qytetarëve që përfitojnë nga 12 paketat e kujdesit shëndetësor dhe 3 programet kombëtare të depistimit të financuara 100% nga buxheti i shtetit.</w:t>
            </w:r>
          </w:p>
        </w:tc>
        <w:tc>
          <w:tcPr>
            <w:tcW w:w="1265" w:type="dxa"/>
          </w:tcPr>
          <w:p w14:paraId="56088B6C" w14:textId="292C9765" w:rsidR="00C12939" w:rsidRPr="005208DC" w:rsidRDefault="00C12939"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+5%</w:t>
            </w:r>
          </w:p>
        </w:tc>
        <w:tc>
          <w:tcPr>
            <w:tcW w:w="1429" w:type="dxa"/>
          </w:tcPr>
          <w:p w14:paraId="20D99A5C" w14:textId="2EB8C77F" w:rsidR="00C12939" w:rsidRPr="005208DC" w:rsidRDefault="00C12939"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+5%</w:t>
            </w:r>
          </w:p>
        </w:tc>
        <w:tc>
          <w:tcPr>
            <w:tcW w:w="1263" w:type="dxa"/>
          </w:tcPr>
          <w:p w14:paraId="57037305" w14:textId="01CA29C2" w:rsidR="00C12939" w:rsidRPr="005208DC" w:rsidRDefault="00C12939"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+5%</w:t>
            </w:r>
          </w:p>
        </w:tc>
      </w:tr>
    </w:tbl>
    <w:p w14:paraId="311F8023" w14:textId="77777777" w:rsidR="009A0B10" w:rsidRPr="005208DC" w:rsidRDefault="009A0B10" w:rsidP="00857902">
      <w:pPr>
        <w:snapToGrid w:val="0"/>
        <w:rPr>
          <w:rFonts w:asciiTheme="majorBidi" w:hAnsiTheme="majorBidi" w:cstheme="majorBidi"/>
          <w:color w:val="0D0D0D" w:themeColor="text1" w:themeTint="F2"/>
          <w:lang w:val="sq-AL"/>
        </w:rPr>
      </w:pPr>
    </w:p>
    <w:p w14:paraId="26BC62E7" w14:textId="1EE88BE1" w:rsidR="00E43B82" w:rsidRPr="005208DC" w:rsidRDefault="00B2062A" w:rsidP="00857902">
      <w:pPr>
        <w:pStyle w:val="Heading6"/>
        <w:numPr>
          <w:ilvl w:val="0"/>
          <w:numId w:val="70"/>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konkurrueshmëri</w:t>
      </w:r>
    </w:p>
    <w:p w14:paraId="73E71913" w14:textId="3CB856A6" w:rsidR="00C12939" w:rsidRPr="005208DC" w:rsidRDefault="00C12939" w:rsidP="00857902">
      <w:pPr>
        <w:snapToGrid w:val="0"/>
        <w:jc w:val="both"/>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Veprimet e parashikuara kanë disa dimensione ndikimi, të tilla si zbatimi dhe përmirësimi i ofrimit të shërbimeve të kujdesit shëndetësor publik, rritja e aksesit, diversifikimi i ofrimit të shërbimeve duke futur modele të reja inovative të kujdesit shëndetësor (shërbimet e banimit, vullnetare dhe me bazë komunitare) me theks të veçantë në ofrimin e shërbimeve me theks të veçantë në cilësinë e  lartë, të arritshëm dhe të përballueshëm.</w:t>
      </w:r>
    </w:p>
    <w:p w14:paraId="03B9EA4A" w14:textId="77777777" w:rsidR="00C12939" w:rsidRPr="005208DC" w:rsidRDefault="00C12939" w:rsidP="00857902">
      <w:pPr>
        <w:snapToGrid w:val="0"/>
        <w:rPr>
          <w:rFonts w:asciiTheme="majorBidi" w:hAnsiTheme="majorBidi" w:cstheme="majorBidi"/>
          <w:color w:val="0D0D0D" w:themeColor="text1" w:themeTint="F2"/>
          <w:lang w:val="sq-AL"/>
        </w:rPr>
      </w:pPr>
    </w:p>
    <w:p w14:paraId="5CEE8766" w14:textId="7E34929E" w:rsidR="00E43B82" w:rsidRPr="005208DC" w:rsidRDefault="00B2062A" w:rsidP="00857902">
      <w:pPr>
        <w:pStyle w:val="Heading6"/>
        <w:numPr>
          <w:ilvl w:val="0"/>
          <w:numId w:val="70"/>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Kosto e parashikuar e aktiviteteve dhe burimi i financimit</w:t>
      </w:r>
    </w:p>
    <w:p w14:paraId="3220D1C4" w14:textId="77777777" w:rsidR="00C12939" w:rsidRPr="005208DC" w:rsidRDefault="00C12939" w:rsidP="00F957E8">
      <w:pPr>
        <w:widowControl w:val="0"/>
        <w:numPr>
          <w:ilvl w:val="0"/>
          <w:numId w:val="114"/>
        </w:numPr>
        <w:snapToGrid w:val="0"/>
        <w:ind w:left="567" w:hanging="283"/>
        <w:rPr>
          <w:rFonts w:ascii="Times New Roman" w:eastAsia="Arial Narrow" w:hAnsi="Times New Roman"/>
          <w:color w:val="0D0D0D" w:themeColor="text1" w:themeTint="F2"/>
          <w:lang w:val="sq-AL"/>
        </w:rPr>
      </w:pPr>
      <w:r w:rsidRPr="005208DC">
        <w:rPr>
          <w:rFonts w:ascii="Times New Roman" w:eastAsia="Arial Narrow" w:hAnsi="Times New Roman"/>
          <w:color w:val="0D0D0D" w:themeColor="text1" w:themeTint="F2"/>
          <w:lang w:val="sq-AL"/>
        </w:rPr>
        <w:t>Buxheti i Shëndetësisë për vitin 2022 është 63.5 miliardë lekë ose 3.4% e PBB-së dhe 9.96% e Buxhetit të Shtetit.</w:t>
      </w:r>
    </w:p>
    <w:p w14:paraId="04DA7C5B" w14:textId="77777777" w:rsidR="00C12939" w:rsidRPr="005208DC" w:rsidRDefault="00C12939" w:rsidP="00F957E8">
      <w:pPr>
        <w:widowControl w:val="0"/>
        <w:numPr>
          <w:ilvl w:val="0"/>
          <w:numId w:val="114"/>
        </w:numPr>
        <w:snapToGrid w:val="0"/>
        <w:ind w:left="567" w:hanging="283"/>
        <w:rPr>
          <w:rFonts w:ascii="Times New Roman" w:eastAsia="Arial Narrow" w:hAnsi="Times New Roman"/>
          <w:color w:val="0D0D0D" w:themeColor="text1" w:themeTint="F2"/>
          <w:lang w:val="sq-AL"/>
        </w:rPr>
      </w:pPr>
      <w:r w:rsidRPr="005208DC">
        <w:rPr>
          <w:rFonts w:ascii="Times New Roman" w:eastAsia="Arial Narrow" w:hAnsi="Times New Roman"/>
          <w:color w:val="0D0D0D" w:themeColor="text1" w:themeTint="F2"/>
          <w:lang w:val="sq-AL"/>
        </w:rPr>
        <w:t>Buxheti i Shëndetësisë për vitin 2023 është 60 miliardë lekë ose 3.1% e PBB-së dhe 9.6% e Buxhetit të Shtetit.</w:t>
      </w:r>
    </w:p>
    <w:p w14:paraId="750BA30A" w14:textId="4CE171AB" w:rsidR="00C12939" w:rsidRPr="005208DC" w:rsidRDefault="00C12939" w:rsidP="00F957E8">
      <w:pPr>
        <w:widowControl w:val="0"/>
        <w:numPr>
          <w:ilvl w:val="0"/>
          <w:numId w:val="114"/>
        </w:numPr>
        <w:snapToGrid w:val="0"/>
        <w:ind w:left="567" w:hanging="283"/>
        <w:rPr>
          <w:rFonts w:ascii="Times New Roman" w:eastAsia="Arial Narrow" w:hAnsi="Times New Roman"/>
          <w:color w:val="0D0D0D" w:themeColor="text1" w:themeTint="F2"/>
          <w:lang w:val="sq-AL"/>
        </w:rPr>
      </w:pPr>
      <w:r w:rsidRPr="005208DC">
        <w:rPr>
          <w:rFonts w:ascii="Times New Roman" w:eastAsia="Arial Narrow" w:hAnsi="Times New Roman"/>
          <w:color w:val="0D0D0D" w:themeColor="text1" w:themeTint="F2"/>
          <w:lang w:val="sq-AL"/>
        </w:rPr>
        <w:t>Buxheti i Shëndetësisë për vitin 2024 është 62 miliardë lekë ose 3% e PBB-së dhe 9.4% e Buxhetit të Shtetit.</w:t>
      </w:r>
    </w:p>
    <w:p w14:paraId="5A7ABFE6" w14:textId="77777777" w:rsidR="00C12939" w:rsidRPr="005208DC" w:rsidRDefault="00C12939" w:rsidP="00857902">
      <w:pPr>
        <w:snapToGrid w:val="0"/>
        <w:rPr>
          <w:rFonts w:asciiTheme="majorBidi" w:hAnsiTheme="majorBidi" w:cstheme="majorBidi"/>
          <w:color w:val="0D0D0D" w:themeColor="text1" w:themeTint="F2"/>
          <w:lang w:val="sq-AL"/>
        </w:rPr>
      </w:pPr>
    </w:p>
    <w:p w14:paraId="3D81B5BC" w14:textId="6DCF32D4" w:rsidR="00E43B82" w:rsidRPr="005208DC" w:rsidRDefault="00B2062A" w:rsidP="00857902">
      <w:pPr>
        <w:pStyle w:val="Heading6"/>
        <w:numPr>
          <w:ilvl w:val="0"/>
          <w:numId w:val="70"/>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përfundimet sociale si punësimi, ulja e varfërisë, barazia gjinore dhe aksesi në kujdesin shëndetësor</w:t>
      </w:r>
    </w:p>
    <w:p w14:paraId="28B17950" w14:textId="5F75FED4" w:rsidR="00C12939" w:rsidRPr="005208DC" w:rsidRDefault="00C12939" w:rsidP="00857902">
      <w:pPr>
        <w:snapToGrid w:val="0"/>
        <w:jc w:val="both"/>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Reformat në shëndetësi synojnë të moshuarit, gratë, fëmijët, të varfërit dhe personat me aftësi të kufizuara. Masa e reformës pritet të përmirësojë mirëqenien e qytetarëve duke ofruar shërbime shëndetësore falas me qëllim arritjen e mbulimit universal shëndetësor.</w:t>
      </w:r>
    </w:p>
    <w:p w14:paraId="3B87AFF4" w14:textId="77777777" w:rsidR="00C12939" w:rsidRPr="005208DC" w:rsidRDefault="00C12939" w:rsidP="00857902">
      <w:pPr>
        <w:snapToGrid w:val="0"/>
        <w:rPr>
          <w:rFonts w:asciiTheme="majorBidi" w:hAnsiTheme="majorBidi" w:cstheme="majorBidi"/>
          <w:color w:val="0D0D0D" w:themeColor="text1" w:themeTint="F2"/>
          <w:lang w:val="sq-AL"/>
        </w:rPr>
      </w:pPr>
    </w:p>
    <w:p w14:paraId="09B59489" w14:textId="368847BC" w:rsidR="00E43B82" w:rsidRPr="005208DC" w:rsidRDefault="00B2062A" w:rsidP="00857902">
      <w:pPr>
        <w:pStyle w:val="Heading6"/>
        <w:numPr>
          <w:ilvl w:val="0"/>
          <w:numId w:val="70"/>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mjedis dhe ndryshimi i klimës</w:t>
      </w:r>
    </w:p>
    <w:p w14:paraId="4D41EAA7" w14:textId="406CFF03" w:rsidR="00C12939" w:rsidRPr="005208DC" w:rsidRDefault="00C12939"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Masa e reformës nuk pritet të ketë ndikim në mjedis.</w:t>
      </w:r>
    </w:p>
    <w:p w14:paraId="74D3E1C1" w14:textId="77777777" w:rsidR="00C12939" w:rsidRPr="005208DC" w:rsidRDefault="00C12939" w:rsidP="00857902">
      <w:pPr>
        <w:snapToGrid w:val="0"/>
        <w:rPr>
          <w:rFonts w:asciiTheme="majorBidi" w:hAnsiTheme="majorBidi" w:cstheme="majorBidi"/>
          <w:color w:val="0D0D0D" w:themeColor="text1" w:themeTint="F2"/>
          <w:lang w:val="sq-AL"/>
        </w:rPr>
      </w:pPr>
    </w:p>
    <w:p w14:paraId="111CE23C" w14:textId="3A73058C" w:rsidR="00E43B82" w:rsidRPr="005208DC" w:rsidRDefault="00B2062A" w:rsidP="00857902">
      <w:pPr>
        <w:pStyle w:val="Heading6"/>
        <w:numPr>
          <w:ilvl w:val="0"/>
          <w:numId w:val="70"/>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Rreziqet e mundshme</w:t>
      </w:r>
    </w:p>
    <w:tbl>
      <w:tblPr>
        <w:tblStyle w:val="TableGrid"/>
        <w:tblW w:w="0" w:type="auto"/>
        <w:tblLook w:val="04A0" w:firstRow="1" w:lastRow="0" w:firstColumn="1" w:lastColumn="0" w:noHBand="0" w:noVBand="1"/>
      </w:tblPr>
      <w:tblGrid>
        <w:gridCol w:w="3207"/>
        <w:gridCol w:w="1466"/>
        <w:gridCol w:w="4949"/>
      </w:tblGrid>
      <w:tr w:rsidR="005208DC" w:rsidRPr="005208DC" w14:paraId="46E218F8" w14:textId="77777777" w:rsidTr="003D2C7A">
        <w:tc>
          <w:tcPr>
            <w:tcW w:w="3207" w:type="dxa"/>
          </w:tcPr>
          <w:p w14:paraId="68881DE0" w14:textId="64DB5C4D" w:rsidR="009A0B10"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Rreziku</w:t>
            </w:r>
          </w:p>
        </w:tc>
        <w:tc>
          <w:tcPr>
            <w:tcW w:w="1466" w:type="dxa"/>
          </w:tcPr>
          <w:p w14:paraId="48EF1AA7" w14:textId="3B8C7D6B" w:rsidR="009A0B10"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Mundësia</w:t>
            </w:r>
            <w:r w:rsidR="009A0B10" w:rsidRPr="005208DC">
              <w:rPr>
                <w:rFonts w:asciiTheme="majorBidi" w:hAnsiTheme="majorBidi" w:cstheme="majorBidi"/>
                <w:color w:val="0D0D0D" w:themeColor="text1" w:themeTint="F2"/>
                <w:lang w:val="sq-AL"/>
              </w:rPr>
              <w:t xml:space="preserve"> (</w:t>
            </w:r>
            <w:r w:rsidRPr="005208DC">
              <w:rPr>
                <w:rFonts w:asciiTheme="majorBidi" w:hAnsiTheme="majorBidi" w:cstheme="majorBidi"/>
                <w:color w:val="0D0D0D" w:themeColor="text1" w:themeTint="F2"/>
                <w:lang w:val="sq-AL"/>
              </w:rPr>
              <w:t>e ulët, e lartë</w:t>
            </w:r>
            <w:r w:rsidR="009A0B10" w:rsidRPr="005208DC">
              <w:rPr>
                <w:rFonts w:asciiTheme="majorBidi" w:hAnsiTheme="majorBidi" w:cstheme="majorBidi"/>
                <w:color w:val="0D0D0D" w:themeColor="text1" w:themeTint="F2"/>
                <w:lang w:val="sq-AL"/>
              </w:rPr>
              <w:t>)</w:t>
            </w:r>
          </w:p>
        </w:tc>
        <w:tc>
          <w:tcPr>
            <w:tcW w:w="4949" w:type="dxa"/>
          </w:tcPr>
          <w:p w14:paraId="17DE5150" w14:textId="470E3C12" w:rsidR="009A0B10"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Veprimi zbutës i parashikuar</w:t>
            </w:r>
          </w:p>
        </w:tc>
      </w:tr>
      <w:tr w:rsidR="005208DC" w:rsidRPr="005208DC" w14:paraId="4ABDA0DA" w14:textId="77777777" w:rsidTr="003D2C7A">
        <w:tc>
          <w:tcPr>
            <w:tcW w:w="3207" w:type="dxa"/>
          </w:tcPr>
          <w:p w14:paraId="6AE4B0B1" w14:textId="2954072D" w:rsidR="00C12939" w:rsidRPr="005208DC" w:rsidRDefault="00C12939" w:rsidP="00857902">
            <w:pPr>
              <w:snapToGrid w:val="0"/>
              <w:rPr>
                <w:rFonts w:ascii="Times New Roman" w:hAnsi="Times New Roman"/>
                <w:color w:val="0D0D0D" w:themeColor="text1" w:themeTint="F2"/>
                <w:lang w:val="sq-AL"/>
              </w:rPr>
            </w:pPr>
            <w:r w:rsidRPr="005208DC">
              <w:rPr>
                <w:rFonts w:ascii="Times New Roman" w:hAnsi="Times New Roman"/>
                <w:color w:val="0D0D0D" w:themeColor="text1" w:themeTint="F2"/>
                <w:lang w:val="sq-AL"/>
              </w:rPr>
              <w:t>Kufizimet për shkak të pandemisë COVID-19.</w:t>
            </w:r>
          </w:p>
        </w:tc>
        <w:tc>
          <w:tcPr>
            <w:tcW w:w="1466" w:type="dxa"/>
          </w:tcPr>
          <w:p w14:paraId="625B64E5" w14:textId="7FF1F073" w:rsidR="00C12939" w:rsidRPr="005208DC" w:rsidRDefault="00C12939"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 xml:space="preserve">I mesëm </w:t>
            </w:r>
          </w:p>
        </w:tc>
        <w:tc>
          <w:tcPr>
            <w:tcW w:w="4949" w:type="dxa"/>
          </w:tcPr>
          <w:p w14:paraId="673A82ED" w14:textId="7FA26DED" w:rsidR="00C12939" w:rsidRPr="005208DC" w:rsidRDefault="00C12939"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Një planifikim i kujdesshëm në nivelin qendror</w:t>
            </w:r>
          </w:p>
        </w:tc>
      </w:tr>
      <w:tr w:rsidR="005208DC" w:rsidRPr="005208DC" w14:paraId="7803068B" w14:textId="77777777" w:rsidTr="003D2C7A">
        <w:tc>
          <w:tcPr>
            <w:tcW w:w="3207" w:type="dxa"/>
          </w:tcPr>
          <w:p w14:paraId="67D0B478" w14:textId="2438925F" w:rsidR="00C12939" w:rsidRPr="005208DC" w:rsidRDefault="00C12939"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Vonesat në aktivitete specifike, veçanërisht në lidhje me rimodelimin e financimit të kujdesit shëndetësor.</w:t>
            </w:r>
          </w:p>
        </w:tc>
        <w:tc>
          <w:tcPr>
            <w:tcW w:w="1466" w:type="dxa"/>
          </w:tcPr>
          <w:p w14:paraId="4CA8414D" w14:textId="2082450E" w:rsidR="00C12939" w:rsidRPr="005208DC" w:rsidRDefault="00C12939"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I mesëm</w:t>
            </w:r>
          </w:p>
        </w:tc>
        <w:tc>
          <w:tcPr>
            <w:tcW w:w="4949" w:type="dxa"/>
          </w:tcPr>
          <w:p w14:paraId="6DDDFB6A" w14:textId="409FDE89" w:rsidR="00C12939" w:rsidRPr="005208DC" w:rsidRDefault="00C12939"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Një ekip që ka nisur punën për zhvillimin e një plani të detajuar</w:t>
            </w:r>
          </w:p>
        </w:tc>
      </w:tr>
      <w:tr w:rsidR="005208DC" w:rsidRPr="005208DC" w14:paraId="11F7AE9A" w14:textId="77777777" w:rsidTr="003D2C7A">
        <w:tc>
          <w:tcPr>
            <w:tcW w:w="3207" w:type="dxa"/>
          </w:tcPr>
          <w:p w14:paraId="271EF836" w14:textId="7B526D50" w:rsidR="00C12939" w:rsidRPr="005208DC" w:rsidRDefault="00C12939"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Mungesa e vullnetit politik.</w:t>
            </w:r>
          </w:p>
        </w:tc>
        <w:tc>
          <w:tcPr>
            <w:tcW w:w="1466" w:type="dxa"/>
          </w:tcPr>
          <w:p w14:paraId="6A24F0E1" w14:textId="51F03384" w:rsidR="00C12939" w:rsidRPr="005208DC" w:rsidRDefault="00C12939"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I ulët</w:t>
            </w:r>
          </w:p>
        </w:tc>
        <w:tc>
          <w:tcPr>
            <w:tcW w:w="4949" w:type="dxa"/>
          </w:tcPr>
          <w:p w14:paraId="2639C999" w14:textId="05281110" w:rsidR="00C12939" w:rsidRPr="005208DC" w:rsidRDefault="00C12939" w:rsidP="00857902">
            <w:pPr>
              <w:rPr>
                <w:rFonts w:ascii="Times New Roman" w:hAnsi="Times New Roman"/>
                <w:color w:val="0D0D0D" w:themeColor="text1" w:themeTint="F2"/>
                <w:lang w:val="sq-AL"/>
              </w:rPr>
            </w:pPr>
            <w:r w:rsidRPr="005208DC">
              <w:rPr>
                <w:rFonts w:ascii="Times New Roman" w:hAnsi="Times New Roman"/>
                <w:color w:val="0D0D0D" w:themeColor="text1" w:themeTint="F2"/>
                <w:lang w:val="sq-AL"/>
              </w:rPr>
              <w:t>Një angazhim i niveleve më të larta të qeverisjes dhe përfshirja e të gjithë partnerëve të mundshëm në këtë sektor</w:t>
            </w:r>
          </w:p>
        </w:tc>
      </w:tr>
    </w:tbl>
    <w:p w14:paraId="37844642" w14:textId="77777777" w:rsidR="009A0B10" w:rsidRPr="005208DC" w:rsidRDefault="009A0B10" w:rsidP="00857902">
      <w:pPr>
        <w:snapToGrid w:val="0"/>
        <w:rPr>
          <w:rFonts w:asciiTheme="majorBidi" w:hAnsiTheme="majorBidi" w:cstheme="majorBidi"/>
          <w:color w:val="0D0D0D" w:themeColor="text1" w:themeTint="F2"/>
          <w:lang w:val="sq-AL"/>
        </w:rPr>
      </w:pPr>
    </w:p>
    <w:p w14:paraId="4CB47BA0" w14:textId="77777777" w:rsidR="004F312A" w:rsidRPr="005208DC" w:rsidRDefault="004F312A" w:rsidP="00857902">
      <w:pPr>
        <w:snapToGrid w:val="0"/>
        <w:jc w:val="both"/>
        <w:rPr>
          <w:rFonts w:asciiTheme="majorBidi" w:eastAsia="Times New Roman" w:hAnsiTheme="majorBidi" w:cstheme="majorBidi"/>
          <w:color w:val="0D0D0D" w:themeColor="text1" w:themeTint="F2"/>
          <w:lang w:val="sq-AL"/>
        </w:rPr>
      </w:pPr>
    </w:p>
    <w:p w14:paraId="7F2F3A08" w14:textId="5706F320" w:rsidR="00106240" w:rsidRPr="005208DC" w:rsidRDefault="00B2062A" w:rsidP="00857902">
      <w:pPr>
        <w:pStyle w:val="Heading3"/>
        <w:rPr>
          <w:rFonts w:asciiTheme="majorBidi" w:hAnsiTheme="majorBidi" w:cstheme="majorBidi"/>
          <w:b/>
          <w:bCs/>
          <w:color w:val="0D0D0D" w:themeColor="text1" w:themeTint="F2"/>
          <w:sz w:val="24"/>
          <w:szCs w:val="24"/>
          <w:lang w:val="sq-AL"/>
        </w:rPr>
      </w:pPr>
      <w:bookmarkStart w:id="68" w:name="_Toc92721142"/>
      <w:r w:rsidRPr="005208DC">
        <w:rPr>
          <w:rFonts w:asciiTheme="majorBidi" w:hAnsiTheme="majorBidi" w:cstheme="majorBidi"/>
          <w:b/>
          <w:bCs/>
          <w:color w:val="0D0D0D" w:themeColor="text1" w:themeTint="F2"/>
          <w:sz w:val="24"/>
          <w:szCs w:val="24"/>
          <w:lang w:val="sq-AL"/>
        </w:rPr>
        <w:t>Sfida Kyçe</w:t>
      </w:r>
      <w:r w:rsidR="004F312A" w:rsidRPr="005208DC">
        <w:rPr>
          <w:rFonts w:asciiTheme="majorBidi" w:hAnsiTheme="majorBidi" w:cstheme="majorBidi"/>
          <w:b/>
          <w:bCs/>
          <w:color w:val="0D0D0D" w:themeColor="text1" w:themeTint="F2"/>
          <w:sz w:val="24"/>
          <w:szCs w:val="24"/>
          <w:lang w:val="sq-AL"/>
        </w:rPr>
        <w:t xml:space="preserve"> #3</w:t>
      </w:r>
      <w:bookmarkEnd w:id="68"/>
    </w:p>
    <w:p w14:paraId="42F78F41" w14:textId="4AAEC051" w:rsidR="004F312A" w:rsidRPr="005208DC" w:rsidRDefault="00405262" w:rsidP="00857902">
      <w:pPr>
        <w:rPr>
          <w:rFonts w:asciiTheme="majorBidi" w:hAnsiTheme="majorBidi" w:cstheme="majorBidi"/>
          <w:b/>
          <w:bCs/>
          <w:color w:val="0D0D0D" w:themeColor="text1" w:themeTint="F2"/>
          <w:lang w:val="sq-AL"/>
        </w:rPr>
      </w:pPr>
      <w:r w:rsidRPr="005208DC">
        <w:rPr>
          <w:rFonts w:asciiTheme="majorBidi" w:hAnsiTheme="majorBidi" w:cstheme="majorBidi"/>
          <w:b/>
          <w:bCs/>
          <w:color w:val="0D0D0D" w:themeColor="text1" w:themeTint="F2"/>
          <w:lang w:val="sq-AL"/>
        </w:rPr>
        <w:t>Përmirësimi i mjedisit të biznesit dhe klimës së investimeve duke rritur mbështetjen e qeverisë dhe duke trajtuar informalitetin</w:t>
      </w:r>
    </w:p>
    <w:p w14:paraId="4C211BE1" w14:textId="2A388479" w:rsidR="004F312A" w:rsidRPr="005208DC" w:rsidRDefault="00B2062A" w:rsidP="00857902">
      <w:pPr>
        <w:pStyle w:val="Heading4"/>
        <w:numPr>
          <w:ilvl w:val="0"/>
          <w:numId w:val="17"/>
        </w:numPr>
        <w:snapToGrid w:val="0"/>
        <w:ind w:left="567" w:hanging="283"/>
        <w:rPr>
          <w:rFonts w:asciiTheme="majorBidi" w:hAnsiTheme="majorBidi" w:cstheme="majorBidi"/>
          <w:b w:val="0"/>
          <w:i/>
          <w:color w:val="0D0D0D" w:themeColor="text1" w:themeTint="F2"/>
          <w:sz w:val="24"/>
          <w:szCs w:val="24"/>
          <w:lang w:val="sq-AL"/>
        </w:rPr>
      </w:pPr>
      <w:r w:rsidRPr="005208DC">
        <w:rPr>
          <w:rFonts w:asciiTheme="majorBidi" w:hAnsiTheme="majorBidi" w:cstheme="majorBidi"/>
          <w:b w:val="0"/>
          <w:i/>
          <w:color w:val="0D0D0D" w:themeColor="text1" w:themeTint="F2"/>
          <w:sz w:val="24"/>
          <w:szCs w:val="24"/>
          <w:lang w:val="sq-AL"/>
        </w:rPr>
        <w:t>Analiza e pengesave kryesore</w:t>
      </w:r>
    </w:p>
    <w:p w14:paraId="3C923A40" w14:textId="77777777" w:rsidR="002F6FE6" w:rsidRPr="005208DC" w:rsidRDefault="002F6FE6" w:rsidP="00857902">
      <w:pPr>
        <w:snapToGrid w:val="0"/>
        <w:jc w:val="both"/>
        <w:rPr>
          <w:rFonts w:ascii="Times New Roman" w:hAnsi="Times New Roman"/>
          <w:color w:val="0D0D0D" w:themeColor="text1" w:themeTint="F2"/>
          <w:lang w:val="sq-AL"/>
        </w:rPr>
      </w:pPr>
    </w:p>
    <w:tbl>
      <w:tblPr>
        <w:tblStyle w:val="TableGrid"/>
        <w:tblW w:w="0" w:type="auto"/>
        <w:tblLook w:val="04A0" w:firstRow="1" w:lastRow="0" w:firstColumn="1" w:lastColumn="0" w:noHBand="0" w:noVBand="1"/>
      </w:tblPr>
      <w:tblGrid>
        <w:gridCol w:w="10450"/>
      </w:tblGrid>
      <w:tr w:rsidR="005208DC" w:rsidRPr="005208DC" w14:paraId="369D8BBD" w14:textId="77777777" w:rsidTr="002F6FE6">
        <w:tc>
          <w:tcPr>
            <w:tcW w:w="10450" w:type="dxa"/>
          </w:tcPr>
          <w:p w14:paraId="7108C249" w14:textId="77777777" w:rsidR="002F6FE6" w:rsidRPr="005208DC" w:rsidRDefault="002F6FE6"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Sektori privat i Shqipërisë përbëhet kryesisht nga ndërmarrjet mikro, të vogla dhe të mesme (MSME), të cilat kanë një barrë informaliteti. Shqipëria nisi një fushatë në mbarë vendin për të luftuar ekonominë informale në vitin 2016 dhe numri i tatimpaguesve të regjistruar dhe kontribuuesve socialë u rrit ndjeshëm. Që nga viti 2019, qeveria ka zbatuar një metodë të bazuar në risk për të përqendruar veprimin e saj në ekonominë informale në një mënyrë më efikase dhe për ta zhvendosur fokusin larg mobilizimit të të ardhurave shtesë të buxhetit duke rritur numrin e kontrolleve dhe inspektimeve.</w:t>
            </w:r>
          </w:p>
          <w:p w14:paraId="78125BA8" w14:textId="5D56F63E" w:rsidR="002F6FE6" w:rsidRPr="005208DC" w:rsidRDefault="002F6FE6" w:rsidP="00857902">
            <w:pPr>
              <w:snapToGrid w:val="0"/>
              <w:jc w:val="both"/>
              <w:rPr>
                <w:rFonts w:asciiTheme="majorBidi" w:hAnsiTheme="majorBidi" w:cstheme="majorBidi"/>
                <w:color w:val="0D0D0D" w:themeColor="text1" w:themeTint="F2"/>
                <w:lang w:val="sq-AL"/>
              </w:rPr>
            </w:pPr>
            <w:bookmarkStart w:id="69" w:name="_Hlk90559144"/>
            <w:r w:rsidRPr="005208DC">
              <w:rPr>
                <w:rFonts w:asciiTheme="majorBidi" w:hAnsiTheme="majorBidi" w:cstheme="majorBidi"/>
                <w:color w:val="0D0D0D" w:themeColor="text1" w:themeTint="F2"/>
                <w:lang w:val="sq-AL"/>
              </w:rPr>
              <w:t>Me gjithë përparimin e kohëve të fundit duke rritur numrin e bizneseve të regjistruara, ato ndonjëherë ende nuk deklarojnë tatimet apo punonjësit dhe kryejnë transaksione me para në dorë. Bizneset informale përgjithësisht kanë rendiment më të ulët se bizneset formale, gjë që është një barre si për bizneset, ashtu edhe për ekonominë. Të ardhurat publike reduktohen nga veprimtaria e fshehur ekonomike, duke rezultuar në pakësimin e ofrimit te të mirave dhe shërbimeve publike. Biznesi i kryer jashtë ekonomisë së rregulluar sjell probleme për sigurinë, shëndetin, mbrojtjen sociale dhe rreziqet mjedisore për punëtorët dhe komunitetet. Informaliteti pengon jo vetëm zhvillimin e atyre bizneseve që vendosin të mbeten informale, por është gjithashtu një pengesë për kompanitë formale që ndeshen me konkurrencën nga sektori informal. Duke qenë jashtë ekonomisë formale, këto kompani nuk kanë mundësinë për të përfituar nga aksesi në financat formale, aksesi në tregjet formale dhe nga mbrojtja ligjore e pronës, kontratave dhe investimeve të tyre. Për të lejuar bizneset të kontribuojnë më mirë në ekonomi është e rëndësishme që qeveria të vazhdojë të investojë në mënyrë thelbësore në formalizimin e këtyre MSME-ve.</w:t>
            </w:r>
          </w:p>
          <w:p w14:paraId="73534705" w14:textId="77777777" w:rsidR="002F6FE6" w:rsidRPr="005208DC" w:rsidRDefault="002F6FE6"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Qeveria shqiptare është e vendosur t'i shërbejë qeverisjes së mirë të bizneseve, si dhe reduktimit të metodës korruptuese në disa aspekte në luftën kundër evazionit dhe informalitetit. Gjatë periudhës 2020-2021, qeveria shqiptare u përfshi në një proces shumë të rëndësishëm lidhur me Ligjin e Fiskalizimit, i cili do të ndihmojë drejtpërdrejt Administratën Tatimore për të marrë të dhëna në kohë reale dhe të sakta, për të gjitha transaksionet e biznesit me administratën tatimore, por edhe të gjithë informacionin që qarkullon në marrëdhëniet "biznes me biznes" dhe "biznes me qeverinë".</w:t>
            </w:r>
          </w:p>
          <w:p w14:paraId="5CD888EB" w14:textId="77777777" w:rsidR="002F6FE6" w:rsidRPr="005208DC" w:rsidRDefault="002F6FE6"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 gjithë procesi i informacionit nëpërmjet faturimit tashme është elektronik dhe kjo do të ushtrojë një presion edhe më të madh ndaj aksesit ne deklarimet reale financiare dhe atyre jo-fiskale që sot ne i konsiderojmë të jenë larg realitetit.</w:t>
            </w:r>
          </w:p>
          <w:p w14:paraId="5C86AFBB" w14:textId="77777777" w:rsidR="002F6FE6" w:rsidRPr="005208DC" w:rsidRDefault="002F6FE6" w:rsidP="00857902">
            <w:pPr>
              <w:pStyle w:val="HTMLPreformatted"/>
              <w:jc w:val="both"/>
              <w:rPr>
                <w:rStyle w:val="y2iqfc"/>
                <w:rFonts w:asciiTheme="majorBidi" w:eastAsia="Calibri" w:hAnsiTheme="majorBidi" w:cstheme="majorBidi"/>
                <w:color w:val="0D0D0D" w:themeColor="text1" w:themeTint="F2"/>
                <w:sz w:val="24"/>
                <w:szCs w:val="24"/>
              </w:rPr>
            </w:pPr>
            <w:r w:rsidRPr="005208DC">
              <w:rPr>
                <w:rStyle w:val="y2iqfc"/>
                <w:rFonts w:asciiTheme="majorBidi" w:eastAsia="Calibri" w:hAnsiTheme="majorBidi" w:cstheme="majorBidi"/>
                <w:color w:val="0D0D0D" w:themeColor="text1" w:themeTint="F2"/>
                <w:sz w:val="24"/>
                <w:szCs w:val="24"/>
              </w:rPr>
              <w:t xml:space="preserve">Faza e parë e zbatimit të fiskalizimit, e cila konsiston në transaksione pa para të gatshme ndërmjet tatimpaguesve dhe subjekteve publike (B2G) ka nisur më 1 janar 2021; Faza e dytë e transaksioneve pa para ndërmjet tatimpaguesve (B2B) ka filluar më 1 korrik 2021, ndërsa më 1 shtator 2021 ka nisur faza e fundit për transaksionet me </w:t>
            </w:r>
            <w:r w:rsidRPr="005208DC">
              <w:rPr>
                <w:rStyle w:val="y2iqfc"/>
                <w:rFonts w:asciiTheme="majorBidi" w:eastAsia="Calibri" w:hAnsiTheme="majorBidi" w:cstheme="majorBidi"/>
                <w:iCs/>
                <w:color w:val="0D0D0D" w:themeColor="text1" w:themeTint="F2"/>
                <w:sz w:val="24"/>
                <w:szCs w:val="24"/>
              </w:rPr>
              <w:t>para në dorë</w:t>
            </w:r>
            <w:r w:rsidRPr="005208DC">
              <w:rPr>
                <w:rStyle w:val="y2iqfc"/>
                <w:rFonts w:asciiTheme="majorBidi" w:eastAsia="Calibri" w:hAnsiTheme="majorBidi" w:cstheme="majorBidi"/>
                <w:color w:val="0D0D0D" w:themeColor="text1" w:themeTint="F2"/>
                <w:sz w:val="24"/>
                <w:szCs w:val="24"/>
              </w:rPr>
              <w:t xml:space="preserve"> tatimpagues-konsumator (B2C). Të dhënat në dispozicion janë si vijon: </w:t>
            </w:r>
          </w:p>
          <w:p w14:paraId="36107F10" w14:textId="77777777" w:rsidR="002F6FE6" w:rsidRPr="005208DC" w:rsidRDefault="002F6FE6" w:rsidP="00F957E8">
            <w:pPr>
              <w:numPr>
                <w:ilvl w:val="0"/>
                <w:numId w:val="131"/>
              </w:numPr>
              <w:jc w:val="both"/>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Rreth 59.000 tatimpagues aktivë të fiskalizuar dhe mbi 126 milionë fatura të fiskalizuara që prej datës 1 Janar 2021.</w:t>
            </w:r>
          </w:p>
          <w:p w14:paraId="31E75265" w14:textId="77777777" w:rsidR="002F6FE6" w:rsidRPr="005208DC" w:rsidRDefault="002F6FE6" w:rsidP="00F957E8">
            <w:pPr>
              <w:numPr>
                <w:ilvl w:val="0"/>
                <w:numId w:val="131"/>
              </w:numPr>
              <w:jc w:val="both"/>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88.609 tatimpagues ose 73% e totalit të tatimpaguesve aktivë janë pajisur me certifikatë fiskalizimi.</w:t>
            </w:r>
          </w:p>
          <w:p w14:paraId="1250AE68" w14:textId="77777777" w:rsidR="002F6FE6" w:rsidRPr="005208DC" w:rsidRDefault="002F6FE6" w:rsidP="00F957E8">
            <w:pPr>
              <w:numPr>
                <w:ilvl w:val="0"/>
                <w:numId w:val="131"/>
              </w:numPr>
              <w:jc w:val="both"/>
              <w:rPr>
                <w:rFonts w:asciiTheme="majorBidi" w:hAnsiTheme="majorBidi" w:cstheme="majorBidi"/>
                <w:color w:val="0D0D0D" w:themeColor="text1" w:themeTint="F2"/>
                <w:lang w:val="sq-AL" w:eastAsia="sq-AL"/>
              </w:rPr>
            </w:pPr>
            <w:r w:rsidRPr="005208DC">
              <w:rPr>
                <w:rFonts w:asciiTheme="majorBidi" w:eastAsia="Times New Roman" w:hAnsiTheme="majorBidi" w:cstheme="majorBidi"/>
                <w:color w:val="0D0D0D" w:themeColor="text1" w:themeTint="F2"/>
                <w:lang w:val="sq-AL"/>
              </w:rPr>
              <w:t>21.878 tatimpagues ose 86.4 % e tatimpaguesve aktivë Biznes i Madh (BM) janë pajisur me certifikatë fiskalizimi. 18.643 tatimpagues aktivë BM ose 73.6 % e totalit të BM kanë lëshuar fatura të fiskalizuara.</w:t>
            </w:r>
          </w:p>
          <w:p w14:paraId="3C3F8AB9" w14:textId="77777777" w:rsidR="002F6FE6" w:rsidRPr="005208DC" w:rsidRDefault="002F6FE6" w:rsidP="00F957E8">
            <w:pPr>
              <w:numPr>
                <w:ilvl w:val="0"/>
                <w:numId w:val="131"/>
              </w:numPr>
              <w:jc w:val="both"/>
              <w:rPr>
                <w:rStyle w:val="y2iqfc"/>
                <w:rFonts w:asciiTheme="majorBidi" w:hAnsiTheme="majorBidi" w:cstheme="majorBidi"/>
                <w:color w:val="0D0D0D" w:themeColor="text1" w:themeTint="F2"/>
                <w:lang w:val="sq-AL" w:eastAsia="sq-AL"/>
              </w:rPr>
            </w:pPr>
            <w:r w:rsidRPr="005208DC">
              <w:rPr>
                <w:rStyle w:val="y2iqfc"/>
                <w:rFonts w:asciiTheme="majorBidi" w:hAnsiTheme="majorBidi" w:cstheme="majorBidi"/>
                <w:color w:val="0D0D0D" w:themeColor="text1" w:themeTint="F2"/>
                <w:lang w:val="sq-AL" w:eastAsia="sq-AL"/>
              </w:rPr>
              <w:t>64.698 tatimpagues ose 71.1% e tatimpaguesve aktivë Biznes i Vogël (BV) janë pajisur me certifikatë fiskalizimi. 37.654 ose 41.4% e tatimpaguesve aktivë BV kanë lëshuar fatura të fiskalizuara.</w:t>
            </w:r>
          </w:p>
          <w:bookmarkEnd w:id="69"/>
          <w:p w14:paraId="6CB9A4DC" w14:textId="77777777" w:rsidR="002F6FE6" w:rsidRPr="005208DC" w:rsidRDefault="002F6FE6" w:rsidP="00857902">
            <w:pPr>
              <w:pStyle w:val="CommentText"/>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Administrata tatimore do të jetë e angazhuar në luftën kundër informalitetit  për të garantuar zbatimin korrekt të procedurave tatimore. Tatimpaguesit mospërmbushës do të evidentohen nga analiza e riskut dhe do të përfshihen dhe struktura të tjera në verifikimin dhe kontrollimin e tyre për të garantuar përmbushjen e detyrimeve tatimore që të forcohet besimi i tatimpaguesve përmbushës dhe i publikut  ndaj administratës tatimore.</w:t>
            </w:r>
          </w:p>
          <w:p w14:paraId="28F67AF8" w14:textId="77777777" w:rsidR="002F6FE6" w:rsidRPr="005208DC" w:rsidRDefault="002F6FE6" w:rsidP="00857902">
            <w:pPr>
              <w:pStyle w:val="CommentText"/>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 xml:space="preserve">Për vitin 2022, do të miratohet Plani i Përmbushjes që do të fokusohet në sektorët me një rëndësi të veçantë në ekonomi si Turizmi, subjekte Kafe-Restorante, Ndërtimi dhe Pagat. </w:t>
            </w:r>
          </w:p>
          <w:p w14:paraId="12D83711" w14:textId="77777777" w:rsidR="002F6FE6" w:rsidRPr="005208DC" w:rsidRDefault="002F6FE6" w:rsidP="00857902">
            <w:pPr>
              <w:pStyle w:val="CommentText"/>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Gjithashtu për vitin 2022 do të mbahet parasysh identifikimi dhe analizimi i sjelljeve deviante nga subjektet që tentojnë të përfitojnë nga pragjet tatimore (skema feniks, nëndeklarim i shitjeve, mosdeklarim i blerjeve, etj.)</w:t>
            </w:r>
          </w:p>
          <w:p w14:paraId="28200D93" w14:textId="77777777" w:rsidR="002F6FE6" w:rsidRPr="005208DC" w:rsidRDefault="002F6FE6" w:rsidP="00857902">
            <w:pPr>
              <w:pStyle w:val="CommentText"/>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Në vitin 2021, në kuadër te luftës kundër informalitetit administrata tatimore hartoi dhe zbatoi:</w:t>
            </w:r>
          </w:p>
          <w:p w14:paraId="70B58DBA" w14:textId="77777777" w:rsidR="002F6FE6" w:rsidRPr="005208DC" w:rsidRDefault="002F6FE6" w:rsidP="00F957E8">
            <w:pPr>
              <w:pStyle w:val="CommentText"/>
              <w:numPr>
                <w:ilvl w:val="0"/>
                <w:numId w:val="129"/>
              </w:numPr>
              <w:jc w:val="both"/>
              <w:rPr>
                <w:rFonts w:asciiTheme="majorBidi" w:hAnsiTheme="majorBidi" w:cstheme="majorBidi"/>
                <w:color w:val="0D0D0D" w:themeColor="text1" w:themeTint="F2"/>
                <w:sz w:val="24"/>
                <w:szCs w:val="24"/>
                <w:lang w:val="sq-AL"/>
              </w:rPr>
            </w:pPr>
            <w:r w:rsidRPr="005208DC">
              <w:rPr>
                <w:rFonts w:asciiTheme="majorBidi" w:hAnsiTheme="majorBidi" w:cstheme="majorBidi"/>
                <w:b/>
                <w:bCs/>
                <w:color w:val="0D0D0D" w:themeColor="text1" w:themeTint="F2"/>
                <w:sz w:val="24"/>
                <w:szCs w:val="24"/>
                <w:lang w:val="sq-AL"/>
              </w:rPr>
              <w:t>Planin Sektorial të Turizmit 2021</w:t>
            </w:r>
            <w:r w:rsidRPr="005208DC">
              <w:rPr>
                <w:rFonts w:asciiTheme="majorBidi" w:hAnsiTheme="majorBidi" w:cstheme="majorBidi"/>
                <w:color w:val="0D0D0D" w:themeColor="text1" w:themeTint="F2"/>
                <w:sz w:val="24"/>
                <w:szCs w:val="24"/>
                <w:lang w:val="sq-AL"/>
              </w:rPr>
              <w:t>, me këto arritje:</w:t>
            </w:r>
          </w:p>
          <w:p w14:paraId="000B03CC" w14:textId="77777777" w:rsidR="002F6FE6" w:rsidRPr="005208DC" w:rsidRDefault="002F6FE6" w:rsidP="00F957E8">
            <w:pPr>
              <w:pStyle w:val="CommentText"/>
              <w:numPr>
                <w:ilvl w:val="0"/>
                <w:numId w:val="130"/>
              </w:numPr>
              <w:ind w:left="851"/>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 xml:space="preserve">Për të njëjtët tatimpagues që kanë qenë aktiv dhe në vitin 2019, gjatë sezonit turistik të vitit 2021 është shënuar një rritja e TVSH-se se detyrueshme për tu paguar me 15%. </w:t>
            </w:r>
          </w:p>
          <w:p w14:paraId="419D59E3" w14:textId="77777777" w:rsidR="002F6FE6" w:rsidRPr="005208DC" w:rsidRDefault="002F6FE6" w:rsidP="00F957E8">
            <w:pPr>
              <w:pStyle w:val="CommentText"/>
              <w:numPr>
                <w:ilvl w:val="0"/>
                <w:numId w:val="130"/>
              </w:numPr>
              <w:ind w:left="851"/>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Është kryer regjistrimi në Përgjegjësinë e TVSH-se për 175 tatimpagues.</w:t>
            </w:r>
          </w:p>
          <w:p w14:paraId="4C8E3CD2" w14:textId="77777777" w:rsidR="002F6FE6" w:rsidRPr="005208DC" w:rsidRDefault="002F6FE6" w:rsidP="00F957E8">
            <w:pPr>
              <w:pStyle w:val="CommentText"/>
              <w:numPr>
                <w:ilvl w:val="0"/>
                <w:numId w:val="130"/>
              </w:numPr>
              <w:ind w:left="851"/>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 xml:space="preserve">Rritje me 8% e numrit të punonjësve për tatimpagues aktiv në të dy periudhat 2021-2020. </w:t>
            </w:r>
          </w:p>
          <w:p w14:paraId="07C02639" w14:textId="77777777" w:rsidR="002F6FE6" w:rsidRPr="005208DC" w:rsidRDefault="002F6FE6" w:rsidP="00F957E8">
            <w:pPr>
              <w:pStyle w:val="CommentText"/>
              <w:numPr>
                <w:ilvl w:val="0"/>
                <w:numId w:val="130"/>
              </w:numPr>
              <w:ind w:left="851"/>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Rritje me rreth 16% e numrit të punonjësve të deklaruar për popullatën e targetuar aktive (per totalin e TP).</w:t>
            </w:r>
          </w:p>
          <w:p w14:paraId="71871BB1" w14:textId="77777777" w:rsidR="002F6FE6" w:rsidRPr="005208DC" w:rsidRDefault="002F6FE6" w:rsidP="00F957E8">
            <w:pPr>
              <w:pStyle w:val="CommentText"/>
              <w:numPr>
                <w:ilvl w:val="0"/>
                <w:numId w:val="129"/>
              </w:numPr>
              <w:jc w:val="both"/>
              <w:rPr>
                <w:rFonts w:asciiTheme="majorBidi" w:hAnsiTheme="majorBidi" w:cstheme="majorBidi"/>
                <w:b/>
                <w:bCs/>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 xml:space="preserve"> </w:t>
            </w:r>
            <w:r w:rsidRPr="005208DC">
              <w:rPr>
                <w:rFonts w:asciiTheme="majorBidi" w:hAnsiTheme="majorBidi" w:cstheme="majorBidi"/>
                <w:b/>
                <w:bCs/>
                <w:color w:val="0D0D0D" w:themeColor="text1" w:themeTint="F2"/>
                <w:sz w:val="24"/>
                <w:szCs w:val="24"/>
                <w:lang w:val="sq-AL"/>
              </w:rPr>
              <w:t>Planin Sektorial të Rindërtimit</w:t>
            </w:r>
          </w:p>
          <w:p w14:paraId="673E3DF9" w14:textId="77777777" w:rsidR="002F6FE6" w:rsidRPr="005208DC" w:rsidRDefault="002F6FE6" w:rsidP="00857902">
            <w:pPr>
              <w:pStyle w:val="CommentText"/>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Duke marrë shkas nga lehtësitë e krijuara nga qeveria shqiptare për të mundësuar procesin e rindërtimit nga pasojat e tërmetit të vitit 2019 në një kohë sa më të shpejtë, Administrata Tatimore  zbatoi një projekt të menaxhimit të riskut për subjektet e përfshira në procesin e Rindërtimit dhe që janë pajisur me Autorizimin “Për përjashtim nga TVSH-ja për subjektet e Rindërtimit”. Në kuadër të zbatimit të këtij Plani Sektorial, qëllimi i administratës është ndërgjegjësimi i tatimpaguesve për: 1. Deklarim real dhe në kohë të detyrimeve tatimore 2. Mosabuzim me autorizimin e marrë dhe mënyrën e zbatimit të përjashtimit nga TVSH-ja për aktivitetet e rindërtimit.</w:t>
            </w:r>
          </w:p>
          <w:p w14:paraId="78C9EA5C" w14:textId="2FD94F6A" w:rsidR="002F6FE6" w:rsidRPr="005208DC" w:rsidRDefault="002F6FE6" w:rsidP="00857902">
            <w:pPr>
              <w:pStyle w:val="CommentText"/>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Forma e trajtimit të tyre konsiston në dërgimin e letrave të personalizuara ata tatimpagues që nuk kanë rezultuar me rregulla të thyera nga pikëpamja tatimore bazuar në analizën e riskut. Ndërsa për ata tatimpagues të cilët kanë rezultuar mospërmbushës janë planifikuar 125 vizita fiskale, 45 kontrolle tatimore në ambientet e TP si dhe 324 kontrolle nga zyra për TP që nuk janë të pajisur me Autorizimin “Për përjashtim nga TVSH për subjektet e Rindërtimit” por, kanë bërë shitje pa TVSH ndaj tatimpaguesve të pajisur me Autorizimin përsa i përket detyrimit për rregullimit të TVSH. Janë realizuar 45% e kontrolleve nga zyra dhe kemi të dhëna në shifra për efektin në detyrim pagese për TVSH që aktualisht rezu</w:t>
            </w:r>
            <w:r w:rsidR="00CD0E63" w:rsidRPr="005208DC">
              <w:rPr>
                <w:rFonts w:asciiTheme="majorBidi" w:hAnsiTheme="majorBidi" w:cstheme="majorBidi"/>
                <w:color w:val="0D0D0D" w:themeColor="text1" w:themeTint="F2"/>
                <w:sz w:val="24"/>
                <w:szCs w:val="24"/>
                <w:lang w:val="sq-AL"/>
              </w:rPr>
              <w:t>lton në vlerën 53.735.561 leke.</w:t>
            </w:r>
          </w:p>
          <w:p w14:paraId="7530B957" w14:textId="77777777" w:rsidR="002F6FE6" w:rsidRPr="005208DC" w:rsidRDefault="002F6FE6" w:rsidP="00857902">
            <w:pPr>
              <w:pStyle w:val="CommentText"/>
              <w:jc w:val="both"/>
              <w:rPr>
                <w:rFonts w:asciiTheme="majorBidi" w:hAnsiTheme="majorBidi" w:cstheme="majorBidi"/>
                <w:color w:val="0D0D0D" w:themeColor="text1" w:themeTint="F2"/>
                <w:sz w:val="24"/>
                <w:szCs w:val="24"/>
                <w:lang w:val="sq-AL"/>
              </w:rPr>
            </w:pPr>
          </w:p>
          <w:p w14:paraId="040B0A7A" w14:textId="69432A6D" w:rsidR="002F6FE6" w:rsidRPr="005208DC" w:rsidRDefault="002F6FE6" w:rsidP="00857902">
            <w:pPr>
              <w:snapToGrid w:val="0"/>
              <w:jc w:val="both"/>
              <w:rPr>
                <w:rFonts w:ascii="Times New Roman" w:hAnsi="Times New Roman"/>
                <w:color w:val="0D0D0D" w:themeColor="text1" w:themeTint="F2"/>
                <w:lang w:val="sq-AL"/>
              </w:rPr>
            </w:pPr>
            <w:r w:rsidRPr="005208DC">
              <w:rPr>
                <w:rFonts w:asciiTheme="majorBidi" w:hAnsiTheme="majorBidi" w:cstheme="majorBidi"/>
                <w:color w:val="0D0D0D" w:themeColor="text1" w:themeTint="F2"/>
                <w:lang w:val="sq-AL"/>
              </w:rPr>
              <w:t>Ky proces është në vijimësi dhe gjatë vitit 2022 do të pasqyrojmë një përmbledhje të gjetjeve nga vizitat fiskale dhe kontrollet në ambientet e tatimpaguesve për të konkluduar mbi këtë plan sektorial.</w:t>
            </w:r>
          </w:p>
        </w:tc>
      </w:tr>
    </w:tbl>
    <w:p w14:paraId="50D172AE" w14:textId="77777777" w:rsidR="002F6FE6" w:rsidRPr="005208DC" w:rsidRDefault="002F6FE6" w:rsidP="00857902">
      <w:pPr>
        <w:snapToGrid w:val="0"/>
        <w:jc w:val="both"/>
        <w:rPr>
          <w:rFonts w:ascii="Times New Roman" w:hAnsi="Times New Roman"/>
          <w:color w:val="0D0D0D" w:themeColor="text1" w:themeTint="F2"/>
          <w:lang w:val="sq-AL"/>
        </w:rPr>
      </w:pPr>
    </w:p>
    <w:tbl>
      <w:tblPr>
        <w:tblStyle w:val="TableGrid"/>
        <w:tblW w:w="0" w:type="auto"/>
        <w:tblLook w:val="04A0" w:firstRow="1" w:lastRow="0" w:firstColumn="1" w:lastColumn="0" w:noHBand="0" w:noVBand="1"/>
      </w:tblPr>
      <w:tblGrid>
        <w:gridCol w:w="10450"/>
      </w:tblGrid>
      <w:tr w:rsidR="005208DC" w:rsidRPr="005208DC" w14:paraId="0010CA54" w14:textId="77777777" w:rsidTr="00CD0E63">
        <w:tc>
          <w:tcPr>
            <w:tcW w:w="10450" w:type="dxa"/>
          </w:tcPr>
          <w:p w14:paraId="2AF2B247" w14:textId="27B0E05F" w:rsidR="00CD0E63" w:rsidRPr="005208DC" w:rsidRDefault="00CD0E63" w:rsidP="00CD0E63">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xml:space="preserve">Sektori privat në Shqipëri përbëhet kryesisht nga ndërmarrje mikro, të vogla dhe të mesme (MSME), në të cilat ekzistojnë elementë informaliteti. Shqipëria zhvilloi një fushatë mbarëkombëtare për të luftuar ekonominë informale në vitin 2016 dhe numri i taksapaguesve të regjistruar dhe kontribuuesve socialë u rrit ndjeshëm. Që nga viti 2019, qeveria ka zbatuar një qasje të bazuar në risk për të përqendruar veprimet e saj në ekonominë informale në një mënyrë më efikase dhe për të zhvendosur fokusin nga mobilizimi i të ardhurave shtesë buxhetore duke rritur numrin e kontrolleve dhe inspektimeve. Pandemia e COVID-19 ka pasur një ndikim të madh në ekonominë shqiptare gjatë vitit të kaluar. Përgjatë vitit 2020 ekonomia globale u përball me vazhdimin e përhapjes së pandemisë Covid-19 dhe me masat shtrënguese të ndërmarra nga autoritetet publike për frenimin e përhapjes. Në Shqipëri, qeveria vendosi kufizime të lëvizjes së lirë që prej muajit mars, për të parandaluar përhapjen e mëtejshme të pandemisë në vend. Shqipëria është veçanërisht e ekspozuar ndaj tkurrjes ekonomike prej pandemisë për shkak se mbështetet fort nga sektori I turizmit dhe për shkak të marrëdhënieve të saj intensive me disa ekonomi të BE-së të prekura rëndë nga pandemia. Sipas vlerësimeve më të fundit nga INSTAT, PBB reale u tkurr me 2.34 përqind në terma vjetorë në tremujorin e parë, duke u pasuar nga një rënie më e thellë prej -10.20 përqind në tremujorin e dytë dhe nga statistikat e fundit të publikuara nga INSTAT, në tremujorin e tretë, rënia është zbutur në shifrën -3.47 përqind krahasuar me tremujorët respektivë të vitit 2019. Ndërsa në terma nëntëmujor për vitin 2020, ekonomia ka pësuar rënie me 5.52 përqind kundrejt së njëjtës periudhë të 2019. </w:t>
            </w:r>
          </w:p>
          <w:p w14:paraId="3BAE12F4" w14:textId="77777777" w:rsidR="00CD0E63" w:rsidRPr="005208DC" w:rsidRDefault="00CD0E63" w:rsidP="00CD0E63">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Eksportet e mallrave dhe shërbimeve, sipas vlerësimeve të INSTAT, gjatë nëntëmujorit të vitit</w:t>
            </w:r>
            <w:r w:rsidRPr="005208DC">
              <w:rPr>
                <w:rFonts w:asciiTheme="majorBidi" w:hAnsiTheme="majorBidi" w:cstheme="majorBidi"/>
                <w:color w:val="0D0D0D" w:themeColor="text1" w:themeTint="F2"/>
                <w:lang w:val="sq-AL"/>
              </w:rPr>
              <w:br/>
              <w:t>2020 janë tkurrur në mënyrë drastike me rreth 29.6 përqind. Por ndërkohë, duke qenë se edhe tkurrja e importeve të mallrave dhe shërbimeve ka qenë po ashtu tepër e fortë, si dhe në reflektim të peshës së lartë që importet kanë në ekonominë tonë, ka rezultuar në një rritje të kërkesës së huaj neto (ngushtim të deficitit midis eksporteve dhe importeve) krahasuar me një vit më parë me rreth 6.6 përqind, e rrjedhimisht duke dhënë një kontribut pozitiv në rritjen e PBB-së prej rreth 1.2 pikë përqindje.</w:t>
            </w:r>
          </w:p>
          <w:p w14:paraId="2019E738" w14:textId="77777777" w:rsidR="00CD0E63" w:rsidRPr="005208DC" w:rsidRDefault="00CD0E63" w:rsidP="00CD0E63">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Nga pikëpamja e ofertës agregate, dy sektorët të cilët kanë pësuar rritje përgjatë periudhës</w:t>
            </w:r>
            <w:r w:rsidRPr="005208DC">
              <w:rPr>
                <w:rFonts w:asciiTheme="majorBidi" w:hAnsiTheme="majorBidi" w:cstheme="majorBidi"/>
                <w:color w:val="0D0D0D" w:themeColor="text1" w:themeTint="F2"/>
                <w:lang w:val="sq-AL"/>
              </w:rPr>
              <w:br/>
              <w:t>nëntëmujore të viti 2020, krahasuar me të njëjtën periudhë të një viti më parë janë: “Bujqësia” me rritje prej 1.8 përqind dhe kontribut pozitiv prej 0.3 pikë përqindje, si dhe “Aktivitete të pasurive të paluajtshme” me rritje prej 5.9 përqind dhe kontribut pozitiv prej 0.4 pikë përqindje. Sektorët e tjerë kanë pësuar rënie në rendin vijues, ku: “Tregtia me shumicë dhe pakicë” është ulur me 15 përqind, dhe kontribut negativ prej 2.4 pikë përqindje; “Aktivitete shkencore dhe profesionale” me rënie prej 14.4 përqind dhe kontribut prej -0.9; “Arte, argëtim dhe çlodhje” me rënie prej 10.8 përqind dhe kontribut prej -0.2; “Industria” me rënie prej 5.4 përqind dhe kontribut prej -0.7 pikë përqindje; etj.</w:t>
            </w:r>
          </w:p>
          <w:p w14:paraId="1CC81B40" w14:textId="4C82FEC0" w:rsidR="00CD0E63" w:rsidRPr="005208DC" w:rsidRDefault="00CD0E63" w:rsidP="00CD0E63">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Dinamika në tregun e punës ka reflektuar përgjithësisht atë të aktivitetit ekonomik. Ndërkohë që viti 2019 rezultoi me një reduktim të mëtejshëm të shkallës së papunësisë me një nivel mesatar për gjithë vitin prej 12 përqind (për grupmoshën 15-64 vjeç), nëntëmujori i 2020 regjistroi një përkeqësim të konsiderueshëm të këtij treguesi në gjysmën e parë të vitit dhe më pas një rikuperim në tremujorin e tretë. Referuar anketës tremujore të forcës së punës nga INSTAT, norma e papunësisë (për grupmoshën 15-64 vjeç) regjistroi nivelin prej 11.9 përqind në tremujorin e parë, 12.5 përqind në të dytin dhe ra sërish në 12.1 përqind në T3-2020. Norma mesatare e papunësisë për nëntëmujorin e 2020 ishte 12.2 përqind, duke qëndruar pothuajse në të njëjtin nivel prej 12.1 përqind të nëntëmujorit të 2019.Ndërkohë, për grupmoshën 15 vjeç e sipër, norma e papunësisë gjatë tremujorit të tretë të vitit 2020 regjistroi nivelin prej 11.6 përqind, me një rritje prej vetëm 0.2 pikë përqindje nga tremujori i tretë i 2019.</w:t>
            </w:r>
          </w:p>
          <w:p w14:paraId="43CA19CD" w14:textId="77777777" w:rsidR="00CD0E63" w:rsidRPr="005208DC" w:rsidDel="007006B2" w:rsidRDefault="00CD0E63" w:rsidP="00CD0E63">
            <w:pPr>
              <w:jc w:val="both"/>
              <w:rPr>
                <w:rFonts w:asciiTheme="majorBidi" w:hAnsiTheme="majorBidi" w:cstheme="majorBidi"/>
                <w:color w:val="0D0D0D" w:themeColor="text1" w:themeTint="F2"/>
                <w:lang w:val="sq-AL"/>
              </w:rPr>
            </w:pPr>
          </w:p>
          <w:p w14:paraId="3B4CA61D" w14:textId="77777777" w:rsidR="00CD0E63" w:rsidRPr="005208DC" w:rsidRDefault="00CD0E63" w:rsidP="00CD0E63">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Shumë nga sfidat strukturore të përshkruara më sipër kanë luajtur një rol ose në përforcimin e ndikimit në epideminë e COVID-19 ose në kufizimin e fushëveprimit të përgjigjeve të politikave për të zvogëluar ndikimin e saj. Në qershor 2021, Këshilli Shqiptar i Investimeve nisi rezultatet e sondazhit me temë “Vlerësimi i ndikimit të Covid-19 në aktivitetin e biznesit në Shqipëri”. Ky anketë bazohet në sondazhin e parë të kryer nga Sekretariati gjatë muajit prill 2020 dhe synon të mbledhë të dhëna për periudhën 12 mujore (prill 2020 - prill 2021). Sondazhi “Vlerësimi i ndikimit të pandemisë COVID-19 në biznesin në Shqipëri”, një iniciativë e Sekretariatit të Këshillit të Investimeve dhe Ministrisë së Financave dhe Ekonomisë, u ndërmor në periudhën prill-maj 2020 me qëllim mbledhjen e provave mbi efektet e pandemisë COVID-19 në biznesin dhe aktivitetin e saj.</w:t>
            </w:r>
          </w:p>
          <w:p w14:paraId="068D7BCF" w14:textId="77777777" w:rsidR="00CD0E63" w:rsidRPr="005208DC" w:rsidRDefault="00CD0E63" w:rsidP="00CD0E63">
            <w:pPr>
              <w:snapToGrid w:val="0"/>
              <w:ind w:firstLine="360"/>
              <w:jc w:val="both"/>
              <w:rPr>
                <w:rFonts w:asciiTheme="majorBidi" w:eastAsia="Times New Roman" w:hAnsiTheme="majorBidi" w:cstheme="majorBidi"/>
                <w:color w:val="0D0D0D" w:themeColor="text1" w:themeTint="F2"/>
                <w:lang w:val="sq-AL" w:eastAsia="de-DE"/>
              </w:rPr>
            </w:pPr>
          </w:p>
          <w:p w14:paraId="7CD35C6F" w14:textId="5F4BDCD6" w:rsidR="00CD0E63" w:rsidRPr="005208DC" w:rsidRDefault="00CD0E63" w:rsidP="00CD0E63">
            <w:pP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Sipas sondazhit:</w:t>
            </w:r>
          </w:p>
          <w:p w14:paraId="538DFCEB" w14:textId="77777777" w:rsidR="00CD0E63" w:rsidRPr="005208DC" w:rsidRDefault="00CD0E63" w:rsidP="00CD0E63">
            <w:pPr>
              <w:rPr>
                <w:rFonts w:asciiTheme="majorBidi" w:eastAsia="Times New Roman" w:hAnsiTheme="majorBidi" w:cstheme="majorBidi"/>
                <w:color w:val="0D0D0D" w:themeColor="text1" w:themeTint="F2"/>
                <w:lang w:val="sq-AL"/>
              </w:rPr>
            </w:pPr>
            <w:r w:rsidRPr="005208DC">
              <w:rPr>
                <w:rFonts w:asciiTheme="majorBidi" w:hAnsiTheme="majorBidi" w:cstheme="majorBidi"/>
                <w:color w:val="0D0D0D" w:themeColor="text1" w:themeTint="F2"/>
                <w:lang w:val="sq-AL"/>
              </w:rPr>
              <w:sym w:font="Symbol" w:char="F02D"/>
            </w:r>
            <w:r w:rsidRPr="005208DC">
              <w:rPr>
                <w:rFonts w:asciiTheme="majorBidi" w:eastAsia="Times New Roman" w:hAnsiTheme="majorBidi" w:cstheme="majorBidi"/>
                <w:color w:val="0D0D0D" w:themeColor="text1" w:themeTint="F2"/>
                <w:lang w:val="sq-AL"/>
              </w:rPr>
              <w:t xml:space="preserve"> Kompanitë kanë vazhduar të përdorin shërbimet online, kryesisht shërbimet qeveritare dhe në një masë më të vogël shërbimet online të institucioneve financiare. </w:t>
            </w:r>
          </w:p>
          <w:p w14:paraId="092CA11C" w14:textId="77777777" w:rsidR="00CD0E63" w:rsidRPr="005208DC" w:rsidRDefault="00CD0E63" w:rsidP="00CD0E63">
            <w:pPr>
              <w:rPr>
                <w:rFonts w:asciiTheme="majorBidi" w:eastAsia="Times New Roman" w:hAnsiTheme="majorBidi" w:cstheme="majorBidi"/>
                <w:color w:val="0D0D0D" w:themeColor="text1" w:themeTint="F2"/>
                <w:lang w:val="sq-AL"/>
              </w:rPr>
            </w:pPr>
            <w:r w:rsidRPr="005208DC">
              <w:rPr>
                <w:rFonts w:asciiTheme="majorBidi" w:hAnsiTheme="majorBidi" w:cstheme="majorBidi"/>
                <w:color w:val="0D0D0D" w:themeColor="text1" w:themeTint="F2"/>
                <w:lang w:val="sq-AL"/>
              </w:rPr>
              <w:sym w:font="Symbol" w:char="F02D"/>
            </w:r>
            <w:r w:rsidRPr="005208DC">
              <w:rPr>
                <w:rFonts w:asciiTheme="majorBidi" w:eastAsia="Times New Roman" w:hAnsiTheme="majorBidi" w:cstheme="majorBidi"/>
                <w:color w:val="0D0D0D" w:themeColor="text1" w:themeTint="F2"/>
                <w:lang w:val="sq-AL"/>
              </w:rPr>
              <w:t xml:space="preserve"> Kompanitë që kanë deklaruar se kanë përdorur shërbimet online, në 86% e tyre deklarojnë se do të vazhdojnë t'i përdorin ato në të ardhmen.</w:t>
            </w:r>
          </w:p>
          <w:p w14:paraId="102D6B91" w14:textId="77777777" w:rsidR="00CD0E63" w:rsidRPr="005208DC" w:rsidRDefault="00CD0E63" w:rsidP="00CD0E63">
            <w:pP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 xml:space="preserve"> </w:t>
            </w:r>
            <w:r w:rsidRPr="005208DC">
              <w:rPr>
                <w:rFonts w:asciiTheme="majorBidi" w:hAnsiTheme="majorBidi" w:cstheme="majorBidi"/>
                <w:color w:val="0D0D0D" w:themeColor="text1" w:themeTint="F2"/>
                <w:lang w:val="sq-AL"/>
              </w:rPr>
              <w:sym w:font="Symbol" w:char="F02D"/>
            </w:r>
            <w:r w:rsidRPr="005208DC">
              <w:rPr>
                <w:rFonts w:asciiTheme="majorBidi" w:eastAsia="Times New Roman" w:hAnsiTheme="majorBidi" w:cstheme="majorBidi"/>
                <w:color w:val="0D0D0D" w:themeColor="text1" w:themeTint="F2"/>
                <w:lang w:val="sq-AL"/>
              </w:rPr>
              <w:t xml:space="preserve"> 86% e kompanive të intervistuara në fillim të pandemisë deklaruan se nuk kishin një strategji emergjence. Sot, një vit më vonë, 52% e kompanive deklarojnë se do të miratojnë një plan emergjence, më të predispozuar janë Bujqësia, Tregtia dhe Turizmi.</w:t>
            </w:r>
          </w:p>
          <w:p w14:paraId="39845C96" w14:textId="77777777" w:rsidR="00CD0E63" w:rsidRPr="005208DC" w:rsidRDefault="00CD0E63" w:rsidP="00CD0E63">
            <w:pP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 xml:space="preserve"> </w:t>
            </w:r>
            <w:r w:rsidRPr="005208DC">
              <w:rPr>
                <w:rFonts w:asciiTheme="majorBidi" w:hAnsiTheme="majorBidi" w:cstheme="majorBidi"/>
                <w:color w:val="0D0D0D" w:themeColor="text1" w:themeTint="F2"/>
                <w:lang w:val="sq-AL"/>
              </w:rPr>
              <w:sym w:font="Symbol" w:char="F02D"/>
            </w:r>
            <w:r w:rsidRPr="005208DC">
              <w:rPr>
                <w:rFonts w:asciiTheme="majorBidi" w:eastAsia="Times New Roman" w:hAnsiTheme="majorBidi" w:cstheme="majorBidi"/>
                <w:color w:val="0D0D0D" w:themeColor="text1" w:themeTint="F2"/>
                <w:lang w:val="sq-AL"/>
              </w:rPr>
              <w:t xml:space="preserve"> 60% e kompanive mbi 14 milionë lekë vlerësojnë se do të miratojnë plane emergjente, ndërkohë që vetëm 47% e kompanive deri në 5 milionë lekë e konfirmojnë këtë. </w:t>
            </w:r>
          </w:p>
          <w:p w14:paraId="25E0C833" w14:textId="77777777" w:rsidR="00CD0E63" w:rsidRPr="005208DC" w:rsidRDefault="00CD0E63" w:rsidP="00CD0E63">
            <w:pPr>
              <w:rPr>
                <w:rFonts w:asciiTheme="majorBidi" w:eastAsia="Times New Roman" w:hAnsiTheme="majorBidi" w:cstheme="majorBidi"/>
                <w:color w:val="0D0D0D" w:themeColor="text1" w:themeTint="F2"/>
                <w:lang w:val="sq-AL"/>
              </w:rPr>
            </w:pPr>
            <w:r w:rsidRPr="005208DC">
              <w:rPr>
                <w:rFonts w:asciiTheme="majorBidi" w:hAnsiTheme="majorBidi" w:cstheme="majorBidi"/>
                <w:color w:val="0D0D0D" w:themeColor="text1" w:themeTint="F2"/>
                <w:lang w:val="sq-AL"/>
              </w:rPr>
              <w:sym w:font="Symbol" w:char="F02D"/>
            </w:r>
            <w:r w:rsidRPr="005208DC">
              <w:rPr>
                <w:rFonts w:asciiTheme="majorBidi" w:eastAsia="Times New Roman" w:hAnsiTheme="majorBidi" w:cstheme="majorBidi"/>
                <w:color w:val="0D0D0D" w:themeColor="text1" w:themeTint="F2"/>
                <w:lang w:val="sq-AL"/>
              </w:rPr>
              <w:t xml:space="preserve"> Pandemia duket se ka përshpejtuar nevojën që kompanitë të fokusohen tek Inovacioni, 57% e të anketuarve thonë se kanë ndryshuar planet e tyre të investimeve drejt Inovacionit, kryesisht teknologjive të reja dhe menaxhimit të rrezikut. Bujqësia është sektori me dëshirën më të lartë për t'u orientuar drejt Inovacionit.</w:t>
            </w:r>
          </w:p>
          <w:p w14:paraId="3B6D20F9" w14:textId="77777777" w:rsidR="00CD0E63" w:rsidRPr="005208DC" w:rsidRDefault="00CD0E63" w:rsidP="00CD0E63">
            <w:pP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 xml:space="preserve"> </w:t>
            </w:r>
            <w:r w:rsidRPr="005208DC">
              <w:rPr>
                <w:rFonts w:asciiTheme="majorBidi" w:hAnsiTheme="majorBidi" w:cstheme="majorBidi"/>
                <w:color w:val="0D0D0D" w:themeColor="text1" w:themeTint="F2"/>
                <w:lang w:val="sq-AL"/>
              </w:rPr>
              <w:sym w:font="Symbol" w:char="F02D"/>
            </w:r>
            <w:r w:rsidRPr="005208DC">
              <w:rPr>
                <w:rFonts w:asciiTheme="majorBidi" w:eastAsia="Times New Roman" w:hAnsiTheme="majorBidi" w:cstheme="majorBidi"/>
                <w:color w:val="0D0D0D" w:themeColor="text1" w:themeTint="F2"/>
                <w:lang w:val="sq-AL"/>
              </w:rPr>
              <w:t xml:space="preserve"> Bujqësia do të investojë më shumë në forcimin e kanaleve tregtare, menaxhimin e rrezikut dhe teknologjitë e reja. Turizmi në menaxhimin e riskut dhe formimin profesional. </w:t>
            </w:r>
          </w:p>
          <w:p w14:paraId="13A3701D" w14:textId="6496BF21" w:rsidR="00CD0E63" w:rsidRPr="005208DC" w:rsidRDefault="00CD0E63" w:rsidP="00CD0E63">
            <w:pPr>
              <w:snapToGrid w:val="0"/>
              <w:jc w:val="both"/>
              <w:rPr>
                <w:rFonts w:ascii="Times New Roman" w:hAnsi="Times New Roman"/>
                <w:color w:val="0D0D0D" w:themeColor="text1" w:themeTint="F2"/>
                <w:lang w:val="sq-AL"/>
              </w:rPr>
            </w:pPr>
            <w:r w:rsidRPr="005208DC">
              <w:rPr>
                <w:rFonts w:asciiTheme="majorBidi" w:hAnsiTheme="majorBidi" w:cstheme="majorBidi"/>
                <w:color w:val="0D0D0D" w:themeColor="text1" w:themeTint="F2"/>
                <w:lang w:val="sq-AL"/>
              </w:rPr>
              <w:sym w:font="Symbol" w:char="F02D"/>
            </w:r>
            <w:r w:rsidRPr="005208DC">
              <w:rPr>
                <w:rFonts w:asciiTheme="majorBidi" w:eastAsia="Times New Roman" w:hAnsiTheme="majorBidi" w:cstheme="majorBidi"/>
                <w:color w:val="0D0D0D" w:themeColor="text1" w:themeTint="F2"/>
                <w:lang w:val="sq-AL"/>
              </w:rPr>
              <w:t xml:space="preserve"> Pavarësisht përmasave, kompanitë deklaruese kanë ndryshuar planet e tyre të investimit drejt Inovacionit, kryesisht menaxhimit të riskut dhe formimit profesional.</w:t>
            </w:r>
          </w:p>
        </w:tc>
      </w:tr>
    </w:tbl>
    <w:p w14:paraId="3EC86B87" w14:textId="77777777" w:rsidR="00CD0E63" w:rsidRPr="005208DC" w:rsidRDefault="00CD0E63" w:rsidP="00857902">
      <w:pPr>
        <w:snapToGrid w:val="0"/>
        <w:jc w:val="both"/>
        <w:rPr>
          <w:rFonts w:ascii="Times New Roman" w:hAnsi="Times New Roman"/>
          <w:color w:val="0D0D0D" w:themeColor="text1" w:themeTint="F2"/>
          <w:lang w:val="sq-AL"/>
        </w:rPr>
      </w:pPr>
    </w:p>
    <w:p w14:paraId="03897685" w14:textId="42DF7FE5" w:rsidR="004F312A" w:rsidRPr="005208DC" w:rsidRDefault="00B2062A" w:rsidP="00857902">
      <w:pPr>
        <w:pStyle w:val="Heading4"/>
        <w:numPr>
          <w:ilvl w:val="0"/>
          <w:numId w:val="17"/>
        </w:numPr>
        <w:snapToGrid w:val="0"/>
        <w:ind w:left="567" w:hanging="283"/>
        <w:rPr>
          <w:rFonts w:asciiTheme="majorBidi" w:hAnsiTheme="majorBidi" w:cstheme="majorBidi"/>
          <w:b w:val="0"/>
          <w:i/>
          <w:color w:val="0D0D0D" w:themeColor="text1" w:themeTint="F2"/>
          <w:sz w:val="24"/>
          <w:szCs w:val="24"/>
          <w:lang w:val="sq-AL"/>
        </w:rPr>
      </w:pPr>
      <w:r w:rsidRPr="005208DC">
        <w:rPr>
          <w:rFonts w:asciiTheme="majorBidi" w:hAnsiTheme="majorBidi" w:cstheme="majorBidi"/>
          <w:b w:val="0"/>
          <w:i/>
          <w:color w:val="0D0D0D" w:themeColor="text1" w:themeTint="F2"/>
          <w:sz w:val="24"/>
          <w:szCs w:val="24"/>
          <w:lang w:val="sq-AL"/>
        </w:rPr>
        <w:t>Masat e reformës</w:t>
      </w:r>
    </w:p>
    <w:p w14:paraId="4B948AA8" w14:textId="0F6FCE87" w:rsidR="004F312A" w:rsidRPr="005208DC" w:rsidRDefault="00B2062A" w:rsidP="00857902">
      <w:pPr>
        <w:pStyle w:val="Heading5"/>
        <w:snapToGrid w:val="0"/>
        <w:ind w:left="0"/>
        <w:rPr>
          <w:rFonts w:asciiTheme="majorBidi" w:hAnsiTheme="majorBidi" w:cstheme="majorBidi"/>
          <w:i w:val="0"/>
          <w:color w:val="0D0D0D" w:themeColor="text1" w:themeTint="F2"/>
          <w:sz w:val="24"/>
          <w:szCs w:val="24"/>
          <w:lang w:val="sq-AL"/>
        </w:rPr>
      </w:pPr>
      <w:r w:rsidRPr="005208DC">
        <w:rPr>
          <w:rFonts w:asciiTheme="majorBidi" w:hAnsiTheme="majorBidi" w:cstheme="majorBidi"/>
          <w:i w:val="0"/>
          <w:color w:val="0D0D0D" w:themeColor="text1" w:themeTint="F2"/>
          <w:sz w:val="24"/>
          <w:szCs w:val="24"/>
          <w:lang w:val="sq-AL"/>
        </w:rPr>
        <w:t>Masa e reformës</w:t>
      </w:r>
      <w:r w:rsidR="005358F8" w:rsidRPr="005208DC">
        <w:rPr>
          <w:rFonts w:asciiTheme="majorBidi" w:hAnsiTheme="majorBidi" w:cstheme="majorBidi"/>
          <w:i w:val="0"/>
          <w:color w:val="0D0D0D" w:themeColor="text1" w:themeTint="F2"/>
          <w:sz w:val="24"/>
          <w:szCs w:val="24"/>
          <w:lang w:val="sq-AL"/>
        </w:rPr>
        <w:t xml:space="preserve"> 06</w:t>
      </w:r>
      <w:r w:rsidR="004F312A" w:rsidRPr="005208DC">
        <w:rPr>
          <w:rFonts w:asciiTheme="majorBidi" w:hAnsiTheme="majorBidi" w:cstheme="majorBidi"/>
          <w:i w:val="0"/>
          <w:color w:val="0D0D0D" w:themeColor="text1" w:themeTint="F2"/>
          <w:sz w:val="24"/>
          <w:szCs w:val="24"/>
          <w:lang w:val="sq-AL"/>
        </w:rPr>
        <w:t xml:space="preserve">: </w:t>
      </w:r>
      <w:r w:rsidR="00020EB1" w:rsidRPr="005208DC">
        <w:rPr>
          <w:rFonts w:asciiTheme="majorBidi" w:hAnsiTheme="majorBidi" w:cstheme="majorBidi"/>
          <w:i w:val="0"/>
          <w:color w:val="0D0D0D" w:themeColor="text1" w:themeTint="F2"/>
          <w:sz w:val="24"/>
          <w:szCs w:val="24"/>
          <w:lang w:val="sq-AL"/>
        </w:rPr>
        <w:t xml:space="preserve">Fuqizimi i </w:t>
      </w:r>
      <w:r w:rsidR="001E4FC2" w:rsidRPr="005208DC">
        <w:rPr>
          <w:rFonts w:asciiTheme="majorBidi" w:hAnsiTheme="majorBidi" w:cstheme="majorBidi"/>
          <w:i w:val="0"/>
          <w:color w:val="0D0D0D" w:themeColor="text1" w:themeTint="F2"/>
          <w:sz w:val="24"/>
          <w:szCs w:val="24"/>
          <w:lang w:val="sq-AL"/>
        </w:rPr>
        <w:t>luftës</w:t>
      </w:r>
      <w:r w:rsidR="00020EB1" w:rsidRPr="005208DC">
        <w:rPr>
          <w:rFonts w:asciiTheme="majorBidi" w:hAnsiTheme="majorBidi" w:cstheme="majorBidi"/>
          <w:i w:val="0"/>
          <w:color w:val="0D0D0D" w:themeColor="text1" w:themeTint="F2"/>
          <w:sz w:val="24"/>
          <w:szCs w:val="24"/>
          <w:lang w:val="sq-AL"/>
        </w:rPr>
        <w:t xml:space="preserve"> </w:t>
      </w:r>
      <w:r w:rsidR="001E4FC2" w:rsidRPr="005208DC">
        <w:rPr>
          <w:rFonts w:asciiTheme="majorBidi" w:hAnsiTheme="majorBidi" w:cstheme="majorBidi"/>
          <w:i w:val="0"/>
          <w:color w:val="0D0D0D" w:themeColor="text1" w:themeTint="F2"/>
          <w:sz w:val="24"/>
          <w:szCs w:val="24"/>
          <w:lang w:val="sq-AL"/>
        </w:rPr>
        <w:t>kundër</w:t>
      </w:r>
      <w:r w:rsidR="00020EB1" w:rsidRPr="005208DC">
        <w:rPr>
          <w:rFonts w:asciiTheme="majorBidi" w:hAnsiTheme="majorBidi" w:cstheme="majorBidi"/>
          <w:i w:val="0"/>
          <w:color w:val="0D0D0D" w:themeColor="text1" w:themeTint="F2"/>
          <w:sz w:val="24"/>
          <w:szCs w:val="24"/>
          <w:lang w:val="sq-AL"/>
        </w:rPr>
        <w:t xml:space="preserve"> informalitetit</w:t>
      </w:r>
    </w:p>
    <w:p w14:paraId="1C982DAB" w14:textId="3CE1C274" w:rsidR="004F312A" w:rsidRPr="005208DC" w:rsidRDefault="00B2062A" w:rsidP="00857902">
      <w:pPr>
        <w:pStyle w:val="Heading6"/>
        <w:numPr>
          <w:ilvl w:val="0"/>
          <w:numId w:val="16"/>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Përshkrimi i masës</w:t>
      </w:r>
    </w:p>
    <w:p w14:paraId="1A628887" w14:textId="77777777" w:rsidR="002F6FE6" w:rsidRPr="005208DC" w:rsidRDefault="002F6FE6"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Nismat kryesore të marra nga Administrata e Taksave kundër informalitetit në vitin 2021 u bazuan në parime dhe objektiva të qarta bazuar në inteligjencën (Risk).</w:t>
      </w:r>
    </w:p>
    <w:p w14:paraId="48F349AF" w14:textId="19D0827D" w:rsidR="002F6FE6" w:rsidRPr="005208DC" w:rsidRDefault="002F6FE6" w:rsidP="00857902">
      <w:pPr>
        <w:pStyle w:val="HTMLPreformatted"/>
        <w:jc w:val="both"/>
        <w:rPr>
          <w:rStyle w:val="y2iqfc"/>
          <w:rFonts w:ascii="Times New Roman" w:eastAsia="Calibri" w:hAnsi="Times New Roman"/>
          <w:color w:val="0D0D0D" w:themeColor="text1" w:themeTint="F2"/>
          <w:sz w:val="24"/>
          <w:szCs w:val="24"/>
        </w:rPr>
      </w:pPr>
      <w:r w:rsidRPr="005208DC">
        <w:rPr>
          <w:rStyle w:val="y2iqfc"/>
          <w:rFonts w:ascii="Times New Roman" w:eastAsia="Calibri" w:hAnsi="Times New Roman"/>
          <w:color w:val="0D0D0D" w:themeColor="text1" w:themeTint="F2"/>
          <w:sz w:val="24"/>
          <w:szCs w:val="24"/>
        </w:rPr>
        <w:t xml:space="preserve">Faza e parë e zbatimit të fiskalizimit, e cila konsiston në transaksione pa para të gatshme ndërmjet tatimpaguesve dhe subjekteve publike (B2G) ka nisur më 1 janar 2021; Faza e dytë e transaksioneve pa para ndërmjet tatimpaguesve (B2B) ka filluar më 1 korrik 2021, ndërsa më 1 shtator 2021 ka nisur faza e fundit për transaksionet me </w:t>
      </w:r>
      <w:r w:rsidRPr="005208DC">
        <w:rPr>
          <w:rStyle w:val="y2iqfc"/>
          <w:rFonts w:ascii="Times New Roman" w:eastAsia="Calibri" w:hAnsi="Times New Roman"/>
          <w:iCs/>
          <w:color w:val="0D0D0D" w:themeColor="text1" w:themeTint="F2"/>
          <w:sz w:val="24"/>
          <w:szCs w:val="24"/>
        </w:rPr>
        <w:t>cash</w:t>
      </w:r>
      <w:r w:rsidRPr="005208DC">
        <w:rPr>
          <w:rStyle w:val="y2iqfc"/>
          <w:rFonts w:ascii="Times New Roman" w:eastAsia="Calibri" w:hAnsi="Times New Roman"/>
          <w:color w:val="0D0D0D" w:themeColor="text1" w:themeTint="F2"/>
          <w:sz w:val="24"/>
          <w:szCs w:val="24"/>
        </w:rPr>
        <w:t xml:space="preserve"> tatimpagues-konsumator (B2C). Të dhënat në dispozicion janë si vijon:</w:t>
      </w:r>
    </w:p>
    <w:p w14:paraId="385E9D22" w14:textId="77777777" w:rsidR="002F6FE6" w:rsidRPr="005208DC" w:rsidRDefault="002F6FE6" w:rsidP="00F957E8">
      <w:pPr>
        <w:numPr>
          <w:ilvl w:val="0"/>
          <w:numId w:val="132"/>
        </w:numPr>
        <w:jc w:val="both"/>
        <w:rPr>
          <w:rFonts w:ascii="Times New Roman" w:eastAsia="Times New Roman" w:hAnsi="Times New Roman"/>
          <w:color w:val="0D0D0D" w:themeColor="text1" w:themeTint="F2"/>
          <w:lang w:val="sq-AL"/>
        </w:rPr>
      </w:pPr>
      <w:r w:rsidRPr="005208DC">
        <w:rPr>
          <w:rFonts w:ascii="Times New Roman" w:eastAsia="Times New Roman" w:hAnsi="Times New Roman"/>
          <w:color w:val="0D0D0D" w:themeColor="text1" w:themeTint="F2"/>
          <w:lang w:val="sq-AL"/>
        </w:rPr>
        <w:t>Rreth 59.000 tatimpagues aktivë të fiskalizuar dhe mbi 126 milionë fatura të fiskalizuara që prej datës 1 Janar 2021.</w:t>
      </w:r>
    </w:p>
    <w:p w14:paraId="20BF0409" w14:textId="77777777" w:rsidR="002F6FE6" w:rsidRPr="005208DC" w:rsidRDefault="002F6FE6" w:rsidP="00F957E8">
      <w:pPr>
        <w:numPr>
          <w:ilvl w:val="0"/>
          <w:numId w:val="132"/>
        </w:numPr>
        <w:jc w:val="both"/>
        <w:rPr>
          <w:rFonts w:ascii="Times New Roman" w:eastAsia="Times New Roman" w:hAnsi="Times New Roman"/>
          <w:color w:val="0D0D0D" w:themeColor="text1" w:themeTint="F2"/>
          <w:lang w:val="sq-AL"/>
        </w:rPr>
      </w:pPr>
      <w:r w:rsidRPr="005208DC">
        <w:rPr>
          <w:rFonts w:ascii="Times New Roman" w:eastAsia="Times New Roman" w:hAnsi="Times New Roman"/>
          <w:color w:val="0D0D0D" w:themeColor="text1" w:themeTint="F2"/>
          <w:lang w:val="sq-AL"/>
        </w:rPr>
        <w:t>88.609 tatimpagues ose 73% e totalit të tatimpaguesve aktivë janë pajisur me certifikatë fiskalizimi.</w:t>
      </w:r>
    </w:p>
    <w:p w14:paraId="5B0A8936" w14:textId="77777777" w:rsidR="002F6FE6" w:rsidRPr="005208DC" w:rsidRDefault="002F6FE6" w:rsidP="00F957E8">
      <w:pPr>
        <w:numPr>
          <w:ilvl w:val="0"/>
          <w:numId w:val="132"/>
        </w:numPr>
        <w:jc w:val="both"/>
        <w:rPr>
          <w:rFonts w:ascii="Times New Roman" w:eastAsia="Times New Roman" w:hAnsi="Times New Roman"/>
          <w:color w:val="0D0D0D" w:themeColor="text1" w:themeTint="F2"/>
          <w:lang w:val="sq-AL"/>
        </w:rPr>
      </w:pPr>
      <w:r w:rsidRPr="005208DC">
        <w:rPr>
          <w:rFonts w:ascii="Times New Roman" w:eastAsia="Times New Roman" w:hAnsi="Times New Roman"/>
          <w:color w:val="0D0D0D" w:themeColor="text1" w:themeTint="F2"/>
          <w:lang w:val="sq-AL"/>
        </w:rPr>
        <w:t>21.878 tatimpagues ose 86.4 % e tatimpaguesve aktivë Biznes i Madh (BM) janë pajisur me certifikatë fiskalizimi. 18.643 tatimpagues aktivë BM ose 73.6 % e totalit të BM kanë lëshuar fatura të fiskalizuara.</w:t>
      </w:r>
    </w:p>
    <w:p w14:paraId="3E3EC272" w14:textId="77777777" w:rsidR="002F6FE6" w:rsidRPr="005208DC" w:rsidRDefault="002F6FE6" w:rsidP="00857902">
      <w:pPr>
        <w:pStyle w:val="CommentText"/>
        <w:jc w:val="both"/>
        <w:rPr>
          <w:rStyle w:val="y2iqfc"/>
          <w:rFonts w:eastAsia="Calibri"/>
          <w:color w:val="0D0D0D" w:themeColor="text1" w:themeTint="F2"/>
          <w:lang w:val="sq-AL" w:eastAsia="sq-AL"/>
        </w:rPr>
      </w:pPr>
      <w:r w:rsidRPr="005208DC">
        <w:rPr>
          <w:rStyle w:val="y2iqfc"/>
          <w:rFonts w:eastAsia="Calibri"/>
          <w:color w:val="0D0D0D" w:themeColor="text1" w:themeTint="F2"/>
          <w:sz w:val="24"/>
          <w:szCs w:val="24"/>
          <w:lang w:val="sq-AL" w:eastAsia="sq-AL"/>
        </w:rPr>
        <w:t>64.698 tatimpagues ose 71.1% e tatimpaguesve aktivë Biznes i Vogël (BV) janë pajisur me certifikatë fiskalizimi. 37.654 ose 41.4% e tatimpaguesve aktivë BV kanë lëshuar fatura të fiskalizuara.</w:t>
      </w:r>
    </w:p>
    <w:p w14:paraId="08B6637D" w14:textId="77777777" w:rsidR="002F6FE6" w:rsidRPr="005208DC" w:rsidRDefault="002F6FE6" w:rsidP="00857902">
      <w:pPr>
        <w:jc w:val="both"/>
        <w:rPr>
          <w:rFonts w:ascii="Times New Roman" w:hAnsi="Times New Roman"/>
          <w:color w:val="0D0D0D" w:themeColor="text1" w:themeTint="F2"/>
          <w:lang w:val="sq-AL"/>
        </w:rPr>
      </w:pPr>
    </w:p>
    <w:p w14:paraId="58135E3E" w14:textId="77777777" w:rsidR="002F6FE6" w:rsidRPr="005208DC" w:rsidRDefault="002F6FE6"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Në kuadrin e luftës kundër informalitetit, administrata tatimore hartoi dhe zbatoi veprimet e mëposhtme:</w:t>
      </w:r>
    </w:p>
    <w:p w14:paraId="5296F241" w14:textId="77777777" w:rsidR="002F6FE6" w:rsidRPr="005208DC" w:rsidRDefault="002F6FE6" w:rsidP="00F957E8">
      <w:pPr>
        <w:pStyle w:val="ListParagraph"/>
        <w:numPr>
          <w:ilvl w:val="0"/>
          <w:numId w:val="121"/>
        </w:numPr>
        <w:jc w:val="both"/>
        <w:rPr>
          <w:rFonts w:ascii="Times New Roman" w:hAnsi="Times New Roman" w:cs="Times New Roman"/>
          <w:bCs/>
          <w:color w:val="0D0D0D" w:themeColor="text1" w:themeTint="F2"/>
          <w:sz w:val="24"/>
          <w:szCs w:val="24"/>
          <w:lang w:val="sq-AL"/>
        </w:rPr>
      </w:pPr>
      <w:r w:rsidRPr="005208DC">
        <w:rPr>
          <w:rFonts w:ascii="Times New Roman" w:hAnsi="Times New Roman" w:cs="Times New Roman"/>
          <w:bCs/>
          <w:color w:val="0D0D0D" w:themeColor="text1" w:themeTint="F2"/>
          <w:sz w:val="24"/>
          <w:szCs w:val="24"/>
          <w:lang w:val="sq-AL"/>
        </w:rPr>
        <w:t>Plani Sektorial i Turizmit 2021</w:t>
      </w:r>
    </w:p>
    <w:p w14:paraId="03D89C6E" w14:textId="6AAFE266" w:rsidR="002F6FE6" w:rsidRPr="005208DC" w:rsidRDefault="002F6FE6" w:rsidP="00F957E8">
      <w:pPr>
        <w:pStyle w:val="ListParagraph"/>
        <w:numPr>
          <w:ilvl w:val="0"/>
          <w:numId w:val="121"/>
        </w:numPr>
        <w:jc w:val="both"/>
        <w:rPr>
          <w:rFonts w:ascii="Times New Roman" w:hAnsi="Times New Roman" w:cs="Times New Roman"/>
          <w:bCs/>
          <w:color w:val="0D0D0D" w:themeColor="text1" w:themeTint="F2"/>
          <w:sz w:val="24"/>
          <w:szCs w:val="24"/>
          <w:lang w:val="sq-AL"/>
        </w:rPr>
      </w:pPr>
      <w:r w:rsidRPr="005208DC">
        <w:rPr>
          <w:rFonts w:ascii="Times New Roman" w:hAnsi="Times New Roman" w:cs="Times New Roman"/>
          <w:bCs/>
          <w:color w:val="0D0D0D" w:themeColor="text1" w:themeTint="F2"/>
          <w:sz w:val="24"/>
          <w:szCs w:val="24"/>
          <w:lang w:val="sq-AL"/>
        </w:rPr>
        <w:t>Rregullat e riskut për mbikëqyrjen e tatimpaguesve në kuadrin e ndryshimit të pragut të TVSH-së</w:t>
      </w:r>
    </w:p>
    <w:p w14:paraId="27F5E242" w14:textId="77777777" w:rsidR="002F6FE6" w:rsidRPr="005208DC" w:rsidRDefault="002F6FE6" w:rsidP="00F957E8">
      <w:pPr>
        <w:pStyle w:val="ListParagraph"/>
        <w:numPr>
          <w:ilvl w:val="0"/>
          <w:numId w:val="121"/>
        </w:numPr>
        <w:snapToGrid w:val="0"/>
        <w:jc w:val="both"/>
        <w:rPr>
          <w:rFonts w:ascii="Times New Roman" w:hAnsi="Times New Roman" w:cs="Times New Roman"/>
          <w:bCs/>
          <w:color w:val="0D0D0D" w:themeColor="text1" w:themeTint="F2"/>
          <w:sz w:val="24"/>
          <w:szCs w:val="24"/>
          <w:lang w:val="sq-AL"/>
        </w:rPr>
      </w:pPr>
      <w:r w:rsidRPr="005208DC">
        <w:rPr>
          <w:rFonts w:ascii="Times New Roman" w:hAnsi="Times New Roman" w:cs="Times New Roman"/>
          <w:bCs/>
          <w:color w:val="0D0D0D" w:themeColor="text1" w:themeTint="F2"/>
          <w:sz w:val="24"/>
          <w:szCs w:val="24"/>
          <w:lang w:val="sq-AL"/>
        </w:rPr>
        <w:t>Plani Sektorial i Rindërtimit</w:t>
      </w:r>
    </w:p>
    <w:p w14:paraId="1EF5BD98" w14:textId="77777777" w:rsidR="002F6FE6" w:rsidRPr="005208DC" w:rsidRDefault="002F6FE6" w:rsidP="00857902">
      <w:pPr>
        <w:jc w:val="both"/>
        <w:rPr>
          <w:rFonts w:ascii="Times New Roman" w:hAnsi="Times New Roman"/>
          <w:b/>
          <w:color w:val="0D0D0D" w:themeColor="text1" w:themeTint="F2"/>
          <w:lang w:val="sq-AL"/>
        </w:rPr>
      </w:pPr>
    </w:p>
    <w:p w14:paraId="54772BDC" w14:textId="6E27B295" w:rsidR="002F6FE6" w:rsidRPr="005208DC" w:rsidRDefault="002F6FE6" w:rsidP="00857902">
      <w:pPr>
        <w:jc w:val="both"/>
        <w:rPr>
          <w:rFonts w:ascii="Times New Roman" w:hAnsi="Times New Roman"/>
          <w:bCs/>
          <w:color w:val="0D0D0D" w:themeColor="text1" w:themeTint="F2"/>
          <w:lang w:val="sq-AL"/>
        </w:rPr>
      </w:pPr>
      <w:r w:rsidRPr="005208DC">
        <w:rPr>
          <w:rFonts w:ascii="Times New Roman" w:hAnsi="Times New Roman"/>
          <w:bCs/>
          <w:color w:val="0D0D0D" w:themeColor="text1" w:themeTint="F2"/>
          <w:lang w:val="sq-AL"/>
        </w:rPr>
        <w:t>Rezultatet kryesore nga këto iniciativa janë:</w:t>
      </w:r>
    </w:p>
    <w:p w14:paraId="3B982454" w14:textId="345C1B89" w:rsidR="002F6FE6" w:rsidRPr="005208DC" w:rsidRDefault="002F6FE6" w:rsidP="00F957E8">
      <w:pPr>
        <w:pStyle w:val="ListParagraph"/>
        <w:numPr>
          <w:ilvl w:val="0"/>
          <w:numId w:val="134"/>
        </w:numPr>
        <w:snapToGrid w:val="0"/>
        <w:jc w:val="both"/>
        <w:rPr>
          <w:rFonts w:ascii="Times New Roman" w:hAnsi="Times New Roman"/>
          <w:b/>
          <w:color w:val="0D0D0D" w:themeColor="text1" w:themeTint="F2"/>
          <w:sz w:val="24"/>
          <w:szCs w:val="24"/>
          <w:lang w:val="sq-AL"/>
        </w:rPr>
      </w:pPr>
      <w:r w:rsidRPr="005208DC">
        <w:rPr>
          <w:rFonts w:ascii="Times New Roman" w:hAnsi="Times New Roman"/>
          <w:b/>
          <w:color w:val="0D0D0D" w:themeColor="text1" w:themeTint="F2"/>
          <w:sz w:val="24"/>
          <w:szCs w:val="24"/>
          <w:lang w:val="sq-AL"/>
        </w:rPr>
        <w:t>Plani Sektorial i Turizmit 2021</w:t>
      </w:r>
    </w:p>
    <w:p w14:paraId="56B683FB" w14:textId="77777777" w:rsidR="002F6FE6" w:rsidRPr="005208DC" w:rsidRDefault="002F6FE6" w:rsidP="00F957E8">
      <w:pPr>
        <w:pStyle w:val="ListParagraph"/>
        <w:numPr>
          <w:ilvl w:val="0"/>
          <w:numId w:val="133"/>
        </w:numPr>
        <w:tabs>
          <w:tab w:val="clear" w:pos="720"/>
        </w:tabs>
        <w:snapToGrid w:val="0"/>
        <w:ind w:left="993" w:hanging="284"/>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Rritje me 8% e xhiros gjatë sezonit turistik 2021, krahasuar me vitin 2019 për të njëjtën periudhë për tatimpaguesit aktivë të synuar.</w:t>
      </w:r>
    </w:p>
    <w:p w14:paraId="32F20961" w14:textId="77777777" w:rsidR="002F6FE6" w:rsidRPr="005208DC" w:rsidRDefault="002F6FE6" w:rsidP="00F957E8">
      <w:pPr>
        <w:pStyle w:val="ListParagraph"/>
        <w:numPr>
          <w:ilvl w:val="0"/>
          <w:numId w:val="133"/>
        </w:numPr>
        <w:tabs>
          <w:tab w:val="clear" w:pos="720"/>
        </w:tabs>
        <w:snapToGrid w:val="0"/>
        <w:ind w:left="993" w:hanging="284"/>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4% rritje e pagesës së TVSH-së duke identifikuar dhe inkurajuar tatimpaguesit që rezultojnë në mos-deklarim apo pagesë të vonuar.</w:t>
      </w:r>
    </w:p>
    <w:p w14:paraId="0A5E95E0" w14:textId="0D025E34" w:rsidR="002F6FE6" w:rsidRPr="005208DC" w:rsidRDefault="002F6FE6" w:rsidP="00F957E8">
      <w:pPr>
        <w:pStyle w:val="ListParagraph"/>
        <w:numPr>
          <w:ilvl w:val="0"/>
          <w:numId w:val="133"/>
        </w:numPr>
        <w:tabs>
          <w:tab w:val="clear" w:pos="720"/>
        </w:tabs>
        <w:snapToGrid w:val="0"/>
        <w:ind w:left="993" w:hanging="284"/>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Reduktim me 25% të numrit të tatimpaguesve (TP) që deklarojnë në listë pagesë vetëm 1 punonjës.</w:t>
      </w:r>
    </w:p>
    <w:p w14:paraId="69A8585D" w14:textId="77777777" w:rsidR="002F6FE6" w:rsidRPr="005208DC" w:rsidRDefault="002F6FE6" w:rsidP="00F957E8">
      <w:pPr>
        <w:pStyle w:val="ListParagraph"/>
        <w:numPr>
          <w:ilvl w:val="0"/>
          <w:numId w:val="133"/>
        </w:numPr>
        <w:tabs>
          <w:tab w:val="clear" w:pos="720"/>
        </w:tabs>
        <w:snapToGrid w:val="0"/>
        <w:ind w:left="993" w:hanging="284"/>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Zvogëlim me 15% të numrit të punonjësve me pagë minimale ose më pak.</w:t>
      </w:r>
    </w:p>
    <w:p w14:paraId="546202B8" w14:textId="77777777" w:rsidR="002F6FE6" w:rsidRPr="005208DC" w:rsidRDefault="002F6FE6" w:rsidP="00857902">
      <w:pPr>
        <w:snapToGrid w:val="0"/>
        <w:rPr>
          <w:rFonts w:asciiTheme="majorBidi" w:hAnsiTheme="majorBidi" w:cstheme="majorBidi"/>
          <w:color w:val="0D0D0D" w:themeColor="text1" w:themeTint="F2"/>
          <w:lang w:val="sq-AL"/>
        </w:rPr>
      </w:pPr>
    </w:p>
    <w:p w14:paraId="4F0F246F" w14:textId="77777777" w:rsidR="002F6FE6" w:rsidRPr="005208DC" w:rsidRDefault="002F6FE6" w:rsidP="00F957E8">
      <w:pPr>
        <w:pStyle w:val="ListParagraph"/>
        <w:numPr>
          <w:ilvl w:val="0"/>
          <w:numId w:val="134"/>
        </w:numPr>
        <w:snapToGrid w:val="0"/>
        <w:jc w:val="both"/>
        <w:rPr>
          <w:rFonts w:ascii="Times New Roman" w:hAnsi="Times New Roman"/>
          <w:b/>
          <w:color w:val="0D0D0D" w:themeColor="text1" w:themeTint="F2"/>
          <w:sz w:val="24"/>
          <w:szCs w:val="24"/>
          <w:lang w:val="sq-AL"/>
        </w:rPr>
      </w:pPr>
      <w:r w:rsidRPr="005208DC">
        <w:rPr>
          <w:rFonts w:ascii="Times New Roman" w:hAnsi="Times New Roman"/>
          <w:b/>
          <w:color w:val="0D0D0D" w:themeColor="text1" w:themeTint="F2"/>
          <w:sz w:val="24"/>
          <w:szCs w:val="24"/>
          <w:lang w:val="sq-AL"/>
        </w:rPr>
        <w:t>Plani Sektorial i Rindërtimit</w:t>
      </w:r>
    </w:p>
    <w:p w14:paraId="7399B68E" w14:textId="77777777" w:rsidR="002F6FE6" w:rsidRPr="005208DC" w:rsidRDefault="002F6FE6"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U identifikuan tatimpagues me risk:</w:t>
      </w:r>
    </w:p>
    <w:p w14:paraId="6AFD4EEF" w14:textId="77777777" w:rsidR="002F6FE6" w:rsidRPr="005208DC" w:rsidRDefault="002F6FE6" w:rsidP="00F957E8">
      <w:pPr>
        <w:pStyle w:val="ListParagraph"/>
        <w:numPr>
          <w:ilvl w:val="0"/>
          <w:numId w:val="135"/>
        </w:numPr>
        <w:tabs>
          <w:tab w:val="clear" w:pos="720"/>
        </w:tabs>
        <w:snapToGrid w:val="0"/>
        <w:ind w:left="993" w:hanging="284"/>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Shitjet e mëdha te përjashtuara nga TVSH-ja.</w:t>
      </w:r>
    </w:p>
    <w:p w14:paraId="12CA0FA7" w14:textId="77777777" w:rsidR="002F6FE6" w:rsidRPr="005208DC" w:rsidRDefault="002F6FE6" w:rsidP="00F957E8">
      <w:pPr>
        <w:pStyle w:val="ListParagraph"/>
        <w:numPr>
          <w:ilvl w:val="0"/>
          <w:numId w:val="135"/>
        </w:numPr>
        <w:tabs>
          <w:tab w:val="clear" w:pos="720"/>
        </w:tabs>
        <w:snapToGrid w:val="0"/>
        <w:ind w:left="993" w:hanging="284"/>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Tatimpagues me përqindjen më të lartë të punonjësve nen pagën minimale.</w:t>
      </w:r>
    </w:p>
    <w:p w14:paraId="6CC731A3" w14:textId="77777777" w:rsidR="002F6FE6" w:rsidRPr="005208DC" w:rsidRDefault="002F6FE6" w:rsidP="00F957E8">
      <w:pPr>
        <w:pStyle w:val="ListParagraph"/>
        <w:numPr>
          <w:ilvl w:val="0"/>
          <w:numId w:val="135"/>
        </w:numPr>
        <w:tabs>
          <w:tab w:val="clear" w:pos="720"/>
        </w:tabs>
        <w:snapToGrid w:val="0"/>
        <w:ind w:left="993" w:hanging="284"/>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Tatimpagues me një rënie në koeficientin e pagesës së TVSH-së.</w:t>
      </w:r>
    </w:p>
    <w:p w14:paraId="30C82E5B" w14:textId="77777777" w:rsidR="002F6FE6" w:rsidRPr="005208DC" w:rsidRDefault="002F6FE6" w:rsidP="00F957E8">
      <w:pPr>
        <w:pStyle w:val="ListParagraph"/>
        <w:numPr>
          <w:ilvl w:val="0"/>
          <w:numId w:val="135"/>
        </w:numPr>
        <w:tabs>
          <w:tab w:val="clear" w:pos="720"/>
        </w:tabs>
        <w:snapToGrid w:val="0"/>
        <w:ind w:left="993" w:hanging="284"/>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Tatimpagues që rezultojnë me 1 - 3 punonjës.</w:t>
      </w:r>
    </w:p>
    <w:p w14:paraId="0AA72185" w14:textId="77777777" w:rsidR="002F6FE6" w:rsidRPr="005208DC" w:rsidRDefault="002F6FE6" w:rsidP="00F957E8">
      <w:pPr>
        <w:pStyle w:val="ListParagraph"/>
        <w:numPr>
          <w:ilvl w:val="0"/>
          <w:numId w:val="135"/>
        </w:numPr>
        <w:tabs>
          <w:tab w:val="clear" w:pos="720"/>
        </w:tabs>
        <w:snapToGrid w:val="0"/>
        <w:ind w:left="993" w:hanging="284"/>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Tatimpagues që  në mars 2020 rezultuan në një rënie në numrin e punonjësve.</w:t>
      </w:r>
    </w:p>
    <w:p w14:paraId="48BD913B" w14:textId="77777777" w:rsidR="002F6FE6" w:rsidRPr="005208DC" w:rsidRDefault="002F6FE6" w:rsidP="00F957E8">
      <w:pPr>
        <w:pStyle w:val="ListParagraph"/>
        <w:numPr>
          <w:ilvl w:val="0"/>
          <w:numId w:val="135"/>
        </w:numPr>
        <w:tabs>
          <w:tab w:val="clear" w:pos="720"/>
        </w:tabs>
        <w:snapToGrid w:val="0"/>
        <w:ind w:left="993" w:hanging="284"/>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Tatimpagues qe rezultuan me humbje gjatë vitit 2020.</w:t>
      </w:r>
    </w:p>
    <w:p w14:paraId="2B795AD4" w14:textId="5CEBEF39" w:rsidR="002F6FE6" w:rsidRPr="005208DC" w:rsidRDefault="002F6FE6" w:rsidP="00857902">
      <w:pPr>
        <w:tabs>
          <w:tab w:val="left" w:pos="720"/>
        </w:tabs>
        <w:snapToGrid w:val="0"/>
        <w:jc w:val="both"/>
        <w:rPr>
          <w:rFonts w:ascii="Times New Roman" w:hAnsi="Times New Roman"/>
          <w:color w:val="0D0D0D" w:themeColor="text1" w:themeTint="F2"/>
          <w:lang w:val="sq-AL"/>
        </w:rPr>
      </w:pPr>
    </w:p>
    <w:p w14:paraId="699E3B0C" w14:textId="77777777" w:rsidR="002F6FE6" w:rsidRPr="005208DC" w:rsidRDefault="002F6FE6"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Bazuar në këto kritere risku, forma e trajtimit të riskut për tatimpaguesit e identifikuar ishte: kontrolli i plotë tatimor, kontroll nga zyra, vizitat fiskale, monitorimi, kontakti  me letra dhe telefonata.</w:t>
      </w:r>
    </w:p>
    <w:p w14:paraId="652E59A3" w14:textId="77777777" w:rsidR="002F6FE6" w:rsidRPr="005208DC" w:rsidRDefault="002F6FE6"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Gjatë periudhës në vijim, vëmendja e Administratës Tatimore do të përqendrohet në vazhdimin e trajtimit të informalitetit në tregun e punës dhe në hartimin e planeve sektoriale për sektorin e energjisë elektrike dhe hidrokarbureve, si dhe trajtimin e çdo sjelljeje mospërmbushëse të identifikuar për sektorë të ndryshëm, lloje te ndryshme tatimesh, vendndodhje gjeografike apo madhësi të ndryshme tatimpaguesish.</w:t>
      </w:r>
    </w:p>
    <w:p w14:paraId="1C3A6089" w14:textId="087669C3" w:rsidR="00020EB1" w:rsidRPr="005208DC" w:rsidRDefault="002F6FE6" w:rsidP="00857902">
      <w:pPr>
        <w:snapToGrid w:val="0"/>
        <w:jc w:val="both"/>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Reforma e parashikuar për zbatim gjatë periudhës 2022-2024 do të kontribuojë në reduktimin e mëtejshëm të informalitetit dhe mundësimin e shërbimeve më cilësore në sektorin e taksave.</w:t>
      </w:r>
    </w:p>
    <w:p w14:paraId="06963121" w14:textId="77777777" w:rsidR="00020EB1" w:rsidRPr="005208DC" w:rsidRDefault="00020EB1" w:rsidP="00857902">
      <w:pPr>
        <w:snapToGrid w:val="0"/>
        <w:rPr>
          <w:rFonts w:asciiTheme="majorBidi" w:hAnsiTheme="majorBidi" w:cstheme="majorBidi"/>
          <w:color w:val="0D0D0D" w:themeColor="text1" w:themeTint="F2"/>
          <w:lang w:val="sq-AL"/>
        </w:rPr>
      </w:pPr>
    </w:p>
    <w:p w14:paraId="3BF54CEF" w14:textId="022A9AF9" w:rsidR="004F312A" w:rsidRPr="005208DC" w:rsidRDefault="00B2062A" w:rsidP="00857902">
      <w:pPr>
        <w:pStyle w:val="ListParagraph"/>
        <w:numPr>
          <w:ilvl w:val="0"/>
          <w:numId w:val="14"/>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4F312A" w:rsidRPr="005208DC">
        <w:rPr>
          <w:rFonts w:asciiTheme="majorBidi" w:hAnsiTheme="majorBidi" w:cstheme="majorBidi"/>
          <w:b/>
          <w:color w:val="0D0D0D" w:themeColor="text1" w:themeTint="F2"/>
          <w:sz w:val="24"/>
          <w:szCs w:val="24"/>
          <w:lang w:val="sq-AL"/>
        </w:rPr>
        <w:t xml:space="preserve"> 2022</w:t>
      </w:r>
      <w:r w:rsidR="002A4BC2" w:rsidRPr="005208DC">
        <w:rPr>
          <w:rFonts w:asciiTheme="majorBidi" w:hAnsiTheme="majorBidi" w:cstheme="majorBidi"/>
          <w:b/>
          <w:color w:val="0D0D0D" w:themeColor="text1" w:themeTint="F2"/>
          <w:sz w:val="24"/>
          <w:szCs w:val="24"/>
          <w:lang w:val="sq-AL"/>
        </w:rPr>
        <w:t>-2024</w:t>
      </w:r>
    </w:p>
    <w:p w14:paraId="40573186" w14:textId="2CE270D5" w:rsidR="002F6FE6" w:rsidRPr="005208DC" w:rsidRDefault="002F6FE6" w:rsidP="00857902">
      <w:pPr>
        <w:pStyle w:val="ListParagraph"/>
        <w:numPr>
          <w:ilvl w:val="0"/>
          <w:numId w:val="15"/>
        </w:numPr>
        <w:jc w:val="both"/>
        <w:rPr>
          <w:rFonts w:ascii="Times New Roman" w:hAnsi="Times New Roman" w:cs="Times New Roman"/>
          <w:b/>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Automatizimi i procedurave të rimbursimit të TVSH-së, duke rezultuar në zerimin e detyrimeve te prapambetura te rimbursimit TVSH në vitin 2022.</w:t>
      </w:r>
    </w:p>
    <w:p w14:paraId="6C13C0B0" w14:textId="3CBD032E" w:rsidR="002F6FE6" w:rsidRPr="005208DC" w:rsidRDefault="002F6FE6" w:rsidP="00857902">
      <w:pPr>
        <w:pStyle w:val="ListParagraph"/>
        <w:numPr>
          <w:ilvl w:val="0"/>
          <w:numId w:val="15"/>
        </w:numPr>
        <w:snapToGrid w:val="0"/>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 xml:space="preserve">Kriteret e reja dhe të përmirësuara të riskut për identifikimin e tatimpaguesve në </w:t>
      </w:r>
      <w:r w:rsidR="00857902" w:rsidRPr="005208DC">
        <w:rPr>
          <w:rFonts w:ascii="Times New Roman" w:hAnsi="Times New Roman" w:cs="Times New Roman"/>
          <w:color w:val="0D0D0D" w:themeColor="text1" w:themeTint="F2"/>
          <w:sz w:val="24"/>
          <w:szCs w:val="24"/>
          <w:lang w:val="sq-AL"/>
        </w:rPr>
        <w:t>mos përmbushje</w:t>
      </w:r>
      <w:r w:rsidRPr="005208DC">
        <w:rPr>
          <w:rFonts w:ascii="Times New Roman" w:hAnsi="Times New Roman" w:cs="Times New Roman"/>
          <w:color w:val="0D0D0D" w:themeColor="text1" w:themeTint="F2"/>
          <w:sz w:val="24"/>
          <w:szCs w:val="24"/>
          <w:lang w:val="sq-AL"/>
        </w:rPr>
        <w:t xml:space="preserve"> te detyrimeve tatimore (tatimpaguesit me rritje të të ardhurave, por ulje të detyrimit TVSH; tatimpaguesit që nuk </w:t>
      </w:r>
      <w:r w:rsidR="00857902" w:rsidRPr="005208DC">
        <w:rPr>
          <w:rFonts w:ascii="Times New Roman" w:hAnsi="Times New Roman" w:cs="Times New Roman"/>
          <w:color w:val="0D0D0D" w:themeColor="text1" w:themeTint="F2"/>
          <w:sz w:val="24"/>
          <w:szCs w:val="24"/>
          <w:lang w:val="sq-AL"/>
        </w:rPr>
        <w:t>deklarojnë</w:t>
      </w:r>
      <w:r w:rsidRPr="005208DC">
        <w:rPr>
          <w:rFonts w:ascii="Times New Roman" w:hAnsi="Times New Roman" w:cs="Times New Roman"/>
          <w:color w:val="0D0D0D" w:themeColor="text1" w:themeTint="F2"/>
          <w:sz w:val="24"/>
          <w:szCs w:val="24"/>
          <w:lang w:val="sq-AL"/>
        </w:rPr>
        <w:t xml:space="preserve"> shpenzimet për faturat e energjisë elektrike; tatimpaguesit me paga të nëndeklaruara për punonjësit e tyre – të identifikuara duke krahasuar të dhënat disavjeçare).</w:t>
      </w:r>
    </w:p>
    <w:p w14:paraId="4CD40610" w14:textId="1E6612BE" w:rsidR="002F6FE6" w:rsidRPr="005208DC" w:rsidRDefault="002F6FE6" w:rsidP="00857902">
      <w:pPr>
        <w:pStyle w:val="ListParagraph"/>
        <w:numPr>
          <w:ilvl w:val="0"/>
          <w:numId w:val="15"/>
        </w:numPr>
        <w:snapToGrid w:val="0"/>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 xml:space="preserve">Trajtimi i evazionit fiskal, mashtrimit fiskal dhe informalitetit, duke përdorur në kohë reale mbikqyrjen e transaksioneve financiare midis tatimpaguesve, sipas sistemit të </w:t>
      </w:r>
      <w:r w:rsidR="00857902" w:rsidRPr="005208DC">
        <w:rPr>
          <w:rFonts w:ascii="Times New Roman" w:hAnsi="Times New Roman" w:cs="Times New Roman"/>
          <w:color w:val="0D0D0D" w:themeColor="text1" w:themeTint="F2"/>
          <w:sz w:val="24"/>
          <w:szCs w:val="24"/>
          <w:lang w:val="sq-AL"/>
        </w:rPr>
        <w:t>sapo zbatuar</w:t>
      </w:r>
      <w:r w:rsidRPr="005208DC">
        <w:rPr>
          <w:rFonts w:ascii="Times New Roman" w:hAnsi="Times New Roman" w:cs="Times New Roman"/>
          <w:color w:val="0D0D0D" w:themeColor="text1" w:themeTint="F2"/>
          <w:sz w:val="24"/>
          <w:szCs w:val="24"/>
          <w:lang w:val="sq-AL"/>
        </w:rPr>
        <w:t xml:space="preserve"> të fiskalizimit (sistemi i monitorimit dhe mbikqyrjes së veprimtarive tregtare të tatimpaguesve nga autoritetet tatimore shqiptare). Ky sistem do të sjellë më shumë raportime transaksionesh me para në dorë dhe do të reduktojë transaksionet e fshehura pa para, me kontroll më të mirë të sistemit fiskal. Do të ndihmojë gjithashtu efikasitetin në raportimin fiskal, duke mbledhur më shumë të dhëna nga tatimpaguesit dhe duke parambushur </w:t>
      </w:r>
      <w:r w:rsidR="00857902" w:rsidRPr="005208DC">
        <w:rPr>
          <w:rFonts w:ascii="Times New Roman" w:hAnsi="Times New Roman" w:cs="Times New Roman"/>
          <w:color w:val="0D0D0D" w:themeColor="text1" w:themeTint="F2"/>
          <w:sz w:val="24"/>
          <w:szCs w:val="24"/>
          <w:lang w:val="sq-AL"/>
        </w:rPr>
        <w:t>deklaratën</w:t>
      </w:r>
      <w:r w:rsidRPr="005208DC">
        <w:rPr>
          <w:rFonts w:ascii="Times New Roman" w:hAnsi="Times New Roman" w:cs="Times New Roman"/>
          <w:color w:val="0D0D0D" w:themeColor="text1" w:themeTint="F2"/>
          <w:sz w:val="24"/>
          <w:szCs w:val="24"/>
          <w:lang w:val="sq-AL"/>
        </w:rPr>
        <w:t xml:space="preserve"> e TVSH-së me këto të dhëna.</w:t>
      </w:r>
    </w:p>
    <w:p w14:paraId="7CF983D4" w14:textId="77777777" w:rsidR="002F6FE6" w:rsidRPr="005208DC" w:rsidRDefault="002F6FE6" w:rsidP="00857902">
      <w:pPr>
        <w:pStyle w:val="ListParagraph"/>
        <w:numPr>
          <w:ilvl w:val="0"/>
          <w:numId w:val="15"/>
        </w:numPr>
        <w:snapToGrid w:val="0"/>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Detektimi i të ardhurave globale të padeklaruara nga tatimpaguesit dhe individët, nëpërmjet shkëmbimit të parë automatik të informacionit mbi llogaritë financiare në vitin 2021 e në vijim, sipas Standardit të Përbashkët të Raportimit të OECD-së.</w:t>
      </w:r>
    </w:p>
    <w:p w14:paraId="0B434B10" w14:textId="77777777" w:rsidR="002F6FE6" w:rsidRPr="005208DC" w:rsidRDefault="002F6FE6" w:rsidP="00857902">
      <w:pPr>
        <w:pStyle w:val="ListParagraph"/>
        <w:numPr>
          <w:ilvl w:val="0"/>
          <w:numId w:val="15"/>
        </w:numPr>
        <w:snapToGrid w:val="0"/>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 xml:space="preserve">Integrimi dhe përdorimi i të dhënave nga palët e treta në </w:t>
      </w:r>
      <w:r w:rsidRPr="005208DC">
        <w:rPr>
          <w:rFonts w:ascii="Times New Roman" w:hAnsi="Times New Roman" w:cs="Times New Roman"/>
          <w:i/>
          <w:iCs/>
          <w:color w:val="0D0D0D" w:themeColor="text1" w:themeTint="F2"/>
          <w:sz w:val="24"/>
          <w:szCs w:val="24"/>
          <w:lang w:val="sq-AL"/>
        </w:rPr>
        <w:t>Data Warehouse</w:t>
      </w:r>
      <w:r w:rsidRPr="005208DC">
        <w:rPr>
          <w:rFonts w:ascii="Times New Roman" w:hAnsi="Times New Roman" w:cs="Times New Roman"/>
          <w:color w:val="0D0D0D" w:themeColor="text1" w:themeTint="F2"/>
          <w:sz w:val="24"/>
          <w:szCs w:val="24"/>
          <w:lang w:val="sq-AL"/>
        </w:rPr>
        <w:t xml:space="preserve"> të administratës tatimore, {autoritetet kombëtare të shërbimeve (uji, elektriciteti), regjistrimi i automjeteve, bashkitë, etj.} Duke marrë në konsideratë hendekun e TVSH-së si dhe mospërputhjet e të dhënave, mbledhjen e të dhënave dhe administrimin e mire te tyre, ndërtimi i një </w:t>
      </w:r>
      <w:r w:rsidRPr="005208DC">
        <w:rPr>
          <w:rFonts w:ascii="Times New Roman" w:hAnsi="Times New Roman" w:cs="Times New Roman"/>
          <w:i/>
          <w:iCs/>
          <w:color w:val="0D0D0D" w:themeColor="text1" w:themeTint="F2"/>
          <w:sz w:val="24"/>
          <w:szCs w:val="24"/>
          <w:lang w:val="sq-AL"/>
        </w:rPr>
        <w:t>Data Warehouse</w:t>
      </w:r>
      <w:r w:rsidRPr="005208DC">
        <w:rPr>
          <w:rFonts w:ascii="Times New Roman" w:hAnsi="Times New Roman" w:cs="Times New Roman"/>
          <w:color w:val="0D0D0D" w:themeColor="text1" w:themeTint="F2"/>
          <w:sz w:val="24"/>
          <w:szCs w:val="24"/>
          <w:lang w:val="sq-AL"/>
        </w:rPr>
        <w:t xml:space="preserve"> (si një nga rekomandimet e FMN-së) me të dhëna të centralizuara, të menaxhuara nga vetëm një burim, bëhet një hap i madh përpara në lidhje me luftën kundër informalitetit. </w:t>
      </w:r>
    </w:p>
    <w:p w14:paraId="2FA35FC8" w14:textId="77777777" w:rsidR="002F6FE6" w:rsidRPr="005208DC" w:rsidRDefault="002F6FE6" w:rsidP="00857902">
      <w:pPr>
        <w:pStyle w:val="ListParagraph"/>
        <w:numPr>
          <w:ilvl w:val="0"/>
          <w:numId w:val="15"/>
        </w:numPr>
        <w:snapToGrid w:val="0"/>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 xml:space="preserve">Ndërtimi i Regjistrit të Aseteve të Tatimpaguesve (te tundshme &amp; patundshme), me qëllim vlerësimin real të pasurive të tatimpaguesve, duke ndërtuar një sistem për verifikimin dhe ndjekjen e të ardhurave të tatimpaguesve, kontrollin e plotë të pagesave të bëra mbi taksat e pasurisë. Ky proces do të kalojë nëpër 3 faza: a. Krijimi i një Regjistri asetesh me atributet përkatëse; b. Shkëmbimi i të dhënave me </w:t>
      </w:r>
      <w:r w:rsidRPr="005208DC">
        <w:rPr>
          <w:rFonts w:ascii="Times New Roman" w:hAnsi="Times New Roman" w:cs="Times New Roman"/>
          <w:i/>
          <w:iCs/>
          <w:color w:val="0D0D0D" w:themeColor="text1" w:themeTint="F2"/>
          <w:sz w:val="24"/>
          <w:szCs w:val="24"/>
          <w:lang w:val="sq-AL"/>
        </w:rPr>
        <w:t>web-service</w:t>
      </w:r>
      <w:r w:rsidRPr="005208DC">
        <w:rPr>
          <w:rFonts w:ascii="Times New Roman" w:hAnsi="Times New Roman" w:cs="Times New Roman"/>
          <w:color w:val="0D0D0D" w:themeColor="text1" w:themeTint="F2"/>
          <w:sz w:val="24"/>
          <w:szCs w:val="24"/>
          <w:lang w:val="sq-AL"/>
        </w:rPr>
        <w:t xml:space="preserve">; c. Analiza e të dhënave me raportet </w:t>
      </w:r>
      <w:r w:rsidRPr="005208DC">
        <w:rPr>
          <w:rFonts w:ascii="Times New Roman" w:hAnsi="Times New Roman" w:cs="Times New Roman"/>
          <w:i/>
          <w:iCs/>
          <w:color w:val="0D0D0D" w:themeColor="text1" w:themeTint="F2"/>
          <w:sz w:val="24"/>
          <w:szCs w:val="24"/>
          <w:lang w:val="sq-AL"/>
        </w:rPr>
        <w:t>BI</w:t>
      </w:r>
      <w:r w:rsidRPr="005208DC">
        <w:rPr>
          <w:rFonts w:ascii="Times New Roman" w:hAnsi="Times New Roman" w:cs="Times New Roman"/>
          <w:color w:val="0D0D0D" w:themeColor="text1" w:themeTint="F2"/>
          <w:sz w:val="24"/>
          <w:szCs w:val="24"/>
          <w:lang w:val="sq-AL"/>
        </w:rPr>
        <w:t xml:space="preserve">. </w:t>
      </w:r>
    </w:p>
    <w:p w14:paraId="299E53A0" w14:textId="3CC34168" w:rsidR="002F6FE6" w:rsidRPr="005208DC" w:rsidRDefault="002F6FE6" w:rsidP="00857902">
      <w:pPr>
        <w:pStyle w:val="ListParagraph"/>
        <w:numPr>
          <w:ilvl w:val="0"/>
          <w:numId w:val="15"/>
        </w:numPr>
        <w:snapToGrid w:val="0"/>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 xml:space="preserve">Hartimi dhe zbatimi i një program </w:t>
      </w:r>
      <w:r w:rsidR="00857902" w:rsidRPr="005208DC">
        <w:rPr>
          <w:rFonts w:ascii="Times New Roman" w:hAnsi="Times New Roman" w:cs="Times New Roman"/>
          <w:color w:val="0D0D0D" w:themeColor="text1" w:themeTint="F2"/>
          <w:sz w:val="24"/>
          <w:szCs w:val="24"/>
          <w:lang w:val="sq-AL"/>
        </w:rPr>
        <w:t>përmbushjeje</w:t>
      </w:r>
      <w:r w:rsidRPr="005208DC">
        <w:rPr>
          <w:rFonts w:ascii="Times New Roman" w:hAnsi="Times New Roman" w:cs="Times New Roman"/>
          <w:color w:val="0D0D0D" w:themeColor="text1" w:themeTint="F2"/>
          <w:sz w:val="24"/>
          <w:szCs w:val="24"/>
          <w:lang w:val="sq-AL"/>
        </w:rPr>
        <w:t xml:space="preserve"> për individët më të pasur.</w:t>
      </w:r>
    </w:p>
    <w:p w14:paraId="39FADE0B" w14:textId="77777777" w:rsidR="002F6FE6" w:rsidRPr="005208DC" w:rsidRDefault="002F6FE6" w:rsidP="00857902">
      <w:pPr>
        <w:pStyle w:val="ListParagraph"/>
        <w:numPr>
          <w:ilvl w:val="0"/>
          <w:numId w:val="15"/>
        </w:numPr>
        <w:snapToGrid w:val="0"/>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Fuqizimi i sistemit dhe përdorimi i të dhënave në procesin e vendim-marrjes në lidhje me individët e pasur.</w:t>
      </w:r>
    </w:p>
    <w:p w14:paraId="68251952" w14:textId="36A2A8DF" w:rsidR="002F6FE6" w:rsidRPr="005208DC" w:rsidRDefault="002F6FE6" w:rsidP="00857902">
      <w:pPr>
        <w:pStyle w:val="ListParagraph"/>
        <w:numPr>
          <w:ilvl w:val="0"/>
          <w:numId w:val="15"/>
        </w:numPr>
        <w:snapToGrid w:val="0"/>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 xml:space="preserve">Përdorimi i qasjes së integruar për zbatimin e </w:t>
      </w:r>
      <w:r w:rsidR="00857902" w:rsidRPr="005208DC">
        <w:rPr>
          <w:rFonts w:ascii="Times New Roman" w:hAnsi="Times New Roman" w:cs="Times New Roman"/>
          <w:color w:val="0D0D0D" w:themeColor="text1" w:themeTint="F2"/>
          <w:sz w:val="24"/>
          <w:szCs w:val="24"/>
          <w:lang w:val="sq-AL"/>
        </w:rPr>
        <w:t>strategjisë</w:t>
      </w:r>
      <w:r w:rsidRPr="005208DC">
        <w:rPr>
          <w:rFonts w:ascii="Times New Roman" w:hAnsi="Times New Roman" w:cs="Times New Roman"/>
          <w:color w:val="0D0D0D" w:themeColor="text1" w:themeTint="F2"/>
          <w:sz w:val="24"/>
          <w:szCs w:val="24"/>
          <w:lang w:val="sq-AL"/>
        </w:rPr>
        <w:t xml:space="preserve"> se </w:t>
      </w:r>
      <w:r w:rsidR="00857902" w:rsidRPr="005208DC">
        <w:rPr>
          <w:rFonts w:ascii="Times New Roman" w:hAnsi="Times New Roman" w:cs="Times New Roman"/>
          <w:color w:val="0D0D0D" w:themeColor="text1" w:themeTint="F2"/>
          <w:sz w:val="24"/>
          <w:szCs w:val="24"/>
          <w:lang w:val="sq-AL"/>
        </w:rPr>
        <w:t>përmbushjes</w:t>
      </w:r>
      <w:r w:rsidRPr="005208DC">
        <w:rPr>
          <w:rFonts w:ascii="Times New Roman" w:hAnsi="Times New Roman" w:cs="Times New Roman"/>
          <w:color w:val="0D0D0D" w:themeColor="text1" w:themeTint="F2"/>
          <w:sz w:val="24"/>
          <w:szCs w:val="24"/>
          <w:lang w:val="sq-AL"/>
        </w:rPr>
        <w:t xml:space="preserve"> se individëve të pasur.</w:t>
      </w:r>
    </w:p>
    <w:p w14:paraId="72494A02" w14:textId="77777777" w:rsidR="002F6FE6" w:rsidRPr="005208DC" w:rsidRDefault="002F6FE6" w:rsidP="00857902">
      <w:pPr>
        <w:pStyle w:val="ListParagraph"/>
        <w:numPr>
          <w:ilvl w:val="0"/>
          <w:numId w:val="15"/>
        </w:numPr>
        <w:snapToGrid w:val="0"/>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Zbatimi i planit sektorial të turizmit.</w:t>
      </w:r>
    </w:p>
    <w:p w14:paraId="3C2F061E" w14:textId="77777777" w:rsidR="002F6FE6" w:rsidRPr="005208DC" w:rsidRDefault="002F6FE6" w:rsidP="00857902">
      <w:pPr>
        <w:pStyle w:val="ListParagraph"/>
        <w:numPr>
          <w:ilvl w:val="0"/>
          <w:numId w:val="15"/>
        </w:numPr>
        <w:snapToGrid w:val="0"/>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Analiza dhe zbatimi i rregullave të riskut për monitorimin e tatimpaguesve në kuadrin e ndryshimit të pragut të TVSH-së në 10 milionë Lek.</w:t>
      </w:r>
    </w:p>
    <w:p w14:paraId="529C24BD" w14:textId="730A91C0" w:rsidR="002F6FE6" w:rsidRPr="005208DC" w:rsidRDefault="002F6FE6" w:rsidP="00857902">
      <w:pPr>
        <w:pStyle w:val="ListParagraph"/>
        <w:numPr>
          <w:ilvl w:val="0"/>
          <w:numId w:val="15"/>
        </w:numPr>
        <w:snapToGrid w:val="0"/>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Zbatimi i planit sektorial të informalitetit në tregun e punës në 4 komponentët e tij.</w:t>
      </w:r>
    </w:p>
    <w:p w14:paraId="042AE3D2" w14:textId="77777777" w:rsidR="002F6FE6" w:rsidRPr="005208DC" w:rsidRDefault="002F6FE6" w:rsidP="00857902">
      <w:pPr>
        <w:snapToGrid w:val="0"/>
        <w:rPr>
          <w:rFonts w:asciiTheme="majorBidi" w:hAnsiTheme="majorBidi" w:cstheme="majorBidi"/>
          <w:color w:val="0D0D0D" w:themeColor="text1" w:themeTint="F2"/>
          <w:lang w:val="sq-AL"/>
        </w:rPr>
      </w:pPr>
    </w:p>
    <w:p w14:paraId="0015FBB3" w14:textId="2E24AC51" w:rsidR="004F312A" w:rsidRPr="005208DC" w:rsidRDefault="00B2062A" w:rsidP="00857902">
      <w:pPr>
        <w:pStyle w:val="Heading6"/>
        <w:numPr>
          <w:ilvl w:val="0"/>
          <w:numId w:val="16"/>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Treguesit e rezultateve</w:t>
      </w:r>
    </w:p>
    <w:tbl>
      <w:tblPr>
        <w:tblStyle w:val="TableGrid"/>
        <w:tblW w:w="10485" w:type="dxa"/>
        <w:tblLook w:val="04A0" w:firstRow="1" w:lastRow="0" w:firstColumn="1" w:lastColumn="0" w:noHBand="0" w:noVBand="1"/>
      </w:tblPr>
      <w:tblGrid>
        <w:gridCol w:w="6091"/>
        <w:gridCol w:w="1559"/>
        <w:gridCol w:w="1552"/>
        <w:gridCol w:w="1283"/>
      </w:tblGrid>
      <w:tr w:rsidR="005208DC" w:rsidRPr="005208DC" w14:paraId="55A2D187" w14:textId="77777777" w:rsidTr="00952BB0">
        <w:trPr>
          <w:tblHeader/>
        </w:trPr>
        <w:tc>
          <w:tcPr>
            <w:tcW w:w="6091" w:type="dxa"/>
          </w:tcPr>
          <w:p w14:paraId="60D6067D" w14:textId="01F836EC" w:rsidR="00D225B7" w:rsidRPr="005208DC" w:rsidRDefault="00B2062A"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w:t>
            </w:r>
          </w:p>
        </w:tc>
        <w:tc>
          <w:tcPr>
            <w:tcW w:w="1559" w:type="dxa"/>
          </w:tcPr>
          <w:p w14:paraId="0DC3C55A" w14:textId="041E24D2" w:rsidR="00D225B7" w:rsidRPr="005208DC" w:rsidRDefault="00B2062A"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Bazë</w:t>
            </w:r>
            <w:r w:rsidR="00D225B7" w:rsidRPr="005208DC">
              <w:rPr>
                <w:rFonts w:asciiTheme="majorBidi" w:hAnsiTheme="majorBidi" w:cstheme="majorBidi"/>
                <w:color w:val="0D0D0D" w:themeColor="text1" w:themeTint="F2"/>
                <w:lang w:val="sq-AL"/>
              </w:rPr>
              <w:t xml:space="preserve"> (2022)</w:t>
            </w:r>
          </w:p>
        </w:tc>
        <w:tc>
          <w:tcPr>
            <w:tcW w:w="1552" w:type="dxa"/>
          </w:tcPr>
          <w:p w14:paraId="2A76BC4D" w14:textId="587AC468" w:rsidR="00D225B7" w:rsidRPr="005208DC" w:rsidRDefault="00B2062A"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 ndërmjetëm</w:t>
            </w:r>
            <w:r w:rsidR="00D225B7" w:rsidRPr="005208DC">
              <w:rPr>
                <w:rFonts w:asciiTheme="majorBidi" w:hAnsiTheme="majorBidi" w:cstheme="majorBidi"/>
                <w:color w:val="0D0D0D" w:themeColor="text1" w:themeTint="F2"/>
                <w:lang w:val="sq-AL"/>
              </w:rPr>
              <w:t xml:space="preserve"> (2023)</w:t>
            </w:r>
          </w:p>
        </w:tc>
        <w:tc>
          <w:tcPr>
            <w:tcW w:w="1283" w:type="dxa"/>
          </w:tcPr>
          <w:p w14:paraId="2822AF10" w14:textId="1177CF2E" w:rsidR="00D225B7" w:rsidRPr="005208DC" w:rsidRDefault="00B2062A"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Synimi</w:t>
            </w:r>
            <w:r w:rsidR="00D225B7" w:rsidRPr="005208DC">
              <w:rPr>
                <w:rFonts w:asciiTheme="majorBidi" w:hAnsiTheme="majorBidi" w:cstheme="majorBidi"/>
                <w:color w:val="0D0D0D" w:themeColor="text1" w:themeTint="F2"/>
                <w:lang w:val="sq-AL"/>
              </w:rPr>
              <w:t xml:space="preserve"> (2024)</w:t>
            </w:r>
          </w:p>
        </w:tc>
      </w:tr>
      <w:tr w:rsidR="005208DC" w:rsidRPr="005208DC" w14:paraId="0E4FB204" w14:textId="77777777" w:rsidTr="00020EB1">
        <w:tc>
          <w:tcPr>
            <w:tcW w:w="6091" w:type="dxa"/>
          </w:tcPr>
          <w:p w14:paraId="624D0447" w14:textId="404805A9" w:rsidR="00020EB1" w:rsidRPr="005208DC" w:rsidRDefault="00857902"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Krijimi i listës me individët më të pasur bazuar të informacioni brenda dhe jashtë sistemit tatimor</w:t>
            </w:r>
          </w:p>
        </w:tc>
        <w:tc>
          <w:tcPr>
            <w:tcW w:w="1559" w:type="dxa"/>
            <w:vAlign w:val="center"/>
          </w:tcPr>
          <w:p w14:paraId="3FAA08A3" w14:textId="065DF709" w:rsidR="00020EB1" w:rsidRPr="005208DC" w:rsidRDefault="00020EB1"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xml:space="preserve">100 </w:t>
            </w:r>
            <w:r w:rsidR="00857902" w:rsidRPr="005208DC">
              <w:rPr>
                <w:rFonts w:asciiTheme="majorBidi" w:hAnsiTheme="majorBidi" w:cstheme="majorBidi"/>
                <w:color w:val="0D0D0D" w:themeColor="text1" w:themeTint="F2"/>
                <w:lang w:val="sq-AL"/>
              </w:rPr>
              <w:t>individë</w:t>
            </w:r>
          </w:p>
        </w:tc>
        <w:tc>
          <w:tcPr>
            <w:tcW w:w="1552" w:type="dxa"/>
            <w:vAlign w:val="center"/>
          </w:tcPr>
          <w:p w14:paraId="791A1DD1" w14:textId="2CC360D8" w:rsidR="00020EB1" w:rsidRPr="005208DC" w:rsidRDefault="00020EB1" w:rsidP="00857902">
            <w:pPr>
              <w:snapToGrid w:val="0"/>
              <w:jc w:val="center"/>
              <w:rPr>
                <w:rFonts w:asciiTheme="majorBidi"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200</w:t>
            </w:r>
            <w:r w:rsidRPr="005208DC">
              <w:rPr>
                <w:rFonts w:asciiTheme="majorBidi" w:hAnsiTheme="majorBidi" w:cstheme="majorBidi"/>
                <w:color w:val="0D0D0D" w:themeColor="text1" w:themeTint="F2"/>
                <w:lang w:val="sq-AL"/>
              </w:rPr>
              <w:t xml:space="preserve"> </w:t>
            </w:r>
            <w:r w:rsidR="00857902" w:rsidRPr="005208DC">
              <w:rPr>
                <w:rFonts w:asciiTheme="majorBidi" w:hAnsiTheme="majorBidi" w:cstheme="majorBidi"/>
                <w:color w:val="0D0D0D" w:themeColor="text1" w:themeTint="F2"/>
                <w:lang w:val="sq-AL"/>
              </w:rPr>
              <w:t>individë</w:t>
            </w:r>
          </w:p>
        </w:tc>
        <w:tc>
          <w:tcPr>
            <w:tcW w:w="1283" w:type="dxa"/>
            <w:vAlign w:val="center"/>
          </w:tcPr>
          <w:p w14:paraId="79F6DB80" w14:textId="33E5C2D4" w:rsidR="00020EB1" w:rsidRPr="005208DC" w:rsidRDefault="00020EB1" w:rsidP="00857902">
            <w:pPr>
              <w:snapToGrid w:val="0"/>
              <w:jc w:val="center"/>
              <w:rPr>
                <w:rFonts w:asciiTheme="majorBidi" w:hAnsiTheme="majorBidi" w:cstheme="majorBidi"/>
                <w:color w:val="0D0D0D" w:themeColor="text1" w:themeTint="F2"/>
                <w:lang w:val="sq-AL"/>
              </w:rPr>
            </w:pPr>
            <w:r w:rsidRPr="005208DC">
              <w:rPr>
                <w:rFonts w:ascii="Times New Roman" w:eastAsia="Times New Roman" w:hAnsi="Times New Roman"/>
                <w:color w:val="0D0D0D" w:themeColor="text1" w:themeTint="F2"/>
                <w:lang w:val="sq-AL"/>
              </w:rPr>
              <w:t xml:space="preserve">350 </w:t>
            </w:r>
            <w:r w:rsidR="00857902" w:rsidRPr="005208DC">
              <w:rPr>
                <w:rFonts w:asciiTheme="majorBidi" w:hAnsiTheme="majorBidi" w:cstheme="majorBidi"/>
                <w:color w:val="0D0D0D" w:themeColor="text1" w:themeTint="F2"/>
                <w:lang w:val="sq-AL"/>
              </w:rPr>
              <w:t>individë</w:t>
            </w:r>
          </w:p>
        </w:tc>
      </w:tr>
      <w:tr w:rsidR="005208DC" w:rsidRPr="005208DC" w14:paraId="1524671F" w14:textId="77777777" w:rsidTr="00020EB1">
        <w:tc>
          <w:tcPr>
            <w:tcW w:w="6091" w:type="dxa"/>
          </w:tcPr>
          <w:p w14:paraId="1A93AE6B" w14:textId="05049E22" w:rsidR="00020EB1" w:rsidRPr="005208DC" w:rsidRDefault="00857902"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xml:space="preserve">Niveli i realizimit: </w:t>
            </w:r>
            <w:r w:rsidRPr="005208DC">
              <w:rPr>
                <w:rFonts w:ascii="Times New Roman" w:hAnsi="Times New Roman"/>
                <w:color w:val="0D0D0D" w:themeColor="text1" w:themeTint="F2"/>
                <w:lang w:val="sq-AL"/>
              </w:rPr>
              <w:t>Matja e hendekut tatimor për individët më të pasur, hartëzimi i risqeve dhe përcaktimi i strategjive trajtuese</w:t>
            </w:r>
          </w:p>
        </w:tc>
        <w:tc>
          <w:tcPr>
            <w:tcW w:w="1559" w:type="dxa"/>
            <w:vAlign w:val="center"/>
          </w:tcPr>
          <w:p w14:paraId="2E96F532" w14:textId="7C100A90" w:rsidR="00020EB1" w:rsidRPr="005208DC" w:rsidRDefault="00020EB1" w:rsidP="00857902">
            <w:pPr>
              <w:snapToGrid w:val="0"/>
              <w:jc w:val="center"/>
              <w:rPr>
                <w:rFonts w:asciiTheme="majorBidi"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80%</w:t>
            </w:r>
          </w:p>
        </w:tc>
        <w:tc>
          <w:tcPr>
            <w:tcW w:w="1552" w:type="dxa"/>
            <w:vAlign w:val="center"/>
          </w:tcPr>
          <w:p w14:paraId="70494D16" w14:textId="0E7224D6" w:rsidR="00020EB1" w:rsidRPr="005208DC" w:rsidRDefault="00020EB1" w:rsidP="00857902">
            <w:pPr>
              <w:snapToGrid w:val="0"/>
              <w:jc w:val="center"/>
              <w:rPr>
                <w:rFonts w:asciiTheme="majorBidi"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90%</w:t>
            </w:r>
          </w:p>
        </w:tc>
        <w:tc>
          <w:tcPr>
            <w:tcW w:w="1283" w:type="dxa"/>
            <w:vAlign w:val="center"/>
          </w:tcPr>
          <w:p w14:paraId="471F4199" w14:textId="4BFBD638" w:rsidR="00020EB1" w:rsidRPr="005208DC" w:rsidRDefault="00020EB1" w:rsidP="00857902">
            <w:pPr>
              <w:snapToGrid w:val="0"/>
              <w:jc w:val="center"/>
              <w:rPr>
                <w:rFonts w:asciiTheme="majorBidi"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100%</w:t>
            </w:r>
          </w:p>
        </w:tc>
      </w:tr>
    </w:tbl>
    <w:p w14:paraId="0A067934" w14:textId="77777777" w:rsidR="00D225B7" w:rsidRPr="005208DC" w:rsidRDefault="00D225B7" w:rsidP="00857902">
      <w:pPr>
        <w:snapToGrid w:val="0"/>
        <w:rPr>
          <w:rFonts w:asciiTheme="majorBidi" w:hAnsiTheme="majorBidi" w:cstheme="majorBidi"/>
          <w:color w:val="0D0D0D" w:themeColor="text1" w:themeTint="F2"/>
          <w:lang w:val="sq-AL"/>
        </w:rPr>
      </w:pPr>
    </w:p>
    <w:tbl>
      <w:tblPr>
        <w:tblStyle w:val="TableGrid"/>
        <w:tblW w:w="10485" w:type="dxa"/>
        <w:tblLayout w:type="fixed"/>
        <w:tblLook w:val="04A0" w:firstRow="1" w:lastRow="0" w:firstColumn="1" w:lastColumn="0" w:noHBand="0" w:noVBand="1"/>
      </w:tblPr>
      <w:tblGrid>
        <w:gridCol w:w="6091"/>
        <w:gridCol w:w="1559"/>
        <w:gridCol w:w="1559"/>
        <w:gridCol w:w="1276"/>
      </w:tblGrid>
      <w:tr w:rsidR="005208DC" w:rsidRPr="005208DC" w14:paraId="5DA84E1C" w14:textId="77777777" w:rsidTr="00020EB1">
        <w:tc>
          <w:tcPr>
            <w:tcW w:w="6091" w:type="dxa"/>
            <w:vAlign w:val="center"/>
          </w:tcPr>
          <w:p w14:paraId="48140626" w14:textId="4F07F3B3" w:rsidR="00020EB1" w:rsidRPr="005208DC" w:rsidRDefault="00857902"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w:t>
            </w:r>
          </w:p>
        </w:tc>
        <w:tc>
          <w:tcPr>
            <w:tcW w:w="1559" w:type="dxa"/>
            <w:vAlign w:val="center"/>
          </w:tcPr>
          <w:p w14:paraId="433CC389" w14:textId="4F3FC3B0" w:rsidR="00020EB1" w:rsidRPr="005208DC" w:rsidRDefault="00857902"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xml:space="preserve">Bazë </w:t>
            </w:r>
            <w:r w:rsidR="00020EB1" w:rsidRPr="005208DC">
              <w:rPr>
                <w:rFonts w:asciiTheme="majorBidi" w:hAnsiTheme="majorBidi" w:cstheme="majorBidi"/>
                <w:color w:val="0D0D0D" w:themeColor="text1" w:themeTint="F2"/>
                <w:lang w:val="sq-AL"/>
              </w:rPr>
              <w:t>(2022)</w:t>
            </w:r>
          </w:p>
        </w:tc>
        <w:tc>
          <w:tcPr>
            <w:tcW w:w="1559" w:type="dxa"/>
            <w:vAlign w:val="center"/>
          </w:tcPr>
          <w:p w14:paraId="0D262F8C" w14:textId="24041CF8" w:rsidR="00020EB1" w:rsidRPr="005208DC" w:rsidRDefault="00020EB1"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 ndermjetem (2023)</w:t>
            </w:r>
          </w:p>
        </w:tc>
        <w:tc>
          <w:tcPr>
            <w:tcW w:w="1276" w:type="dxa"/>
            <w:vAlign w:val="center"/>
          </w:tcPr>
          <w:p w14:paraId="0CFAB9FF" w14:textId="19413D34" w:rsidR="00020EB1" w:rsidRPr="005208DC" w:rsidRDefault="00020EB1"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Synimi (2024)</w:t>
            </w:r>
          </w:p>
        </w:tc>
      </w:tr>
      <w:tr w:rsidR="005208DC" w:rsidRPr="005208DC" w14:paraId="7834F352" w14:textId="77777777" w:rsidTr="00020EB1">
        <w:tc>
          <w:tcPr>
            <w:tcW w:w="6091" w:type="dxa"/>
          </w:tcPr>
          <w:p w14:paraId="1CC97E69" w14:textId="77777777" w:rsidR="00020EB1" w:rsidRPr="005208DC" w:rsidRDefault="00020EB1" w:rsidP="0085790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Rritja (me 4% çdo vit) e TVSH se pagueshme ne sektorin e turizmit</w:t>
            </w:r>
          </w:p>
        </w:tc>
        <w:tc>
          <w:tcPr>
            <w:tcW w:w="1559" w:type="dxa"/>
            <w:vAlign w:val="center"/>
          </w:tcPr>
          <w:p w14:paraId="79034DBE" w14:textId="77777777" w:rsidR="00020EB1" w:rsidRPr="005208DC" w:rsidRDefault="00020EB1" w:rsidP="00857902">
            <w:pPr>
              <w:snapToGrid w:val="0"/>
              <w:jc w:val="cente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570.020 mln Lek</w:t>
            </w:r>
          </w:p>
        </w:tc>
        <w:tc>
          <w:tcPr>
            <w:tcW w:w="1559" w:type="dxa"/>
            <w:vAlign w:val="center"/>
          </w:tcPr>
          <w:p w14:paraId="0ECA7CCB" w14:textId="77777777" w:rsidR="00020EB1" w:rsidRPr="005208DC" w:rsidRDefault="00020EB1" w:rsidP="00857902">
            <w:pPr>
              <w:snapToGrid w:val="0"/>
              <w:jc w:val="cente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4%</w:t>
            </w:r>
          </w:p>
        </w:tc>
        <w:tc>
          <w:tcPr>
            <w:tcW w:w="1276" w:type="dxa"/>
            <w:vAlign w:val="center"/>
          </w:tcPr>
          <w:p w14:paraId="09223A83" w14:textId="77777777" w:rsidR="00020EB1" w:rsidRPr="005208DC" w:rsidRDefault="00020EB1" w:rsidP="00857902">
            <w:pPr>
              <w:snapToGrid w:val="0"/>
              <w:jc w:val="cente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4%</w:t>
            </w:r>
          </w:p>
        </w:tc>
      </w:tr>
      <w:tr w:rsidR="005208DC" w:rsidRPr="005208DC" w14:paraId="559C98B9" w14:textId="77777777" w:rsidTr="00020EB1">
        <w:tc>
          <w:tcPr>
            <w:tcW w:w="6091" w:type="dxa"/>
          </w:tcPr>
          <w:p w14:paraId="22678515" w14:textId="77777777" w:rsidR="00020EB1" w:rsidRPr="005208DC" w:rsidRDefault="00020EB1" w:rsidP="0085790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Reduktimi i punes se padeklaruar dhe rritja (me 1% çdo vit) e punonjesve te deklaruar</w:t>
            </w:r>
          </w:p>
        </w:tc>
        <w:tc>
          <w:tcPr>
            <w:tcW w:w="1559" w:type="dxa"/>
            <w:vAlign w:val="center"/>
          </w:tcPr>
          <w:p w14:paraId="7869320B" w14:textId="77777777" w:rsidR="00020EB1" w:rsidRPr="005208DC" w:rsidRDefault="00020EB1" w:rsidP="00857902">
            <w:pPr>
              <w:snapToGrid w:val="0"/>
              <w:jc w:val="cente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701.739 punonjes</w:t>
            </w:r>
          </w:p>
        </w:tc>
        <w:tc>
          <w:tcPr>
            <w:tcW w:w="1559" w:type="dxa"/>
            <w:vAlign w:val="center"/>
          </w:tcPr>
          <w:p w14:paraId="76B1D1C5" w14:textId="77777777" w:rsidR="00020EB1" w:rsidRPr="005208DC" w:rsidRDefault="00020EB1" w:rsidP="00857902">
            <w:pPr>
              <w:snapToGrid w:val="0"/>
              <w:jc w:val="cente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1%</w:t>
            </w:r>
          </w:p>
        </w:tc>
        <w:tc>
          <w:tcPr>
            <w:tcW w:w="1276" w:type="dxa"/>
            <w:vAlign w:val="center"/>
          </w:tcPr>
          <w:p w14:paraId="1EC9637C" w14:textId="77777777" w:rsidR="00020EB1" w:rsidRPr="005208DC" w:rsidRDefault="00020EB1" w:rsidP="00857902">
            <w:pPr>
              <w:snapToGrid w:val="0"/>
              <w:jc w:val="cente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1%</w:t>
            </w:r>
          </w:p>
        </w:tc>
      </w:tr>
      <w:tr w:rsidR="005208DC" w:rsidRPr="005208DC" w14:paraId="6617B87C" w14:textId="77777777" w:rsidTr="00020EB1">
        <w:tc>
          <w:tcPr>
            <w:tcW w:w="6091" w:type="dxa"/>
          </w:tcPr>
          <w:p w14:paraId="739BE1F9" w14:textId="38295C7F" w:rsidR="00020EB1" w:rsidRPr="005208DC" w:rsidRDefault="00857902" w:rsidP="0085790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Ulja (me 3% çdo vit) e numrit të pagave të nëndeklaruara (ne nivelin minimal ose me pak; (338.877 paga të tilla ne vitin 2021).</w:t>
            </w:r>
          </w:p>
        </w:tc>
        <w:tc>
          <w:tcPr>
            <w:tcW w:w="1559" w:type="dxa"/>
            <w:vAlign w:val="center"/>
          </w:tcPr>
          <w:p w14:paraId="3E38F575" w14:textId="77777777" w:rsidR="00020EB1" w:rsidRPr="005208DC" w:rsidRDefault="00020EB1" w:rsidP="00857902">
            <w:pPr>
              <w:snapToGrid w:val="0"/>
              <w:jc w:val="cente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338.877 paga</w:t>
            </w:r>
          </w:p>
        </w:tc>
        <w:tc>
          <w:tcPr>
            <w:tcW w:w="1559" w:type="dxa"/>
            <w:vAlign w:val="center"/>
          </w:tcPr>
          <w:p w14:paraId="2A2D67D7" w14:textId="77777777" w:rsidR="00020EB1" w:rsidRPr="005208DC" w:rsidRDefault="00020EB1" w:rsidP="00857902">
            <w:pPr>
              <w:snapToGrid w:val="0"/>
              <w:jc w:val="cente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3%</w:t>
            </w:r>
          </w:p>
        </w:tc>
        <w:tc>
          <w:tcPr>
            <w:tcW w:w="1276" w:type="dxa"/>
            <w:vAlign w:val="center"/>
          </w:tcPr>
          <w:p w14:paraId="2AF570E2" w14:textId="77777777" w:rsidR="00020EB1" w:rsidRPr="005208DC" w:rsidRDefault="00020EB1" w:rsidP="00857902">
            <w:pPr>
              <w:snapToGrid w:val="0"/>
              <w:jc w:val="cente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3%</w:t>
            </w:r>
          </w:p>
        </w:tc>
      </w:tr>
    </w:tbl>
    <w:p w14:paraId="168471A4" w14:textId="77777777" w:rsidR="00020EB1" w:rsidRPr="005208DC" w:rsidRDefault="00020EB1" w:rsidP="00857902">
      <w:pPr>
        <w:snapToGrid w:val="0"/>
        <w:rPr>
          <w:rFonts w:asciiTheme="majorBidi" w:hAnsiTheme="majorBidi" w:cstheme="majorBidi"/>
          <w:color w:val="0D0D0D" w:themeColor="text1" w:themeTint="F2"/>
          <w:lang w:val="sq-AL"/>
        </w:rPr>
      </w:pPr>
    </w:p>
    <w:tbl>
      <w:tblPr>
        <w:tblStyle w:val="TableGrid"/>
        <w:tblW w:w="10485" w:type="dxa"/>
        <w:tblLook w:val="04A0" w:firstRow="1" w:lastRow="0" w:firstColumn="1" w:lastColumn="0" w:noHBand="0" w:noVBand="1"/>
      </w:tblPr>
      <w:tblGrid>
        <w:gridCol w:w="6091"/>
        <w:gridCol w:w="1559"/>
        <w:gridCol w:w="1559"/>
        <w:gridCol w:w="1276"/>
      </w:tblGrid>
      <w:tr w:rsidR="005208DC" w:rsidRPr="005208DC" w14:paraId="4B3074BB" w14:textId="77777777" w:rsidTr="00020EB1">
        <w:tc>
          <w:tcPr>
            <w:tcW w:w="6091" w:type="dxa"/>
          </w:tcPr>
          <w:p w14:paraId="206B7486" w14:textId="15A7731B" w:rsidR="00020EB1" w:rsidRPr="005208DC" w:rsidRDefault="00857902"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w:t>
            </w:r>
          </w:p>
        </w:tc>
        <w:tc>
          <w:tcPr>
            <w:tcW w:w="1559" w:type="dxa"/>
          </w:tcPr>
          <w:p w14:paraId="5561EACE" w14:textId="1B1D4ADE" w:rsidR="00020EB1" w:rsidRPr="005208DC" w:rsidRDefault="00857902"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xml:space="preserve">Bazë </w:t>
            </w:r>
            <w:r w:rsidR="00020EB1" w:rsidRPr="005208DC">
              <w:rPr>
                <w:rFonts w:asciiTheme="majorBidi" w:hAnsiTheme="majorBidi" w:cstheme="majorBidi"/>
                <w:color w:val="0D0D0D" w:themeColor="text1" w:themeTint="F2"/>
                <w:lang w:val="sq-AL"/>
              </w:rPr>
              <w:t>(2021)</w:t>
            </w:r>
          </w:p>
        </w:tc>
        <w:tc>
          <w:tcPr>
            <w:tcW w:w="1559" w:type="dxa"/>
          </w:tcPr>
          <w:p w14:paraId="2879CE88" w14:textId="1251B372" w:rsidR="00020EB1" w:rsidRPr="005208DC" w:rsidRDefault="00020EB1"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 ndermjetem (2022)</w:t>
            </w:r>
          </w:p>
        </w:tc>
        <w:tc>
          <w:tcPr>
            <w:tcW w:w="1276" w:type="dxa"/>
          </w:tcPr>
          <w:p w14:paraId="63F50E3F" w14:textId="5E041E2B" w:rsidR="00020EB1" w:rsidRPr="005208DC" w:rsidRDefault="005D24B4"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Synimi</w:t>
            </w:r>
            <w:r w:rsidR="00020EB1" w:rsidRPr="005208DC">
              <w:rPr>
                <w:rFonts w:asciiTheme="majorBidi" w:hAnsiTheme="majorBidi" w:cstheme="majorBidi"/>
                <w:color w:val="0D0D0D" w:themeColor="text1" w:themeTint="F2"/>
                <w:lang w:val="sq-AL"/>
              </w:rPr>
              <w:t xml:space="preserve"> (2023)</w:t>
            </w:r>
          </w:p>
        </w:tc>
      </w:tr>
      <w:tr w:rsidR="005208DC" w:rsidRPr="005208DC" w14:paraId="7B41E15E" w14:textId="77777777" w:rsidTr="00020EB1">
        <w:tc>
          <w:tcPr>
            <w:tcW w:w="6091" w:type="dxa"/>
          </w:tcPr>
          <w:p w14:paraId="1CFB0EB7" w14:textId="77777777" w:rsidR="00020EB1" w:rsidRPr="005208DC" w:rsidRDefault="00020EB1"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Niveli i realizimit: - Ndertimi i</w:t>
            </w:r>
            <w:r w:rsidRPr="005208DC">
              <w:rPr>
                <w:rFonts w:asciiTheme="majorBidi" w:hAnsiTheme="majorBidi" w:cstheme="majorBidi"/>
                <w:i/>
                <w:iCs/>
                <w:color w:val="0D0D0D" w:themeColor="text1" w:themeTint="F2"/>
                <w:lang w:val="sq-AL"/>
              </w:rPr>
              <w:t xml:space="preserve"> Data Warehouse</w:t>
            </w:r>
            <w:r w:rsidRPr="005208DC">
              <w:rPr>
                <w:rFonts w:asciiTheme="majorBidi" w:hAnsiTheme="majorBidi" w:cstheme="majorBidi"/>
                <w:color w:val="0D0D0D" w:themeColor="text1" w:themeTint="F2"/>
                <w:lang w:val="sq-AL"/>
              </w:rPr>
              <w:t xml:space="preserve"> dhe popullimi i tij me te dhena te brendshme dhe nga pale te treta</w:t>
            </w:r>
          </w:p>
        </w:tc>
        <w:tc>
          <w:tcPr>
            <w:tcW w:w="1559" w:type="dxa"/>
          </w:tcPr>
          <w:p w14:paraId="667041B8" w14:textId="77777777" w:rsidR="00020EB1" w:rsidRPr="005208DC" w:rsidRDefault="00020EB1" w:rsidP="00857902">
            <w:pPr>
              <w:snapToGrid w:val="0"/>
              <w:jc w:val="center"/>
              <w:rPr>
                <w:rFonts w:asciiTheme="majorBidi" w:hAnsiTheme="majorBidi" w:cstheme="majorBidi"/>
                <w:bCs/>
                <w:color w:val="0D0D0D" w:themeColor="text1" w:themeTint="F2"/>
                <w:lang w:val="sq-AL"/>
              </w:rPr>
            </w:pPr>
            <w:r w:rsidRPr="005208DC">
              <w:rPr>
                <w:rFonts w:asciiTheme="majorBidi" w:hAnsiTheme="majorBidi" w:cstheme="majorBidi"/>
                <w:bCs/>
                <w:color w:val="0D0D0D" w:themeColor="text1" w:themeTint="F2"/>
                <w:lang w:val="sq-AL"/>
              </w:rPr>
              <w:t>50%</w:t>
            </w:r>
          </w:p>
        </w:tc>
        <w:tc>
          <w:tcPr>
            <w:tcW w:w="1559" w:type="dxa"/>
          </w:tcPr>
          <w:p w14:paraId="7B96155E" w14:textId="77777777" w:rsidR="00020EB1" w:rsidRPr="005208DC" w:rsidRDefault="00020EB1" w:rsidP="00857902">
            <w:pPr>
              <w:snapToGrid w:val="0"/>
              <w:jc w:val="center"/>
              <w:rPr>
                <w:rFonts w:asciiTheme="majorBidi" w:hAnsiTheme="majorBidi" w:cstheme="majorBidi"/>
                <w:bCs/>
                <w:color w:val="0D0D0D" w:themeColor="text1" w:themeTint="F2"/>
                <w:lang w:val="sq-AL"/>
              </w:rPr>
            </w:pPr>
            <w:r w:rsidRPr="005208DC">
              <w:rPr>
                <w:rFonts w:asciiTheme="majorBidi" w:hAnsiTheme="majorBidi" w:cstheme="majorBidi"/>
                <w:bCs/>
                <w:color w:val="0D0D0D" w:themeColor="text1" w:themeTint="F2"/>
                <w:lang w:val="sq-AL"/>
              </w:rPr>
              <w:t>80%</w:t>
            </w:r>
          </w:p>
        </w:tc>
        <w:tc>
          <w:tcPr>
            <w:tcW w:w="1276" w:type="dxa"/>
          </w:tcPr>
          <w:p w14:paraId="47BEBC12" w14:textId="77777777" w:rsidR="00020EB1" w:rsidRPr="005208DC" w:rsidRDefault="00020EB1" w:rsidP="00857902">
            <w:pPr>
              <w:snapToGrid w:val="0"/>
              <w:jc w:val="center"/>
              <w:rPr>
                <w:rFonts w:asciiTheme="majorBidi" w:hAnsiTheme="majorBidi" w:cstheme="majorBidi"/>
                <w:bCs/>
                <w:color w:val="0D0D0D" w:themeColor="text1" w:themeTint="F2"/>
                <w:lang w:val="sq-AL"/>
              </w:rPr>
            </w:pPr>
            <w:r w:rsidRPr="005208DC">
              <w:rPr>
                <w:rFonts w:asciiTheme="majorBidi" w:hAnsiTheme="majorBidi" w:cstheme="majorBidi"/>
                <w:bCs/>
                <w:color w:val="0D0D0D" w:themeColor="text1" w:themeTint="F2"/>
                <w:lang w:val="sq-AL"/>
              </w:rPr>
              <w:t>100%</w:t>
            </w:r>
          </w:p>
        </w:tc>
      </w:tr>
      <w:tr w:rsidR="005208DC" w:rsidRPr="005208DC" w14:paraId="7DAE7FFB" w14:textId="77777777" w:rsidTr="00020EB1">
        <w:tc>
          <w:tcPr>
            <w:tcW w:w="6091" w:type="dxa"/>
          </w:tcPr>
          <w:p w14:paraId="296FC365" w14:textId="77777777" w:rsidR="00020EB1" w:rsidRPr="005208DC" w:rsidRDefault="00020EB1"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Niveli i realizimit – Ndertimi I Regjistrit te Aseteve te Tatimpaguesve</w:t>
            </w:r>
          </w:p>
        </w:tc>
        <w:tc>
          <w:tcPr>
            <w:tcW w:w="1559" w:type="dxa"/>
          </w:tcPr>
          <w:p w14:paraId="3FA7B110" w14:textId="77777777" w:rsidR="00020EB1" w:rsidRPr="005208DC" w:rsidRDefault="00020EB1" w:rsidP="00857902">
            <w:pPr>
              <w:snapToGrid w:val="0"/>
              <w:jc w:val="center"/>
              <w:rPr>
                <w:rFonts w:asciiTheme="majorBidi" w:hAnsiTheme="majorBidi" w:cstheme="majorBidi"/>
                <w:bCs/>
                <w:color w:val="0D0D0D" w:themeColor="text1" w:themeTint="F2"/>
                <w:lang w:val="sq-AL"/>
              </w:rPr>
            </w:pPr>
            <w:r w:rsidRPr="005208DC">
              <w:rPr>
                <w:rFonts w:asciiTheme="majorBidi" w:hAnsiTheme="majorBidi" w:cstheme="majorBidi"/>
                <w:bCs/>
                <w:color w:val="0D0D0D" w:themeColor="text1" w:themeTint="F2"/>
                <w:lang w:val="sq-AL"/>
              </w:rPr>
              <w:t>20%</w:t>
            </w:r>
          </w:p>
        </w:tc>
        <w:tc>
          <w:tcPr>
            <w:tcW w:w="1559" w:type="dxa"/>
          </w:tcPr>
          <w:p w14:paraId="1F409592" w14:textId="77777777" w:rsidR="00020EB1" w:rsidRPr="005208DC" w:rsidRDefault="00020EB1" w:rsidP="00857902">
            <w:pPr>
              <w:snapToGrid w:val="0"/>
              <w:jc w:val="center"/>
              <w:rPr>
                <w:rFonts w:asciiTheme="majorBidi" w:hAnsiTheme="majorBidi" w:cstheme="majorBidi"/>
                <w:bCs/>
                <w:color w:val="0D0D0D" w:themeColor="text1" w:themeTint="F2"/>
                <w:lang w:val="sq-AL"/>
              </w:rPr>
            </w:pPr>
            <w:r w:rsidRPr="005208DC">
              <w:rPr>
                <w:rFonts w:asciiTheme="majorBidi" w:hAnsiTheme="majorBidi" w:cstheme="majorBidi"/>
                <w:bCs/>
                <w:color w:val="0D0D0D" w:themeColor="text1" w:themeTint="F2"/>
                <w:lang w:val="sq-AL"/>
              </w:rPr>
              <w:t>50%</w:t>
            </w:r>
          </w:p>
        </w:tc>
        <w:tc>
          <w:tcPr>
            <w:tcW w:w="1276" w:type="dxa"/>
          </w:tcPr>
          <w:p w14:paraId="0BB6C4F4" w14:textId="77777777" w:rsidR="00020EB1" w:rsidRPr="005208DC" w:rsidRDefault="00020EB1" w:rsidP="00857902">
            <w:pPr>
              <w:snapToGrid w:val="0"/>
              <w:jc w:val="center"/>
              <w:rPr>
                <w:rFonts w:asciiTheme="majorBidi" w:hAnsiTheme="majorBidi" w:cstheme="majorBidi"/>
                <w:bCs/>
                <w:color w:val="0D0D0D" w:themeColor="text1" w:themeTint="F2"/>
                <w:lang w:val="sq-AL"/>
              </w:rPr>
            </w:pPr>
            <w:r w:rsidRPr="005208DC">
              <w:rPr>
                <w:rFonts w:asciiTheme="majorBidi" w:hAnsiTheme="majorBidi" w:cstheme="majorBidi"/>
                <w:bCs/>
                <w:color w:val="0D0D0D" w:themeColor="text1" w:themeTint="F2"/>
                <w:lang w:val="sq-AL"/>
              </w:rPr>
              <w:t>100%</w:t>
            </w:r>
          </w:p>
        </w:tc>
      </w:tr>
    </w:tbl>
    <w:p w14:paraId="72086B94" w14:textId="77777777" w:rsidR="00020EB1" w:rsidRPr="005208DC" w:rsidRDefault="00020EB1" w:rsidP="00857902">
      <w:pPr>
        <w:snapToGrid w:val="0"/>
        <w:rPr>
          <w:rFonts w:asciiTheme="majorBidi" w:hAnsiTheme="majorBidi" w:cstheme="majorBidi"/>
          <w:color w:val="0D0D0D" w:themeColor="text1" w:themeTint="F2"/>
          <w:lang w:val="sq-AL"/>
        </w:rPr>
      </w:pPr>
    </w:p>
    <w:p w14:paraId="74997C6C" w14:textId="0824A4DA" w:rsidR="004F312A" w:rsidRPr="005208DC" w:rsidRDefault="00B2062A" w:rsidP="00857902">
      <w:pPr>
        <w:pStyle w:val="Heading6"/>
        <w:numPr>
          <w:ilvl w:val="0"/>
          <w:numId w:val="16"/>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konkurrueshmëri</w:t>
      </w:r>
    </w:p>
    <w:p w14:paraId="0D115D1E" w14:textId="2A046853" w:rsidR="005D24B4" w:rsidRPr="005208DC" w:rsidRDefault="00857902" w:rsidP="00857902">
      <w:pPr>
        <w:snapToGrid w:val="0"/>
        <w:jc w:val="both"/>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Forcimi i luftës kundër informalitetit në ekonomi do të krijojë një klimë më të mirë të taksimit të drejte dhe do të rrisë besimin e taksapaguesve ndaj administratës tatimore. Gjithashtu do të reduktojë konkurrencën e pandershme ndërmjet bizneseve formale dhe atyre informale, do të rrisë të ardhurat dhe, në mënyrë indirekte, fondet e disponueshme për investime në infrastrukturë</w:t>
      </w:r>
      <w:r w:rsidR="005D24B4" w:rsidRPr="005208DC">
        <w:rPr>
          <w:rFonts w:ascii="Times New Roman" w:hAnsi="Times New Roman"/>
          <w:color w:val="0D0D0D" w:themeColor="text1" w:themeTint="F2"/>
          <w:lang w:val="sq-AL"/>
        </w:rPr>
        <w:t>.</w:t>
      </w:r>
    </w:p>
    <w:p w14:paraId="6E2E08A2" w14:textId="77777777" w:rsidR="005D24B4" w:rsidRPr="005208DC" w:rsidRDefault="005D24B4" w:rsidP="00857902">
      <w:pPr>
        <w:snapToGrid w:val="0"/>
        <w:rPr>
          <w:rFonts w:asciiTheme="majorBidi" w:hAnsiTheme="majorBidi" w:cstheme="majorBidi"/>
          <w:color w:val="0D0D0D" w:themeColor="text1" w:themeTint="F2"/>
          <w:lang w:val="sq-AL"/>
        </w:rPr>
      </w:pPr>
    </w:p>
    <w:p w14:paraId="5BE5FF9B" w14:textId="3ED65973" w:rsidR="004F312A" w:rsidRPr="005208DC" w:rsidRDefault="00B2062A" w:rsidP="00857902">
      <w:pPr>
        <w:pStyle w:val="Heading6"/>
        <w:numPr>
          <w:ilvl w:val="0"/>
          <w:numId w:val="16"/>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Kosto e parashikuar e aktiviteteve dhe burimi i financimit</w:t>
      </w:r>
    </w:p>
    <w:p w14:paraId="0C3C8D98" w14:textId="33805A39" w:rsidR="004F312A" w:rsidRPr="005208DC" w:rsidRDefault="005D24B4"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Buxheti i shtetit.</w:t>
      </w:r>
    </w:p>
    <w:p w14:paraId="615C784F" w14:textId="77777777" w:rsidR="005D24B4" w:rsidRPr="005208DC" w:rsidRDefault="005D24B4" w:rsidP="00857902">
      <w:pPr>
        <w:snapToGrid w:val="0"/>
        <w:rPr>
          <w:rFonts w:asciiTheme="majorBidi" w:hAnsiTheme="majorBidi" w:cstheme="majorBidi"/>
          <w:color w:val="0D0D0D" w:themeColor="text1" w:themeTint="F2"/>
          <w:lang w:val="sq-AL"/>
        </w:rPr>
      </w:pPr>
    </w:p>
    <w:p w14:paraId="0A10C262" w14:textId="18805F19" w:rsidR="004F312A" w:rsidRPr="005208DC" w:rsidRDefault="00B2062A" w:rsidP="00857902">
      <w:pPr>
        <w:pStyle w:val="Heading6"/>
        <w:numPr>
          <w:ilvl w:val="0"/>
          <w:numId w:val="16"/>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përfundimet sociale si punësimi, ulja e varfërisë, barazia gjinore dhe aksesi në kujdesin shëndetësor</w:t>
      </w:r>
    </w:p>
    <w:p w14:paraId="5C726626" w14:textId="3961D2F8" w:rsidR="005D24B4" w:rsidRPr="005208DC" w:rsidRDefault="00857902" w:rsidP="00857902">
      <w:pPr>
        <w:snapToGrid w:val="0"/>
        <w:jc w:val="both"/>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Kjo masë reforme kontribuon në konkurrencën dhe do të lejojë gjithashtu pakësimin  e kostos së mbledhjes së të ardhurave. Duke rritur numrin e punonjësve të deklaruar dhe numrin e pagave të deklaruara në nivelin real të tyre, kjo do të kontribuojë indirekt në krijimin e vendeve të punës, taksimin e drejtë dhe sigurimin më të mirë shoqëror për punonjësit. Kjo masë reforme mund të ndikojë pozitivisht në barazinë gjinore, do të rrisë punësimin formal, do të rrisë të ardhurat dhe rrjedhimisht edhe fondet e disponueshme për investime në infrastrukturë dhe për mbulim shëndetësor</w:t>
      </w:r>
      <w:r w:rsidR="005D24B4" w:rsidRPr="005208DC">
        <w:rPr>
          <w:rFonts w:ascii="Times New Roman" w:hAnsi="Times New Roman"/>
          <w:color w:val="0D0D0D" w:themeColor="text1" w:themeTint="F2"/>
          <w:lang w:val="sq-AL"/>
        </w:rPr>
        <w:t>.</w:t>
      </w:r>
    </w:p>
    <w:p w14:paraId="2BC59872" w14:textId="77777777" w:rsidR="005D24B4" w:rsidRPr="005208DC" w:rsidRDefault="005D24B4" w:rsidP="00857902">
      <w:pPr>
        <w:snapToGrid w:val="0"/>
        <w:jc w:val="both"/>
        <w:rPr>
          <w:rFonts w:asciiTheme="majorBidi" w:hAnsiTheme="majorBidi" w:cstheme="majorBidi"/>
          <w:color w:val="0D0D0D" w:themeColor="text1" w:themeTint="F2"/>
          <w:lang w:val="sq-AL"/>
        </w:rPr>
      </w:pPr>
    </w:p>
    <w:p w14:paraId="0F0735D2" w14:textId="739EBC09" w:rsidR="004F312A" w:rsidRPr="005208DC" w:rsidRDefault="00B2062A" w:rsidP="00857902">
      <w:pPr>
        <w:pStyle w:val="Heading6"/>
        <w:numPr>
          <w:ilvl w:val="0"/>
          <w:numId w:val="16"/>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mjedis dhe ndryshimi i klimës</w:t>
      </w:r>
    </w:p>
    <w:p w14:paraId="4CE23041" w14:textId="6B0F1435" w:rsidR="005D24B4" w:rsidRPr="005208DC" w:rsidRDefault="005D24B4"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Nuk ka impakt te pritshem ne mjedis apo ne ndryshime klimatike nga masa e propozuar e reformes.</w:t>
      </w:r>
    </w:p>
    <w:p w14:paraId="1C62170A" w14:textId="77777777" w:rsidR="005D24B4" w:rsidRPr="005208DC" w:rsidRDefault="005D24B4" w:rsidP="00857902">
      <w:pPr>
        <w:snapToGrid w:val="0"/>
        <w:rPr>
          <w:rFonts w:asciiTheme="majorBidi" w:hAnsiTheme="majorBidi" w:cstheme="majorBidi"/>
          <w:color w:val="0D0D0D" w:themeColor="text1" w:themeTint="F2"/>
          <w:lang w:val="sq-AL"/>
        </w:rPr>
      </w:pPr>
    </w:p>
    <w:p w14:paraId="28D252E7" w14:textId="06794F3D" w:rsidR="004F312A" w:rsidRPr="005208DC" w:rsidRDefault="00B2062A" w:rsidP="00857902">
      <w:pPr>
        <w:pStyle w:val="Heading6"/>
        <w:numPr>
          <w:ilvl w:val="0"/>
          <w:numId w:val="16"/>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Rreziqet e mundshme</w:t>
      </w:r>
    </w:p>
    <w:tbl>
      <w:tblPr>
        <w:tblStyle w:val="TableGrid"/>
        <w:tblW w:w="0" w:type="auto"/>
        <w:tblLook w:val="04A0" w:firstRow="1" w:lastRow="0" w:firstColumn="1" w:lastColumn="0" w:noHBand="0" w:noVBand="1"/>
      </w:tblPr>
      <w:tblGrid>
        <w:gridCol w:w="3823"/>
        <w:gridCol w:w="1559"/>
        <w:gridCol w:w="4240"/>
      </w:tblGrid>
      <w:tr w:rsidR="005208DC" w:rsidRPr="005208DC" w14:paraId="30C210F6" w14:textId="77777777" w:rsidTr="002E1C39">
        <w:tc>
          <w:tcPr>
            <w:tcW w:w="3823" w:type="dxa"/>
          </w:tcPr>
          <w:p w14:paraId="5FE4D0B3" w14:textId="5CBE03BF" w:rsidR="00DA769F"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Rreziku</w:t>
            </w:r>
          </w:p>
        </w:tc>
        <w:tc>
          <w:tcPr>
            <w:tcW w:w="1559" w:type="dxa"/>
          </w:tcPr>
          <w:p w14:paraId="68273D04" w14:textId="784B337F" w:rsidR="00DA769F"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Mundësia</w:t>
            </w:r>
            <w:r w:rsidR="00DA769F" w:rsidRPr="005208DC">
              <w:rPr>
                <w:rFonts w:asciiTheme="majorBidi" w:hAnsiTheme="majorBidi" w:cstheme="majorBidi"/>
                <w:color w:val="0D0D0D" w:themeColor="text1" w:themeTint="F2"/>
                <w:lang w:val="sq-AL"/>
              </w:rPr>
              <w:t xml:space="preserve"> (</w:t>
            </w:r>
            <w:r w:rsidRPr="005208DC">
              <w:rPr>
                <w:rFonts w:asciiTheme="majorBidi" w:hAnsiTheme="majorBidi" w:cstheme="majorBidi"/>
                <w:color w:val="0D0D0D" w:themeColor="text1" w:themeTint="F2"/>
                <w:lang w:val="sq-AL"/>
              </w:rPr>
              <w:t>e ulët, e lartë</w:t>
            </w:r>
            <w:r w:rsidR="00DA769F" w:rsidRPr="005208DC">
              <w:rPr>
                <w:rFonts w:asciiTheme="majorBidi" w:hAnsiTheme="majorBidi" w:cstheme="majorBidi"/>
                <w:color w:val="0D0D0D" w:themeColor="text1" w:themeTint="F2"/>
                <w:lang w:val="sq-AL"/>
              </w:rPr>
              <w:t>)</w:t>
            </w:r>
          </w:p>
        </w:tc>
        <w:tc>
          <w:tcPr>
            <w:tcW w:w="4240" w:type="dxa"/>
          </w:tcPr>
          <w:p w14:paraId="445CA210" w14:textId="50C59E9B" w:rsidR="00DA769F"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Veprimi zbutës i parashikuar</w:t>
            </w:r>
          </w:p>
        </w:tc>
      </w:tr>
      <w:tr w:rsidR="005208DC" w:rsidRPr="005208DC" w14:paraId="369BDA3C" w14:textId="77777777" w:rsidTr="002E1C39">
        <w:tc>
          <w:tcPr>
            <w:tcW w:w="3823" w:type="dxa"/>
            <w:vAlign w:val="center"/>
          </w:tcPr>
          <w:p w14:paraId="20117C58" w14:textId="1416EAB7" w:rsidR="005D24B4" w:rsidRPr="005208DC" w:rsidRDefault="005D24B4" w:rsidP="0085790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spacing w:val="-1"/>
                <w:lang w:val="sq-AL"/>
              </w:rPr>
              <w:t xml:space="preserve">Vonesa ne aktivitete </w:t>
            </w:r>
          </w:p>
        </w:tc>
        <w:tc>
          <w:tcPr>
            <w:tcW w:w="1559" w:type="dxa"/>
            <w:vAlign w:val="center"/>
          </w:tcPr>
          <w:p w14:paraId="59DC00AD" w14:textId="4E3722B5" w:rsidR="005D24B4" w:rsidRPr="005208DC" w:rsidRDefault="005D24B4"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Ulet</w:t>
            </w:r>
          </w:p>
        </w:tc>
        <w:tc>
          <w:tcPr>
            <w:tcW w:w="4240" w:type="dxa"/>
            <w:vAlign w:val="center"/>
          </w:tcPr>
          <w:p w14:paraId="6812DC57" w14:textId="2087E697" w:rsidR="005D24B4" w:rsidRPr="005208DC" w:rsidRDefault="005D24B4"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Monitorim i rregullt i zbatimit te aktiviteteve</w:t>
            </w:r>
          </w:p>
        </w:tc>
      </w:tr>
    </w:tbl>
    <w:p w14:paraId="1DB2543F" w14:textId="77777777" w:rsidR="00DA769F" w:rsidRPr="005208DC" w:rsidRDefault="00DA769F" w:rsidP="00857902">
      <w:pPr>
        <w:snapToGrid w:val="0"/>
        <w:rPr>
          <w:rFonts w:asciiTheme="majorBidi" w:hAnsiTheme="majorBidi" w:cstheme="majorBidi"/>
          <w:color w:val="0D0D0D" w:themeColor="text1" w:themeTint="F2"/>
          <w:lang w:val="sq-AL"/>
        </w:rPr>
      </w:pPr>
    </w:p>
    <w:p w14:paraId="5D56A42A" w14:textId="77777777" w:rsidR="00DA769F" w:rsidRPr="005208DC" w:rsidRDefault="00DA769F" w:rsidP="00857902">
      <w:pPr>
        <w:snapToGrid w:val="0"/>
        <w:rPr>
          <w:rFonts w:asciiTheme="majorBidi" w:hAnsiTheme="majorBidi" w:cstheme="majorBidi"/>
          <w:color w:val="0D0D0D" w:themeColor="text1" w:themeTint="F2"/>
          <w:lang w:val="sq-AL"/>
        </w:rPr>
      </w:pPr>
    </w:p>
    <w:p w14:paraId="0551BF8D" w14:textId="04825D71" w:rsidR="00DB22AB" w:rsidRPr="005208DC" w:rsidRDefault="00B2062A" w:rsidP="00857902">
      <w:pPr>
        <w:pStyle w:val="Heading5"/>
        <w:snapToGrid w:val="0"/>
        <w:ind w:left="0"/>
        <w:rPr>
          <w:rFonts w:asciiTheme="majorBidi" w:hAnsiTheme="majorBidi" w:cstheme="majorBidi"/>
          <w:i w:val="0"/>
          <w:color w:val="0D0D0D" w:themeColor="text1" w:themeTint="F2"/>
          <w:sz w:val="24"/>
          <w:szCs w:val="24"/>
          <w:lang w:val="sq-AL"/>
        </w:rPr>
      </w:pPr>
      <w:r w:rsidRPr="005208DC">
        <w:rPr>
          <w:rFonts w:asciiTheme="majorBidi" w:hAnsiTheme="majorBidi" w:cstheme="majorBidi"/>
          <w:i w:val="0"/>
          <w:color w:val="0D0D0D" w:themeColor="text1" w:themeTint="F2"/>
          <w:sz w:val="24"/>
          <w:szCs w:val="24"/>
          <w:lang w:val="sq-AL"/>
        </w:rPr>
        <w:t>Masa e reformës</w:t>
      </w:r>
      <w:r w:rsidR="005358F8" w:rsidRPr="005208DC">
        <w:rPr>
          <w:rFonts w:asciiTheme="majorBidi" w:hAnsiTheme="majorBidi" w:cstheme="majorBidi"/>
          <w:i w:val="0"/>
          <w:color w:val="0D0D0D" w:themeColor="text1" w:themeTint="F2"/>
          <w:sz w:val="24"/>
          <w:szCs w:val="24"/>
          <w:lang w:val="sq-AL"/>
        </w:rPr>
        <w:t xml:space="preserve"> 07</w:t>
      </w:r>
      <w:r w:rsidR="00DB22AB" w:rsidRPr="005208DC">
        <w:rPr>
          <w:rFonts w:asciiTheme="majorBidi" w:hAnsiTheme="majorBidi" w:cstheme="majorBidi"/>
          <w:i w:val="0"/>
          <w:color w:val="0D0D0D" w:themeColor="text1" w:themeTint="F2"/>
          <w:sz w:val="24"/>
          <w:szCs w:val="24"/>
          <w:lang w:val="sq-AL"/>
        </w:rPr>
        <w:t xml:space="preserve">: </w:t>
      </w:r>
      <w:r w:rsidR="00405262" w:rsidRPr="005208DC">
        <w:rPr>
          <w:rFonts w:asciiTheme="majorBidi" w:hAnsiTheme="majorBidi" w:cstheme="majorBidi"/>
          <w:i w:val="0"/>
          <w:color w:val="0D0D0D" w:themeColor="text1" w:themeTint="F2"/>
          <w:sz w:val="24"/>
          <w:szCs w:val="24"/>
          <w:lang w:val="sq-AL"/>
        </w:rPr>
        <w:t>Zhvillimi i kuadrit ligjor për të mbështetur start-up inovative</w:t>
      </w:r>
    </w:p>
    <w:p w14:paraId="2C2E31DB" w14:textId="2B4E1A21" w:rsidR="00DB22AB" w:rsidRPr="005208DC" w:rsidRDefault="00B2062A" w:rsidP="00857902">
      <w:pPr>
        <w:pStyle w:val="Heading6"/>
        <w:numPr>
          <w:ilvl w:val="0"/>
          <w:numId w:val="3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Përshkrimi i masës</w:t>
      </w:r>
    </w:p>
    <w:p w14:paraId="455C95EB" w14:textId="77777777" w:rsidR="00E51C16" w:rsidRPr="005208DC" w:rsidRDefault="00E51C16" w:rsidP="00857902">
      <w:pPr>
        <w:widowControl w:val="0"/>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Vitet e fundit, roli i start-up-eve ka fituar vazhdimisht rëndësi si një forcë lëvizëse për zhvillimin ekonomik dhe social drejt një shoqërie të bazuar në dije. Suksesi i kompanive fillestare dhe potenciali i tyre për t'u rritur varet nga një sërë faktorësh.</w:t>
      </w:r>
    </w:p>
    <w:p w14:paraId="0BF02B18" w14:textId="77777777" w:rsidR="00E51C16" w:rsidRPr="005208DC" w:rsidRDefault="00E51C16" w:rsidP="00857902">
      <w:pPr>
        <w:widowControl w:val="0"/>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Ekosistemi shqiptar është mbështetur nga projekti i BE-së “BE për Inovacionin”. Qëllimi kryesor i këtij projekti është përmirësimi i ekosistemit të start-up-eve dhe promovimi i start-up-eve në Shqipëri. Ky projekt financohet nga IPA II 2014-2020 për sektorin e Konkurrueshmërisë dhe Inovacionit në vlerë prej 6,600,000 euro, dhe me mbështetjen e Qeverisë Gjermane në vlerë prej 719,238 euro dhe Qeverisë Suedeze në vlerë prej 220,000 euro. Buxheti i përgjithshëm i këtij projekti është 7.539.238 euro. Projekti përfundon në Mars 2022. Komponenti i grantit "Fondi i Sfidës" ishte 2.2 milionë euro nga BE-ja dhe 220.000 euro nga qeveria suedeze. Përfitues kanë qenë 33 start-up inovative për të cilat është dhënë kontrata dhe ISO (Organizatat Mbështetëse të Inovacionit).</w:t>
      </w:r>
    </w:p>
    <w:p w14:paraId="17B1FF94" w14:textId="77777777" w:rsidR="00E51C16" w:rsidRPr="005208DC" w:rsidRDefault="00E51C16" w:rsidP="00857902">
      <w:pPr>
        <w:widowControl w:val="0"/>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Një draft për një ligj të ri start-up u miratua nga një grup pune ndërministror pranë Ministrit të Shtetit për Sipërmarrjen. Projektligji “Për mbështetjen dhe zhvillimin e bizneseve fillestare” i është paraqitur për miratim Këshillit të Ministrave. Ai synohet të miratohet brenda vitit 2021.</w:t>
      </w:r>
    </w:p>
    <w:p w14:paraId="22A68BA9" w14:textId="0300C8B5" w:rsidR="00E51C16" w:rsidRPr="005208DC" w:rsidRDefault="00E51C16" w:rsidP="00857902">
      <w:pPr>
        <w:widowControl w:val="0"/>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Qëllimi i këtij projektligji është krijimi i një kuadri të favorshëm rregullator dhe institucional për krijimin dhe zhvillimin e Start-up-eve, për të nxitur kërkimin, zbatimin dhe përdorimin e ideve, modeleve, produkteve dhe proceseve të reja, të cilat nxisin ekonominë dhe përçarjen e tyre. vjen me të. Ky projektligj do të përcaktojë masat mbështetëse, organet shtetërore, kriteret, rregullat dhe procedurat që zbatohen për vetë deklarimin dhe mbështetjen online të Start-up-ve dhe krijimin e një ekosistemi të favorshëm për to në Republikën e Shqipërisë.</w:t>
      </w:r>
    </w:p>
    <w:p w14:paraId="6A48A364" w14:textId="77777777" w:rsidR="00E51C16" w:rsidRPr="005208DC" w:rsidRDefault="00E51C16" w:rsidP="00857902">
      <w:pPr>
        <w:widowControl w:val="0"/>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Ligji ka paraparë masa mbështetëse për start-up-et dhe themelimin e Këshillit të sipërmarrjeve fillestare.</w:t>
      </w:r>
    </w:p>
    <w:p w14:paraId="7FB11ABA" w14:textId="6858C6DD" w:rsidR="00E51C16" w:rsidRPr="005208DC" w:rsidRDefault="00E51C16" w:rsidP="00857902">
      <w:pPr>
        <w:widowControl w:val="0"/>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Në VKM nr. 466/2021 “Strategjia për Zhvillimin e Biznesit dhe Investimeve dhe plani i veprimit 2021-2027”, fusha e ndërhyrjes “Zhvillimi i NVM-ve, sipërmarrja dhe inovacioni” njeh kontributin e rëndësishëm që SME-të dhe bizneset e reja mund të japin për një më shumë inovacion dhe njohuri. ekonomia e drejtuar. Ai pranon gjithashtu se ekosistemi i sipërmarrjes dhe i inovacionit është ende në një fazë fillestare dhe "masa kritike" që lejon organizatat mbështetëse të bëhen të vetë qëndrueshme nuk është arritur ende.</w:t>
      </w:r>
    </w:p>
    <w:p w14:paraId="485B44E3" w14:textId="77777777" w:rsidR="00E51C16" w:rsidRPr="005208DC" w:rsidRDefault="00E51C16" w:rsidP="00857902">
      <w:pPr>
        <w:widowControl w:val="0"/>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Qëllimi dhe objektivat e politikës marrin parasysh se kushtet aktuale janë sfiduese për NVM-të dhe bizneset fillestare. Ndër të tjera, kjo lidhet me aksesin në financa dhe tregje, ndikimin e pandemisë COVID-19 dhe sfidat në kontekstin e tranzicionit të gjelbër dhe dixhital.</w:t>
      </w:r>
    </w:p>
    <w:p w14:paraId="4B049315" w14:textId="5A54AA03" w:rsidR="00E51C16" w:rsidRPr="005208DC" w:rsidRDefault="00E51C16"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Ekziston nevoja për të përmirësuar skemat ekzistuese të granteve për NVM-të dhe për të hartuar mjete dhe instrumente të reja financiare për të përmirësuar aksesin në financa. Për më tepër, ekziston nevoja për të rritur dinamikën e inovacionit dhe bizneseve fillestare dhe për të nxitur specializimin për të arritur këtë "masë kritike" duke u fokusuar në zinxhirët më premtues të vlerës. Në këtë sfond, për këtë fushë ndërhyrjeje parashikohet një qasje e integruar dhe e synuar që promovon specializimin e zgjuar. Forcimi i lidhjeve ndërmjet të gjithë aktorëve dhe komponentëve të ekosistemit konsiderohet si një faktor suksesi ndërsektorial.</w:t>
      </w:r>
    </w:p>
    <w:p w14:paraId="098B7037" w14:textId="77777777" w:rsidR="00E51C16" w:rsidRPr="005208DC" w:rsidRDefault="00E51C16" w:rsidP="00857902">
      <w:pPr>
        <w:snapToGrid w:val="0"/>
        <w:rPr>
          <w:rFonts w:asciiTheme="majorBidi" w:hAnsiTheme="majorBidi" w:cstheme="majorBidi"/>
          <w:color w:val="0D0D0D" w:themeColor="text1" w:themeTint="F2"/>
          <w:lang w:val="sq-AL"/>
        </w:rPr>
      </w:pPr>
    </w:p>
    <w:p w14:paraId="19E0BA49" w14:textId="761DC18E" w:rsidR="00DB22AB" w:rsidRPr="005208DC" w:rsidRDefault="00B2062A" w:rsidP="00857902">
      <w:pPr>
        <w:pStyle w:val="ListParagraph"/>
        <w:numPr>
          <w:ilvl w:val="0"/>
          <w:numId w:val="34"/>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DB22AB" w:rsidRPr="005208DC">
        <w:rPr>
          <w:rFonts w:asciiTheme="majorBidi" w:hAnsiTheme="majorBidi" w:cstheme="majorBidi"/>
          <w:b/>
          <w:color w:val="0D0D0D" w:themeColor="text1" w:themeTint="F2"/>
          <w:sz w:val="24"/>
          <w:szCs w:val="24"/>
          <w:lang w:val="sq-AL"/>
        </w:rPr>
        <w:t xml:space="preserve"> 2022</w:t>
      </w:r>
    </w:p>
    <w:p w14:paraId="7174389D" w14:textId="240C278F" w:rsidR="00CC1612" w:rsidRPr="005208DC" w:rsidRDefault="00E51C16" w:rsidP="00857902">
      <w:pPr>
        <w:pStyle w:val="ListParagraph"/>
        <w:numPr>
          <w:ilvl w:val="0"/>
          <w:numId w:val="35"/>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Miratimi i projektligjit të ri për bizneset fillestare</w:t>
      </w:r>
      <w:r w:rsidR="00CC1612" w:rsidRPr="005208DC">
        <w:rPr>
          <w:rFonts w:asciiTheme="majorBidi" w:eastAsia="Calibri" w:hAnsiTheme="majorBidi" w:cstheme="majorBidi"/>
          <w:color w:val="0D0D0D" w:themeColor="text1" w:themeTint="F2"/>
          <w:sz w:val="24"/>
          <w:szCs w:val="24"/>
          <w:lang w:val="sq-AL"/>
        </w:rPr>
        <w:t>.</w:t>
      </w:r>
    </w:p>
    <w:p w14:paraId="7C9CC5E8" w14:textId="1839260F" w:rsidR="00E51C16" w:rsidRPr="005208DC" w:rsidRDefault="00E51C16" w:rsidP="00857902">
      <w:pPr>
        <w:pStyle w:val="ListParagraph"/>
        <w:numPr>
          <w:ilvl w:val="0"/>
          <w:numId w:val="35"/>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Hartimi i akteve nënligjore të ligjit të miratuar për bizneset fillestare.</w:t>
      </w:r>
    </w:p>
    <w:p w14:paraId="7D53F05D" w14:textId="210D89A7" w:rsidR="00E51C16" w:rsidRPr="005208DC" w:rsidRDefault="00E51C16" w:rsidP="00857902">
      <w:pPr>
        <w:pStyle w:val="ListParagraph"/>
        <w:numPr>
          <w:ilvl w:val="0"/>
          <w:numId w:val="35"/>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Krijimi i Këshillit të Start-Up-ve.</w:t>
      </w:r>
    </w:p>
    <w:p w14:paraId="31DA5C23" w14:textId="39076748" w:rsidR="00E51C16" w:rsidRPr="005208DC" w:rsidRDefault="00E51C16" w:rsidP="00857902">
      <w:pPr>
        <w:pStyle w:val="ListParagraph"/>
        <w:numPr>
          <w:ilvl w:val="0"/>
          <w:numId w:val="35"/>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Krijimi i portalit online për vetë regjistrimin online të bizneseve fillestare dhe lehtësuesve.</w:t>
      </w:r>
    </w:p>
    <w:p w14:paraId="78010F50" w14:textId="40DFECAF" w:rsidR="00DB22AB" w:rsidRPr="005208DC" w:rsidRDefault="00B2062A" w:rsidP="00857902">
      <w:pPr>
        <w:pStyle w:val="ListParagraph"/>
        <w:numPr>
          <w:ilvl w:val="0"/>
          <w:numId w:val="34"/>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DB22AB" w:rsidRPr="005208DC">
        <w:rPr>
          <w:rFonts w:asciiTheme="majorBidi" w:hAnsiTheme="majorBidi" w:cstheme="majorBidi"/>
          <w:b/>
          <w:color w:val="0D0D0D" w:themeColor="text1" w:themeTint="F2"/>
          <w:sz w:val="24"/>
          <w:szCs w:val="24"/>
          <w:lang w:val="sq-AL"/>
        </w:rPr>
        <w:t xml:space="preserve"> 2023</w:t>
      </w:r>
    </w:p>
    <w:p w14:paraId="28A43D37" w14:textId="31238D91" w:rsidR="00CC1612" w:rsidRPr="005208DC" w:rsidRDefault="00E51C16" w:rsidP="00857902">
      <w:pPr>
        <w:pStyle w:val="ListParagraph"/>
        <w:numPr>
          <w:ilvl w:val="0"/>
          <w:numId w:val="36"/>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Plotësisht funksional krijimi i Këshillit të Start-Up-ve</w:t>
      </w:r>
      <w:r w:rsidR="00CC1612" w:rsidRPr="005208DC">
        <w:rPr>
          <w:rFonts w:asciiTheme="majorBidi" w:hAnsiTheme="majorBidi" w:cstheme="majorBidi"/>
          <w:color w:val="0D0D0D" w:themeColor="text1" w:themeTint="F2"/>
          <w:sz w:val="24"/>
          <w:szCs w:val="24"/>
          <w:lang w:val="sq-AL"/>
        </w:rPr>
        <w:t>.</w:t>
      </w:r>
    </w:p>
    <w:p w14:paraId="3BFACFC3" w14:textId="1A1F70B0" w:rsidR="00E51C16" w:rsidRPr="005208DC" w:rsidRDefault="00E51C16" w:rsidP="00857902">
      <w:pPr>
        <w:pStyle w:val="ListParagraph"/>
        <w:numPr>
          <w:ilvl w:val="0"/>
          <w:numId w:val="36"/>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Zbatimi i ligjit për start-up, me fokus në masat mbështetëse.</w:t>
      </w:r>
    </w:p>
    <w:p w14:paraId="7823D078" w14:textId="1C7FA4D6" w:rsidR="00E51C16" w:rsidRPr="005208DC" w:rsidRDefault="00E51C16" w:rsidP="00857902">
      <w:pPr>
        <w:pStyle w:val="ListParagraph"/>
        <w:numPr>
          <w:ilvl w:val="0"/>
          <w:numId w:val="36"/>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Drejtimi i portalit online për vetë regjistrimin online të bizneseve fillestare dhe lehtësuesve.</w:t>
      </w:r>
    </w:p>
    <w:p w14:paraId="57287A7C" w14:textId="17138AE0" w:rsidR="00DB22AB" w:rsidRPr="005208DC" w:rsidRDefault="00B2062A" w:rsidP="00857902">
      <w:pPr>
        <w:pStyle w:val="ListParagraph"/>
        <w:numPr>
          <w:ilvl w:val="0"/>
          <w:numId w:val="34"/>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DB22AB" w:rsidRPr="005208DC">
        <w:rPr>
          <w:rFonts w:asciiTheme="majorBidi" w:hAnsiTheme="majorBidi" w:cstheme="majorBidi"/>
          <w:b/>
          <w:color w:val="0D0D0D" w:themeColor="text1" w:themeTint="F2"/>
          <w:sz w:val="24"/>
          <w:szCs w:val="24"/>
          <w:lang w:val="sq-AL"/>
        </w:rPr>
        <w:t xml:space="preserve"> 2024</w:t>
      </w:r>
    </w:p>
    <w:p w14:paraId="29F61FE1" w14:textId="4F4A1F56" w:rsidR="00CC1612" w:rsidRPr="005208DC" w:rsidRDefault="00E51C16" w:rsidP="00857902">
      <w:pPr>
        <w:pStyle w:val="ListParagraph"/>
        <w:numPr>
          <w:ilvl w:val="0"/>
          <w:numId w:val="37"/>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Drejtimi i Këshillit të Start-Up-ve</w:t>
      </w:r>
      <w:r w:rsidR="00CC1612" w:rsidRPr="005208DC">
        <w:rPr>
          <w:rFonts w:asciiTheme="majorBidi" w:eastAsia="Calibri" w:hAnsiTheme="majorBidi" w:cstheme="majorBidi"/>
          <w:color w:val="0D0D0D" w:themeColor="text1" w:themeTint="F2"/>
          <w:sz w:val="24"/>
          <w:szCs w:val="24"/>
          <w:lang w:val="sq-AL"/>
        </w:rPr>
        <w:t>.</w:t>
      </w:r>
    </w:p>
    <w:p w14:paraId="69A1180E" w14:textId="38FEC80B" w:rsidR="00E51C16" w:rsidRPr="005208DC" w:rsidRDefault="00E51C16" w:rsidP="00857902">
      <w:pPr>
        <w:pStyle w:val="ListParagraph"/>
        <w:numPr>
          <w:ilvl w:val="0"/>
          <w:numId w:val="37"/>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Zbatimi i ligjit për start-up, me fokus në dhënien e masave mbështetëse për start-up-et e vetë deklaruara online.</w:t>
      </w:r>
    </w:p>
    <w:p w14:paraId="46921682" w14:textId="489DA44A" w:rsidR="00E51C16" w:rsidRPr="005208DC" w:rsidRDefault="00E51C16" w:rsidP="00857902">
      <w:pPr>
        <w:pStyle w:val="ListParagraph"/>
        <w:numPr>
          <w:ilvl w:val="0"/>
          <w:numId w:val="37"/>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Drejtimi dhe mirëmbajtja e portalit online për vetë regjistrimin online të bizneseve fillestare dhe lehtësuesve.</w:t>
      </w:r>
    </w:p>
    <w:p w14:paraId="79E9920D" w14:textId="77777777" w:rsidR="00DB22AB" w:rsidRPr="005208DC" w:rsidRDefault="00DB22AB" w:rsidP="00857902">
      <w:pPr>
        <w:snapToGrid w:val="0"/>
        <w:rPr>
          <w:rFonts w:asciiTheme="majorBidi" w:hAnsiTheme="majorBidi" w:cstheme="majorBidi"/>
          <w:color w:val="0D0D0D" w:themeColor="text1" w:themeTint="F2"/>
          <w:lang w:val="sq-AL"/>
        </w:rPr>
      </w:pPr>
    </w:p>
    <w:p w14:paraId="1094FD9A" w14:textId="46DCA147" w:rsidR="00DB22AB" w:rsidRPr="005208DC" w:rsidRDefault="00B2062A" w:rsidP="00857902">
      <w:pPr>
        <w:pStyle w:val="Heading6"/>
        <w:numPr>
          <w:ilvl w:val="0"/>
          <w:numId w:val="3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Treguesit e rezultateve</w:t>
      </w:r>
    </w:p>
    <w:tbl>
      <w:tblPr>
        <w:tblStyle w:val="TableGrid"/>
        <w:tblW w:w="0" w:type="auto"/>
        <w:tblLook w:val="04A0" w:firstRow="1" w:lastRow="0" w:firstColumn="1" w:lastColumn="0" w:noHBand="0" w:noVBand="1"/>
      </w:tblPr>
      <w:tblGrid>
        <w:gridCol w:w="4587"/>
        <w:gridCol w:w="1576"/>
        <w:gridCol w:w="1736"/>
        <w:gridCol w:w="1736"/>
      </w:tblGrid>
      <w:tr w:rsidR="005208DC" w:rsidRPr="005208DC" w14:paraId="40EA9D7D" w14:textId="77777777" w:rsidTr="00E51C16">
        <w:tc>
          <w:tcPr>
            <w:tcW w:w="4587" w:type="dxa"/>
          </w:tcPr>
          <w:p w14:paraId="0A0160E9" w14:textId="314219C7" w:rsidR="00CC1612"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w:t>
            </w:r>
          </w:p>
        </w:tc>
        <w:tc>
          <w:tcPr>
            <w:tcW w:w="1576" w:type="dxa"/>
          </w:tcPr>
          <w:p w14:paraId="71EF738D" w14:textId="5E88CE63" w:rsidR="00CC1612"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Bazë</w:t>
            </w:r>
          </w:p>
        </w:tc>
        <w:tc>
          <w:tcPr>
            <w:tcW w:w="1736" w:type="dxa"/>
          </w:tcPr>
          <w:p w14:paraId="0A30EF2C" w14:textId="0815ADE1" w:rsidR="00CC1612"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 ndërmjetëm</w:t>
            </w:r>
          </w:p>
        </w:tc>
        <w:tc>
          <w:tcPr>
            <w:tcW w:w="1736" w:type="dxa"/>
          </w:tcPr>
          <w:p w14:paraId="125423B5" w14:textId="74B82CD7" w:rsidR="00CC1612"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Synimi</w:t>
            </w:r>
          </w:p>
        </w:tc>
      </w:tr>
      <w:tr w:rsidR="005208DC" w:rsidRPr="005208DC" w14:paraId="51C74C73" w14:textId="77777777" w:rsidTr="00E51C16">
        <w:tc>
          <w:tcPr>
            <w:tcW w:w="4587" w:type="dxa"/>
          </w:tcPr>
          <w:p w14:paraId="03A889DF" w14:textId="11957977" w:rsidR="00E51C16" w:rsidRPr="005208DC" w:rsidRDefault="00E51C16"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Miratimi i ligjit të ri “Për startup-et” dhe akteve nënligjore</w:t>
            </w:r>
          </w:p>
        </w:tc>
        <w:tc>
          <w:tcPr>
            <w:tcW w:w="1576" w:type="dxa"/>
            <w:vAlign w:val="center"/>
          </w:tcPr>
          <w:p w14:paraId="73BDF218" w14:textId="563D0DAB" w:rsidR="00E51C16" w:rsidRPr="005208DC" w:rsidRDefault="00E51C16" w:rsidP="00857902">
            <w:pPr>
              <w:snapToGrid w:val="0"/>
              <w:rPr>
                <w:rFonts w:asciiTheme="majorBidi"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N</w:t>
            </w:r>
            <w:r w:rsidRPr="005208DC">
              <w:rPr>
                <w:rFonts w:asciiTheme="majorBidi" w:hAnsiTheme="majorBidi" w:cstheme="majorBidi"/>
                <w:color w:val="0D0D0D" w:themeColor="text1" w:themeTint="F2"/>
                <w:lang w:val="sq-AL"/>
              </w:rPr>
              <w:t>ë</w:t>
            </w:r>
            <w:r w:rsidRPr="005208DC">
              <w:rPr>
                <w:rFonts w:asciiTheme="majorBidi" w:eastAsia="Times New Roman" w:hAnsiTheme="majorBidi" w:cstheme="majorBidi"/>
                <w:color w:val="0D0D0D" w:themeColor="text1" w:themeTint="F2"/>
                <w:lang w:val="sq-AL"/>
              </w:rPr>
              <w:t xml:space="preserve"> ripunim</w:t>
            </w:r>
          </w:p>
        </w:tc>
        <w:tc>
          <w:tcPr>
            <w:tcW w:w="1736" w:type="dxa"/>
            <w:vAlign w:val="center"/>
          </w:tcPr>
          <w:p w14:paraId="58FD8ADD" w14:textId="6EEF51E4" w:rsidR="00E51C16" w:rsidRPr="005208DC" w:rsidRDefault="00E51C16" w:rsidP="00857902">
            <w:pPr>
              <w:snapToGrid w:val="0"/>
              <w:rPr>
                <w:rFonts w:asciiTheme="majorBidi"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Zbatim (2022)</w:t>
            </w:r>
          </w:p>
        </w:tc>
        <w:tc>
          <w:tcPr>
            <w:tcW w:w="1736" w:type="dxa"/>
            <w:vAlign w:val="center"/>
          </w:tcPr>
          <w:p w14:paraId="11C51BC7" w14:textId="6BD5AE4A" w:rsidR="00E51C16" w:rsidRPr="005208DC" w:rsidRDefault="00E51C16" w:rsidP="00857902">
            <w:pPr>
              <w:snapToGrid w:val="0"/>
              <w:rPr>
                <w:rFonts w:asciiTheme="majorBidi"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Zbatim (2024)</w:t>
            </w:r>
          </w:p>
        </w:tc>
      </w:tr>
      <w:tr w:rsidR="005208DC" w:rsidRPr="005208DC" w14:paraId="33B7F8A4" w14:textId="77777777" w:rsidTr="00E51C16">
        <w:tc>
          <w:tcPr>
            <w:tcW w:w="4587" w:type="dxa"/>
          </w:tcPr>
          <w:p w14:paraId="65CCC997" w14:textId="661809BF" w:rsidR="00E51C16" w:rsidRPr="005208DC" w:rsidRDefault="00E51C16"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Krijimi i Këshillit të Start-Up-ve</w:t>
            </w:r>
          </w:p>
        </w:tc>
        <w:tc>
          <w:tcPr>
            <w:tcW w:w="1576" w:type="dxa"/>
            <w:vAlign w:val="center"/>
          </w:tcPr>
          <w:p w14:paraId="7C5EA2AF" w14:textId="2B227F1A" w:rsidR="00E51C16" w:rsidRPr="005208DC" w:rsidRDefault="00E51C16" w:rsidP="00857902">
            <w:pPr>
              <w:snapToGrid w:val="0"/>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N</w:t>
            </w:r>
            <w:r w:rsidRPr="005208DC">
              <w:rPr>
                <w:rFonts w:asciiTheme="majorBidi" w:hAnsiTheme="majorBidi" w:cstheme="majorBidi"/>
                <w:color w:val="0D0D0D" w:themeColor="text1" w:themeTint="F2"/>
                <w:lang w:val="sq-AL"/>
              </w:rPr>
              <w:t>ë</w:t>
            </w:r>
            <w:r w:rsidRPr="005208DC">
              <w:rPr>
                <w:rFonts w:asciiTheme="majorBidi" w:eastAsia="Times New Roman" w:hAnsiTheme="majorBidi" w:cstheme="majorBidi"/>
                <w:color w:val="0D0D0D" w:themeColor="text1" w:themeTint="F2"/>
                <w:lang w:val="sq-AL"/>
              </w:rPr>
              <w:t xml:space="preserve"> ripunim</w:t>
            </w:r>
          </w:p>
        </w:tc>
        <w:tc>
          <w:tcPr>
            <w:tcW w:w="1736" w:type="dxa"/>
            <w:vAlign w:val="center"/>
          </w:tcPr>
          <w:p w14:paraId="559404F1" w14:textId="522FD48F" w:rsidR="00E51C16" w:rsidRPr="005208DC" w:rsidRDefault="00E51C16" w:rsidP="00857902">
            <w:pPr>
              <w:snapToGrid w:val="0"/>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Zbatim (2022)</w:t>
            </w:r>
          </w:p>
        </w:tc>
        <w:tc>
          <w:tcPr>
            <w:tcW w:w="1736" w:type="dxa"/>
            <w:vAlign w:val="center"/>
          </w:tcPr>
          <w:p w14:paraId="2A8E64A6" w14:textId="5E30F2CD" w:rsidR="00E51C16" w:rsidRPr="005208DC" w:rsidRDefault="00E51C16" w:rsidP="00857902">
            <w:pPr>
              <w:snapToGrid w:val="0"/>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Zbatim (2024)</w:t>
            </w:r>
          </w:p>
        </w:tc>
      </w:tr>
      <w:tr w:rsidR="005208DC" w:rsidRPr="005208DC" w14:paraId="40A816FB" w14:textId="77777777" w:rsidTr="00E51C16">
        <w:tc>
          <w:tcPr>
            <w:tcW w:w="4587" w:type="dxa"/>
          </w:tcPr>
          <w:p w14:paraId="33CA783B" w14:textId="7A93CCFB" w:rsidR="00E51C16" w:rsidRPr="005208DC" w:rsidRDefault="00E51C16"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Miratimi i kuadrit të politikave dhe skemave mbështetëse për bizneset fillestare</w:t>
            </w:r>
          </w:p>
        </w:tc>
        <w:tc>
          <w:tcPr>
            <w:tcW w:w="1576" w:type="dxa"/>
            <w:vAlign w:val="center"/>
          </w:tcPr>
          <w:p w14:paraId="7973424D" w14:textId="0D61A72D" w:rsidR="00E51C16" w:rsidRPr="005208DC" w:rsidRDefault="00E51C16" w:rsidP="00857902">
            <w:pPr>
              <w:snapToGrid w:val="0"/>
              <w:rPr>
                <w:rFonts w:asciiTheme="majorBidi"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0</w:t>
            </w:r>
          </w:p>
        </w:tc>
        <w:tc>
          <w:tcPr>
            <w:tcW w:w="1736" w:type="dxa"/>
            <w:vAlign w:val="center"/>
          </w:tcPr>
          <w:p w14:paraId="55C38021" w14:textId="3C888B7E" w:rsidR="00E51C16" w:rsidRPr="005208DC" w:rsidRDefault="00E51C16" w:rsidP="00857902">
            <w:pPr>
              <w:snapToGrid w:val="0"/>
              <w:rPr>
                <w:rFonts w:asciiTheme="majorBidi"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Miratuar (2022)</w:t>
            </w:r>
          </w:p>
        </w:tc>
        <w:tc>
          <w:tcPr>
            <w:tcW w:w="1736" w:type="dxa"/>
            <w:vAlign w:val="center"/>
          </w:tcPr>
          <w:p w14:paraId="48174B14" w14:textId="308FECE3" w:rsidR="00E51C16" w:rsidRPr="005208DC" w:rsidRDefault="00E51C16" w:rsidP="00857902">
            <w:pPr>
              <w:snapToGrid w:val="0"/>
              <w:rPr>
                <w:rFonts w:asciiTheme="majorBidi"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Zbatim (2024)</w:t>
            </w:r>
          </w:p>
        </w:tc>
      </w:tr>
      <w:tr w:rsidR="005208DC" w:rsidRPr="005208DC" w14:paraId="01BF5AC7" w14:textId="77777777" w:rsidTr="00E51C16">
        <w:tc>
          <w:tcPr>
            <w:tcW w:w="4587" w:type="dxa"/>
          </w:tcPr>
          <w:p w14:paraId="0B86776D" w14:textId="6B13769D" w:rsidR="00CC1612" w:rsidRPr="005208DC" w:rsidRDefault="00E51C16"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Të paktën dy thirrje për aplikime për skemat mbështetëse për start-up-et dhe të paktën 10 fillime të financuara nga thirrjet</w:t>
            </w:r>
          </w:p>
        </w:tc>
        <w:tc>
          <w:tcPr>
            <w:tcW w:w="1576" w:type="dxa"/>
            <w:vAlign w:val="center"/>
          </w:tcPr>
          <w:p w14:paraId="40A034B7" w14:textId="467DF4FB" w:rsidR="00CC1612" w:rsidRPr="005208DC" w:rsidRDefault="00E51C16"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23 start-ups dhe 4 grante të Organizatave Mbështetëse të Inovacionit në kuadër të thirrjeve të para dhe të dyta të nisura gjatë vitit 2019. Thirrja e tretë ka nisur në vitin 2020 dhe aktualisht është në fazën përfundimtare të vlerësimit.</w:t>
            </w:r>
          </w:p>
        </w:tc>
        <w:tc>
          <w:tcPr>
            <w:tcW w:w="1736" w:type="dxa"/>
            <w:vAlign w:val="center"/>
          </w:tcPr>
          <w:p w14:paraId="40B63B35" w14:textId="1CC510D0" w:rsidR="00CC1612" w:rsidRPr="005208DC" w:rsidRDefault="00CC1612" w:rsidP="00857902">
            <w:pPr>
              <w:snapToGrid w:val="0"/>
              <w:rPr>
                <w:rFonts w:asciiTheme="majorBidi" w:hAnsiTheme="majorBidi" w:cstheme="majorBidi"/>
                <w:color w:val="0D0D0D" w:themeColor="text1" w:themeTint="F2"/>
                <w:lang w:val="sq-AL"/>
              </w:rPr>
            </w:pPr>
          </w:p>
        </w:tc>
        <w:tc>
          <w:tcPr>
            <w:tcW w:w="1736" w:type="dxa"/>
            <w:vAlign w:val="center"/>
          </w:tcPr>
          <w:p w14:paraId="63A31090" w14:textId="3FBEFB8C" w:rsidR="00CC1612" w:rsidRPr="005208DC" w:rsidRDefault="00CC1612" w:rsidP="00857902">
            <w:pPr>
              <w:snapToGrid w:val="0"/>
              <w:rPr>
                <w:rFonts w:asciiTheme="majorBidi" w:hAnsiTheme="majorBidi" w:cstheme="majorBidi"/>
                <w:color w:val="0D0D0D" w:themeColor="text1" w:themeTint="F2"/>
                <w:lang w:val="sq-AL"/>
              </w:rPr>
            </w:pPr>
          </w:p>
        </w:tc>
      </w:tr>
    </w:tbl>
    <w:p w14:paraId="1C51D266" w14:textId="77777777" w:rsidR="00CC1612" w:rsidRPr="005208DC" w:rsidRDefault="00CC1612" w:rsidP="00857902">
      <w:pPr>
        <w:snapToGrid w:val="0"/>
        <w:rPr>
          <w:rFonts w:asciiTheme="majorBidi" w:hAnsiTheme="majorBidi" w:cstheme="majorBidi"/>
          <w:color w:val="0D0D0D" w:themeColor="text1" w:themeTint="F2"/>
          <w:lang w:val="sq-AL"/>
        </w:rPr>
      </w:pPr>
    </w:p>
    <w:p w14:paraId="7670794B" w14:textId="0676CAC1" w:rsidR="00DB22AB" w:rsidRPr="005208DC" w:rsidRDefault="00B2062A" w:rsidP="00857902">
      <w:pPr>
        <w:pStyle w:val="Heading6"/>
        <w:numPr>
          <w:ilvl w:val="0"/>
          <w:numId w:val="3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konkurrueshmëri</w:t>
      </w:r>
    </w:p>
    <w:p w14:paraId="364CEA31" w14:textId="5C18900D" w:rsidR="00E51C16" w:rsidRPr="005208DC" w:rsidRDefault="00E51C16"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Politikat e sipërmarrjes dhe fillimit mund të inkurajojnë shfaqjen dhe rritjen e kompanive fillestare duke ofruar një mjedis miqësor ndaj sipërmarrjes (p.sh. përmes lehtësimit të barrës financiare për bizneset fillestare). Me fokusin e tyre në idetë dhe shërbimet e reja të biznesit, start-up-et përfaqësojnë një segment specifik të ekonomisë, i cili ka potencialin të përcaktojë suksesin dhe mirëqenien e ekonomisë në afat të gjatë. Ndërmarrjet fillestare sjellin ndërhyrje të reja, përshtatin teknologjitë ekzistuese në treg dhe për këtë arsye krijojnë mundësi për komercializimin e rezultateve të kërkimit shkencor.</w:t>
      </w:r>
    </w:p>
    <w:p w14:paraId="5D5C3AE9" w14:textId="77777777" w:rsidR="00E51C16" w:rsidRPr="005208DC" w:rsidRDefault="00E51C16" w:rsidP="00857902">
      <w:pPr>
        <w:snapToGrid w:val="0"/>
        <w:jc w:val="both"/>
        <w:rPr>
          <w:rFonts w:asciiTheme="majorBidi" w:hAnsiTheme="majorBidi" w:cstheme="majorBidi"/>
          <w:color w:val="0D0D0D" w:themeColor="text1" w:themeTint="F2"/>
          <w:lang w:val="sq-AL"/>
        </w:rPr>
      </w:pPr>
    </w:p>
    <w:p w14:paraId="39F7B389" w14:textId="6A1416DA" w:rsidR="00DB22AB" w:rsidRPr="005208DC" w:rsidRDefault="00B2062A" w:rsidP="00857902">
      <w:pPr>
        <w:pStyle w:val="Heading6"/>
        <w:numPr>
          <w:ilvl w:val="0"/>
          <w:numId w:val="3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Kosto e parashikuar e aktiviteteve dhe burimi i financimit</w:t>
      </w:r>
    </w:p>
    <w:p w14:paraId="0C83349C" w14:textId="50342877" w:rsidR="00E51C16" w:rsidRPr="005208DC" w:rsidRDefault="00E51C16"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Kostoja e aktiviteteve dhe burimi i financimit janë të detajuara përkatësisht në tabelën 10a dhe tabelën 10b.</w:t>
      </w:r>
    </w:p>
    <w:p w14:paraId="3ED5008F" w14:textId="77777777" w:rsidR="00E51C16" w:rsidRPr="005208DC" w:rsidRDefault="00E51C16" w:rsidP="00857902">
      <w:pPr>
        <w:snapToGrid w:val="0"/>
        <w:rPr>
          <w:rFonts w:asciiTheme="majorBidi" w:hAnsiTheme="majorBidi" w:cstheme="majorBidi"/>
          <w:color w:val="0D0D0D" w:themeColor="text1" w:themeTint="F2"/>
          <w:lang w:val="sq-AL"/>
        </w:rPr>
      </w:pPr>
    </w:p>
    <w:p w14:paraId="013B97D6" w14:textId="45CCD6EC" w:rsidR="00DB22AB" w:rsidRPr="005208DC" w:rsidRDefault="00B2062A" w:rsidP="00857902">
      <w:pPr>
        <w:pStyle w:val="Heading6"/>
        <w:numPr>
          <w:ilvl w:val="0"/>
          <w:numId w:val="3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përfundimet sociale si punësimi, ulja e varfërisë, barazia gjinore dhe aksesi në kujdesin shëndetësor</w:t>
      </w:r>
    </w:p>
    <w:p w14:paraId="03D6DCD2" w14:textId="77777777" w:rsidR="00FB30AC" w:rsidRPr="005208DC" w:rsidRDefault="00FB30AC" w:rsidP="00857902">
      <w:pPr>
        <w:widowControl w:val="0"/>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Bizneset e reja krijojnë vende pune në sektorë të ekonomisë të orientuar drejt së ardhmes dhe sjellin një impuls proaktiv në ekonomi përmes mënyrës së tyre konkurruese dhe dinamike të funksionimit. Aktivitetet e planifikuara të fillimit dhe sipërmarrjes do të fokusohen në:</w:t>
      </w:r>
    </w:p>
    <w:p w14:paraId="64E21B82" w14:textId="77777777" w:rsidR="00FB30AC" w:rsidRPr="005208DC" w:rsidRDefault="00FB30AC" w:rsidP="00857902">
      <w:pPr>
        <w:widowControl w:val="0"/>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a) mbështetjen e inovacionit në fushat prioritare për zhvillimin e vendit;</w:t>
      </w:r>
    </w:p>
    <w:p w14:paraId="51464568" w14:textId="77777777" w:rsidR="00FB30AC" w:rsidRPr="005208DC" w:rsidRDefault="00FB30AC" w:rsidP="00857902">
      <w:pPr>
        <w:widowControl w:val="0"/>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b) mbështetjen e nismave që kanë një ndikim pozitiv mjedisor;</w:t>
      </w:r>
    </w:p>
    <w:p w14:paraId="0FE1984D" w14:textId="77777777" w:rsidR="00FB30AC" w:rsidRPr="005208DC" w:rsidRDefault="00FB30AC" w:rsidP="00857902">
      <w:pPr>
        <w:widowControl w:val="0"/>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c) fuqizimi i grave sipërmarrëse;</w:t>
      </w:r>
    </w:p>
    <w:p w14:paraId="4EDAAFF9" w14:textId="7A63A229" w:rsidR="00E51C16" w:rsidRPr="005208DC" w:rsidRDefault="00FB30AC"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d) forcimin e përfshirjes sociale, diversitetit dhe ndikimit social.</w:t>
      </w:r>
    </w:p>
    <w:p w14:paraId="369DC786" w14:textId="77777777" w:rsidR="00E51C16" w:rsidRPr="005208DC" w:rsidRDefault="00E51C16" w:rsidP="00857902">
      <w:pPr>
        <w:snapToGrid w:val="0"/>
        <w:rPr>
          <w:rFonts w:asciiTheme="majorBidi" w:hAnsiTheme="majorBidi" w:cstheme="majorBidi"/>
          <w:color w:val="0D0D0D" w:themeColor="text1" w:themeTint="F2"/>
          <w:lang w:val="sq-AL"/>
        </w:rPr>
      </w:pPr>
    </w:p>
    <w:p w14:paraId="0553859C" w14:textId="49CB693A" w:rsidR="00DB22AB" w:rsidRPr="005208DC" w:rsidRDefault="00B2062A" w:rsidP="00857902">
      <w:pPr>
        <w:pStyle w:val="Heading6"/>
        <w:numPr>
          <w:ilvl w:val="0"/>
          <w:numId w:val="3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mjedis dhe ndryshimi i klimës</w:t>
      </w:r>
    </w:p>
    <w:p w14:paraId="54E162A3" w14:textId="3A557889" w:rsidR="00FB30AC" w:rsidRPr="005208DC" w:rsidRDefault="00FB30AC"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Masa nuk parashikon ndikim të drejtpërdrejtë në mjedis.</w:t>
      </w:r>
    </w:p>
    <w:p w14:paraId="6591F894" w14:textId="77777777" w:rsidR="00FB30AC" w:rsidRPr="005208DC" w:rsidRDefault="00FB30AC" w:rsidP="00857902">
      <w:pPr>
        <w:snapToGrid w:val="0"/>
        <w:rPr>
          <w:rFonts w:asciiTheme="majorBidi" w:hAnsiTheme="majorBidi" w:cstheme="majorBidi"/>
          <w:color w:val="0D0D0D" w:themeColor="text1" w:themeTint="F2"/>
          <w:lang w:val="sq-AL"/>
        </w:rPr>
      </w:pPr>
    </w:p>
    <w:p w14:paraId="48FE94EC" w14:textId="435CFA3C" w:rsidR="00DB22AB" w:rsidRPr="005208DC" w:rsidRDefault="00B2062A" w:rsidP="00857902">
      <w:pPr>
        <w:pStyle w:val="Heading6"/>
        <w:numPr>
          <w:ilvl w:val="0"/>
          <w:numId w:val="3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Rreziqet e mundshme</w:t>
      </w:r>
    </w:p>
    <w:tbl>
      <w:tblPr>
        <w:tblStyle w:val="TableGrid"/>
        <w:tblW w:w="0" w:type="auto"/>
        <w:tblLook w:val="04A0" w:firstRow="1" w:lastRow="0" w:firstColumn="1" w:lastColumn="0" w:noHBand="0" w:noVBand="1"/>
      </w:tblPr>
      <w:tblGrid>
        <w:gridCol w:w="4815"/>
        <w:gridCol w:w="1559"/>
        <w:gridCol w:w="3248"/>
      </w:tblGrid>
      <w:tr w:rsidR="005208DC" w:rsidRPr="005208DC" w14:paraId="567F297D" w14:textId="77777777" w:rsidTr="00CC1612">
        <w:tc>
          <w:tcPr>
            <w:tcW w:w="4815" w:type="dxa"/>
          </w:tcPr>
          <w:p w14:paraId="5815F27B" w14:textId="77B79069" w:rsidR="00CC1612"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Rreziku</w:t>
            </w:r>
          </w:p>
        </w:tc>
        <w:tc>
          <w:tcPr>
            <w:tcW w:w="1559" w:type="dxa"/>
          </w:tcPr>
          <w:p w14:paraId="5D044CF9" w14:textId="3AAD5937" w:rsidR="00CC1612"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Mundësia</w:t>
            </w:r>
            <w:r w:rsidR="00CC1612" w:rsidRPr="005208DC">
              <w:rPr>
                <w:rFonts w:asciiTheme="majorBidi" w:hAnsiTheme="majorBidi" w:cstheme="majorBidi"/>
                <w:color w:val="0D0D0D" w:themeColor="text1" w:themeTint="F2"/>
                <w:lang w:val="sq-AL"/>
              </w:rPr>
              <w:t xml:space="preserve"> (</w:t>
            </w:r>
            <w:r w:rsidRPr="005208DC">
              <w:rPr>
                <w:rFonts w:asciiTheme="majorBidi" w:hAnsiTheme="majorBidi" w:cstheme="majorBidi"/>
                <w:color w:val="0D0D0D" w:themeColor="text1" w:themeTint="F2"/>
                <w:lang w:val="sq-AL"/>
              </w:rPr>
              <w:t>e ulët, e lartë</w:t>
            </w:r>
            <w:r w:rsidR="00CC1612" w:rsidRPr="005208DC">
              <w:rPr>
                <w:rFonts w:asciiTheme="majorBidi" w:hAnsiTheme="majorBidi" w:cstheme="majorBidi"/>
                <w:color w:val="0D0D0D" w:themeColor="text1" w:themeTint="F2"/>
                <w:lang w:val="sq-AL"/>
              </w:rPr>
              <w:t>)</w:t>
            </w:r>
          </w:p>
        </w:tc>
        <w:tc>
          <w:tcPr>
            <w:tcW w:w="3248" w:type="dxa"/>
          </w:tcPr>
          <w:p w14:paraId="0909C2B4" w14:textId="05A9ED55" w:rsidR="00CC1612"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Veprimi zbutës i parashikuar</w:t>
            </w:r>
          </w:p>
        </w:tc>
      </w:tr>
      <w:tr w:rsidR="005208DC" w:rsidRPr="005208DC" w14:paraId="6983CDDA" w14:textId="77777777" w:rsidTr="00CC1612">
        <w:tc>
          <w:tcPr>
            <w:tcW w:w="4815" w:type="dxa"/>
          </w:tcPr>
          <w:p w14:paraId="67677FCB" w14:textId="2CF05E78" w:rsidR="00CC1612" w:rsidRPr="005208DC" w:rsidRDefault="00FB30AC"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Niveli i ulët ose mungesa e bashkëpunimit dhe koordinimit ndërmjet organeve kompetente qeveritare dhe organizatave joqeveritare</w:t>
            </w:r>
          </w:p>
        </w:tc>
        <w:tc>
          <w:tcPr>
            <w:tcW w:w="1559" w:type="dxa"/>
          </w:tcPr>
          <w:p w14:paraId="089E715B" w14:textId="6A1BA40C" w:rsidR="00CC1612" w:rsidRPr="005208DC" w:rsidRDefault="00FB30AC"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E ulët</w:t>
            </w:r>
          </w:p>
        </w:tc>
        <w:tc>
          <w:tcPr>
            <w:tcW w:w="3248" w:type="dxa"/>
          </w:tcPr>
          <w:p w14:paraId="416F6508" w14:textId="542EC152" w:rsidR="00CC1612" w:rsidRPr="005208DC" w:rsidRDefault="00FB30AC"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Rritja e nivelit të bashkëpunimit përmes tryezave të përbashkëta, grupeve të punës etj.</w:t>
            </w:r>
          </w:p>
        </w:tc>
      </w:tr>
      <w:tr w:rsidR="005208DC" w:rsidRPr="005208DC" w14:paraId="56AEFC6E" w14:textId="77777777" w:rsidTr="00CC1612">
        <w:tc>
          <w:tcPr>
            <w:tcW w:w="4815" w:type="dxa"/>
          </w:tcPr>
          <w:p w14:paraId="007D1E42" w14:textId="7B943AD7" w:rsidR="00CC1612" w:rsidRPr="005208DC" w:rsidRDefault="00FB30AC"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Shtyrja e miratimit të ligjit të ri për Start Up-et</w:t>
            </w:r>
          </w:p>
        </w:tc>
        <w:tc>
          <w:tcPr>
            <w:tcW w:w="1559" w:type="dxa"/>
          </w:tcPr>
          <w:p w14:paraId="5AFE7954" w14:textId="48C8DD9F" w:rsidR="00CC1612" w:rsidRPr="005208DC" w:rsidRDefault="00FB30AC"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E lartë</w:t>
            </w:r>
          </w:p>
        </w:tc>
        <w:tc>
          <w:tcPr>
            <w:tcW w:w="3248" w:type="dxa"/>
          </w:tcPr>
          <w:p w14:paraId="6F8183ED" w14:textId="14C0DB54" w:rsidR="00CC1612" w:rsidRPr="005208DC" w:rsidRDefault="00FB30AC"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Rritja e ndërgjegjësimit në nivel politik për nevojën e këtij ligji</w:t>
            </w:r>
          </w:p>
        </w:tc>
      </w:tr>
    </w:tbl>
    <w:p w14:paraId="6BB4AFF3" w14:textId="77777777" w:rsidR="00CC1612" w:rsidRPr="005208DC" w:rsidRDefault="00CC1612" w:rsidP="00857902">
      <w:pPr>
        <w:snapToGrid w:val="0"/>
        <w:rPr>
          <w:rFonts w:asciiTheme="majorBidi" w:hAnsiTheme="majorBidi" w:cstheme="majorBidi"/>
          <w:color w:val="0D0D0D" w:themeColor="text1" w:themeTint="F2"/>
          <w:lang w:val="sq-AL"/>
        </w:rPr>
      </w:pPr>
    </w:p>
    <w:p w14:paraId="0DCEF83D" w14:textId="77777777" w:rsidR="00CC1612" w:rsidRPr="005208DC" w:rsidRDefault="00CC1612" w:rsidP="00857902">
      <w:pPr>
        <w:snapToGrid w:val="0"/>
        <w:rPr>
          <w:rFonts w:asciiTheme="majorBidi" w:hAnsiTheme="majorBidi" w:cstheme="majorBidi"/>
          <w:color w:val="0D0D0D" w:themeColor="text1" w:themeTint="F2"/>
          <w:lang w:val="sq-AL"/>
        </w:rPr>
      </w:pPr>
    </w:p>
    <w:p w14:paraId="7A057DF1" w14:textId="60C0FC99" w:rsidR="00DB22AB" w:rsidRPr="005208DC" w:rsidRDefault="00B2062A" w:rsidP="00857902">
      <w:pPr>
        <w:pStyle w:val="Heading5"/>
        <w:snapToGrid w:val="0"/>
        <w:ind w:left="0"/>
        <w:rPr>
          <w:rFonts w:asciiTheme="majorBidi" w:hAnsiTheme="majorBidi" w:cstheme="majorBidi"/>
          <w:i w:val="0"/>
          <w:color w:val="0D0D0D" w:themeColor="text1" w:themeTint="F2"/>
          <w:sz w:val="24"/>
          <w:szCs w:val="24"/>
          <w:lang w:val="sq-AL"/>
        </w:rPr>
      </w:pPr>
      <w:r w:rsidRPr="005208DC">
        <w:rPr>
          <w:rFonts w:asciiTheme="majorBidi" w:hAnsiTheme="majorBidi" w:cstheme="majorBidi"/>
          <w:i w:val="0"/>
          <w:color w:val="0D0D0D" w:themeColor="text1" w:themeTint="F2"/>
          <w:sz w:val="24"/>
          <w:szCs w:val="24"/>
          <w:lang w:val="sq-AL"/>
        </w:rPr>
        <w:t>Masa e reformës</w:t>
      </w:r>
      <w:r w:rsidR="005358F8" w:rsidRPr="005208DC">
        <w:rPr>
          <w:rFonts w:asciiTheme="majorBidi" w:hAnsiTheme="majorBidi" w:cstheme="majorBidi"/>
          <w:i w:val="0"/>
          <w:color w:val="0D0D0D" w:themeColor="text1" w:themeTint="F2"/>
          <w:sz w:val="24"/>
          <w:szCs w:val="24"/>
          <w:lang w:val="sq-AL"/>
        </w:rPr>
        <w:t>08</w:t>
      </w:r>
      <w:r w:rsidR="00DB22AB" w:rsidRPr="005208DC">
        <w:rPr>
          <w:rFonts w:asciiTheme="majorBidi" w:hAnsiTheme="majorBidi" w:cstheme="majorBidi"/>
          <w:i w:val="0"/>
          <w:color w:val="0D0D0D" w:themeColor="text1" w:themeTint="F2"/>
          <w:sz w:val="24"/>
          <w:szCs w:val="24"/>
          <w:lang w:val="sq-AL"/>
        </w:rPr>
        <w:t xml:space="preserve">: </w:t>
      </w:r>
      <w:r w:rsidR="001E4FC2" w:rsidRPr="005208DC">
        <w:rPr>
          <w:rFonts w:asciiTheme="majorBidi" w:hAnsiTheme="majorBidi" w:cstheme="majorBidi"/>
          <w:i w:val="0"/>
          <w:color w:val="0D0D0D" w:themeColor="text1" w:themeTint="F2"/>
          <w:sz w:val="24"/>
          <w:szCs w:val="24"/>
          <w:lang w:val="sq-AL"/>
        </w:rPr>
        <w:t>Masat mbështetëse për NMVM</w:t>
      </w:r>
    </w:p>
    <w:p w14:paraId="3FBD7AB1" w14:textId="23F38392" w:rsidR="00DB22AB" w:rsidRPr="005208DC" w:rsidRDefault="00B2062A" w:rsidP="00857902">
      <w:pPr>
        <w:pStyle w:val="Heading6"/>
        <w:numPr>
          <w:ilvl w:val="0"/>
          <w:numId w:val="38"/>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Përshkrimi i masës</w:t>
      </w:r>
    </w:p>
    <w:p w14:paraId="1A5A2112" w14:textId="77777777" w:rsidR="00CD0E63" w:rsidRPr="005208DC" w:rsidRDefault="00CD0E63" w:rsidP="00857902">
      <w:pPr>
        <w:jc w:val="both"/>
        <w:rPr>
          <w:rFonts w:asciiTheme="majorBidi" w:hAnsiTheme="majorBidi" w:cstheme="majorBidi"/>
          <w:color w:val="0D0D0D" w:themeColor="text1" w:themeTint="F2"/>
          <w:lang w:val="sq-AL"/>
        </w:rPr>
      </w:pPr>
    </w:p>
    <w:p w14:paraId="6C5CB4B8" w14:textId="16235D03" w:rsidR="00405262" w:rsidRPr="005208DC" w:rsidRDefault="00CD0E63"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SME-të në Shqipëri janë kontribues të rëndësishëm në ekonomi. Në vitin 2019, Ndërmarrjet e Vogla dhe të Mesme (NVM) përbëjnë 99.8% të të gjitha ndërmarrjeve, 81.6% të punësimit total dhe 72.4% të vlerës së shtuar – më shumë se në shumicën e vendeve të rajonit. Vlera e shtuar e NVM-ve u rrit me 17.4% midis 2017 dhe 2019 dhe me 28.3% midis 2016 dhe 2019. Ndërmarrjet mikro përbëjnë shumicën e NVM-ve. Sipas Raportit të Konkurrueshmërisë të OECD-së për vitin 2021, rezultati i aksesit në financa të Shqipërisë është rritur lehtë – nga 2.4 në 2.5 – që nga vlerësimi i mëparshëm, duke reflektuar disa elementë të rinj të futur në këtë cikël. Ka pasur disa përmirësime në aksesin në financat bankare, veçanërisht miratimi i ligjit të ri të tregut të kapitalit i cili do të ndihmojë në mobilizimin e financimit afatgjatë. Burimet alternative të financimit mbeten shumë të kufizuara në Shqipëri, duke krijuar një pengesë të madhe për bizneset që nuk plotësojnë kriteret tradicionale bankare. Factoring dhe leasing janë të disponueshme dhe të mbështetura nga korniza ligjore të zhvilluara mirë, por financimi ‘</w:t>
      </w:r>
      <w:r w:rsidRPr="005208DC">
        <w:rPr>
          <w:rFonts w:asciiTheme="majorBidi" w:hAnsiTheme="majorBidi" w:cstheme="majorBidi"/>
          <w:i/>
          <w:color w:val="0D0D0D" w:themeColor="text1" w:themeTint="F2"/>
          <w:lang w:val="sq-AL"/>
        </w:rPr>
        <w:t>crowd funding’</w:t>
      </w:r>
      <w:r w:rsidRPr="005208DC">
        <w:rPr>
          <w:rFonts w:asciiTheme="majorBidi" w:hAnsiTheme="majorBidi" w:cstheme="majorBidi"/>
          <w:color w:val="0D0D0D" w:themeColor="text1" w:themeTint="F2"/>
          <w:lang w:val="sq-AL"/>
        </w:rPr>
        <w:t>, kapitali sipërmarrës dhe rrjetet e engjëjve të biznesit nuk ekzistojnë. Megjithatë, nga viti 2022, Shqipëria do të përqendrohet në zhvillimin e platformave të financimit ‘</w:t>
      </w:r>
      <w:r w:rsidRPr="005208DC">
        <w:rPr>
          <w:rFonts w:asciiTheme="majorBidi" w:hAnsiTheme="majorBidi" w:cstheme="majorBidi"/>
          <w:i/>
          <w:color w:val="0D0D0D" w:themeColor="text1" w:themeTint="F2"/>
          <w:lang w:val="sq-AL"/>
        </w:rPr>
        <w:t>crowd funding’</w:t>
      </w:r>
      <w:r w:rsidRPr="005208DC">
        <w:rPr>
          <w:rFonts w:asciiTheme="majorBidi" w:hAnsiTheme="majorBidi" w:cstheme="majorBidi"/>
          <w:color w:val="0D0D0D" w:themeColor="text1" w:themeTint="F2"/>
          <w:lang w:val="sq-AL"/>
        </w:rPr>
        <w:t>, kapitaleve sipërmarrëse dhe rrjeteve të engjëjve të biznesit për sipërmarrësit dhe bizneset start-up që që nuk janë të pranueshëm për huadhënien tradicionale bankare. Në kuadër të programit të BE-së për inovacion (faza e parë) është në zhvillim e sipër testimi i krijimit të një rrjeti pilot të engjëjve të biznesit. Edhe në fazën e dytë të EU4Innovation, një ndarje shumë e konsiderueshme buxhetore i kushtohet rritjes së aksesit në financa të bizneseve start-up jo vetëm nëpërmjet granteve, por edhe nëpërmjet zhvillimit të instrumenteve të tjera financiare alternative. Me ndihmën e BERZH-it, Ministria e Financave dhe Ekonomisë në maj 2020 krijoi një portal të centralizuar informacioni i cili ofron informacion mbi të gjitha instrumentet financiare në dispozicion për NVM-të. Kjo platformë është plotësisht funksionale.</w:t>
      </w:r>
    </w:p>
    <w:p w14:paraId="7E7033DD" w14:textId="77777777" w:rsidR="00CD0E63" w:rsidRPr="005208DC" w:rsidRDefault="00405262" w:rsidP="00CD0E63">
      <w:pPr>
        <w:widowControl w:val="0"/>
        <w:jc w:val="both"/>
        <w:rPr>
          <w:rFonts w:asciiTheme="majorBidi" w:eastAsia="Arial Narrow" w:hAnsiTheme="majorBidi" w:cstheme="majorBidi"/>
          <w:color w:val="0D0D0D" w:themeColor="text1" w:themeTint="F2"/>
          <w:lang w:val="sq-AL"/>
        </w:rPr>
      </w:pPr>
      <w:r w:rsidRPr="005208DC">
        <w:rPr>
          <w:rFonts w:asciiTheme="majorBidi" w:hAnsiTheme="majorBidi" w:cstheme="majorBidi"/>
          <w:color w:val="0D0D0D" w:themeColor="text1" w:themeTint="F2"/>
          <w:lang w:val="sq-AL"/>
        </w:rPr>
        <w:t>Gjithashtu, një raport për “Mbështetje për dixhitalizimin e SME-ve në Shqipëri për të zbutur ndikimin negativ ekonomik të COVID-19” është përgatitur nga MFE me mbështetjen e BERZH. Bazuar në këtë raport në “Strategjinë e re për zhvillimin e Biznesit dhe Investimeve 2021-2027” është formuluar një masë e re prioritare që është “iniciativ</w:t>
      </w:r>
      <w:r w:rsidR="00CD0E63" w:rsidRPr="005208DC">
        <w:rPr>
          <w:rFonts w:asciiTheme="majorBidi" w:hAnsiTheme="majorBidi" w:cstheme="majorBidi"/>
          <w:color w:val="0D0D0D" w:themeColor="text1" w:themeTint="F2"/>
          <w:lang w:val="sq-AL"/>
        </w:rPr>
        <w:t>a për zhvillimin e e-biznesit”.</w:t>
      </w:r>
    </w:p>
    <w:p w14:paraId="4E09932D" w14:textId="318291DC" w:rsidR="00405262" w:rsidRPr="005208DC" w:rsidRDefault="00405262" w:rsidP="00CD0E63">
      <w:pPr>
        <w:widowControl w:val="0"/>
        <w:rPr>
          <w:rFonts w:asciiTheme="majorBidi" w:eastAsia="Arial Narrow" w:hAnsiTheme="majorBidi" w:cstheme="majorBidi"/>
          <w:color w:val="0D0D0D" w:themeColor="text1" w:themeTint="F2"/>
          <w:lang w:val="sq-AL"/>
        </w:rPr>
      </w:pPr>
      <w:r w:rsidRPr="005208DC">
        <w:rPr>
          <w:rFonts w:asciiTheme="majorBidi" w:hAnsiTheme="majorBidi" w:cstheme="majorBidi"/>
          <w:color w:val="0D0D0D" w:themeColor="text1" w:themeTint="F2"/>
          <w:lang w:val="sq-AL"/>
        </w:rPr>
        <w:t>Kjo masë synon:</w:t>
      </w:r>
    </w:p>
    <w:p w14:paraId="605FFD03" w14:textId="77777777" w:rsidR="00405262" w:rsidRPr="005208DC" w:rsidRDefault="00405262" w:rsidP="00857902">
      <w:pPr>
        <w:ind w:left="709" w:hanging="142"/>
        <w:jc w:val="both"/>
        <w:rPr>
          <w:rFonts w:asciiTheme="majorBidi" w:eastAsia="Arial Narrow" w:hAnsiTheme="majorBidi" w:cstheme="majorBidi"/>
          <w:color w:val="0D0D0D" w:themeColor="text1" w:themeTint="F2"/>
          <w:lang w:val="sq-AL"/>
        </w:rPr>
      </w:pPr>
      <w:r w:rsidRPr="005208DC">
        <w:rPr>
          <w:rFonts w:asciiTheme="majorBidi" w:eastAsia="Arial Narrow" w:hAnsiTheme="majorBidi" w:cstheme="majorBidi"/>
          <w:color w:val="0D0D0D" w:themeColor="text1" w:themeTint="F2"/>
          <w:lang w:val="sq-AL"/>
        </w:rPr>
        <w:sym w:font="Symbol" w:char="F02D"/>
      </w:r>
      <w:r w:rsidRPr="005208DC">
        <w:rPr>
          <w:rFonts w:asciiTheme="majorBidi" w:eastAsia="Arial Narrow" w:hAnsiTheme="majorBidi" w:cstheme="majorBidi"/>
          <w:color w:val="0D0D0D" w:themeColor="text1" w:themeTint="F2"/>
          <w:lang w:val="sq-AL"/>
        </w:rPr>
        <w:t xml:space="preserve"> Përmirësimin e konkurrueshmërisë dhe aksesit të SME-ve në tregje duke i ndihmuar ato të adoptojnë zgjidhje dixhitale për tregtinë elektronike dhe biznesin elektronik. </w:t>
      </w:r>
    </w:p>
    <w:p w14:paraId="5D7A49DC" w14:textId="77777777" w:rsidR="00405262" w:rsidRPr="005208DC" w:rsidRDefault="00405262" w:rsidP="00857902">
      <w:pPr>
        <w:ind w:left="709" w:hanging="142"/>
        <w:jc w:val="both"/>
        <w:rPr>
          <w:rFonts w:asciiTheme="majorBidi" w:eastAsia="Arial Narrow" w:hAnsiTheme="majorBidi" w:cstheme="majorBidi"/>
          <w:color w:val="0D0D0D" w:themeColor="text1" w:themeTint="F2"/>
          <w:lang w:val="sq-AL"/>
        </w:rPr>
      </w:pPr>
      <w:r w:rsidRPr="005208DC">
        <w:rPr>
          <w:rFonts w:asciiTheme="majorBidi" w:eastAsia="Arial Narrow" w:hAnsiTheme="majorBidi" w:cstheme="majorBidi"/>
          <w:color w:val="0D0D0D" w:themeColor="text1" w:themeTint="F2"/>
          <w:lang w:val="sq-AL"/>
        </w:rPr>
        <w:sym w:font="Symbol" w:char="F02D"/>
      </w:r>
      <w:r w:rsidRPr="005208DC">
        <w:rPr>
          <w:rFonts w:asciiTheme="majorBidi" w:eastAsia="Arial Narrow" w:hAnsiTheme="majorBidi" w:cstheme="majorBidi"/>
          <w:color w:val="0D0D0D" w:themeColor="text1" w:themeTint="F2"/>
          <w:lang w:val="sq-AL"/>
        </w:rPr>
        <w:t xml:space="preserve"> Forcimi i aftësive dixhitale të NVM-ve </w:t>
      </w:r>
    </w:p>
    <w:p w14:paraId="6C55A1A8" w14:textId="21F0A375" w:rsidR="00405262" w:rsidRPr="005208DC" w:rsidRDefault="00405262" w:rsidP="00857902">
      <w:pPr>
        <w:ind w:left="709" w:hanging="142"/>
        <w:jc w:val="both"/>
        <w:rPr>
          <w:rFonts w:asciiTheme="majorBidi" w:eastAsia="Arial Narrow" w:hAnsiTheme="majorBidi" w:cstheme="majorBidi"/>
          <w:color w:val="0D0D0D" w:themeColor="text1" w:themeTint="F2"/>
          <w:lang w:val="sq-AL"/>
        </w:rPr>
      </w:pPr>
      <w:r w:rsidRPr="005208DC">
        <w:rPr>
          <w:rFonts w:asciiTheme="majorBidi" w:eastAsia="Arial Narrow" w:hAnsiTheme="majorBidi" w:cstheme="majorBidi"/>
          <w:color w:val="0D0D0D" w:themeColor="text1" w:themeTint="F2"/>
          <w:lang w:val="sq-AL"/>
        </w:rPr>
        <w:sym w:font="Symbol" w:char="F02D"/>
      </w:r>
      <w:r w:rsidRPr="005208DC">
        <w:rPr>
          <w:rFonts w:asciiTheme="majorBidi" w:eastAsia="Arial Narrow" w:hAnsiTheme="majorBidi" w:cstheme="majorBidi"/>
          <w:color w:val="0D0D0D" w:themeColor="text1" w:themeTint="F2"/>
          <w:lang w:val="sq-AL"/>
        </w:rPr>
        <w:t xml:space="preserve"> Sigurimi i një mjedisi të përshtatshëm dhe rregullator biznesi për tregtinë elektronike për të mbështetur sipërmarrësit dhe SME-të duke përdorur sinergji me masat e parashikuara në Axhendën e re Dixhitale dhe CRM 2021-2024. </w:t>
      </w:r>
    </w:p>
    <w:p w14:paraId="7D629A45" w14:textId="77777777" w:rsidR="00CD0E63" w:rsidRPr="005208DC" w:rsidRDefault="00CD0E63" w:rsidP="00857902">
      <w:pPr>
        <w:jc w:val="both"/>
        <w:rPr>
          <w:rFonts w:asciiTheme="majorBidi" w:eastAsia="Noto Serif CJK SC" w:hAnsiTheme="majorBidi" w:cstheme="majorBidi"/>
          <w:color w:val="0D0D0D" w:themeColor="text1" w:themeTint="F2"/>
          <w:kern w:val="2"/>
          <w:lang w:val="sq-AL" w:eastAsia="zh-CN" w:bidi="hi-IN"/>
        </w:rPr>
      </w:pPr>
    </w:p>
    <w:p w14:paraId="0F255BF8" w14:textId="77777777" w:rsidR="00CD0E63" w:rsidRPr="005208DC" w:rsidRDefault="00CD0E63" w:rsidP="00CD0E63">
      <w:pPr>
        <w:jc w:val="both"/>
        <w:rPr>
          <w:rFonts w:asciiTheme="majorBidi" w:hAnsiTheme="majorBidi" w:cstheme="majorBidi"/>
          <w:color w:val="0D0D0D" w:themeColor="text1" w:themeTint="F2"/>
          <w:lang w:val="sq-AL"/>
        </w:rPr>
      </w:pPr>
      <w:r w:rsidRPr="005208DC">
        <w:rPr>
          <w:rFonts w:asciiTheme="majorBidi" w:eastAsia="Noto Serif CJK SC" w:hAnsiTheme="majorBidi" w:cstheme="majorBidi"/>
          <w:color w:val="0D0D0D" w:themeColor="text1" w:themeTint="F2"/>
          <w:kern w:val="2"/>
          <w:lang w:val="sq-AL" w:eastAsia="zh-CN" w:bidi="hi-IN"/>
        </w:rPr>
        <w:t>Bazuar në këtë raport, duke pasur parasysh bazën e dixhitalizimit, lidhjes me internetin, SME-të shqiptare po performojnë në një nivel adekuat. Rreth 98% e SME-ve shqiptare janë të lidhura me internetin, ose thënë ndryshe kanë të paktën një punonjës që përdor internetin për qëllime biznesi. Gjithashtu, projekti ProSEED që nga shkurti i vitit 2021 po zbaton Instrumentin Këshillimor që ofron shërbime trajnimi dhe këshillimore për MSME-të, me mundësinë e marrjes së granteve të vogla, për t'iu përshtatur situatës së krijuar nga Covid-19. Instrumenti këshillues i titulluar "CoSolve 19" është një nismë e përbashkët e programeve dypalëshe të Bashkëpunimit Gjermano-Shqiptar për Zhvillim: "Zhvillimi i qëndrueshëm ekonomik dhe rajonal, nxitja e punësimit arsim dhe trajnim profesional" (ProSEED) dhe Zhvillimi i Qëndrueshëm Rural (SRD). Qëllimi i këtij instrumenti është të mbështesë NMVM-të e prekura rëndë nga pasojat e krizës COVID-19 në Shqipëri, të ruajnë punësimin dhe të përshtatin aktivitetin e tyre të biznesit sipas situatës së re pas COVID-19. Në zbatimin e kësaj nisme, ProSEED dhe SRD synojnë të japin një kontribut të rëndësishëm për MSME-të në Shqipëri në bujqësi, turizëm apo sektorë të tjerë. Projekti do të zbatohet për periudhën 2021-2022. Numri i përgjithshëm i NMVM-ve përfituese është 900 të cilat do të marrin shërbime këshillimore. Vëllimi i përgjithshëm përfundimtar i CoSolve-19 është 4,35 Mio EUR dhe ndarja e fondeve totale është 40% këshilla dhe 60% grante për të gjithë sektorët. Masat mbështetëse për sipërmarrjet mikro, të vogla dhe të mesme nga bujqësia, turizmi, tregtia me pakicë dhe prodhimi do t'u mundësojnë atyre të kapërcejnë me sukses krizën COVID-19, të ruajnë dhe në afat të mesëm të rrisin punësimin si dhe të prezantojnë zgjidhje dhe mjete të reja biznesi dixhitale. . Vendimi i Këshillit të Ministrave nr. 466, datë 30.7.2021 “Strategjia për Zhvillimin e Biznesit dhe Investimeve 2021-2027 dhe Plani i Veprimit” (BIDS 2021-2027). Vizioni i strategjisë është “Një ekonomi shqiptare më konkurruese, e drejtuar nga inovacioni dhe e bazuar në njohuri, që krijon vende pune të reja dhe me cilësi më të lartë duke shfrytëzuar potencialet e tranzicionit dixhital dhe transformimin e zinxhirëve ndërkombëtarë të vlerave dhe duke theksuar zhvillimin e qëndrueshëm, BE dhe rajonal. integrim”</w:t>
      </w:r>
    </w:p>
    <w:p w14:paraId="7725EF31" w14:textId="2745F9D5" w:rsidR="00405262" w:rsidRPr="005208DC" w:rsidRDefault="00CD0E63" w:rsidP="00CD0E63">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BIDS 2021-2027 është në përputhje me strategjitë dhe programet gjithëpërfshirëse në nivel kombëtar si Strategjia Kombëtare për Zhvillim dhe Integrim II 2015-2020, Plani Kombëtar për Integrimin Evropian (PKIE), Programi i Reformës Ekonomike (ERP), si dhe si ndërkombëtarisht si Plani i Veprimit për Tregun e Përbashkët 2021-2024 (CRM) për Ballkanin Perëndimor dhe Strategjia e re e BE-së për SME-të. Kuadri strategjik dhe plani i veprimit i BIDS-it të ri është hartuar me qëllim zhvillimin dhe plotësimin e masave dhe nismave për zbatimin e këtyre strategjive dhe programeve. Tre objektivat kryesore të strategjisë janë si më poshtë</w:t>
      </w:r>
      <w:r w:rsidR="00405262" w:rsidRPr="005208DC">
        <w:rPr>
          <w:rFonts w:asciiTheme="majorBidi" w:hAnsiTheme="majorBidi" w:cstheme="majorBidi"/>
          <w:color w:val="0D0D0D" w:themeColor="text1" w:themeTint="F2"/>
          <w:lang w:val="sq-AL"/>
        </w:rPr>
        <w:t>:</w:t>
      </w:r>
    </w:p>
    <w:p w14:paraId="0556295C" w14:textId="77777777" w:rsidR="00405262" w:rsidRPr="005208DC" w:rsidRDefault="00405262" w:rsidP="00857902">
      <w:pPr>
        <w:snapToGrid w:val="0"/>
        <w:ind w:left="426"/>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xml:space="preserve">• Tërheqja e investimeve dhe ndërkombëtarizimi </w:t>
      </w:r>
    </w:p>
    <w:p w14:paraId="557D59F4" w14:textId="77777777" w:rsidR="00405262" w:rsidRPr="005208DC" w:rsidRDefault="00405262" w:rsidP="00857902">
      <w:pPr>
        <w:snapToGrid w:val="0"/>
        <w:ind w:left="426"/>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xml:space="preserve">• Zhvillimi i NVM-ve, sipërmarrja dhe inovacioni </w:t>
      </w:r>
    </w:p>
    <w:p w14:paraId="65FF600C" w14:textId="31208CC4" w:rsidR="00405262" w:rsidRPr="005208DC" w:rsidRDefault="00405262" w:rsidP="00857902">
      <w:pPr>
        <w:snapToGrid w:val="0"/>
        <w:ind w:left="426"/>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xml:space="preserve">• Zhvillimi i kapitalit njerëzor </w:t>
      </w:r>
    </w:p>
    <w:p w14:paraId="043D7653" w14:textId="730E1834" w:rsidR="00405262" w:rsidRPr="005208DC" w:rsidRDefault="00CD0E63"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Gjatë vitit 2021, Sektori i Nxitjes së Biznesit, në Drejtorinë e Politikave të Zhvillimit Ekonomik në Ministrinë e Financave dhe Ekonomisë ka hartuar projektligjin “Për zhvillimin e ndërmarrjeve mikro, të vogla dhe të mesme”. Miratimi i projektligjit parashikohet të bëhet brenda vitit 2021. Elementet kryesore të projektligjit të ri, që ia vlen të theksohen janë: Përafrimi i Rekomandimit të Komisionit të BE-së të datës 6 maj 2003, lidhur me mbledhjen e të dhënave dhe metodat në llogaritjet për kategorizimin e sipërmarrjeve mikro, të vogla dhe të mesme dhe zbatimin e metodologjisë së përdorimit të saj nga bizneset. Është shtuar edhe përkufizimi për ndërmarrjet e mesme; Ofrimi i mbështetjes shtetërore për ndërmarrjet mikro, të vogla dhe të mesme, në përputhje me rregullat e ndihmës shtetërore; Përcaktimi i formave të mbështetjes shtetërore për ndërmarrjet mikro, të vogla dhe të mesme, si: mbështetje financiare nga buxheti i shtetit, nga partnerë zhvillimi vendas ose të huaj, garancitë e kredive shtetërore sipas ligjit në fuqi për borxhin dhe garancitë shtetërore, në zbatim të politikat specifike të Këshillit të Ministrave, në përputhje me parimet dhe rregullat fiskale për qëndrueshmërinë e borxhit publik dhe kufizimet e borxhit shtetëror dhe garancive të kredive shtetërore, si dhe ofrimin e shërbimeve mbështetëse publike për ndërmarrjet mikro, të vogla dhe të mesme nga AIDA; përgatitjen e raportit vjetor nga AIDA, bazuar në bazën e të dhënave për skemat financiare dhe mbështetjen e shërbimeve publike për NMVM-të e ofruara nga autoritetet shtetërore si dhe nga partnerë zhvillimi vendas apo të huaj; Krijimi dhe funksionimi i Këshillit Konsultativ për ndërmarrjet; si dhe referencë ligjore për hartimin dhe miratimin e strategjisë për Zhvillimin e Biznesit dhe Investimeve</w:t>
      </w:r>
      <w:r w:rsidR="00405262" w:rsidRPr="005208DC">
        <w:rPr>
          <w:rFonts w:asciiTheme="majorBidi" w:hAnsiTheme="majorBidi" w:cstheme="majorBidi"/>
          <w:color w:val="0D0D0D" w:themeColor="text1" w:themeTint="F2"/>
          <w:lang w:val="sq-AL"/>
        </w:rPr>
        <w:t>.</w:t>
      </w:r>
    </w:p>
    <w:p w14:paraId="44F0FE68" w14:textId="77777777" w:rsidR="00405262" w:rsidRPr="005208DC" w:rsidRDefault="00405262" w:rsidP="00857902">
      <w:pPr>
        <w:snapToGrid w:val="0"/>
        <w:rPr>
          <w:rFonts w:asciiTheme="majorBidi" w:hAnsiTheme="majorBidi" w:cstheme="majorBidi"/>
          <w:color w:val="0D0D0D" w:themeColor="text1" w:themeTint="F2"/>
          <w:lang w:val="sq-AL"/>
        </w:rPr>
      </w:pPr>
    </w:p>
    <w:p w14:paraId="0CC90882" w14:textId="5DF6A0B5" w:rsidR="00DB22AB" w:rsidRPr="005208DC" w:rsidRDefault="00B2062A" w:rsidP="00857902">
      <w:pPr>
        <w:pStyle w:val="ListParagraph"/>
        <w:numPr>
          <w:ilvl w:val="0"/>
          <w:numId w:val="39"/>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DB22AB" w:rsidRPr="005208DC">
        <w:rPr>
          <w:rFonts w:asciiTheme="majorBidi" w:hAnsiTheme="majorBidi" w:cstheme="majorBidi"/>
          <w:b/>
          <w:color w:val="0D0D0D" w:themeColor="text1" w:themeTint="F2"/>
          <w:sz w:val="24"/>
          <w:szCs w:val="24"/>
          <w:lang w:val="sq-AL"/>
        </w:rPr>
        <w:t xml:space="preserve"> 2022</w:t>
      </w:r>
    </w:p>
    <w:p w14:paraId="6A0EB7C7" w14:textId="77777777" w:rsidR="00405262" w:rsidRPr="005208DC" w:rsidRDefault="00405262" w:rsidP="00857902">
      <w:pPr>
        <w:pStyle w:val="ListParagraph"/>
        <w:numPr>
          <w:ilvl w:val="0"/>
          <w:numId w:val="40"/>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Hartimi i skemave vjetore të granteve të buxhetit të shtetit për NVM-të.</w:t>
      </w:r>
    </w:p>
    <w:p w14:paraId="6314471F" w14:textId="77777777" w:rsidR="00405262" w:rsidRPr="005208DC" w:rsidRDefault="00405262" w:rsidP="00857902">
      <w:pPr>
        <w:pStyle w:val="ListParagraph"/>
        <w:numPr>
          <w:ilvl w:val="0"/>
          <w:numId w:val="40"/>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Krijimi i sektorit të ri të trajnimit në AIDA.</w:t>
      </w:r>
    </w:p>
    <w:p w14:paraId="2A32B7B7" w14:textId="77777777" w:rsidR="00405262" w:rsidRPr="005208DC" w:rsidRDefault="00405262" w:rsidP="00857902">
      <w:pPr>
        <w:pStyle w:val="ListParagraph"/>
        <w:numPr>
          <w:ilvl w:val="0"/>
          <w:numId w:val="40"/>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Zbatimi i një programi trajnimi modular dhe mentorim për sipërmarrësit aspirantë.</w:t>
      </w:r>
    </w:p>
    <w:p w14:paraId="677B119A" w14:textId="77777777" w:rsidR="00405262" w:rsidRPr="005208DC" w:rsidRDefault="00405262" w:rsidP="00857902">
      <w:pPr>
        <w:pStyle w:val="ListParagraph"/>
        <w:numPr>
          <w:ilvl w:val="0"/>
          <w:numId w:val="40"/>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Organizimi i webinarit mbi tregtinë elektronike për MSME.</w:t>
      </w:r>
    </w:p>
    <w:p w14:paraId="50CE9D59" w14:textId="77777777" w:rsidR="00405262" w:rsidRPr="005208DC" w:rsidRDefault="00405262" w:rsidP="00857902">
      <w:pPr>
        <w:pStyle w:val="ListParagraph"/>
        <w:numPr>
          <w:ilvl w:val="0"/>
          <w:numId w:val="40"/>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Krijimi i portalit të tregut dixhital nga Bashkimi i Dhomave të Shqipërisë.</w:t>
      </w:r>
    </w:p>
    <w:p w14:paraId="0B827A4E" w14:textId="77777777" w:rsidR="00405262" w:rsidRPr="005208DC" w:rsidRDefault="00405262" w:rsidP="00857902">
      <w:pPr>
        <w:pStyle w:val="ListParagraph"/>
        <w:numPr>
          <w:ilvl w:val="0"/>
          <w:numId w:val="40"/>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Krijimi i një faqe interneti informative (përfshirë udhëzuesit dhe mjetin e vetëvlerësimit) nën iniciativën e zhvillimit të e-biznesit, pranë AIDA.</w:t>
      </w:r>
    </w:p>
    <w:p w14:paraId="535E1CC3" w14:textId="77777777" w:rsidR="00405262" w:rsidRPr="005208DC" w:rsidRDefault="00405262" w:rsidP="00857902">
      <w:pPr>
        <w:pStyle w:val="ListParagraph"/>
        <w:numPr>
          <w:ilvl w:val="0"/>
          <w:numId w:val="40"/>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Zhvillimi i strategjisë së eksportit (iniciativat kryesore, veprimet).</w:t>
      </w:r>
    </w:p>
    <w:p w14:paraId="08F5CB31" w14:textId="77777777" w:rsidR="00405262" w:rsidRPr="005208DC" w:rsidRDefault="00405262" w:rsidP="00857902">
      <w:pPr>
        <w:pStyle w:val="ListParagraph"/>
        <w:numPr>
          <w:ilvl w:val="0"/>
          <w:numId w:val="40"/>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Krijimi i një engjëlli biznesi pilot për start-up.</w:t>
      </w:r>
    </w:p>
    <w:p w14:paraId="0A9B80FA" w14:textId="72B9228C" w:rsidR="00405262" w:rsidRPr="005208DC" w:rsidRDefault="00405262" w:rsidP="00857902">
      <w:pPr>
        <w:pStyle w:val="ListParagraph"/>
        <w:numPr>
          <w:ilvl w:val="0"/>
          <w:numId w:val="40"/>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Monitorimi i ecurisë së zbatimit të objektivave dhe masave të BIDS 2021-2027</w:t>
      </w:r>
    </w:p>
    <w:p w14:paraId="2BE70C7C" w14:textId="2234AFF6" w:rsidR="00DB22AB" w:rsidRPr="005208DC" w:rsidRDefault="00B2062A" w:rsidP="00857902">
      <w:pPr>
        <w:pStyle w:val="ListParagraph"/>
        <w:numPr>
          <w:ilvl w:val="0"/>
          <w:numId w:val="39"/>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DB22AB" w:rsidRPr="005208DC">
        <w:rPr>
          <w:rFonts w:asciiTheme="majorBidi" w:hAnsiTheme="majorBidi" w:cstheme="majorBidi"/>
          <w:b/>
          <w:color w:val="0D0D0D" w:themeColor="text1" w:themeTint="F2"/>
          <w:sz w:val="24"/>
          <w:szCs w:val="24"/>
          <w:lang w:val="sq-AL"/>
        </w:rPr>
        <w:t xml:space="preserve"> 2023</w:t>
      </w:r>
    </w:p>
    <w:p w14:paraId="3F16A488" w14:textId="77777777" w:rsidR="00405262" w:rsidRPr="005208DC" w:rsidRDefault="00405262" w:rsidP="00857902">
      <w:pPr>
        <w:pStyle w:val="ListParagraph"/>
        <w:numPr>
          <w:ilvl w:val="0"/>
          <w:numId w:val="41"/>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Hartimi i skemës vjetore të granteve të buxhetit të shtetit për SME-të.</w:t>
      </w:r>
    </w:p>
    <w:p w14:paraId="34342CB4" w14:textId="77777777" w:rsidR="00405262" w:rsidRPr="005208DC" w:rsidRDefault="00405262" w:rsidP="00857902">
      <w:pPr>
        <w:pStyle w:val="ListParagraph"/>
        <w:numPr>
          <w:ilvl w:val="0"/>
          <w:numId w:val="41"/>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Kryerja e trajnimeve dhe trajnimeve për MSME-të nga AIDA.</w:t>
      </w:r>
    </w:p>
    <w:p w14:paraId="72668B6D" w14:textId="77777777" w:rsidR="00405262" w:rsidRPr="005208DC" w:rsidRDefault="00405262" w:rsidP="00857902">
      <w:pPr>
        <w:pStyle w:val="ListParagraph"/>
        <w:numPr>
          <w:ilvl w:val="0"/>
          <w:numId w:val="41"/>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Zbatimi i masave për ngritjen e kapaciteteve (programe trajnimi dhe trainimi për SME-të) nën iniciativën për zhvillimin e e-biznesit.</w:t>
      </w:r>
    </w:p>
    <w:p w14:paraId="17372E37" w14:textId="77777777" w:rsidR="00405262" w:rsidRPr="005208DC" w:rsidRDefault="00405262" w:rsidP="00857902">
      <w:pPr>
        <w:pStyle w:val="ListParagraph"/>
        <w:numPr>
          <w:ilvl w:val="0"/>
          <w:numId w:val="41"/>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Hartimi i një programi të zhvillimit të furnitorëve dhe zbatimi i një faze pilot.</w:t>
      </w:r>
    </w:p>
    <w:p w14:paraId="71780859" w14:textId="77777777" w:rsidR="00405262" w:rsidRPr="005208DC" w:rsidRDefault="00405262" w:rsidP="00857902">
      <w:pPr>
        <w:pStyle w:val="ListParagraph"/>
        <w:numPr>
          <w:ilvl w:val="0"/>
          <w:numId w:val="41"/>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Krijimi i rrjetit të engjëjve të biznesit.</w:t>
      </w:r>
    </w:p>
    <w:p w14:paraId="0E35D8F7" w14:textId="21484040" w:rsidR="00405262" w:rsidRPr="005208DC" w:rsidRDefault="00405262" w:rsidP="00857902">
      <w:pPr>
        <w:pStyle w:val="ListParagraph"/>
        <w:numPr>
          <w:ilvl w:val="0"/>
          <w:numId w:val="41"/>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Monitorimi i ecurisë së zbatimit të objektivave dhe masave të BIDS 2021-2027</w:t>
      </w:r>
    </w:p>
    <w:p w14:paraId="1BDF89EE" w14:textId="2D2F7853" w:rsidR="00DB22AB" w:rsidRPr="005208DC" w:rsidRDefault="00B2062A" w:rsidP="00857902">
      <w:pPr>
        <w:pStyle w:val="ListParagraph"/>
        <w:numPr>
          <w:ilvl w:val="0"/>
          <w:numId w:val="39"/>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DB22AB" w:rsidRPr="005208DC">
        <w:rPr>
          <w:rFonts w:asciiTheme="majorBidi" w:hAnsiTheme="majorBidi" w:cstheme="majorBidi"/>
          <w:b/>
          <w:color w:val="0D0D0D" w:themeColor="text1" w:themeTint="F2"/>
          <w:sz w:val="24"/>
          <w:szCs w:val="24"/>
          <w:lang w:val="sq-AL"/>
        </w:rPr>
        <w:t xml:space="preserve"> 2024</w:t>
      </w:r>
    </w:p>
    <w:p w14:paraId="5002BDEC" w14:textId="77777777" w:rsidR="00405262" w:rsidRPr="005208DC" w:rsidRDefault="00405262" w:rsidP="00857902">
      <w:pPr>
        <w:pStyle w:val="ListParagraph"/>
        <w:numPr>
          <w:ilvl w:val="0"/>
          <w:numId w:val="42"/>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Hartimi i skemës vjetore të granteve të buxhetit të shtetit për NVM-të (MFE).</w:t>
      </w:r>
    </w:p>
    <w:p w14:paraId="4537C8AD" w14:textId="77777777" w:rsidR="00405262" w:rsidRPr="005208DC" w:rsidRDefault="00405262" w:rsidP="00857902">
      <w:pPr>
        <w:pStyle w:val="ListParagraph"/>
        <w:numPr>
          <w:ilvl w:val="0"/>
          <w:numId w:val="42"/>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Zbatimi i trajnimeve për MSME-të nga AIDA.</w:t>
      </w:r>
    </w:p>
    <w:p w14:paraId="1407AD5F" w14:textId="77777777" w:rsidR="00405262" w:rsidRPr="005208DC" w:rsidRDefault="00405262" w:rsidP="00857902">
      <w:pPr>
        <w:pStyle w:val="ListParagraph"/>
        <w:numPr>
          <w:ilvl w:val="0"/>
          <w:numId w:val="42"/>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Përshtatja e kuadrit ligjor për financimin ‘croud funding’.</w:t>
      </w:r>
    </w:p>
    <w:p w14:paraId="76D4D6FD" w14:textId="0592CF36" w:rsidR="00405262" w:rsidRPr="005208DC" w:rsidRDefault="00405262" w:rsidP="00857902">
      <w:pPr>
        <w:pStyle w:val="ListParagraph"/>
        <w:numPr>
          <w:ilvl w:val="0"/>
          <w:numId w:val="42"/>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Monitorimi i ecurisë së zbatimit të objektivave dhe masave të BIDS 2021-2027</w:t>
      </w:r>
    </w:p>
    <w:p w14:paraId="5E48B0E1" w14:textId="77777777" w:rsidR="00405262" w:rsidRPr="005208DC" w:rsidRDefault="00405262" w:rsidP="00857902">
      <w:pPr>
        <w:snapToGrid w:val="0"/>
        <w:rPr>
          <w:rFonts w:asciiTheme="majorBidi" w:hAnsiTheme="majorBidi" w:cstheme="majorBidi"/>
          <w:color w:val="0D0D0D" w:themeColor="text1" w:themeTint="F2"/>
          <w:lang w:val="sq-AL"/>
        </w:rPr>
      </w:pPr>
    </w:p>
    <w:p w14:paraId="024D61F6" w14:textId="1322383C" w:rsidR="00DB22AB" w:rsidRPr="005208DC" w:rsidRDefault="00B2062A" w:rsidP="00857902">
      <w:pPr>
        <w:pStyle w:val="Heading6"/>
        <w:numPr>
          <w:ilvl w:val="0"/>
          <w:numId w:val="38"/>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Treguesit e rezultateve</w:t>
      </w:r>
    </w:p>
    <w:tbl>
      <w:tblPr>
        <w:tblW w:w="96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2"/>
        <w:gridCol w:w="1560"/>
        <w:gridCol w:w="1417"/>
        <w:gridCol w:w="1134"/>
      </w:tblGrid>
      <w:tr w:rsidR="005208DC" w:rsidRPr="005208DC" w14:paraId="0290237C" w14:textId="77777777" w:rsidTr="00CD0E63">
        <w:trPr>
          <w:trHeight w:val="589"/>
        </w:trPr>
        <w:tc>
          <w:tcPr>
            <w:tcW w:w="5572" w:type="dxa"/>
            <w:shd w:val="clear" w:color="auto" w:fill="auto"/>
            <w:vAlign w:val="center"/>
            <w:hideMark/>
          </w:tcPr>
          <w:p w14:paraId="0F751C3E" w14:textId="6FEAE1B8" w:rsidR="00D51B02" w:rsidRPr="005208DC" w:rsidRDefault="00B2062A" w:rsidP="00857902">
            <w:pP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Tregues</w:t>
            </w:r>
          </w:p>
        </w:tc>
        <w:tc>
          <w:tcPr>
            <w:tcW w:w="1560" w:type="dxa"/>
            <w:shd w:val="clear" w:color="auto" w:fill="auto"/>
            <w:vAlign w:val="center"/>
            <w:hideMark/>
          </w:tcPr>
          <w:p w14:paraId="1AC92C2D" w14:textId="7BC260DC" w:rsidR="00D51B02" w:rsidRPr="005208DC" w:rsidRDefault="00B2062A" w:rsidP="00857902">
            <w:pPr>
              <w:jc w:val="cente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Bazë</w:t>
            </w:r>
          </w:p>
        </w:tc>
        <w:tc>
          <w:tcPr>
            <w:tcW w:w="1417" w:type="dxa"/>
            <w:shd w:val="clear" w:color="auto" w:fill="auto"/>
            <w:vAlign w:val="center"/>
            <w:hideMark/>
          </w:tcPr>
          <w:p w14:paraId="32B06FEC" w14:textId="4D692E71" w:rsidR="00D51B02" w:rsidRPr="005208DC" w:rsidRDefault="00B2062A" w:rsidP="00857902">
            <w:pPr>
              <w:jc w:val="cente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I ndërmjetëm</w:t>
            </w:r>
          </w:p>
        </w:tc>
        <w:tc>
          <w:tcPr>
            <w:tcW w:w="1134" w:type="dxa"/>
            <w:shd w:val="clear" w:color="auto" w:fill="auto"/>
            <w:vAlign w:val="center"/>
            <w:hideMark/>
          </w:tcPr>
          <w:p w14:paraId="35C285B4" w14:textId="215FB2DC" w:rsidR="00D51B02" w:rsidRPr="005208DC" w:rsidRDefault="00B2062A" w:rsidP="00857902">
            <w:pPr>
              <w:jc w:val="cente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Synimi</w:t>
            </w:r>
          </w:p>
        </w:tc>
      </w:tr>
      <w:tr w:rsidR="005208DC" w:rsidRPr="005208DC" w14:paraId="1CF532FF" w14:textId="77777777" w:rsidTr="00CD0E63">
        <w:trPr>
          <w:trHeight w:val="411"/>
        </w:trPr>
        <w:tc>
          <w:tcPr>
            <w:tcW w:w="5572" w:type="dxa"/>
            <w:shd w:val="clear" w:color="auto" w:fill="auto"/>
            <w:vAlign w:val="bottom"/>
          </w:tcPr>
          <w:p w14:paraId="6EADFE65" w14:textId="7FCD6F57" w:rsidR="00405262" w:rsidRPr="005208DC" w:rsidRDefault="00405262" w:rsidP="00857902">
            <w:pP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Miratimi i strukturës së re në MFE</w:t>
            </w:r>
          </w:p>
        </w:tc>
        <w:tc>
          <w:tcPr>
            <w:tcW w:w="1560" w:type="dxa"/>
            <w:shd w:val="clear" w:color="auto" w:fill="auto"/>
            <w:vAlign w:val="center"/>
          </w:tcPr>
          <w:p w14:paraId="24056B4C" w14:textId="599A0FB4" w:rsidR="00405262" w:rsidRPr="005208DC" w:rsidRDefault="00405262" w:rsidP="00857902">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w:t>
            </w:r>
          </w:p>
        </w:tc>
        <w:tc>
          <w:tcPr>
            <w:tcW w:w="1417" w:type="dxa"/>
            <w:shd w:val="clear" w:color="auto" w:fill="auto"/>
            <w:vAlign w:val="center"/>
          </w:tcPr>
          <w:p w14:paraId="7EF1FDB9" w14:textId="06595080" w:rsidR="00405262" w:rsidRPr="005208DC" w:rsidRDefault="00405262" w:rsidP="00857902">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Qershor 2022</w:t>
            </w:r>
          </w:p>
        </w:tc>
        <w:tc>
          <w:tcPr>
            <w:tcW w:w="1134" w:type="dxa"/>
            <w:shd w:val="clear" w:color="auto" w:fill="auto"/>
            <w:vAlign w:val="center"/>
          </w:tcPr>
          <w:p w14:paraId="249FAE7A" w14:textId="2B71E564" w:rsidR="00405262" w:rsidRPr="005208DC" w:rsidRDefault="00405262" w:rsidP="00857902">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Dhjetor 2023</w:t>
            </w:r>
          </w:p>
        </w:tc>
      </w:tr>
      <w:tr w:rsidR="005208DC" w:rsidRPr="005208DC" w14:paraId="67F90D5D" w14:textId="77777777" w:rsidTr="00CD0E63">
        <w:trPr>
          <w:trHeight w:val="411"/>
        </w:trPr>
        <w:tc>
          <w:tcPr>
            <w:tcW w:w="5572" w:type="dxa"/>
            <w:shd w:val="clear" w:color="auto" w:fill="auto"/>
            <w:vAlign w:val="bottom"/>
          </w:tcPr>
          <w:p w14:paraId="05B22EB7" w14:textId="4B79EB38" w:rsidR="00405262" w:rsidRPr="005208DC" w:rsidRDefault="00405262" w:rsidP="00857902">
            <w:pP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Numri i përdoruesve të platformës së centralizuar të informacionit</w:t>
            </w:r>
          </w:p>
        </w:tc>
        <w:tc>
          <w:tcPr>
            <w:tcW w:w="1560" w:type="dxa"/>
            <w:shd w:val="clear" w:color="auto" w:fill="auto"/>
            <w:vAlign w:val="center"/>
          </w:tcPr>
          <w:p w14:paraId="1FB6E04C" w14:textId="1F419E89" w:rsidR="00405262" w:rsidRPr="005208DC" w:rsidRDefault="00405262" w:rsidP="00857902">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1000</w:t>
            </w:r>
          </w:p>
        </w:tc>
        <w:tc>
          <w:tcPr>
            <w:tcW w:w="1417" w:type="dxa"/>
            <w:shd w:val="clear" w:color="auto" w:fill="auto"/>
            <w:vAlign w:val="center"/>
          </w:tcPr>
          <w:p w14:paraId="45C797D4" w14:textId="336BA36B" w:rsidR="00405262" w:rsidRPr="005208DC" w:rsidRDefault="00405262" w:rsidP="00857902">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1500</w:t>
            </w:r>
          </w:p>
        </w:tc>
        <w:tc>
          <w:tcPr>
            <w:tcW w:w="1134" w:type="dxa"/>
            <w:shd w:val="clear" w:color="auto" w:fill="auto"/>
            <w:vAlign w:val="center"/>
          </w:tcPr>
          <w:p w14:paraId="15188027" w14:textId="43691BCF" w:rsidR="00405262" w:rsidRPr="005208DC" w:rsidRDefault="00405262" w:rsidP="00857902">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2000</w:t>
            </w:r>
          </w:p>
        </w:tc>
      </w:tr>
      <w:tr w:rsidR="005208DC" w:rsidRPr="005208DC" w14:paraId="53CEEB9B" w14:textId="77777777" w:rsidTr="00CD0E63">
        <w:trPr>
          <w:trHeight w:val="411"/>
        </w:trPr>
        <w:tc>
          <w:tcPr>
            <w:tcW w:w="5572" w:type="dxa"/>
            <w:shd w:val="clear" w:color="auto" w:fill="auto"/>
            <w:vAlign w:val="bottom"/>
          </w:tcPr>
          <w:p w14:paraId="5882A7A3" w14:textId="325CA92B" w:rsidR="00405262" w:rsidRPr="005208DC" w:rsidRDefault="00405262"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Numri e përfitues MSME nga grantet AIDA</w:t>
            </w:r>
          </w:p>
        </w:tc>
        <w:tc>
          <w:tcPr>
            <w:tcW w:w="1560" w:type="dxa"/>
            <w:shd w:val="clear" w:color="auto" w:fill="auto"/>
            <w:vAlign w:val="center"/>
          </w:tcPr>
          <w:p w14:paraId="276605E9" w14:textId="27D2AFB6" w:rsidR="00405262" w:rsidRPr="005208DC" w:rsidRDefault="00405262" w:rsidP="00857902">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373</w:t>
            </w:r>
          </w:p>
        </w:tc>
        <w:tc>
          <w:tcPr>
            <w:tcW w:w="1417" w:type="dxa"/>
            <w:shd w:val="clear" w:color="auto" w:fill="auto"/>
            <w:vAlign w:val="center"/>
          </w:tcPr>
          <w:p w14:paraId="0FFD927D" w14:textId="58ABB1D5" w:rsidR="00405262" w:rsidRPr="005208DC" w:rsidRDefault="00405262" w:rsidP="00857902">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400</w:t>
            </w:r>
          </w:p>
        </w:tc>
        <w:tc>
          <w:tcPr>
            <w:tcW w:w="1134" w:type="dxa"/>
            <w:shd w:val="clear" w:color="auto" w:fill="auto"/>
            <w:vAlign w:val="center"/>
          </w:tcPr>
          <w:p w14:paraId="0DE98CE5" w14:textId="4DD2149D" w:rsidR="00405262" w:rsidRPr="005208DC" w:rsidRDefault="00405262" w:rsidP="00857902">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450</w:t>
            </w:r>
          </w:p>
        </w:tc>
      </w:tr>
    </w:tbl>
    <w:p w14:paraId="4B5B7A71" w14:textId="77777777" w:rsidR="00D51B02" w:rsidRPr="005208DC" w:rsidRDefault="00D51B02" w:rsidP="00857902">
      <w:pPr>
        <w:snapToGrid w:val="0"/>
        <w:rPr>
          <w:rFonts w:asciiTheme="majorBidi" w:hAnsiTheme="majorBidi" w:cstheme="majorBidi"/>
          <w:color w:val="0D0D0D" w:themeColor="text1" w:themeTint="F2"/>
          <w:lang w:val="sq-AL"/>
        </w:rPr>
      </w:pPr>
    </w:p>
    <w:p w14:paraId="76A18C16" w14:textId="20A51929" w:rsidR="00DB22AB" w:rsidRPr="005208DC" w:rsidRDefault="00B2062A" w:rsidP="00857902">
      <w:pPr>
        <w:pStyle w:val="Heading6"/>
        <w:numPr>
          <w:ilvl w:val="0"/>
          <w:numId w:val="38"/>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konkurrueshmëri</w:t>
      </w:r>
    </w:p>
    <w:p w14:paraId="2544A23A" w14:textId="31BD5655" w:rsidR="00405262" w:rsidRPr="005208DC" w:rsidRDefault="00CD0E63"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Përmirësimi i aksesit në financa për NVM-të dhe ndikimi i drejtpërdrejtë në konkurrueshmërinë më të lartë të asaj pjese të ekonomisë, e cila ka kontributin më të madh në PBB dhe punësim në sektorin jofinanciar. Rritja e investimeve e nxitur nga aksesi më i mirë në financa do të ketë një ndikim pozitiv në zgjerimin e kapaciteteve, modernizimin teknologjik të prodhimit, rritjen e produktivitetit dhe futjen e produkteve dhe shërbimeve të reja, inovative nga NVM-të</w:t>
      </w:r>
      <w:r w:rsidR="00405262" w:rsidRPr="005208DC">
        <w:rPr>
          <w:rFonts w:asciiTheme="majorBidi" w:hAnsiTheme="majorBidi" w:cstheme="majorBidi"/>
          <w:color w:val="0D0D0D" w:themeColor="text1" w:themeTint="F2"/>
          <w:lang w:val="sq-AL"/>
        </w:rPr>
        <w:t>.</w:t>
      </w:r>
    </w:p>
    <w:p w14:paraId="55104FDB" w14:textId="77777777" w:rsidR="00405262" w:rsidRPr="005208DC" w:rsidRDefault="00405262" w:rsidP="00857902">
      <w:pPr>
        <w:snapToGrid w:val="0"/>
        <w:jc w:val="both"/>
        <w:rPr>
          <w:rFonts w:asciiTheme="majorBidi" w:hAnsiTheme="majorBidi" w:cstheme="majorBidi"/>
          <w:color w:val="0D0D0D" w:themeColor="text1" w:themeTint="F2"/>
          <w:lang w:val="sq-AL"/>
        </w:rPr>
      </w:pPr>
    </w:p>
    <w:p w14:paraId="4E47AC94" w14:textId="473B80B4" w:rsidR="00DB22AB" w:rsidRPr="005208DC" w:rsidRDefault="00B2062A" w:rsidP="00857902">
      <w:pPr>
        <w:pStyle w:val="Heading6"/>
        <w:numPr>
          <w:ilvl w:val="0"/>
          <w:numId w:val="38"/>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Kosto e parashikuar e aktiviteteve dhe burimi i financimit</w:t>
      </w:r>
    </w:p>
    <w:p w14:paraId="4E64093B" w14:textId="4BB04799" w:rsidR="00405262" w:rsidRPr="005208DC" w:rsidRDefault="00405262"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Kostoja e aktiviteteve dhe burimi i financimit janë të detajuara përkatësisht në tabelën 10a dhe tabelën 10b.</w:t>
      </w:r>
    </w:p>
    <w:p w14:paraId="6EC30C00" w14:textId="77777777" w:rsidR="00405262" w:rsidRPr="005208DC" w:rsidRDefault="00405262" w:rsidP="00857902">
      <w:pPr>
        <w:snapToGrid w:val="0"/>
        <w:rPr>
          <w:rFonts w:asciiTheme="majorBidi" w:hAnsiTheme="majorBidi" w:cstheme="majorBidi"/>
          <w:color w:val="0D0D0D" w:themeColor="text1" w:themeTint="F2"/>
          <w:lang w:val="sq-AL"/>
        </w:rPr>
      </w:pPr>
    </w:p>
    <w:p w14:paraId="103703CB" w14:textId="553E3E9A" w:rsidR="00DB22AB" w:rsidRPr="005208DC" w:rsidRDefault="00B2062A" w:rsidP="00857902">
      <w:pPr>
        <w:pStyle w:val="Heading6"/>
        <w:numPr>
          <w:ilvl w:val="0"/>
          <w:numId w:val="38"/>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përfundimet sociale si punësimi, ulja e varfërisë, barazia gjinore dhe aksesi në kujdesin shëndetësor</w:t>
      </w:r>
    </w:p>
    <w:p w14:paraId="360FCAE3" w14:textId="4B67AF9E" w:rsidR="00405262" w:rsidRPr="005208DC" w:rsidRDefault="00CD0E63"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Futja e instrumenteve të reja financiare për fillimin e një biznesi dhe zhvillimin e NVM-ve do të kontribuojë drejtpërdrejt në krijimin e vendeve të punës dhe vetëpunësimit. Reforma është veçanërisht e rëndësishme sepse do të ndihmojë në fuqizimin e sipërmarrjes së grave duke lehtësuar kanalet e komunikimit drejt financimit, gjë që është e rëndësishme për gratë sipërmarrëse</w:t>
      </w:r>
      <w:r w:rsidR="00405262" w:rsidRPr="005208DC">
        <w:rPr>
          <w:rFonts w:asciiTheme="majorBidi" w:hAnsiTheme="majorBidi" w:cstheme="majorBidi"/>
          <w:color w:val="0D0D0D" w:themeColor="text1" w:themeTint="F2"/>
          <w:lang w:val="sq-AL"/>
        </w:rPr>
        <w:t>.</w:t>
      </w:r>
    </w:p>
    <w:p w14:paraId="16E738AA" w14:textId="77777777" w:rsidR="00405262" w:rsidRPr="005208DC" w:rsidRDefault="00405262" w:rsidP="00857902">
      <w:pPr>
        <w:snapToGrid w:val="0"/>
        <w:rPr>
          <w:rFonts w:asciiTheme="majorBidi" w:hAnsiTheme="majorBidi" w:cstheme="majorBidi"/>
          <w:color w:val="0D0D0D" w:themeColor="text1" w:themeTint="F2"/>
          <w:lang w:val="sq-AL"/>
        </w:rPr>
      </w:pPr>
    </w:p>
    <w:p w14:paraId="4F1C5FAD" w14:textId="1AF55595" w:rsidR="00DB22AB" w:rsidRPr="005208DC" w:rsidRDefault="00B2062A" w:rsidP="00857902">
      <w:pPr>
        <w:pStyle w:val="Heading6"/>
        <w:numPr>
          <w:ilvl w:val="0"/>
          <w:numId w:val="38"/>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mjedis dhe ndryshimi i klimës</w:t>
      </w:r>
    </w:p>
    <w:p w14:paraId="7113029F" w14:textId="3B0388A8" w:rsidR="002B45F2" w:rsidRPr="005208DC" w:rsidRDefault="002B45F2"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Masa nuk parashikon ndikim të drejtpërdrejtë në mjedis.</w:t>
      </w:r>
    </w:p>
    <w:p w14:paraId="01587EC2" w14:textId="77777777" w:rsidR="002B45F2" w:rsidRPr="005208DC" w:rsidRDefault="002B45F2" w:rsidP="00857902">
      <w:pPr>
        <w:snapToGrid w:val="0"/>
        <w:rPr>
          <w:rFonts w:asciiTheme="majorBidi" w:hAnsiTheme="majorBidi" w:cstheme="majorBidi"/>
          <w:color w:val="0D0D0D" w:themeColor="text1" w:themeTint="F2"/>
          <w:lang w:val="sq-AL"/>
        </w:rPr>
      </w:pPr>
    </w:p>
    <w:p w14:paraId="5A8C123F" w14:textId="3ED5A0C9" w:rsidR="00DB22AB" w:rsidRPr="005208DC" w:rsidRDefault="00B2062A" w:rsidP="00857902">
      <w:pPr>
        <w:pStyle w:val="Heading6"/>
        <w:numPr>
          <w:ilvl w:val="0"/>
          <w:numId w:val="38"/>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Rreziqet e mundshme</w:t>
      </w:r>
    </w:p>
    <w:tbl>
      <w:tblPr>
        <w:tblStyle w:val="TableGrid"/>
        <w:tblW w:w="0" w:type="auto"/>
        <w:tblLook w:val="04A0" w:firstRow="1" w:lastRow="0" w:firstColumn="1" w:lastColumn="0" w:noHBand="0" w:noVBand="1"/>
      </w:tblPr>
      <w:tblGrid>
        <w:gridCol w:w="4815"/>
        <w:gridCol w:w="1559"/>
        <w:gridCol w:w="3248"/>
      </w:tblGrid>
      <w:tr w:rsidR="005208DC" w:rsidRPr="005208DC" w14:paraId="4B279471" w14:textId="77777777" w:rsidTr="00CC1612">
        <w:tc>
          <w:tcPr>
            <w:tcW w:w="4815" w:type="dxa"/>
          </w:tcPr>
          <w:p w14:paraId="45A90B80" w14:textId="2D330C00" w:rsidR="00CC1612"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Rreziku</w:t>
            </w:r>
          </w:p>
        </w:tc>
        <w:tc>
          <w:tcPr>
            <w:tcW w:w="1559" w:type="dxa"/>
          </w:tcPr>
          <w:p w14:paraId="012B16EE" w14:textId="082EF908" w:rsidR="00CC1612"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Mundësia</w:t>
            </w:r>
            <w:r w:rsidR="00CC1612" w:rsidRPr="005208DC">
              <w:rPr>
                <w:rFonts w:asciiTheme="majorBidi" w:hAnsiTheme="majorBidi" w:cstheme="majorBidi"/>
                <w:color w:val="0D0D0D" w:themeColor="text1" w:themeTint="F2"/>
                <w:lang w:val="sq-AL"/>
              </w:rPr>
              <w:t xml:space="preserve"> (</w:t>
            </w:r>
            <w:r w:rsidRPr="005208DC">
              <w:rPr>
                <w:rFonts w:asciiTheme="majorBidi" w:hAnsiTheme="majorBidi" w:cstheme="majorBidi"/>
                <w:color w:val="0D0D0D" w:themeColor="text1" w:themeTint="F2"/>
                <w:lang w:val="sq-AL"/>
              </w:rPr>
              <w:t>e ulët, e lartë</w:t>
            </w:r>
            <w:r w:rsidR="00CC1612" w:rsidRPr="005208DC">
              <w:rPr>
                <w:rFonts w:asciiTheme="majorBidi" w:hAnsiTheme="majorBidi" w:cstheme="majorBidi"/>
                <w:color w:val="0D0D0D" w:themeColor="text1" w:themeTint="F2"/>
                <w:lang w:val="sq-AL"/>
              </w:rPr>
              <w:t>)</w:t>
            </w:r>
          </w:p>
        </w:tc>
        <w:tc>
          <w:tcPr>
            <w:tcW w:w="3248" w:type="dxa"/>
          </w:tcPr>
          <w:p w14:paraId="6D1B4B60" w14:textId="74A10B1D" w:rsidR="00CC1612"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Veprimi zbutës i parashikuar</w:t>
            </w:r>
          </w:p>
        </w:tc>
      </w:tr>
      <w:tr w:rsidR="005208DC" w:rsidRPr="005208DC" w14:paraId="63411F4C" w14:textId="77777777" w:rsidTr="00CC1612">
        <w:tc>
          <w:tcPr>
            <w:tcW w:w="4815" w:type="dxa"/>
          </w:tcPr>
          <w:p w14:paraId="48768E17" w14:textId="5B09714A" w:rsidR="002B45F2" w:rsidRPr="005208DC" w:rsidRDefault="002B45F2"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Shtyrja e miratimit të ligjit të ri për NVM-të</w:t>
            </w:r>
          </w:p>
        </w:tc>
        <w:tc>
          <w:tcPr>
            <w:tcW w:w="1559" w:type="dxa"/>
          </w:tcPr>
          <w:p w14:paraId="0735D66F" w14:textId="144C08D0" w:rsidR="002B45F2" w:rsidRPr="005208DC" w:rsidRDefault="002B45F2"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 lartë</w:t>
            </w:r>
          </w:p>
        </w:tc>
        <w:tc>
          <w:tcPr>
            <w:tcW w:w="3248" w:type="dxa"/>
          </w:tcPr>
          <w:p w14:paraId="37701E24" w14:textId="43FAE0BD" w:rsidR="002B45F2" w:rsidRPr="005208DC" w:rsidRDefault="002B45F2"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Rritja e ndërgjegjësimit në nivel politik për nevojën e këtij ligji</w:t>
            </w:r>
          </w:p>
        </w:tc>
      </w:tr>
      <w:tr w:rsidR="005208DC" w:rsidRPr="005208DC" w14:paraId="081EE6E2" w14:textId="77777777" w:rsidTr="00CC1612">
        <w:tc>
          <w:tcPr>
            <w:tcW w:w="4815" w:type="dxa"/>
          </w:tcPr>
          <w:p w14:paraId="545A86BE" w14:textId="0A8C8FF3" w:rsidR="002B45F2" w:rsidRPr="005208DC" w:rsidRDefault="002B45F2"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Vonesat në zbatimin e masave të parashikuara në BIDS</w:t>
            </w:r>
          </w:p>
        </w:tc>
        <w:tc>
          <w:tcPr>
            <w:tcW w:w="1559" w:type="dxa"/>
          </w:tcPr>
          <w:p w14:paraId="2FF00296" w14:textId="4D7B1639" w:rsidR="002B45F2" w:rsidRPr="005208DC" w:rsidRDefault="002B45F2"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 lartë</w:t>
            </w:r>
          </w:p>
        </w:tc>
        <w:tc>
          <w:tcPr>
            <w:tcW w:w="3248" w:type="dxa"/>
          </w:tcPr>
          <w:p w14:paraId="25A00CFC" w14:textId="06106459" w:rsidR="002B45F2" w:rsidRPr="005208DC" w:rsidRDefault="002B45F2"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Rritja e ndërgjegjësimit për rëndësinë e BIDS.</w:t>
            </w:r>
          </w:p>
        </w:tc>
      </w:tr>
    </w:tbl>
    <w:p w14:paraId="19D2C3AA" w14:textId="77777777" w:rsidR="00CC1612" w:rsidRPr="005208DC" w:rsidRDefault="00CC1612" w:rsidP="00857902">
      <w:pPr>
        <w:snapToGrid w:val="0"/>
        <w:rPr>
          <w:rFonts w:asciiTheme="majorBidi" w:hAnsiTheme="majorBidi" w:cstheme="majorBidi"/>
          <w:color w:val="0D0D0D" w:themeColor="text1" w:themeTint="F2"/>
          <w:lang w:val="sq-AL"/>
        </w:rPr>
      </w:pPr>
    </w:p>
    <w:p w14:paraId="1194F048" w14:textId="77777777" w:rsidR="00CC1612" w:rsidRPr="005208DC" w:rsidRDefault="00CC1612" w:rsidP="00857902">
      <w:pPr>
        <w:snapToGrid w:val="0"/>
        <w:rPr>
          <w:rFonts w:asciiTheme="majorBidi" w:hAnsiTheme="majorBidi" w:cstheme="majorBidi"/>
          <w:color w:val="0D0D0D" w:themeColor="text1" w:themeTint="F2"/>
          <w:lang w:val="sq-AL"/>
        </w:rPr>
      </w:pPr>
    </w:p>
    <w:p w14:paraId="1ECDB22E" w14:textId="5B4FD0A1" w:rsidR="00DB22AB" w:rsidRPr="005208DC" w:rsidRDefault="00B2062A" w:rsidP="00857902">
      <w:pPr>
        <w:pStyle w:val="Heading5"/>
        <w:snapToGrid w:val="0"/>
        <w:ind w:left="0"/>
        <w:rPr>
          <w:rFonts w:asciiTheme="majorBidi" w:hAnsiTheme="majorBidi" w:cstheme="majorBidi"/>
          <w:i w:val="0"/>
          <w:color w:val="0D0D0D" w:themeColor="text1" w:themeTint="F2"/>
          <w:sz w:val="24"/>
          <w:szCs w:val="24"/>
          <w:lang w:val="sq-AL"/>
        </w:rPr>
      </w:pPr>
      <w:r w:rsidRPr="005208DC">
        <w:rPr>
          <w:rFonts w:asciiTheme="majorBidi" w:hAnsiTheme="majorBidi" w:cstheme="majorBidi"/>
          <w:i w:val="0"/>
          <w:color w:val="0D0D0D" w:themeColor="text1" w:themeTint="F2"/>
          <w:sz w:val="24"/>
          <w:szCs w:val="24"/>
          <w:lang w:val="sq-AL"/>
        </w:rPr>
        <w:t>Masa e reformës</w:t>
      </w:r>
      <w:r w:rsidR="005358F8" w:rsidRPr="005208DC">
        <w:rPr>
          <w:rFonts w:asciiTheme="majorBidi" w:hAnsiTheme="majorBidi" w:cstheme="majorBidi"/>
          <w:i w:val="0"/>
          <w:color w:val="0D0D0D" w:themeColor="text1" w:themeTint="F2"/>
          <w:sz w:val="24"/>
          <w:szCs w:val="24"/>
          <w:lang w:val="sq-AL"/>
        </w:rPr>
        <w:t xml:space="preserve"> 09</w:t>
      </w:r>
      <w:r w:rsidR="00DB22AB" w:rsidRPr="005208DC">
        <w:rPr>
          <w:rFonts w:asciiTheme="majorBidi" w:hAnsiTheme="majorBidi" w:cstheme="majorBidi"/>
          <w:i w:val="0"/>
          <w:color w:val="0D0D0D" w:themeColor="text1" w:themeTint="F2"/>
          <w:sz w:val="24"/>
          <w:szCs w:val="24"/>
          <w:lang w:val="sq-AL"/>
        </w:rPr>
        <w:t xml:space="preserve">: </w:t>
      </w:r>
      <w:r w:rsidR="00635B15" w:rsidRPr="005208DC">
        <w:rPr>
          <w:rFonts w:ascii="Times New Roman" w:hAnsi="Times New Roman"/>
          <w:i w:val="0"/>
          <w:color w:val="0D0D0D" w:themeColor="text1" w:themeTint="F2"/>
          <w:sz w:val="24"/>
          <w:szCs w:val="24"/>
          <w:lang w:val="sq-AL"/>
        </w:rPr>
        <w:t>Modernizimi i instrumenteve të pagesave me vlerë të vogël</w:t>
      </w:r>
    </w:p>
    <w:p w14:paraId="54394781" w14:textId="58C7AAA8" w:rsidR="00DB22AB" w:rsidRPr="005208DC" w:rsidRDefault="00B2062A" w:rsidP="00857902">
      <w:pPr>
        <w:pStyle w:val="Heading6"/>
        <w:numPr>
          <w:ilvl w:val="0"/>
          <w:numId w:val="4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Përshkrimi i masës</w:t>
      </w:r>
    </w:p>
    <w:p w14:paraId="29B9CA85" w14:textId="77777777" w:rsidR="005661AC" w:rsidRPr="005208DC" w:rsidRDefault="005661AC" w:rsidP="00857902">
      <w:pPr>
        <w:jc w:val="both"/>
        <w:rPr>
          <w:rFonts w:asciiTheme="majorBidi" w:eastAsia="SimSun" w:hAnsiTheme="majorBidi" w:cstheme="majorBidi"/>
          <w:color w:val="0D0D0D" w:themeColor="text1" w:themeTint="F2"/>
          <w:lang w:val="sq-AL"/>
        </w:rPr>
      </w:pPr>
    </w:p>
    <w:p w14:paraId="1DE74872" w14:textId="77777777" w:rsidR="005661AC" w:rsidRPr="005208DC" w:rsidRDefault="005661AC" w:rsidP="00857902">
      <w:pPr>
        <w:jc w:val="both"/>
        <w:rPr>
          <w:rFonts w:asciiTheme="majorBidi" w:eastAsia="SimSun" w:hAnsiTheme="majorBidi" w:cstheme="majorBidi"/>
          <w:color w:val="0D0D0D" w:themeColor="text1" w:themeTint="F2"/>
          <w:lang w:val="sq-AL"/>
        </w:rPr>
      </w:pPr>
      <w:r w:rsidRPr="005208DC">
        <w:rPr>
          <w:rFonts w:asciiTheme="majorBidi" w:eastAsia="SimSun" w:hAnsiTheme="majorBidi" w:cstheme="majorBidi"/>
          <w:color w:val="0D0D0D" w:themeColor="text1" w:themeTint="F2"/>
          <w:lang w:val="sq-AL"/>
        </w:rPr>
        <w:t>Kjo masë rrjedh nga lista e veprimeve të përfshira në strategjinë kombëtare për pagesat me vlerë të vogël, të cilat janë në përgjegjësinë e Bankës së Shqipërisë. Objektivi kryesor i Strategjisë Kombëtare për Pagesat me Vlerë të Vogël është që të promovojë përdorimin e shpeshtë të instrumenteve të pagesave modernë në të gjithë vendin, me qëllimin për të arritur 10 pagesa jo cash për person deri në fund të vitit 2023. Rritja e qasjes në llogari bankare është kusht i nevojshëm për të arritur objektivin kryesor. Në këtë aspekt, Shqipëria synon të arrijë një raport të llogarive për qytetarët e rritur në 70% deri në fund të vitit 2023. Kjo masë është pjesë e reformave kombëtare prej vitit 2020.</w:t>
      </w:r>
    </w:p>
    <w:p w14:paraId="4CD3068B" w14:textId="3F735CFF" w:rsidR="005661AC" w:rsidRPr="005208DC" w:rsidRDefault="005661AC" w:rsidP="00857902">
      <w:pPr>
        <w:jc w:val="both"/>
        <w:rPr>
          <w:rFonts w:asciiTheme="majorBidi" w:eastAsia="SimSun" w:hAnsiTheme="majorBidi" w:cstheme="majorBidi"/>
          <w:color w:val="0D0D0D" w:themeColor="text1" w:themeTint="F2"/>
          <w:lang w:val="sq-AL"/>
        </w:rPr>
      </w:pPr>
      <w:r w:rsidRPr="005208DC">
        <w:rPr>
          <w:rFonts w:asciiTheme="majorBidi" w:eastAsia="SimSun" w:hAnsiTheme="majorBidi" w:cstheme="majorBidi"/>
          <w:color w:val="0D0D0D" w:themeColor="text1" w:themeTint="F2"/>
          <w:lang w:val="sq-AL"/>
        </w:rPr>
        <w:t>Objektivat e sipërpërmendura do të realizohen nëpërmjet një plani veprimesh të detajuar, i cili parashikon disa veprime të natyrës ligjore e rregullative dhe infrastrukturore.</w:t>
      </w:r>
    </w:p>
    <w:p w14:paraId="47C36B78" w14:textId="77777777" w:rsidR="005661AC" w:rsidRPr="005208DC" w:rsidRDefault="005661AC" w:rsidP="00857902">
      <w:pPr>
        <w:jc w:val="both"/>
        <w:rPr>
          <w:rFonts w:asciiTheme="majorBidi" w:eastAsia="SimSun" w:hAnsiTheme="majorBidi" w:cstheme="majorBidi"/>
          <w:color w:val="0D0D0D" w:themeColor="text1" w:themeTint="F2"/>
          <w:lang w:val="sq-AL"/>
        </w:rPr>
      </w:pPr>
    </w:p>
    <w:p w14:paraId="56AEE720" w14:textId="77777777" w:rsidR="005661AC" w:rsidRPr="005208DC" w:rsidRDefault="005661AC" w:rsidP="00F957E8">
      <w:pPr>
        <w:numPr>
          <w:ilvl w:val="0"/>
          <w:numId w:val="115"/>
        </w:numPr>
        <w:jc w:val="both"/>
        <w:rPr>
          <w:rFonts w:asciiTheme="majorBidi" w:eastAsia="SimSun" w:hAnsiTheme="majorBidi" w:cstheme="majorBidi"/>
          <w:color w:val="0D0D0D" w:themeColor="text1" w:themeTint="F2"/>
          <w:lang w:val="sq-AL"/>
        </w:rPr>
      </w:pPr>
      <w:r w:rsidRPr="005208DC">
        <w:rPr>
          <w:rFonts w:asciiTheme="majorBidi" w:eastAsia="SimSun" w:hAnsiTheme="majorBidi" w:cstheme="majorBidi"/>
          <w:color w:val="0D0D0D" w:themeColor="text1" w:themeTint="F2"/>
          <w:lang w:val="sq-AL"/>
        </w:rPr>
        <w:t>Përmirësimi i kuadrit ligjor dhe rregullativ</w:t>
      </w:r>
    </w:p>
    <w:p w14:paraId="0EE58E4B" w14:textId="77777777" w:rsidR="005661AC" w:rsidRPr="005208DC" w:rsidRDefault="005661AC" w:rsidP="00F957E8">
      <w:pPr>
        <w:pStyle w:val="ListParagraph"/>
        <w:numPr>
          <w:ilvl w:val="0"/>
          <w:numId w:val="116"/>
        </w:numPr>
        <w:ind w:hanging="294"/>
        <w:jc w:val="both"/>
        <w:rPr>
          <w:rFonts w:asciiTheme="majorBidi" w:eastAsia="SimSun" w:hAnsiTheme="majorBidi" w:cstheme="majorBidi"/>
          <w:color w:val="0D0D0D" w:themeColor="text1" w:themeTint="F2"/>
          <w:sz w:val="24"/>
          <w:szCs w:val="24"/>
          <w:lang w:val="sq-AL"/>
        </w:rPr>
      </w:pPr>
      <w:r w:rsidRPr="005208DC">
        <w:rPr>
          <w:rFonts w:asciiTheme="majorBidi" w:eastAsia="SimSun" w:hAnsiTheme="majorBidi" w:cstheme="majorBidi"/>
          <w:color w:val="0D0D0D" w:themeColor="text1" w:themeTint="F2"/>
          <w:sz w:val="24"/>
          <w:szCs w:val="24"/>
          <w:lang w:val="sq-AL"/>
        </w:rPr>
        <w:t>Miratimi i projektligjit “Mbi sistemet e pagesave” i cili transpozon direktivën e rishikuar të BE 2015/2366 dhe zbatimi i tij nga aktorët e tregjeve</w:t>
      </w:r>
    </w:p>
    <w:p w14:paraId="17909AA8" w14:textId="77777777" w:rsidR="005661AC" w:rsidRPr="005208DC" w:rsidRDefault="005661AC" w:rsidP="00F957E8">
      <w:pPr>
        <w:pStyle w:val="ListParagraph"/>
        <w:numPr>
          <w:ilvl w:val="0"/>
          <w:numId w:val="116"/>
        </w:numPr>
        <w:ind w:hanging="294"/>
        <w:jc w:val="both"/>
        <w:rPr>
          <w:rFonts w:asciiTheme="majorBidi" w:eastAsia="SimSun" w:hAnsiTheme="majorBidi" w:cstheme="majorBidi"/>
          <w:color w:val="0D0D0D" w:themeColor="text1" w:themeTint="F2"/>
          <w:sz w:val="24"/>
          <w:szCs w:val="24"/>
          <w:lang w:val="sq-AL"/>
        </w:rPr>
      </w:pPr>
      <w:r w:rsidRPr="005208DC">
        <w:rPr>
          <w:rFonts w:asciiTheme="majorBidi" w:eastAsia="SimSun" w:hAnsiTheme="majorBidi" w:cstheme="majorBidi"/>
          <w:color w:val="0D0D0D" w:themeColor="text1" w:themeTint="F2"/>
          <w:sz w:val="24"/>
          <w:szCs w:val="24"/>
          <w:lang w:val="sq-AL"/>
        </w:rPr>
        <w:t xml:space="preserve">Hartimi i një akti ligjor që të transpozojë direktivën e BE “Mbi llogarinë e pagesave”. </w:t>
      </w:r>
    </w:p>
    <w:p w14:paraId="2189D67B" w14:textId="77777777" w:rsidR="005661AC" w:rsidRPr="005208DC" w:rsidRDefault="005661AC" w:rsidP="00857902">
      <w:pPr>
        <w:pStyle w:val="ListParagraph"/>
        <w:widowControl/>
        <w:tabs>
          <w:tab w:val="left" w:pos="0"/>
        </w:tabs>
        <w:autoSpaceDE w:val="0"/>
        <w:autoSpaceDN w:val="0"/>
        <w:adjustRightInd w:val="0"/>
        <w:ind w:left="0" w:firstLine="0"/>
        <w:jc w:val="both"/>
        <w:rPr>
          <w:rFonts w:asciiTheme="majorBidi" w:eastAsia="SimSun" w:hAnsiTheme="majorBidi" w:cstheme="majorBidi"/>
          <w:color w:val="0D0D0D" w:themeColor="text1" w:themeTint="F2"/>
          <w:sz w:val="24"/>
          <w:szCs w:val="24"/>
          <w:lang w:val="sq-AL"/>
        </w:rPr>
      </w:pPr>
      <w:r w:rsidRPr="005208DC">
        <w:rPr>
          <w:rFonts w:asciiTheme="majorBidi" w:eastAsia="SimSun" w:hAnsiTheme="majorBidi" w:cstheme="majorBidi"/>
          <w:color w:val="0D0D0D" w:themeColor="text1" w:themeTint="F2"/>
          <w:sz w:val="24"/>
          <w:szCs w:val="24"/>
          <w:lang w:val="sq-AL"/>
        </w:rPr>
        <w:t>Ligji mbi “shërbimet e pagesave” që transpozon direktivën e BE 2015/2366 është aprovuar në 2020. Aktet nënligjore po hartohen dhe ligji do të zbatohet nga aktorët e tregjeve në 2022.</w:t>
      </w:r>
    </w:p>
    <w:p w14:paraId="723F94F6" w14:textId="79CD757B" w:rsidR="00635B15" w:rsidRPr="005208DC" w:rsidRDefault="005661AC" w:rsidP="00857902">
      <w:pPr>
        <w:pStyle w:val="ListParagraph"/>
        <w:widowControl/>
        <w:tabs>
          <w:tab w:val="left" w:pos="0"/>
        </w:tabs>
        <w:autoSpaceDE w:val="0"/>
        <w:autoSpaceDN w:val="0"/>
        <w:adjustRightInd w:val="0"/>
        <w:ind w:left="0" w:firstLine="0"/>
        <w:jc w:val="both"/>
        <w:rPr>
          <w:rFonts w:asciiTheme="majorBidi" w:eastAsia="SimSun" w:hAnsiTheme="majorBidi" w:cstheme="majorBidi"/>
          <w:color w:val="0D0D0D" w:themeColor="text1" w:themeTint="F2"/>
          <w:sz w:val="24"/>
          <w:szCs w:val="24"/>
          <w:lang w:val="sq-AL"/>
        </w:rPr>
      </w:pPr>
      <w:r w:rsidRPr="005208DC">
        <w:rPr>
          <w:rFonts w:asciiTheme="majorBidi" w:eastAsia="SimSun" w:hAnsiTheme="majorBidi" w:cstheme="majorBidi"/>
          <w:color w:val="0D0D0D" w:themeColor="text1" w:themeTint="F2"/>
          <w:sz w:val="24"/>
          <w:szCs w:val="24"/>
          <w:lang w:val="sq-AL"/>
        </w:rPr>
        <w:t>Një projektligj “mbi llogarinë e pagesave” është përfunduar nga BSH në 2021. Ndër përfitimet e shumta, zbatimi i akteve ligjore që transpozojnë direktivën PAD mbështet arritjen e një shkalle të volumeve të pagesave duke përcaktuar kriteret për përdorimin e një “llogarie bazë” e cila nuk ka kosto, ose një kosto të ulët,  për mbajtësin. Si e tillë, ajo do të ndihmojë, përtej segmenteve të tjera të tregut, edhe qeverinë që të përdorë produktet e “llogarisë bazë” për të zgjeruar pagesat e saj, duke përfshirë pensionet dhe asistencat e papunësisë. Kështu, transpozimi krijon parakushtet për të përfshirë financiarisht edhe popullsinë që mer pagesat e sigurimeve shoqërore, pensionistët dhe studentët, duke llogaritur që nuk do të përballen me kosto në “llogarinë bazë”. Përdorimi i llogarisë bazë për këtë qëllim është pjesë e SKPVV</w:t>
      </w:r>
      <w:r w:rsidRPr="005208DC">
        <w:rPr>
          <w:rStyle w:val="FootnoteReference"/>
          <w:rFonts w:asciiTheme="majorBidi" w:eastAsia="SimSun" w:hAnsiTheme="majorBidi" w:cstheme="majorBidi"/>
          <w:color w:val="0D0D0D" w:themeColor="text1" w:themeTint="F2"/>
          <w:sz w:val="24"/>
          <w:szCs w:val="24"/>
          <w:lang w:val="sq-AL"/>
        </w:rPr>
        <w:footnoteReference w:id="2"/>
      </w:r>
      <w:r w:rsidRPr="005208DC">
        <w:rPr>
          <w:rFonts w:asciiTheme="majorBidi" w:eastAsia="SimSun" w:hAnsiTheme="majorBidi" w:cstheme="majorBidi"/>
          <w:color w:val="0D0D0D" w:themeColor="text1" w:themeTint="F2"/>
          <w:sz w:val="24"/>
          <w:szCs w:val="24"/>
          <w:lang w:val="sq-AL"/>
        </w:rPr>
        <w:t>, si edhe pjesë e raportit të Bankës Botërore mbi Digjitalizimin e Pagesave të Qeverisë, e cila bazohet në të dhënat publike dhe takimet bilaterale me agjenci të ndryshme qeveritare. Rezultatet u ndanë me lojtarët e tregut dhe u prezantuan në takimin e pestë të Komitetit Kombëtar të Sistemit të Pagesave</w:t>
      </w:r>
      <w:r w:rsidRPr="005208DC">
        <w:rPr>
          <w:rStyle w:val="FootnoteReference"/>
          <w:rFonts w:asciiTheme="majorBidi" w:eastAsia="SimSun" w:hAnsiTheme="majorBidi" w:cstheme="majorBidi"/>
          <w:color w:val="0D0D0D" w:themeColor="text1" w:themeTint="F2"/>
          <w:sz w:val="24"/>
          <w:szCs w:val="24"/>
          <w:lang w:val="sq-AL"/>
        </w:rPr>
        <w:footnoteReference w:id="3"/>
      </w:r>
      <w:r w:rsidRPr="005208DC">
        <w:rPr>
          <w:rFonts w:asciiTheme="majorBidi" w:eastAsia="SimSun" w:hAnsiTheme="majorBidi" w:cstheme="majorBidi"/>
          <w:color w:val="0D0D0D" w:themeColor="text1" w:themeTint="F2"/>
          <w:sz w:val="24"/>
          <w:szCs w:val="24"/>
          <w:lang w:val="sq-AL"/>
        </w:rPr>
        <w:t>.</w:t>
      </w:r>
    </w:p>
    <w:p w14:paraId="5A20DBF4" w14:textId="77777777" w:rsidR="005661AC" w:rsidRPr="005208DC" w:rsidRDefault="005661AC" w:rsidP="00857902">
      <w:pPr>
        <w:pStyle w:val="ListParagraph"/>
        <w:widowControl/>
        <w:tabs>
          <w:tab w:val="left" w:pos="0"/>
        </w:tabs>
        <w:autoSpaceDE w:val="0"/>
        <w:autoSpaceDN w:val="0"/>
        <w:adjustRightInd w:val="0"/>
        <w:ind w:left="0" w:firstLine="0"/>
        <w:jc w:val="both"/>
        <w:rPr>
          <w:rFonts w:asciiTheme="majorBidi" w:eastAsia="SimSun" w:hAnsiTheme="majorBidi" w:cstheme="majorBidi"/>
          <w:color w:val="0D0D0D" w:themeColor="text1" w:themeTint="F2"/>
          <w:sz w:val="24"/>
          <w:szCs w:val="24"/>
          <w:lang w:val="sq-AL"/>
        </w:rPr>
      </w:pPr>
    </w:p>
    <w:p w14:paraId="63098BFD" w14:textId="77777777" w:rsidR="00B9064C" w:rsidRPr="005208DC" w:rsidRDefault="00B9064C" w:rsidP="00F957E8">
      <w:pPr>
        <w:numPr>
          <w:ilvl w:val="0"/>
          <w:numId w:val="115"/>
        </w:numPr>
        <w:jc w:val="both"/>
        <w:rPr>
          <w:rFonts w:asciiTheme="majorBidi" w:eastAsia="SimSun" w:hAnsiTheme="majorBidi" w:cstheme="majorBidi"/>
          <w:color w:val="0D0D0D" w:themeColor="text1" w:themeTint="F2"/>
          <w:lang w:val="sq-AL"/>
        </w:rPr>
      </w:pPr>
      <w:r w:rsidRPr="005208DC">
        <w:rPr>
          <w:rFonts w:asciiTheme="majorBidi" w:eastAsia="SimSun" w:hAnsiTheme="majorBidi" w:cstheme="majorBidi"/>
          <w:color w:val="0D0D0D" w:themeColor="text1" w:themeTint="F2"/>
          <w:lang w:val="sq-AL"/>
        </w:rPr>
        <w:t>Përmirësimet infrastrukturore dhe teknologjike si:</w:t>
      </w:r>
    </w:p>
    <w:p w14:paraId="004C6179" w14:textId="32DD4C13" w:rsidR="00B9064C" w:rsidRPr="005208DC" w:rsidRDefault="00B9064C" w:rsidP="00F957E8">
      <w:pPr>
        <w:pStyle w:val="ListParagraph"/>
        <w:numPr>
          <w:ilvl w:val="0"/>
          <w:numId w:val="117"/>
        </w:numPr>
        <w:jc w:val="both"/>
        <w:rPr>
          <w:rFonts w:asciiTheme="majorBidi" w:eastAsia="SimSun" w:hAnsiTheme="majorBidi" w:cstheme="majorBidi"/>
          <w:color w:val="0D0D0D" w:themeColor="text1" w:themeTint="F2"/>
          <w:sz w:val="24"/>
          <w:szCs w:val="24"/>
          <w:lang w:val="sq-AL"/>
        </w:rPr>
      </w:pPr>
      <w:r w:rsidRPr="005208DC">
        <w:rPr>
          <w:rFonts w:asciiTheme="majorBidi" w:eastAsia="SimSun" w:hAnsiTheme="majorBidi" w:cstheme="majorBidi"/>
          <w:color w:val="0D0D0D" w:themeColor="text1" w:themeTint="F2"/>
          <w:sz w:val="24"/>
          <w:szCs w:val="24"/>
          <w:lang w:val="sq-AL"/>
        </w:rPr>
        <w:t>Mundësia e implementimit të një platforme kombëtare të procesimit të kartave (SWITCH/pagesa të menjëhershme). Një studim fizibiliteti është hartuar me mbështetjen e Bankës Botërore në vitin 2021. Raporti theksoi se tregu shqiptar duhet të përqendrohet më tepër në zgjidhjen e pagesave të menjëhershme se sa në platformën S</w:t>
      </w:r>
      <w:r w:rsidR="00A129DA" w:rsidRPr="005208DC">
        <w:rPr>
          <w:rFonts w:asciiTheme="majorBidi" w:eastAsia="SimSun" w:hAnsiTheme="majorBidi" w:cstheme="majorBidi"/>
          <w:color w:val="0D0D0D" w:themeColor="text1" w:themeTint="F2"/>
          <w:sz w:val="24"/>
          <w:szCs w:val="24"/>
          <w:lang w:val="sq-AL"/>
        </w:rPr>
        <w:t>W</w:t>
      </w:r>
      <w:r w:rsidRPr="005208DC">
        <w:rPr>
          <w:rFonts w:asciiTheme="majorBidi" w:eastAsia="SimSun" w:hAnsiTheme="majorBidi" w:cstheme="majorBidi"/>
          <w:color w:val="0D0D0D" w:themeColor="text1" w:themeTint="F2"/>
          <w:sz w:val="24"/>
          <w:szCs w:val="24"/>
          <w:lang w:val="sq-AL"/>
        </w:rPr>
        <w:t>ITCH. Një infrastrukturë pagesash të menjëhershme do të plotësonte nevojat dhe mundësitë për investime nga tregu</w:t>
      </w:r>
    </w:p>
    <w:p w14:paraId="0D441C67" w14:textId="77777777" w:rsidR="00B9064C" w:rsidRPr="005208DC" w:rsidRDefault="00B9064C" w:rsidP="00F957E8">
      <w:pPr>
        <w:pStyle w:val="ListParagraph"/>
        <w:numPr>
          <w:ilvl w:val="0"/>
          <w:numId w:val="117"/>
        </w:numPr>
        <w:jc w:val="both"/>
        <w:rPr>
          <w:rFonts w:asciiTheme="majorBidi" w:eastAsia="SimSun" w:hAnsiTheme="majorBidi" w:cstheme="majorBidi"/>
          <w:color w:val="0D0D0D" w:themeColor="text1" w:themeTint="F2"/>
          <w:sz w:val="24"/>
          <w:szCs w:val="24"/>
          <w:lang w:val="sq-AL"/>
        </w:rPr>
      </w:pPr>
      <w:r w:rsidRPr="005208DC">
        <w:rPr>
          <w:rFonts w:asciiTheme="majorBidi" w:eastAsia="SimSun" w:hAnsiTheme="majorBidi" w:cstheme="majorBidi"/>
          <w:color w:val="0D0D0D" w:themeColor="text1" w:themeTint="F2"/>
          <w:sz w:val="24"/>
          <w:szCs w:val="24"/>
          <w:lang w:val="sq-AL"/>
        </w:rPr>
        <w:t>Implementimi i skemave të debitimit direkt ndërmjet bankave. Kuadri rregullativ është hartuar dhe infrastruktura është e ngritur.</w:t>
      </w:r>
    </w:p>
    <w:p w14:paraId="09024CCD" w14:textId="77777777" w:rsidR="00B9064C" w:rsidRPr="005208DC" w:rsidRDefault="00B9064C" w:rsidP="00F957E8">
      <w:pPr>
        <w:pStyle w:val="ListParagraph"/>
        <w:numPr>
          <w:ilvl w:val="0"/>
          <w:numId w:val="117"/>
        </w:numPr>
        <w:jc w:val="both"/>
        <w:rPr>
          <w:rFonts w:asciiTheme="majorBidi" w:eastAsia="SimSun" w:hAnsiTheme="majorBidi" w:cstheme="majorBidi"/>
          <w:color w:val="0D0D0D" w:themeColor="text1" w:themeTint="F2"/>
          <w:sz w:val="24"/>
          <w:szCs w:val="24"/>
          <w:lang w:val="sq-AL"/>
        </w:rPr>
      </w:pPr>
      <w:r w:rsidRPr="005208DC">
        <w:rPr>
          <w:rFonts w:asciiTheme="majorBidi" w:eastAsia="SimSun" w:hAnsiTheme="majorBidi" w:cstheme="majorBidi"/>
          <w:color w:val="0D0D0D" w:themeColor="text1" w:themeTint="F2"/>
          <w:sz w:val="24"/>
          <w:szCs w:val="24"/>
          <w:lang w:val="sq-AL"/>
        </w:rPr>
        <w:t>Zbatimi i një sistemi për klerimin e transfertave në euro për pagesat vendase. Sistemi është ndërtuar nga BSH dhe pritet të jetë funksional në vitin 2022.</w:t>
      </w:r>
    </w:p>
    <w:p w14:paraId="38490ADD" w14:textId="05A6C9AA" w:rsidR="00B9064C" w:rsidRPr="005208DC" w:rsidRDefault="00B9064C" w:rsidP="00F957E8">
      <w:pPr>
        <w:pStyle w:val="ListParagraph"/>
        <w:numPr>
          <w:ilvl w:val="0"/>
          <w:numId w:val="117"/>
        </w:numPr>
        <w:jc w:val="both"/>
        <w:rPr>
          <w:rFonts w:asciiTheme="majorBidi" w:eastAsia="SimSun" w:hAnsiTheme="majorBidi" w:cstheme="majorBidi"/>
          <w:color w:val="0D0D0D" w:themeColor="text1" w:themeTint="F2"/>
          <w:sz w:val="24"/>
          <w:szCs w:val="24"/>
          <w:lang w:val="sq-AL"/>
        </w:rPr>
      </w:pPr>
      <w:r w:rsidRPr="005208DC">
        <w:rPr>
          <w:rFonts w:asciiTheme="majorBidi" w:eastAsia="SimSun" w:hAnsiTheme="majorBidi" w:cstheme="majorBidi"/>
          <w:color w:val="0D0D0D" w:themeColor="text1" w:themeTint="F2"/>
          <w:sz w:val="24"/>
          <w:szCs w:val="24"/>
          <w:lang w:val="sq-AL"/>
        </w:rPr>
        <w:t>Operacionalizimi i kategorisë së “pjesëmarrjes indirekte” në AECH (e arritur që në vitin 2020 – por mungon interesi nga tregu për të marrë pjesë në sistem deri në vitin 2021).</w:t>
      </w:r>
    </w:p>
    <w:p w14:paraId="653285EB" w14:textId="77777777" w:rsidR="00B9064C" w:rsidRPr="005208DC" w:rsidRDefault="00B9064C" w:rsidP="00857902">
      <w:pPr>
        <w:jc w:val="both"/>
        <w:rPr>
          <w:rFonts w:asciiTheme="majorBidi" w:eastAsia="SimSun" w:hAnsiTheme="majorBidi" w:cstheme="majorBidi"/>
          <w:color w:val="0D0D0D" w:themeColor="text1" w:themeTint="F2"/>
          <w:lang w:val="sq-AL"/>
        </w:rPr>
      </w:pPr>
    </w:p>
    <w:p w14:paraId="6EBB44EE" w14:textId="42AB1838" w:rsidR="00DB22AB" w:rsidRPr="005208DC" w:rsidRDefault="00B2062A" w:rsidP="00857902">
      <w:pPr>
        <w:pStyle w:val="ListParagraph"/>
        <w:numPr>
          <w:ilvl w:val="0"/>
          <w:numId w:val="44"/>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DB22AB" w:rsidRPr="005208DC">
        <w:rPr>
          <w:rFonts w:asciiTheme="majorBidi" w:hAnsiTheme="majorBidi" w:cstheme="majorBidi"/>
          <w:b/>
          <w:color w:val="0D0D0D" w:themeColor="text1" w:themeTint="F2"/>
          <w:sz w:val="24"/>
          <w:szCs w:val="24"/>
          <w:lang w:val="sq-AL"/>
        </w:rPr>
        <w:t xml:space="preserve"> 2022</w:t>
      </w:r>
    </w:p>
    <w:p w14:paraId="3305433E" w14:textId="2962F758" w:rsidR="00635B15" w:rsidRPr="005208DC" w:rsidRDefault="00635B15" w:rsidP="00857902">
      <w:pPr>
        <w:pStyle w:val="ListParagraph"/>
        <w:numPr>
          <w:ilvl w:val="0"/>
          <w:numId w:val="45"/>
        </w:numPr>
        <w:jc w:val="both"/>
        <w:rPr>
          <w:rFonts w:asciiTheme="majorBidi" w:eastAsia="SimSun" w:hAnsiTheme="majorBidi" w:cstheme="majorBidi"/>
          <w:color w:val="0D0D0D" w:themeColor="text1" w:themeTint="F2"/>
          <w:sz w:val="24"/>
          <w:szCs w:val="24"/>
          <w:lang w:val="sq-AL"/>
        </w:rPr>
      </w:pPr>
      <w:r w:rsidRPr="005208DC">
        <w:rPr>
          <w:rFonts w:asciiTheme="majorBidi" w:eastAsia="SimSun" w:hAnsiTheme="majorBidi" w:cstheme="majorBidi"/>
          <w:color w:val="0D0D0D" w:themeColor="text1" w:themeTint="F2"/>
          <w:sz w:val="24"/>
          <w:szCs w:val="24"/>
          <w:lang w:val="sq-AL"/>
        </w:rPr>
        <w:t>Aprovimi i akteve ligjore që transpozojnë direktivën e</w:t>
      </w:r>
      <w:r w:rsidR="00B9064C" w:rsidRPr="005208DC">
        <w:rPr>
          <w:rFonts w:asciiTheme="majorBidi" w:eastAsia="SimSun" w:hAnsiTheme="majorBidi" w:cstheme="majorBidi"/>
          <w:color w:val="0D0D0D" w:themeColor="text1" w:themeTint="F2"/>
          <w:sz w:val="24"/>
          <w:szCs w:val="24"/>
          <w:lang w:val="sq-AL"/>
        </w:rPr>
        <w:t xml:space="preserve"> BE “Mbi llogarinë e pagesave”.</w:t>
      </w:r>
    </w:p>
    <w:p w14:paraId="6BF15F7D" w14:textId="77777777" w:rsidR="00635B15" w:rsidRPr="005208DC" w:rsidRDefault="00635B15" w:rsidP="00857902">
      <w:pPr>
        <w:pStyle w:val="ListParagraph"/>
        <w:numPr>
          <w:ilvl w:val="0"/>
          <w:numId w:val="45"/>
        </w:numPr>
        <w:jc w:val="both"/>
        <w:rPr>
          <w:rFonts w:asciiTheme="majorBidi" w:eastAsia="SimSun" w:hAnsiTheme="majorBidi" w:cstheme="majorBidi"/>
          <w:color w:val="0D0D0D" w:themeColor="text1" w:themeTint="F2"/>
          <w:sz w:val="24"/>
          <w:szCs w:val="24"/>
          <w:lang w:val="sq-AL"/>
        </w:rPr>
      </w:pPr>
      <w:r w:rsidRPr="005208DC">
        <w:rPr>
          <w:rFonts w:asciiTheme="majorBidi" w:eastAsia="SimSun" w:hAnsiTheme="majorBidi" w:cstheme="majorBidi"/>
          <w:color w:val="0D0D0D" w:themeColor="text1" w:themeTint="F2"/>
          <w:sz w:val="24"/>
          <w:szCs w:val="24"/>
          <w:lang w:val="sq-AL"/>
        </w:rPr>
        <w:t>Zbatimi i “Ligjit mbi Shërbimet e Pagesave” dhe kuadri rregullativ i zbatimit të ligjit nga tregu</w:t>
      </w:r>
    </w:p>
    <w:p w14:paraId="25E92091" w14:textId="77777777" w:rsidR="00635B15" w:rsidRPr="005208DC" w:rsidRDefault="00635B15" w:rsidP="00857902">
      <w:pPr>
        <w:pStyle w:val="ListParagraph"/>
        <w:numPr>
          <w:ilvl w:val="0"/>
          <w:numId w:val="45"/>
        </w:numPr>
        <w:jc w:val="both"/>
        <w:rPr>
          <w:rFonts w:asciiTheme="majorBidi" w:eastAsia="SimSun" w:hAnsiTheme="majorBidi" w:cstheme="majorBidi"/>
          <w:color w:val="0D0D0D" w:themeColor="text1" w:themeTint="F2"/>
          <w:sz w:val="24"/>
          <w:szCs w:val="24"/>
          <w:lang w:val="sq-AL"/>
        </w:rPr>
      </w:pPr>
      <w:r w:rsidRPr="005208DC">
        <w:rPr>
          <w:rFonts w:asciiTheme="majorBidi" w:eastAsia="SimSun" w:hAnsiTheme="majorBidi" w:cstheme="majorBidi"/>
          <w:color w:val="0D0D0D" w:themeColor="text1" w:themeTint="F2"/>
          <w:sz w:val="24"/>
          <w:szCs w:val="24"/>
          <w:lang w:val="sq-AL"/>
        </w:rPr>
        <w:t>Sistemi për klerimin e pagesave vendase në euro do të jetë funksional.</w:t>
      </w:r>
    </w:p>
    <w:p w14:paraId="5287CF57" w14:textId="77777777" w:rsidR="00635B15" w:rsidRPr="005208DC" w:rsidRDefault="00635B15" w:rsidP="00857902">
      <w:pPr>
        <w:pStyle w:val="ListParagraph"/>
        <w:numPr>
          <w:ilvl w:val="0"/>
          <w:numId w:val="45"/>
        </w:numPr>
        <w:jc w:val="both"/>
        <w:rPr>
          <w:rFonts w:asciiTheme="majorBidi" w:eastAsia="SimSun" w:hAnsiTheme="majorBidi" w:cstheme="majorBidi"/>
          <w:color w:val="0D0D0D" w:themeColor="text1" w:themeTint="F2"/>
          <w:sz w:val="24"/>
          <w:szCs w:val="24"/>
          <w:lang w:val="sq-AL"/>
        </w:rPr>
      </w:pPr>
      <w:r w:rsidRPr="005208DC">
        <w:rPr>
          <w:rFonts w:asciiTheme="majorBidi" w:eastAsia="SimSun" w:hAnsiTheme="majorBidi" w:cstheme="majorBidi"/>
          <w:color w:val="0D0D0D" w:themeColor="text1" w:themeTint="F2"/>
          <w:sz w:val="24"/>
          <w:szCs w:val="24"/>
          <w:lang w:val="sq-AL"/>
        </w:rPr>
        <w:t>Debitimi direkt ndërmjet bankave do të jetë funksional, dhe gjithë mandatet e debitimit direkt ekzistuese do të zbatojnë rregullat e skemës.</w:t>
      </w:r>
    </w:p>
    <w:p w14:paraId="6CB8B045" w14:textId="3F2A0D61" w:rsidR="00635B15" w:rsidRPr="005208DC" w:rsidRDefault="00635B15" w:rsidP="00857902">
      <w:pPr>
        <w:pStyle w:val="ListParagraph"/>
        <w:numPr>
          <w:ilvl w:val="0"/>
          <w:numId w:val="45"/>
        </w:numPr>
        <w:jc w:val="both"/>
        <w:rPr>
          <w:rFonts w:asciiTheme="majorBidi" w:eastAsia="SimSun" w:hAnsiTheme="majorBidi" w:cstheme="majorBidi"/>
          <w:color w:val="0D0D0D" w:themeColor="text1" w:themeTint="F2"/>
          <w:sz w:val="24"/>
          <w:szCs w:val="24"/>
          <w:lang w:val="sq-AL"/>
        </w:rPr>
      </w:pPr>
      <w:r w:rsidRPr="005208DC">
        <w:rPr>
          <w:rFonts w:asciiTheme="majorBidi" w:eastAsia="SimSun" w:hAnsiTheme="majorBidi" w:cstheme="majorBidi"/>
          <w:color w:val="0D0D0D" w:themeColor="text1" w:themeTint="F2"/>
          <w:sz w:val="24"/>
          <w:szCs w:val="24"/>
          <w:lang w:val="sq-AL"/>
        </w:rPr>
        <w:t>Promovimi i infrastrukturës për pagesat e menjëhershme, i cili i përshtatet më mirë nevojave të tregut dhe justifikon kostot e investimit e bazuar në zhvillimin e tregut.</w:t>
      </w:r>
    </w:p>
    <w:p w14:paraId="23F609F4" w14:textId="2C5D601B" w:rsidR="00DB22AB" w:rsidRPr="005208DC" w:rsidRDefault="00B2062A" w:rsidP="00857902">
      <w:pPr>
        <w:pStyle w:val="ListParagraph"/>
        <w:numPr>
          <w:ilvl w:val="0"/>
          <w:numId w:val="44"/>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DB22AB" w:rsidRPr="005208DC">
        <w:rPr>
          <w:rFonts w:asciiTheme="majorBidi" w:hAnsiTheme="majorBidi" w:cstheme="majorBidi"/>
          <w:b/>
          <w:color w:val="0D0D0D" w:themeColor="text1" w:themeTint="F2"/>
          <w:sz w:val="24"/>
          <w:szCs w:val="24"/>
          <w:lang w:val="sq-AL"/>
        </w:rPr>
        <w:t xml:space="preserve"> 2023</w:t>
      </w:r>
    </w:p>
    <w:p w14:paraId="35F2B41F" w14:textId="726CF3FD" w:rsidR="00635B15" w:rsidRPr="005208DC" w:rsidRDefault="00635B15" w:rsidP="00857902">
      <w:pPr>
        <w:pStyle w:val="ListParagraph"/>
        <w:numPr>
          <w:ilvl w:val="0"/>
          <w:numId w:val="46"/>
        </w:numPr>
        <w:jc w:val="both"/>
        <w:rPr>
          <w:rFonts w:asciiTheme="majorBidi" w:hAnsiTheme="majorBidi" w:cstheme="majorBidi"/>
          <w:b/>
          <w:color w:val="0D0D0D" w:themeColor="text1" w:themeTint="F2"/>
          <w:sz w:val="24"/>
          <w:szCs w:val="24"/>
          <w:lang w:val="sq-AL"/>
        </w:rPr>
      </w:pPr>
      <w:r w:rsidRPr="005208DC">
        <w:rPr>
          <w:rFonts w:asciiTheme="majorBidi" w:eastAsia="SimSun" w:hAnsiTheme="majorBidi" w:cstheme="majorBidi"/>
          <w:color w:val="0D0D0D" w:themeColor="text1" w:themeTint="F2"/>
          <w:lang w:val="sq-AL"/>
        </w:rPr>
        <w:t>Monitorimi i zbatimit dhe efekteve të objektivave/masave të realizuara si edhe vlerësimi i mundësisë për të zgjeruar punën e BSH dhe aktorëve të tjerë.</w:t>
      </w:r>
    </w:p>
    <w:p w14:paraId="63F534AA" w14:textId="56A84C49" w:rsidR="00DB22AB" w:rsidRPr="005208DC" w:rsidRDefault="00B2062A" w:rsidP="00857902">
      <w:pPr>
        <w:pStyle w:val="ListParagraph"/>
        <w:numPr>
          <w:ilvl w:val="0"/>
          <w:numId w:val="44"/>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DB22AB" w:rsidRPr="005208DC">
        <w:rPr>
          <w:rFonts w:asciiTheme="majorBidi" w:hAnsiTheme="majorBidi" w:cstheme="majorBidi"/>
          <w:b/>
          <w:color w:val="0D0D0D" w:themeColor="text1" w:themeTint="F2"/>
          <w:sz w:val="24"/>
          <w:szCs w:val="24"/>
          <w:lang w:val="sq-AL"/>
        </w:rPr>
        <w:t xml:space="preserve"> 2024</w:t>
      </w:r>
    </w:p>
    <w:p w14:paraId="50F240AA" w14:textId="123C3352" w:rsidR="00DB22AB" w:rsidRPr="005208DC" w:rsidRDefault="00635B15" w:rsidP="00857902">
      <w:pPr>
        <w:ind w:left="720" w:firstLine="720"/>
        <w:jc w:val="both"/>
        <w:rPr>
          <w:rFonts w:asciiTheme="majorBidi" w:hAnsiTheme="majorBidi" w:cstheme="majorBidi"/>
          <w:bCs/>
          <w:color w:val="0D0D0D" w:themeColor="text1" w:themeTint="F2"/>
          <w:lang w:val="sq-AL"/>
        </w:rPr>
      </w:pPr>
      <w:r w:rsidRPr="005208DC">
        <w:rPr>
          <w:rFonts w:asciiTheme="majorBidi" w:hAnsiTheme="majorBidi" w:cstheme="majorBidi"/>
          <w:bCs/>
          <w:color w:val="0D0D0D" w:themeColor="text1" w:themeTint="F2"/>
          <w:lang w:val="sq-AL"/>
        </w:rPr>
        <w:t>Nuk ka aktivitete të planifikuara</w:t>
      </w:r>
    </w:p>
    <w:p w14:paraId="78A78A9A" w14:textId="77777777" w:rsidR="00DB22AB" w:rsidRPr="005208DC" w:rsidRDefault="00DB22AB" w:rsidP="00857902">
      <w:pPr>
        <w:snapToGrid w:val="0"/>
        <w:rPr>
          <w:rFonts w:asciiTheme="majorBidi" w:hAnsiTheme="majorBidi" w:cstheme="majorBidi"/>
          <w:color w:val="0D0D0D" w:themeColor="text1" w:themeTint="F2"/>
          <w:lang w:val="sq-AL"/>
        </w:rPr>
      </w:pPr>
    </w:p>
    <w:p w14:paraId="4E7D35C6" w14:textId="3D9C7B45" w:rsidR="00DB22AB" w:rsidRPr="005208DC" w:rsidRDefault="00B2062A" w:rsidP="00857902">
      <w:pPr>
        <w:pStyle w:val="Heading6"/>
        <w:numPr>
          <w:ilvl w:val="0"/>
          <w:numId w:val="4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Treguesit e rezultateve</w:t>
      </w:r>
    </w:p>
    <w:tbl>
      <w:tblPr>
        <w:tblStyle w:val="TableGrid"/>
        <w:tblW w:w="0" w:type="auto"/>
        <w:tblLook w:val="04A0" w:firstRow="1" w:lastRow="0" w:firstColumn="1" w:lastColumn="0" w:noHBand="0" w:noVBand="1"/>
      </w:tblPr>
      <w:tblGrid>
        <w:gridCol w:w="2585"/>
        <w:gridCol w:w="2586"/>
        <w:gridCol w:w="2586"/>
        <w:gridCol w:w="2586"/>
      </w:tblGrid>
      <w:tr w:rsidR="005208DC" w:rsidRPr="005208DC" w14:paraId="53CE41B9" w14:textId="77777777" w:rsidTr="00A129DA">
        <w:tc>
          <w:tcPr>
            <w:tcW w:w="2585" w:type="dxa"/>
          </w:tcPr>
          <w:p w14:paraId="27333435" w14:textId="77777777" w:rsidR="00A129DA" w:rsidRPr="005208DC" w:rsidRDefault="00A129DA" w:rsidP="00857902">
            <w:pPr>
              <w:snapToGrid w:val="0"/>
              <w:rPr>
                <w:rFonts w:ascii="Times New Roman" w:hAnsi="Times New Roman"/>
                <w:color w:val="0D0D0D" w:themeColor="text1" w:themeTint="F2"/>
                <w:lang w:val="sq-AL"/>
              </w:rPr>
            </w:pPr>
            <w:r w:rsidRPr="005208DC">
              <w:rPr>
                <w:rFonts w:ascii="Times New Roman" w:hAnsi="Times New Roman"/>
                <w:color w:val="0D0D0D" w:themeColor="text1" w:themeTint="F2"/>
                <w:lang w:val="sq-AL"/>
              </w:rPr>
              <w:t>Treguesit</w:t>
            </w:r>
          </w:p>
        </w:tc>
        <w:tc>
          <w:tcPr>
            <w:tcW w:w="2586" w:type="dxa"/>
          </w:tcPr>
          <w:p w14:paraId="72669577" w14:textId="77777777" w:rsidR="00A129DA" w:rsidRPr="005208DC" w:rsidRDefault="00A129DA" w:rsidP="00857902">
            <w:pPr>
              <w:snapToGrid w:val="0"/>
              <w:rPr>
                <w:rFonts w:ascii="Times New Roman" w:hAnsi="Times New Roman"/>
                <w:color w:val="0D0D0D" w:themeColor="text1" w:themeTint="F2"/>
                <w:lang w:val="sq-AL"/>
              </w:rPr>
            </w:pPr>
            <w:r w:rsidRPr="005208DC">
              <w:rPr>
                <w:rFonts w:ascii="Times New Roman" w:hAnsi="Times New Roman"/>
                <w:color w:val="0D0D0D" w:themeColor="text1" w:themeTint="F2"/>
                <w:lang w:val="sq-AL"/>
              </w:rPr>
              <w:t>Baza (Viti)</w:t>
            </w:r>
          </w:p>
        </w:tc>
        <w:tc>
          <w:tcPr>
            <w:tcW w:w="2586" w:type="dxa"/>
          </w:tcPr>
          <w:p w14:paraId="6480E99E" w14:textId="2D2DD9DA" w:rsidR="00A129DA" w:rsidRPr="005208DC" w:rsidRDefault="00A129DA" w:rsidP="00857902">
            <w:pPr>
              <w:snapToGrid w:val="0"/>
              <w:rPr>
                <w:rFonts w:ascii="Times New Roman" w:hAnsi="Times New Roman"/>
                <w:color w:val="0D0D0D" w:themeColor="text1" w:themeTint="F2"/>
                <w:lang w:val="sq-AL"/>
              </w:rPr>
            </w:pPr>
            <w:r w:rsidRPr="005208DC">
              <w:rPr>
                <w:rFonts w:ascii="Times New Roman" w:hAnsi="Times New Roman"/>
                <w:color w:val="0D0D0D" w:themeColor="text1" w:themeTint="F2"/>
                <w:lang w:val="sq-AL"/>
              </w:rPr>
              <w:t>Synimi i ndërmjetëm (viti)</w:t>
            </w:r>
          </w:p>
        </w:tc>
        <w:tc>
          <w:tcPr>
            <w:tcW w:w="2586" w:type="dxa"/>
          </w:tcPr>
          <w:p w14:paraId="408F481C" w14:textId="4D667A0E" w:rsidR="00A129DA" w:rsidRPr="005208DC" w:rsidRDefault="00A129DA" w:rsidP="00857902">
            <w:pPr>
              <w:snapToGrid w:val="0"/>
              <w:rPr>
                <w:rFonts w:ascii="Times New Roman" w:hAnsi="Times New Roman"/>
                <w:color w:val="0D0D0D" w:themeColor="text1" w:themeTint="F2"/>
                <w:lang w:val="sq-AL"/>
              </w:rPr>
            </w:pPr>
            <w:r w:rsidRPr="005208DC">
              <w:rPr>
                <w:rFonts w:ascii="Times New Roman" w:hAnsi="Times New Roman"/>
                <w:color w:val="0D0D0D" w:themeColor="text1" w:themeTint="F2"/>
                <w:lang w:val="sq-AL"/>
              </w:rPr>
              <w:t>Synimi (viti)</w:t>
            </w:r>
          </w:p>
        </w:tc>
      </w:tr>
      <w:tr w:rsidR="005208DC" w:rsidRPr="005208DC" w14:paraId="3F9823D0" w14:textId="77777777" w:rsidTr="00A129DA">
        <w:tc>
          <w:tcPr>
            <w:tcW w:w="2585" w:type="dxa"/>
          </w:tcPr>
          <w:p w14:paraId="2ABC3119" w14:textId="77777777" w:rsidR="00A129DA" w:rsidRPr="005208DC" w:rsidRDefault="00A129DA" w:rsidP="00857902">
            <w:pPr>
              <w:snapToGrid w:val="0"/>
              <w:rPr>
                <w:rFonts w:asciiTheme="majorBidi" w:hAnsiTheme="majorBidi" w:cstheme="majorBidi"/>
                <w:color w:val="0D0D0D" w:themeColor="text1" w:themeTint="F2"/>
                <w:lang w:val="sq-AL"/>
              </w:rPr>
            </w:pPr>
            <w:r w:rsidRPr="005208DC">
              <w:rPr>
                <w:rFonts w:asciiTheme="majorBidi" w:eastAsia="SimSun" w:hAnsiTheme="majorBidi" w:cstheme="majorBidi"/>
                <w:color w:val="0D0D0D" w:themeColor="text1" w:themeTint="F2"/>
                <w:lang w:val="sq-AL"/>
              </w:rPr>
              <w:t>Zbatimi i Ligjit “Mbi Shërbimet e Pagesave”</w:t>
            </w:r>
          </w:p>
        </w:tc>
        <w:tc>
          <w:tcPr>
            <w:tcW w:w="2586" w:type="dxa"/>
          </w:tcPr>
          <w:p w14:paraId="10B44C39" w14:textId="77777777" w:rsidR="00A129DA" w:rsidRPr="005208DC" w:rsidRDefault="00A129D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Hartimi i kuadrit rregullator për zbatimin e ligjit (T4 2021)</w:t>
            </w:r>
          </w:p>
        </w:tc>
        <w:tc>
          <w:tcPr>
            <w:tcW w:w="2586" w:type="dxa"/>
          </w:tcPr>
          <w:p w14:paraId="6FDCECC3" w14:textId="6F655076" w:rsidR="00A129DA" w:rsidRPr="005208DC" w:rsidRDefault="00A129D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Zbatimi i ligjit dhe i akteve të tjera rregullatore nga aktorët e tregut, 2022.</w:t>
            </w:r>
          </w:p>
        </w:tc>
        <w:tc>
          <w:tcPr>
            <w:tcW w:w="2586" w:type="dxa"/>
          </w:tcPr>
          <w:p w14:paraId="0973EEAD" w14:textId="31491831" w:rsidR="00A129DA" w:rsidRPr="005208DC" w:rsidRDefault="00A129D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xml:space="preserve">Hyrja e aktorëve të rinj dhe produkteve të reja në tregun e shërbimeve të pagesave 2023. Ligji ndihmon arritjen e objektivave të Strategjisë Kombëtare për Pagesat me Vlerë të Vogël, për të kapur nivelin e </w:t>
            </w:r>
            <w:r w:rsidRPr="005208DC">
              <w:rPr>
                <w:rFonts w:asciiTheme="majorBidi" w:eastAsia="SimSun" w:hAnsiTheme="majorBidi" w:cstheme="majorBidi"/>
                <w:color w:val="0D0D0D" w:themeColor="text1" w:themeTint="F2"/>
                <w:lang w:val="sq-AL"/>
              </w:rPr>
              <w:t>10 pagesave jo cash për person dhe një raport të llogarive për qytetarët e rritur në 70% deri në fund të vitit 2023.</w:t>
            </w:r>
          </w:p>
        </w:tc>
      </w:tr>
      <w:tr w:rsidR="005208DC" w:rsidRPr="005208DC" w14:paraId="14DE9F02" w14:textId="77777777" w:rsidTr="00A129DA">
        <w:tc>
          <w:tcPr>
            <w:tcW w:w="2585" w:type="dxa"/>
          </w:tcPr>
          <w:p w14:paraId="4AA2A88C" w14:textId="77777777" w:rsidR="00A129DA" w:rsidRPr="005208DC" w:rsidRDefault="00A129DA" w:rsidP="00857902">
            <w:pPr>
              <w:snapToGrid w:val="0"/>
              <w:rPr>
                <w:rFonts w:asciiTheme="majorBidi" w:hAnsiTheme="majorBidi" w:cstheme="majorBidi"/>
                <w:color w:val="0D0D0D" w:themeColor="text1" w:themeTint="F2"/>
                <w:lang w:val="sq-AL"/>
              </w:rPr>
            </w:pPr>
            <w:r w:rsidRPr="005208DC">
              <w:rPr>
                <w:rFonts w:asciiTheme="majorBidi" w:eastAsia="SimSun" w:hAnsiTheme="majorBidi" w:cstheme="majorBidi"/>
                <w:color w:val="0D0D0D" w:themeColor="text1" w:themeTint="F2"/>
                <w:lang w:val="sq-AL"/>
              </w:rPr>
              <w:t xml:space="preserve">Hartimi i një akti ligjor që do të transpozojë direktivën e Bashkimit Evropian "Për llogarinë e pagesës" </w:t>
            </w:r>
          </w:p>
        </w:tc>
        <w:tc>
          <w:tcPr>
            <w:tcW w:w="2586" w:type="dxa"/>
          </w:tcPr>
          <w:p w14:paraId="5D28CF5C" w14:textId="77777777" w:rsidR="00A129DA" w:rsidRPr="005208DC" w:rsidRDefault="00A129D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Hartimi i projektligjit (2021)</w:t>
            </w:r>
          </w:p>
        </w:tc>
        <w:tc>
          <w:tcPr>
            <w:tcW w:w="2586" w:type="dxa"/>
          </w:tcPr>
          <w:p w14:paraId="01A7E7B9" w14:textId="77777777" w:rsidR="00A129DA" w:rsidRPr="005208DC" w:rsidRDefault="00A129D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xml:space="preserve">Miratimi i ligjit (2022) </w:t>
            </w:r>
          </w:p>
        </w:tc>
        <w:tc>
          <w:tcPr>
            <w:tcW w:w="2586" w:type="dxa"/>
          </w:tcPr>
          <w:p w14:paraId="21715BE2" w14:textId="77777777" w:rsidR="00A129DA" w:rsidRPr="005208DC" w:rsidRDefault="00A129D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Zbatimi i ligjit 2022</w:t>
            </w:r>
          </w:p>
        </w:tc>
      </w:tr>
      <w:tr w:rsidR="005208DC" w:rsidRPr="005208DC" w14:paraId="37E5BF2E" w14:textId="77777777" w:rsidTr="00A129DA">
        <w:tc>
          <w:tcPr>
            <w:tcW w:w="2585" w:type="dxa"/>
          </w:tcPr>
          <w:p w14:paraId="3B86CDA8" w14:textId="77777777" w:rsidR="00A129DA" w:rsidRPr="005208DC" w:rsidRDefault="00A129DA" w:rsidP="00857902">
            <w:pPr>
              <w:rPr>
                <w:rFonts w:asciiTheme="majorBidi" w:eastAsia="SimSun" w:hAnsiTheme="majorBidi" w:cstheme="majorBidi"/>
                <w:color w:val="0D0D0D" w:themeColor="text1" w:themeTint="F2"/>
                <w:lang w:val="sq-AL"/>
              </w:rPr>
            </w:pPr>
            <w:r w:rsidRPr="005208DC">
              <w:rPr>
                <w:rFonts w:asciiTheme="majorBidi" w:eastAsia="SimSun" w:hAnsiTheme="majorBidi" w:cstheme="majorBidi"/>
                <w:color w:val="0D0D0D" w:themeColor="text1" w:themeTint="F2"/>
                <w:lang w:val="sq-AL"/>
              </w:rPr>
              <w:t xml:space="preserve">Operacionalizimi </w:t>
            </w:r>
            <w:r w:rsidRPr="005208DC">
              <w:rPr>
                <w:rFonts w:ascii="Times New Roman" w:eastAsia="SimSun" w:hAnsi="Times New Roman"/>
                <w:color w:val="0D0D0D" w:themeColor="text1" w:themeTint="F2"/>
                <w:lang w:val="sq-AL"/>
              </w:rPr>
              <w:t>i ndryshimeve rregullative dhe në infrastrukturë për skemën e debitit direkt ndërbankar.</w:t>
            </w:r>
          </w:p>
        </w:tc>
        <w:tc>
          <w:tcPr>
            <w:tcW w:w="2586" w:type="dxa"/>
          </w:tcPr>
          <w:p w14:paraId="3D8C7186" w14:textId="77777777" w:rsidR="00A129DA" w:rsidRPr="005208DC" w:rsidRDefault="00A129DA"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Aprovimi i ndryshimeve rregullative Brenda T4 2021</w:t>
            </w:r>
          </w:p>
        </w:tc>
        <w:tc>
          <w:tcPr>
            <w:tcW w:w="2586" w:type="dxa"/>
          </w:tcPr>
          <w:p w14:paraId="4FEBE869" w14:textId="77777777" w:rsidR="00A129DA" w:rsidRPr="005208DC" w:rsidRDefault="00A129D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Zbatimi i skemës nga aktorët e tregut dhe ndryshimi gradual i mandatit ekzistues, 2021</w:t>
            </w:r>
          </w:p>
        </w:tc>
        <w:tc>
          <w:tcPr>
            <w:tcW w:w="2586" w:type="dxa"/>
          </w:tcPr>
          <w:p w14:paraId="283FEFF8" w14:textId="77777777" w:rsidR="00A129DA" w:rsidRPr="005208DC" w:rsidRDefault="00A129D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xml:space="preserve">Funksionimi normal i skemës </w:t>
            </w:r>
          </w:p>
        </w:tc>
      </w:tr>
      <w:tr w:rsidR="005208DC" w:rsidRPr="005208DC" w14:paraId="05CC9AEE" w14:textId="77777777" w:rsidTr="00A129DA">
        <w:tc>
          <w:tcPr>
            <w:tcW w:w="2585" w:type="dxa"/>
          </w:tcPr>
          <w:p w14:paraId="03E4297F" w14:textId="77777777" w:rsidR="00A129DA" w:rsidRPr="005208DC" w:rsidRDefault="00A129DA" w:rsidP="00857902">
            <w:pPr>
              <w:snapToGrid w:val="0"/>
              <w:rPr>
                <w:rFonts w:asciiTheme="majorBidi" w:eastAsia="SimSun" w:hAnsiTheme="majorBidi" w:cstheme="majorBidi"/>
                <w:color w:val="0D0D0D" w:themeColor="text1" w:themeTint="F2"/>
                <w:lang w:val="sq-AL"/>
              </w:rPr>
            </w:pPr>
            <w:r w:rsidRPr="005208DC">
              <w:rPr>
                <w:rFonts w:asciiTheme="majorBidi" w:eastAsia="SimSun" w:hAnsiTheme="majorBidi" w:cstheme="majorBidi"/>
                <w:color w:val="0D0D0D" w:themeColor="text1" w:themeTint="F2"/>
                <w:lang w:val="sq-AL"/>
              </w:rPr>
              <w:t>Operacionalizimi  i sistemeve për shlyerjen e pagesave kombëtare në Euro.</w:t>
            </w:r>
          </w:p>
        </w:tc>
        <w:tc>
          <w:tcPr>
            <w:tcW w:w="2586" w:type="dxa"/>
          </w:tcPr>
          <w:p w14:paraId="6318A22F" w14:textId="77777777" w:rsidR="00A129DA" w:rsidRPr="005208DC" w:rsidRDefault="00A129D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Projekti finalizohet në fund të vitit 2021</w:t>
            </w:r>
          </w:p>
        </w:tc>
        <w:tc>
          <w:tcPr>
            <w:tcW w:w="2586" w:type="dxa"/>
          </w:tcPr>
          <w:p w14:paraId="4312D5FE" w14:textId="77777777" w:rsidR="00A129DA" w:rsidRPr="005208DC" w:rsidRDefault="00A129D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xml:space="preserve">Sistemi hyn në funksion në fillim të vitit 2022.  </w:t>
            </w:r>
          </w:p>
        </w:tc>
        <w:tc>
          <w:tcPr>
            <w:tcW w:w="2586" w:type="dxa"/>
          </w:tcPr>
          <w:p w14:paraId="44A840D9" w14:textId="77777777" w:rsidR="00A129DA" w:rsidRPr="005208DC" w:rsidRDefault="00A129D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xml:space="preserve">Në 2023 monitorohet ndikimi i sistemit në treg, mbështetur në objektivat e SKPVV </w:t>
            </w:r>
          </w:p>
        </w:tc>
      </w:tr>
      <w:tr w:rsidR="005208DC" w:rsidRPr="005208DC" w14:paraId="7308D652" w14:textId="77777777" w:rsidTr="00A129DA">
        <w:tc>
          <w:tcPr>
            <w:tcW w:w="2585" w:type="dxa"/>
          </w:tcPr>
          <w:p w14:paraId="156044A0" w14:textId="77777777" w:rsidR="00A129DA" w:rsidRPr="005208DC" w:rsidRDefault="00A129DA" w:rsidP="00857902">
            <w:pPr>
              <w:snapToGrid w:val="0"/>
              <w:jc w:val="both"/>
              <w:rPr>
                <w:rFonts w:ascii="Times New Roman" w:eastAsia="SimSun" w:hAnsi="Times New Roman"/>
                <w:color w:val="0D0D0D" w:themeColor="text1" w:themeTint="F2"/>
                <w:lang w:val="sq-AL"/>
              </w:rPr>
            </w:pPr>
            <w:r w:rsidRPr="005208DC">
              <w:rPr>
                <w:rFonts w:ascii="Times New Roman" w:eastAsia="SimSun" w:hAnsi="Times New Roman"/>
                <w:color w:val="0D0D0D" w:themeColor="text1" w:themeTint="F2"/>
                <w:lang w:val="sq-AL"/>
              </w:rPr>
              <w:t xml:space="preserve">Studimi i fizibilitetit për zbatimin e platformës kombëtare të procesimit të kartave </w:t>
            </w:r>
          </w:p>
          <w:p w14:paraId="29356F64" w14:textId="77777777" w:rsidR="00A129DA" w:rsidRPr="005208DC" w:rsidRDefault="00A129DA" w:rsidP="00857902">
            <w:pPr>
              <w:snapToGrid w:val="0"/>
              <w:jc w:val="both"/>
              <w:rPr>
                <w:rFonts w:asciiTheme="majorBidi" w:hAnsiTheme="majorBidi" w:cstheme="majorBidi"/>
                <w:color w:val="0D0D0D" w:themeColor="text1" w:themeTint="F2"/>
                <w:lang w:val="sq-AL"/>
              </w:rPr>
            </w:pPr>
            <w:r w:rsidRPr="005208DC">
              <w:rPr>
                <w:rFonts w:ascii="Times New Roman" w:eastAsia="SimSun" w:hAnsi="Times New Roman"/>
                <w:color w:val="0D0D0D" w:themeColor="text1" w:themeTint="F2"/>
                <w:lang w:val="sq-AL"/>
              </w:rPr>
              <w:t xml:space="preserve"> (SWITCH) / 'instant payment'. </w:t>
            </w:r>
          </w:p>
        </w:tc>
        <w:tc>
          <w:tcPr>
            <w:tcW w:w="2586" w:type="dxa"/>
          </w:tcPr>
          <w:p w14:paraId="01FF0AD3" w14:textId="77777777" w:rsidR="00A129DA" w:rsidRPr="005208DC" w:rsidRDefault="00A129D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Finalizimi i studimit të fizibilitetit dhe prezantimi i alternativave më të përshtatshme për aktorët e tregut, 2021</w:t>
            </w:r>
          </w:p>
        </w:tc>
        <w:tc>
          <w:tcPr>
            <w:tcW w:w="2586" w:type="dxa"/>
          </w:tcPr>
          <w:p w14:paraId="304EFCAC" w14:textId="77777777" w:rsidR="00A129DA" w:rsidRPr="005208DC" w:rsidRDefault="00A129D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Mbështetja e zbatimit të alternativave më të përshtatshme për tregun shqiptar, 2022</w:t>
            </w:r>
          </w:p>
        </w:tc>
        <w:tc>
          <w:tcPr>
            <w:tcW w:w="2586" w:type="dxa"/>
          </w:tcPr>
          <w:p w14:paraId="614018EB" w14:textId="77777777" w:rsidR="00A129DA" w:rsidRPr="005208DC" w:rsidRDefault="00A129D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Mbështetja e zbatimit të alternativave më të përshtatshme për tregun shqiptar, 2023</w:t>
            </w:r>
            <w:r w:rsidRPr="005208DC">
              <w:rPr>
                <w:rStyle w:val="FootnoteReference"/>
                <w:rFonts w:asciiTheme="majorBidi" w:hAnsiTheme="majorBidi" w:cstheme="majorBidi"/>
                <w:color w:val="0D0D0D" w:themeColor="text1" w:themeTint="F2"/>
                <w:lang w:val="sq-AL"/>
              </w:rPr>
              <w:footnoteReference w:id="4"/>
            </w:r>
          </w:p>
        </w:tc>
      </w:tr>
    </w:tbl>
    <w:p w14:paraId="60859058" w14:textId="77777777" w:rsidR="00A129DA" w:rsidRPr="005208DC" w:rsidRDefault="00A129DA" w:rsidP="00857902">
      <w:pPr>
        <w:snapToGrid w:val="0"/>
        <w:rPr>
          <w:rFonts w:asciiTheme="majorBidi" w:hAnsiTheme="majorBidi" w:cstheme="majorBidi"/>
          <w:color w:val="0D0D0D" w:themeColor="text1" w:themeTint="F2"/>
          <w:lang w:val="sq-AL"/>
        </w:rPr>
      </w:pPr>
    </w:p>
    <w:p w14:paraId="7EFF6784" w14:textId="77777777" w:rsidR="00A129DA" w:rsidRPr="005208DC" w:rsidRDefault="00A129DA" w:rsidP="00857902">
      <w:pPr>
        <w:snapToGrid w:val="0"/>
        <w:rPr>
          <w:rFonts w:asciiTheme="majorBidi" w:hAnsiTheme="majorBidi" w:cstheme="majorBidi"/>
          <w:color w:val="0D0D0D" w:themeColor="text1" w:themeTint="F2"/>
          <w:lang w:val="sq-AL"/>
        </w:rPr>
      </w:pPr>
    </w:p>
    <w:p w14:paraId="2A2406B2" w14:textId="6A4081E9" w:rsidR="00DB22AB" w:rsidRPr="005208DC" w:rsidRDefault="00B2062A" w:rsidP="00857902">
      <w:pPr>
        <w:pStyle w:val="Heading6"/>
        <w:numPr>
          <w:ilvl w:val="0"/>
          <w:numId w:val="4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konkurrueshmëri</w:t>
      </w:r>
    </w:p>
    <w:p w14:paraId="7A39D04F" w14:textId="1E573AA4" w:rsidR="00635B15" w:rsidRPr="005208DC" w:rsidRDefault="00635B15" w:rsidP="00857902">
      <w:pPr>
        <w:jc w:val="both"/>
        <w:rPr>
          <w:rFonts w:ascii="Times New Roman" w:eastAsia="SimSun" w:hAnsi="Times New Roman"/>
          <w:color w:val="0D0D0D" w:themeColor="text1" w:themeTint="F2"/>
          <w:lang w:val="sq-AL"/>
        </w:rPr>
      </w:pPr>
      <w:r w:rsidRPr="005208DC">
        <w:rPr>
          <w:rFonts w:ascii="Times New Roman" w:eastAsia="SimSun" w:hAnsi="Times New Roman"/>
          <w:color w:val="0D0D0D" w:themeColor="text1" w:themeTint="F2"/>
          <w:lang w:val="sq-AL"/>
        </w:rPr>
        <w:t>Krijimi i një fushë të përshtatshme për institucionet financiare jobanka për të ofruar shërbime inovative të pagesave elektronike: a) duke i lejuar ato të hapin llogari pagesash dhe të ofrojnë pagesa elektronike (gjë e cila nuk lejohet me legjislacionin aktual); b) krijimin e licencimit dhe mbikëqyrjes së institucioneve që ofrojnë shërbime pagese në përpjesëtim me rrezikun që këto institucione mbartin; c) garantimin e aksesit të tyre në sisteme pagesash; d) garantimin e aksesit tek palët e treta (TPP- ofruesit e shërbimit të informacionit mbi llogarinë dhe ofruesit e shërbimit të pagesës të informacionit mbi llogarinë) të informacionit mbi llogarinë e klientit pas pëlqimit të qartë të këtij të fundit përmes krijimit të infrastrukturës së Bankës së Hapur (</w:t>
      </w:r>
      <w:r w:rsidRPr="005208DC">
        <w:rPr>
          <w:rFonts w:ascii="Times New Roman" w:eastAsia="SimSun" w:hAnsi="Times New Roman"/>
          <w:i/>
          <w:color w:val="0D0D0D" w:themeColor="text1" w:themeTint="F2"/>
          <w:lang w:val="sq-AL"/>
        </w:rPr>
        <w:t>Open Banking</w:t>
      </w:r>
      <w:r w:rsidRPr="005208DC">
        <w:rPr>
          <w:rFonts w:ascii="Times New Roman" w:eastAsia="SimSun" w:hAnsi="Times New Roman"/>
          <w:color w:val="0D0D0D" w:themeColor="text1" w:themeTint="F2"/>
          <w:lang w:val="sq-AL"/>
        </w:rPr>
        <w:t>) si dhe e) krijimin e një kornize prudenciale për mbrojtjen e konsumatorit.</w:t>
      </w:r>
    </w:p>
    <w:p w14:paraId="77FC0886" w14:textId="0254D304" w:rsidR="00635B15" w:rsidRPr="005208DC" w:rsidRDefault="00635B15"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Hartimi i aktit ligjor që do të transpozojë Direktivën e Bashkimit Evropian “Mbi llogarinë e pagesës” pritet që të rrisë konkurrencën nëpërmjet përmirësimit të mëtejshëm të transparencës së shërbimeve të ofruara në treg si dhe rritjes së lëvizshmërisë së klientëve përmes vendosjes së procedurave të ndërrimit/ndryshimit me kosto më efektive ndërmjet ofruesve të ndryshëm të shërbimeve të pagesave.</w:t>
      </w:r>
    </w:p>
    <w:p w14:paraId="1F11CF1F" w14:textId="6C672F6B" w:rsidR="00635B15" w:rsidRPr="005208DC" w:rsidRDefault="00635B15"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Miratimi i ndryshimeve rregullative dhe në infrastrukturë për "pjesëmarrje të jo të drejtpërdrejtë" në AECH sjell përmirësimin e kushteve të tregut ndërmjet bankave dhe institucioneve financiare jobanka të cilat ofrojnë shërbime pagese (në 2020).</w:t>
      </w:r>
    </w:p>
    <w:p w14:paraId="6AEBFC45" w14:textId="1CCCB5DB" w:rsidR="00635B15" w:rsidRPr="005208DC" w:rsidRDefault="00635B15"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Mundësia e zbatimit të një platforme kombëtare të procesimit të kartave (SWITCH)/'instant payment'/</w:t>
      </w:r>
      <w:r w:rsidR="00A129DA" w:rsidRPr="005208DC">
        <w:rPr>
          <w:rFonts w:asciiTheme="majorBidi" w:hAnsiTheme="majorBidi" w:cstheme="majorBidi"/>
          <w:color w:val="0D0D0D" w:themeColor="text1" w:themeTint="F2"/>
          <w:lang w:val="sq-AL"/>
        </w:rPr>
        <w:t xml:space="preserve"> </w:t>
      </w:r>
      <w:r w:rsidRPr="005208DC">
        <w:rPr>
          <w:rFonts w:asciiTheme="majorBidi" w:hAnsiTheme="majorBidi" w:cstheme="majorBidi"/>
          <w:color w:val="0D0D0D" w:themeColor="text1" w:themeTint="F2"/>
          <w:lang w:val="sq-AL"/>
        </w:rPr>
        <w:t>pagesat në kohë reale rrit konkurrencën për procesimin e kostove të pagesave të kartave dhe atë ndërmjet pagesave me karta dhe transfertave të kreditit në formë jo letër.</w:t>
      </w:r>
    </w:p>
    <w:p w14:paraId="0A3D40CF" w14:textId="77777777" w:rsidR="00635B15" w:rsidRPr="005208DC" w:rsidRDefault="00635B15" w:rsidP="00857902">
      <w:pPr>
        <w:snapToGrid w:val="0"/>
        <w:rPr>
          <w:rFonts w:asciiTheme="majorBidi" w:hAnsiTheme="majorBidi" w:cstheme="majorBidi"/>
          <w:color w:val="0D0D0D" w:themeColor="text1" w:themeTint="F2"/>
          <w:lang w:val="sq-AL"/>
        </w:rPr>
      </w:pPr>
    </w:p>
    <w:p w14:paraId="05593FB1" w14:textId="3F4756E3" w:rsidR="00DB22AB" w:rsidRPr="005208DC" w:rsidRDefault="00B2062A" w:rsidP="00857902">
      <w:pPr>
        <w:pStyle w:val="Heading6"/>
        <w:numPr>
          <w:ilvl w:val="0"/>
          <w:numId w:val="4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Kosto e parashikuar e aktiviteteve dhe burimi i financimit</w:t>
      </w:r>
    </w:p>
    <w:p w14:paraId="297C4F7D" w14:textId="77777777" w:rsidR="00635B15" w:rsidRPr="005208DC" w:rsidRDefault="00635B15" w:rsidP="00857902">
      <w:pPr>
        <w:rPr>
          <w:rFonts w:asciiTheme="majorBidi" w:hAnsiTheme="majorBidi" w:cstheme="majorBidi"/>
          <w:i/>
          <w:color w:val="0D0D0D" w:themeColor="text1" w:themeTint="F2"/>
          <w:lang w:val="sq-AL"/>
        </w:rPr>
      </w:pPr>
      <w:r w:rsidRPr="005208DC">
        <w:rPr>
          <w:rFonts w:asciiTheme="majorBidi" w:hAnsiTheme="majorBidi" w:cstheme="majorBidi"/>
          <w:color w:val="0D0D0D" w:themeColor="text1" w:themeTint="F2"/>
          <w:lang w:val="sq-AL"/>
        </w:rPr>
        <w:t xml:space="preserve">Hartimi i akteve ligjore dhe nënligjore të parashikuara në reformë do të realizohen me asistencën teknike të Bankës Botërore dhe të financuar nga SECO. Ndryshimet në infrastrukturë do të realizohen si më poshtë: </w:t>
      </w:r>
    </w:p>
    <w:p w14:paraId="2102355F" w14:textId="77777777" w:rsidR="00635B15" w:rsidRPr="005208DC" w:rsidRDefault="00635B15" w:rsidP="00F957E8">
      <w:pPr>
        <w:pStyle w:val="ListParagraph"/>
        <w:numPr>
          <w:ilvl w:val="0"/>
          <w:numId w:val="118"/>
        </w:numPr>
        <w:rPr>
          <w:rFonts w:asciiTheme="majorBidi" w:hAnsiTheme="majorBidi" w:cstheme="majorBidi"/>
          <w: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Skema për debitimin direkt do të mbështetet në infrastrukturën ekzistuese.</w:t>
      </w:r>
    </w:p>
    <w:p w14:paraId="60991446" w14:textId="77777777" w:rsidR="00635B15" w:rsidRPr="005208DC" w:rsidRDefault="00635B15" w:rsidP="00F957E8">
      <w:pPr>
        <w:pStyle w:val="ListParagraph"/>
        <w:numPr>
          <w:ilvl w:val="0"/>
          <w:numId w:val="118"/>
        </w:numPr>
        <w:rPr>
          <w:rFonts w:asciiTheme="majorBidi" w:hAnsiTheme="majorBidi" w:cstheme="majorBidi"/>
          <w: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Sistemi për shlyerjen e pagesave kombëtare në Euro do të financohet nga Banka e Shqipërisë.</w:t>
      </w:r>
    </w:p>
    <w:p w14:paraId="2A8990F2" w14:textId="6BABBC76" w:rsidR="00635B15" w:rsidRPr="005208DC" w:rsidRDefault="00635B15" w:rsidP="00F957E8">
      <w:pPr>
        <w:pStyle w:val="ListParagraph"/>
        <w:numPr>
          <w:ilvl w:val="0"/>
          <w:numId w:val="118"/>
        </w:numPr>
        <w:rPr>
          <w:rFonts w:asciiTheme="majorBidi" w:hAnsiTheme="majorBidi" w:cstheme="majorBidi"/>
          <w: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Në vijim të studimit të fizibilitetit të kryer nga Banka Botërore, Banka e Shqipërisë do të mbështesë opsionin për zbatimin e “instant payment” si zgjidhje për tregun shqiptar. Kjo zgjidhje mund të zhvillohet/zbatohet nga aktorë privatë të tregut, në varësi të zhvillimeve në treg.</w:t>
      </w:r>
    </w:p>
    <w:p w14:paraId="7A8A5F70" w14:textId="77777777" w:rsidR="00635B15" w:rsidRPr="005208DC" w:rsidRDefault="00635B15" w:rsidP="00857902">
      <w:pPr>
        <w:snapToGrid w:val="0"/>
        <w:rPr>
          <w:rFonts w:asciiTheme="majorBidi" w:hAnsiTheme="majorBidi" w:cstheme="majorBidi"/>
          <w:color w:val="0D0D0D" w:themeColor="text1" w:themeTint="F2"/>
          <w:lang w:val="sq-AL"/>
        </w:rPr>
      </w:pPr>
    </w:p>
    <w:p w14:paraId="13EAD39F" w14:textId="6E97E85F" w:rsidR="00DB22AB" w:rsidRPr="005208DC" w:rsidRDefault="00B2062A" w:rsidP="00857902">
      <w:pPr>
        <w:pStyle w:val="Heading6"/>
        <w:numPr>
          <w:ilvl w:val="0"/>
          <w:numId w:val="4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përfundimet sociale si punësimi, ulja e varfërisë, barazia gjinore dhe aksesi në kujdesin shëndetësor</w:t>
      </w:r>
    </w:p>
    <w:p w14:paraId="6E3DFEBE" w14:textId="77777777" w:rsidR="00635B15" w:rsidRPr="005208DC" w:rsidRDefault="00635B15" w:rsidP="00857902">
      <w:pPr>
        <w:jc w:val="both"/>
        <w:rPr>
          <w:rFonts w:ascii="Times New Roman" w:eastAsia="SimSun" w:hAnsi="Times New Roman"/>
          <w:color w:val="0D0D0D" w:themeColor="text1" w:themeTint="F2"/>
          <w:lang w:val="sq-AL"/>
        </w:rPr>
      </w:pPr>
      <w:r w:rsidRPr="005208DC">
        <w:rPr>
          <w:rFonts w:ascii="Times New Roman" w:eastAsia="SimSun" w:hAnsi="Times New Roman"/>
          <w:color w:val="0D0D0D" w:themeColor="text1" w:themeTint="F2"/>
          <w:lang w:val="sq-AL"/>
        </w:rPr>
        <w:t xml:space="preserve">Duke marrë parasysh që projektligji "Mbi Shërbimet e Pagesave" nxit përfshirjen e kompanive </w:t>
      </w:r>
      <w:r w:rsidRPr="005208DC">
        <w:rPr>
          <w:rFonts w:ascii="Times New Roman" w:eastAsia="SimSun" w:hAnsi="Times New Roman"/>
          <w:i/>
          <w:color w:val="0D0D0D" w:themeColor="text1" w:themeTint="F2"/>
          <w:lang w:val="sq-AL"/>
        </w:rPr>
        <w:t>Fintech</w:t>
      </w:r>
      <w:r w:rsidRPr="005208DC">
        <w:rPr>
          <w:rFonts w:ascii="Times New Roman" w:eastAsia="SimSun" w:hAnsi="Times New Roman"/>
          <w:color w:val="0D0D0D" w:themeColor="text1" w:themeTint="F2"/>
          <w:lang w:val="sq-AL"/>
        </w:rPr>
        <w:t xml:space="preserve"> në sferën financiare, vlerësohet se hyrja e ofruesve të rinj të shërbimeve të pagesave do të përmirësojë/nxisë gjithashtu edhe punësimin.</w:t>
      </w:r>
    </w:p>
    <w:p w14:paraId="6B6977B6" w14:textId="5B62A560" w:rsidR="00635B15" w:rsidRPr="005208DC" w:rsidRDefault="00635B15" w:rsidP="00857902">
      <w:pPr>
        <w:snapToGrid w:val="0"/>
        <w:rPr>
          <w:rFonts w:asciiTheme="majorBidi" w:hAnsiTheme="majorBidi" w:cstheme="majorBidi"/>
          <w:color w:val="0D0D0D" w:themeColor="text1" w:themeTint="F2"/>
          <w:lang w:val="sq-AL"/>
        </w:rPr>
      </w:pPr>
      <w:r w:rsidRPr="005208DC">
        <w:rPr>
          <w:rFonts w:ascii="Times New Roman" w:eastAsia="SimSun" w:hAnsi="Times New Roman"/>
          <w:color w:val="0D0D0D" w:themeColor="text1" w:themeTint="F2"/>
          <w:lang w:val="sq-AL"/>
        </w:rPr>
        <w:t>Nga ana tjetër, është pranuar gjerësisht se përfshirja financiare është një komponent i rëndësishëm në uljen e varfërisë. Në këtë drejtim, duke marrë parasysh që strategjia ka si synim gjithëpërfshirës/themelor rritjen e përqindjes së popullsisë që ka akses në shërbimet financiare nga 40% në 70%, vlerësohet se strategjia ka një ndikim të drejtpërdrejtë në uljen e varfërisë</w:t>
      </w:r>
      <w:r w:rsidRPr="005208DC">
        <w:rPr>
          <w:rFonts w:asciiTheme="majorBidi" w:eastAsia="SimSun" w:hAnsiTheme="majorBidi" w:cstheme="majorBidi"/>
          <w:color w:val="0D0D0D" w:themeColor="text1" w:themeTint="F2"/>
          <w:lang w:val="sq-AL"/>
        </w:rPr>
        <w:t>.</w:t>
      </w:r>
    </w:p>
    <w:p w14:paraId="48227DB9" w14:textId="77777777" w:rsidR="00635B15" w:rsidRPr="005208DC" w:rsidRDefault="00635B15" w:rsidP="00857902">
      <w:pPr>
        <w:snapToGrid w:val="0"/>
        <w:rPr>
          <w:rFonts w:asciiTheme="majorBidi" w:hAnsiTheme="majorBidi" w:cstheme="majorBidi"/>
          <w:color w:val="0D0D0D" w:themeColor="text1" w:themeTint="F2"/>
          <w:lang w:val="sq-AL"/>
        </w:rPr>
      </w:pPr>
    </w:p>
    <w:p w14:paraId="527B603A" w14:textId="62CC0B80" w:rsidR="00DB22AB" w:rsidRPr="005208DC" w:rsidRDefault="00B2062A" w:rsidP="00857902">
      <w:pPr>
        <w:pStyle w:val="Heading6"/>
        <w:numPr>
          <w:ilvl w:val="0"/>
          <w:numId w:val="4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mjedis dhe ndryshimi i klimës</w:t>
      </w:r>
    </w:p>
    <w:p w14:paraId="040305B7" w14:textId="079FED80" w:rsidR="00635B15" w:rsidRPr="005208DC" w:rsidRDefault="00635B15"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Strategjia pritet të promovojë pagesa elektronike kundrejt pagesave në formë letër. Në këtë drejtim pritet që shërbimet e reja të pagesave do të promovojnë politika më miqësore ndaj mjedisit.</w:t>
      </w:r>
    </w:p>
    <w:p w14:paraId="02FEE4E6" w14:textId="77777777" w:rsidR="00635B15" w:rsidRPr="005208DC" w:rsidRDefault="00635B15" w:rsidP="00857902">
      <w:pPr>
        <w:snapToGrid w:val="0"/>
        <w:rPr>
          <w:rFonts w:asciiTheme="majorBidi" w:hAnsiTheme="majorBidi" w:cstheme="majorBidi"/>
          <w:color w:val="0D0D0D" w:themeColor="text1" w:themeTint="F2"/>
          <w:lang w:val="sq-AL"/>
        </w:rPr>
      </w:pPr>
    </w:p>
    <w:p w14:paraId="4D040C0C" w14:textId="441068A6" w:rsidR="00DB22AB" w:rsidRPr="005208DC" w:rsidRDefault="00B2062A" w:rsidP="00857902">
      <w:pPr>
        <w:pStyle w:val="Heading6"/>
        <w:numPr>
          <w:ilvl w:val="0"/>
          <w:numId w:val="4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Rreziqet e mundshme</w:t>
      </w:r>
    </w:p>
    <w:tbl>
      <w:tblPr>
        <w:tblStyle w:val="TableGrid"/>
        <w:tblW w:w="0" w:type="auto"/>
        <w:tblLook w:val="04A0" w:firstRow="1" w:lastRow="0" w:firstColumn="1" w:lastColumn="0" w:noHBand="0" w:noVBand="1"/>
      </w:tblPr>
      <w:tblGrid>
        <w:gridCol w:w="5665"/>
        <w:gridCol w:w="1418"/>
        <w:gridCol w:w="3260"/>
      </w:tblGrid>
      <w:tr w:rsidR="005208DC" w:rsidRPr="005208DC" w14:paraId="20F1F07C" w14:textId="77777777" w:rsidTr="00A129DA">
        <w:tc>
          <w:tcPr>
            <w:tcW w:w="5665" w:type="dxa"/>
          </w:tcPr>
          <w:p w14:paraId="7F420AA1" w14:textId="7304E411" w:rsidR="00EB0AAF"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Rreziku</w:t>
            </w:r>
          </w:p>
        </w:tc>
        <w:tc>
          <w:tcPr>
            <w:tcW w:w="1418" w:type="dxa"/>
          </w:tcPr>
          <w:p w14:paraId="239EB7FA" w14:textId="626CBFFA" w:rsidR="00EB0AAF"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Mundësia</w:t>
            </w:r>
            <w:r w:rsidR="00EB0AAF" w:rsidRPr="005208DC">
              <w:rPr>
                <w:rFonts w:asciiTheme="majorBidi" w:hAnsiTheme="majorBidi" w:cstheme="majorBidi"/>
                <w:color w:val="0D0D0D" w:themeColor="text1" w:themeTint="F2"/>
                <w:lang w:val="sq-AL"/>
              </w:rPr>
              <w:t xml:space="preserve"> (</w:t>
            </w:r>
            <w:r w:rsidRPr="005208DC">
              <w:rPr>
                <w:rFonts w:asciiTheme="majorBidi" w:hAnsiTheme="majorBidi" w:cstheme="majorBidi"/>
                <w:color w:val="0D0D0D" w:themeColor="text1" w:themeTint="F2"/>
                <w:lang w:val="sq-AL"/>
              </w:rPr>
              <w:t>e ulët, e lartë</w:t>
            </w:r>
            <w:r w:rsidR="00EB0AAF" w:rsidRPr="005208DC">
              <w:rPr>
                <w:rFonts w:asciiTheme="majorBidi" w:hAnsiTheme="majorBidi" w:cstheme="majorBidi"/>
                <w:color w:val="0D0D0D" w:themeColor="text1" w:themeTint="F2"/>
                <w:lang w:val="sq-AL"/>
              </w:rPr>
              <w:t>)</w:t>
            </w:r>
          </w:p>
        </w:tc>
        <w:tc>
          <w:tcPr>
            <w:tcW w:w="3260" w:type="dxa"/>
          </w:tcPr>
          <w:p w14:paraId="1B04C478" w14:textId="2F396971" w:rsidR="00EB0AAF"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Veprimi zbutës i parashikuar</w:t>
            </w:r>
          </w:p>
        </w:tc>
      </w:tr>
      <w:tr w:rsidR="005208DC" w:rsidRPr="005208DC" w14:paraId="07C92CED" w14:textId="77777777" w:rsidTr="00A129DA">
        <w:tc>
          <w:tcPr>
            <w:tcW w:w="5665" w:type="dxa"/>
          </w:tcPr>
          <w:p w14:paraId="280E2A70" w14:textId="61067F7A" w:rsidR="00635B15" w:rsidRPr="005208DC" w:rsidRDefault="00635B15" w:rsidP="0085790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eastAsia="sq-AL"/>
              </w:rPr>
              <w:t>Mosmiratimi i ligjeve dhe rregulloreve në nivelin e duhur në kohën e planifikuar për miratim i ligjeve të tjera të lidhura indirekt që pengojnë ose kanibalizojnë objektivat e synuara të ligjit / ndryshimeve rregullative të planifikuara</w:t>
            </w:r>
          </w:p>
        </w:tc>
        <w:tc>
          <w:tcPr>
            <w:tcW w:w="1418" w:type="dxa"/>
          </w:tcPr>
          <w:p w14:paraId="427ECF3F" w14:textId="2DC8C2C4" w:rsidR="00635B15" w:rsidRPr="005208DC" w:rsidRDefault="00A129DA" w:rsidP="00857902">
            <w:pPr>
              <w:snapToGrid w:val="0"/>
              <w:rPr>
                <w:rFonts w:asciiTheme="majorBidi" w:hAnsiTheme="majorBidi" w:cstheme="majorBidi"/>
                <w:color w:val="0D0D0D" w:themeColor="text1" w:themeTint="F2"/>
                <w:lang w:val="sq-AL"/>
              </w:rPr>
            </w:pPr>
            <w:r w:rsidRPr="005208DC">
              <w:rPr>
                <w:rFonts w:asciiTheme="majorBidi" w:eastAsia="Arial Narrow" w:hAnsiTheme="majorBidi" w:cstheme="majorBidi"/>
                <w:color w:val="0D0D0D" w:themeColor="text1" w:themeTint="F2"/>
                <w:sz w:val="22"/>
                <w:szCs w:val="22"/>
                <w:lang w:val="sq-AL"/>
              </w:rPr>
              <w:t>I ulët</w:t>
            </w:r>
          </w:p>
        </w:tc>
        <w:tc>
          <w:tcPr>
            <w:tcW w:w="3260" w:type="dxa"/>
          </w:tcPr>
          <w:p w14:paraId="15E18572" w14:textId="4F1FE981" w:rsidR="00635B15" w:rsidRPr="005208DC" w:rsidRDefault="00635B15" w:rsidP="00857902">
            <w:pPr>
              <w:snapToGrid w:val="0"/>
              <w:rPr>
                <w:rFonts w:asciiTheme="majorBidi" w:hAnsiTheme="majorBidi" w:cstheme="majorBidi"/>
                <w:color w:val="0D0D0D" w:themeColor="text1" w:themeTint="F2"/>
                <w:lang w:val="sq-AL"/>
              </w:rPr>
            </w:pPr>
            <w:r w:rsidRPr="005208DC">
              <w:rPr>
                <w:rFonts w:asciiTheme="majorBidi" w:eastAsia="Arial Narrow" w:hAnsiTheme="majorBidi" w:cstheme="majorBidi"/>
                <w:color w:val="0D0D0D" w:themeColor="text1" w:themeTint="F2"/>
                <w:sz w:val="22"/>
                <w:szCs w:val="22"/>
                <w:lang w:val="sq-AL"/>
              </w:rPr>
              <w:t xml:space="preserve">Koordinimi ndërmjet institucioneve të ndryshme nëpërmjet Komitetit Kombëtar të Sistemit të Pagesave.  </w:t>
            </w:r>
          </w:p>
        </w:tc>
      </w:tr>
      <w:tr w:rsidR="005208DC" w:rsidRPr="005208DC" w14:paraId="0702DD91" w14:textId="77777777" w:rsidTr="00A129DA">
        <w:tc>
          <w:tcPr>
            <w:tcW w:w="5665" w:type="dxa"/>
          </w:tcPr>
          <w:p w14:paraId="4BCD30A7" w14:textId="164DEAB5" w:rsidR="00635B15" w:rsidRPr="005208DC" w:rsidRDefault="00635B15" w:rsidP="00857902">
            <w:pPr>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Mungesa e përfshirjes së të gjithë palëve të interesit që kontribuojnë në hartimin, zbatimin dhe ekzekutimin e ndryshimeve në Ligje /rregullore dhe në infrastrukturat që planifikohen të zbatohen.</w:t>
            </w:r>
          </w:p>
        </w:tc>
        <w:tc>
          <w:tcPr>
            <w:tcW w:w="1418" w:type="dxa"/>
          </w:tcPr>
          <w:p w14:paraId="19D0451F" w14:textId="4631EA5C" w:rsidR="00635B15" w:rsidRPr="005208DC" w:rsidRDefault="00635B1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I ulët</w:t>
            </w:r>
          </w:p>
        </w:tc>
        <w:tc>
          <w:tcPr>
            <w:tcW w:w="3260" w:type="dxa"/>
          </w:tcPr>
          <w:p w14:paraId="65F8708E" w14:textId="03F8A5A4" w:rsidR="00635B15" w:rsidRPr="005208DC" w:rsidRDefault="00635B1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 xml:space="preserve">Koordinimi ndërmjet institucioneve të ndryshme nëpërmjet Komitetit Kombëtar të Sistemit të Pagesave.  </w:t>
            </w:r>
          </w:p>
        </w:tc>
      </w:tr>
      <w:tr w:rsidR="005208DC" w:rsidRPr="005208DC" w14:paraId="49CC6D77" w14:textId="77777777" w:rsidTr="00A129DA">
        <w:tc>
          <w:tcPr>
            <w:tcW w:w="5665" w:type="dxa"/>
          </w:tcPr>
          <w:p w14:paraId="13FABF52" w14:textId="74F72C5D" w:rsidR="00635B15" w:rsidRPr="005208DC" w:rsidRDefault="00635B15" w:rsidP="00857902">
            <w:pPr>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 xml:space="preserve">Mungesë ekspertize dhe/ose ekspertizë e kufizuar për të aplikuar ndryshime në ligj / rregullore dhe / ose zbatime teknike të parashikuara të përmirësimit të infrastrukturës </w:t>
            </w:r>
          </w:p>
        </w:tc>
        <w:tc>
          <w:tcPr>
            <w:tcW w:w="1418" w:type="dxa"/>
          </w:tcPr>
          <w:p w14:paraId="158A76BF" w14:textId="496DD6EF" w:rsidR="00635B15" w:rsidRPr="005208DC" w:rsidRDefault="00635B1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I ulët</w:t>
            </w:r>
          </w:p>
        </w:tc>
        <w:tc>
          <w:tcPr>
            <w:tcW w:w="3260" w:type="dxa"/>
          </w:tcPr>
          <w:p w14:paraId="7BFA3B93" w14:textId="230C3D52" w:rsidR="00635B15" w:rsidRPr="005208DC" w:rsidRDefault="00635B15" w:rsidP="00857902">
            <w:pPr>
              <w:snapToGrid w:val="0"/>
              <w:rPr>
                <w:rFonts w:ascii="Times New Roman" w:hAnsi="Times New Roman"/>
                <w:color w:val="0D0D0D" w:themeColor="text1" w:themeTint="F2"/>
                <w:lang w:val="sq-AL"/>
              </w:rPr>
            </w:pPr>
            <w:r w:rsidRPr="005208DC">
              <w:rPr>
                <w:rFonts w:ascii="Times New Roman" w:hAnsi="Times New Roman"/>
                <w:color w:val="0D0D0D" w:themeColor="text1" w:themeTint="F2"/>
                <w:lang w:val="sq-AL"/>
              </w:rPr>
              <w:t xml:space="preserve">Banka e Shqipërisë po punon intensivisht për të pasur ekspertizën e duhur nga Banka Botërore dhe Bankat Qendrore të </w:t>
            </w:r>
            <w:r w:rsidR="00A129DA" w:rsidRPr="005208DC">
              <w:rPr>
                <w:rFonts w:ascii="Times New Roman" w:hAnsi="Times New Roman"/>
                <w:color w:val="0D0D0D" w:themeColor="text1" w:themeTint="F2"/>
                <w:lang w:val="sq-AL"/>
              </w:rPr>
              <w:t>vendeve të Bashkimit Evropian.</w:t>
            </w:r>
          </w:p>
        </w:tc>
      </w:tr>
    </w:tbl>
    <w:p w14:paraId="3D0DEA3D" w14:textId="77777777" w:rsidR="00EB0AAF" w:rsidRPr="005208DC" w:rsidRDefault="00EB0AAF" w:rsidP="00857902">
      <w:pPr>
        <w:snapToGrid w:val="0"/>
        <w:rPr>
          <w:rFonts w:asciiTheme="majorBidi" w:hAnsiTheme="majorBidi" w:cstheme="majorBidi"/>
          <w:color w:val="0D0D0D" w:themeColor="text1" w:themeTint="F2"/>
          <w:lang w:val="sq-AL"/>
        </w:rPr>
      </w:pPr>
    </w:p>
    <w:tbl>
      <w:tblPr>
        <w:tblStyle w:val="TableGrid"/>
        <w:tblW w:w="0" w:type="auto"/>
        <w:tblLook w:val="04A0" w:firstRow="1" w:lastRow="0" w:firstColumn="1" w:lastColumn="0" w:noHBand="0" w:noVBand="1"/>
      </w:tblPr>
      <w:tblGrid>
        <w:gridCol w:w="10343"/>
      </w:tblGrid>
      <w:tr w:rsidR="005208DC" w:rsidRPr="005208DC" w14:paraId="3A7FCF2D" w14:textId="77777777" w:rsidTr="00635B15">
        <w:tc>
          <w:tcPr>
            <w:tcW w:w="10343" w:type="dxa"/>
          </w:tcPr>
          <w:p w14:paraId="269B0F19" w14:textId="548B05F1" w:rsidR="00635B15" w:rsidRPr="005208DC" w:rsidRDefault="00635B15" w:rsidP="00857902">
            <w:pPr>
              <w:shd w:val="clear" w:color="auto" w:fill="EEECE1" w:themeFill="background2"/>
              <w:snapToGrid w:val="0"/>
              <w:rPr>
                <w:rFonts w:asciiTheme="majorBidi" w:hAnsiTheme="majorBidi" w:cstheme="majorBidi"/>
                <w:b/>
                <w:i/>
                <w:color w:val="0D0D0D" w:themeColor="text1" w:themeTint="F2"/>
                <w:sz w:val="22"/>
                <w:szCs w:val="22"/>
                <w:lang w:val="sq-AL"/>
              </w:rPr>
            </w:pPr>
            <w:r w:rsidRPr="005208DC">
              <w:rPr>
                <w:rFonts w:asciiTheme="majorBidi" w:hAnsiTheme="majorBidi" w:cstheme="majorBidi"/>
                <w:b/>
                <w:i/>
                <w:color w:val="0D0D0D" w:themeColor="text1" w:themeTint="F2"/>
                <w:sz w:val="22"/>
                <w:szCs w:val="22"/>
                <w:lang w:val="sq-AL"/>
              </w:rPr>
              <w:t xml:space="preserve">- Rekomandimet kryesore të raportit mbi “Digjitalizimin e pagesave </w:t>
            </w:r>
            <w:r w:rsidR="00E50D14" w:rsidRPr="005208DC">
              <w:rPr>
                <w:rFonts w:asciiTheme="majorBidi" w:hAnsiTheme="majorBidi" w:cstheme="majorBidi"/>
                <w:b/>
                <w:i/>
                <w:color w:val="0D0D0D" w:themeColor="text1" w:themeTint="F2"/>
                <w:sz w:val="22"/>
                <w:szCs w:val="22"/>
                <w:lang w:val="sq-AL"/>
              </w:rPr>
              <w:t>të qeverisë”</w:t>
            </w:r>
          </w:p>
          <w:p w14:paraId="259EF033" w14:textId="77777777" w:rsidR="00635B15" w:rsidRPr="005208DC" w:rsidRDefault="00635B15" w:rsidP="00857902">
            <w:pPr>
              <w:shd w:val="clear" w:color="auto" w:fill="EEECE1" w:themeFill="background2"/>
              <w:snapToGrid w:val="0"/>
              <w:rPr>
                <w:rFonts w:asciiTheme="majorBidi" w:hAnsiTheme="majorBidi" w:cstheme="majorBidi"/>
                <w:color w:val="0D0D0D" w:themeColor="text1" w:themeTint="F2"/>
                <w:sz w:val="22"/>
                <w:szCs w:val="22"/>
                <w:lang w:val="sq-AL"/>
              </w:rPr>
            </w:pPr>
          </w:p>
          <w:p w14:paraId="5D719E41" w14:textId="77777777" w:rsidR="00635B15" w:rsidRPr="005208DC" w:rsidRDefault="00635B15" w:rsidP="00857902">
            <w:pPr>
              <w:shd w:val="clear" w:color="auto" w:fill="EEECE1" w:themeFill="background2"/>
              <w:snapToGrid w:val="0"/>
              <w:rPr>
                <w:rFonts w:asciiTheme="majorBidi" w:hAnsiTheme="majorBidi" w:cstheme="majorBidi"/>
                <w:b/>
                <w:i/>
                <w:color w:val="0D0D0D" w:themeColor="text1" w:themeTint="F2"/>
                <w:sz w:val="22"/>
                <w:szCs w:val="22"/>
                <w:lang w:val="sq-AL"/>
              </w:rPr>
            </w:pPr>
            <w:r w:rsidRPr="005208DC">
              <w:rPr>
                <w:rFonts w:asciiTheme="majorBidi" w:hAnsiTheme="majorBidi" w:cstheme="majorBidi"/>
                <w:b/>
                <w:i/>
                <w:color w:val="0D0D0D" w:themeColor="text1" w:themeTint="F2"/>
                <w:sz w:val="22"/>
                <w:szCs w:val="22"/>
                <w:lang w:val="sq-AL"/>
              </w:rPr>
              <w:t xml:space="preserve">Rekomandimi 1 – </w:t>
            </w:r>
            <w:r w:rsidRPr="005208DC">
              <w:rPr>
                <w:rFonts w:asciiTheme="majorBidi" w:hAnsiTheme="majorBidi" w:cstheme="majorBidi"/>
                <w:color w:val="0D0D0D" w:themeColor="text1" w:themeTint="F2"/>
                <w:sz w:val="22"/>
                <w:szCs w:val="22"/>
                <w:lang w:val="sq-AL"/>
              </w:rPr>
              <w:t xml:space="preserve">Instituti i Sigurimeve Shoqërore duhet të migrojë të gjitha pagesat për pensione dhe pagesa të tjera sociale nga pagesa në formë cash-i në transferta elektronike në llogaritë e përfituesve. </w:t>
            </w:r>
          </w:p>
          <w:p w14:paraId="6AD119A0" w14:textId="77777777" w:rsidR="00635B15" w:rsidRPr="005208DC" w:rsidRDefault="00635B15" w:rsidP="00857902">
            <w:pPr>
              <w:shd w:val="clear" w:color="auto" w:fill="EEECE1" w:themeFill="background2"/>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PRIORITETI: I LARTË</w:t>
            </w:r>
          </w:p>
          <w:p w14:paraId="72D0EC2F" w14:textId="12AA7A05" w:rsidR="00635B15" w:rsidRPr="005208DC" w:rsidRDefault="00635B15" w:rsidP="00857902">
            <w:pPr>
              <w:shd w:val="clear" w:color="auto" w:fill="EEECE1" w:themeFill="background2"/>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 xml:space="preserve">Shpërndarja e pensioneve apo e pagesave të tjera nëpërmjet llogarive bankare ka disa avantazhe për ISSh, në drejtim të uljes së kostove, uljes së humbjeve dhe të tjera. Për përfituesit, hapja e llogarive bankare, i mundëson atyre </w:t>
            </w:r>
            <w:r w:rsidR="00E50D14" w:rsidRPr="005208DC">
              <w:rPr>
                <w:rFonts w:asciiTheme="majorBidi" w:hAnsiTheme="majorBidi" w:cstheme="majorBidi"/>
                <w:color w:val="0D0D0D" w:themeColor="text1" w:themeTint="F2"/>
                <w:sz w:val="22"/>
                <w:szCs w:val="22"/>
                <w:lang w:val="sq-AL"/>
              </w:rPr>
              <w:t>familjarizimin</w:t>
            </w:r>
            <w:r w:rsidRPr="005208DC">
              <w:rPr>
                <w:rFonts w:asciiTheme="majorBidi" w:hAnsiTheme="majorBidi" w:cstheme="majorBidi"/>
                <w:color w:val="0D0D0D" w:themeColor="text1" w:themeTint="F2"/>
                <w:sz w:val="22"/>
                <w:szCs w:val="22"/>
                <w:lang w:val="sq-AL"/>
              </w:rPr>
              <w:t xml:space="preserve"> me format digjitale të pagesave dhe aksesin në shërbime të tjera financiare. ISSh duhet të përdorë transfertat në llogaritë bankare si norma kryesore e shpërndarjes së pensioneve, dhe të bëjë përjashtime të raste të </w:t>
            </w:r>
            <w:r w:rsidR="00E50D14" w:rsidRPr="005208DC">
              <w:rPr>
                <w:rFonts w:asciiTheme="majorBidi" w:hAnsiTheme="majorBidi" w:cstheme="majorBidi"/>
                <w:color w:val="0D0D0D" w:themeColor="text1" w:themeTint="F2"/>
                <w:sz w:val="22"/>
                <w:szCs w:val="22"/>
                <w:lang w:val="sq-AL"/>
              </w:rPr>
              <w:t>veçanta</w:t>
            </w:r>
            <w:r w:rsidRPr="005208DC">
              <w:rPr>
                <w:rFonts w:asciiTheme="majorBidi" w:hAnsiTheme="majorBidi" w:cstheme="majorBidi"/>
                <w:color w:val="0D0D0D" w:themeColor="text1" w:themeTint="F2"/>
                <w:sz w:val="22"/>
                <w:szCs w:val="22"/>
                <w:lang w:val="sq-AL"/>
              </w:rPr>
              <w:t xml:space="preserve"> (gjithmonë me synimin afatgjatë për të evituar pagesat cash). Llogaritë duhet të kenë kosto të ulëta ose asnjë kosto për pensionistët (e ngjashme më llogaritë e pagave, ose llogarisë bazë). </w:t>
            </w:r>
          </w:p>
          <w:p w14:paraId="5401B7FE" w14:textId="77777777" w:rsidR="00635B15" w:rsidRPr="005208DC" w:rsidRDefault="00635B15" w:rsidP="00857902">
            <w:pPr>
              <w:shd w:val="clear" w:color="auto" w:fill="EEECE1" w:themeFill="background2"/>
              <w:snapToGrid w:val="0"/>
              <w:rPr>
                <w:rFonts w:asciiTheme="majorBidi" w:hAnsiTheme="majorBidi" w:cstheme="majorBidi"/>
                <w:color w:val="0D0D0D" w:themeColor="text1" w:themeTint="F2"/>
                <w:sz w:val="22"/>
                <w:szCs w:val="22"/>
                <w:lang w:val="sq-AL"/>
              </w:rPr>
            </w:pPr>
          </w:p>
          <w:p w14:paraId="60FC5AEC" w14:textId="77777777" w:rsidR="00635B15" w:rsidRPr="005208DC" w:rsidRDefault="00635B15" w:rsidP="00857902">
            <w:pPr>
              <w:shd w:val="clear" w:color="auto" w:fill="EEECE1" w:themeFill="background2"/>
              <w:snapToGrid w:val="0"/>
              <w:rPr>
                <w:rFonts w:asciiTheme="majorBidi" w:hAnsiTheme="majorBidi" w:cstheme="majorBidi"/>
                <w:b/>
                <w:i/>
                <w:color w:val="0D0D0D" w:themeColor="text1" w:themeTint="F2"/>
                <w:sz w:val="22"/>
                <w:szCs w:val="22"/>
                <w:lang w:val="sq-AL"/>
              </w:rPr>
            </w:pPr>
            <w:r w:rsidRPr="005208DC">
              <w:rPr>
                <w:rFonts w:asciiTheme="majorBidi" w:hAnsiTheme="majorBidi" w:cstheme="majorBidi"/>
                <w:b/>
                <w:i/>
                <w:color w:val="0D0D0D" w:themeColor="text1" w:themeTint="F2"/>
                <w:sz w:val="22"/>
                <w:szCs w:val="22"/>
                <w:lang w:val="sq-AL"/>
              </w:rPr>
              <w:t>Ky rekomandim do të përmbushet me transpozimin e direktivës “Mbi llogarinë e pagesës”.</w:t>
            </w:r>
          </w:p>
          <w:p w14:paraId="4C38ECCB" w14:textId="77777777" w:rsidR="00635B15" w:rsidRPr="005208DC" w:rsidRDefault="00635B15" w:rsidP="00857902">
            <w:pPr>
              <w:shd w:val="clear" w:color="auto" w:fill="EEECE1" w:themeFill="background2"/>
              <w:snapToGrid w:val="0"/>
              <w:rPr>
                <w:rFonts w:asciiTheme="majorBidi" w:hAnsiTheme="majorBidi" w:cstheme="majorBidi"/>
                <w:b/>
                <w:i/>
                <w:color w:val="0D0D0D" w:themeColor="text1" w:themeTint="F2"/>
                <w:sz w:val="22"/>
                <w:szCs w:val="22"/>
                <w:lang w:val="sq-AL"/>
              </w:rPr>
            </w:pPr>
          </w:p>
          <w:p w14:paraId="3EE11883" w14:textId="77777777" w:rsidR="00635B15" w:rsidRPr="005208DC" w:rsidRDefault="00635B15" w:rsidP="00857902">
            <w:pPr>
              <w:shd w:val="clear" w:color="auto" w:fill="EEECE1" w:themeFill="background2"/>
              <w:snapToGrid w:val="0"/>
              <w:rPr>
                <w:rFonts w:asciiTheme="majorBidi" w:hAnsiTheme="majorBidi" w:cstheme="majorBidi"/>
                <w:b/>
                <w:i/>
                <w:color w:val="0D0D0D" w:themeColor="text1" w:themeTint="F2"/>
                <w:sz w:val="22"/>
                <w:szCs w:val="22"/>
                <w:lang w:val="sq-AL"/>
              </w:rPr>
            </w:pPr>
            <w:r w:rsidRPr="005208DC">
              <w:rPr>
                <w:rFonts w:asciiTheme="majorBidi" w:hAnsiTheme="majorBidi" w:cstheme="majorBidi"/>
                <w:b/>
                <w:i/>
                <w:color w:val="0D0D0D" w:themeColor="text1" w:themeTint="F2"/>
                <w:sz w:val="22"/>
                <w:szCs w:val="22"/>
                <w:lang w:val="sq-AL"/>
              </w:rPr>
              <w:t xml:space="preserve">Rekomandimi 2 – </w:t>
            </w:r>
            <w:r w:rsidRPr="005208DC">
              <w:rPr>
                <w:rFonts w:asciiTheme="majorBidi" w:hAnsiTheme="majorBidi" w:cstheme="majorBidi"/>
                <w:color w:val="0D0D0D" w:themeColor="text1" w:themeTint="F2"/>
                <w:sz w:val="22"/>
                <w:szCs w:val="22"/>
                <w:lang w:val="sq-AL"/>
              </w:rPr>
              <w:t xml:space="preserve">Programet e asistencës sociale që nënkuptojnë shpërndarjen periodike monetare për përfituesit duhet të kryhen nëpëmjet llogarive të përfituesve në banka apo nëpërmjet produkteve të tjera të sistemeve të pagesave. </w:t>
            </w:r>
          </w:p>
          <w:p w14:paraId="5C764197" w14:textId="77777777" w:rsidR="00635B15" w:rsidRPr="005208DC" w:rsidRDefault="00635B15" w:rsidP="00857902">
            <w:pPr>
              <w:shd w:val="clear" w:color="auto" w:fill="EEECE1" w:themeFill="background2"/>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PRIORITETI: I LARTË</w:t>
            </w:r>
          </w:p>
          <w:p w14:paraId="3FBF1C31" w14:textId="77777777" w:rsidR="00635B15" w:rsidRPr="005208DC" w:rsidRDefault="00635B15" w:rsidP="00857902">
            <w:pPr>
              <w:shd w:val="clear" w:color="auto" w:fill="EEECE1" w:themeFill="background2"/>
              <w:snapToGrid w:val="0"/>
              <w:jc w:val="both"/>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 xml:space="preserve">Me shumë pak përjashtime, aktualisht pagesat e programeve sociale bëhen në cash. Sikurse në rasin e pensioneve, kryerja e këtyre pagesave me llogari bankare ka disa avantazhe, si për adminstratorët e programeve sociale, ashtu edhe për përfituesit. Sikurse në rekomandimin #1, përfituesit duhet ti marrin përfitimet nëpërmjet llogarive që kanë kosto të ulët ose pa kosto (llogaria bazë). Llogarimbajtësit duhet të kenë akses nga disa pika të shpeshta tek llogaria e tyre. </w:t>
            </w:r>
          </w:p>
          <w:p w14:paraId="21A95194" w14:textId="77777777" w:rsidR="00635B15" w:rsidRPr="005208DC" w:rsidRDefault="00635B15" w:rsidP="00857902">
            <w:pPr>
              <w:shd w:val="clear" w:color="auto" w:fill="EEECE1" w:themeFill="background2"/>
              <w:snapToGrid w:val="0"/>
              <w:rPr>
                <w:rFonts w:asciiTheme="majorBidi" w:hAnsiTheme="majorBidi" w:cstheme="majorBidi"/>
                <w:b/>
                <w:i/>
                <w:color w:val="0D0D0D" w:themeColor="text1" w:themeTint="F2"/>
                <w:sz w:val="22"/>
                <w:szCs w:val="22"/>
                <w:lang w:val="sq-AL"/>
              </w:rPr>
            </w:pPr>
            <w:r w:rsidRPr="005208DC">
              <w:rPr>
                <w:rFonts w:asciiTheme="majorBidi" w:hAnsiTheme="majorBidi" w:cstheme="majorBidi"/>
                <w:b/>
                <w:i/>
                <w:color w:val="0D0D0D" w:themeColor="text1" w:themeTint="F2"/>
                <w:sz w:val="22"/>
                <w:szCs w:val="22"/>
                <w:lang w:val="sq-AL"/>
              </w:rPr>
              <w:t xml:space="preserve">Kjo do të realizohet nëpërmjet transpozimit të direktivës “Mbi llogarinë e pagesës” dhe nëpërmjet zbatimit të ligjit “Mbi shërbimet e pagesave”, i cili krijon mundësi për aktorë të sinjë dhe shërbime të reja nëpërmjet zgjerimit të agjentëve bankarë dhe digjitalë. </w:t>
            </w:r>
          </w:p>
          <w:p w14:paraId="77AB6311" w14:textId="77777777" w:rsidR="00635B15" w:rsidRPr="005208DC" w:rsidRDefault="00635B15" w:rsidP="00857902">
            <w:pPr>
              <w:shd w:val="clear" w:color="auto" w:fill="EEECE1" w:themeFill="background2"/>
              <w:snapToGrid w:val="0"/>
              <w:jc w:val="both"/>
              <w:rPr>
                <w:rFonts w:asciiTheme="majorBidi" w:hAnsiTheme="majorBidi" w:cstheme="majorBidi"/>
                <w:color w:val="0D0D0D" w:themeColor="text1" w:themeTint="F2"/>
                <w:sz w:val="22"/>
                <w:szCs w:val="22"/>
                <w:lang w:val="sq-AL"/>
              </w:rPr>
            </w:pPr>
          </w:p>
          <w:p w14:paraId="05048E3F" w14:textId="77777777" w:rsidR="00635B15" w:rsidRPr="005208DC" w:rsidRDefault="00635B15" w:rsidP="00857902">
            <w:pPr>
              <w:shd w:val="clear" w:color="auto" w:fill="EEECE1" w:themeFill="background2"/>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b/>
                <w:i/>
                <w:color w:val="0D0D0D" w:themeColor="text1" w:themeTint="F2"/>
                <w:sz w:val="22"/>
                <w:szCs w:val="22"/>
                <w:lang w:val="sq-AL"/>
              </w:rPr>
              <w:t xml:space="preserve">Rekomandimi 3 </w:t>
            </w:r>
            <w:r w:rsidRPr="005208DC">
              <w:rPr>
                <w:rFonts w:asciiTheme="majorBidi" w:hAnsiTheme="majorBidi" w:cstheme="majorBidi"/>
                <w:color w:val="0D0D0D" w:themeColor="text1" w:themeTint="F2"/>
                <w:sz w:val="22"/>
                <w:szCs w:val="22"/>
                <w:lang w:val="sq-AL"/>
              </w:rPr>
              <w:t xml:space="preserve">– Ministria e Financave dhe Ekonomisë duhet të marrë në konsideratë opsionin që transfertat për pagat e administratës të kryhen nga llogaria që ka në Bankën e Shqipërisë drejt llogarive të përfituesve, pa përdorur palë të treat. </w:t>
            </w:r>
          </w:p>
          <w:p w14:paraId="1AD1BF29" w14:textId="77777777" w:rsidR="00635B15" w:rsidRPr="005208DC" w:rsidRDefault="00635B15" w:rsidP="00857902">
            <w:pPr>
              <w:shd w:val="clear" w:color="auto" w:fill="EEECE1" w:themeFill="background2"/>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PRIORITETI: MESATAR</w:t>
            </w:r>
          </w:p>
          <w:p w14:paraId="7B9F4B2D" w14:textId="77777777" w:rsidR="00635B15" w:rsidRPr="005208DC" w:rsidRDefault="00635B15" w:rsidP="00857902">
            <w:pPr>
              <w:shd w:val="clear" w:color="auto" w:fill="EEECE1" w:themeFill="background2"/>
              <w:snapToGrid w:val="0"/>
              <w:jc w:val="both"/>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 xml:space="preserve">Në këtë mënyrë, punonjësit e administratës publike mund të zgjedhin vetë bankën ku bëhet pagesa. Sipas këtij skenari, probabiliteti që individët të ruajnë paranë dhe të përdorin instrumente të pagesave elektronike është i lartë. Gjithashtu, pasja e një llogarie i mundëson individët të ndryshojnë bankën në rast se nuk janë të kënaqur me shërbimin në bankën aktuale. Ministria e Financave dhe Ekonomisë duhet të ekzekutojë transaksionet duke përdorur llogarinë e saj në Bankën e Shqipërisë nëpërmjet AECH. Ajo duhet të marrë informacion nga njësitë përkatëse mbi llogaritë e përfituesve dhe shumat përkatëse, dhe këto njësi janë përgjegjësi për saktësinë e informacionit. Me qëllim shmangien e gabimeve, proceset duhet të jenë të automatizuara. Në një process që përfshin bankat, ministrinë dhe njësitë e tjera qeverisëse, përputhja e transfertave të pagave është pothuajse automatizuar, duke u kujdesur që pagesa është kredituar në llogarinë e përfituesit. </w:t>
            </w:r>
          </w:p>
          <w:p w14:paraId="291401E6" w14:textId="77777777" w:rsidR="00635B15" w:rsidRPr="005208DC" w:rsidRDefault="00635B15" w:rsidP="00857902">
            <w:pPr>
              <w:shd w:val="clear" w:color="auto" w:fill="EEECE1" w:themeFill="background2"/>
              <w:snapToGrid w:val="0"/>
              <w:jc w:val="both"/>
              <w:rPr>
                <w:rFonts w:asciiTheme="majorBidi" w:hAnsiTheme="majorBidi" w:cstheme="majorBidi"/>
                <w:color w:val="0D0D0D" w:themeColor="text1" w:themeTint="F2"/>
                <w:sz w:val="22"/>
                <w:szCs w:val="22"/>
                <w:lang w:val="sq-AL"/>
              </w:rPr>
            </w:pPr>
            <w:r w:rsidRPr="005208DC">
              <w:rPr>
                <w:rFonts w:asciiTheme="majorBidi" w:hAnsiTheme="majorBidi" w:cstheme="majorBidi"/>
                <w:b/>
                <w:i/>
                <w:color w:val="0D0D0D" w:themeColor="text1" w:themeTint="F2"/>
                <w:sz w:val="22"/>
                <w:szCs w:val="22"/>
                <w:lang w:val="sq-AL"/>
              </w:rPr>
              <w:t xml:space="preserve">Ky rekomandim i adresohet Ministrisë së Financave dhe Ekonomisë, dhe Departamentit të Administratës Publike. </w:t>
            </w:r>
          </w:p>
          <w:p w14:paraId="7F999477" w14:textId="77777777" w:rsidR="00635B15" w:rsidRPr="005208DC" w:rsidRDefault="00635B15" w:rsidP="00857902">
            <w:pPr>
              <w:shd w:val="clear" w:color="auto" w:fill="EEECE1" w:themeFill="background2"/>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b/>
                <w:i/>
                <w:color w:val="0D0D0D" w:themeColor="text1" w:themeTint="F2"/>
                <w:sz w:val="22"/>
                <w:szCs w:val="22"/>
                <w:lang w:val="sq-AL"/>
              </w:rPr>
              <w:t xml:space="preserve">Rekomandimi 4 </w:t>
            </w:r>
            <w:r w:rsidRPr="005208DC">
              <w:rPr>
                <w:rFonts w:asciiTheme="majorBidi" w:hAnsiTheme="majorBidi" w:cstheme="majorBidi"/>
                <w:color w:val="0D0D0D" w:themeColor="text1" w:themeTint="F2"/>
                <w:sz w:val="22"/>
                <w:szCs w:val="22"/>
                <w:lang w:val="sq-AL"/>
              </w:rPr>
              <w:t xml:space="preserve">– Zgjerimi i përdorimit të e-Albania në terma të shërbimeve që mundësojnë pagesën nëpërmjet portalit dhe gamës së instrumenteve që mund të përdoren (përvec kartave). </w:t>
            </w:r>
          </w:p>
          <w:p w14:paraId="41E1971C" w14:textId="77777777" w:rsidR="00635B15" w:rsidRPr="005208DC" w:rsidRDefault="00635B15" w:rsidP="00857902">
            <w:pPr>
              <w:shd w:val="clear" w:color="auto" w:fill="EEECE1" w:themeFill="background2"/>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PRIORITETI: I LARTË</w:t>
            </w:r>
          </w:p>
          <w:p w14:paraId="066EED02" w14:textId="77777777" w:rsidR="00635B15" w:rsidRPr="005208DC" w:rsidRDefault="00635B15" w:rsidP="00857902">
            <w:pPr>
              <w:shd w:val="clear" w:color="auto" w:fill="EEECE1" w:themeFill="background2"/>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Në këtë drejtim janë ndërmarrë disa hapa nga E-Albania, të prezantuara në takimin e Komitetit Kombëtar të Sistemit të Pagesave</w:t>
            </w:r>
            <w:r w:rsidRPr="005208DC">
              <w:rPr>
                <w:rStyle w:val="FootnoteReference"/>
                <w:rFonts w:asciiTheme="majorBidi" w:hAnsiTheme="majorBidi" w:cstheme="majorBidi"/>
                <w:color w:val="0D0D0D" w:themeColor="text1" w:themeTint="F2"/>
                <w:sz w:val="22"/>
                <w:szCs w:val="22"/>
                <w:lang w:val="sq-AL"/>
              </w:rPr>
              <w:footnoteReference w:id="5"/>
            </w:r>
            <w:r w:rsidRPr="005208DC">
              <w:rPr>
                <w:rFonts w:asciiTheme="majorBidi" w:hAnsiTheme="majorBidi" w:cstheme="majorBidi"/>
                <w:color w:val="0D0D0D" w:themeColor="text1" w:themeTint="F2"/>
                <w:sz w:val="22"/>
                <w:szCs w:val="22"/>
                <w:lang w:val="sq-AL"/>
              </w:rPr>
              <w:t>.</w:t>
            </w:r>
          </w:p>
          <w:p w14:paraId="6887256A" w14:textId="77777777" w:rsidR="00635B15" w:rsidRPr="005208DC" w:rsidRDefault="00635B15" w:rsidP="00857902">
            <w:pPr>
              <w:shd w:val="clear" w:color="auto" w:fill="EEECE1" w:themeFill="background2"/>
              <w:snapToGrid w:val="0"/>
              <w:rPr>
                <w:rFonts w:asciiTheme="majorBidi" w:hAnsiTheme="majorBidi" w:cstheme="majorBidi"/>
                <w:color w:val="0D0D0D" w:themeColor="text1" w:themeTint="F2"/>
                <w:sz w:val="22"/>
                <w:szCs w:val="22"/>
                <w:lang w:val="sq-AL"/>
              </w:rPr>
            </w:pPr>
          </w:p>
          <w:p w14:paraId="23B33C7C" w14:textId="77777777" w:rsidR="00635B15" w:rsidRPr="005208DC" w:rsidRDefault="00635B15" w:rsidP="00857902">
            <w:pPr>
              <w:shd w:val="clear" w:color="auto" w:fill="EEECE1" w:themeFill="background2"/>
              <w:snapToGrid w:val="0"/>
              <w:jc w:val="both"/>
              <w:rPr>
                <w:rFonts w:asciiTheme="majorBidi" w:hAnsiTheme="majorBidi" w:cstheme="majorBidi"/>
                <w:color w:val="0D0D0D" w:themeColor="text1" w:themeTint="F2"/>
                <w:sz w:val="22"/>
                <w:szCs w:val="22"/>
                <w:lang w:val="sq-AL"/>
              </w:rPr>
            </w:pPr>
            <w:r w:rsidRPr="005208DC">
              <w:rPr>
                <w:rFonts w:asciiTheme="majorBidi" w:hAnsiTheme="majorBidi" w:cstheme="majorBidi"/>
                <w:b/>
                <w:i/>
                <w:color w:val="0D0D0D" w:themeColor="text1" w:themeTint="F2"/>
                <w:sz w:val="22"/>
                <w:szCs w:val="22"/>
                <w:lang w:val="sq-AL"/>
              </w:rPr>
              <w:t xml:space="preserve">Rekomandimi 5 – </w:t>
            </w:r>
            <w:r w:rsidRPr="005208DC">
              <w:rPr>
                <w:rFonts w:asciiTheme="majorBidi" w:hAnsiTheme="majorBidi" w:cstheme="majorBidi"/>
                <w:color w:val="0D0D0D" w:themeColor="text1" w:themeTint="F2"/>
                <w:sz w:val="22"/>
                <w:szCs w:val="22"/>
                <w:lang w:val="sq-AL"/>
              </w:rPr>
              <w:t xml:space="preserve">Duhet riparë struktura për komisionet e transaksioneve që lidhen me pagesa për shërbimet publike. Një nga objektivat kryesorë të këtij rishikimi është inkurajimi i përdorimit të instrumenteve elektronikë duke diferencuar komisionet për këto alternative, kunddrejt përdorimit të cash-it. </w:t>
            </w:r>
          </w:p>
          <w:p w14:paraId="2E2426E2" w14:textId="77777777" w:rsidR="00635B15" w:rsidRPr="005208DC" w:rsidRDefault="00635B15" w:rsidP="00857902">
            <w:pPr>
              <w:shd w:val="clear" w:color="auto" w:fill="EEECE1" w:themeFill="background2"/>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 xml:space="preserve">PRIORITETI: MESATAR </w:t>
            </w:r>
          </w:p>
          <w:p w14:paraId="3BF46AAB" w14:textId="77777777" w:rsidR="00635B15" w:rsidRPr="005208DC" w:rsidRDefault="00635B15" w:rsidP="00857902">
            <w:pPr>
              <w:shd w:val="clear" w:color="auto" w:fill="EEECE1" w:themeFill="background2"/>
              <w:snapToGrid w:val="0"/>
              <w:jc w:val="both"/>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Struktura e vendosjes së cmimit duhet të ndihmojë në promovimin e përdorimit të instrumenteve elektronike, si internet banking, platforma të pagesave me cellular dhe me karta pagesash. Me fjalë të tjera, komisionet për pagesa për shërbimet publike duhet të jenë shumë të ulëta, sesa kur këto pagesa bëhen me cash pranë sporteleve. Në këtë drejtim, rishikimi i rregulloreve të AIPS</w:t>
            </w:r>
            <w:r w:rsidRPr="005208DC">
              <w:rPr>
                <w:rStyle w:val="FootnoteReference"/>
                <w:rFonts w:asciiTheme="majorBidi" w:hAnsiTheme="majorBidi" w:cstheme="majorBidi"/>
                <w:color w:val="0D0D0D" w:themeColor="text1" w:themeTint="F2"/>
                <w:sz w:val="22"/>
                <w:szCs w:val="22"/>
                <w:lang w:val="sq-AL"/>
              </w:rPr>
              <w:footnoteReference w:id="6"/>
            </w:r>
            <w:r w:rsidRPr="005208DC">
              <w:rPr>
                <w:rFonts w:asciiTheme="majorBidi" w:hAnsiTheme="majorBidi" w:cstheme="majorBidi"/>
                <w:color w:val="0D0D0D" w:themeColor="text1" w:themeTint="F2"/>
                <w:sz w:val="22"/>
                <w:szCs w:val="22"/>
                <w:lang w:val="sq-AL"/>
              </w:rPr>
              <w:t xml:space="preserve"> dhe AECH</w:t>
            </w:r>
            <w:r w:rsidRPr="005208DC">
              <w:rPr>
                <w:rStyle w:val="FootnoteReference"/>
                <w:rFonts w:asciiTheme="majorBidi" w:hAnsiTheme="majorBidi" w:cstheme="majorBidi"/>
                <w:color w:val="0D0D0D" w:themeColor="text1" w:themeTint="F2"/>
                <w:sz w:val="22"/>
                <w:szCs w:val="22"/>
                <w:lang w:val="sq-AL"/>
              </w:rPr>
              <w:footnoteReference w:id="7"/>
            </w:r>
            <w:r w:rsidRPr="005208DC">
              <w:rPr>
                <w:rFonts w:asciiTheme="majorBidi" w:hAnsiTheme="majorBidi" w:cstheme="majorBidi"/>
                <w:color w:val="0D0D0D" w:themeColor="text1" w:themeTint="F2"/>
                <w:sz w:val="22"/>
                <w:szCs w:val="22"/>
                <w:lang w:val="sq-AL"/>
              </w:rPr>
              <w:t xml:space="preserve"> në vitin 2020, marrin parasysh këtë rekomandim, duke referuar se të gjitha transfertat elektronike të kreditit që shlyhen me këto sisteme duhet të jenë me komisione 50% më të ulëta sesa transfertat në letër, ndërsa për transfertat elektrinike deri në 20,000 nuk duhet të ketë komision. </w:t>
            </w:r>
          </w:p>
          <w:p w14:paraId="2AACEF4D" w14:textId="77777777" w:rsidR="00635B15" w:rsidRPr="005208DC" w:rsidRDefault="00635B15" w:rsidP="00857902">
            <w:pPr>
              <w:shd w:val="clear" w:color="auto" w:fill="EEECE1" w:themeFill="background2"/>
              <w:snapToGrid w:val="0"/>
              <w:jc w:val="both"/>
              <w:rPr>
                <w:rFonts w:asciiTheme="majorBidi" w:hAnsiTheme="majorBidi" w:cstheme="majorBidi"/>
                <w:color w:val="0D0D0D" w:themeColor="text1" w:themeTint="F2"/>
                <w:sz w:val="22"/>
                <w:szCs w:val="22"/>
                <w:lang w:val="sq-AL"/>
              </w:rPr>
            </w:pPr>
          </w:p>
          <w:p w14:paraId="476513E5" w14:textId="77777777" w:rsidR="00635B15" w:rsidRPr="005208DC" w:rsidRDefault="00635B15" w:rsidP="00857902">
            <w:pPr>
              <w:shd w:val="clear" w:color="auto" w:fill="EEECE1" w:themeFill="background2"/>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b/>
                <w:i/>
                <w:color w:val="0D0D0D" w:themeColor="text1" w:themeTint="F2"/>
                <w:sz w:val="22"/>
                <w:szCs w:val="22"/>
                <w:lang w:val="sq-AL"/>
              </w:rPr>
              <w:t xml:space="preserve">Rekomandimi 6 </w:t>
            </w:r>
            <w:r w:rsidRPr="005208DC">
              <w:rPr>
                <w:rFonts w:asciiTheme="majorBidi" w:hAnsiTheme="majorBidi" w:cstheme="majorBidi"/>
                <w:color w:val="0D0D0D" w:themeColor="text1" w:themeTint="F2"/>
                <w:sz w:val="22"/>
                <w:szCs w:val="22"/>
                <w:lang w:val="sq-AL"/>
              </w:rPr>
              <w:t xml:space="preserve">Të promovohet konkurrenca në mbledhjen e të ardhurave nga shërbimet publike nga entitete publike, me akses të drejpërdrejtë në AECH. </w:t>
            </w:r>
          </w:p>
          <w:p w14:paraId="0BB91781" w14:textId="77777777" w:rsidR="00635B15" w:rsidRPr="005208DC" w:rsidRDefault="00635B15" w:rsidP="00857902">
            <w:pPr>
              <w:shd w:val="clear" w:color="auto" w:fill="EEECE1" w:themeFill="background2"/>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PRIORITETI: MESATAR</w:t>
            </w:r>
          </w:p>
          <w:p w14:paraId="56C76523" w14:textId="77777777" w:rsidR="00635B15" w:rsidRPr="005208DC" w:rsidRDefault="00635B15" w:rsidP="00857902">
            <w:pPr>
              <w:shd w:val="clear" w:color="auto" w:fill="EEECE1" w:themeFill="background2"/>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sz w:val="22"/>
                <w:szCs w:val="22"/>
                <w:lang w:val="sq-AL"/>
              </w:rPr>
              <w:t>Kjo është realizuar me rishikimet që janë bërë në rregulloret për AIPS dhe AECH në 2021.</w:t>
            </w:r>
          </w:p>
        </w:tc>
      </w:tr>
    </w:tbl>
    <w:p w14:paraId="761AB4E3" w14:textId="77777777" w:rsidR="00635B15" w:rsidRPr="005208DC" w:rsidRDefault="00635B15" w:rsidP="00857902">
      <w:pPr>
        <w:snapToGrid w:val="0"/>
        <w:rPr>
          <w:rFonts w:asciiTheme="majorBidi" w:hAnsiTheme="majorBidi" w:cstheme="majorBidi"/>
          <w:color w:val="0D0D0D" w:themeColor="text1" w:themeTint="F2"/>
          <w:lang w:val="sq-AL"/>
        </w:rPr>
      </w:pPr>
    </w:p>
    <w:p w14:paraId="25C45BDA" w14:textId="77777777" w:rsidR="002253AA" w:rsidRPr="005208DC" w:rsidRDefault="002253AA" w:rsidP="00857902">
      <w:pPr>
        <w:snapToGrid w:val="0"/>
        <w:rPr>
          <w:rFonts w:asciiTheme="majorBidi" w:hAnsiTheme="majorBidi" w:cstheme="majorBidi"/>
          <w:color w:val="0D0D0D" w:themeColor="text1" w:themeTint="F2"/>
          <w:lang w:val="sq-AL"/>
        </w:rPr>
      </w:pPr>
    </w:p>
    <w:p w14:paraId="49B76A94" w14:textId="4257E90D" w:rsidR="00DF1828" w:rsidRPr="005208DC" w:rsidRDefault="00DF1828" w:rsidP="00857902">
      <w:pPr>
        <w:pStyle w:val="Heading2"/>
        <w:numPr>
          <w:ilvl w:val="1"/>
          <w:numId w:val="1"/>
        </w:numPr>
        <w:snapToGrid w:val="0"/>
        <w:rPr>
          <w:rFonts w:asciiTheme="majorBidi" w:hAnsiTheme="majorBidi" w:cstheme="majorBidi"/>
          <w:b/>
          <w:color w:val="0D0D0D" w:themeColor="text1" w:themeTint="F2"/>
          <w:lang w:val="sq-AL"/>
        </w:rPr>
      </w:pPr>
      <w:bookmarkStart w:id="70" w:name="_Toc484076184"/>
      <w:bookmarkStart w:id="71" w:name="_Toc62805595"/>
      <w:bookmarkStart w:id="72" w:name="_Toc92721143"/>
      <w:r w:rsidRPr="005208DC">
        <w:rPr>
          <w:rFonts w:asciiTheme="majorBidi" w:hAnsiTheme="majorBidi" w:cstheme="majorBidi"/>
          <w:b/>
          <w:color w:val="0D0D0D" w:themeColor="text1" w:themeTint="F2"/>
          <w:lang w:val="sq-AL"/>
        </w:rPr>
        <w:t>Anal</w:t>
      </w:r>
      <w:r w:rsidR="005E44FE" w:rsidRPr="005208DC">
        <w:rPr>
          <w:rFonts w:asciiTheme="majorBidi" w:hAnsiTheme="majorBidi" w:cstheme="majorBidi"/>
          <w:b/>
          <w:color w:val="0D0D0D" w:themeColor="text1" w:themeTint="F2"/>
          <w:lang w:val="sq-AL"/>
        </w:rPr>
        <w:t>iza e</w:t>
      </w:r>
      <w:r w:rsidR="00C505A7" w:rsidRPr="005208DC">
        <w:rPr>
          <w:rFonts w:asciiTheme="majorBidi" w:hAnsiTheme="majorBidi" w:cstheme="majorBidi"/>
          <w:b/>
          <w:color w:val="0D0D0D" w:themeColor="text1" w:themeTint="F2"/>
          <w:lang w:val="sq-AL"/>
        </w:rPr>
        <w:t xml:space="preserve"> </w:t>
      </w:r>
      <w:r w:rsidR="005E44FE" w:rsidRPr="005208DC">
        <w:rPr>
          <w:rFonts w:asciiTheme="majorBidi" w:hAnsiTheme="majorBidi" w:cstheme="majorBidi"/>
          <w:b/>
          <w:color w:val="0D0D0D" w:themeColor="text1" w:themeTint="F2"/>
          <w:lang w:val="sq-AL"/>
        </w:rPr>
        <w:t xml:space="preserve">pengesave </w:t>
      </w:r>
      <w:r w:rsidR="00C505A7" w:rsidRPr="005208DC">
        <w:rPr>
          <w:rFonts w:asciiTheme="majorBidi" w:hAnsiTheme="majorBidi" w:cstheme="majorBidi"/>
          <w:b/>
          <w:color w:val="0D0D0D" w:themeColor="text1" w:themeTint="F2"/>
          <w:lang w:val="sq-AL"/>
        </w:rPr>
        <w:t>n</w:t>
      </w:r>
      <w:r w:rsidR="005E44FE" w:rsidRPr="005208DC">
        <w:rPr>
          <w:rFonts w:asciiTheme="majorBidi" w:hAnsiTheme="majorBidi" w:cstheme="majorBidi"/>
          <w:b/>
          <w:color w:val="0D0D0D" w:themeColor="text1" w:themeTint="F2"/>
          <w:lang w:val="sq-AL"/>
        </w:rPr>
        <w:t>ë fusha të tjera</w:t>
      </w:r>
      <w:bookmarkEnd w:id="70"/>
      <w:bookmarkEnd w:id="71"/>
      <w:bookmarkEnd w:id="72"/>
    </w:p>
    <w:p w14:paraId="1D4360B8" w14:textId="77777777" w:rsidR="00806ED4" w:rsidRPr="005208DC" w:rsidRDefault="00806ED4" w:rsidP="00857902">
      <w:pPr>
        <w:rPr>
          <w:rFonts w:asciiTheme="majorBidi" w:hAnsiTheme="majorBidi" w:cstheme="majorBidi"/>
          <w:color w:val="0D0D0D" w:themeColor="text1" w:themeTint="F2"/>
          <w:lang w:val="sq-AL"/>
        </w:rPr>
      </w:pPr>
    </w:p>
    <w:p w14:paraId="03F49C5E" w14:textId="21FCD8D4" w:rsidR="00C21F03" w:rsidRPr="005208DC" w:rsidRDefault="002C5872" w:rsidP="00857902">
      <w:pPr>
        <w:pStyle w:val="Heading3"/>
        <w:numPr>
          <w:ilvl w:val="2"/>
          <w:numId w:val="1"/>
        </w:numPr>
        <w:snapToGrid w:val="0"/>
        <w:rPr>
          <w:rFonts w:asciiTheme="majorBidi" w:hAnsiTheme="majorBidi" w:cstheme="majorBidi"/>
          <w:b/>
          <w:color w:val="0D0D0D" w:themeColor="text1" w:themeTint="F2"/>
          <w:sz w:val="24"/>
          <w:szCs w:val="24"/>
          <w:lang w:val="sq-AL"/>
        </w:rPr>
      </w:pPr>
      <w:bookmarkStart w:id="73" w:name="_Toc484076186"/>
      <w:bookmarkStart w:id="74" w:name="_Toc62805596"/>
      <w:bookmarkStart w:id="75" w:name="_Toc92721144"/>
      <w:r w:rsidRPr="005208DC">
        <w:rPr>
          <w:rFonts w:asciiTheme="majorBidi" w:hAnsiTheme="majorBidi" w:cstheme="majorBidi"/>
          <w:b/>
          <w:color w:val="0D0D0D" w:themeColor="text1" w:themeTint="F2"/>
          <w:sz w:val="24"/>
          <w:szCs w:val="24"/>
          <w:lang w:val="sq-AL"/>
        </w:rPr>
        <w:t>Menaxhimi i Financave Publike</w:t>
      </w:r>
      <w:bookmarkEnd w:id="75"/>
    </w:p>
    <w:p w14:paraId="5ED98F65" w14:textId="6AE9B220" w:rsidR="00DE0F32" w:rsidRPr="005208DC" w:rsidRDefault="00B2062A" w:rsidP="00857902">
      <w:pPr>
        <w:pStyle w:val="Heading4"/>
        <w:numPr>
          <w:ilvl w:val="0"/>
          <w:numId w:val="78"/>
        </w:numPr>
        <w:snapToGrid w:val="0"/>
        <w:ind w:left="567" w:hanging="283"/>
        <w:rPr>
          <w:rFonts w:asciiTheme="majorBidi" w:hAnsiTheme="majorBidi" w:cstheme="majorBidi"/>
          <w:b w:val="0"/>
          <w:i/>
          <w:color w:val="0D0D0D" w:themeColor="text1" w:themeTint="F2"/>
          <w:sz w:val="24"/>
          <w:szCs w:val="24"/>
          <w:lang w:val="sq-AL"/>
        </w:rPr>
      </w:pPr>
      <w:r w:rsidRPr="005208DC">
        <w:rPr>
          <w:rFonts w:asciiTheme="majorBidi" w:hAnsiTheme="majorBidi" w:cstheme="majorBidi"/>
          <w:b w:val="0"/>
          <w:i/>
          <w:color w:val="0D0D0D" w:themeColor="text1" w:themeTint="F2"/>
          <w:sz w:val="24"/>
          <w:szCs w:val="24"/>
          <w:lang w:val="sq-AL"/>
        </w:rPr>
        <w:t>Analiza e pengesave kryesore</w:t>
      </w:r>
    </w:p>
    <w:p w14:paraId="19FA2688" w14:textId="77777777" w:rsidR="005721FF" w:rsidRPr="005208DC" w:rsidRDefault="005721FF"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Pengesat kryesore që lidhen me Investimet Strategjike Publike janë renditur si më poshtë:</w:t>
      </w:r>
    </w:p>
    <w:p w14:paraId="68135C6B" w14:textId="77777777" w:rsidR="005721FF" w:rsidRPr="005208DC" w:rsidRDefault="005721FF" w:rsidP="00857902">
      <w:pPr>
        <w:pStyle w:val="ListParagraph"/>
        <w:numPr>
          <w:ilvl w:val="1"/>
          <w:numId w:val="78"/>
        </w:numPr>
        <w:snapToGrid w:val="0"/>
        <w:ind w:left="567"/>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Planet tepër optimiste, dizajni joadekuat i projekteve, ndarja e tepërt e projekteve dhe kapaciteti relativisht i dobët i menaxhimit të projekteve kanë kontribuar në joefikasitetin në ofrimin e PIM. Këto pengesa përmenden edhe në vlerësimin e menaxhimit të investimeve publike (PIMA) në vitin 2016 të kryer nga FMN.</w:t>
      </w:r>
    </w:p>
    <w:p w14:paraId="511BB62C" w14:textId="49CD5202" w:rsidR="005721FF" w:rsidRPr="005208DC" w:rsidRDefault="005721FF" w:rsidP="00857902">
      <w:pPr>
        <w:pStyle w:val="ListParagraph"/>
        <w:numPr>
          <w:ilvl w:val="1"/>
          <w:numId w:val="78"/>
        </w:numPr>
        <w:snapToGrid w:val="0"/>
        <w:ind w:left="567"/>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Shkrirja e Ministrisë së Ekonomisë me Ministrinë e Financave ka paraqitur probleme të koordinimit me menaxhimin e PPP-ve brenda kornizës së përgjithshme të PIM.</w:t>
      </w:r>
    </w:p>
    <w:p w14:paraId="420568A6" w14:textId="2F2894B2" w:rsidR="005721FF" w:rsidRPr="005208DC" w:rsidRDefault="005721FF"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Brenda MFE-së, kapaciteti për vlerësimin, monitorimin dhe menaxhimin e të gjitha investimeve publike duke përfshirë PPP-të është i fragmentuar.</w:t>
      </w:r>
    </w:p>
    <w:p w14:paraId="648C733B" w14:textId="77777777" w:rsidR="005721FF" w:rsidRPr="005208DC" w:rsidRDefault="005721FF" w:rsidP="00857902">
      <w:pPr>
        <w:snapToGrid w:val="0"/>
        <w:rPr>
          <w:rFonts w:asciiTheme="majorBidi" w:hAnsiTheme="majorBidi" w:cstheme="majorBidi"/>
          <w:color w:val="0D0D0D" w:themeColor="text1" w:themeTint="F2"/>
          <w:lang w:val="sq-AL"/>
        </w:rPr>
      </w:pPr>
    </w:p>
    <w:p w14:paraId="4499AA50" w14:textId="403D6A27" w:rsidR="00DE0F32" w:rsidRPr="005208DC" w:rsidRDefault="00B2062A" w:rsidP="00857902">
      <w:pPr>
        <w:pStyle w:val="Heading4"/>
        <w:numPr>
          <w:ilvl w:val="0"/>
          <w:numId w:val="78"/>
        </w:numPr>
        <w:snapToGrid w:val="0"/>
        <w:ind w:left="567" w:hanging="283"/>
        <w:rPr>
          <w:rFonts w:asciiTheme="majorBidi" w:hAnsiTheme="majorBidi" w:cstheme="majorBidi"/>
          <w:b w:val="0"/>
          <w:i/>
          <w:color w:val="0D0D0D" w:themeColor="text1" w:themeTint="F2"/>
          <w:sz w:val="24"/>
          <w:szCs w:val="24"/>
          <w:lang w:val="sq-AL"/>
        </w:rPr>
      </w:pPr>
      <w:r w:rsidRPr="005208DC">
        <w:rPr>
          <w:rFonts w:asciiTheme="majorBidi" w:hAnsiTheme="majorBidi" w:cstheme="majorBidi"/>
          <w:b w:val="0"/>
          <w:i/>
          <w:color w:val="0D0D0D" w:themeColor="text1" w:themeTint="F2"/>
          <w:sz w:val="24"/>
          <w:szCs w:val="24"/>
          <w:lang w:val="sq-AL"/>
        </w:rPr>
        <w:t>Masat e reformës</w:t>
      </w:r>
    </w:p>
    <w:p w14:paraId="5627AA49" w14:textId="13FCBE94" w:rsidR="00DE0F32" w:rsidRPr="005208DC" w:rsidRDefault="00B2062A" w:rsidP="00857902">
      <w:pPr>
        <w:pStyle w:val="Heading5"/>
        <w:snapToGrid w:val="0"/>
        <w:ind w:left="0"/>
        <w:rPr>
          <w:rFonts w:asciiTheme="majorBidi" w:hAnsiTheme="majorBidi" w:cstheme="majorBidi"/>
          <w:i w:val="0"/>
          <w:color w:val="0D0D0D" w:themeColor="text1" w:themeTint="F2"/>
          <w:sz w:val="24"/>
          <w:szCs w:val="24"/>
          <w:lang w:val="sq-AL"/>
        </w:rPr>
      </w:pPr>
      <w:r w:rsidRPr="005208DC">
        <w:rPr>
          <w:rFonts w:asciiTheme="majorBidi" w:hAnsiTheme="majorBidi" w:cstheme="majorBidi"/>
          <w:i w:val="0"/>
          <w:color w:val="0D0D0D" w:themeColor="text1" w:themeTint="F2"/>
          <w:sz w:val="24"/>
          <w:szCs w:val="24"/>
          <w:lang w:val="sq-AL"/>
        </w:rPr>
        <w:t>Masa e reformës</w:t>
      </w:r>
      <w:r w:rsidR="005358F8" w:rsidRPr="005208DC">
        <w:rPr>
          <w:rFonts w:asciiTheme="majorBidi" w:hAnsiTheme="majorBidi" w:cstheme="majorBidi"/>
          <w:i w:val="0"/>
          <w:color w:val="0D0D0D" w:themeColor="text1" w:themeTint="F2"/>
          <w:sz w:val="24"/>
          <w:szCs w:val="24"/>
          <w:lang w:val="sq-AL"/>
        </w:rPr>
        <w:t xml:space="preserve"> 10</w:t>
      </w:r>
      <w:r w:rsidR="00DE0F32" w:rsidRPr="005208DC">
        <w:rPr>
          <w:rFonts w:asciiTheme="majorBidi" w:hAnsiTheme="majorBidi" w:cstheme="majorBidi"/>
          <w:i w:val="0"/>
          <w:color w:val="0D0D0D" w:themeColor="text1" w:themeTint="F2"/>
          <w:sz w:val="24"/>
          <w:szCs w:val="24"/>
          <w:lang w:val="sq-AL"/>
        </w:rPr>
        <w:t xml:space="preserve">: </w:t>
      </w:r>
      <w:r w:rsidR="005721FF" w:rsidRPr="005208DC">
        <w:rPr>
          <w:rFonts w:asciiTheme="majorBidi" w:hAnsiTheme="majorBidi" w:cstheme="majorBidi"/>
          <w:i w:val="0"/>
          <w:color w:val="0D0D0D" w:themeColor="text1" w:themeTint="F2"/>
          <w:sz w:val="24"/>
          <w:szCs w:val="24"/>
          <w:lang w:val="sq-AL"/>
        </w:rPr>
        <w:t>Investimet strategjike publike</w:t>
      </w:r>
    </w:p>
    <w:p w14:paraId="4ABC8996" w14:textId="12620B15" w:rsidR="00DE0F32" w:rsidRPr="005208DC" w:rsidRDefault="00B2062A" w:rsidP="00857902">
      <w:pPr>
        <w:pStyle w:val="Heading6"/>
        <w:numPr>
          <w:ilvl w:val="0"/>
          <w:numId w:val="8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Përshkrimi i masës</w:t>
      </w:r>
    </w:p>
    <w:p w14:paraId="3BF06B3C" w14:textId="77777777" w:rsidR="005721FF" w:rsidRPr="005208DC" w:rsidRDefault="005721FF"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Masa e propozuar e reformës për Investimet Strategjike Publike do të synojë:</w:t>
      </w:r>
    </w:p>
    <w:p w14:paraId="114EB657" w14:textId="77777777" w:rsidR="005721FF" w:rsidRPr="005208DC" w:rsidRDefault="005721FF"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a. Zhvilloni një strategji PIM, duke përfshirë një PPP;</w:t>
      </w:r>
    </w:p>
    <w:p w14:paraId="13B5DD68" w14:textId="77777777" w:rsidR="005721FF" w:rsidRPr="005208DC" w:rsidRDefault="005721FF"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b. Forcimi i kapaciteteve në të gjithë qeverinë për të vlerësuar projektet e investimeve publike;</w:t>
      </w:r>
    </w:p>
    <w:p w14:paraId="7CD9A50D" w14:textId="42FBA24B" w:rsidR="005721FF" w:rsidRPr="005208DC" w:rsidRDefault="005721FF"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c. Përmirësimi i monitorimit të investimeve publike duke përfshirë projektet PPP dhe koncesionet.</w:t>
      </w:r>
    </w:p>
    <w:p w14:paraId="449DE580" w14:textId="77777777" w:rsidR="005721FF" w:rsidRPr="005208DC" w:rsidRDefault="005721FF" w:rsidP="00857902">
      <w:pPr>
        <w:snapToGrid w:val="0"/>
        <w:rPr>
          <w:rFonts w:asciiTheme="majorBidi" w:hAnsiTheme="majorBidi" w:cstheme="majorBidi"/>
          <w:color w:val="0D0D0D" w:themeColor="text1" w:themeTint="F2"/>
          <w:lang w:val="sq-AL"/>
        </w:rPr>
      </w:pPr>
    </w:p>
    <w:p w14:paraId="1C13B784" w14:textId="7D22393D" w:rsidR="00DE0F32" w:rsidRPr="005208DC" w:rsidRDefault="00B2062A" w:rsidP="00857902">
      <w:pPr>
        <w:pStyle w:val="ListParagraph"/>
        <w:numPr>
          <w:ilvl w:val="0"/>
          <w:numId w:val="79"/>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DE0F32" w:rsidRPr="005208DC">
        <w:rPr>
          <w:rFonts w:asciiTheme="majorBidi" w:hAnsiTheme="majorBidi" w:cstheme="majorBidi"/>
          <w:b/>
          <w:color w:val="0D0D0D" w:themeColor="text1" w:themeTint="F2"/>
          <w:sz w:val="24"/>
          <w:szCs w:val="24"/>
          <w:lang w:val="sq-AL"/>
        </w:rPr>
        <w:t xml:space="preserve"> 2022</w:t>
      </w:r>
    </w:p>
    <w:p w14:paraId="562FD0E7" w14:textId="77777777" w:rsidR="005721FF" w:rsidRPr="005208DC" w:rsidRDefault="005721FF" w:rsidP="00857902">
      <w:pPr>
        <w:pStyle w:val="ListParagraph"/>
        <w:numPr>
          <w:ilvl w:val="0"/>
          <w:numId w:val="80"/>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Zhvillimi i strategjisë së investimeve publike për të drejtuar investimet publike.</w:t>
      </w:r>
    </w:p>
    <w:p w14:paraId="1F50518E" w14:textId="77777777" w:rsidR="005721FF" w:rsidRPr="005208DC" w:rsidRDefault="005721FF" w:rsidP="00857902">
      <w:pPr>
        <w:pStyle w:val="ListParagraph"/>
        <w:numPr>
          <w:ilvl w:val="0"/>
          <w:numId w:val="80"/>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Përgatitja dhe mirëmbajtja e linjës së vetme të projektit (përfshirë PPP) bazuar në kritere të qarta të përzgjedhjes strategjike të lidhura me dokumentet strategjike, prioritetet e qeverisë dhe prioritetet sektoriale.</w:t>
      </w:r>
    </w:p>
    <w:p w14:paraId="22DEBC51" w14:textId="77777777" w:rsidR="005721FF" w:rsidRPr="005208DC" w:rsidRDefault="005721FF" w:rsidP="00857902">
      <w:pPr>
        <w:pStyle w:val="ListParagraph"/>
        <w:numPr>
          <w:ilvl w:val="0"/>
          <w:numId w:val="80"/>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Zhvillimi i metodologjisë për zhvillimin e studimeve të fizibilitetit, analizës së përfitimit të kostos, vlerësimeve të ndikimit mjedisor dhe social dhe mjeteve të prioritizimit të projekteve.</w:t>
      </w:r>
    </w:p>
    <w:p w14:paraId="3EAA99F2" w14:textId="77777777" w:rsidR="005721FF" w:rsidRPr="005208DC" w:rsidRDefault="005721FF" w:rsidP="00857902">
      <w:pPr>
        <w:pStyle w:val="ListParagraph"/>
        <w:numPr>
          <w:ilvl w:val="0"/>
          <w:numId w:val="80"/>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Përmirësimi i kornizës së monitorimit të investimeve strategjike bazuar në KPI.</w:t>
      </w:r>
    </w:p>
    <w:p w14:paraId="1057FF5D" w14:textId="77777777" w:rsidR="005721FF" w:rsidRPr="005208DC" w:rsidRDefault="005721FF" w:rsidP="00857902">
      <w:pPr>
        <w:pStyle w:val="ListParagraph"/>
        <w:numPr>
          <w:ilvl w:val="0"/>
          <w:numId w:val="80"/>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Hartimi i raporteve gjithëpërfshirëse për investimet publike.</w:t>
      </w:r>
    </w:p>
    <w:p w14:paraId="2859D526" w14:textId="77777777" w:rsidR="005721FF" w:rsidRPr="005208DC" w:rsidRDefault="005721FF" w:rsidP="00857902">
      <w:pPr>
        <w:pStyle w:val="ListParagraph"/>
        <w:numPr>
          <w:ilvl w:val="0"/>
          <w:numId w:val="80"/>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Përmirësimi i kuadrit të monitorimit të kontratave koncesionare/PPP.</w:t>
      </w:r>
    </w:p>
    <w:p w14:paraId="6227EC2F" w14:textId="1952CC34" w:rsidR="005721FF" w:rsidRPr="005208DC" w:rsidRDefault="005721FF" w:rsidP="00857902">
      <w:pPr>
        <w:pStyle w:val="ListParagraph"/>
        <w:numPr>
          <w:ilvl w:val="0"/>
          <w:numId w:val="80"/>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Forcimi/zhvillimi i kapaciteteve për vlerësimin e projekteve të reja koncesionare/PPP.</w:t>
      </w:r>
    </w:p>
    <w:p w14:paraId="0993FC95" w14:textId="47D6067F" w:rsidR="00DE0F32" w:rsidRPr="005208DC" w:rsidRDefault="00B2062A" w:rsidP="00857902">
      <w:pPr>
        <w:pStyle w:val="ListParagraph"/>
        <w:numPr>
          <w:ilvl w:val="0"/>
          <w:numId w:val="79"/>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DE0F32" w:rsidRPr="005208DC">
        <w:rPr>
          <w:rFonts w:asciiTheme="majorBidi" w:hAnsiTheme="majorBidi" w:cstheme="majorBidi"/>
          <w:b/>
          <w:color w:val="0D0D0D" w:themeColor="text1" w:themeTint="F2"/>
          <w:sz w:val="24"/>
          <w:szCs w:val="24"/>
          <w:lang w:val="sq-AL"/>
        </w:rPr>
        <w:t xml:space="preserve"> 2023</w:t>
      </w:r>
    </w:p>
    <w:p w14:paraId="09FCC007" w14:textId="77777777" w:rsidR="005721FF" w:rsidRPr="005208DC" w:rsidRDefault="005721FF" w:rsidP="00857902">
      <w:pPr>
        <w:pStyle w:val="ListParagraph"/>
        <w:numPr>
          <w:ilvl w:val="0"/>
          <w:numId w:val="81"/>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Forcimi/zhvillimi i kapaciteteve në të gjithë qeverinë për të identifikuar, përgatitur dhe vlerësuar projektet e investimeve publike.</w:t>
      </w:r>
    </w:p>
    <w:p w14:paraId="1C794B15" w14:textId="77777777" w:rsidR="005721FF" w:rsidRPr="005208DC" w:rsidRDefault="005721FF" w:rsidP="00857902">
      <w:pPr>
        <w:pStyle w:val="ListParagraph"/>
        <w:numPr>
          <w:ilvl w:val="0"/>
          <w:numId w:val="81"/>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Zhvillimi i metodologjisë për alokimin/rishpërndarjen e fondeve buxhetore për investime strategjike.</w:t>
      </w:r>
    </w:p>
    <w:p w14:paraId="1589BC17" w14:textId="77777777" w:rsidR="005721FF" w:rsidRPr="005208DC" w:rsidRDefault="005721FF" w:rsidP="00857902">
      <w:pPr>
        <w:pStyle w:val="ListParagraph"/>
        <w:numPr>
          <w:ilvl w:val="0"/>
          <w:numId w:val="81"/>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Forcimi/zhvillimi i kapaciteteve nëpër institucionet qeveritare për të rritur thithjen e fondeve për investime strategjike.</w:t>
      </w:r>
    </w:p>
    <w:p w14:paraId="7D49ED36" w14:textId="77777777" w:rsidR="005721FF" w:rsidRPr="005208DC" w:rsidRDefault="005721FF" w:rsidP="00857902">
      <w:pPr>
        <w:pStyle w:val="ListParagraph"/>
        <w:numPr>
          <w:ilvl w:val="0"/>
          <w:numId w:val="81"/>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Përmirësimi i procesit të përfshirjes së investimeve publike në ciklin e PBA-së.</w:t>
      </w:r>
    </w:p>
    <w:p w14:paraId="5886B0F2" w14:textId="77777777" w:rsidR="005721FF" w:rsidRPr="005208DC" w:rsidRDefault="005721FF" w:rsidP="00857902">
      <w:pPr>
        <w:pStyle w:val="ListParagraph"/>
        <w:numPr>
          <w:ilvl w:val="0"/>
          <w:numId w:val="81"/>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Plotësimi i bazës së plotë të të dhënave të kontratave të monitoruara dhe ndjekja e procesit të monitorimit të kontratave të koncesionit/PPP.</w:t>
      </w:r>
    </w:p>
    <w:p w14:paraId="052FFF65" w14:textId="423F0B35" w:rsidR="005721FF" w:rsidRPr="005208DC" w:rsidRDefault="005721FF" w:rsidP="00857902">
      <w:pPr>
        <w:pStyle w:val="ListParagraph"/>
        <w:numPr>
          <w:ilvl w:val="0"/>
          <w:numId w:val="81"/>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Zhvillimi i metodologjisë në lidhje me vlerësimin e projekteve të reja koncesionare/PPP.</w:t>
      </w:r>
    </w:p>
    <w:p w14:paraId="49A99221" w14:textId="13C86574" w:rsidR="00DE0F32" w:rsidRPr="005208DC" w:rsidRDefault="00B2062A" w:rsidP="00857902">
      <w:pPr>
        <w:pStyle w:val="ListParagraph"/>
        <w:numPr>
          <w:ilvl w:val="0"/>
          <w:numId w:val="79"/>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DE0F32" w:rsidRPr="005208DC">
        <w:rPr>
          <w:rFonts w:asciiTheme="majorBidi" w:hAnsiTheme="majorBidi" w:cstheme="majorBidi"/>
          <w:b/>
          <w:color w:val="0D0D0D" w:themeColor="text1" w:themeTint="F2"/>
          <w:sz w:val="24"/>
          <w:szCs w:val="24"/>
          <w:lang w:val="sq-AL"/>
        </w:rPr>
        <w:t xml:space="preserve"> 2024</w:t>
      </w:r>
    </w:p>
    <w:p w14:paraId="30853ADE" w14:textId="77777777" w:rsidR="005721FF" w:rsidRPr="005208DC" w:rsidRDefault="005721FF" w:rsidP="00857902">
      <w:pPr>
        <w:pStyle w:val="ListParagraph"/>
        <w:numPr>
          <w:ilvl w:val="0"/>
          <w:numId w:val="82"/>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Forcimi/zhvillimi i kapaciteteve nëpër institucionet qeveritare për monitorimin e kontratave koncesionare/PPP.</w:t>
      </w:r>
    </w:p>
    <w:p w14:paraId="3C6E89DD" w14:textId="023016B7" w:rsidR="005721FF" w:rsidRPr="005208DC" w:rsidRDefault="005721FF" w:rsidP="00857902">
      <w:pPr>
        <w:pStyle w:val="ListParagraph"/>
        <w:numPr>
          <w:ilvl w:val="0"/>
          <w:numId w:val="82"/>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lang w:val="sq-AL"/>
        </w:rPr>
        <w:t>Konsolidimi dhe përmirësimi i metodologjisë së vlerësimit të projekteve të reja koncesionare/PPP.</w:t>
      </w:r>
    </w:p>
    <w:p w14:paraId="74AF4A6B" w14:textId="77777777" w:rsidR="00DE0F32" w:rsidRPr="005208DC" w:rsidRDefault="00DE0F32" w:rsidP="00857902">
      <w:pPr>
        <w:snapToGrid w:val="0"/>
        <w:rPr>
          <w:rFonts w:asciiTheme="majorBidi" w:hAnsiTheme="majorBidi" w:cstheme="majorBidi"/>
          <w:color w:val="0D0D0D" w:themeColor="text1" w:themeTint="F2"/>
          <w:lang w:val="sq-AL"/>
        </w:rPr>
      </w:pPr>
    </w:p>
    <w:p w14:paraId="03C6F3B2" w14:textId="117E40E7" w:rsidR="00DE0F32" w:rsidRPr="005208DC" w:rsidRDefault="00B2062A" w:rsidP="00857902">
      <w:pPr>
        <w:pStyle w:val="Heading6"/>
        <w:numPr>
          <w:ilvl w:val="0"/>
          <w:numId w:val="8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Treguesit e rezultateve</w:t>
      </w:r>
    </w:p>
    <w:tbl>
      <w:tblPr>
        <w:tblStyle w:val="TableGrid"/>
        <w:tblW w:w="0" w:type="auto"/>
        <w:tblLook w:val="04A0" w:firstRow="1" w:lastRow="0" w:firstColumn="1" w:lastColumn="0" w:noHBand="0" w:noVBand="1"/>
      </w:tblPr>
      <w:tblGrid>
        <w:gridCol w:w="5665"/>
        <w:gridCol w:w="1418"/>
        <w:gridCol w:w="1559"/>
        <w:gridCol w:w="1701"/>
      </w:tblGrid>
      <w:tr w:rsidR="005208DC" w:rsidRPr="005208DC" w14:paraId="430A6F6C" w14:textId="77777777" w:rsidTr="005721FF">
        <w:tc>
          <w:tcPr>
            <w:tcW w:w="5665" w:type="dxa"/>
          </w:tcPr>
          <w:p w14:paraId="746476F5" w14:textId="7114446D" w:rsidR="005721FF" w:rsidRPr="005208DC" w:rsidRDefault="005721FF"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w:t>
            </w:r>
          </w:p>
        </w:tc>
        <w:tc>
          <w:tcPr>
            <w:tcW w:w="1418" w:type="dxa"/>
          </w:tcPr>
          <w:p w14:paraId="4D348613" w14:textId="46681EE6" w:rsidR="005721FF" w:rsidRPr="005208DC" w:rsidRDefault="005721FF"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Bazë (2020)</w:t>
            </w:r>
          </w:p>
        </w:tc>
        <w:tc>
          <w:tcPr>
            <w:tcW w:w="1559" w:type="dxa"/>
          </w:tcPr>
          <w:p w14:paraId="7308550D" w14:textId="1DA45C95" w:rsidR="005721FF" w:rsidRPr="005208DC" w:rsidRDefault="005721FF"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 ndërmjetëm (2022)</w:t>
            </w:r>
          </w:p>
        </w:tc>
        <w:tc>
          <w:tcPr>
            <w:tcW w:w="1701" w:type="dxa"/>
          </w:tcPr>
          <w:p w14:paraId="07AE4144" w14:textId="7A35FA0E" w:rsidR="005721FF" w:rsidRPr="005208DC" w:rsidRDefault="005721FF"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Synimi (2024)</w:t>
            </w:r>
          </w:p>
        </w:tc>
      </w:tr>
      <w:tr w:rsidR="005208DC" w:rsidRPr="005208DC" w14:paraId="71F45969" w14:textId="77777777" w:rsidTr="005721FF">
        <w:tc>
          <w:tcPr>
            <w:tcW w:w="5665" w:type="dxa"/>
          </w:tcPr>
          <w:p w14:paraId="02615209" w14:textId="3D1FE0B4" w:rsidR="005721FF" w:rsidRPr="005208DC" w:rsidRDefault="005721FF"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Pjesa e projekteve të investimeve publike që propozohen në bazë të prioriteteve strategjike të qeverisë (vlera e projekteve në një vit të caktuar)</w:t>
            </w:r>
          </w:p>
        </w:tc>
        <w:tc>
          <w:tcPr>
            <w:tcW w:w="1418" w:type="dxa"/>
          </w:tcPr>
          <w:p w14:paraId="6A94E7E7" w14:textId="0F839E01" w:rsidR="005721FF" w:rsidRPr="005208DC" w:rsidRDefault="005721FF"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82%</w:t>
            </w:r>
          </w:p>
        </w:tc>
        <w:tc>
          <w:tcPr>
            <w:tcW w:w="1559" w:type="dxa"/>
          </w:tcPr>
          <w:p w14:paraId="4A5DC17B" w14:textId="77777777" w:rsidR="005721FF" w:rsidRPr="005208DC" w:rsidRDefault="005721FF"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&gt; (t-1)</w:t>
            </w:r>
          </w:p>
          <w:p w14:paraId="7FB9FBCD" w14:textId="2AEF608F" w:rsidR="005721FF" w:rsidRPr="005208DC" w:rsidRDefault="005721FF"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(trend rrites)</w:t>
            </w:r>
          </w:p>
        </w:tc>
        <w:tc>
          <w:tcPr>
            <w:tcW w:w="1701" w:type="dxa"/>
          </w:tcPr>
          <w:p w14:paraId="51F2FD83" w14:textId="77777777" w:rsidR="005721FF" w:rsidRPr="005208DC" w:rsidRDefault="005721FF" w:rsidP="00857902">
            <w:pPr>
              <w:snapToGrid w:val="0"/>
              <w:rPr>
                <w:rFonts w:asciiTheme="majorBidi" w:hAnsiTheme="majorBidi" w:cstheme="majorBidi"/>
                <w:color w:val="0D0D0D" w:themeColor="text1" w:themeTint="F2"/>
                <w:lang w:val="sq-AL"/>
              </w:rPr>
            </w:pPr>
          </w:p>
        </w:tc>
      </w:tr>
      <w:tr w:rsidR="005208DC" w:rsidRPr="005208DC" w14:paraId="69B38B6E" w14:textId="77777777" w:rsidTr="005721FF">
        <w:tc>
          <w:tcPr>
            <w:tcW w:w="5665" w:type="dxa"/>
          </w:tcPr>
          <w:p w14:paraId="461714A5" w14:textId="00EA23BC" w:rsidR="005721FF" w:rsidRPr="005208DC" w:rsidRDefault="005721FF"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Disbursimet aktuale për projektet e investimeve të mëdha krahasuar me disbursimet e planifikuara së bashku me shpjegimin e variacioneve</w:t>
            </w:r>
          </w:p>
        </w:tc>
        <w:tc>
          <w:tcPr>
            <w:tcW w:w="1418" w:type="dxa"/>
          </w:tcPr>
          <w:p w14:paraId="7E7FCF63" w14:textId="47515797" w:rsidR="005721FF" w:rsidRPr="005208DC" w:rsidRDefault="005721FF"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95%</w:t>
            </w:r>
          </w:p>
        </w:tc>
        <w:tc>
          <w:tcPr>
            <w:tcW w:w="1559" w:type="dxa"/>
          </w:tcPr>
          <w:p w14:paraId="0843F3D1" w14:textId="31E632C5" w:rsidR="005721FF" w:rsidRPr="005208DC" w:rsidRDefault="005721FF"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98%</w:t>
            </w:r>
          </w:p>
        </w:tc>
        <w:tc>
          <w:tcPr>
            <w:tcW w:w="1701" w:type="dxa"/>
          </w:tcPr>
          <w:p w14:paraId="77BB5B89" w14:textId="77777777" w:rsidR="005721FF" w:rsidRPr="005208DC" w:rsidRDefault="005721FF" w:rsidP="00857902">
            <w:pPr>
              <w:snapToGrid w:val="0"/>
              <w:rPr>
                <w:rFonts w:asciiTheme="majorBidi" w:hAnsiTheme="majorBidi" w:cstheme="majorBidi"/>
                <w:color w:val="0D0D0D" w:themeColor="text1" w:themeTint="F2"/>
                <w:lang w:val="sq-AL"/>
              </w:rPr>
            </w:pPr>
          </w:p>
        </w:tc>
      </w:tr>
      <w:tr w:rsidR="005208DC" w:rsidRPr="005208DC" w14:paraId="226920D5" w14:textId="77777777" w:rsidTr="005721FF">
        <w:tc>
          <w:tcPr>
            <w:tcW w:w="5665" w:type="dxa"/>
          </w:tcPr>
          <w:p w14:paraId="27F8F41F" w14:textId="6DE4E320" w:rsidR="005721FF" w:rsidRPr="005208DC" w:rsidRDefault="005721FF"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Raporti i investimeve të reja publike të paraqitura brenda ciklit të PBA-së kundrejt totalit të investimeve të reja publike të miratuara në një vit</w:t>
            </w:r>
          </w:p>
        </w:tc>
        <w:tc>
          <w:tcPr>
            <w:tcW w:w="1418" w:type="dxa"/>
          </w:tcPr>
          <w:p w14:paraId="14BA1817" w14:textId="169A23C9" w:rsidR="005721FF" w:rsidRPr="005208DC" w:rsidRDefault="005721FF"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46.35%</w:t>
            </w:r>
          </w:p>
        </w:tc>
        <w:tc>
          <w:tcPr>
            <w:tcW w:w="1559" w:type="dxa"/>
          </w:tcPr>
          <w:p w14:paraId="67368043" w14:textId="77777777" w:rsidR="005721FF" w:rsidRPr="005208DC" w:rsidRDefault="005721FF"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&gt; (t-1)</w:t>
            </w:r>
          </w:p>
          <w:p w14:paraId="67DB805C" w14:textId="7C0DBA74" w:rsidR="005721FF" w:rsidRPr="005208DC" w:rsidRDefault="005721FF"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(trend rrites)</w:t>
            </w:r>
          </w:p>
        </w:tc>
        <w:tc>
          <w:tcPr>
            <w:tcW w:w="1701" w:type="dxa"/>
          </w:tcPr>
          <w:p w14:paraId="024EC1B0" w14:textId="77777777" w:rsidR="005721FF" w:rsidRPr="005208DC" w:rsidRDefault="005721FF" w:rsidP="00857902">
            <w:pPr>
              <w:snapToGrid w:val="0"/>
              <w:rPr>
                <w:rFonts w:asciiTheme="majorBidi" w:hAnsiTheme="majorBidi" w:cstheme="majorBidi"/>
                <w:color w:val="0D0D0D" w:themeColor="text1" w:themeTint="F2"/>
                <w:lang w:val="sq-AL"/>
              </w:rPr>
            </w:pPr>
          </w:p>
        </w:tc>
      </w:tr>
      <w:tr w:rsidR="005208DC" w:rsidRPr="005208DC" w14:paraId="108708C1" w14:textId="77777777" w:rsidTr="005721FF">
        <w:tc>
          <w:tcPr>
            <w:tcW w:w="5665" w:type="dxa"/>
          </w:tcPr>
          <w:p w14:paraId="361D3F15" w14:textId="2F1DC236" w:rsidR="005721FF" w:rsidRPr="005208DC" w:rsidRDefault="005721FF"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Numri i kontratave të monitoruara kundrejt totalit të kontratave ekzistuese</w:t>
            </w:r>
          </w:p>
        </w:tc>
        <w:tc>
          <w:tcPr>
            <w:tcW w:w="1418" w:type="dxa"/>
          </w:tcPr>
          <w:p w14:paraId="1B09DFD9" w14:textId="325B8706" w:rsidR="005721FF" w:rsidRPr="005208DC" w:rsidRDefault="005721FF"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82%</w:t>
            </w:r>
          </w:p>
        </w:tc>
        <w:tc>
          <w:tcPr>
            <w:tcW w:w="1559" w:type="dxa"/>
          </w:tcPr>
          <w:p w14:paraId="64DD4BCA" w14:textId="2221C0DF" w:rsidR="005721FF" w:rsidRPr="005208DC" w:rsidRDefault="005721FF"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100%</w:t>
            </w:r>
          </w:p>
        </w:tc>
        <w:tc>
          <w:tcPr>
            <w:tcW w:w="1701" w:type="dxa"/>
          </w:tcPr>
          <w:p w14:paraId="6BC570D8" w14:textId="4D7CB196" w:rsidR="005721FF" w:rsidRPr="005208DC" w:rsidRDefault="005721FF"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100%</w:t>
            </w:r>
          </w:p>
        </w:tc>
      </w:tr>
    </w:tbl>
    <w:p w14:paraId="4C4D608F" w14:textId="77777777" w:rsidR="00DE0F32" w:rsidRPr="005208DC" w:rsidRDefault="00DE0F32" w:rsidP="00857902">
      <w:pPr>
        <w:snapToGrid w:val="0"/>
        <w:rPr>
          <w:rFonts w:asciiTheme="majorBidi" w:hAnsiTheme="majorBidi" w:cstheme="majorBidi"/>
          <w:color w:val="0D0D0D" w:themeColor="text1" w:themeTint="F2"/>
          <w:lang w:val="sq-AL"/>
        </w:rPr>
      </w:pPr>
    </w:p>
    <w:p w14:paraId="4F7E24F1" w14:textId="6333A181" w:rsidR="00DE0F32" w:rsidRPr="005208DC" w:rsidRDefault="00B2062A" w:rsidP="00857902">
      <w:pPr>
        <w:pStyle w:val="Heading6"/>
        <w:numPr>
          <w:ilvl w:val="0"/>
          <w:numId w:val="8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konkurrueshmëri</w:t>
      </w:r>
    </w:p>
    <w:p w14:paraId="02A50E6F" w14:textId="77777777" w:rsidR="004F0967" w:rsidRPr="005208DC" w:rsidRDefault="004F0967" w:rsidP="00857902">
      <w:pPr>
        <w:jc w:val="both"/>
        <w:rPr>
          <w:rFonts w:asciiTheme="majorBidi" w:hAnsiTheme="majorBidi" w:cstheme="majorBidi"/>
          <w:color w:val="0D0D0D" w:themeColor="text1" w:themeTint="F2"/>
          <w:lang w:val="sq-AL" w:eastAsia="x-none"/>
        </w:rPr>
      </w:pPr>
      <w:r w:rsidRPr="005208DC">
        <w:rPr>
          <w:rFonts w:asciiTheme="majorBidi" w:hAnsiTheme="majorBidi" w:cstheme="majorBidi"/>
          <w:color w:val="0D0D0D" w:themeColor="text1" w:themeTint="F2"/>
          <w:lang w:val="sq-AL" w:eastAsia="x-none"/>
        </w:rPr>
        <w:t>Integrimi i investimeve mund të përmirësojë konkurrencën përmes dy kanaleve: së pari, duke rritur madhësinë e tregut të disponueshëm për firmat vendase; dhe së dyti, duke nxitur produktivitetin dhe inovacionin duke i ekspozuar firmat ndaj konkurrencës, ekspertizës dhe teknologjisë ndërkombëtare.</w:t>
      </w:r>
    </w:p>
    <w:p w14:paraId="501C04E3" w14:textId="11275FBD" w:rsidR="004F0967" w:rsidRPr="005208DC" w:rsidRDefault="004F0967" w:rsidP="00857902">
      <w:pPr>
        <w:jc w:val="both"/>
        <w:rPr>
          <w:rFonts w:asciiTheme="majorBidi" w:hAnsiTheme="majorBidi" w:cstheme="majorBidi"/>
          <w:color w:val="0D0D0D" w:themeColor="text1" w:themeTint="F2"/>
          <w:lang w:val="sq-AL" w:eastAsia="x-none"/>
        </w:rPr>
      </w:pPr>
      <w:r w:rsidRPr="005208DC">
        <w:rPr>
          <w:rFonts w:asciiTheme="majorBidi" w:hAnsiTheme="majorBidi" w:cstheme="majorBidi"/>
          <w:color w:val="0D0D0D" w:themeColor="text1" w:themeTint="F2"/>
          <w:lang w:val="sq-AL" w:eastAsia="x-none"/>
        </w:rPr>
        <w:t>Perspektivat e konkurrencës janë kritike për politikat efektive për të nxitur rritjen dhe zhvillimin. Politikat fokusohen në krijimin e një klime tërheqëse investimi veçanërisht për ndërmarrjet e vogla dhe të mesme për të nxitur inovacionin dhe performancën konkurruese. Gjithashtu, politikat e fokusuara dhe partneritetet efektive të sektorit privat-publik nxisin inovacionin dhe lehtësojnë performancën konkurruese.</w:t>
      </w:r>
    </w:p>
    <w:p w14:paraId="5DF4688E" w14:textId="77777777" w:rsidR="004F0967" w:rsidRPr="005208DC" w:rsidRDefault="004F0967" w:rsidP="00857902">
      <w:pPr>
        <w:rPr>
          <w:rFonts w:asciiTheme="majorBidi" w:hAnsiTheme="majorBidi" w:cstheme="majorBidi"/>
          <w:color w:val="0D0D0D" w:themeColor="text1" w:themeTint="F2"/>
          <w:lang w:val="sq-AL" w:eastAsia="x-none"/>
        </w:rPr>
      </w:pPr>
    </w:p>
    <w:p w14:paraId="1AB51898" w14:textId="73D00B4A" w:rsidR="00DE0F32" w:rsidRPr="005208DC" w:rsidRDefault="00B2062A" w:rsidP="00857902">
      <w:pPr>
        <w:pStyle w:val="Heading6"/>
        <w:numPr>
          <w:ilvl w:val="0"/>
          <w:numId w:val="8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Kosto e parashikuar e aktiviteteve dhe burimi i financimit</w:t>
      </w:r>
    </w:p>
    <w:p w14:paraId="294C563D" w14:textId="4C4F645C" w:rsidR="004F0967" w:rsidRPr="005208DC" w:rsidRDefault="004F0967"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 vitin 2020 dhe 2022 kostot e parashikuara janë importuar nga Plani i Veprimit të MFP 2019-2022 (strategjia e MFP 2019-2022).</w:t>
      </w:r>
    </w:p>
    <w:p w14:paraId="709527D7" w14:textId="77777777" w:rsidR="004F0967" w:rsidRPr="005208DC" w:rsidRDefault="004F0967" w:rsidP="00857902">
      <w:pPr>
        <w:snapToGrid w:val="0"/>
        <w:rPr>
          <w:rFonts w:asciiTheme="majorBidi" w:hAnsiTheme="majorBidi" w:cstheme="majorBidi"/>
          <w:color w:val="0D0D0D" w:themeColor="text1" w:themeTint="F2"/>
          <w:lang w:val="sq-AL"/>
        </w:rPr>
      </w:pPr>
    </w:p>
    <w:p w14:paraId="683D1BE5" w14:textId="119F1C5F" w:rsidR="00DE0F32" w:rsidRPr="005208DC" w:rsidRDefault="00B2062A" w:rsidP="00857902">
      <w:pPr>
        <w:pStyle w:val="Heading6"/>
        <w:numPr>
          <w:ilvl w:val="0"/>
          <w:numId w:val="8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përfundimet sociale si punësimi, ulja e varfërisë, barazia gjinore dhe aksesi në kujdesin shëndetësor</w:t>
      </w:r>
    </w:p>
    <w:p w14:paraId="7277E23B" w14:textId="77777777" w:rsidR="0021477B" w:rsidRPr="005208DC" w:rsidRDefault="0021477B"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Investimi çon në përmirësime të produktivitetit, të cilat nga ana tjetër çojnë në rritjen e rritjes. Kjo më pas çon në fitime të përmirësuara dhe investime shtesë, dhe në një ekonomi ideale, cikli vazhdon. Kështu, investimi është disi pika kyçe kritike.</w:t>
      </w:r>
    </w:p>
    <w:p w14:paraId="7C2EDA41" w14:textId="77777777" w:rsidR="0021477B" w:rsidRPr="005208DC" w:rsidRDefault="0021477B"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Investimet publike mund të ndikojnë në një ekonomi kombëtare në mënyra të shumta. Së pari, investimi kapital duhet të rrisë kapacitetin dhe/ose efiçencën e prodhimit, gjë që do të çojë në rritje ekonomike, e cila shfaqet në dy mënyra kritike. Së pari është aftësia e bizneseve për të riinvestuar fitimet e tyre për të vazhduar këtë rritje dhe së dyti, popullsia e punës dhe konsumatorët që punësohen për shkak të kësaj rritjeje do të kenë më shumë para në dorë, gjë që do të rrisë shpenzimet e tyre. Kjo siguron të ardhura dhe kapital shtesë për bizneset, dhe bizneset më pas mund të vazhdojnë ciklin e investimeve për të rritur prodhimin.</w:t>
      </w:r>
    </w:p>
    <w:p w14:paraId="2C77F450" w14:textId="77777777" w:rsidR="0021477B" w:rsidRPr="005208DC" w:rsidRDefault="0021477B"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Investimet publike stimulojnë aktivitetin ekonomik nëpërmjet efekteve afatshkurtra në kërkesën agregate dhe rrit produktivitetin e kapitalit ekzistues privat (fizik dhe njerëzor). Investimet publike inkurajojnë gjithashtu investimet e reja private për të përfituar nga produktiviteti më i lartë që krijon, duke rritur rritjen ekonomike. Për këtë nevojitet një infrastrukturë më e mirë qeverisjeje, ku institucione më të forta të menaxhojnë investimet publike.</w:t>
      </w:r>
    </w:p>
    <w:p w14:paraId="10E46EEB" w14:textId="77777777" w:rsidR="0021477B" w:rsidRPr="005208DC" w:rsidRDefault="0021477B"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Një rritje e konsiderueshme e investimeve publike do të krijonte vende pune në afat të shkurtër dhe do të rriste rritjen e standardeve mesatare të jetesës në dekadat e ardhshme.</w:t>
      </w:r>
    </w:p>
    <w:p w14:paraId="348754D3" w14:textId="267FD649" w:rsidR="0021477B" w:rsidRPr="005208DC" w:rsidRDefault="0021477B"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Investimet publike në arsimin rural kanë ndikimin më të madh në varfëri, të ndjekura nga shpenzimet në bujqësi dhe në rrugët rurale.</w:t>
      </w:r>
    </w:p>
    <w:p w14:paraId="46CDF958" w14:textId="77777777" w:rsidR="0021477B" w:rsidRPr="005208DC" w:rsidRDefault="0021477B" w:rsidP="00857902">
      <w:pPr>
        <w:snapToGrid w:val="0"/>
        <w:rPr>
          <w:rFonts w:asciiTheme="majorBidi" w:hAnsiTheme="majorBidi" w:cstheme="majorBidi"/>
          <w:color w:val="0D0D0D" w:themeColor="text1" w:themeTint="F2"/>
          <w:lang w:val="sq-AL"/>
        </w:rPr>
      </w:pPr>
    </w:p>
    <w:p w14:paraId="63839141" w14:textId="2459EE18" w:rsidR="00DE0F32" w:rsidRPr="005208DC" w:rsidRDefault="00B2062A" w:rsidP="00857902">
      <w:pPr>
        <w:pStyle w:val="Heading6"/>
        <w:numPr>
          <w:ilvl w:val="0"/>
          <w:numId w:val="8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mjedis dhe ndryshimi i klimës</w:t>
      </w:r>
    </w:p>
    <w:p w14:paraId="3B3B8FD5" w14:textId="3671D3FB" w:rsidR="0021477B" w:rsidRPr="005208DC" w:rsidRDefault="0021477B"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Politikat dhe investimet publike mund të mbyllin familjet dhe bizneset në aktivitetin ekonomik që kufizon fleksibilitetin e tyre dhe rrit cenueshmërinë. Autorizimi i termocentraleve të reja me qymyr bllokon nivele të larta emetimi për dekadat e ardhshme. Ndërtimi i një dige do të inkurajojë familjet dhe bizneset që të investojnë, punojnë dhe jetojnë në zonën e mbrojtur, duke i lënë ata të ekspozuar ndaj ngjarjeve ekstreme dhe duke i dekurajuar nga kërkimi i alternativave. Për të zbutur ndryshimet klimatike, sektori publik punon për të ndryshuar teknologjinë, prodhimin dhe konsumin në mënyrë që ato të reduktojnë emetimet e gazeve serrë. Të gjitha projektet e sektorit publik duhet të marrin parasysh ndikimet e ndryshimeve klimatike, duke kërkuar të minimizojnë ndikimet negative në klimë përmes zbutjes dhe të minimizojnë ndikimet e pafavorshme klimatike përmes përshtatjes. Kjo kërkon një vlerësim të kujdesshëm. Teknikat e vlerësimit duhet të integrojnë kostot direkte dhe sociale të ndryshimeve klimatike dhe të ndërtojnë fleksibilitet për t'iu përgjigjur ndikimeve të pasigurta të ndryshimeve klimatike. Investime të tilla kërkojnë një vlerësim të kujdesshëm të kostove, përfitimeve dhe rreziqeve të qenësishme në planet afatgjata të investimeve publike.</w:t>
      </w:r>
    </w:p>
    <w:p w14:paraId="7709A017" w14:textId="77777777" w:rsidR="0021477B" w:rsidRPr="005208DC" w:rsidRDefault="0021477B" w:rsidP="00857902">
      <w:pPr>
        <w:snapToGrid w:val="0"/>
        <w:rPr>
          <w:rFonts w:asciiTheme="majorBidi" w:hAnsiTheme="majorBidi" w:cstheme="majorBidi"/>
          <w:color w:val="0D0D0D" w:themeColor="text1" w:themeTint="F2"/>
          <w:lang w:val="sq-AL"/>
        </w:rPr>
      </w:pPr>
    </w:p>
    <w:p w14:paraId="3B5FAD8B" w14:textId="3984FAAA" w:rsidR="00DE0F32" w:rsidRPr="005208DC" w:rsidRDefault="00B2062A" w:rsidP="00857902">
      <w:pPr>
        <w:pStyle w:val="Heading6"/>
        <w:numPr>
          <w:ilvl w:val="0"/>
          <w:numId w:val="8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Rreziqet e mundshme</w:t>
      </w:r>
    </w:p>
    <w:tbl>
      <w:tblPr>
        <w:tblStyle w:val="TableGrid"/>
        <w:tblW w:w="0" w:type="auto"/>
        <w:tblLook w:val="04A0" w:firstRow="1" w:lastRow="0" w:firstColumn="1" w:lastColumn="0" w:noHBand="0" w:noVBand="1"/>
      </w:tblPr>
      <w:tblGrid>
        <w:gridCol w:w="3823"/>
        <w:gridCol w:w="1559"/>
        <w:gridCol w:w="4240"/>
      </w:tblGrid>
      <w:tr w:rsidR="005208DC" w:rsidRPr="005208DC" w14:paraId="28E1EB02" w14:textId="77777777" w:rsidTr="00CC1612">
        <w:tc>
          <w:tcPr>
            <w:tcW w:w="3823" w:type="dxa"/>
          </w:tcPr>
          <w:p w14:paraId="60918563" w14:textId="43447720" w:rsidR="00DE0F32"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Rreziku</w:t>
            </w:r>
          </w:p>
        </w:tc>
        <w:tc>
          <w:tcPr>
            <w:tcW w:w="1559" w:type="dxa"/>
          </w:tcPr>
          <w:p w14:paraId="49B70347" w14:textId="084D0E11" w:rsidR="00DE0F32"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Mundësia</w:t>
            </w:r>
            <w:r w:rsidR="00DE0F32" w:rsidRPr="005208DC">
              <w:rPr>
                <w:rFonts w:asciiTheme="majorBidi" w:hAnsiTheme="majorBidi" w:cstheme="majorBidi"/>
                <w:color w:val="0D0D0D" w:themeColor="text1" w:themeTint="F2"/>
                <w:lang w:val="sq-AL"/>
              </w:rPr>
              <w:t xml:space="preserve"> (</w:t>
            </w:r>
            <w:r w:rsidRPr="005208DC">
              <w:rPr>
                <w:rFonts w:asciiTheme="majorBidi" w:hAnsiTheme="majorBidi" w:cstheme="majorBidi"/>
                <w:color w:val="0D0D0D" w:themeColor="text1" w:themeTint="F2"/>
                <w:lang w:val="sq-AL"/>
              </w:rPr>
              <w:t>e ulët, e lartë</w:t>
            </w:r>
            <w:r w:rsidR="00DE0F32" w:rsidRPr="005208DC">
              <w:rPr>
                <w:rFonts w:asciiTheme="majorBidi" w:hAnsiTheme="majorBidi" w:cstheme="majorBidi"/>
                <w:color w:val="0D0D0D" w:themeColor="text1" w:themeTint="F2"/>
                <w:lang w:val="sq-AL"/>
              </w:rPr>
              <w:t>)</w:t>
            </w:r>
          </w:p>
        </w:tc>
        <w:tc>
          <w:tcPr>
            <w:tcW w:w="4240" w:type="dxa"/>
          </w:tcPr>
          <w:p w14:paraId="0D058C3E" w14:textId="2C1E4E76" w:rsidR="00DE0F32"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Veprimi zbutës i parashikuar</w:t>
            </w:r>
          </w:p>
        </w:tc>
      </w:tr>
      <w:tr w:rsidR="005208DC" w:rsidRPr="005208DC" w14:paraId="000C4177" w14:textId="77777777" w:rsidTr="00CC1612">
        <w:tc>
          <w:tcPr>
            <w:tcW w:w="3823" w:type="dxa"/>
          </w:tcPr>
          <w:p w14:paraId="7E018650" w14:textId="3948729A" w:rsidR="0021477B" w:rsidRPr="005208DC" w:rsidRDefault="0021477B"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Ndryshime të vonuara ligjore/rregullative</w:t>
            </w:r>
          </w:p>
        </w:tc>
        <w:tc>
          <w:tcPr>
            <w:tcW w:w="1559" w:type="dxa"/>
          </w:tcPr>
          <w:p w14:paraId="1B8A9C0F" w14:textId="5FB2E9D8" w:rsidR="0021477B" w:rsidRPr="005208DC" w:rsidRDefault="0021477B"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Mesme</w:t>
            </w:r>
          </w:p>
        </w:tc>
        <w:tc>
          <w:tcPr>
            <w:tcW w:w="4240" w:type="dxa"/>
          </w:tcPr>
          <w:p w14:paraId="2F919BA1" w14:textId="77777777" w:rsidR="0021477B" w:rsidRPr="005208DC" w:rsidRDefault="0021477B" w:rsidP="00857902">
            <w:pPr>
              <w:snapToGrid w:val="0"/>
              <w:rPr>
                <w:rFonts w:asciiTheme="majorBidi" w:hAnsiTheme="majorBidi" w:cstheme="majorBidi"/>
                <w:color w:val="0D0D0D" w:themeColor="text1" w:themeTint="F2"/>
                <w:lang w:val="sq-AL"/>
              </w:rPr>
            </w:pPr>
          </w:p>
        </w:tc>
      </w:tr>
      <w:tr w:rsidR="005208DC" w:rsidRPr="005208DC" w14:paraId="1A758ABD" w14:textId="77777777" w:rsidTr="00CC1612">
        <w:tc>
          <w:tcPr>
            <w:tcW w:w="3823" w:type="dxa"/>
          </w:tcPr>
          <w:p w14:paraId="71381AC4" w14:textId="2B615769" w:rsidR="0021477B" w:rsidRPr="005208DC" w:rsidRDefault="0021477B"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Burimet njerëzore adekuate</w:t>
            </w:r>
          </w:p>
        </w:tc>
        <w:tc>
          <w:tcPr>
            <w:tcW w:w="1559" w:type="dxa"/>
          </w:tcPr>
          <w:p w14:paraId="1067B550" w14:textId="601F3A2E" w:rsidR="0021477B" w:rsidRPr="005208DC" w:rsidRDefault="0021477B"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Mesme</w:t>
            </w:r>
          </w:p>
        </w:tc>
        <w:tc>
          <w:tcPr>
            <w:tcW w:w="4240" w:type="dxa"/>
          </w:tcPr>
          <w:p w14:paraId="75A372BC" w14:textId="77777777" w:rsidR="0021477B" w:rsidRPr="005208DC" w:rsidRDefault="0021477B" w:rsidP="00857902">
            <w:pPr>
              <w:snapToGrid w:val="0"/>
              <w:rPr>
                <w:rFonts w:asciiTheme="majorBidi" w:hAnsiTheme="majorBidi" w:cstheme="majorBidi"/>
                <w:color w:val="0D0D0D" w:themeColor="text1" w:themeTint="F2"/>
                <w:lang w:val="sq-AL"/>
              </w:rPr>
            </w:pPr>
          </w:p>
        </w:tc>
      </w:tr>
      <w:tr w:rsidR="005208DC" w:rsidRPr="005208DC" w14:paraId="0FD638AD" w14:textId="77777777" w:rsidTr="00CC1612">
        <w:trPr>
          <w:trHeight w:val="251"/>
        </w:trPr>
        <w:tc>
          <w:tcPr>
            <w:tcW w:w="3823" w:type="dxa"/>
          </w:tcPr>
          <w:p w14:paraId="2A5832A1" w14:textId="50632C56" w:rsidR="0021477B" w:rsidRPr="005208DC" w:rsidRDefault="0021477B"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Koordinim joadekuat</w:t>
            </w:r>
          </w:p>
        </w:tc>
        <w:tc>
          <w:tcPr>
            <w:tcW w:w="1559" w:type="dxa"/>
          </w:tcPr>
          <w:p w14:paraId="149B0649" w14:textId="2E2B8820" w:rsidR="0021477B" w:rsidRPr="005208DC" w:rsidRDefault="0021477B"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Lartë</w:t>
            </w:r>
          </w:p>
        </w:tc>
        <w:tc>
          <w:tcPr>
            <w:tcW w:w="4240" w:type="dxa"/>
            <w:vAlign w:val="center"/>
          </w:tcPr>
          <w:p w14:paraId="1A4CD00D" w14:textId="77777777" w:rsidR="0021477B" w:rsidRPr="005208DC" w:rsidRDefault="0021477B" w:rsidP="00857902">
            <w:pPr>
              <w:snapToGrid w:val="0"/>
              <w:rPr>
                <w:rFonts w:asciiTheme="majorBidi" w:hAnsiTheme="majorBidi" w:cstheme="majorBidi"/>
                <w:color w:val="0D0D0D" w:themeColor="text1" w:themeTint="F2"/>
                <w:lang w:val="sq-AL"/>
              </w:rPr>
            </w:pPr>
          </w:p>
        </w:tc>
      </w:tr>
      <w:tr w:rsidR="005208DC" w:rsidRPr="005208DC" w14:paraId="40A0D683" w14:textId="77777777" w:rsidTr="00CC1612">
        <w:tc>
          <w:tcPr>
            <w:tcW w:w="3823" w:type="dxa"/>
          </w:tcPr>
          <w:p w14:paraId="2848EFEF" w14:textId="07A8CD3E" w:rsidR="0021477B" w:rsidRPr="005208DC" w:rsidRDefault="0021477B" w:rsidP="0085790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Rreziku i ndryshimeve të ligjit</w:t>
            </w:r>
          </w:p>
        </w:tc>
        <w:tc>
          <w:tcPr>
            <w:tcW w:w="1559" w:type="dxa"/>
          </w:tcPr>
          <w:p w14:paraId="11296850" w14:textId="692E5053" w:rsidR="0021477B" w:rsidRPr="005208DC" w:rsidRDefault="0021477B"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Lartë</w:t>
            </w:r>
          </w:p>
        </w:tc>
        <w:tc>
          <w:tcPr>
            <w:tcW w:w="4240" w:type="dxa"/>
            <w:vAlign w:val="center"/>
          </w:tcPr>
          <w:p w14:paraId="7C937949" w14:textId="421155FD" w:rsidR="0021477B" w:rsidRPr="005208DC" w:rsidRDefault="0021477B"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Përshtatja e procedurave sa i takon ndryshimit te ligjit</w:t>
            </w:r>
          </w:p>
        </w:tc>
      </w:tr>
    </w:tbl>
    <w:p w14:paraId="75523621" w14:textId="77777777" w:rsidR="00DE0F32" w:rsidRPr="005208DC" w:rsidRDefault="00DE0F32" w:rsidP="00857902">
      <w:pPr>
        <w:snapToGrid w:val="0"/>
        <w:rPr>
          <w:rFonts w:asciiTheme="majorBidi" w:hAnsiTheme="majorBidi" w:cstheme="majorBidi"/>
          <w:color w:val="0D0D0D" w:themeColor="text1" w:themeTint="F2"/>
          <w:lang w:val="sq-AL"/>
        </w:rPr>
      </w:pPr>
    </w:p>
    <w:p w14:paraId="0F33FCAB" w14:textId="77777777" w:rsidR="003D2C7A" w:rsidRPr="005208DC" w:rsidRDefault="003D2C7A" w:rsidP="00857902">
      <w:pPr>
        <w:rPr>
          <w:rFonts w:asciiTheme="majorBidi" w:hAnsiTheme="majorBidi" w:cstheme="majorBidi"/>
          <w:color w:val="0D0D0D" w:themeColor="text1" w:themeTint="F2"/>
          <w:lang w:val="sq-AL"/>
        </w:rPr>
      </w:pPr>
    </w:p>
    <w:p w14:paraId="5A1F6823" w14:textId="2148523E" w:rsidR="00C21F03" w:rsidRPr="005208DC" w:rsidRDefault="002C5872" w:rsidP="00857902">
      <w:pPr>
        <w:pStyle w:val="Heading3"/>
        <w:numPr>
          <w:ilvl w:val="2"/>
          <w:numId w:val="1"/>
        </w:numPr>
        <w:snapToGrid w:val="0"/>
        <w:rPr>
          <w:rFonts w:asciiTheme="majorBidi" w:hAnsiTheme="majorBidi" w:cstheme="majorBidi"/>
          <w:b/>
          <w:color w:val="0D0D0D" w:themeColor="text1" w:themeTint="F2"/>
          <w:sz w:val="24"/>
          <w:szCs w:val="24"/>
          <w:lang w:val="sq-AL"/>
        </w:rPr>
      </w:pPr>
      <w:bookmarkStart w:id="76" w:name="_Toc92721145"/>
      <w:r w:rsidRPr="005208DC">
        <w:rPr>
          <w:rFonts w:asciiTheme="majorBidi" w:hAnsiTheme="majorBidi" w:cstheme="majorBidi"/>
          <w:b/>
          <w:color w:val="0D0D0D" w:themeColor="text1" w:themeTint="F2"/>
          <w:sz w:val="24"/>
          <w:szCs w:val="24"/>
          <w:lang w:val="sq-AL"/>
        </w:rPr>
        <w:t>Tranzicioni i gjelbër</w:t>
      </w:r>
      <w:bookmarkEnd w:id="76"/>
    </w:p>
    <w:p w14:paraId="40F1F129" w14:textId="579E91F5" w:rsidR="00D832AA" w:rsidRPr="005208DC" w:rsidRDefault="00B2062A" w:rsidP="00857902">
      <w:pPr>
        <w:pStyle w:val="Heading4"/>
        <w:numPr>
          <w:ilvl w:val="0"/>
          <w:numId w:val="60"/>
        </w:numPr>
        <w:snapToGrid w:val="0"/>
        <w:ind w:left="567" w:hanging="283"/>
        <w:rPr>
          <w:rFonts w:asciiTheme="majorBidi" w:hAnsiTheme="majorBidi" w:cstheme="majorBidi"/>
          <w:b w:val="0"/>
          <w:i/>
          <w:color w:val="0D0D0D" w:themeColor="text1" w:themeTint="F2"/>
          <w:sz w:val="24"/>
          <w:szCs w:val="24"/>
          <w:lang w:val="sq-AL"/>
        </w:rPr>
      </w:pPr>
      <w:r w:rsidRPr="005208DC">
        <w:rPr>
          <w:rFonts w:asciiTheme="majorBidi" w:hAnsiTheme="majorBidi" w:cstheme="majorBidi"/>
          <w:b w:val="0"/>
          <w:i/>
          <w:color w:val="0D0D0D" w:themeColor="text1" w:themeTint="F2"/>
          <w:sz w:val="24"/>
          <w:szCs w:val="24"/>
          <w:lang w:val="sq-AL"/>
        </w:rPr>
        <w:t>Analiza e pengesave kryesore</w:t>
      </w:r>
    </w:p>
    <w:p w14:paraId="3FA9842B" w14:textId="77777777" w:rsidR="008D080B" w:rsidRPr="005208DC" w:rsidRDefault="008D080B"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Axhenda e Gjelbër për Ballkanin Perëndimor e zhvilluar aktualisht nga Komisioni Evropian po ndjek të njëjtin drejtim si Marrëveshja e Gjelbër e BE-së – ajo synon të zhbllokojë potencialin e madh të ekonomisë së gjelbër të rajonit duke përmirësuar shëndetin e qytetarëve të tyre. Prandaj, politika e re është formuar rreth 5 fushave të ndërhyrjes: dekarbonizimi, ekonomia rrethore, reduktimi i ndotjes, bujqësia e qëndrueshme dhe biodiversiteti. Për të gjitha marrëveshjet e ardhshme gjithëpërfshirëse të tregtisë me vendet e rajonit, Komisioni Evropian do të sigurohet që zbatimi dhe respektimi i Marrëveshjes së Parisit të jetë një element thelbësor.</w:t>
      </w:r>
    </w:p>
    <w:p w14:paraId="65404AEC" w14:textId="77777777" w:rsidR="008D080B" w:rsidRPr="005208DC" w:rsidRDefault="008D080B"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Duke njohur potencialet e ekonomisë së gjelbër në Shqipëri, qeveria dhe të gjithë aktorët e zhvillimit duhet të sinergjizohen dhe të hartojnë strategji drejt heqjes së barrierave për zbatimin efektiv të një ekonomie të gjelbër. Disa nga këto barriera përfshijnë mungesën e ndërgjegjësimit, pamjaftueshmërinë e të dhënave, koordinimin e dobët ndërmjet aktorëve të ekonomisë së gjelbër si dhe boshllëqet e kapaciteteve njerëzore dhe institucionale.</w:t>
      </w:r>
    </w:p>
    <w:p w14:paraId="6E872FC0" w14:textId="77777777" w:rsidR="008D080B" w:rsidRPr="005208DC" w:rsidRDefault="008D080B"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Mungesa e njohurive mbi mundësitë e ekonomisë së gjelbër si dhe mungesa e aftësive mund të paraqesin disa sfida jo vetëm për formulimin e politikave, por edhe për miratimin ndërsektorial të konceptit.</w:t>
      </w:r>
    </w:p>
    <w:p w14:paraId="533FC7CB" w14:textId="77777777" w:rsidR="008D080B" w:rsidRPr="005208DC" w:rsidRDefault="008D080B"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Në Shqipëri, ndërgjegjësimi për ekonominë e gjelbër është përgjithësisht i dobët. Interesi politik i shumicës së palëve të interesuara dhe autoriteteve politike ngadalëson zhvillimin dhe miratimin e strategjive. Kjo reflektohet gjithashtu në boshllëqe të mëdha në kapacitetin njerëzor dhe institucional në zbatimin e konceptit të ekonomisë së gjelbër.</w:t>
      </w:r>
    </w:p>
    <w:p w14:paraId="5C4E8FBB" w14:textId="50E09814" w:rsidR="008D080B" w:rsidRPr="005208DC" w:rsidRDefault="008D080B"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Vullneti politik midis palëve të interesuara për të zbatuar politikat sipas procedurave të ekonomisë së gjelbër është ende shumë i ulët. Arsyeja kryesore për këtë janë kufizimet në buxhet dhe si rrjedhojë nuk shohim progres në zbatimin e politikave mjedisore dhe të ekonomisë së gjelbër. Për të siguruar zbatimin e duhur të programeve të ekonomisë së gjelbër, është thelbësore që institucionet publike të forcohen për të hequr barrierat institucionale, për të mbrojtur mjedisin dhe për të harmonizuar objektivat socio-ekonomike.</w:t>
      </w:r>
    </w:p>
    <w:p w14:paraId="096D46CD" w14:textId="77777777" w:rsidR="00806ED4" w:rsidRPr="005208DC" w:rsidRDefault="00806ED4" w:rsidP="00857902">
      <w:pPr>
        <w:snapToGrid w:val="0"/>
        <w:rPr>
          <w:rFonts w:asciiTheme="majorBidi" w:hAnsiTheme="majorBidi" w:cstheme="majorBidi"/>
          <w:color w:val="0D0D0D" w:themeColor="text1" w:themeTint="F2"/>
          <w:lang w:val="sq-AL"/>
        </w:rPr>
      </w:pPr>
    </w:p>
    <w:p w14:paraId="4DE7233B" w14:textId="2C1818FC" w:rsidR="00C21F03" w:rsidRPr="005208DC" w:rsidRDefault="00A86175" w:rsidP="00857902">
      <w:pPr>
        <w:pStyle w:val="Heading3"/>
        <w:numPr>
          <w:ilvl w:val="2"/>
          <w:numId w:val="1"/>
        </w:numPr>
        <w:snapToGrid w:val="0"/>
        <w:rPr>
          <w:rFonts w:asciiTheme="majorBidi" w:hAnsiTheme="majorBidi" w:cstheme="majorBidi"/>
          <w:b/>
          <w:color w:val="0D0D0D" w:themeColor="text1" w:themeTint="F2"/>
          <w:sz w:val="24"/>
          <w:szCs w:val="24"/>
          <w:lang w:val="sq-AL"/>
        </w:rPr>
      </w:pPr>
      <w:bookmarkStart w:id="77" w:name="_Toc92721146"/>
      <w:r w:rsidRPr="005208DC">
        <w:rPr>
          <w:rFonts w:asciiTheme="majorBidi" w:hAnsiTheme="majorBidi" w:cstheme="majorBidi"/>
          <w:b/>
          <w:color w:val="0D0D0D" w:themeColor="text1" w:themeTint="F2"/>
          <w:sz w:val="24"/>
          <w:szCs w:val="24"/>
          <w:lang w:val="sq-AL"/>
        </w:rPr>
        <w:t>Transformimi dixh</w:t>
      </w:r>
      <w:r w:rsidR="00C21F03" w:rsidRPr="005208DC">
        <w:rPr>
          <w:rFonts w:asciiTheme="majorBidi" w:hAnsiTheme="majorBidi" w:cstheme="majorBidi"/>
          <w:b/>
          <w:color w:val="0D0D0D" w:themeColor="text1" w:themeTint="F2"/>
          <w:sz w:val="24"/>
          <w:szCs w:val="24"/>
          <w:lang w:val="sq-AL"/>
        </w:rPr>
        <w:t>ital</w:t>
      </w:r>
      <w:bookmarkEnd w:id="77"/>
    </w:p>
    <w:p w14:paraId="061C533C" w14:textId="66099762" w:rsidR="00263B19" w:rsidRPr="005208DC" w:rsidRDefault="00B2062A" w:rsidP="00857902">
      <w:pPr>
        <w:pStyle w:val="Heading4"/>
        <w:numPr>
          <w:ilvl w:val="0"/>
          <w:numId w:val="18"/>
        </w:numPr>
        <w:snapToGrid w:val="0"/>
        <w:ind w:left="567" w:hanging="283"/>
        <w:rPr>
          <w:rFonts w:asciiTheme="majorBidi" w:hAnsiTheme="majorBidi" w:cstheme="majorBidi"/>
          <w:b w:val="0"/>
          <w:i/>
          <w:color w:val="0D0D0D" w:themeColor="text1" w:themeTint="F2"/>
          <w:sz w:val="24"/>
          <w:szCs w:val="24"/>
          <w:lang w:val="sq-AL"/>
        </w:rPr>
      </w:pPr>
      <w:r w:rsidRPr="005208DC">
        <w:rPr>
          <w:rFonts w:asciiTheme="majorBidi" w:hAnsiTheme="majorBidi" w:cstheme="majorBidi"/>
          <w:b w:val="0"/>
          <w:i/>
          <w:color w:val="0D0D0D" w:themeColor="text1" w:themeTint="F2"/>
          <w:sz w:val="24"/>
          <w:szCs w:val="24"/>
          <w:lang w:val="sq-AL"/>
        </w:rPr>
        <w:t>Analiza e pengesave kryesore</w:t>
      </w:r>
    </w:p>
    <w:p w14:paraId="33834281" w14:textId="77777777" w:rsidR="00A86175" w:rsidRPr="005208DC" w:rsidRDefault="00A86175" w:rsidP="00857902">
      <w:pPr>
        <w:jc w:val="both"/>
        <w:rPr>
          <w:rFonts w:ascii="Times New Roman" w:eastAsia="MS Mincho" w:hAnsi="Times New Roman"/>
          <w:color w:val="0D0D0D" w:themeColor="text1" w:themeTint="F2"/>
          <w:lang w:val="sq-AL"/>
        </w:rPr>
      </w:pPr>
      <w:r w:rsidRPr="005208DC">
        <w:rPr>
          <w:rFonts w:ascii="Times New Roman" w:eastAsia="MS Mincho" w:hAnsi="Times New Roman"/>
          <w:color w:val="0D0D0D" w:themeColor="text1" w:themeTint="F2"/>
          <w:lang w:val="sq-AL"/>
        </w:rPr>
        <w:t xml:space="preserve">Infrastruktura digjitale dhe broadband janë thelbësore për të gjitha zhvillimet e tjera në integrimin digjital dhe ndikon në të gjithë sektorët e ekonomisë. Infrastruktura digjitale është një parakusht për zhvillimet e ekonomisë digjitale në industrinë inovative, e-qeverisjen, e-shëndetësinë, ofrimin e shërbimeve të ndërveprueshme, ofrimin e shërbimeve ndërkufitare etj. Siç u demonstrua gjatë krizës pandemike të COVID-19, lidhja digjitale ishte një domosdoshmëri jetike për qytetarët dhe bizneset. </w:t>
      </w:r>
    </w:p>
    <w:p w14:paraId="4D9B293A" w14:textId="77777777" w:rsidR="00A86175" w:rsidRPr="005208DC" w:rsidRDefault="00A86175" w:rsidP="00857902">
      <w:pPr>
        <w:jc w:val="both"/>
        <w:rPr>
          <w:rFonts w:ascii="Times New Roman" w:hAnsi="Times New Roman"/>
          <w:bCs/>
          <w:color w:val="0D0D0D" w:themeColor="text1" w:themeTint="F2"/>
          <w:lang w:val="sq-AL" w:eastAsia="sq-AL"/>
        </w:rPr>
      </w:pPr>
      <w:r w:rsidRPr="005208DC">
        <w:rPr>
          <w:rFonts w:ascii="Times New Roman" w:hAnsi="Times New Roman"/>
          <w:bCs/>
          <w:color w:val="0D0D0D" w:themeColor="text1" w:themeTint="F2"/>
          <w:lang w:val="sq-AL" w:eastAsia="sq-AL"/>
        </w:rPr>
        <w:t>Zhvillimi broadband është një nga prioritetet kryesore në dokumentet strategjike në Shqipëri. Shqipëria ka miratuar një Plan Kombëtar për Zhvillimin e Qëndrueshëm të Infrastrukturës Digjitale Broadband 2020-2025 me vendim të Këshillit të Ministrave Nr 434 datë 3.6.2020. Plani ka përcaktuar tre objektiva strategjike për zhvillimin e broadband si në vijim:</w:t>
      </w:r>
    </w:p>
    <w:p w14:paraId="54897228" w14:textId="77777777" w:rsidR="00A86175" w:rsidRPr="005208DC" w:rsidRDefault="00A86175" w:rsidP="00F957E8">
      <w:pPr>
        <w:pStyle w:val="ListParagraph"/>
        <w:widowControl/>
        <w:numPr>
          <w:ilvl w:val="0"/>
          <w:numId w:val="109"/>
        </w:numPr>
        <w:rPr>
          <w:rFonts w:ascii="Times New Roman" w:hAnsi="Times New Roman"/>
          <w:bCs/>
          <w:color w:val="0D0D0D" w:themeColor="text1" w:themeTint="F2"/>
          <w:lang w:val="sq-AL" w:eastAsia="sq-AL"/>
        </w:rPr>
      </w:pPr>
      <w:r w:rsidRPr="005208DC">
        <w:rPr>
          <w:rFonts w:ascii="Times New Roman" w:hAnsi="Times New Roman"/>
          <w:bCs/>
          <w:color w:val="0D0D0D" w:themeColor="text1" w:themeTint="F2"/>
          <w:lang w:val="sq-AL" w:eastAsia="sq-AL"/>
        </w:rPr>
        <w:t>Objektivi strategjik 1: Zhvillim i qëndrueshëm i infrastrukturës broadband</w:t>
      </w:r>
    </w:p>
    <w:p w14:paraId="37ED4B70" w14:textId="77777777" w:rsidR="00A86175" w:rsidRPr="005208DC" w:rsidRDefault="00A86175" w:rsidP="00F957E8">
      <w:pPr>
        <w:pStyle w:val="ListParagraph"/>
        <w:widowControl/>
        <w:numPr>
          <w:ilvl w:val="0"/>
          <w:numId w:val="109"/>
        </w:numPr>
        <w:rPr>
          <w:rFonts w:ascii="Times New Roman" w:hAnsi="Times New Roman"/>
          <w:bCs/>
          <w:color w:val="0D0D0D" w:themeColor="text1" w:themeTint="F2"/>
          <w:lang w:val="sq-AL" w:eastAsia="sq-AL"/>
        </w:rPr>
      </w:pPr>
      <w:r w:rsidRPr="005208DC">
        <w:rPr>
          <w:rFonts w:ascii="Times New Roman" w:hAnsi="Times New Roman"/>
          <w:bCs/>
          <w:color w:val="0D0D0D" w:themeColor="text1" w:themeTint="F2"/>
          <w:lang w:val="sq-AL" w:eastAsia="sq-AL"/>
        </w:rPr>
        <w:t>Objektivi strategjik 2: Reduktimi i ndarjes digjitale dhe ofrimi i shërbimeve broadband gjithëpërfshirëse</w:t>
      </w:r>
    </w:p>
    <w:p w14:paraId="2573D889" w14:textId="77777777" w:rsidR="00A86175" w:rsidRPr="005208DC" w:rsidRDefault="00A86175" w:rsidP="00F957E8">
      <w:pPr>
        <w:pStyle w:val="ListParagraph"/>
        <w:widowControl/>
        <w:numPr>
          <w:ilvl w:val="0"/>
          <w:numId w:val="109"/>
        </w:numPr>
        <w:rPr>
          <w:rFonts w:ascii="Times New Roman" w:hAnsi="Times New Roman"/>
          <w:bCs/>
          <w:color w:val="0D0D0D" w:themeColor="text1" w:themeTint="F2"/>
          <w:lang w:val="sq-AL" w:eastAsia="sq-AL"/>
        </w:rPr>
      </w:pPr>
      <w:r w:rsidRPr="005208DC">
        <w:rPr>
          <w:rFonts w:ascii="Times New Roman" w:hAnsi="Times New Roman"/>
          <w:bCs/>
          <w:color w:val="0D0D0D" w:themeColor="text1" w:themeTint="F2"/>
          <w:lang w:val="sq-AL" w:eastAsia="sq-AL"/>
        </w:rPr>
        <w:t>Objektivi strategjik 3: Rritje e kërkesës për zhvillimin e ekonomisë digjitale dhe një shoqërie Gigabit.</w:t>
      </w:r>
    </w:p>
    <w:p w14:paraId="6846D93B" w14:textId="77777777" w:rsidR="00A86175" w:rsidRPr="005208DC" w:rsidRDefault="00A86175" w:rsidP="00857902">
      <w:pPr>
        <w:jc w:val="both"/>
        <w:rPr>
          <w:rFonts w:ascii="Times New Roman" w:hAnsi="Times New Roman"/>
          <w:bCs/>
          <w:color w:val="0D0D0D" w:themeColor="text1" w:themeTint="F2"/>
          <w:lang w:val="sq-AL" w:eastAsia="sq-AL"/>
        </w:rPr>
      </w:pPr>
      <w:r w:rsidRPr="005208DC">
        <w:rPr>
          <w:rFonts w:ascii="Times New Roman" w:hAnsi="Times New Roman"/>
          <w:bCs/>
          <w:color w:val="0D0D0D" w:themeColor="text1" w:themeTint="F2"/>
          <w:lang w:val="sq-AL" w:eastAsia="sq-AL"/>
        </w:rPr>
        <w:t>Plani synon të avancojë më tej zhvillimin e infrastrukturës broadband në të gjithë vendin dhe të adresojë ndarjen digjitale. Katër shtyllat kryesore në të cilat është ndërtuar Plani i Ri Kombëtar Broadband janë: 1) Ndërtimi i infrastrukturës broadband; 2) Forcimi i financimit dhe zgjerimi i bazës së financimit; 3) Menaxhimi i spektrit; dhe 4) Konkurrencë e qëndrueshme. Një element i ri kryesor në PKB përfshin mundësinë e planifikuar të financimit publik përmes Ndihmës Shtetërore dhe Detyrimit të Shërbimit Universal për mbulimin e mëtejshëm të infrastrukturës në zonat rurale dhe të thella. Plani Kombëtar i Broadband ka përcaktuar objektivat për të rritur depërtimin broadband. Zhvillimi i infrastrukturës digjitale dhe broadband kërkon investime të mëdha dhe krijimin e sinergjisë midis të gjitha projekteve të infrastrukturës dhe projekteve që lidhen në nivelin qëndror dhe lokal.</w:t>
      </w:r>
    </w:p>
    <w:p w14:paraId="442182E8" w14:textId="77777777" w:rsidR="00A86175" w:rsidRPr="005208DC" w:rsidRDefault="00A86175" w:rsidP="00857902">
      <w:pPr>
        <w:rPr>
          <w:rFonts w:ascii="Times New Roman" w:hAnsi="Times New Roman"/>
          <w:bCs/>
          <w:color w:val="0D0D0D" w:themeColor="text1" w:themeTint="F2"/>
          <w:lang w:val="sq-AL" w:eastAsia="sq-AL"/>
        </w:rPr>
      </w:pPr>
      <w:r w:rsidRPr="005208DC">
        <w:rPr>
          <w:rFonts w:ascii="Times New Roman" w:hAnsi="Times New Roman"/>
          <w:bCs/>
          <w:color w:val="0D0D0D" w:themeColor="text1" w:themeTint="F2"/>
          <w:lang w:val="sq-AL" w:eastAsia="sq-AL"/>
        </w:rPr>
        <w:t>Një Studim i plotë Fizibiliteti për zhvillimin e broadband u përgatit me mbështetjen e BE-së përmes projektit</w:t>
      </w:r>
      <w:r w:rsidRPr="005208DC">
        <w:rPr>
          <w:rFonts w:ascii="Times New Roman" w:hAnsi="Times New Roman"/>
          <w:color w:val="0D0D0D" w:themeColor="text1" w:themeTint="F2"/>
          <w:vertAlign w:val="superscript"/>
          <w:lang w:val="sq-AL"/>
        </w:rPr>
        <w:footnoteReference w:id="8"/>
      </w:r>
      <w:r w:rsidRPr="005208DC">
        <w:rPr>
          <w:rFonts w:ascii="Times New Roman" w:hAnsi="Times New Roman"/>
          <w:bCs/>
          <w:color w:val="0D0D0D" w:themeColor="text1" w:themeTint="F2"/>
          <w:lang w:val="sq-AL" w:eastAsia="sq-AL"/>
        </w:rPr>
        <w:t xml:space="preserve"> </w:t>
      </w:r>
      <w:r w:rsidRPr="005208DC">
        <w:rPr>
          <w:rFonts w:ascii="Times New Roman" w:hAnsi="Times New Roman"/>
          <w:color w:val="0D0D0D" w:themeColor="text1" w:themeTint="F2"/>
          <w:lang w:val="sq-AL"/>
        </w:rPr>
        <w:t xml:space="preserve">të </w:t>
      </w:r>
      <w:r w:rsidRPr="005208DC">
        <w:rPr>
          <w:rFonts w:ascii="Times New Roman" w:hAnsi="Times New Roman"/>
          <w:bCs/>
          <w:color w:val="0D0D0D" w:themeColor="text1" w:themeTint="F2"/>
          <w:lang w:val="sq-AL" w:eastAsia="sq-AL"/>
        </w:rPr>
        <w:t>WBIF. Studimi i fizibilitetit ka vlerësuar kostot e investimeve për investime broadband në projekte të ardhshme në zona të bardha, zona gri dhe zona të zeza nën skenarë të ndryshëm. Zhvillimi i rrjeteve broadband kërkon investime të mëdha sidomos për të mbuluar zonat e bardha.</w:t>
      </w:r>
    </w:p>
    <w:p w14:paraId="441591AD" w14:textId="77777777" w:rsidR="00A86175" w:rsidRPr="005208DC" w:rsidRDefault="00A86175" w:rsidP="00857902">
      <w:pPr>
        <w:jc w:val="both"/>
        <w:rPr>
          <w:rFonts w:ascii="Times New Roman" w:eastAsia="MS Mincho" w:hAnsi="Times New Roman"/>
          <w:color w:val="0D0D0D" w:themeColor="text1" w:themeTint="F2"/>
          <w:lang w:val="sq-AL"/>
        </w:rPr>
      </w:pPr>
      <w:r w:rsidRPr="005208DC">
        <w:rPr>
          <w:rFonts w:ascii="Times New Roman" w:eastAsia="MS Mincho" w:hAnsi="Times New Roman"/>
          <w:color w:val="0D0D0D" w:themeColor="text1" w:themeTint="F2"/>
          <w:lang w:val="sq-AL"/>
        </w:rPr>
        <w:t>Kuadri ligjor kryesor për telekomunikacionin dhe broadband-in është ligji nr. 9918 datë 19.5.2008 “Për komunikimet elektronike në Republikën e Shqipërisë” i amenduar. Ky ligj është bazuar në paketën e BE për komunikimet elektronike 2002, amenduar nga direktiva 2009. Shqipëria ka miratuar gjithashtu Ligjin nr. 120, datë 24.11.2016 për zhvillimin e broadband</w:t>
      </w:r>
      <w:r w:rsidRPr="005208DC">
        <w:rPr>
          <w:rFonts w:ascii="Times New Roman" w:eastAsia="MS Mincho" w:hAnsi="Times New Roman"/>
          <w:color w:val="0D0D0D" w:themeColor="text1" w:themeTint="F2"/>
          <w:vertAlign w:val="superscript"/>
          <w:lang w:val="sq-AL"/>
        </w:rPr>
        <w:footnoteReference w:id="9"/>
      </w:r>
      <w:r w:rsidRPr="005208DC">
        <w:rPr>
          <w:rFonts w:ascii="Times New Roman" w:eastAsia="MS Mincho" w:hAnsi="Times New Roman"/>
          <w:color w:val="0D0D0D" w:themeColor="text1" w:themeTint="F2"/>
          <w:lang w:val="sq-AL"/>
        </w:rPr>
        <w:t>. Ky ligj synon të rrisë investimet, të përmirësojë depërtimin e broadband-it, të rrisë efikasitetin e infrastrukturës ekzistuese përmes ndarjes së infrastrukturës, si dhe do të rrisë konkurrencën. Përveç kësaj, ky ligj ka edhe disa përfitime sociale dhe mjedisore. Zbatimi i Ligjit nr. 120/2016 është në proces. OST (Operatori i Sistemit të Transmetimit), ofruesi i energjisë elektrike, së fundmi është pajisur me Autorizim nga AKEP, për ofrimin e shërbimeve telekomunikuese, sigurimin e aksesit me brez të gjerë mbi fijet optike OST.</w:t>
      </w:r>
    </w:p>
    <w:p w14:paraId="4A4690FB" w14:textId="1EE7F353" w:rsidR="00A86175" w:rsidRPr="005208DC" w:rsidRDefault="00A86175" w:rsidP="00857902">
      <w:pPr>
        <w:jc w:val="both"/>
        <w:rPr>
          <w:rFonts w:ascii="Times New Roman" w:eastAsia="MS Mincho" w:hAnsi="Times New Roman"/>
          <w:color w:val="0D0D0D" w:themeColor="text1" w:themeTint="F2"/>
          <w:lang w:val="sq-AL"/>
        </w:rPr>
      </w:pPr>
      <w:r w:rsidRPr="005208DC">
        <w:rPr>
          <w:rFonts w:ascii="Times New Roman" w:eastAsia="MS Mincho" w:hAnsi="Times New Roman"/>
          <w:color w:val="0D0D0D" w:themeColor="text1" w:themeTint="F2"/>
          <w:lang w:val="sq-AL"/>
        </w:rPr>
        <w:t>Gjatë vitit 2020, Këshilli i Ministrave miratoi dokumentin e Politikës Spektrale. Ky dokument përcakton programin shumëvjeçar të politikës së spektrit që synon një planifikim strategjik dhe harmonizimin e përdorimit të spektrit të frekuencave për të siguruar përdorimin efikas të spektrit të frekuencave në përputhje me politikat e BE-së për përdorimin e spektrit të frekuencave, në fushën e komunikimeve elektronike, kërkimit, zhvillimit teknologjik dhe hapësinor, transportit, energjisë dhe transmetimit audio-vizual.</w:t>
      </w:r>
    </w:p>
    <w:p w14:paraId="51C17A00" w14:textId="3B4E588E" w:rsidR="00A86175" w:rsidRPr="005208DC" w:rsidRDefault="00A86175" w:rsidP="00857902">
      <w:pPr>
        <w:jc w:val="both"/>
        <w:rPr>
          <w:rFonts w:ascii="Times New Roman" w:eastAsia="MS Mincho" w:hAnsi="Times New Roman"/>
          <w:color w:val="0D0D0D" w:themeColor="text1" w:themeTint="F2"/>
          <w:lang w:val="sq-AL"/>
        </w:rPr>
      </w:pPr>
      <w:r w:rsidRPr="005208DC">
        <w:rPr>
          <w:rFonts w:ascii="Times New Roman" w:eastAsia="MS Mincho" w:hAnsi="Times New Roman"/>
          <w:color w:val="0D0D0D" w:themeColor="text1" w:themeTint="F2"/>
          <w:lang w:val="sq-AL"/>
        </w:rPr>
        <w:t>Në Dhjetor 2018, Bashkimi Europian ka aprovuar kodin e ri të komunikimeve elektronike nga Direktiva 2018/1972/EU. Kodi i ri i komunikimeve elektronike zëvendëson paketën rregullatore të BE për komunikimet elektronike 2002/19/EC, 2002/20/EC, 2002/22/EC, 2002/21/EC të amenduar. Dispozitat e kodit përfshijnë masa për të stimuluar investimet dhe marrjen e rrjeteve me kapacitet shumë të lartë në Bashkimin Evropian, rregulla të reja të spektrit për lidhjen mobile dhe 5G, si dhe ndryshimet në qeverisje, regjimin e shërbimit universal, rregullat e mbrojtjes së përdoruesit fundorë, dhe rregullat e numërimit dhe të komunikimit urgjent. Transpozimi i kësaj direktive të re në legjislacionin kombëtar është planifikuar të bëhet gjatë vitit 2022.</w:t>
      </w:r>
    </w:p>
    <w:p w14:paraId="15F6C84E" w14:textId="7F760337" w:rsidR="00A86175" w:rsidRPr="005208DC" w:rsidRDefault="00A86175" w:rsidP="00857902">
      <w:pPr>
        <w:snapToGrid w:val="0"/>
        <w:rPr>
          <w:rFonts w:asciiTheme="majorBidi" w:hAnsiTheme="majorBidi" w:cstheme="majorBidi"/>
          <w:color w:val="0D0D0D" w:themeColor="text1" w:themeTint="F2"/>
          <w:lang w:val="sq-AL"/>
        </w:rPr>
      </w:pPr>
      <w:r w:rsidRPr="005208DC">
        <w:rPr>
          <w:rFonts w:ascii="Times New Roman" w:eastAsia="MS Mincho" w:hAnsi="Times New Roman"/>
          <w:color w:val="0D0D0D" w:themeColor="text1" w:themeTint="F2"/>
          <w:lang w:val="sq-AL"/>
        </w:rPr>
        <w:t>Bazuar në Urdhrin e Kryeministrit nr. 157 datë 22.10.2018, “Mbi masat për zbatimin e një qasje të gjerë sektoriale / ndër-sektoriale, si dhe krijimin dhe funksionimin e mekanizmit të integruar sektorial /ndër-sektorial” u krijuan Komitetet GMIP (Grupet e Menaxhimit të Integruar të Programit) dhe Komitetet Sektoriale Drejtuese. Komiteti Drejtues Sektorial i "Connectivity" drejtohet nga Ministria e Infrastrukturës dhe Energjisë. Telekomunikacioni dhe Broadband-i është një grup specifik tematik pjesë e Komitetit të Lidhjes.</w:t>
      </w:r>
    </w:p>
    <w:p w14:paraId="376F049F" w14:textId="77777777" w:rsidR="00A86175" w:rsidRPr="005208DC" w:rsidRDefault="00A86175" w:rsidP="00857902">
      <w:pPr>
        <w:snapToGrid w:val="0"/>
        <w:rPr>
          <w:rFonts w:asciiTheme="majorBidi" w:hAnsiTheme="majorBidi" w:cstheme="majorBidi"/>
          <w:color w:val="0D0D0D" w:themeColor="text1" w:themeTint="F2"/>
          <w:lang w:val="sq-AL"/>
        </w:rPr>
      </w:pPr>
    </w:p>
    <w:p w14:paraId="3FBEBE2B" w14:textId="16BACB83" w:rsidR="00263B19" w:rsidRPr="005208DC" w:rsidRDefault="00B2062A" w:rsidP="00857902">
      <w:pPr>
        <w:pStyle w:val="Heading4"/>
        <w:numPr>
          <w:ilvl w:val="0"/>
          <w:numId w:val="18"/>
        </w:numPr>
        <w:snapToGrid w:val="0"/>
        <w:ind w:left="567" w:hanging="283"/>
        <w:rPr>
          <w:rFonts w:asciiTheme="majorBidi" w:hAnsiTheme="majorBidi" w:cstheme="majorBidi"/>
          <w:b w:val="0"/>
          <w:i/>
          <w:color w:val="0D0D0D" w:themeColor="text1" w:themeTint="F2"/>
          <w:sz w:val="24"/>
          <w:szCs w:val="24"/>
          <w:lang w:val="sq-AL"/>
        </w:rPr>
      </w:pPr>
      <w:r w:rsidRPr="005208DC">
        <w:rPr>
          <w:rFonts w:asciiTheme="majorBidi" w:hAnsiTheme="majorBidi" w:cstheme="majorBidi"/>
          <w:b w:val="0"/>
          <w:i/>
          <w:color w:val="0D0D0D" w:themeColor="text1" w:themeTint="F2"/>
          <w:sz w:val="24"/>
          <w:szCs w:val="24"/>
          <w:lang w:val="sq-AL"/>
        </w:rPr>
        <w:t>Masat e reformës</w:t>
      </w:r>
    </w:p>
    <w:p w14:paraId="13924E51" w14:textId="7E6C7269" w:rsidR="00263B19" w:rsidRPr="005208DC" w:rsidRDefault="00B2062A" w:rsidP="00857902">
      <w:pPr>
        <w:pStyle w:val="Heading5"/>
        <w:snapToGrid w:val="0"/>
        <w:ind w:left="0"/>
        <w:rPr>
          <w:rFonts w:asciiTheme="majorBidi" w:hAnsiTheme="majorBidi" w:cstheme="majorBidi"/>
          <w:i w:val="0"/>
          <w:color w:val="0D0D0D" w:themeColor="text1" w:themeTint="F2"/>
          <w:sz w:val="24"/>
          <w:szCs w:val="24"/>
          <w:lang w:val="sq-AL"/>
        </w:rPr>
      </w:pPr>
      <w:r w:rsidRPr="005208DC">
        <w:rPr>
          <w:rFonts w:asciiTheme="majorBidi" w:hAnsiTheme="majorBidi" w:cstheme="majorBidi"/>
          <w:i w:val="0"/>
          <w:color w:val="0D0D0D" w:themeColor="text1" w:themeTint="F2"/>
          <w:sz w:val="24"/>
          <w:szCs w:val="24"/>
          <w:lang w:val="sq-AL"/>
        </w:rPr>
        <w:t>Masa e reformës</w:t>
      </w:r>
      <w:r w:rsidR="005358F8" w:rsidRPr="005208DC">
        <w:rPr>
          <w:rFonts w:asciiTheme="majorBidi" w:hAnsiTheme="majorBidi" w:cstheme="majorBidi"/>
          <w:i w:val="0"/>
          <w:color w:val="0D0D0D" w:themeColor="text1" w:themeTint="F2"/>
          <w:sz w:val="24"/>
          <w:szCs w:val="24"/>
          <w:lang w:val="sq-AL"/>
        </w:rPr>
        <w:t xml:space="preserve"> 11</w:t>
      </w:r>
      <w:r w:rsidR="00263B19" w:rsidRPr="005208DC">
        <w:rPr>
          <w:rFonts w:asciiTheme="majorBidi" w:hAnsiTheme="majorBidi" w:cstheme="majorBidi"/>
          <w:i w:val="0"/>
          <w:color w:val="0D0D0D" w:themeColor="text1" w:themeTint="F2"/>
          <w:sz w:val="24"/>
          <w:szCs w:val="24"/>
          <w:lang w:val="sq-AL"/>
        </w:rPr>
        <w:t xml:space="preserve">: </w:t>
      </w:r>
      <w:r w:rsidR="00A86175" w:rsidRPr="005208DC">
        <w:rPr>
          <w:rFonts w:asciiTheme="majorBidi" w:hAnsiTheme="majorBidi" w:cstheme="majorBidi"/>
          <w:i w:val="0"/>
          <w:color w:val="0D0D0D" w:themeColor="text1" w:themeTint="F2"/>
          <w:sz w:val="24"/>
          <w:szCs w:val="24"/>
          <w:lang w:val="sq-AL"/>
        </w:rPr>
        <w:t>Zhvillimi i infrastrukturës broadband për ekonominë digjitale</w:t>
      </w:r>
    </w:p>
    <w:p w14:paraId="6ED332F8" w14:textId="4E84681A" w:rsidR="00263B19" w:rsidRPr="005208DC" w:rsidRDefault="00B2062A" w:rsidP="00857902">
      <w:pPr>
        <w:pStyle w:val="Heading6"/>
        <w:numPr>
          <w:ilvl w:val="0"/>
          <w:numId w:val="19"/>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Përshkrimi i masës</w:t>
      </w:r>
    </w:p>
    <w:p w14:paraId="1B8A62E9" w14:textId="179DDDE4" w:rsidR="00A86175" w:rsidRPr="005208DC" w:rsidRDefault="00A86175" w:rsidP="00857902">
      <w:pPr>
        <w:jc w:val="both"/>
        <w:rPr>
          <w:rFonts w:ascii="Times New Roman" w:eastAsia="MS Mincho" w:hAnsi="Times New Roman"/>
          <w:color w:val="0D0D0D" w:themeColor="text1" w:themeTint="F2"/>
          <w:lang w:val="sq-AL"/>
        </w:rPr>
      </w:pPr>
      <w:r w:rsidRPr="005208DC">
        <w:rPr>
          <w:rFonts w:ascii="Times New Roman" w:eastAsia="MS Mincho" w:hAnsi="Times New Roman"/>
          <w:color w:val="0D0D0D" w:themeColor="text1" w:themeTint="F2"/>
          <w:lang w:val="sq-AL"/>
        </w:rPr>
        <w:t xml:space="preserve">Zhvillimi i infrastrukturës broadband është një nga çështjet më të rëndësishme për zhvillimin ekonomik dhe social. Infrastruktura digjitale dhe digjitalizimi janë pjesë e dokumenteve strategjike rajonale. Zhvillimi Broadband është në përputhje me Agjendën Digjitale te BE-së, </w:t>
      </w:r>
      <w:r w:rsidRPr="005208DC">
        <w:rPr>
          <w:rFonts w:ascii="Times New Roman" w:hAnsi="Times New Roman"/>
          <w:bCs/>
          <w:color w:val="0D0D0D" w:themeColor="text1" w:themeTint="F2"/>
          <w:lang w:val="sq-AL" w:eastAsia="sq-AL"/>
        </w:rPr>
        <w:t xml:space="preserve">është </w:t>
      </w:r>
      <w:r w:rsidRPr="005208DC">
        <w:rPr>
          <w:rFonts w:ascii="Times New Roman" w:eastAsia="MS Mincho" w:hAnsi="Times New Roman"/>
          <w:color w:val="0D0D0D" w:themeColor="text1" w:themeTint="F2"/>
          <w:lang w:val="sq-AL"/>
        </w:rPr>
        <w:t xml:space="preserve">pjesë e përparësive të Strategjisë SEE-2020 nën shtyllën e rritjes inteligjente dhe gjithashtu pjesë e MAP-REA e WB6 të miratuar në Samitin e Trieste më 12 korrik 2017. Për më tepër, infrastruktura digjitale, zhvillimi dhe shtrirja e infrastrukturës kombëtare broadband në gjashtë vendet e Ballkanit Perëndimor është një nga shtyllat kryesore të Planit Ekonomik dhe të Investimeve për Ballkanin Perëndimor të miratuar nga Komisioni Evropian më 6 tetor </w:t>
      </w:r>
      <w:r w:rsidRPr="005208DC">
        <w:rPr>
          <w:rFonts w:ascii="Times New Roman" w:hAnsi="Times New Roman"/>
          <w:bCs/>
          <w:color w:val="0D0D0D" w:themeColor="text1" w:themeTint="F2"/>
          <w:lang w:val="sq-AL" w:eastAsia="sq-AL"/>
        </w:rPr>
        <w:t>2020</w:t>
      </w:r>
      <w:r w:rsidRPr="005208DC">
        <w:rPr>
          <w:bCs/>
          <w:color w:val="0D0D0D" w:themeColor="text1" w:themeTint="F2"/>
          <w:vertAlign w:val="superscript"/>
          <w:lang w:val="sq-AL" w:eastAsia="sq-AL"/>
        </w:rPr>
        <w:footnoteReference w:id="10"/>
      </w:r>
      <w:r w:rsidRPr="005208DC">
        <w:rPr>
          <w:rFonts w:ascii="Times New Roman" w:hAnsi="Times New Roman"/>
          <w:bCs/>
          <w:color w:val="0D0D0D" w:themeColor="text1" w:themeTint="F2"/>
          <w:vertAlign w:val="superscript"/>
          <w:lang w:val="sq-AL" w:eastAsia="sq-AL"/>
        </w:rPr>
        <w:t>.</w:t>
      </w:r>
      <w:r w:rsidRPr="005208DC">
        <w:rPr>
          <w:rFonts w:ascii="Times New Roman" w:eastAsia="MS Mincho" w:hAnsi="Times New Roman"/>
          <w:color w:val="0D0D0D" w:themeColor="text1" w:themeTint="F2"/>
          <w:lang w:val="sq-AL"/>
        </w:rPr>
        <w:t>. Prandaj, Komisioni po paraqet së bashku me këtë Komunikim, një Agjendë të Gjelbër për Ballkanin Perëndimor, siç parashikohet në Marrëveshjen e Gjelbër Evropiane. Marrëveshja e Gjelbër Evropiane vlerëson se 'teknologjitë dixhitale janë një mundësi e rëndësishme për arritjen e qëllimeve të qëndrueshmërisë së Marrëveshjes së Gjelbër në shumë sektorë të ndryshëm'. ‘Komisioni do të shqyrtojë masat për të siguruar që teknologjitë dixhitale të tilla si inteligjenca artificiale, 5G, “cloud and edge computing” dhe “Internet of Things” mund të përshpejtojnë dhe maksimizojnë ndikimin e politikave për t'u marrë me ndryshimet klimatike dhe për të mbrojtur mjedisin. Digjitalizimi paraqet gjithashtu mundësi të reja për monitorimin në distancë të ndotjes së ajrit dhe ujit, ose për monitorimin dhe optimizmin e përdorimit të energjisë dhe burimeve natyrore.</w:t>
      </w:r>
    </w:p>
    <w:p w14:paraId="77CF6C88" w14:textId="77777777" w:rsidR="00A86175" w:rsidRPr="005208DC" w:rsidRDefault="00A86175" w:rsidP="00857902">
      <w:pPr>
        <w:jc w:val="both"/>
        <w:rPr>
          <w:rFonts w:ascii="Times New Roman" w:eastAsia="MS Mincho" w:hAnsi="Times New Roman"/>
          <w:color w:val="0D0D0D" w:themeColor="text1" w:themeTint="F2"/>
          <w:lang w:val="sq-AL"/>
        </w:rPr>
      </w:pPr>
      <w:r w:rsidRPr="005208DC">
        <w:rPr>
          <w:rFonts w:ascii="Times New Roman" w:eastAsia="MS Mincho" w:hAnsi="Times New Roman"/>
          <w:color w:val="0D0D0D" w:themeColor="text1" w:themeTint="F2"/>
          <w:lang w:val="sq-AL"/>
        </w:rPr>
        <w:t>Masat e reformave të propozuara do të rrisin investimet, do të përmirësojnë depërtimin broadband, do të rrisin efikasitetin e infrastrukturës ekzistuese përmes ndarjes së infrastrukturës, si dhe do të rrisin konkurrencën. Për më tepër, ekzistojnë disa përfitime sociale dhe mjedisore përmes:</w:t>
      </w:r>
    </w:p>
    <w:p w14:paraId="6B838721" w14:textId="77777777" w:rsidR="00A86175" w:rsidRPr="005208DC" w:rsidRDefault="00A86175" w:rsidP="00F957E8">
      <w:pPr>
        <w:numPr>
          <w:ilvl w:val="0"/>
          <w:numId w:val="110"/>
        </w:numPr>
        <w:jc w:val="both"/>
        <w:rPr>
          <w:rFonts w:ascii="Times New Roman" w:eastAsia="MS Mincho" w:hAnsi="Times New Roman"/>
          <w:color w:val="0D0D0D" w:themeColor="text1" w:themeTint="F2"/>
          <w:lang w:val="sq-AL"/>
        </w:rPr>
      </w:pPr>
      <w:r w:rsidRPr="005208DC">
        <w:rPr>
          <w:rFonts w:ascii="Times New Roman" w:eastAsia="MS Mincho" w:hAnsi="Times New Roman"/>
          <w:color w:val="0D0D0D" w:themeColor="text1" w:themeTint="F2"/>
          <w:lang w:val="sq-AL"/>
        </w:rPr>
        <w:t>mbulim më i mirë broadband, që do të thotë kohezion social dhe territorial,</w:t>
      </w:r>
    </w:p>
    <w:p w14:paraId="2FE3E238" w14:textId="77777777" w:rsidR="00A86175" w:rsidRPr="005208DC" w:rsidRDefault="00A86175" w:rsidP="00F957E8">
      <w:pPr>
        <w:numPr>
          <w:ilvl w:val="0"/>
          <w:numId w:val="110"/>
        </w:numPr>
        <w:jc w:val="both"/>
        <w:rPr>
          <w:rFonts w:ascii="Times New Roman" w:eastAsia="MS Mincho" w:hAnsi="Times New Roman"/>
          <w:color w:val="0D0D0D" w:themeColor="text1" w:themeTint="F2"/>
          <w:lang w:val="sq-AL"/>
        </w:rPr>
      </w:pPr>
      <w:r w:rsidRPr="005208DC">
        <w:rPr>
          <w:rFonts w:ascii="Times New Roman" w:eastAsia="MS Mincho" w:hAnsi="Times New Roman"/>
          <w:color w:val="0D0D0D" w:themeColor="text1" w:themeTint="F2"/>
          <w:lang w:val="sq-AL"/>
        </w:rPr>
        <w:t>rrit sinergjitë nëpër sektorë p.sh. rrjete inteligjente dhe sisteme inteligjente transporti</w:t>
      </w:r>
    </w:p>
    <w:p w14:paraId="546A411B" w14:textId="77777777" w:rsidR="00A86175" w:rsidRPr="005208DC" w:rsidRDefault="00A86175" w:rsidP="00F957E8">
      <w:pPr>
        <w:numPr>
          <w:ilvl w:val="0"/>
          <w:numId w:val="110"/>
        </w:numPr>
        <w:jc w:val="both"/>
        <w:rPr>
          <w:rFonts w:ascii="Times New Roman" w:eastAsia="MS Mincho" w:hAnsi="Times New Roman"/>
          <w:color w:val="0D0D0D" w:themeColor="text1" w:themeTint="F2"/>
          <w:lang w:val="sq-AL"/>
        </w:rPr>
      </w:pPr>
      <w:r w:rsidRPr="005208DC">
        <w:rPr>
          <w:rFonts w:ascii="Times New Roman" w:eastAsia="MS Mincho" w:hAnsi="Times New Roman"/>
          <w:color w:val="0D0D0D" w:themeColor="text1" w:themeTint="F2"/>
          <w:lang w:val="sq-AL"/>
        </w:rPr>
        <w:t>më pak dublikime të punimeve civile, më pak gërmime</w:t>
      </w:r>
    </w:p>
    <w:p w14:paraId="0B507C95" w14:textId="77777777" w:rsidR="00A86175" w:rsidRPr="005208DC" w:rsidRDefault="00A86175" w:rsidP="00F957E8">
      <w:pPr>
        <w:numPr>
          <w:ilvl w:val="0"/>
          <w:numId w:val="110"/>
        </w:numPr>
        <w:jc w:val="both"/>
        <w:rPr>
          <w:rFonts w:ascii="Times New Roman" w:eastAsia="MS Mincho" w:hAnsi="Times New Roman"/>
          <w:color w:val="0D0D0D" w:themeColor="text1" w:themeTint="F2"/>
          <w:lang w:val="sq-AL"/>
        </w:rPr>
      </w:pPr>
      <w:r w:rsidRPr="005208DC">
        <w:rPr>
          <w:rFonts w:ascii="Times New Roman" w:eastAsia="MS Mincho" w:hAnsi="Times New Roman"/>
          <w:color w:val="0D0D0D" w:themeColor="text1" w:themeTint="F2"/>
          <w:lang w:val="sq-AL"/>
        </w:rPr>
        <w:t>përmirësim i mjedisit të biznesit përmes transparencës dhe procedurave të thjeshta për lejet e ndërtimit etj.</w:t>
      </w:r>
    </w:p>
    <w:p w14:paraId="29C81674" w14:textId="77777777" w:rsidR="00A86175" w:rsidRPr="005208DC" w:rsidRDefault="00A86175" w:rsidP="00857902">
      <w:pPr>
        <w:jc w:val="both"/>
        <w:rPr>
          <w:rFonts w:ascii="Times New Roman" w:eastAsia="MS Mincho" w:hAnsi="Times New Roman"/>
          <w:color w:val="0D0D0D" w:themeColor="text1" w:themeTint="F2"/>
          <w:lang w:val="sq-AL"/>
        </w:rPr>
      </w:pPr>
      <w:r w:rsidRPr="005208DC">
        <w:rPr>
          <w:rFonts w:ascii="Times New Roman" w:eastAsia="MS Mincho" w:hAnsi="Times New Roman"/>
          <w:color w:val="0D0D0D" w:themeColor="text1" w:themeTint="F2"/>
          <w:lang w:val="sq-AL"/>
        </w:rPr>
        <w:t>Zhvillimi i infrastrukturës broadband është duke ecur paralel me zhvillimin e rëndësishëm në e-qeverisje, e-shërbime, digjitalizim i sistemit TIK në administratën publike që është një element i rëndësishëm për ekosistemin TIK dhe ekonominë digjitale. Kjo pjesë e investimeve është e lidhur me anën e kërkesës së broadband-it.Gjatë krizës së COVID-19, nevojat për lidhje digjitale për trajtim të barabartë/mosdiskriminim/ adresimin e nevojave – për lidhjen digjitale, aftësitë digjitale dhe lidhjet e besueshme janë më të rëndësishme. Zhvillimi broadband, masa 11 e reformës është e lidhur me reformat e tjera të paraqitura në ERP siç është masa 09 e reformës: Përmirësimi i aksesit në financa për NVM-të ku digjitalizimi dhe hyrja në TIK për NVM-të është pjesë e aktiviteteve në këtë reformë. Për më tepër, broadband është i rëndësishëm për arsimin dhe aftësitë digjitale të cilat janë pjesë e masës 14 së reformës. Një draft i ri i Strategjisë Kombëtare për Arsimin 2021-2026 (NSE) është punuar nga Ministria e Arsimit, Sportit dhe Rinisë. Kjo strategji e re përfshin arsimin e lartë dhe arsimin parauniversitar. Digjitalizimi i arsimit dhe aftësive digjitale është pjesë e këtij dokumenti strategjik që u miratua gjatë vitit 2021.</w:t>
      </w:r>
    </w:p>
    <w:p w14:paraId="7C122E10" w14:textId="77777777" w:rsidR="00A86175" w:rsidRPr="005208DC" w:rsidRDefault="00A86175" w:rsidP="00857902">
      <w:pPr>
        <w:jc w:val="both"/>
        <w:rPr>
          <w:rFonts w:ascii="Times New Roman" w:eastAsia="MS Mincho" w:hAnsi="Times New Roman"/>
          <w:color w:val="0D0D0D" w:themeColor="text1" w:themeTint="F2"/>
          <w:lang w:val="sq-AL"/>
        </w:rPr>
      </w:pPr>
      <w:r w:rsidRPr="005208DC">
        <w:rPr>
          <w:rFonts w:ascii="Times New Roman" w:eastAsia="MS Mincho" w:hAnsi="Times New Roman"/>
          <w:color w:val="0D0D0D" w:themeColor="text1" w:themeTint="F2"/>
          <w:lang w:val="sq-AL"/>
        </w:rPr>
        <w:t>Pjesë e planit për të zbatuar këtë reformë gjatë viteve të ardhshme do të jenë:</w:t>
      </w:r>
    </w:p>
    <w:p w14:paraId="607E186B" w14:textId="2DE18D6F" w:rsidR="00A86175" w:rsidRPr="005208DC" w:rsidRDefault="00A86175"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Ngritja e zyrave rajonale/kombëtare kompetente për broadband-in. Kapacitetet institucionale në të gjithë ministrinë dhe institucionet e tjera si bashkitë duhet të rriten dhe në përputhje me iniciativat plotësuese të BE-së për të ndihmuar në arritjen e objektivave të shoqërisë Gigabit të BE-së, duhet të krijohen Zyrat Kompetente Broadband, që të shërbejnë si një pikë e vetme kontakti në Shqipëri në nivel kombëtar dhe lokal.</w:t>
      </w:r>
    </w:p>
    <w:p w14:paraId="607B9D68" w14:textId="252752DA" w:rsidR="00A86175" w:rsidRPr="005208DC" w:rsidRDefault="00A86175"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Fillimi i projekteve pilot për zhvillimin e infrastrukturës broadband në zonat rurale dhe të largëta; Projektet do të mbështesin Shqipërinë në zhvillimin infrastrukturës broadband në zonat rurale, duke përgatitur Projektin e Detajuar për projektin e zhvillimit broadband në zonat rurale dhe të largëta. Studimi do t'i sigurojë përfituesit një vlerësim të detajuar të skenarit të vendosjes së broadband dhe veçanërisht për kapërcimin e hendeqeve digjitale të identifikuara.</w:t>
      </w:r>
    </w:p>
    <w:p w14:paraId="01528523" w14:textId="77777777" w:rsidR="00A86175" w:rsidRPr="005208DC" w:rsidRDefault="00A86175" w:rsidP="00F957E8">
      <w:pPr>
        <w:pStyle w:val="ListParagraph"/>
        <w:widowControl/>
        <w:numPr>
          <w:ilvl w:val="0"/>
          <w:numId w:val="110"/>
        </w:num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Krijimi i sinergjive me projekte shërbimesh: ndjekja e rekomandimeve të studimit Ballkan Digital Highway.</w:t>
      </w:r>
    </w:p>
    <w:p w14:paraId="24C92D3A" w14:textId="03350C59" w:rsidR="00A86175" w:rsidRPr="005208DC" w:rsidRDefault="00A86175" w:rsidP="00857902">
      <w:pPr>
        <w:jc w:val="both"/>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Inkurajimi i sinergjisë në projektet e shërbimeve si energjia, uji, gazi, transporti, do të jetë gjithashtu një mundësi për të ulur kostot për zhvillimin e infrastrukturës Broadband.</w:t>
      </w:r>
    </w:p>
    <w:p w14:paraId="54D8C856" w14:textId="77777777" w:rsidR="00A86175" w:rsidRPr="005208DC" w:rsidRDefault="00A86175" w:rsidP="00857902">
      <w:pPr>
        <w:jc w:val="both"/>
        <w:rPr>
          <w:rFonts w:asciiTheme="majorBidi" w:hAnsiTheme="majorBidi" w:cstheme="majorBidi"/>
          <w:color w:val="0D0D0D" w:themeColor="text1" w:themeTint="F2"/>
          <w:lang w:val="sq-AL"/>
        </w:rPr>
      </w:pPr>
    </w:p>
    <w:p w14:paraId="5CEED468" w14:textId="43999BBE" w:rsidR="00263B19" w:rsidRPr="005208DC" w:rsidRDefault="00B2062A" w:rsidP="00857902">
      <w:pPr>
        <w:pStyle w:val="ListParagraph"/>
        <w:numPr>
          <w:ilvl w:val="0"/>
          <w:numId w:val="20"/>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263B19" w:rsidRPr="005208DC">
        <w:rPr>
          <w:rFonts w:asciiTheme="majorBidi" w:hAnsiTheme="majorBidi" w:cstheme="majorBidi"/>
          <w:b/>
          <w:color w:val="0D0D0D" w:themeColor="text1" w:themeTint="F2"/>
          <w:sz w:val="24"/>
          <w:szCs w:val="24"/>
          <w:lang w:val="sq-AL"/>
        </w:rPr>
        <w:t xml:space="preserve"> 2022</w:t>
      </w:r>
    </w:p>
    <w:p w14:paraId="063592A0" w14:textId="59EF89A2" w:rsidR="00A86175" w:rsidRPr="005208DC" w:rsidRDefault="00A86175" w:rsidP="00857902">
      <w:pPr>
        <w:pStyle w:val="ListParagraph"/>
        <w:numPr>
          <w:ilvl w:val="0"/>
          <w:numId w:val="21"/>
        </w:numPr>
        <w:jc w:val="both"/>
        <w:rPr>
          <w:rFonts w:asciiTheme="majorBidi" w:hAnsiTheme="majorBidi" w:cstheme="majorBidi"/>
          <w:bCs/>
          <w:color w:val="0D0D0D" w:themeColor="text1" w:themeTint="F2"/>
          <w:sz w:val="24"/>
          <w:szCs w:val="24"/>
          <w:lang w:val="sq-AL"/>
        </w:rPr>
      </w:pPr>
      <w:r w:rsidRPr="005208DC">
        <w:rPr>
          <w:rFonts w:ascii="Times New Roman" w:eastAsia="MS Mincho" w:hAnsi="Times New Roman" w:cs="Times New Roman"/>
          <w:color w:val="0D0D0D" w:themeColor="text1" w:themeTint="F2"/>
          <w:lang w:val="sq-AL"/>
        </w:rPr>
        <w:t>Ngritja e zyrave rajonale/kombëtare kompetente për broadband-in (MIE)</w:t>
      </w:r>
    </w:p>
    <w:p w14:paraId="5C2E8D8C" w14:textId="56F2FF51" w:rsidR="00A86175" w:rsidRPr="005208DC" w:rsidRDefault="00A86175" w:rsidP="00857902">
      <w:pPr>
        <w:pStyle w:val="ListParagraph"/>
        <w:numPr>
          <w:ilvl w:val="0"/>
          <w:numId w:val="21"/>
        </w:numPr>
        <w:jc w:val="both"/>
        <w:rPr>
          <w:rFonts w:asciiTheme="majorBidi" w:hAnsiTheme="majorBidi" w:cstheme="majorBidi"/>
          <w:bCs/>
          <w:color w:val="0D0D0D" w:themeColor="text1" w:themeTint="F2"/>
          <w:sz w:val="24"/>
          <w:szCs w:val="24"/>
          <w:lang w:val="sq-AL"/>
        </w:rPr>
      </w:pPr>
      <w:r w:rsidRPr="005208DC">
        <w:rPr>
          <w:rFonts w:ascii="Times New Roman" w:eastAsia="MS Mincho" w:hAnsi="Times New Roman" w:cs="Times New Roman"/>
          <w:color w:val="0D0D0D" w:themeColor="text1" w:themeTint="F2"/>
          <w:lang w:val="sq-AL"/>
        </w:rPr>
        <w:t>Projekti i zhvillimit të Atlasit Broadband (MIE, AKEP)</w:t>
      </w:r>
    </w:p>
    <w:p w14:paraId="12934C97" w14:textId="7EF952CE" w:rsidR="00A86175" w:rsidRPr="005208DC" w:rsidRDefault="00A86175" w:rsidP="00857902">
      <w:pPr>
        <w:pStyle w:val="ListParagraph"/>
        <w:numPr>
          <w:ilvl w:val="0"/>
          <w:numId w:val="21"/>
        </w:numPr>
        <w:jc w:val="both"/>
        <w:rPr>
          <w:rFonts w:asciiTheme="majorBidi" w:hAnsiTheme="majorBidi" w:cstheme="majorBidi"/>
          <w:bCs/>
          <w:color w:val="0D0D0D" w:themeColor="text1" w:themeTint="F2"/>
          <w:sz w:val="24"/>
          <w:szCs w:val="24"/>
          <w:lang w:val="sq-AL"/>
        </w:rPr>
      </w:pPr>
      <w:r w:rsidRPr="005208DC">
        <w:rPr>
          <w:rFonts w:ascii="Times New Roman" w:eastAsia="MS Mincho" w:hAnsi="Times New Roman" w:cs="Times New Roman"/>
          <w:color w:val="0D0D0D" w:themeColor="text1" w:themeTint="F2"/>
          <w:lang w:val="sq-AL"/>
        </w:rPr>
        <w:t>Në vazhdim - Projekti pilot për zhvillimin e infrastrukturës broadband në Zonën 1 (rurale dhe të largëta/zonat turistike në Veri të Shqipërisë (Shkodër, Kukës, Tropojë, Dibër) (MIE)</w:t>
      </w:r>
    </w:p>
    <w:p w14:paraId="0AFC02B2" w14:textId="3DEAAF42" w:rsidR="00A86175" w:rsidRPr="005208DC" w:rsidRDefault="00A86175" w:rsidP="00857902">
      <w:pPr>
        <w:pStyle w:val="ListParagraph"/>
        <w:numPr>
          <w:ilvl w:val="0"/>
          <w:numId w:val="21"/>
        </w:numPr>
        <w:jc w:val="both"/>
        <w:rPr>
          <w:rFonts w:asciiTheme="majorBidi" w:hAnsiTheme="majorBidi" w:cstheme="majorBidi"/>
          <w:bCs/>
          <w:color w:val="0D0D0D" w:themeColor="text1" w:themeTint="F2"/>
          <w:sz w:val="24"/>
          <w:szCs w:val="24"/>
          <w:lang w:val="sq-AL"/>
        </w:rPr>
      </w:pPr>
      <w:r w:rsidRPr="005208DC">
        <w:rPr>
          <w:rFonts w:ascii="Times New Roman" w:eastAsia="MS Mincho" w:hAnsi="Times New Roman" w:cs="Times New Roman"/>
          <w:color w:val="0D0D0D" w:themeColor="text1" w:themeTint="F2"/>
          <w:lang w:val="sq-AL"/>
        </w:rPr>
        <w:t>Në vazhdim - Zhvillimi i infrastrukturës broadband në jug të vendit (zhvillimi broadband në zonat e bardha në Vlorë, Gjirokastër, Fier, Berat, Korçë) (MIE)</w:t>
      </w:r>
    </w:p>
    <w:p w14:paraId="09BF71AC" w14:textId="3CB009BA" w:rsidR="00A86175" w:rsidRPr="005208DC" w:rsidRDefault="00A86175" w:rsidP="00857902">
      <w:pPr>
        <w:pStyle w:val="ListParagraph"/>
        <w:numPr>
          <w:ilvl w:val="0"/>
          <w:numId w:val="21"/>
        </w:numPr>
        <w:jc w:val="both"/>
        <w:rPr>
          <w:rFonts w:asciiTheme="majorBidi" w:hAnsiTheme="majorBidi" w:cstheme="majorBidi"/>
          <w:bCs/>
          <w:color w:val="0D0D0D" w:themeColor="text1" w:themeTint="F2"/>
          <w:sz w:val="24"/>
          <w:szCs w:val="24"/>
          <w:lang w:val="sq-AL"/>
        </w:rPr>
      </w:pPr>
      <w:r w:rsidRPr="005208DC">
        <w:rPr>
          <w:rFonts w:ascii="Times New Roman" w:eastAsia="MS Mincho" w:hAnsi="Times New Roman" w:cs="Times New Roman"/>
          <w:color w:val="0D0D0D" w:themeColor="text1" w:themeTint="F2"/>
          <w:lang w:val="sq-AL"/>
        </w:rPr>
        <w:t>Investime në zonat e bardha (MIE)</w:t>
      </w:r>
    </w:p>
    <w:p w14:paraId="237FA67D" w14:textId="391087DC" w:rsidR="00263B19" w:rsidRPr="005208DC" w:rsidRDefault="00B2062A" w:rsidP="00857902">
      <w:pPr>
        <w:pStyle w:val="ListParagraph"/>
        <w:numPr>
          <w:ilvl w:val="0"/>
          <w:numId w:val="20"/>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263B19" w:rsidRPr="005208DC">
        <w:rPr>
          <w:rFonts w:asciiTheme="majorBidi" w:hAnsiTheme="majorBidi" w:cstheme="majorBidi"/>
          <w:b/>
          <w:color w:val="0D0D0D" w:themeColor="text1" w:themeTint="F2"/>
          <w:sz w:val="24"/>
          <w:szCs w:val="24"/>
          <w:lang w:val="sq-AL"/>
        </w:rPr>
        <w:t xml:space="preserve"> 2023</w:t>
      </w:r>
    </w:p>
    <w:p w14:paraId="4CD2FB8C" w14:textId="0DAB1C9B" w:rsidR="00A86175" w:rsidRPr="005208DC" w:rsidRDefault="00A86175" w:rsidP="00857902">
      <w:pPr>
        <w:pStyle w:val="ListParagraph"/>
        <w:numPr>
          <w:ilvl w:val="0"/>
          <w:numId w:val="47"/>
        </w:numPr>
        <w:jc w:val="both"/>
        <w:rPr>
          <w:rFonts w:ascii="Times New Roman" w:eastAsia="MS Mincho" w:hAnsi="Times New Roman"/>
          <w:color w:val="0D0D0D" w:themeColor="text1" w:themeTint="F2"/>
          <w:lang w:val="sq-AL"/>
        </w:rPr>
      </w:pPr>
      <w:r w:rsidRPr="005208DC">
        <w:rPr>
          <w:rFonts w:ascii="Times New Roman" w:eastAsia="MS Mincho" w:hAnsi="Times New Roman"/>
          <w:color w:val="0D0D0D" w:themeColor="text1" w:themeTint="F2"/>
          <w:lang w:val="sq-AL"/>
        </w:rPr>
        <w:t>Investime në zonat e bardha (MIE)</w:t>
      </w:r>
    </w:p>
    <w:p w14:paraId="57A3DD0C" w14:textId="432FBC64" w:rsidR="00A86175" w:rsidRPr="005208DC" w:rsidRDefault="00A86175" w:rsidP="00857902">
      <w:pPr>
        <w:pStyle w:val="ListParagraph"/>
        <w:numPr>
          <w:ilvl w:val="0"/>
          <w:numId w:val="47"/>
        </w:numPr>
        <w:jc w:val="both"/>
        <w:rPr>
          <w:rFonts w:asciiTheme="majorBidi" w:hAnsiTheme="majorBidi" w:cstheme="majorBidi"/>
          <w:bCs/>
          <w:color w:val="0D0D0D" w:themeColor="text1" w:themeTint="F2"/>
          <w:sz w:val="24"/>
          <w:szCs w:val="24"/>
          <w:lang w:val="sq-AL"/>
        </w:rPr>
      </w:pPr>
      <w:r w:rsidRPr="005208DC">
        <w:rPr>
          <w:rFonts w:ascii="Times New Roman" w:hAnsi="Times New Roman"/>
          <w:color w:val="0D0D0D" w:themeColor="text1" w:themeTint="F2"/>
          <w:lang w:val="sq-AL"/>
        </w:rPr>
        <w:t>Rritja, fuqizimi i kapaciteteve për të nxitur transformimin digjital dhe zhvillimin e infrastrukturës broadband (Institucioni zbatues: MIE institucione të tjera të lidhura)</w:t>
      </w:r>
    </w:p>
    <w:p w14:paraId="16FA1F09" w14:textId="7EA8A27B" w:rsidR="00263B19" w:rsidRPr="005208DC" w:rsidRDefault="00B2062A" w:rsidP="00857902">
      <w:pPr>
        <w:pStyle w:val="ListParagraph"/>
        <w:numPr>
          <w:ilvl w:val="0"/>
          <w:numId w:val="20"/>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263B19" w:rsidRPr="005208DC">
        <w:rPr>
          <w:rFonts w:asciiTheme="majorBidi" w:hAnsiTheme="majorBidi" w:cstheme="majorBidi"/>
          <w:b/>
          <w:color w:val="0D0D0D" w:themeColor="text1" w:themeTint="F2"/>
          <w:sz w:val="24"/>
          <w:szCs w:val="24"/>
          <w:lang w:val="sq-AL"/>
        </w:rPr>
        <w:t xml:space="preserve"> 2024</w:t>
      </w:r>
    </w:p>
    <w:p w14:paraId="14855FA2" w14:textId="165B6742" w:rsidR="00263B19" w:rsidRPr="005208DC" w:rsidRDefault="00A86175" w:rsidP="00857902">
      <w:pPr>
        <w:pStyle w:val="ListParagraph"/>
        <w:numPr>
          <w:ilvl w:val="0"/>
          <w:numId w:val="48"/>
        </w:numPr>
        <w:jc w:val="both"/>
        <w:rPr>
          <w:rFonts w:asciiTheme="majorBidi" w:hAnsiTheme="majorBidi" w:cstheme="majorBidi"/>
          <w:b/>
          <w:color w:val="0D0D0D" w:themeColor="text1" w:themeTint="F2"/>
          <w:sz w:val="24"/>
          <w:szCs w:val="24"/>
          <w:lang w:val="sq-AL"/>
        </w:rPr>
      </w:pPr>
      <w:r w:rsidRPr="005208DC">
        <w:rPr>
          <w:rFonts w:ascii="Times New Roman" w:hAnsi="Times New Roman" w:cs="Times New Roman"/>
          <w:color w:val="0D0D0D" w:themeColor="text1" w:themeTint="F2"/>
          <w:lang w:val="sq-AL"/>
        </w:rPr>
        <w:t>Investime në zonat e bardha (MIE)</w:t>
      </w:r>
    </w:p>
    <w:p w14:paraId="5BB288A4" w14:textId="77777777" w:rsidR="00263B19" w:rsidRPr="005208DC" w:rsidRDefault="00263B19" w:rsidP="00857902">
      <w:pPr>
        <w:snapToGrid w:val="0"/>
        <w:rPr>
          <w:rFonts w:asciiTheme="majorBidi" w:hAnsiTheme="majorBidi" w:cstheme="majorBidi"/>
          <w:color w:val="0D0D0D" w:themeColor="text1" w:themeTint="F2"/>
          <w:lang w:val="sq-AL"/>
        </w:rPr>
      </w:pPr>
    </w:p>
    <w:p w14:paraId="6B30DDA8" w14:textId="32BE20D9" w:rsidR="00263B19" w:rsidRPr="005208DC" w:rsidRDefault="00B2062A" w:rsidP="00857902">
      <w:pPr>
        <w:pStyle w:val="Heading6"/>
        <w:numPr>
          <w:ilvl w:val="0"/>
          <w:numId w:val="19"/>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Treguesit e rezultateve</w:t>
      </w:r>
    </w:p>
    <w:tbl>
      <w:tblPr>
        <w:tblStyle w:val="TableGrid"/>
        <w:tblW w:w="0" w:type="auto"/>
        <w:tblLook w:val="04A0" w:firstRow="1" w:lastRow="0" w:firstColumn="1" w:lastColumn="0" w:noHBand="0" w:noVBand="1"/>
      </w:tblPr>
      <w:tblGrid>
        <w:gridCol w:w="4248"/>
        <w:gridCol w:w="1791"/>
        <w:gridCol w:w="1791"/>
        <w:gridCol w:w="1792"/>
      </w:tblGrid>
      <w:tr w:rsidR="005208DC" w:rsidRPr="005208DC" w14:paraId="5D150E94" w14:textId="77777777" w:rsidTr="004F7D30">
        <w:trPr>
          <w:trHeight w:val="674"/>
        </w:trPr>
        <w:tc>
          <w:tcPr>
            <w:tcW w:w="4248" w:type="dxa"/>
          </w:tcPr>
          <w:p w14:paraId="7C464CD7" w14:textId="45FFC3BA" w:rsidR="00ED2F09"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w:t>
            </w:r>
          </w:p>
        </w:tc>
        <w:tc>
          <w:tcPr>
            <w:tcW w:w="1791" w:type="dxa"/>
          </w:tcPr>
          <w:p w14:paraId="2FFECA7E" w14:textId="0B2C18DD" w:rsidR="00ED2F09"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Bazë</w:t>
            </w:r>
            <w:r w:rsidR="00ED2F09" w:rsidRPr="005208DC">
              <w:rPr>
                <w:rFonts w:asciiTheme="majorBidi" w:hAnsiTheme="majorBidi" w:cstheme="majorBidi"/>
                <w:color w:val="0D0D0D" w:themeColor="text1" w:themeTint="F2"/>
                <w:lang w:val="sq-AL"/>
              </w:rPr>
              <w:t xml:space="preserve"> (2020)</w:t>
            </w:r>
          </w:p>
        </w:tc>
        <w:tc>
          <w:tcPr>
            <w:tcW w:w="1791" w:type="dxa"/>
          </w:tcPr>
          <w:p w14:paraId="5CAB1D50" w14:textId="6CF9864E" w:rsidR="00ED2F09"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 ndërmjetëm</w:t>
            </w:r>
            <w:r w:rsidR="00ED2F09" w:rsidRPr="005208DC">
              <w:rPr>
                <w:rFonts w:asciiTheme="majorBidi" w:hAnsiTheme="majorBidi" w:cstheme="majorBidi"/>
                <w:color w:val="0D0D0D" w:themeColor="text1" w:themeTint="F2"/>
                <w:lang w:val="sq-AL"/>
              </w:rPr>
              <w:t xml:space="preserve"> (2023)</w:t>
            </w:r>
          </w:p>
        </w:tc>
        <w:tc>
          <w:tcPr>
            <w:tcW w:w="1792" w:type="dxa"/>
          </w:tcPr>
          <w:p w14:paraId="2B90623A" w14:textId="7E4389F9" w:rsidR="00ED2F09"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Synimi</w:t>
            </w:r>
            <w:r w:rsidR="00ED2F09" w:rsidRPr="005208DC">
              <w:rPr>
                <w:rFonts w:asciiTheme="majorBidi" w:hAnsiTheme="majorBidi" w:cstheme="majorBidi"/>
                <w:color w:val="0D0D0D" w:themeColor="text1" w:themeTint="F2"/>
                <w:lang w:val="sq-AL"/>
              </w:rPr>
              <w:t xml:space="preserve"> (2025)</w:t>
            </w:r>
          </w:p>
        </w:tc>
      </w:tr>
      <w:tr w:rsidR="005208DC" w:rsidRPr="005208DC" w14:paraId="095E5A99" w14:textId="77777777" w:rsidTr="004F7D30">
        <w:tc>
          <w:tcPr>
            <w:tcW w:w="4248" w:type="dxa"/>
            <w:shd w:val="clear" w:color="auto" w:fill="auto"/>
          </w:tcPr>
          <w:p w14:paraId="0BDD36DC" w14:textId="4E2FDBFE" w:rsidR="00A86175" w:rsidRPr="005208DC" w:rsidRDefault="00A8617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 xml:space="preserve">Rritje e penetrimit të broadbandit fiks, duke përfshirë zonat rurale </w:t>
            </w:r>
          </w:p>
        </w:tc>
        <w:tc>
          <w:tcPr>
            <w:tcW w:w="1791" w:type="dxa"/>
            <w:shd w:val="clear" w:color="auto" w:fill="auto"/>
          </w:tcPr>
          <w:p w14:paraId="408E4966" w14:textId="1D177D9C" w:rsidR="00A86175" w:rsidRPr="005208DC" w:rsidRDefault="00A86175" w:rsidP="00857902">
            <w:pPr>
              <w:snapToGrid w:val="0"/>
              <w:jc w:val="center"/>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58%</w:t>
            </w:r>
          </w:p>
        </w:tc>
        <w:tc>
          <w:tcPr>
            <w:tcW w:w="1791" w:type="dxa"/>
            <w:shd w:val="clear" w:color="auto" w:fill="auto"/>
          </w:tcPr>
          <w:p w14:paraId="2DA29FBA" w14:textId="293A9773" w:rsidR="00A86175" w:rsidRPr="005208DC" w:rsidRDefault="00A86175" w:rsidP="00857902">
            <w:pPr>
              <w:tabs>
                <w:tab w:val="left" w:pos="495"/>
                <w:tab w:val="center" w:pos="787"/>
              </w:tabs>
              <w:snapToGrid w:val="0"/>
              <w:jc w:val="center"/>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70%</w:t>
            </w:r>
          </w:p>
        </w:tc>
        <w:tc>
          <w:tcPr>
            <w:tcW w:w="1792" w:type="dxa"/>
            <w:shd w:val="clear" w:color="auto" w:fill="auto"/>
          </w:tcPr>
          <w:p w14:paraId="52D67BF5" w14:textId="47D0DF15" w:rsidR="00A86175" w:rsidRPr="005208DC" w:rsidRDefault="00A86175" w:rsidP="00857902">
            <w:pPr>
              <w:snapToGrid w:val="0"/>
              <w:jc w:val="center"/>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90%</w:t>
            </w:r>
          </w:p>
        </w:tc>
      </w:tr>
      <w:tr w:rsidR="005208DC" w:rsidRPr="005208DC" w14:paraId="73EAFD92" w14:textId="77777777" w:rsidTr="004F7D30">
        <w:tc>
          <w:tcPr>
            <w:tcW w:w="4248" w:type="dxa"/>
            <w:shd w:val="clear" w:color="auto" w:fill="auto"/>
          </w:tcPr>
          <w:p w14:paraId="03C644FA" w14:textId="32D49FF3" w:rsidR="00A86175" w:rsidRPr="005208DC" w:rsidRDefault="00A8617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Shpejtësia mesatare e internetit në shkolla publike dhe struktura shëndetësore</w:t>
            </w:r>
          </w:p>
        </w:tc>
        <w:tc>
          <w:tcPr>
            <w:tcW w:w="1791" w:type="dxa"/>
            <w:shd w:val="clear" w:color="auto" w:fill="auto"/>
          </w:tcPr>
          <w:p w14:paraId="6850D06F" w14:textId="4A0B5483" w:rsidR="00A86175" w:rsidRPr="005208DC" w:rsidRDefault="00A86175" w:rsidP="00857902">
            <w:pPr>
              <w:snapToGrid w:val="0"/>
              <w:jc w:val="center"/>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6-12 Mbps</w:t>
            </w:r>
          </w:p>
        </w:tc>
        <w:tc>
          <w:tcPr>
            <w:tcW w:w="1791" w:type="dxa"/>
            <w:shd w:val="clear" w:color="auto" w:fill="auto"/>
          </w:tcPr>
          <w:p w14:paraId="7F591334" w14:textId="2FB60F3D" w:rsidR="00A86175" w:rsidRPr="005208DC" w:rsidRDefault="00A86175" w:rsidP="00857902">
            <w:pPr>
              <w:snapToGrid w:val="0"/>
              <w:jc w:val="center"/>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20 Mbps</w:t>
            </w:r>
          </w:p>
        </w:tc>
        <w:tc>
          <w:tcPr>
            <w:tcW w:w="1792" w:type="dxa"/>
            <w:shd w:val="clear" w:color="auto" w:fill="auto"/>
          </w:tcPr>
          <w:p w14:paraId="1742ACC7" w14:textId="76737558" w:rsidR="00A86175" w:rsidRPr="005208DC" w:rsidRDefault="00A86175" w:rsidP="00857902">
            <w:pPr>
              <w:snapToGrid w:val="0"/>
              <w:jc w:val="center"/>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100Mbps</w:t>
            </w:r>
          </w:p>
        </w:tc>
      </w:tr>
      <w:tr w:rsidR="005208DC" w:rsidRPr="005208DC" w14:paraId="2C594208" w14:textId="77777777" w:rsidTr="004F7D30">
        <w:tc>
          <w:tcPr>
            <w:tcW w:w="4248" w:type="dxa"/>
            <w:shd w:val="clear" w:color="auto" w:fill="auto"/>
          </w:tcPr>
          <w:p w14:paraId="190EBB7C" w14:textId="4669972C" w:rsidR="00A86175" w:rsidRPr="005208DC" w:rsidRDefault="00A8617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Rritja e lidhjes broadband për NVM</w:t>
            </w:r>
          </w:p>
        </w:tc>
        <w:tc>
          <w:tcPr>
            <w:tcW w:w="1791" w:type="dxa"/>
            <w:shd w:val="clear" w:color="auto" w:fill="auto"/>
          </w:tcPr>
          <w:p w14:paraId="653B37D2" w14:textId="5BD94388" w:rsidR="00A86175" w:rsidRPr="005208DC" w:rsidRDefault="00A86175" w:rsidP="00857902">
            <w:pPr>
              <w:snapToGrid w:val="0"/>
              <w:jc w:val="center"/>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79.8%</w:t>
            </w:r>
          </w:p>
        </w:tc>
        <w:tc>
          <w:tcPr>
            <w:tcW w:w="1791" w:type="dxa"/>
            <w:shd w:val="clear" w:color="auto" w:fill="auto"/>
          </w:tcPr>
          <w:p w14:paraId="2BD960D6" w14:textId="39009C5D" w:rsidR="00A86175" w:rsidRPr="005208DC" w:rsidRDefault="00A86175" w:rsidP="00857902">
            <w:pPr>
              <w:snapToGrid w:val="0"/>
              <w:jc w:val="center"/>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90%</w:t>
            </w:r>
          </w:p>
        </w:tc>
        <w:tc>
          <w:tcPr>
            <w:tcW w:w="1792" w:type="dxa"/>
            <w:shd w:val="clear" w:color="auto" w:fill="auto"/>
          </w:tcPr>
          <w:p w14:paraId="4D64BAA6" w14:textId="677B5B19" w:rsidR="00A86175" w:rsidRPr="005208DC" w:rsidRDefault="00A86175" w:rsidP="00857902">
            <w:pPr>
              <w:snapToGrid w:val="0"/>
              <w:jc w:val="center"/>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95%</w:t>
            </w:r>
          </w:p>
        </w:tc>
      </w:tr>
    </w:tbl>
    <w:p w14:paraId="4193AB33" w14:textId="77777777" w:rsidR="00263B19" w:rsidRPr="005208DC" w:rsidRDefault="00263B19" w:rsidP="00857902">
      <w:pPr>
        <w:snapToGrid w:val="0"/>
        <w:rPr>
          <w:rFonts w:asciiTheme="majorBidi" w:hAnsiTheme="majorBidi" w:cstheme="majorBidi"/>
          <w:color w:val="0D0D0D" w:themeColor="text1" w:themeTint="F2"/>
          <w:lang w:val="sq-AL"/>
        </w:rPr>
      </w:pPr>
    </w:p>
    <w:p w14:paraId="591B8863" w14:textId="5D01AAD6" w:rsidR="00263B19" w:rsidRPr="005208DC" w:rsidRDefault="00B2062A" w:rsidP="00857902">
      <w:pPr>
        <w:pStyle w:val="Heading6"/>
        <w:numPr>
          <w:ilvl w:val="0"/>
          <w:numId w:val="19"/>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konkurrueshmëri</w:t>
      </w:r>
    </w:p>
    <w:p w14:paraId="51CFB04B" w14:textId="77777777" w:rsidR="00263B19" w:rsidRPr="005208DC" w:rsidRDefault="00263B19" w:rsidP="00857902">
      <w:pPr>
        <w:snapToGrid w:val="0"/>
        <w:rPr>
          <w:rFonts w:asciiTheme="majorBidi" w:hAnsiTheme="majorBidi" w:cstheme="majorBidi"/>
          <w:color w:val="0D0D0D" w:themeColor="text1" w:themeTint="F2"/>
          <w:lang w:val="sq-AL"/>
        </w:rPr>
      </w:pPr>
    </w:p>
    <w:p w14:paraId="4DD34D8C" w14:textId="609CE46D" w:rsidR="00A86175" w:rsidRPr="005208DC" w:rsidRDefault="00A86175"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Reforma e propozuar parashikon rritjen e investimeve në vend, përmirësimin e penetrimit broadband, rritjen e eficensës së infrastrukturës ekzistuese nëpërmjet ndarjes së infrastrukturës, si dhe të rritjen e konkurrueshmërisë. Zhvillimi i zonave të largëta dhe rurale nëpërmjet përdorimit të TIK për bizneset dhe fermerët, si dhe aksesi që vjen si rezultat i njohurive të metodave teknologjike, si pjesë e kësaj reforme, pritet të përmirësojë konkurrueshmërinë në këto fusha.</w:t>
      </w:r>
    </w:p>
    <w:p w14:paraId="3E52CAA0" w14:textId="77777777" w:rsidR="00A86175" w:rsidRPr="005208DC" w:rsidRDefault="00A86175" w:rsidP="00857902">
      <w:pPr>
        <w:snapToGrid w:val="0"/>
        <w:rPr>
          <w:rFonts w:asciiTheme="majorBidi" w:hAnsiTheme="majorBidi" w:cstheme="majorBidi"/>
          <w:color w:val="0D0D0D" w:themeColor="text1" w:themeTint="F2"/>
          <w:lang w:val="sq-AL"/>
        </w:rPr>
      </w:pPr>
    </w:p>
    <w:p w14:paraId="27AB05AA" w14:textId="40284D88" w:rsidR="00263B19" w:rsidRPr="005208DC" w:rsidRDefault="00B2062A" w:rsidP="00857902">
      <w:pPr>
        <w:pStyle w:val="Heading6"/>
        <w:numPr>
          <w:ilvl w:val="0"/>
          <w:numId w:val="19"/>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Kosto e parashikuar e aktiviteteve dhe burimi i financimit</w:t>
      </w:r>
    </w:p>
    <w:p w14:paraId="2E8E899F" w14:textId="77777777" w:rsidR="00A86175" w:rsidRPr="005208DC" w:rsidRDefault="00A86175" w:rsidP="00857902">
      <w:pPr>
        <w:pStyle w:val="ListParagraph"/>
        <w:numPr>
          <w:ilvl w:val="0"/>
          <w:numId w:val="49"/>
        </w:numPr>
        <w:tabs>
          <w:tab w:val="left" w:pos="7650"/>
          <w:tab w:val="left" w:pos="7725"/>
        </w:tabs>
        <w:rPr>
          <w:rFonts w:ascii="Times New Roman" w:hAnsi="Times New Roman"/>
          <w:color w:val="0D0D0D" w:themeColor="text1" w:themeTint="F2"/>
          <w:lang w:val="sq-AL"/>
        </w:rPr>
      </w:pPr>
      <w:r w:rsidRPr="005208DC">
        <w:rPr>
          <w:rFonts w:ascii="Times New Roman" w:eastAsia="MS Mincho" w:hAnsi="Times New Roman" w:cs="Times New Roman"/>
          <w:color w:val="0D0D0D" w:themeColor="text1" w:themeTint="F2"/>
          <w:lang w:val="sq-AL"/>
        </w:rPr>
        <w:t>Ngritja e zyrave rajonale/kombëtare kompetente për broadband-in</w:t>
      </w:r>
      <w:r w:rsidRPr="005208DC">
        <w:rPr>
          <w:rFonts w:ascii="Times New Roman" w:hAnsi="Times New Roman"/>
          <w:color w:val="0D0D0D" w:themeColor="text1" w:themeTint="F2"/>
          <w:lang w:val="sq-AL"/>
        </w:rPr>
        <w:t xml:space="preserve"> </w:t>
      </w:r>
    </w:p>
    <w:p w14:paraId="2D426EDB" w14:textId="77777777" w:rsidR="00A86175" w:rsidRPr="005208DC" w:rsidRDefault="00A86175" w:rsidP="00857902">
      <w:pPr>
        <w:widowControl w:val="0"/>
        <w:tabs>
          <w:tab w:val="left" w:pos="7650"/>
          <w:tab w:val="left" w:pos="7725"/>
        </w:tabs>
        <w:rPr>
          <w:rFonts w:ascii="Times New Roman" w:hAnsi="Times New Roman"/>
          <w:color w:val="0D0D0D" w:themeColor="text1" w:themeTint="F2"/>
          <w:lang w:val="sq-AL"/>
        </w:rPr>
      </w:pPr>
      <w:r w:rsidRPr="005208DC">
        <w:rPr>
          <w:rFonts w:ascii="Times New Roman" w:hAnsi="Times New Roman"/>
          <w:color w:val="0D0D0D" w:themeColor="text1" w:themeTint="F2"/>
          <w:lang w:val="sq-AL"/>
        </w:rPr>
        <w:t>100.000 EUR buxheti i MIE (ndarë përgjatë 2022, 2023 dhe 2024)</w:t>
      </w:r>
    </w:p>
    <w:p w14:paraId="68A39615" w14:textId="77777777" w:rsidR="00A86175" w:rsidRPr="005208DC" w:rsidRDefault="00A86175" w:rsidP="00857902">
      <w:pPr>
        <w:pStyle w:val="ListParagraph"/>
        <w:ind w:left="855"/>
        <w:rPr>
          <w:rFonts w:ascii="Times New Roman" w:hAnsi="Times New Roman" w:cs="Times New Roman"/>
          <w:color w:val="0D0D0D" w:themeColor="text1" w:themeTint="F2"/>
          <w:sz w:val="24"/>
          <w:szCs w:val="24"/>
          <w:lang w:val="sq-AL"/>
        </w:rPr>
      </w:pPr>
    </w:p>
    <w:p w14:paraId="66C18B41" w14:textId="77777777" w:rsidR="00A86175" w:rsidRPr="005208DC" w:rsidRDefault="00A86175" w:rsidP="00857902">
      <w:pPr>
        <w:pStyle w:val="ListParagraph"/>
        <w:numPr>
          <w:ilvl w:val="0"/>
          <w:numId w:val="49"/>
        </w:numPr>
        <w:rPr>
          <w:rFonts w:ascii="Times New Roman" w:hAnsi="Times New Roman" w:cs="Times New Roman"/>
          <w:color w:val="0D0D0D" w:themeColor="text1" w:themeTint="F2"/>
          <w:sz w:val="24"/>
          <w:szCs w:val="24"/>
          <w:lang w:val="sq-AL"/>
        </w:rPr>
      </w:pPr>
      <w:r w:rsidRPr="005208DC">
        <w:rPr>
          <w:rFonts w:ascii="Times New Roman" w:eastAsia="MS Mincho" w:hAnsi="Times New Roman" w:cs="Times New Roman"/>
          <w:color w:val="0D0D0D" w:themeColor="text1" w:themeTint="F2"/>
          <w:lang w:val="sq-AL"/>
        </w:rPr>
        <w:t>Projekti i zhvillimit të Atlasit Broadband</w:t>
      </w:r>
    </w:p>
    <w:p w14:paraId="2A081E79" w14:textId="77777777" w:rsidR="00A86175" w:rsidRPr="005208DC" w:rsidRDefault="00A86175" w:rsidP="00857902">
      <w:pPr>
        <w:rPr>
          <w:rFonts w:ascii="Times New Roman" w:hAnsi="Times New Roman"/>
          <w:color w:val="0D0D0D" w:themeColor="text1" w:themeTint="F2"/>
          <w:lang w:val="sq-AL"/>
        </w:rPr>
      </w:pPr>
      <w:r w:rsidRPr="005208DC">
        <w:rPr>
          <w:rFonts w:ascii="Times New Roman" w:hAnsi="Times New Roman"/>
          <w:color w:val="0D0D0D" w:themeColor="text1" w:themeTint="F2"/>
          <w:lang w:val="sq-AL"/>
        </w:rPr>
        <w:t>Kosto Totale 280.000 Euro (30.000 Euro Buxheti MIE; 250.000 Euro Grant)</w:t>
      </w:r>
    </w:p>
    <w:p w14:paraId="1485C3FA" w14:textId="77777777" w:rsidR="00A86175" w:rsidRPr="005208DC" w:rsidRDefault="00A86175" w:rsidP="00857902">
      <w:pPr>
        <w:pStyle w:val="ListParagraph"/>
        <w:ind w:left="855"/>
        <w:rPr>
          <w:rFonts w:ascii="Times New Roman" w:hAnsi="Times New Roman" w:cs="Times New Roman"/>
          <w:color w:val="0D0D0D" w:themeColor="text1" w:themeTint="F2"/>
          <w:sz w:val="24"/>
          <w:szCs w:val="24"/>
          <w:lang w:val="sq-AL"/>
        </w:rPr>
      </w:pPr>
    </w:p>
    <w:p w14:paraId="6ABC1440" w14:textId="77777777" w:rsidR="00A86175" w:rsidRPr="005208DC" w:rsidRDefault="00A86175" w:rsidP="00857902">
      <w:pPr>
        <w:pStyle w:val="ListParagraph"/>
        <w:numPr>
          <w:ilvl w:val="0"/>
          <w:numId w:val="49"/>
        </w:numPr>
        <w:rPr>
          <w:rFonts w:ascii="Times New Roman" w:hAnsi="Times New Roman" w:cs="Times New Roman"/>
          <w:color w:val="0D0D0D" w:themeColor="text1" w:themeTint="F2"/>
          <w:sz w:val="24"/>
          <w:szCs w:val="24"/>
          <w:lang w:val="sq-AL"/>
        </w:rPr>
      </w:pPr>
      <w:r w:rsidRPr="005208DC">
        <w:rPr>
          <w:rFonts w:ascii="Times New Roman" w:eastAsia="MS Mincho" w:hAnsi="Times New Roman" w:cs="Times New Roman"/>
          <w:color w:val="0D0D0D" w:themeColor="text1" w:themeTint="F2"/>
          <w:lang w:val="sq-AL"/>
        </w:rPr>
        <w:t>Projekti pilot për zhvillimin e infrastrukturës broadband në Zonën 1 (rurale dhe të largëta/zonat turistike në Veri të Shqipërisë (</w:t>
      </w:r>
      <w:r w:rsidRPr="005208DC">
        <w:rPr>
          <w:rFonts w:ascii="Times New Roman" w:hAnsi="Times New Roman" w:cs="Times New Roman"/>
          <w:color w:val="0D0D0D" w:themeColor="text1" w:themeTint="F2"/>
          <w:sz w:val="24"/>
          <w:szCs w:val="24"/>
          <w:lang w:val="sq-AL"/>
        </w:rPr>
        <w:t>Shkodër, Kukës, Tropojë, Dibër);</w:t>
      </w:r>
    </w:p>
    <w:p w14:paraId="4C61D190" w14:textId="77777777" w:rsidR="00A86175" w:rsidRPr="005208DC" w:rsidRDefault="00A86175" w:rsidP="00857902">
      <w:pPr>
        <w:shd w:val="clear" w:color="auto" w:fill="FFFFFF" w:themeFill="background1"/>
        <w:rPr>
          <w:rFonts w:ascii="Times New Roman" w:hAnsi="Times New Roman"/>
          <w:color w:val="0D0D0D" w:themeColor="text1" w:themeTint="F2"/>
          <w:lang w:val="sq-AL"/>
        </w:rPr>
      </w:pPr>
      <w:r w:rsidRPr="005208DC">
        <w:rPr>
          <w:rFonts w:ascii="Times New Roman" w:hAnsi="Times New Roman"/>
          <w:color w:val="0D0D0D" w:themeColor="text1" w:themeTint="F2"/>
          <w:lang w:val="sq-AL"/>
        </w:rPr>
        <w:t>Kosto Totale 800.000 Euro (100.000 Euro Buxheti MIE; 700.000 Euro Grant)</w:t>
      </w:r>
    </w:p>
    <w:p w14:paraId="5FB153E2" w14:textId="77777777" w:rsidR="00A86175" w:rsidRPr="005208DC" w:rsidRDefault="00A86175" w:rsidP="00857902">
      <w:pPr>
        <w:rPr>
          <w:rFonts w:ascii="Times New Roman" w:hAnsi="Times New Roman"/>
          <w:color w:val="0D0D0D" w:themeColor="text1" w:themeTint="F2"/>
          <w:lang w:val="sq-AL"/>
        </w:rPr>
      </w:pPr>
    </w:p>
    <w:p w14:paraId="30EBE563" w14:textId="77777777" w:rsidR="00A86175" w:rsidRPr="005208DC" w:rsidRDefault="00A86175" w:rsidP="00857902">
      <w:pPr>
        <w:pStyle w:val="ListParagraph"/>
        <w:numPr>
          <w:ilvl w:val="0"/>
          <w:numId w:val="49"/>
        </w:numPr>
        <w:rPr>
          <w:rStyle w:val="CommentReference"/>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lang w:val="sq-AL"/>
        </w:rPr>
        <w:t>Miratim i ligjit të ri për komunikimet elektronike, në përputhje me Kodin e Ri Europian për Komunikimet Elektronike miratuar nga BE në 2018</w:t>
      </w:r>
    </w:p>
    <w:p w14:paraId="64CBCA19" w14:textId="77777777" w:rsidR="00A86175" w:rsidRPr="005208DC" w:rsidRDefault="00A86175" w:rsidP="00857902">
      <w:pPr>
        <w:pStyle w:val="ListParagraph"/>
        <w:ind w:left="855"/>
        <w:rPr>
          <w:rStyle w:val="CommentReference"/>
          <w:rFonts w:ascii="Times New Roman" w:hAnsi="Times New Roman" w:cs="Times New Roman"/>
          <w:color w:val="0D0D0D" w:themeColor="text1" w:themeTint="F2"/>
          <w:sz w:val="24"/>
          <w:szCs w:val="24"/>
          <w:lang w:val="sq-AL"/>
        </w:rPr>
      </w:pPr>
    </w:p>
    <w:p w14:paraId="791517B1" w14:textId="77777777" w:rsidR="00A86175" w:rsidRPr="005208DC" w:rsidRDefault="00A86175" w:rsidP="00857902">
      <w:pPr>
        <w:pStyle w:val="ListParagraph"/>
        <w:numPr>
          <w:ilvl w:val="0"/>
          <w:numId w:val="49"/>
        </w:numPr>
        <w:shd w:val="clear" w:color="auto" w:fill="FFFFFF" w:themeFill="background1"/>
        <w:snapToGrid w:val="0"/>
        <w:rPr>
          <w:rFonts w:ascii="Times New Roman" w:hAnsi="Times New Roman" w:cs="Times New Roman"/>
          <w:color w:val="0D0D0D" w:themeColor="text1" w:themeTint="F2"/>
          <w:sz w:val="24"/>
          <w:szCs w:val="24"/>
          <w:lang w:val="sq-AL"/>
        </w:rPr>
      </w:pPr>
      <w:r w:rsidRPr="005208DC">
        <w:rPr>
          <w:rFonts w:ascii="Times New Roman" w:eastAsia="MS Mincho" w:hAnsi="Times New Roman" w:cs="Times New Roman"/>
          <w:color w:val="0D0D0D" w:themeColor="text1" w:themeTint="F2"/>
          <w:lang w:val="sq-AL"/>
        </w:rPr>
        <w:t>Zhvillimi i infrastrukturës broadband në jug të vendit (zhvillimi broadband në zonat e bardha në Vlorë, Gjirokastër, Fier, Berat, Korçë)</w:t>
      </w:r>
      <w:r w:rsidRPr="005208DC">
        <w:rPr>
          <w:rFonts w:ascii="Times New Roman" w:hAnsi="Times New Roman" w:cs="Times New Roman"/>
          <w:color w:val="0D0D0D" w:themeColor="text1" w:themeTint="F2"/>
          <w:sz w:val="24"/>
          <w:szCs w:val="24"/>
          <w:lang w:val="sq-AL"/>
        </w:rPr>
        <w:t>;</w:t>
      </w:r>
    </w:p>
    <w:p w14:paraId="393ACFBF" w14:textId="77777777" w:rsidR="00A86175" w:rsidRPr="005208DC" w:rsidRDefault="00A86175" w:rsidP="00857902">
      <w:pPr>
        <w:pBdr>
          <w:bottom w:val="single" w:sz="4" w:space="1" w:color="auto"/>
        </w:pBdr>
        <w:rPr>
          <w:rFonts w:ascii="Times New Roman" w:hAnsi="Times New Roman"/>
          <w:color w:val="0D0D0D" w:themeColor="text1" w:themeTint="F2"/>
          <w:lang w:val="sq-AL"/>
        </w:rPr>
      </w:pPr>
      <w:r w:rsidRPr="005208DC">
        <w:rPr>
          <w:rFonts w:ascii="Times New Roman" w:hAnsi="Times New Roman"/>
          <w:color w:val="0D0D0D" w:themeColor="text1" w:themeTint="F2"/>
          <w:lang w:val="sq-AL"/>
        </w:rPr>
        <w:t>Kosto Totale 900.000 Euro (100.000 Euro Buxheti MIE; 800.000 Euro Grant)</w:t>
      </w:r>
    </w:p>
    <w:p w14:paraId="2040A256" w14:textId="77777777" w:rsidR="00A86175" w:rsidRPr="005208DC" w:rsidRDefault="00A86175" w:rsidP="00857902">
      <w:pPr>
        <w:rPr>
          <w:rFonts w:ascii="Times New Roman" w:hAnsi="Times New Roman"/>
          <w:color w:val="0D0D0D" w:themeColor="text1" w:themeTint="F2"/>
          <w:lang w:val="sq-AL"/>
        </w:rPr>
      </w:pPr>
    </w:p>
    <w:p w14:paraId="6AA08FD0" w14:textId="77777777" w:rsidR="00A86175" w:rsidRPr="005208DC" w:rsidRDefault="00A86175" w:rsidP="00857902">
      <w:pPr>
        <w:pStyle w:val="ListParagraph"/>
        <w:numPr>
          <w:ilvl w:val="0"/>
          <w:numId w:val="49"/>
        </w:numPr>
        <w:rPr>
          <w:rFonts w:ascii="Times New Roman" w:hAnsi="Times New Roman"/>
          <w:color w:val="0D0D0D" w:themeColor="text1" w:themeTint="F2"/>
          <w:sz w:val="24"/>
          <w:lang w:val="sq-AL"/>
        </w:rPr>
      </w:pPr>
      <w:r w:rsidRPr="005208DC">
        <w:rPr>
          <w:rFonts w:ascii="Times New Roman" w:hAnsi="Times New Roman"/>
          <w:color w:val="0D0D0D" w:themeColor="text1" w:themeTint="F2"/>
          <w:sz w:val="24"/>
          <w:lang w:val="sq-AL"/>
        </w:rPr>
        <w:t>Investimi n</w:t>
      </w:r>
      <w:r w:rsidRPr="005208DC">
        <w:rPr>
          <w:rFonts w:ascii="Times New Roman" w:hAnsi="Times New Roman" w:cs="Times New Roman"/>
          <w:color w:val="0D0D0D" w:themeColor="text1" w:themeTint="F2"/>
          <w:sz w:val="24"/>
          <w:lang w:val="sq-AL"/>
        </w:rPr>
        <w:t>ë</w:t>
      </w:r>
      <w:r w:rsidRPr="005208DC">
        <w:rPr>
          <w:rFonts w:ascii="Times New Roman" w:hAnsi="Times New Roman"/>
          <w:color w:val="0D0D0D" w:themeColor="text1" w:themeTint="F2"/>
          <w:sz w:val="24"/>
          <w:lang w:val="sq-AL"/>
        </w:rPr>
        <w:t xml:space="preserve"> zonat e bardha</w:t>
      </w:r>
    </w:p>
    <w:p w14:paraId="2CB9FED9" w14:textId="77777777" w:rsidR="00A86175" w:rsidRPr="005208DC" w:rsidRDefault="00A86175" w:rsidP="00857902">
      <w:pPr>
        <w:rPr>
          <w:rFonts w:ascii="Times New Roman" w:hAnsi="Times New Roman"/>
          <w:color w:val="0D0D0D" w:themeColor="text1" w:themeTint="F2"/>
          <w:lang w:val="sq-AL"/>
        </w:rPr>
      </w:pPr>
      <w:r w:rsidRPr="005208DC">
        <w:rPr>
          <w:rFonts w:ascii="Times New Roman" w:hAnsi="Times New Roman"/>
          <w:color w:val="0D0D0D" w:themeColor="text1" w:themeTint="F2"/>
          <w:lang w:val="sq-AL"/>
        </w:rPr>
        <w:t>Kosto Totalet 5.000.000 Euro (kërkohen për financim në zonat e bardha, por financimi nuk është siguruar ende).</w:t>
      </w:r>
    </w:p>
    <w:p w14:paraId="114F697D" w14:textId="77777777" w:rsidR="00A86175" w:rsidRPr="005208DC" w:rsidRDefault="00A86175" w:rsidP="00857902">
      <w:pPr>
        <w:snapToGrid w:val="0"/>
        <w:rPr>
          <w:rFonts w:asciiTheme="majorBidi" w:hAnsiTheme="majorBidi" w:cstheme="majorBidi"/>
          <w:color w:val="0D0D0D" w:themeColor="text1" w:themeTint="F2"/>
          <w:lang w:val="sq-AL"/>
        </w:rPr>
      </w:pPr>
    </w:p>
    <w:p w14:paraId="5A859B2D" w14:textId="27C90B28" w:rsidR="00263B19" w:rsidRPr="005208DC" w:rsidRDefault="00B2062A" w:rsidP="00857902">
      <w:pPr>
        <w:pStyle w:val="Heading6"/>
        <w:numPr>
          <w:ilvl w:val="0"/>
          <w:numId w:val="19"/>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përfundimet sociale si punësimi, ulja e varfërisë, barazia gjinore dhe aksesi në kujdesin shëndetësor</w:t>
      </w:r>
    </w:p>
    <w:p w14:paraId="4B446823" w14:textId="0D2914B0" w:rsidR="00A86175" w:rsidRPr="005208DC" w:rsidRDefault="00A86175"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Disa nga përfitimet sociale të reformës pritet të jenë janë:</w:t>
      </w:r>
    </w:p>
    <w:p w14:paraId="1A5BF576" w14:textId="5EF62BB0" w:rsidR="00A86175" w:rsidRPr="005208DC" w:rsidRDefault="00A86175" w:rsidP="00F957E8">
      <w:pPr>
        <w:pStyle w:val="ListParagraph"/>
        <w:numPr>
          <w:ilvl w:val="0"/>
          <w:numId w:val="111"/>
        </w:numPr>
        <w:snapToGrid w:val="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Mbulim më i mire me internet broadband, që përkthehet në kohezion social dhe territorial;</w:t>
      </w:r>
    </w:p>
    <w:p w14:paraId="54E4752D" w14:textId="379A62C1" w:rsidR="00A86175" w:rsidRPr="005208DC" w:rsidRDefault="00A86175" w:rsidP="00F957E8">
      <w:pPr>
        <w:pStyle w:val="ListParagraph"/>
        <w:numPr>
          <w:ilvl w:val="0"/>
          <w:numId w:val="111"/>
        </w:numPr>
        <w:snapToGrid w:val="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Rritja e sinergjive ndërmjet sektorëve, p.sh. rrjete inteligjente dhe sisteme inteligjente të transportit;</w:t>
      </w:r>
    </w:p>
    <w:p w14:paraId="5B7019DC" w14:textId="4D4DF7BF" w:rsidR="00A86175" w:rsidRPr="005208DC" w:rsidRDefault="00A86175" w:rsidP="00F957E8">
      <w:pPr>
        <w:pStyle w:val="ListParagraph"/>
        <w:numPr>
          <w:ilvl w:val="0"/>
          <w:numId w:val="111"/>
        </w:numPr>
        <w:snapToGrid w:val="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Dublikim më i vogël i punëve civile, që do të thotë më pak gërmime dhe/ose ndotje të zhurmës;</w:t>
      </w:r>
    </w:p>
    <w:p w14:paraId="769CF6F1" w14:textId="6A41A38F" w:rsidR="00A86175" w:rsidRPr="005208DC" w:rsidRDefault="00A86175" w:rsidP="00F957E8">
      <w:pPr>
        <w:pStyle w:val="ListParagraph"/>
        <w:numPr>
          <w:ilvl w:val="0"/>
          <w:numId w:val="111"/>
        </w:numPr>
        <w:snapToGrid w:val="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Përmirësimi i klimës së biznesit përmes procedurave transparente dhe më të thjeshta për lejet e ndërtimit;</w:t>
      </w:r>
    </w:p>
    <w:p w14:paraId="7EBA7C93" w14:textId="2589C08A" w:rsidR="00A86175" w:rsidRPr="005208DC" w:rsidRDefault="00A86175" w:rsidP="00F957E8">
      <w:pPr>
        <w:pStyle w:val="ListParagraph"/>
        <w:numPr>
          <w:ilvl w:val="0"/>
          <w:numId w:val="111"/>
        </w:numPr>
        <w:snapToGrid w:val="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Qasje e barabartë;</w:t>
      </w:r>
    </w:p>
    <w:p w14:paraId="534A0B83" w14:textId="1DFBC424" w:rsidR="00A86175" w:rsidRPr="005208DC" w:rsidRDefault="00A86175" w:rsidP="00F957E8">
      <w:pPr>
        <w:pStyle w:val="ListParagraph"/>
        <w:numPr>
          <w:ilvl w:val="0"/>
          <w:numId w:val="111"/>
        </w:numPr>
        <w:snapToGrid w:val="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Mosdiskriminimi;</w:t>
      </w:r>
    </w:p>
    <w:p w14:paraId="60023802" w14:textId="4F530191" w:rsidR="00A86175" w:rsidRPr="005208DC" w:rsidRDefault="00A86175" w:rsidP="00F957E8">
      <w:pPr>
        <w:pStyle w:val="ListParagraph"/>
        <w:numPr>
          <w:ilvl w:val="0"/>
          <w:numId w:val="111"/>
        </w:numPr>
        <w:snapToGrid w:val="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Krijimi i vendeve të punës etj.</w:t>
      </w:r>
    </w:p>
    <w:p w14:paraId="502B8589" w14:textId="77777777" w:rsidR="00A86175" w:rsidRPr="005208DC" w:rsidRDefault="00A86175" w:rsidP="00857902">
      <w:pPr>
        <w:snapToGrid w:val="0"/>
        <w:rPr>
          <w:rFonts w:asciiTheme="majorBidi" w:hAnsiTheme="majorBidi" w:cstheme="majorBidi"/>
          <w:color w:val="0D0D0D" w:themeColor="text1" w:themeTint="F2"/>
          <w:lang w:val="sq-AL"/>
        </w:rPr>
      </w:pPr>
    </w:p>
    <w:p w14:paraId="2310754C" w14:textId="78BC1155" w:rsidR="00A86175" w:rsidRPr="005208DC" w:rsidRDefault="00A86175"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Zhvillimi i broadband-it pritet të rrisë numrin e punësimeve, të krijojë mundësi për të adresuar çështjet gjinore në TIK dhe të krijojë më shumë mundësi për punë në internet për femrat. Investimet në infrastrukturën broadband do të përmirësojnë produktivitetin e përgjithshëm pasi efektet relative në Vlerën e Shtuar Bruto tejkalojnë efektet në punësim. Duke shtuar përfitime të reja ekonomike dhe vende të lira pune, investimet në infrastrukturën broadband nuk sjellin vetëm përfitime ekonomike, por gjithashtu promovojnë një stabilitet më të madh politik dhe cilësi më të lartë të shërbimeve publike. Reforma krijon mundësi për të trajtuar çështjen gjinore në TIK përmes rritjes së mundësive për gratë, si punonjëse online nga shtëpia në zona të largëta/rurale..</w:t>
      </w:r>
    </w:p>
    <w:p w14:paraId="4970B395" w14:textId="77777777" w:rsidR="00A86175" w:rsidRPr="005208DC" w:rsidRDefault="00A86175" w:rsidP="00857902">
      <w:pPr>
        <w:snapToGrid w:val="0"/>
        <w:rPr>
          <w:rFonts w:asciiTheme="majorBidi" w:hAnsiTheme="majorBidi" w:cstheme="majorBidi"/>
          <w:color w:val="0D0D0D" w:themeColor="text1" w:themeTint="F2"/>
          <w:lang w:val="sq-AL"/>
        </w:rPr>
      </w:pPr>
    </w:p>
    <w:p w14:paraId="152C5676" w14:textId="61C6EE37" w:rsidR="00263B19" w:rsidRPr="005208DC" w:rsidRDefault="00B2062A" w:rsidP="00857902">
      <w:pPr>
        <w:pStyle w:val="Heading6"/>
        <w:numPr>
          <w:ilvl w:val="0"/>
          <w:numId w:val="19"/>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mjedis dhe ndryshimi i klimës</w:t>
      </w:r>
    </w:p>
    <w:p w14:paraId="302005D8" w14:textId="77777777" w:rsidR="00A86175" w:rsidRPr="005208DC" w:rsidRDefault="00A86175" w:rsidP="00857902">
      <w:pPr>
        <w:rPr>
          <w:rFonts w:ascii="Times New Roman" w:hAnsi="Times New Roman"/>
          <w:color w:val="0D0D0D" w:themeColor="text1" w:themeTint="F2"/>
          <w:lang w:val="sq-AL"/>
        </w:rPr>
      </w:pPr>
      <w:r w:rsidRPr="005208DC">
        <w:rPr>
          <w:rFonts w:ascii="Times New Roman" w:hAnsi="Times New Roman"/>
          <w:color w:val="0D0D0D" w:themeColor="text1" w:themeTint="F2"/>
          <w:lang w:val="sq-AL"/>
        </w:rPr>
        <w:t>Masa e reformës pritet të ketë ndikim në mjedis.</w:t>
      </w:r>
    </w:p>
    <w:p w14:paraId="3319FD92" w14:textId="578CF620" w:rsidR="00A86175" w:rsidRPr="005208DC" w:rsidRDefault="00A8617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Nëpërmjet ndarjes së infrastrukturës dhe koordinimit të punës civile në vendosjen e infrastrukturës broadband, duke shkuar drejt digjitales, reduktohet ndotjen e ajrit dhe ndikimin në mjedis.</w:t>
      </w:r>
    </w:p>
    <w:p w14:paraId="0721A0BC" w14:textId="77777777" w:rsidR="00A86175" w:rsidRPr="005208DC" w:rsidRDefault="00A86175" w:rsidP="00857902">
      <w:pPr>
        <w:snapToGrid w:val="0"/>
        <w:rPr>
          <w:rFonts w:asciiTheme="majorBidi" w:hAnsiTheme="majorBidi" w:cstheme="majorBidi"/>
          <w:color w:val="0D0D0D" w:themeColor="text1" w:themeTint="F2"/>
          <w:lang w:val="sq-AL"/>
        </w:rPr>
      </w:pPr>
    </w:p>
    <w:p w14:paraId="73F7AD62" w14:textId="00A79AF0" w:rsidR="00263B19" w:rsidRPr="005208DC" w:rsidRDefault="00B2062A" w:rsidP="00857902">
      <w:pPr>
        <w:pStyle w:val="Heading6"/>
        <w:numPr>
          <w:ilvl w:val="0"/>
          <w:numId w:val="19"/>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Rreziqet e mundshme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559"/>
        <w:gridCol w:w="3673"/>
      </w:tblGrid>
      <w:tr w:rsidR="005208DC" w:rsidRPr="005208DC" w14:paraId="58382111" w14:textId="77777777" w:rsidTr="00F734B4">
        <w:tc>
          <w:tcPr>
            <w:tcW w:w="4390" w:type="dxa"/>
            <w:shd w:val="clear" w:color="auto" w:fill="auto"/>
          </w:tcPr>
          <w:p w14:paraId="326A53AA" w14:textId="32B0BD47" w:rsidR="00A92D0C" w:rsidRPr="005208DC" w:rsidRDefault="00B2062A" w:rsidP="00857902">
            <w:pPr>
              <w:widowControl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Rreziku</w:t>
            </w:r>
          </w:p>
        </w:tc>
        <w:tc>
          <w:tcPr>
            <w:tcW w:w="1559" w:type="dxa"/>
            <w:shd w:val="clear" w:color="auto" w:fill="auto"/>
          </w:tcPr>
          <w:p w14:paraId="34188217" w14:textId="0D418073" w:rsidR="00A92D0C" w:rsidRPr="005208DC" w:rsidRDefault="00B2062A" w:rsidP="00857902">
            <w:pPr>
              <w:widowControl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Mundësia</w:t>
            </w:r>
            <w:r w:rsidR="00A92D0C" w:rsidRPr="005208DC">
              <w:rPr>
                <w:rFonts w:asciiTheme="majorBidi" w:hAnsiTheme="majorBidi" w:cstheme="majorBidi"/>
                <w:color w:val="0D0D0D" w:themeColor="text1" w:themeTint="F2"/>
                <w:lang w:val="sq-AL"/>
              </w:rPr>
              <w:t xml:space="preserve"> (</w:t>
            </w:r>
            <w:r w:rsidRPr="005208DC">
              <w:rPr>
                <w:rFonts w:asciiTheme="majorBidi" w:hAnsiTheme="majorBidi" w:cstheme="majorBidi"/>
                <w:color w:val="0D0D0D" w:themeColor="text1" w:themeTint="F2"/>
                <w:lang w:val="sq-AL"/>
              </w:rPr>
              <w:t>e ulët, e lartë</w:t>
            </w:r>
            <w:r w:rsidR="00A92D0C" w:rsidRPr="005208DC">
              <w:rPr>
                <w:rFonts w:asciiTheme="majorBidi" w:hAnsiTheme="majorBidi" w:cstheme="majorBidi"/>
                <w:color w:val="0D0D0D" w:themeColor="text1" w:themeTint="F2"/>
                <w:lang w:val="sq-AL"/>
              </w:rPr>
              <w:t>)</w:t>
            </w:r>
          </w:p>
        </w:tc>
        <w:tc>
          <w:tcPr>
            <w:tcW w:w="3673" w:type="dxa"/>
            <w:shd w:val="clear" w:color="auto" w:fill="auto"/>
          </w:tcPr>
          <w:p w14:paraId="2B438453" w14:textId="313589EC" w:rsidR="00A92D0C" w:rsidRPr="005208DC" w:rsidRDefault="00B2062A" w:rsidP="00857902">
            <w:pPr>
              <w:widowControl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Veprimi zbutës i parashikuar</w:t>
            </w:r>
          </w:p>
        </w:tc>
      </w:tr>
      <w:tr w:rsidR="005208DC" w:rsidRPr="005208DC" w14:paraId="3BAD6928" w14:textId="77777777" w:rsidTr="00DB2D75">
        <w:tc>
          <w:tcPr>
            <w:tcW w:w="4390" w:type="dxa"/>
            <w:shd w:val="clear" w:color="auto" w:fill="auto"/>
          </w:tcPr>
          <w:p w14:paraId="7C597CDD" w14:textId="3E58A7E7" w:rsidR="00A86175" w:rsidRPr="005208DC" w:rsidRDefault="00A86175" w:rsidP="00857902">
            <w:pPr>
              <w:pStyle w:val="TableParagraph"/>
              <w:ind w:left="102" w:right="63"/>
              <w:rPr>
                <w:rFonts w:asciiTheme="majorBidi" w:eastAsia="Arial Narrow" w:hAnsiTheme="majorBidi" w:cstheme="majorBidi"/>
                <w:color w:val="0D0D0D" w:themeColor="text1" w:themeTint="F2"/>
                <w:sz w:val="24"/>
                <w:szCs w:val="24"/>
                <w:lang w:val="sq-AL"/>
              </w:rPr>
            </w:pPr>
            <w:r w:rsidRPr="005208DC">
              <w:rPr>
                <w:rFonts w:ascii="Times New Roman" w:hAnsi="Times New Roman"/>
                <w:color w:val="0D0D0D" w:themeColor="text1" w:themeTint="F2"/>
                <w:lang w:val="sq-AL"/>
              </w:rPr>
              <w:t>Infrastruktura digjitale dhe infrastrukturat e tjera siç janë transporti dhe energjia duhet të koordinohen në mënyrë që të përfitojnë nga sinergjia dhe investimet e përbashkëta</w:t>
            </w:r>
          </w:p>
        </w:tc>
        <w:tc>
          <w:tcPr>
            <w:tcW w:w="1559" w:type="dxa"/>
            <w:shd w:val="clear" w:color="auto" w:fill="auto"/>
          </w:tcPr>
          <w:p w14:paraId="06FDF35F" w14:textId="2644B03D" w:rsidR="00A86175" w:rsidRPr="005208DC" w:rsidRDefault="00A86175" w:rsidP="00857902">
            <w:pPr>
              <w:pStyle w:val="TableParagraph"/>
              <w:ind w:left="102" w:right="63"/>
              <w:rPr>
                <w:rFonts w:ascii="Times New Roman" w:hAnsi="Times New Roman"/>
                <w:color w:val="0D0D0D" w:themeColor="text1" w:themeTint="F2"/>
                <w:spacing w:val="-1"/>
                <w:sz w:val="24"/>
                <w:szCs w:val="24"/>
                <w:lang w:val="sq-AL"/>
              </w:rPr>
            </w:pPr>
            <w:r w:rsidRPr="005208DC">
              <w:rPr>
                <w:rFonts w:ascii="Times New Roman" w:hAnsi="Times New Roman"/>
                <w:color w:val="0D0D0D" w:themeColor="text1" w:themeTint="F2"/>
                <w:spacing w:val="-1"/>
                <w:sz w:val="24"/>
                <w:szCs w:val="24"/>
                <w:lang w:val="sq-AL"/>
              </w:rPr>
              <w:t>E mesme</w:t>
            </w:r>
          </w:p>
        </w:tc>
        <w:tc>
          <w:tcPr>
            <w:tcW w:w="3673" w:type="dxa"/>
            <w:vMerge w:val="restart"/>
            <w:shd w:val="clear" w:color="auto" w:fill="auto"/>
          </w:tcPr>
          <w:p w14:paraId="576E4081" w14:textId="3A202EBF" w:rsidR="00A86175" w:rsidRPr="005208DC" w:rsidRDefault="00A86175" w:rsidP="00857902">
            <w:pPr>
              <w:pStyle w:val="TableParagraph"/>
              <w:ind w:left="102" w:right="63"/>
              <w:rPr>
                <w:rFonts w:asciiTheme="majorBidi" w:hAnsiTheme="majorBidi" w:cstheme="majorBidi"/>
                <w:color w:val="0D0D0D" w:themeColor="text1" w:themeTint="F2"/>
                <w:spacing w:val="-1"/>
                <w:sz w:val="24"/>
                <w:szCs w:val="24"/>
                <w:lang w:val="sq-AL"/>
              </w:rPr>
            </w:pPr>
            <w:r w:rsidRPr="005208DC">
              <w:rPr>
                <w:rFonts w:ascii="Times New Roman" w:hAnsi="Times New Roman"/>
                <w:color w:val="0D0D0D" w:themeColor="text1" w:themeTint="F2"/>
                <w:lang w:val="sq-AL"/>
              </w:rPr>
              <w:t>Monitorimi, raportimi dhe bashkëpunim i ngushtë i vazhdueshëm midis palëve të interesuara.</w:t>
            </w:r>
          </w:p>
        </w:tc>
      </w:tr>
      <w:tr w:rsidR="005208DC" w:rsidRPr="005208DC" w14:paraId="4677DA7F" w14:textId="77777777" w:rsidTr="00F734B4">
        <w:tc>
          <w:tcPr>
            <w:tcW w:w="4390" w:type="dxa"/>
            <w:shd w:val="clear" w:color="auto" w:fill="auto"/>
          </w:tcPr>
          <w:p w14:paraId="06A80AA3" w14:textId="19C268A4" w:rsidR="00A86175" w:rsidRPr="005208DC" w:rsidRDefault="00A86175" w:rsidP="00857902">
            <w:pPr>
              <w:pStyle w:val="TableParagraph"/>
              <w:ind w:left="102" w:right="63"/>
              <w:rPr>
                <w:rFonts w:asciiTheme="majorBidi" w:eastAsia="Arial Narrow" w:hAnsiTheme="majorBidi" w:cstheme="majorBidi"/>
                <w:color w:val="0D0D0D" w:themeColor="text1" w:themeTint="F2"/>
                <w:sz w:val="24"/>
                <w:szCs w:val="24"/>
                <w:lang w:val="sq-AL"/>
              </w:rPr>
            </w:pPr>
            <w:r w:rsidRPr="005208DC">
              <w:rPr>
                <w:rFonts w:ascii="Times New Roman" w:hAnsi="Times New Roman"/>
                <w:color w:val="0D0D0D" w:themeColor="text1" w:themeTint="F2"/>
                <w:lang w:val="sq-AL"/>
              </w:rPr>
              <w:t>Mungesa e bashkëpunimit midis aktorëve të ndryshëm të përfshirë në këtë proces është një nga vështirësitë e identifikuara në këtë sektor.</w:t>
            </w:r>
          </w:p>
        </w:tc>
        <w:tc>
          <w:tcPr>
            <w:tcW w:w="1559" w:type="dxa"/>
            <w:shd w:val="clear" w:color="auto" w:fill="auto"/>
          </w:tcPr>
          <w:p w14:paraId="77ACC04A" w14:textId="519EFD7F" w:rsidR="00A86175" w:rsidRPr="005208DC" w:rsidRDefault="00A86175" w:rsidP="00857902">
            <w:pPr>
              <w:pStyle w:val="TableParagraph"/>
              <w:ind w:left="102" w:right="63"/>
              <w:rPr>
                <w:rFonts w:asciiTheme="majorBidi" w:hAnsiTheme="majorBidi" w:cstheme="majorBidi"/>
                <w:color w:val="0D0D0D" w:themeColor="text1" w:themeTint="F2"/>
                <w:spacing w:val="-1"/>
                <w:sz w:val="24"/>
                <w:szCs w:val="24"/>
                <w:lang w:val="sq-AL"/>
              </w:rPr>
            </w:pPr>
            <w:r w:rsidRPr="005208DC">
              <w:rPr>
                <w:rFonts w:ascii="Times New Roman" w:hAnsi="Times New Roman"/>
                <w:color w:val="0D0D0D" w:themeColor="text1" w:themeTint="F2"/>
                <w:spacing w:val="-1"/>
                <w:sz w:val="24"/>
                <w:szCs w:val="24"/>
                <w:lang w:val="sq-AL"/>
              </w:rPr>
              <w:t>E mesme</w:t>
            </w:r>
          </w:p>
        </w:tc>
        <w:tc>
          <w:tcPr>
            <w:tcW w:w="3673" w:type="dxa"/>
            <w:vMerge/>
            <w:shd w:val="clear" w:color="auto" w:fill="auto"/>
          </w:tcPr>
          <w:p w14:paraId="3959D61D" w14:textId="77777777" w:rsidR="00A86175" w:rsidRPr="005208DC" w:rsidRDefault="00A86175" w:rsidP="00857902">
            <w:pPr>
              <w:pStyle w:val="TableParagraph"/>
              <w:ind w:left="102" w:right="63"/>
              <w:rPr>
                <w:rFonts w:asciiTheme="majorBidi" w:hAnsiTheme="majorBidi" w:cstheme="majorBidi"/>
                <w:color w:val="0D0D0D" w:themeColor="text1" w:themeTint="F2"/>
                <w:spacing w:val="-1"/>
                <w:sz w:val="24"/>
                <w:szCs w:val="24"/>
                <w:lang w:val="sq-AL"/>
              </w:rPr>
            </w:pPr>
          </w:p>
        </w:tc>
      </w:tr>
    </w:tbl>
    <w:p w14:paraId="0BE95E56" w14:textId="77777777" w:rsidR="00263B19" w:rsidRPr="005208DC" w:rsidRDefault="00263B19" w:rsidP="00857902">
      <w:pPr>
        <w:rPr>
          <w:rFonts w:asciiTheme="majorBidi" w:hAnsiTheme="majorBidi" w:cstheme="majorBidi"/>
          <w:color w:val="0D0D0D" w:themeColor="text1" w:themeTint="F2"/>
          <w:lang w:val="sq-AL"/>
        </w:rPr>
      </w:pPr>
    </w:p>
    <w:p w14:paraId="12D4BB26" w14:textId="77777777" w:rsidR="00263B19" w:rsidRPr="005208DC" w:rsidRDefault="00263B19" w:rsidP="00857902">
      <w:pPr>
        <w:rPr>
          <w:rFonts w:asciiTheme="majorBidi" w:hAnsiTheme="majorBidi" w:cstheme="majorBidi"/>
          <w:color w:val="0D0D0D" w:themeColor="text1" w:themeTint="F2"/>
          <w:lang w:val="sq-AL"/>
        </w:rPr>
      </w:pPr>
    </w:p>
    <w:p w14:paraId="58716580" w14:textId="0EFF13D7" w:rsidR="00C21F03" w:rsidRPr="005208DC" w:rsidRDefault="005B1B04" w:rsidP="00857902">
      <w:pPr>
        <w:pStyle w:val="Heading3"/>
        <w:numPr>
          <w:ilvl w:val="2"/>
          <w:numId w:val="1"/>
        </w:numPr>
        <w:snapToGrid w:val="0"/>
        <w:rPr>
          <w:rFonts w:asciiTheme="majorBidi" w:hAnsiTheme="majorBidi" w:cstheme="majorBidi"/>
          <w:b/>
          <w:color w:val="0D0D0D" w:themeColor="text1" w:themeTint="F2"/>
          <w:sz w:val="24"/>
          <w:szCs w:val="24"/>
          <w:lang w:val="sq-AL"/>
        </w:rPr>
      </w:pPr>
      <w:bookmarkStart w:id="78" w:name="_Toc92721147"/>
      <w:r w:rsidRPr="005208DC">
        <w:rPr>
          <w:rFonts w:asciiTheme="majorBidi" w:hAnsiTheme="majorBidi" w:cstheme="majorBidi"/>
          <w:b/>
          <w:color w:val="0D0D0D" w:themeColor="text1" w:themeTint="F2"/>
          <w:sz w:val="24"/>
          <w:szCs w:val="24"/>
          <w:lang w:val="sq-AL"/>
        </w:rPr>
        <w:t>Mjedisi i biznesit dhe reduktimi i ekonomisë informale</w:t>
      </w:r>
      <w:bookmarkEnd w:id="78"/>
    </w:p>
    <w:p w14:paraId="47711F24" w14:textId="77777777" w:rsidR="005B1B04" w:rsidRPr="005208DC" w:rsidRDefault="005B1B04" w:rsidP="00857902">
      <w:pPr>
        <w:pStyle w:val="Heading4"/>
        <w:numPr>
          <w:ilvl w:val="0"/>
          <w:numId w:val="84"/>
        </w:numPr>
        <w:snapToGrid w:val="0"/>
        <w:ind w:left="567" w:hanging="283"/>
        <w:rPr>
          <w:rFonts w:asciiTheme="majorBidi" w:hAnsiTheme="majorBidi" w:cstheme="majorBidi"/>
          <w:b w:val="0"/>
          <w:i/>
          <w:color w:val="0D0D0D" w:themeColor="text1" w:themeTint="F2"/>
          <w:sz w:val="24"/>
          <w:szCs w:val="24"/>
          <w:lang w:val="sq-AL"/>
        </w:rPr>
      </w:pPr>
      <w:r w:rsidRPr="005208DC">
        <w:rPr>
          <w:rFonts w:asciiTheme="majorBidi" w:hAnsiTheme="majorBidi" w:cstheme="majorBidi"/>
          <w:b w:val="0"/>
          <w:i/>
          <w:color w:val="0D0D0D" w:themeColor="text1" w:themeTint="F2"/>
          <w:sz w:val="24"/>
          <w:szCs w:val="24"/>
          <w:lang w:val="sq-AL"/>
        </w:rPr>
        <w:t>Analiza e pengesave kryesore</w:t>
      </w:r>
    </w:p>
    <w:p w14:paraId="45E4C82A" w14:textId="77777777" w:rsidR="00CD0E63" w:rsidRPr="005208DC" w:rsidRDefault="00CD0E63" w:rsidP="00857902">
      <w:pPr>
        <w:jc w:val="both"/>
        <w:rPr>
          <w:rFonts w:asciiTheme="majorBidi" w:hAnsiTheme="majorBidi" w:cstheme="majorBidi"/>
          <w:color w:val="0D0D0D" w:themeColor="text1" w:themeTint="F2"/>
          <w:lang w:val="sq-AL"/>
        </w:rPr>
      </w:pPr>
    </w:p>
    <w:p w14:paraId="1BAE0336" w14:textId="48941F6A" w:rsidR="005B1B04" w:rsidRPr="005208DC" w:rsidRDefault="00CD0E63" w:rsidP="00CD0E63">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Pavarësisht progresit të fundit në rritjen e numrit të bizneseve të regjistruara, këto të fundit ndonjëherë ende nuk deklarojnë taksa apo punëtorë dhe kryejnë transaksione kryesisht me para në dorë. Bizneset informale në përgjithësi kanë produktivitet më të ulët se bizneset formale, gjë që është një zvarritje për firmat dhe një zvarritje për ekonominë. Të ardhurat publike zvogëlohen nga aktiviteti i fshehur ekonomik, duke rezultuar në uljen e ofrimit të të mirave dhe shërbimeve publike. Biznesi i kryer jashtë ekonomisë së rregulluar rrit sigurinë, shëndetin, mbrojtjen sociale dhe rreziqet mjedisore për punëtorët dhe komunitetet. Informaliteti pengon jo vetëm zhvillimin e atyre bizneseve që vendosin të qëndrojnë informalë, por është gjithashtu një pengesë për kompanitë formale të përballura me konkurrencën nga sektori informal. Duke qenë jashtë ekonomisë formale, këtyre kompanive u mungon mundësia për të përfituar nga aksesi në financa formale, aksesi në tregjet formale dhe nga mbrojtja ligjore e pronës, kontratave dhe investimeve të tyre. Për të lejuar bizneset të kontribuojnë më mirë në ekonomi, është e rëndësishme që qeveria të vazhdojë të investojë në mënyrë thelbësore në formalizimin e këtyre NMVM-ve. Qeveria shqiptare është e angazhuar t'i shërbejë mirëqeverisjes së bizneseve, si dhe të reduktojë qasjen korruptive në disa aspekte në luftën kundër evazionit dhe informalitetit. Gjatë periudhës 2020-2021, qeveria shqiptare u përfshi në një proces shumë të rëndësishëm lidhur me Ligjin e Fiskalizimit, i cili do të ndihmojë drejtpërdrejt Administratën Tatimore për të marrë të dhëna në kohë reale dhe të sakta, për të gjitha transaksionet e biznesit me administratën tatimore, por gjithashtu të gjitha informacionet që qarkullojnë në marrëdhëniet "biznes me biznes" dhe "biznes me qeverinë". Synimi është që në vitin 2021 i gjithë procesi i informacionit përmes faturimit të jetë elektronik dhe kjo të ushtrojë një presion edhe më të madh drejt aksesit në pasqyrat reale financiare dhe jo ato fiskale që sot i konsiderojmë larg realitetit.</w:t>
      </w:r>
    </w:p>
    <w:p w14:paraId="4041DC45" w14:textId="77777777" w:rsidR="00806ED4" w:rsidRPr="005208DC" w:rsidRDefault="00806ED4" w:rsidP="00857902">
      <w:pPr>
        <w:rPr>
          <w:rFonts w:asciiTheme="majorBidi" w:hAnsiTheme="majorBidi" w:cstheme="majorBidi"/>
          <w:color w:val="0D0D0D" w:themeColor="text1" w:themeTint="F2"/>
          <w:lang w:val="sq-AL"/>
        </w:rPr>
      </w:pPr>
    </w:p>
    <w:p w14:paraId="5F483A81" w14:textId="34AFF8F2" w:rsidR="00C21F03" w:rsidRPr="005208DC" w:rsidRDefault="008D080B" w:rsidP="00857902">
      <w:pPr>
        <w:pStyle w:val="Heading3"/>
        <w:numPr>
          <w:ilvl w:val="2"/>
          <w:numId w:val="1"/>
        </w:numPr>
        <w:snapToGrid w:val="0"/>
        <w:rPr>
          <w:rFonts w:asciiTheme="majorBidi" w:hAnsiTheme="majorBidi" w:cstheme="majorBidi"/>
          <w:b/>
          <w:color w:val="0D0D0D" w:themeColor="text1" w:themeTint="F2"/>
          <w:sz w:val="24"/>
          <w:szCs w:val="24"/>
          <w:lang w:val="sq-AL"/>
        </w:rPr>
      </w:pPr>
      <w:bookmarkStart w:id="79" w:name="_Toc92721148"/>
      <w:r w:rsidRPr="005208DC">
        <w:rPr>
          <w:rFonts w:asciiTheme="majorBidi" w:hAnsiTheme="majorBidi" w:cstheme="majorBidi"/>
          <w:b/>
          <w:color w:val="0D0D0D" w:themeColor="text1" w:themeTint="F2"/>
          <w:sz w:val="24"/>
          <w:szCs w:val="24"/>
          <w:lang w:val="sq-AL"/>
        </w:rPr>
        <w:t>Kërkim, zhvillim dhe inovacion</w:t>
      </w:r>
      <w:bookmarkEnd w:id="79"/>
    </w:p>
    <w:p w14:paraId="21F1B76D" w14:textId="77777777" w:rsidR="008A08C2" w:rsidRPr="005208DC" w:rsidRDefault="008A08C2" w:rsidP="00857902">
      <w:pPr>
        <w:rPr>
          <w:rFonts w:asciiTheme="majorBidi" w:hAnsiTheme="majorBidi" w:cstheme="majorBidi"/>
          <w:color w:val="0D0D0D" w:themeColor="text1" w:themeTint="F2"/>
          <w:lang w:val="sq-AL"/>
        </w:rPr>
      </w:pPr>
    </w:p>
    <w:p w14:paraId="39AC2CF1" w14:textId="77777777" w:rsidR="00806ED4" w:rsidRPr="005208DC" w:rsidRDefault="00806ED4" w:rsidP="00857902">
      <w:pPr>
        <w:rPr>
          <w:rFonts w:asciiTheme="majorBidi" w:hAnsiTheme="majorBidi" w:cstheme="majorBidi"/>
          <w:color w:val="0D0D0D" w:themeColor="text1" w:themeTint="F2"/>
          <w:lang w:val="sq-AL"/>
        </w:rPr>
      </w:pPr>
    </w:p>
    <w:p w14:paraId="40B5DF03" w14:textId="60882459" w:rsidR="00C21F03" w:rsidRPr="005208DC" w:rsidRDefault="008D080B" w:rsidP="00857902">
      <w:pPr>
        <w:pStyle w:val="Heading3"/>
        <w:numPr>
          <w:ilvl w:val="2"/>
          <w:numId w:val="1"/>
        </w:numPr>
        <w:snapToGrid w:val="0"/>
        <w:rPr>
          <w:rFonts w:asciiTheme="majorBidi" w:hAnsiTheme="majorBidi" w:cstheme="majorBidi"/>
          <w:b/>
          <w:color w:val="0D0D0D" w:themeColor="text1" w:themeTint="F2"/>
          <w:sz w:val="24"/>
          <w:szCs w:val="24"/>
          <w:lang w:val="sq-AL"/>
        </w:rPr>
      </w:pPr>
      <w:bookmarkStart w:id="80" w:name="_Toc92721149"/>
      <w:r w:rsidRPr="005208DC">
        <w:rPr>
          <w:rFonts w:asciiTheme="majorBidi" w:hAnsiTheme="majorBidi" w:cstheme="majorBidi"/>
          <w:b/>
          <w:color w:val="0D0D0D" w:themeColor="text1" w:themeTint="F2"/>
          <w:sz w:val="24"/>
          <w:szCs w:val="24"/>
          <w:lang w:val="sq-AL"/>
        </w:rPr>
        <w:t>Integrimi ekonomik</w:t>
      </w:r>
      <w:bookmarkEnd w:id="80"/>
    </w:p>
    <w:p w14:paraId="1E4DFF4A" w14:textId="6AF1D59C" w:rsidR="00CC1612" w:rsidRPr="005208DC" w:rsidRDefault="00B2062A" w:rsidP="00F957E8">
      <w:pPr>
        <w:pStyle w:val="Heading4"/>
        <w:numPr>
          <w:ilvl w:val="0"/>
          <w:numId w:val="107"/>
        </w:numPr>
        <w:snapToGrid w:val="0"/>
        <w:ind w:left="567" w:hanging="283"/>
        <w:rPr>
          <w:rFonts w:asciiTheme="majorBidi" w:hAnsiTheme="majorBidi" w:cstheme="majorBidi"/>
          <w:b w:val="0"/>
          <w:i/>
          <w:color w:val="0D0D0D" w:themeColor="text1" w:themeTint="F2"/>
          <w:sz w:val="24"/>
          <w:szCs w:val="24"/>
          <w:lang w:val="sq-AL"/>
        </w:rPr>
      </w:pPr>
      <w:r w:rsidRPr="005208DC">
        <w:rPr>
          <w:rFonts w:asciiTheme="majorBidi" w:hAnsiTheme="majorBidi" w:cstheme="majorBidi"/>
          <w:b w:val="0"/>
          <w:i/>
          <w:color w:val="0D0D0D" w:themeColor="text1" w:themeTint="F2"/>
          <w:sz w:val="24"/>
          <w:szCs w:val="24"/>
          <w:lang w:val="sq-AL"/>
        </w:rPr>
        <w:t>Analiza e pengesave kryesore</w:t>
      </w:r>
    </w:p>
    <w:p w14:paraId="44256759" w14:textId="77777777" w:rsidR="0055335A" w:rsidRPr="005208DC" w:rsidRDefault="0055335A" w:rsidP="0055335A">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Sipas raportit të OECD “Outlook Competitiveness” 2021, performanca e Shqipërisë në dimensionin e politikës tregtare është përmirësuar që nga viti 2018. Rezultati i ekonomisë shqiptare është rritur nga 2.8 në Perspektivën e Konkurrueshmërisë 2018 në 3.5 në vlerësimin e 2021.</w:t>
      </w:r>
    </w:p>
    <w:p w14:paraId="5086DCFB" w14:textId="77777777" w:rsidR="0055335A" w:rsidRPr="005208DC" w:rsidRDefault="0055335A" w:rsidP="0055335A">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Progresi i arritur veçanërisht në transparencën rregullatore, përmirësimin e konsultimeve publike në hartimin e politikave tregtare dhe zhvillimin dhe koordinimin e politikave tregtare. Mekanizmi i koordinimit ndërinstitucional të ekonomisë është forcuar nëpërmjet miratimit të rregullave dhe procedurave të reja për Komitetin Kombëtar të Lehtësimit të Tregtisë (KKLT).</w:t>
      </w:r>
    </w:p>
    <w:p w14:paraId="60D86305" w14:textId="77777777" w:rsidR="0055335A" w:rsidRPr="005208DC" w:rsidRDefault="0055335A" w:rsidP="0055335A">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Gjatë situatës së Covid-it, Shqipëria është i vetmi vend që nuk ka vendosur masa kufizuese tregtare.</w:t>
      </w:r>
    </w:p>
    <w:p w14:paraId="204FBA96" w14:textId="77777777" w:rsidR="0055335A" w:rsidRPr="005208DC" w:rsidRDefault="0055335A" w:rsidP="0055335A">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Eksportet e mallrave dhe shërbimeve të Shqipërisë, të cilat kishin qenë në rritje të qëndrueshme që nga viti 2015, u stabilizuan në vitin 2018. Tregtia e përgjithshme në 2019 ishte 79.6% e PBB-së, afërsisht e njëjtë me vitin 2018 (në terma realë), krahasuar me 75.4% në 2014. Eksportet e mallrave shqiptar arritën në 2.4 miliardë euro në vitin 2019, ndërsa importet u rritën më ngadalë, duke arritur në 5 miliardë euro. Në vitin 2019, eksportet e mallrave dhe shërbimeve të Shqipërisë arritën në 31.6% të PBB-së ndërsa importet ishin 45.3%. Në përgjithësi, deficiti i tregtisë së jashtme arriti në 13.8% të PBB-së së ekonomisë në vitin 2019.</w:t>
      </w:r>
    </w:p>
    <w:p w14:paraId="34949099" w14:textId="77777777" w:rsidR="0055335A" w:rsidRPr="005208DC" w:rsidRDefault="0055335A" w:rsidP="0055335A">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Shqipëria ka intensifikuar bashkëpunimin me Sekretariatin e CEFTA-s dhe RCC-në për zbatimin e masave të Planit të Veprimit 2021-2024 në të gjitha fushat prioritare që lidhen me 4 liritë. Për shumicën e shtyllave, roli kryesor koordinues i takon Ministrisë së Financave dhe Ekonomisë.</w:t>
      </w:r>
    </w:p>
    <w:p w14:paraId="2B8793D5" w14:textId="77777777" w:rsidR="0055335A" w:rsidRPr="005208DC" w:rsidRDefault="0055335A" w:rsidP="0055335A">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xml:space="preserve">Lidhur me zbatimin e </w:t>
      </w:r>
      <w:r w:rsidRPr="005208DC">
        <w:rPr>
          <w:rFonts w:asciiTheme="majorBidi" w:hAnsiTheme="majorBidi" w:cstheme="majorBidi"/>
          <w:b/>
          <w:color w:val="0D0D0D" w:themeColor="text1" w:themeTint="F2"/>
          <w:lang w:val="sq-AL"/>
        </w:rPr>
        <w:t>Protokollit Shtesë 5 të CEFTA-s për Lehtësimin e Tregtisë,</w:t>
      </w:r>
      <w:r w:rsidRPr="005208DC">
        <w:rPr>
          <w:rFonts w:asciiTheme="majorBidi" w:hAnsiTheme="majorBidi" w:cstheme="majorBidi"/>
          <w:color w:val="0D0D0D" w:themeColor="text1" w:themeTint="F2"/>
          <w:lang w:val="sq-AL"/>
        </w:rPr>
        <w:t xml:space="preserve"> Shqipëria po punon në nivel rajonal:</w:t>
      </w:r>
    </w:p>
    <w:p w14:paraId="0B3F26E7" w14:textId="77777777" w:rsidR="0055335A" w:rsidRPr="005208DC" w:rsidRDefault="0055335A" w:rsidP="0055335A">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xml:space="preserve">Për të zgjeruar </w:t>
      </w:r>
      <w:r w:rsidRPr="005208DC">
        <w:rPr>
          <w:rFonts w:asciiTheme="majorBidi" w:hAnsiTheme="majorBidi" w:cstheme="majorBidi"/>
          <w:b/>
          <w:color w:val="0D0D0D" w:themeColor="text1" w:themeTint="F2"/>
          <w:lang w:val="sq-AL"/>
        </w:rPr>
        <w:t>Korsitë/Korridoret e Gjelbërta</w:t>
      </w:r>
      <w:r w:rsidRPr="005208DC">
        <w:rPr>
          <w:rFonts w:asciiTheme="majorBidi" w:hAnsiTheme="majorBidi" w:cstheme="majorBidi"/>
          <w:color w:val="0D0D0D" w:themeColor="text1" w:themeTint="F2"/>
          <w:lang w:val="sq-AL"/>
        </w:rPr>
        <w:t xml:space="preserve"> me shtetet anëtare të BE-së, me Greqinë Pikën Kufitare të Kapshticës dhe Kakavijës;</w:t>
      </w:r>
    </w:p>
    <w:p w14:paraId="10C41B33" w14:textId="77777777" w:rsidR="0055335A" w:rsidRPr="005208DC" w:rsidRDefault="0055335A" w:rsidP="00F957E8">
      <w:pPr>
        <w:pStyle w:val="ListParagraph"/>
        <w:numPr>
          <w:ilvl w:val="0"/>
          <w:numId w:val="137"/>
        </w:numPr>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 xml:space="preserve">Për të reduktuar kohën e pritjes në pikat kufitare të kamionëve dhe të </w:t>
      </w:r>
      <w:r w:rsidRPr="005208DC">
        <w:rPr>
          <w:rFonts w:asciiTheme="majorBidi" w:hAnsiTheme="majorBidi" w:cstheme="majorBidi"/>
          <w:b/>
          <w:color w:val="0D0D0D" w:themeColor="text1" w:themeTint="F2"/>
          <w:sz w:val="24"/>
          <w:szCs w:val="24"/>
          <w:lang w:val="sq-AL"/>
        </w:rPr>
        <w:t>harmonizojë orarin e punës</w:t>
      </w:r>
      <w:r w:rsidRPr="005208DC">
        <w:rPr>
          <w:rFonts w:asciiTheme="majorBidi" w:hAnsiTheme="majorBidi" w:cstheme="majorBidi"/>
          <w:color w:val="0D0D0D" w:themeColor="text1" w:themeTint="F2"/>
          <w:sz w:val="24"/>
          <w:szCs w:val="24"/>
          <w:lang w:val="sq-AL"/>
        </w:rPr>
        <w:t xml:space="preserve"> së të gjitha autoriteteve inspektuese me palët e CEFTA fqinje dhe po mbështet propozimin për harmonizimin e orarit 24/7.</w:t>
      </w:r>
    </w:p>
    <w:p w14:paraId="4E543E9B" w14:textId="77777777" w:rsidR="0055335A" w:rsidRPr="005208DC" w:rsidRDefault="0055335A" w:rsidP="00F957E8">
      <w:pPr>
        <w:pStyle w:val="ListParagraph"/>
        <w:numPr>
          <w:ilvl w:val="0"/>
          <w:numId w:val="137"/>
        </w:numPr>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 xml:space="preserve">Për të zbatuar Vendimin e Komitetit të Përbashkët për </w:t>
      </w:r>
      <w:r w:rsidRPr="005208DC">
        <w:rPr>
          <w:rFonts w:asciiTheme="majorBidi" w:hAnsiTheme="majorBidi" w:cstheme="majorBidi"/>
          <w:b/>
          <w:color w:val="0D0D0D" w:themeColor="text1" w:themeTint="F2"/>
          <w:sz w:val="24"/>
          <w:szCs w:val="24"/>
          <w:lang w:val="sq-AL"/>
        </w:rPr>
        <w:t>Lehtësimin e Tregtisë së Frutave dhe Perimeve</w:t>
      </w:r>
      <w:r w:rsidRPr="005208DC">
        <w:rPr>
          <w:rFonts w:asciiTheme="majorBidi" w:hAnsiTheme="majorBidi" w:cstheme="majorBidi"/>
          <w:color w:val="0D0D0D" w:themeColor="text1" w:themeTint="F2"/>
          <w:sz w:val="24"/>
          <w:szCs w:val="24"/>
          <w:lang w:val="sq-AL"/>
        </w:rPr>
        <w:t>, ku është rënë dakord për listën e frutave dhe perimeve për të cilat situata fitosanitare në të gjitha palët është e ngjashme, duke punuar në rajon për hartimin e planeve shumëvjeçare të kontrollit si dhe ka bërë. regjistrimin e operatorëve eksportues që duan të përfshihen në eksport, lista i është dërguar Sekretariatit të CEFTA-s .</w:t>
      </w:r>
    </w:p>
    <w:p w14:paraId="10F29A4D" w14:textId="5680AF8D" w:rsidR="0055335A" w:rsidRPr="005208DC" w:rsidRDefault="0055335A" w:rsidP="00F957E8">
      <w:pPr>
        <w:pStyle w:val="ListParagraph"/>
        <w:numPr>
          <w:ilvl w:val="0"/>
          <w:numId w:val="137"/>
        </w:numPr>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 xml:space="preserve">Të zbatohet vendimi i Komitetit të Përbashkët </w:t>
      </w:r>
      <w:r w:rsidRPr="005208DC">
        <w:rPr>
          <w:rFonts w:asciiTheme="majorBidi" w:hAnsiTheme="majorBidi" w:cstheme="majorBidi"/>
          <w:b/>
          <w:color w:val="0D0D0D" w:themeColor="text1" w:themeTint="F2"/>
          <w:sz w:val="24"/>
          <w:szCs w:val="24"/>
          <w:lang w:val="sq-AL"/>
        </w:rPr>
        <w:t>për programet e njohjes reciproke të operatorëve ekonomikë të autorizuar (OAE)</w:t>
      </w:r>
      <w:r w:rsidRPr="005208DC">
        <w:rPr>
          <w:rFonts w:asciiTheme="majorBidi" w:hAnsiTheme="majorBidi" w:cstheme="majorBidi"/>
          <w:color w:val="0D0D0D" w:themeColor="text1" w:themeTint="F2"/>
          <w:sz w:val="24"/>
          <w:szCs w:val="24"/>
          <w:lang w:val="sq-AL"/>
        </w:rPr>
        <w:t>, - si rezultat i fushatës sensibilizuese janë paraqitur 9 aplikime për autorizim nga kompanitë e interesuara. Gjatë muajit shtator 2021, Drejtoria e Përgjithshme e Doganave Shqiptare ka dorëzuar në Sekretariatin e CEFTA-s dokumentacionin për 4 aplikime për vleftësimin e OEA.</w:t>
      </w:r>
    </w:p>
    <w:p w14:paraId="46163538" w14:textId="77777777" w:rsidR="0055335A" w:rsidRPr="005208DC" w:rsidRDefault="0055335A" w:rsidP="0055335A">
      <w:pPr>
        <w:rPr>
          <w:rFonts w:asciiTheme="majorBidi" w:hAnsiTheme="majorBidi" w:cstheme="majorBidi"/>
          <w:color w:val="0D0D0D" w:themeColor="text1" w:themeTint="F2"/>
          <w:lang w:val="sq-AL"/>
        </w:rPr>
      </w:pPr>
    </w:p>
    <w:p w14:paraId="5D04767D" w14:textId="77777777" w:rsidR="0055335A" w:rsidRPr="005208DC" w:rsidRDefault="0055335A" w:rsidP="0055335A">
      <w:pPr>
        <w:ind w:left="360" w:right="23"/>
        <w:jc w:val="both"/>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 xml:space="preserve">Protokolli Shtesë </w:t>
      </w:r>
      <w:r w:rsidRPr="005208DC">
        <w:rPr>
          <w:rFonts w:asciiTheme="majorBidi" w:eastAsia="Times New Roman" w:hAnsiTheme="majorBidi" w:cstheme="majorBidi"/>
          <w:b/>
          <w:color w:val="0D0D0D" w:themeColor="text1" w:themeTint="F2"/>
          <w:lang w:val="sq-AL"/>
        </w:rPr>
        <w:t>i CEFTA-s (AP) 6 për liberalizimin e tregtisë së shërbimeve</w:t>
      </w:r>
      <w:r w:rsidRPr="005208DC">
        <w:rPr>
          <w:rFonts w:asciiTheme="majorBidi" w:eastAsia="Times New Roman" w:hAnsiTheme="majorBidi" w:cstheme="majorBidi"/>
          <w:color w:val="0D0D0D" w:themeColor="text1" w:themeTint="F2"/>
          <w:lang w:val="sq-AL"/>
        </w:rPr>
        <w:t xml:space="preserve"> ka hyrë në fuqi më 11 janar 2021 dhe ka filluar zbatimin pas depozitimit të instrumentit të tretë të ratifikimit. Në dritën e angazhimit të Protokollit Shtesë 6 dhe Planit të Veprimit CRM 2021 – 2024:</w:t>
      </w:r>
    </w:p>
    <w:p w14:paraId="0F428EC0" w14:textId="77777777" w:rsidR="0055335A" w:rsidRPr="005208DC" w:rsidRDefault="0055335A" w:rsidP="00F957E8">
      <w:pPr>
        <w:pStyle w:val="ListParagraph"/>
        <w:numPr>
          <w:ilvl w:val="0"/>
          <w:numId w:val="136"/>
        </w:numPr>
        <w:ind w:right="23"/>
        <w:jc w:val="both"/>
        <w:rPr>
          <w:rFonts w:asciiTheme="majorBidi" w:eastAsia="Times New Roman" w:hAnsiTheme="majorBidi" w:cstheme="majorBidi"/>
          <w:color w:val="0D0D0D" w:themeColor="text1" w:themeTint="F2"/>
          <w:sz w:val="24"/>
          <w:szCs w:val="24"/>
          <w:lang w:val="sq-AL"/>
        </w:rPr>
      </w:pPr>
      <w:r w:rsidRPr="005208DC">
        <w:rPr>
          <w:rFonts w:asciiTheme="majorBidi" w:eastAsia="Times New Roman" w:hAnsiTheme="majorBidi" w:cstheme="majorBidi"/>
          <w:color w:val="0D0D0D" w:themeColor="text1" w:themeTint="F2"/>
          <w:sz w:val="24"/>
          <w:szCs w:val="24"/>
          <w:lang w:val="sq-AL"/>
        </w:rPr>
        <w:t xml:space="preserve">Është ngritur grupi i punës për </w:t>
      </w:r>
      <w:r w:rsidRPr="005208DC">
        <w:rPr>
          <w:rFonts w:asciiTheme="majorBidi" w:eastAsia="Times New Roman" w:hAnsiTheme="majorBidi" w:cstheme="majorBidi"/>
          <w:b/>
          <w:color w:val="0D0D0D" w:themeColor="text1" w:themeTint="F2"/>
          <w:sz w:val="24"/>
          <w:szCs w:val="24"/>
          <w:lang w:val="sq-AL"/>
        </w:rPr>
        <w:t>liberalizimin e tregtisë në sektorin e turizmit</w:t>
      </w:r>
      <w:r w:rsidRPr="005208DC">
        <w:rPr>
          <w:rFonts w:asciiTheme="majorBidi" w:eastAsia="Times New Roman" w:hAnsiTheme="majorBidi" w:cstheme="majorBidi"/>
          <w:color w:val="0D0D0D" w:themeColor="text1" w:themeTint="F2"/>
          <w:sz w:val="24"/>
          <w:szCs w:val="24"/>
          <w:lang w:val="sq-AL"/>
        </w:rPr>
        <w:t xml:space="preserve"> i cili është përzgjedhur si sektor pilot i guidave turistike dhe operatorëve turistikë për harmonizimin e legjislacionit ndërmjet palëve. Harmonizimi do të bëhet bazuar në Direktivën e Shërbimeve të BE-së. Është përgatitur dhe është ende në diskutim projektvendimi i Komisionit të Përbashkët të CEFTA-s për njohjen e kritereve të licencimit për operatorët turistikë dhe guidat turistike.</w:t>
      </w:r>
    </w:p>
    <w:p w14:paraId="076B2077" w14:textId="77777777" w:rsidR="0055335A" w:rsidRPr="005208DC" w:rsidRDefault="0055335A" w:rsidP="00F957E8">
      <w:pPr>
        <w:pStyle w:val="ListParagraph"/>
        <w:numPr>
          <w:ilvl w:val="0"/>
          <w:numId w:val="136"/>
        </w:numPr>
        <w:ind w:right="23"/>
        <w:jc w:val="both"/>
        <w:rPr>
          <w:rFonts w:asciiTheme="majorBidi" w:eastAsia="Times New Roman" w:hAnsiTheme="majorBidi" w:cstheme="majorBidi"/>
          <w:color w:val="0D0D0D" w:themeColor="text1" w:themeTint="F2"/>
          <w:sz w:val="24"/>
          <w:szCs w:val="24"/>
          <w:lang w:val="sq-AL"/>
        </w:rPr>
      </w:pPr>
      <w:r w:rsidRPr="005208DC">
        <w:rPr>
          <w:rFonts w:asciiTheme="majorBidi" w:eastAsia="Times New Roman" w:hAnsiTheme="majorBidi" w:cstheme="majorBidi"/>
          <w:color w:val="0D0D0D" w:themeColor="text1" w:themeTint="F2"/>
          <w:sz w:val="24"/>
          <w:szCs w:val="24"/>
          <w:lang w:val="sq-AL"/>
        </w:rPr>
        <w:t xml:space="preserve">Eështë hartuar vendimi i Komitetit të Përbashkët të CEFTA-s për </w:t>
      </w:r>
      <w:r w:rsidRPr="005208DC">
        <w:rPr>
          <w:rFonts w:asciiTheme="majorBidi" w:eastAsia="Times New Roman" w:hAnsiTheme="majorBidi" w:cstheme="majorBidi"/>
          <w:b/>
          <w:color w:val="0D0D0D" w:themeColor="text1" w:themeTint="F2"/>
          <w:sz w:val="24"/>
          <w:szCs w:val="24"/>
          <w:lang w:val="sq-AL"/>
        </w:rPr>
        <w:t>Njohjen e ndërsjellë të kualifikimeve profesionale</w:t>
      </w:r>
      <w:r w:rsidRPr="005208DC">
        <w:rPr>
          <w:rFonts w:asciiTheme="majorBidi" w:eastAsia="Times New Roman" w:hAnsiTheme="majorBidi" w:cstheme="majorBidi"/>
          <w:color w:val="0D0D0D" w:themeColor="text1" w:themeTint="F2"/>
          <w:sz w:val="24"/>
          <w:szCs w:val="24"/>
          <w:lang w:val="sq-AL"/>
        </w:rPr>
        <w:t>, duke filluar me profesionin e pilotit të inxhinierit të ndërtimit. Vendimi është dakordësuar në nivel teknik ndërmjet palëve. Janë ende në diskutim dy çështje, për titullin e vendimit dhe për preambulën.</w:t>
      </w:r>
    </w:p>
    <w:p w14:paraId="33C91800" w14:textId="77777777" w:rsidR="0055335A" w:rsidRPr="005208DC" w:rsidRDefault="0055335A" w:rsidP="00F957E8">
      <w:pPr>
        <w:pStyle w:val="ListParagraph"/>
        <w:numPr>
          <w:ilvl w:val="0"/>
          <w:numId w:val="136"/>
        </w:numPr>
        <w:ind w:right="23"/>
        <w:jc w:val="both"/>
        <w:rPr>
          <w:rFonts w:asciiTheme="majorBidi" w:eastAsia="Times New Roman" w:hAnsiTheme="majorBidi" w:cstheme="majorBidi"/>
          <w:color w:val="0D0D0D" w:themeColor="text1" w:themeTint="F2"/>
          <w:sz w:val="24"/>
          <w:szCs w:val="24"/>
          <w:lang w:val="sq-AL"/>
        </w:rPr>
      </w:pPr>
      <w:r w:rsidRPr="005208DC">
        <w:rPr>
          <w:rFonts w:asciiTheme="majorBidi" w:eastAsia="Times New Roman" w:hAnsiTheme="majorBidi" w:cstheme="majorBidi"/>
          <w:color w:val="0D0D0D" w:themeColor="text1" w:themeTint="F2"/>
          <w:sz w:val="24"/>
          <w:szCs w:val="24"/>
          <w:lang w:val="sq-AL"/>
        </w:rPr>
        <w:t xml:space="preserve">Është hartuar teksti I Projektvendimit të Komitetit të Përbashkët të CEFTA-s për harmonizimit të angazhimit horizontal </w:t>
      </w:r>
      <w:r w:rsidRPr="005208DC">
        <w:rPr>
          <w:rFonts w:asciiTheme="majorBidi" w:eastAsia="Times New Roman" w:hAnsiTheme="majorBidi" w:cstheme="majorBidi"/>
          <w:b/>
          <w:color w:val="0D0D0D" w:themeColor="text1" w:themeTint="F2"/>
          <w:sz w:val="24"/>
          <w:szCs w:val="24"/>
          <w:lang w:val="sq-AL"/>
        </w:rPr>
        <w:t>për heqjen e lejeve të punës</w:t>
      </w:r>
      <w:r w:rsidRPr="005208DC">
        <w:rPr>
          <w:rFonts w:asciiTheme="majorBidi" w:eastAsia="Times New Roman" w:hAnsiTheme="majorBidi" w:cstheme="majorBidi"/>
          <w:color w:val="0D0D0D" w:themeColor="text1" w:themeTint="F2"/>
          <w:sz w:val="24"/>
          <w:szCs w:val="24"/>
          <w:lang w:val="sq-AL"/>
        </w:rPr>
        <w:t xml:space="preserve"> për veprimtaritë profesionale sipas AP6. Projkektvendimi është ende në diskutim mes palëve.</w:t>
      </w:r>
    </w:p>
    <w:p w14:paraId="44AA7644" w14:textId="77777777" w:rsidR="0055335A" w:rsidRPr="005208DC" w:rsidRDefault="0055335A" w:rsidP="00F957E8">
      <w:pPr>
        <w:pStyle w:val="ListParagraph"/>
        <w:numPr>
          <w:ilvl w:val="0"/>
          <w:numId w:val="136"/>
        </w:numPr>
        <w:ind w:right="23"/>
        <w:jc w:val="both"/>
        <w:rPr>
          <w:rFonts w:asciiTheme="majorBidi" w:eastAsia="Times New Roman" w:hAnsiTheme="majorBidi" w:cstheme="majorBidi"/>
          <w:color w:val="0D0D0D" w:themeColor="text1" w:themeTint="F2"/>
          <w:sz w:val="24"/>
          <w:szCs w:val="24"/>
          <w:lang w:val="sq-AL"/>
        </w:rPr>
      </w:pPr>
      <w:r w:rsidRPr="005208DC">
        <w:rPr>
          <w:rFonts w:asciiTheme="majorBidi" w:eastAsia="Times New Roman" w:hAnsiTheme="majorBidi" w:cstheme="majorBidi"/>
          <w:color w:val="0D0D0D" w:themeColor="text1" w:themeTint="F2"/>
          <w:sz w:val="24"/>
          <w:szCs w:val="24"/>
          <w:lang w:val="sq-AL"/>
        </w:rPr>
        <w:t xml:space="preserve">Projektvendimi për </w:t>
      </w:r>
      <w:r w:rsidRPr="005208DC">
        <w:rPr>
          <w:rFonts w:asciiTheme="majorBidi" w:eastAsia="Times New Roman" w:hAnsiTheme="majorBidi" w:cstheme="majorBidi"/>
          <w:b/>
          <w:color w:val="0D0D0D" w:themeColor="text1" w:themeTint="F2"/>
          <w:sz w:val="24"/>
          <w:szCs w:val="24"/>
          <w:lang w:val="sq-AL"/>
        </w:rPr>
        <w:t>lehtësimin e tregtisë elektronike</w:t>
      </w:r>
      <w:r w:rsidRPr="005208DC">
        <w:rPr>
          <w:rFonts w:asciiTheme="majorBidi" w:eastAsia="Times New Roman" w:hAnsiTheme="majorBidi" w:cstheme="majorBidi"/>
          <w:color w:val="0D0D0D" w:themeColor="text1" w:themeTint="F2"/>
          <w:sz w:val="24"/>
          <w:szCs w:val="24"/>
          <w:lang w:val="sq-AL"/>
        </w:rPr>
        <w:t xml:space="preserve"> është diskutuar dhe dakordësuar mes palëve të CEFTA-s. Palët janë duke përfunduar procedurat e brendshme ligjore për t'i hapur rrugë miratimit të projektvendimit nga Komiteti i Përbashkët i CEFTA-s. Këshilli i Ministrave i Shqipërisë ka miratuar projektvendimin dhe pret përfundimin e procedurave të brendshme të palëve të tjera për t’ u miratuar tjera në Komitetin e Përbashkët të CEFTA-s.</w:t>
      </w:r>
    </w:p>
    <w:p w14:paraId="2A9D91EC" w14:textId="77777777" w:rsidR="0055335A" w:rsidRPr="005208DC" w:rsidRDefault="0055335A" w:rsidP="0055335A">
      <w:pPr>
        <w:ind w:right="23"/>
        <w:jc w:val="both"/>
        <w:rPr>
          <w:rFonts w:asciiTheme="majorBidi" w:eastAsia="Times New Roman" w:hAnsiTheme="majorBidi" w:cstheme="majorBidi"/>
          <w:color w:val="0D0D0D" w:themeColor="text1" w:themeTint="F2"/>
          <w:lang w:val="sq-AL" w:eastAsia="en-GB"/>
        </w:rPr>
      </w:pPr>
      <w:r w:rsidRPr="005208DC">
        <w:rPr>
          <w:rFonts w:asciiTheme="majorBidi" w:eastAsia="Times New Roman" w:hAnsiTheme="majorBidi" w:cstheme="majorBidi"/>
          <w:color w:val="0D0D0D" w:themeColor="text1" w:themeTint="F2"/>
          <w:lang w:val="sq-AL" w:eastAsia="en-GB"/>
        </w:rPr>
        <w:t xml:space="preserve">Negociatat për </w:t>
      </w:r>
      <w:r w:rsidRPr="005208DC">
        <w:rPr>
          <w:rFonts w:asciiTheme="majorBidi" w:eastAsia="Times New Roman" w:hAnsiTheme="majorBidi" w:cstheme="majorBidi"/>
          <w:b/>
          <w:color w:val="0D0D0D" w:themeColor="text1" w:themeTint="F2"/>
          <w:lang w:val="sq-AL" w:eastAsia="en-GB"/>
        </w:rPr>
        <w:t>Protokollin Shtesë 7 për Zgjidhjen e Mosmarrëveshjeve</w:t>
      </w:r>
      <w:r w:rsidRPr="005208DC">
        <w:rPr>
          <w:rFonts w:asciiTheme="majorBidi" w:eastAsia="Times New Roman" w:hAnsiTheme="majorBidi" w:cstheme="majorBidi"/>
          <w:color w:val="0D0D0D" w:themeColor="text1" w:themeTint="F2"/>
          <w:lang w:val="sq-AL" w:eastAsia="en-GB"/>
        </w:rPr>
        <w:t xml:space="preserve"> sipas CEFTA-s kanë vazhduar rregullisht. Që nga janari i vitit 2021 janë organizuar 7 raunde negociatash. Ekipi negociator shqiptar luan një rol aktiv. Në negociata janë duke diskutuar çështje të rëndësishme si kostoja dhe financimi i procedimeve dhe paneleve, hyrja në fuqi e protokollit, organi i apelimit, etj.</w:t>
      </w:r>
    </w:p>
    <w:p w14:paraId="3D6EBCB1" w14:textId="176D4870" w:rsidR="008D080B" w:rsidRPr="005208DC" w:rsidRDefault="0055335A" w:rsidP="0055335A">
      <w:pPr>
        <w:snapToGrid w:val="0"/>
        <w:jc w:val="both"/>
        <w:rPr>
          <w:rFonts w:asciiTheme="majorBidi"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eastAsia="en-GB"/>
        </w:rPr>
        <w:t xml:space="preserve">Shqipëria ka përfunduar procedurat e brendshme dhe ka ratifikuar </w:t>
      </w:r>
      <w:r w:rsidRPr="005208DC">
        <w:rPr>
          <w:rFonts w:asciiTheme="majorBidi" w:eastAsia="Times New Roman" w:hAnsiTheme="majorBidi" w:cstheme="majorBidi"/>
          <w:b/>
          <w:color w:val="0D0D0D" w:themeColor="text1" w:themeTint="F2"/>
          <w:lang w:val="sq-AL" w:eastAsia="en-GB"/>
        </w:rPr>
        <w:t>Protokollin e rregullave alternative të origjinës</w:t>
      </w:r>
      <w:r w:rsidRPr="005208DC">
        <w:rPr>
          <w:rFonts w:asciiTheme="majorBidi" w:eastAsia="Times New Roman" w:hAnsiTheme="majorBidi" w:cstheme="majorBidi"/>
          <w:color w:val="0D0D0D" w:themeColor="text1" w:themeTint="F2"/>
          <w:lang w:val="sq-AL" w:eastAsia="en-GB"/>
        </w:rPr>
        <w:t xml:space="preserve"> të zbatueshme të rishikuara për përcaktimin e konceptit të “produkteve origjinuese” dhe metodave të bashkëpunimit administrativ”, sipas Konventës për Rregullat e Origjinës Preferenciale Pan–Euro-Mesdhetare, me Bashkimin Evropian, me CEFTA-n dhe me shtetet e EFTA-s, para 1 shtatorit 2021. Procesi po vazhdon me Turqinë.</w:t>
      </w:r>
    </w:p>
    <w:p w14:paraId="5A0874A0" w14:textId="77777777" w:rsidR="008D080B" w:rsidRPr="005208DC" w:rsidRDefault="008D080B" w:rsidP="00857902">
      <w:pPr>
        <w:snapToGrid w:val="0"/>
        <w:rPr>
          <w:rFonts w:asciiTheme="majorBidi" w:hAnsiTheme="majorBidi" w:cstheme="majorBidi"/>
          <w:color w:val="0D0D0D" w:themeColor="text1" w:themeTint="F2"/>
          <w:lang w:val="sq-AL"/>
        </w:rPr>
      </w:pPr>
    </w:p>
    <w:p w14:paraId="202946D5" w14:textId="77CF4387" w:rsidR="00CC1612" w:rsidRPr="005208DC" w:rsidRDefault="00B2062A" w:rsidP="00F957E8">
      <w:pPr>
        <w:pStyle w:val="Heading4"/>
        <w:numPr>
          <w:ilvl w:val="0"/>
          <w:numId w:val="107"/>
        </w:numPr>
        <w:snapToGrid w:val="0"/>
        <w:ind w:left="567" w:hanging="283"/>
        <w:rPr>
          <w:rFonts w:asciiTheme="majorBidi" w:hAnsiTheme="majorBidi" w:cstheme="majorBidi"/>
          <w:b w:val="0"/>
          <w:i/>
          <w:color w:val="0D0D0D" w:themeColor="text1" w:themeTint="F2"/>
          <w:sz w:val="24"/>
          <w:szCs w:val="24"/>
          <w:lang w:val="sq-AL"/>
        </w:rPr>
      </w:pPr>
      <w:r w:rsidRPr="005208DC">
        <w:rPr>
          <w:rFonts w:asciiTheme="majorBidi" w:hAnsiTheme="majorBidi" w:cstheme="majorBidi"/>
          <w:b w:val="0"/>
          <w:i/>
          <w:color w:val="0D0D0D" w:themeColor="text1" w:themeTint="F2"/>
          <w:sz w:val="24"/>
          <w:szCs w:val="24"/>
          <w:lang w:val="sq-AL"/>
        </w:rPr>
        <w:t>Masat e reformës</w:t>
      </w:r>
    </w:p>
    <w:p w14:paraId="6A8F1BD7" w14:textId="63D82CA8" w:rsidR="00CC1612" w:rsidRPr="005208DC" w:rsidRDefault="00B2062A" w:rsidP="00857902">
      <w:pPr>
        <w:pStyle w:val="Heading5"/>
        <w:snapToGrid w:val="0"/>
        <w:ind w:left="0"/>
        <w:rPr>
          <w:rFonts w:asciiTheme="majorBidi" w:hAnsiTheme="majorBidi" w:cstheme="majorBidi"/>
          <w:i w:val="0"/>
          <w:color w:val="0D0D0D" w:themeColor="text1" w:themeTint="F2"/>
          <w:sz w:val="24"/>
          <w:szCs w:val="24"/>
          <w:lang w:val="sq-AL"/>
        </w:rPr>
      </w:pPr>
      <w:r w:rsidRPr="005208DC">
        <w:rPr>
          <w:rFonts w:asciiTheme="majorBidi" w:hAnsiTheme="majorBidi" w:cstheme="majorBidi"/>
          <w:i w:val="0"/>
          <w:color w:val="0D0D0D" w:themeColor="text1" w:themeTint="F2"/>
          <w:sz w:val="24"/>
          <w:szCs w:val="24"/>
          <w:lang w:val="sq-AL"/>
        </w:rPr>
        <w:t>Masa e reformës</w:t>
      </w:r>
      <w:r w:rsidR="005358F8" w:rsidRPr="005208DC">
        <w:rPr>
          <w:rFonts w:asciiTheme="majorBidi" w:hAnsiTheme="majorBidi" w:cstheme="majorBidi"/>
          <w:i w:val="0"/>
          <w:color w:val="0D0D0D" w:themeColor="text1" w:themeTint="F2"/>
          <w:sz w:val="24"/>
          <w:szCs w:val="24"/>
          <w:lang w:val="sq-AL"/>
        </w:rPr>
        <w:t xml:space="preserve"> 12</w:t>
      </w:r>
      <w:r w:rsidR="00CC1612" w:rsidRPr="005208DC">
        <w:rPr>
          <w:rFonts w:asciiTheme="majorBidi" w:hAnsiTheme="majorBidi" w:cstheme="majorBidi"/>
          <w:i w:val="0"/>
          <w:color w:val="0D0D0D" w:themeColor="text1" w:themeTint="F2"/>
          <w:sz w:val="24"/>
          <w:szCs w:val="24"/>
          <w:lang w:val="sq-AL"/>
        </w:rPr>
        <w:t xml:space="preserve">: </w:t>
      </w:r>
      <w:r w:rsidR="008D080B" w:rsidRPr="005208DC">
        <w:rPr>
          <w:rFonts w:asciiTheme="majorBidi" w:hAnsiTheme="majorBidi" w:cstheme="majorBidi"/>
          <w:i w:val="0"/>
          <w:color w:val="0D0D0D" w:themeColor="text1" w:themeTint="F2"/>
          <w:sz w:val="24"/>
          <w:szCs w:val="24"/>
          <w:lang w:val="sq-AL"/>
        </w:rPr>
        <w:t>Thellimi i integrimit ekonomik</w:t>
      </w:r>
    </w:p>
    <w:p w14:paraId="0F2BE55E" w14:textId="6DE56EED" w:rsidR="00CC1612" w:rsidRPr="005208DC" w:rsidRDefault="00B2062A" w:rsidP="00857902">
      <w:pPr>
        <w:pStyle w:val="Heading6"/>
        <w:numPr>
          <w:ilvl w:val="0"/>
          <w:numId w:val="85"/>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Përshkrimi i masës</w:t>
      </w:r>
    </w:p>
    <w:p w14:paraId="22D0336C" w14:textId="77777777" w:rsidR="0055335A" w:rsidRPr="005208DC" w:rsidRDefault="0055335A" w:rsidP="0055335A">
      <w:pPr>
        <w:snapToGrid w:val="0"/>
        <w:jc w:val="both"/>
        <w:rPr>
          <w:rFonts w:asciiTheme="majorBidi" w:hAnsiTheme="majorBidi" w:cstheme="majorBidi"/>
          <w:color w:val="0D0D0D" w:themeColor="text1" w:themeTint="F2"/>
          <w:lang w:val="sq-AL"/>
        </w:rPr>
      </w:pPr>
      <w:r w:rsidRPr="005208DC">
        <w:rPr>
          <w:rFonts w:asciiTheme="majorBidi" w:hAnsiTheme="majorBidi" w:cstheme="majorBidi"/>
          <w:b/>
          <w:color w:val="0D0D0D" w:themeColor="text1" w:themeTint="F2"/>
          <w:lang w:val="sq-AL"/>
        </w:rPr>
        <w:t>Komiteti Kombëtar i Lehtësimit të Tregtisë</w:t>
      </w:r>
      <w:r w:rsidRPr="005208DC">
        <w:rPr>
          <w:rFonts w:asciiTheme="majorBidi" w:hAnsiTheme="majorBidi" w:cstheme="majorBidi"/>
          <w:color w:val="0D0D0D" w:themeColor="text1" w:themeTint="F2"/>
          <w:lang w:val="sq-AL"/>
        </w:rPr>
        <w:t>: Grupi ndërinstitucional i Koordinimit të Politikës Tregtare dhe Lehtësimit të Tregtisë, tashmë i krijuar, është rikompozuar me Urdhrin e Kryeministrit nr.104, datë 07.08.2020, për arësye të zgjerimit të mandatit duke përfshirë tregtinë e shërbimeve si një aspekt i rëndësishëm i lehtësimit të tregtisë, për t'iu përgjigjur zhvillimit intensiv sipas CEFTA-s për fillimin e zbatimit të Protokollit Shtesë 6 për Tregtinë e Shërbimeve. Ky grup ndërinstitucional ka përfshirë përfaqësues të biznesit nga sektori i turizmit dhe përfaqësues të biznesit të përpunimit të qumështit.</w:t>
      </w:r>
    </w:p>
    <w:p w14:paraId="28517F4B" w14:textId="77777777" w:rsidR="0055335A" w:rsidRPr="005208DC" w:rsidRDefault="0055335A" w:rsidP="0055335A">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Deri më tani, ka pasur dy takime online të NCTF, në dhjetor 2020 dhe mars 2021, dhe një takim I drejtpërdrejtë në tetor 2021. Është hartuar plani për lehtësimin e tregtisë 2021 - 2023, i cili përmban jo vetëm detyrime për lehtësimin e tregtisë sipas marrëveshjes CEFTA, por edhe masa për adresimin e çështjeve të ngritura nga përfaqësues të biznesit. Plani Kombëtar i Lehtësimit të Tregtisë 2021–2023 u miratua më 30 qershor 2021.</w:t>
      </w:r>
    </w:p>
    <w:p w14:paraId="14CD0B49" w14:textId="77777777" w:rsidR="0055335A" w:rsidRPr="005208DC" w:rsidRDefault="0055335A" w:rsidP="0055335A">
      <w:pPr>
        <w:snapToGrid w:val="0"/>
        <w:jc w:val="both"/>
        <w:rPr>
          <w:rFonts w:asciiTheme="majorBidi" w:hAnsiTheme="majorBidi" w:cstheme="majorBidi"/>
          <w:color w:val="0D0D0D" w:themeColor="text1" w:themeTint="F2"/>
          <w:lang w:val="sq-AL"/>
        </w:rPr>
      </w:pPr>
      <w:r w:rsidRPr="005208DC">
        <w:rPr>
          <w:rFonts w:asciiTheme="majorBidi" w:hAnsiTheme="majorBidi" w:cstheme="majorBidi"/>
          <w:b/>
          <w:color w:val="0D0D0D" w:themeColor="text1" w:themeTint="F2"/>
          <w:lang w:val="sq-AL"/>
        </w:rPr>
        <w:t>Kalim Ndërkufitar i Përbashkët</w:t>
      </w:r>
      <w:r w:rsidRPr="005208DC">
        <w:rPr>
          <w:rFonts w:asciiTheme="majorBidi" w:hAnsiTheme="majorBidi" w:cstheme="majorBidi"/>
          <w:color w:val="0D0D0D" w:themeColor="text1" w:themeTint="F2"/>
          <w:lang w:val="sq-AL"/>
        </w:rPr>
        <w:t>: Në korrik 2021 u nënshkrua marrëveshja ndërmjet Shqipërisë dhe Maqedonisë së Veriut për ngritjen e pikave të përbashkëta të kalimit kufitar në Qafë Thanë, e cila do të vendosë një kontroll të integruar – one-stop-shop – për të siguruar që të gjitha formalitetet të mund të kryhen në një vend dhe për të mundësuar agjencitë e përfshira në procesin e zhdoganimit të mallrave të operojnë nga një zyrë e vetme. Marrëveshja është ratifikuar nga Kuvendi i Shqipërisë. Zbatimi do të fillojë pas finalizimit të procedurave të brendshme ligjore nga Maqedonia e Veriut. Sipas kësaj marrëveshjeje, të dyja palët angazhohen për të lehtësuar dhe përshpejtuar kontrollet doganore dhe kufitare, me qëllim lehtësimin e lëvizjes së njerëzve dhe mallrave.</w:t>
      </w:r>
    </w:p>
    <w:p w14:paraId="6306208D" w14:textId="77777777" w:rsidR="0055335A" w:rsidRPr="005208DC" w:rsidRDefault="0055335A" w:rsidP="0055335A">
      <w:pPr>
        <w:snapToGrid w:val="0"/>
        <w:jc w:val="both"/>
        <w:rPr>
          <w:rFonts w:asciiTheme="majorBidi" w:hAnsiTheme="majorBidi" w:cstheme="majorBidi"/>
          <w:color w:val="0D0D0D" w:themeColor="text1" w:themeTint="F2"/>
          <w:lang w:val="sq-AL"/>
        </w:rPr>
      </w:pPr>
      <w:r w:rsidRPr="005208DC">
        <w:rPr>
          <w:rFonts w:asciiTheme="majorBidi" w:hAnsiTheme="majorBidi" w:cstheme="majorBidi"/>
          <w:b/>
          <w:color w:val="0D0D0D" w:themeColor="text1" w:themeTint="F2"/>
          <w:lang w:val="sq-AL"/>
        </w:rPr>
        <w:t>OEA:</w:t>
      </w:r>
      <w:r w:rsidRPr="005208DC">
        <w:rPr>
          <w:rFonts w:asciiTheme="majorBidi" w:hAnsiTheme="majorBidi" w:cstheme="majorBidi"/>
          <w:color w:val="0D0D0D" w:themeColor="text1" w:themeTint="F2"/>
          <w:lang w:val="sq-AL"/>
        </w:rPr>
        <w:t xml:space="preserve"> Do të vazhdojë puna për njohjen reciproke të Operatorëve Ekonomikë të Autorizuar (OEA). Shqipëria ka përgatitur dosjet e 4 operatorëve ekonomikë për të cilët do të bëhet njohja reciproke nga palët e CEFTA-s. Procesi i njohjes kalon përmes procesit të validimit të operatorëve të përzgjedhur nga Shqipëria, i cili do të kryhet nga misioni vlerësues i Sekretariatit të CEFTA-s.</w:t>
      </w:r>
    </w:p>
    <w:p w14:paraId="2C906781" w14:textId="77777777" w:rsidR="0055335A" w:rsidRPr="005208DC" w:rsidRDefault="0055335A" w:rsidP="0055335A">
      <w:pPr>
        <w:snapToGrid w:val="0"/>
        <w:jc w:val="both"/>
        <w:rPr>
          <w:rFonts w:asciiTheme="majorBidi" w:hAnsiTheme="majorBidi" w:cstheme="majorBidi"/>
          <w:color w:val="0D0D0D" w:themeColor="text1" w:themeTint="F2"/>
          <w:lang w:val="sq-AL"/>
        </w:rPr>
      </w:pPr>
      <w:r w:rsidRPr="005208DC">
        <w:rPr>
          <w:rFonts w:asciiTheme="majorBidi" w:hAnsiTheme="majorBidi" w:cstheme="majorBidi"/>
          <w:b/>
          <w:color w:val="0D0D0D" w:themeColor="text1" w:themeTint="F2"/>
          <w:lang w:val="sq-AL"/>
        </w:rPr>
        <w:t>Projektet e Tregtisë Ndërkufitare:</w:t>
      </w:r>
      <w:r w:rsidRPr="005208DC">
        <w:rPr>
          <w:rFonts w:asciiTheme="majorBidi" w:hAnsiTheme="majorBidi" w:cstheme="majorBidi"/>
          <w:color w:val="0D0D0D" w:themeColor="text1" w:themeTint="F2"/>
          <w:lang w:val="sq-AL"/>
        </w:rPr>
        <w:t xml:space="preserve"> Në fushën e tregtisë ndërkufitare janë nisur dy projekte madhore: Një Dritare e Vetme Kombëtare dhe Lehtësimi i Transportit Tregtar . Deri në fund të vitit 2025, kur pritet të finalizohen këto dy projekte, do të kemi procedura tregtare plotësisht të dixhitalizuara, procedura më të thjeshtuara si dhe koordinim dhe bashkëpunim më të mirë me rajonin.</w:t>
      </w:r>
    </w:p>
    <w:p w14:paraId="2D3B3588" w14:textId="77777777" w:rsidR="0055335A" w:rsidRPr="005208DC" w:rsidRDefault="0055335A" w:rsidP="0055335A">
      <w:pPr>
        <w:snapToGrid w:val="0"/>
        <w:jc w:val="both"/>
        <w:rPr>
          <w:rFonts w:asciiTheme="majorBidi" w:hAnsiTheme="majorBidi" w:cstheme="majorBidi"/>
          <w:color w:val="0D0D0D" w:themeColor="text1" w:themeTint="F2"/>
          <w:lang w:val="sq-AL"/>
        </w:rPr>
      </w:pPr>
      <w:r w:rsidRPr="005208DC">
        <w:rPr>
          <w:rFonts w:asciiTheme="majorBidi" w:hAnsiTheme="majorBidi" w:cstheme="majorBidi"/>
          <w:b/>
          <w:color w:val="0D0D0D" w:themeColor="text1" w:themeTint="F2"/>
          <w:lang w:val="sq-AL"/>
        </w:rPr>
        <w:t>Ndërkombëtarizimet e markës shqiptare</w:t>
      </w:r>
      <w:r w:rsidRPr="005208DC">
        <w:rPr>
          <w:rFonts w:asciiTheme="majorBidi" w:hAnsiTheme="majorBidi" w:cstheme="majorBidi"/>
          <w:color w:val="0D0D0D" w:themeColor="text1" w:themeTint="F2"/>
          <w:lang w:val="sq-AL"/>
        </w:rPr>
        <w:t>: Duke investuar në zhvillimin teknologjik, ne do të nxisim një ekonomi të fortë produktive, duke siguruar që kompanitë dhe bizneset fillestare të suksesshme në vend të krijojnë një vlerë të shtuar në zinxhirin e prodhimit. Sipërmarrjet prodhuese nuk do të jenë më të kufizuara në regjimin aktiv të përpunimit të ‘markave’ ndërkombëtare, por do të kalojnë në një nivel tjetër, në ciklin e plotë të prodhimit duke promovuar markën “Made in Albania”, me të cilën do të konkurrojmë globalisht.</w:t>
      </w:r>
    </w:p>
    <w:p w14:paraId="287FDA75" w14:textId="65C4AAA5" w:rsidR="0055335A" w:rsidRPr="005208DC" w:rsidRDefault="0055335A" w:rsidP="0055335A">
      <w:pPr>
        <w:snapToGrid w:val="0"/>
        <w:jc w:val="both"/>
        <w:rPr>
          <w:rFonts w:asciiTheme="majorBidi" w:hAnsiTheme="majorBidi" w:cstheme="majorBidi"/>
          <w:color w:val="0D0D0D" w:themeColor="text1" w:themeTint="F2"/>
          <w:lang w:val="sq-AL"/>
        </w:rPr>
      </w:pPr>
      <w:r w:rsidRPr="005208DC">
        <w:rPr>
          <w:rFonts w:asciiTheme="majorBidi" w:hAnsiTheme="majorBidi" w:cstheme="majorBidi"/>
          <w:b/>
          <w:color w:val="0D0D0D" w:themeColor="text1" w:themeTint="F2"/>
          <w:lang w:val="sq-AL"/>
        </w:rPr>
        <w:t xml:space="preserve">Ballkani i Hapur: </w:t>
      </w:r>
      <w:r w:rsidRPr="005208DC">
        <w:rPr>
          <w:rFonts w:asciiTheme="majorBidi" w:hAnsiTheme="majorBidi" w:cstheme="majorBidi"/>
          <w:color w:val="0D0D0D" w:themeColor="text1" w:themeTint="F2"/>
          <w:lang w:val="sq-AL"/>
        </w:rPr>
        <w:t>Në korrik 2021, kryeministrat e Serbisë, Maqedonisë së Veriut dhe Shqipërisë nënshkruan Memorandumin e Mirëkuptimit për bashkëpunimin në lehtësimin e importeve, eksporteve dhe lëvizjes së mallrave në Ballkanin Perëndimor. Kjo iniciativë e quajtur “Ballkani i hapur” është një nismë që synon nxitjen e bashkëpunimit ekonomik ndërmjet tre shteteve nënshkruese, Shqipërisë, Maqedonisë së Veriut dhe Serbisë dhe rritjen dhe forcimin e bashkëpunimit ekonomik ndërmjet palëve, thjeshtimin e procedurave në lidhje me importet, eksportet dhe lëvizjen e mallrave. , në masën më të gjerë të mundshme, dhe eliminimin gradualisht të barrierave në tregtinë e mallrave. Në thelb, objektivat e këtij memorandumi janë objektivat për të cilat vendet anëtare të CEFTA-s kanë rënë dakord në Protokollin 5 të CEFTA-s, zbatimi i të cilit po ecën ngadalë.</w:t>
      </w:r>
    </w:p>
    <w:p w14:paraId="4BEC8F66" w14:textId="77777777" w:rsidR="0055335A" w:rsidRPr="005208DC" w:rsidRDefault="0055335A" w:rsidP="0055335A">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Ky memorandum synon të lehtësojë procedurat doganore të palëve dhe autoriteteve të tjera të inspektimit kufitar të mallrave (procedurat e zhdoganimit, inspektimin veterinar, sanitar dhe fitosanitar dhe inspektimin ushqimor), formalitetet, kontrollet dhe numrin e dokumenteve që do t'u kërkohen bizneseve në ndërkufitare. Këto masa kanë për qëllim reduktimin e kohës së inspektimit që përkthehet në ulje të kostos për operatorët e biznesit.</w:t>
      </w:r>
    </w:p>
    <w:p w14:paraId="3D6F06B8" w14:textId="4D460E2D" w:rsidR="008D080B" w:rsidRPr="005208DC" w:rsidRDefault="0055335A" w:rsidP="0055335A">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Ky Memorandum është një dokument për Ballkanin Perëndimor dhe jo vetëm ndërmjet tre vendeve nënshkruese  por ftohen të marrin pjesë në çdo kohë dhe vendet e tjera të Ballkani Perëndimor.</w:t>
      </w:r>
    </w:p>
    <w:p w14:paraId="58EA19C6" w14:textId="77777777" w:rsidR="00627F6C" w:rsidRPr="005208DC" w:rsidRDefault="00627F6C" w:rsidP="00857902">
      <w:pPr>
        <w:snapToGrid w:val="0"/>
        <w:rPr>
          <w:rFonts w:asciiTheme="majorBidi" w:hAnsiTheme="majorBidi" w:cstheme="majorBidi"/>
          <w:color w:val="0D0D0D" w:themeColor="text1" w:themeTint="F2"/>
          <w:lang w:val="sq-AL"/>
        </w:rPr>
      </w:pPr>
    </w:p>
    <w:p w14:paraId="1D233C6F" w14:textId="6D205E8A" w:rsidR="00CC1612" w:rsidRPr="005208DC" w:rsidRDefault="00B2062A" w:rsidP="00857902">
      <w:pPr>
        <w:pStyle w:val="ListParagraph"/>
        <w:numPr>
          <w:ilvl w:val="0"/>
          <w:numId w:val="86"/>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CC1612" w:rsidRPr="005208DC">
        <w:rPr>
          <w:rFonts w:asciiTheme="majorBidi" w:hAnsiTheme="majorBidi" w:cstheme="majorBidi"/>
          <w:b/>
          <w:color w:val="0D0D0D" w:themeColor="text1" w:themeTint="F2"/>
          <w:sz w:val="24"/>
          <w:szCs w:val="24"/>
          <w:lang w:val="sq-AL"/>
        </w:rPr>
        <w:t xml:space="preserve"> 2022</w:t>
      </w:r>
    </w:p>
    <w:p w14:paraId="07671152" w14:textId="33D44C45" w:rsidR="00627F6C" w:rsidRPr="005208DC" w:rsidRDefault="0055335A" w:rsidP="00857902">
      <w:pPr>
        <w:pStyle w:val="ListParagraph"/>
        <w:numPr>
          <w:ilvl w:val="0"/>
          <w:numId w:val="87"/>
        </w:numPr>
        <w:jc w:val="both"/>
        <w:rPr>
          <w:rFonts w:asciiTheme="majorBidi" w:hAnsiTheme="majorBidi" w:cstheme="majorBidi"/>
          <w:bCs/>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Zbatimi i Planit Rajonal të Veprimit për krijimin e Tregut të Përbashkët Rajonal, në bashkëpunim me Palët e CEFTA-s duke hartuar dokumente rajonale për zbatimin e veprimeve në 4 shtyllat e integrimit rajonal, (i) lëvizjen e lirë të mallrave, (ii) të lirë lëvizja e shërbimeve, (iii) lëvizja e lirë e kapitalit dhe (iv) lëvizja e lirë e njerëzve, duke përfshirë masat ndërsektoriale</w:t>
      </w:r>
      <w:r w:rsidR="00627F6C" w:rsidRPr="005208DC">
        <w:rPr>
          <w:rFonts w:asciiTheme="majorBidi" w:hAnsiTheme="majorBidi" w:cstheme="majorBidi"/>
          <w:bCs/>
          <w:color w:val="0D0D0D" w:themeColor="text1" w:themeTint="F2"/>
          <w:sz w:val="24"/>
          <w:szCs w:val="24"/>
          <w:lang w:val="sq-AL"/>
        </w:rPr>
        <w:t>.</w:t>
      </w:r>
    </w:p>
    <w:p w14:paraId="397F9C44" w14:textId="0484FD99" w:rsidR="00627F6C" w:rsidRPr="005208DC" w:rsidRDefault="00627F6C" w:rsidP="0055335A">
      <w:pPr>
        <w:pStyle w:val="ListParagraph"/>
        <w:numPr>
          <w:ilvl w:val="0"/>
          <w:numId w:val="87"/>
        </w:numPr>
        <w:jc w:val="both"/>
        <w:rPr>
          <w:rFonts w:asciiTheme="majorBidi" w:hAnsiTheme="majorBidi" w:cstheme="majorBidi"/>
          <w:bCs/>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 xml:space="preserve">Zbatimi i Planit të Veprimit të </w:t>
      </w:r>
      <w:r w:rsidR="0055335A" w:rsidRPr="005208DC">
        <w:rPr>
          <w:rFonts w:asciiTheme="majorBidi" w:hAnsiTheme="majorBidi" w:cstheme="majorBidi"/>
          <w:bCs/>
          <w:color w:val="0D0D0D" w:themeColor="text1" w:themeTint="F2"/>
          <w:sz w:val="24"/>
          <w:szCs w:val="24"/>
          <w:lang w:val="sq-AL"/>
        </w:rPr>
        <w:t>KKLT</w:t>
      </w:r>
      <w:r w:rsidRPr="005208DC">
        <w:rPr>
          <w:rFonts w:asciiTheme="majorBidi" w:hAnsiTheme="majorBidi" w:cstheme="majorBidi"/>
          <w:bCs/>
          <w:color w:val="0D0D0D" w:themeColor="text1" w:themeTint="F2"/>
          <w:sz w:val="24"/>
          <w:szCs w:val="24"/>
          <w:lang w:val="sq-AL"/>
        </w:rPr>
        <w:t>.</w:t>
      </w:r>
    </w:p>
    <w:p w14:paraId="0EF030DC" w14:textId="77777777" w:rsidR="00627F6C" w:rsidRPr="005208DC" w:rsidRDefault="00627F6C" w:rsidP="00857902">
      <w:pPr>
        <w:pStyle w:val="ListParagraph"/>
        <w:numPr>
          <w:ilvl w:val="0"/>
          <w:numId w:val="87"/>
        </w:numPr>
        <w:jc w:val="both"/>
        <w:rPr>
          <w:rFonts w:asciiTheme="majorBidi" w:hAnsiTheme="majorBidi" w:cstheme="majorBidi"/>
          <w:bCs/>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Ngritja e një grupi teknik ekspertësh që do të analizojnë sektorët e prodhimit.</w:t>
      </w:r>
    </w:p>
    <w:p w14:paraId="6097531F" w14:textId="77777777" w:rsidR="00627F6C" w:rsidRPr="005208DC" w:rsidRDefault="00627F6C" w:rsidP="00857902">
      <w:pPr>
        <w:pStyle w:val="ListParagraph"/>
        <w:numPr>
          <w:ilvl w:val="0"/>
          <w:numId w:val="87"/>
        </w:numPr>
        <w:jc w:val="both"/>
        <w:rPr>
          <w:rFonts w:asciiTheme="majorBidi" w:hAnsiTheme="majorBidi" w:cstheme="majorBidi"/>
          <w:bCs/>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Hartimi i Strategjisë së eksportit.</w:t>
      </w:r>
    </w:p>
    <w:p w14:paraId="68EA88C8" w14:textId="77777777" w:rsidR="00627F6C" w:rsidRPr="005208DC" w:rsidRDefault="00627F6C" w:rsidP="00857902">
      <w:pPr>
        <w:pStyle w:val="ListParagraph"/>
        <w:numPr>
          <w:ilvl w:val="0"/>
          <w:numId w:val="87"/>
        </w:numPr>
        <w:jc w:val="both"/>
        <w:rPr>
          <w:rFonts w:asciiTheme="majorBidi" w:hAnsiTheme="majorBidi" w:cstheme="majorBidi"/>
          <w:bCs/>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Inkurajimi i markave të njohura ndërkombëtare për të investuar apo operuar në Shqipëri.</w:t>
      </w:r>
    </w:p>
    <w:p w14:paraId="71DDE94D" w14:textId="58CB338F" w:rsidR="00627F6C" w:rsidRPr="005208DC" w:rsidRDefault="00627F6C" w:rsidP="00857902">
      <w:pPr>
        <w:pStyle w:val="ListParagraph"/>
        <w:numPr>
          <w:ilvl w:val="0"/>
          <w:numId w:val="87"/>
        </w:numPr>
        <w:jc w:val="both"/>
        <w:rPr>
          <w:rFonts w:asciiTheme="majorBidi" w:hAnsiTheme="majorBidi" w:cstheme="majorBidi"/>
          <w:bCs/>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Zbatimi i Iniciativës së Ballkani i Hapur.</w:t>
      </w:r>
    </w:p>
    <w:p w14:paraId="6BE9ADA9" w14:textId="77777777" w:rsidR="00627F6C" w:rsidRPr="005208DC" w:rsidRDefault="00627F6C" w:rsidP="00857902">
      <w:pPr>
        <w:pStyle w:val="ListParagraph"/>
        <w:numPr>
          <w:ilvl w:val="0"/>
          <w:numId w:val="87"/>
        </w:numPr>
        <w:jc w:val="both"/>
        <w:rPr>
          <w:rFonts w:asciiTheme="majorBidi" w:hAnsiTheme="majorBidi" w:cstheme="majorBidi"/>
          <w:bCs/>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Validimi i OAE Shqiptar në nivel CEFTA.</w:t>
      </w:r>
    </w:p>
    <w:p w14:paraId="02EA06FE" w14:textId="34FC41F3" w:rsidR="00627F6C" w:rsidRPr="005208DC" w:rsidRDefault="0055335A" w:rsidP="00857902">
      <w:pPr>
        <w:pStyle w:val="ListParagraph"/>
        <w:numPr>
          <w:ilvl w:val="0"/>
          <w:numId w:val="87"/>
        </w:numPr>
        <w:jc w:val="both"/>
        <w:rPr>
          <w:rFonts w:asciiTheme="majorBidi" w:hAnsiTheme="majorBidi" w:cstheme="majorBidi"/>
          <w:bCs/>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Finalizimi i Projekteve Ndërkufitare – (i) Qasja e drejtpërdrejtë e tregtarëve në Sistemet e Informacionit Doganor (ii) Krijimi i sistemit të kompjuterizuar të eksportit (ii) Krijimi i sistemit elektronik të kontrollit të importit (iv) Zhdoganimi i centralizuar i importit (v) Informacioni paraprak, mbërritja, prezantimi dhe Ruajtja e Përkohshme (vi) Menaxhimi i Garancisë</w:t>
      </w:r>
    </w:p>
    <w:p w14:paraId="78F9F509" w14:textId="2C1F173C" w:rsidR="00CC1612" w:rsidRPr="005208DC" w:rsidRDefault="00B2062A" w:rsidP="00857902">
      <w:pPr>
        <w:pStyle w:val="ListParagraph"/>
        <w:numPr>
          <w:ilvl w:val="0"/>
          <w:numId w:val="86"/>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CC1612" w:rsidRPr="005208DC">
        <w:rPr>
          <w:rFonts w:asciiTheme="majorBidi" w:hAnsiTheme="majorBidi" w:cstheme="majorBidi"/>
          <w:b/>
          <w:color w:val="0D0D0D" w:themeColor="text1" w:themeTint="F2"/>
          <w:sz w:val="24"/>
          <w:szCs w:val="24"/>
          <w:lang w:val="sq-AL"/>
        </w:rPr>
        <w:t xml:space="preserve"> 2023</w:t>
      </w:r>
    </w:p>
    <w:p w14:paraId="68743F4B" w14:textId="7930C4FB" w:rsidR="00A54F3A" w:rsidRPr="005208DC" w:rsidRDefault="0055335A" w:rsidP="00857902">
      <w:pPr>
        <w:pStyle w:val="ListParagraph"/>
        <w:numPr>
          <w:ilvl w:val="0"/>
          <w:numId w:val="88"/>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Zbatimi i Planit Rajonal të Veprimit për krijimin e Tregut të Përbashkët Rajonal, në bashkëpunim me Palët e CEFTA-s, duke hartuar dokumente rajonale për zbatimin e veprimeve në 4 shtyllat e integrimit rajonal, (i) lëvizjen e lirë të mallrave, (ii) lëvizja e lirë e shërbimeve, (iii) lëvizja e lirë e kapitalit dhe (iv) lëvizja e lirë e njerëzve, duke përfshirë masat ndërsektoriale</w:t>
      </w:r>
      <w:r w:rsidR="00627F6C" w:rsidRPr="005208DC">
        <w:rPr>
          <w:rFonts w:asciiTheme="majorBidi" w:hAnsiTheme="majorBidi" w:cstheme="majorBidi"/>
          <w:bCs/>
          <w:color w:val="0D0D0D" w:themeColor="text1" w:themeTint="F2"/>
          <w:sz w:val="24"/>
          <w:szCs w:val="24"/>
          <w:lang w:val="sq-AL"/>
        </w:rPr>
        <w:t>.</w:t>
      </w:r>
    </w:p>
    <w:p w14:paraId="39F1EB98" w14:textId="61BF6C3F" w:rsidR="00627F6C" w:rsidRPr="005208DC" w:rsidRDefault="00627F6C" w:rsidP="0055335A">
      <w:pPr>
        <w:pStyle w:val="ListParagraph"/>
        <w:numPr>
          <w:ilvl w:val="0"/>
          <w:numId w:val="88"/>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 xml:space="preserve">Zbatimi i Planit të Veprimit 2021-2023 të </w:t>
      </w:r>
      <w:r w:rsidR="0055335A" w:rsidRPr="005208DC">
        <w:rPr>
          <w:rFonts w:asciiTheme="majorBidi" w:hAnsiTheme="majorBidi" w:cstheme="majorBidi"/>
          <w:bCs/>
          <w:color w:val="0D0D0D" w:themeColor="text1" w:themeTint="F2"/>
          <w:sz w:val="24"/>
          <w:szCs w:val="24"/>
          <w:lang w:val="sq-AL"/>
        </w:rPr>
        <w:t>KKLT</w:t>
      </w:r>
      <w:r w:rsidRPr="005208DC">
        <w:rPr>
          <w:rFonts w:asciiTheme="majorBidi" w:hAnsiTheme="majorBidi" w:cstheme="majorBidi"/>
          <w:bCs/>
          <w:color w:val="0D0D0D" w:themeColor="text1" w:themeTint="F2"/>
          <w:sz w:val="24"/>
          <w:szCs w:val="24"/>
          <w:lang w:val="sq-AL"/>
        </w:rPr>
        <w:t>.</w:t>
      </w:r>
    </w:p>
    <w:p w14:paraId="694151D3" w14:textId="12DE92A6" w:rsidR="00627F6C" w:rsidRPr="005208DC" w:rsidRDefault="00627F6C" w:rsidP="00857902">
      <w:pPr>
        <w:pStyle w:val="ListParagraph"/>
        <w:numPr>
          <w:ilvl w:val="0"/>
          <w:numId w:val="88"/>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Inkurajimi i markave të njohura ndërkombëtare për të investuar apo operuar në Shqipëri.</w:t>
      </w:r>
    </w:p>
    <w:p w14:paraId="495667F2" w14:textId="4015A7B0" w:rsidR="00627F6C" w:rsidRPr="005208DC" w:rsidRDefault="00627F6C" w:rsidP="00857902">
      <w:pPr>
        <w:pStyle w:val="ListParagraph"/>
        <w:numPr>
          <w:ilvl w:val="0"/>
          <w:numId w:val="88"/>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Zbatimi i nismës Ballkani i Hapur.</w:t>
      </w:r>
    </w:p>
    <w:p w14:paraId="7ACA58F1" w14:textId="6B0B5C70" w:rsidR="00627F6C" w:rsidRPr="005208DC" w:rsidRDefault="00627F6C" w:rsidP="00857902">
      <w:pPr>
        <w:pStyle w:val="ListParagraph"/>
        <w:numPr>
          <w:ilvl w:val="0"/>
          <w:numId w:val="88"/>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Finalizimi i Projekteve Ndërkufitare – (i) Qasja e drejtpërdrejtë e tregtarëve në Sistemet e Informacionit Doganor (ii) Krijimi i sistemit të kompjuterizuar të eksportit (ii) Krijimi i sistemit elektronik të kontrollit të importit (iv) Zhdoganimi i centralizuar i importit (v) Informacioni paraprak, mbërritja, prezantimi dhe Ruajtja e Përkohshme (vi) Menaxhimi i Garancisë.</w:t>
      </w:r>
    </w:p>
    <w:p w14:paraId="6168A8CE" w14:textId="6F09A3EA" w:rsidR="00CC1612" w:rsidRPr="005208DC" w:rsidRDefault="00B2062A" w:rsidP="00857902">
      <w:pPr>
        <w:pStyle w:val="ListParagraph"/>
        <w:numPr>
          <w:ilvl w:val="0"/>
          <w:numId w:val="86"/>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CC1612" w:rsidRPr="005208DC">
        <w:rPr>
          <w:rFonts w:asciiTheme="majorBidi" w:hAnsiTheme="majorBidi" w:cstheme="majorBidi"/>
          <w:b/>
          <w:color w:val="0D0D0D" w:themeColor="text1" w:themeTint="F2"/>
          <w:sz w:val="24"/>
          <w:szCs w:val="24"/>
          <w:lang w:val="sq-AL"/>
        </w:rPr>
        <w:t xml:space="preserve"> 2024</w:t>
      </w:r>
    </w:p>
    <w:p w14:paraId="5A330288" w14:textId="5EE24891" w:rsidR="00627F6C" w:rsidRPr="005208DC" w:rsidRDefault="0055335A" w:rsidP="00857902">
      <w:pPr>
        <w:pStyle w:val="ListParagraph"/>
        <w:numPr>
          <w:ilvl w:val="0"/>
          <w:numId w:val="89"/>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Zbatimi i Planit Rajonal të Veprimit për krijimin e Tregut të Përbashkët Rajonal, në bashkëpunim me Palët e CEFTA-s, duke hartuar dokumente rajonale për zbatimin e veprimeve në shtyllën e katërt të integrimit rajonal,: (i) lëvizjen e lirë të mallrave, (ii) ) lëvizjen e lirë të shërbimeve, (iii) lëvizjen e lirë të kapitalit dhe (iv) lëvizjen e lirë të njerëzve, duke përfshirë masat ndërsektoriale</w:t>
      </w:r>
    </w:p>
    <w:p w14:paraId="0A56A26E" w14:textId="613B5173" w:rsidR="00627F6C" w:rsidRPr="005208DC" w:rsidRDefault="00627F6C" w:rsidP="0055335A">
      <w:pPr>
        <w:pStyle w:val="ListParagraph"/>
        <w:numPr>
          <w:ilvl w:val="0"/>
          <w:numId w:val="89"/>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 xml:space="preserve">Zbatimi i Planit të Veprimit të </w:t>
      </w:r>
      <w:r w:rsidR="0055335A" w:rsidRPr="005208DC">
        <w:rPr>
          <w:rFonts w:asciiTheme="majorBidi" w:hAnsiTheme="majorBidi" w:cstheme="majorBidi"/>
          <w:bCs/>
          <w:color w:val="0D0D0D" w:themeColor="text1" w:themeTint="F2"/>
          <w:sz w:val="24"/>
          <w:szCs w:val="24"/>
          <w:lang w:val="sq-AL"/>
        </w:rPr>
        <w:t>KKLT</w:t>
      </w:r>
      <w:r w:rsidRPr="005208DC">
        <w:rPr>
          <w:rFonts w:asciiTheme="majorBidi" w:hAnsiTheme="majorBidi" w:cstheme="majorBidi"/>
          <w:bCs/>
          <w:color w:val="0D0D0D" w:themeColor="text1" w:themeTint="F2"/>
          <w:sz w:val="24"/>
          <w:szCs w:val="24"/>
          <w:lang w:val="sq-AL"/>
        </w:rPr>
        <w:t>.</w:t>
      </w:r>
    </w:p>
    <w:p w14:paraId="523E005F" w14:textId="77777777" w:rsidR="00627F6C" w:rsidRPr="005208DC" w:rsidRDefault="00627F6C" w:rsidP="00857902">
      <w:pPr>
        <w:pStyle w:val="ListParagraph"/>
        <w:numPr>
          <w:ilvl w:val="0"/>
          <w:numId w:val="89"/>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Inkurajimi i markave të njohura ndërkombëtare për të investuar apo operuar në Shqipëri.</w:t>
      </w:r>
    </w:p>
    <w:p w14:paraId="4485073E" w14:textId="37951F91" w:rsidR="00627F6C" w:rsidRPr="005208DC" w:rsidRDefault="00627F6C" w:rsidP="00857902">
      <w:pPr>
        <w:pStyle w:val="ListParagraph"/>
        <w:numPr>
          <w:ilvl w:val="0"/>
          <w:numId w:val="89"/>
        </w:numPr>
        <w:jc w:val="both"/>
        <w:rPr>
          <w:rFonts w:asciiTheme="majorBidi" w:hAnsiTheme="majorBidi" w:cstheme="majorBidi"/>
          <w:b/>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Zbatimi i nismës Ballkani i Hapur.</w:t>
      </w:r>
    </w:p>
    <w:p w14:paraId="12D96CFE" w14:textId="77777777" w:rsidR="00CC1612" w:rsidRPr="005208DC" w:rsidRDefault="00CC1612" w:rsidP="00857902">
      <w:pPr>
        <w:snapToGrid w:val="0"/>
        <w:rPr>
          <w:rFonts w:asciiTheme="majorBidi" w:hAnsiTheme="majorBidi" w:cstheme="majorBidi"/>
          <w:color w:val="0D0D0D" w:themeColor="text1" w:themeTint="F2"/>
          <w:lang w:val="sq-AL"/>
        </w:rPr>
      </w:pPr>
    </w:p>
    <w:p w14:paraId="3A36F9D5" w14:textId="48F33B62" w:rsidR="00CC1612" w:rsidRPr="005208DC" w:rsidRDefault="00B2062A" w:rsidP="00857902">
      <w:pPr>
        <w:pStyle w:val="Heading6"/>
        <w:numPr>
          <w:ilvl w:val="0"/>
          <w:numId w:val="85"/>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Treguesit e rezultateve</w:t>
      </w:r>
    </w:p>
    <w:tbl>
      <w:tblPr>
        <w:tblW w:w="1025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4"/>
        <w:gridCol w:w="856"/>
        <w:gridCol w:w="1418"/>
        <w:gridCol w:w="992"/>
      </w:tblGrid>
      <w:tr w:rsidR="005208DC" w:rsidRPr="005208DC" w14:paraId="0FC2CDB3" w14:textId="77777777" w:rsidTr="0055335A">
        <w:trPr>
          <w:trHeight w:val="589"/>
        </w:trPr>
        <w:tc>
          <w:tcPr>
            <w:tcW w:w="6984" w:type="dxa"/>
            <w:shd w:val="clear" w:color="auto" w:fill="auto"/>
            <w:vAlign w:val="center"/>
            <w:hideMark/>
          </w:tcPr>
          <w:p w14:paraId="7D4400D2" w14:textId="48E5CC2C" w:rsidR="00A54F3A" w:rsidRPr="005208DC" w:rsidRDefault="00B2062A" w:rsidP="00857902">
            <w:pP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Tregues</w:t>
            </w:r>
          </w:p>
        </w:tc>
        <w:tc>
          <w:tcPr>
            <w:tcW w:w="856" w:type="dxa"/>
            <w:shd w:val="clear" w:color="auto" w:fill="auto"/>
            <w:vAlign w:val="center"/>
            <w:hideMark/>
          </w:tcPr>
          <w:p w14:paraId="34E079EB" w14:textId="04E0BBDC" w:rsidR="00A54F3A" w:rsidRPr="005208DC" w:rsidRDefault="00B2062A" w:rsidP="00857902">
            <w:pPr>
              <w:jc w:val="both"/>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Bazë</w:t>
            </w:r>
            <w:r w:rsidR="00EB42F4" w:rsidRPr="005208DC">
              <w:rPr>
                <w:rFonts w:asciiTheme="majorBidi" w:eastAsia="Times New Roman" w:hAnsiTheme="majorBidi" w:cstheme="majorBidi"/>
                <w:color w:val="0D0D0D" w:themeColor="text1" w:themeTint="F2"/>
                <w:lang w:val="sq-AL"/>
              </w:rPr>
              <w:t xml:space="preserve"> (2019)</w:t>
            </w:r>
          </w:p>
        </w:tc>
        <w:tc>
          <w:tcPr>
            <w:tcW w:w="1418" w:type="dxa"/>
            <w:shd w:val="clear" w:color="auto" w:fill="auto"/>
            <w:vAlign w:val="center"/>
            <w:hideMark/>
          </w:tcPr>
          <w:p w14:paraId="22B1E924" w14:textId="5BF84992" w:rsidR="00A54F3A" w:rsidRPr="005208DC" w:rsidRDefault="00B2062A" w:rsidP="00857902">
            <w:pPr>
              <w:jc w:val="cente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I ndërmjetëm</w:t>
            </w:r>
          </w:p>
        </w:tc>
        <w:tc>
          <w:tcPr>
            <w:tcW w:w="992" w:type="dxa"/>
            <w:shd w:val="clear" w:color="auto" w:fill="auto"/>
            <w:vAlign w:val="center"/>
            <w:hideMark/>
          </w:tcPr>
          <w:p w14:paraId="1E49C978" w14:textId="296D723F" w:rsidR="00A54F3A" w:rsidRPr="005208DC" w:rsidRDefault="00B2062A" w:rsidP="00857902">
            <w:pPr>
              <w:jc w:val="cente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Synimi</w:t>
            </w:r>
          </w:p>
        </w:tc>
      </w:tr>
      <w:tr w:rsidR="005208DC" w:rsidRPr="005208DC" w14:paraId="1FB9037D" w14:textId="77777777" w:rsidTr="0055335A">
        <w:trPr>
          <w:trHeight w:val="411"/>
        </w:trPr>
        <w:tc>
          <w:tcPr>
            <w:tcW w:w="6984" w:type="dxa"/>
            <w:shd w:val="clear" w:color="auto" w:fill="auto"/>
            <w:vAlign w:val="bottom"/>
          </w:tcPr>
          <w:p w14:paraId="3F59FBFB" w14:textId="27213340" w:rsidR="0055335A" w:rsidRPr="005208DC" w:rsidRDefault="0055335A" w:rsidP="0055335A">
            <w:pPr>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Pjesa e Eksporteve Shqiptare tek Palët e CFTA-s</w:t>
            </w:r>
          </w:p>
        </w:tc>
        <w:tc>
          <w:tcPr>
            <w:tcW w:w="856" w:type="dxa"/>
            <w:shd w:val="clear" w:color="auto" w:fill="auto"/>
            <w:vAlign w:val="center"/>
          </w:tcPr>
          <w:p w14:paraId="7A24AF9C" w14:textId="6DB8C74E" w:rsidR="0055335A" w:rsidRPr="005208DC" w:rsidRDefault="0055335A" w:rsidP="0055335A">
            <w:pPr>
              <w:jc w:val="both"/>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 xml:space="preserve">16,3% </w:t>
            </w:r>
          </w:p>
        </w:tc>
        <w:tc>
          <w:tcPr>
            <w:tcW w:w="1418" w:type="dxa"/>
            <w:shd w:val="clear" w:color="auto" w:fill="auto"/>
            <w:vAlign w:val="center"/>
          </w:tcPr>
          <w:p w14:paraId="6C71F54C" w14:textId="64C2E9EE" w:rsidR="0055335A" w:rsidRPr="005208DC" w:rsidRDefault="0055335A" w:rsidP="0055335A">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20%</w:t>
            </w:r>
          </w:p>
        </w:tc>
        <w:tc>
          <w:tcPr>
            <w:tcW w:w="992" w:type="dxa"/>
            <w:shd w:val="clear" w:color="auto" w:fill="auto"/>
            <w:vAlign w:val="center"/>
          </w:tcPr>
          <w:p w14:paraId="6ADC47BD" w14:textId="24952D33" w:rsidR="0055335A" w:rsidRPr="005208DC" w:rsidRDefault="0055335A" w:rsidP="0055335A">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20%</w:t>
            </w:r>
          </w:p>
        </w:tc>
      </w:tr>
      <w:tr w:rsidR="005208DC" w:rsidRPr="005208DC" w14:paraId="10E5BEE8" w14:textId="77777777" w:rsidTr="0055335A">
        <w:trPr>
          <w:trHeight w:val="411"/>
        </w:trPr>
        <w:tc>
          <w:tcPr>
            <w:tcW w:w="6984" w:type="dxa"/>
            <w:shd w:val="clear" w:color="auto" w:fill="auto"/>
            <w:vAlign w:val="bottom"/>
          </w:tcPr>
          <w:p w14:paraId="17C7A68F" w14:textId="72CBF553" w:rsidR="0055335A" w:rsidRPr="005208DC" w:rsidRDefault="0055335A" w:rsidP="0055335A">
            <w:pPr>
              <w:rPr>
                <w:rFonts w:asciiTheme="majorBidi" w:eastAsia="Times New Roman" w:hAnsiTheme="majorBidi" w:cstheme="majorBidi"/>
                <w:b/>
                <w:bCs/>
                <w:color w:val="0D0D0D" w:themeColor="text1" w:themeTint="F2"/>
                <w:lang w:val="sq-AL"/>
              </w:rPr>
            </w:pPr>
            <w:r w:rsidRPr="005208DC">
              <w:rPr>
                <w:rFonts w:asciiTheme="majorBidi" w:eastAsia="Times New Roman" w:hAnsiTheme="majorBidi" w:cstheme="majorBidi"/>
                <w:color w:val="0D0D0D" w:themeColor="text1" w:themeTint="F2"/>
                <w:lang w:val="sq-AL"/>
              </w:rPr>
              <w:t>Koha e pritjes në pikat e kalimit kufitar për zhdoganimin e mallrave</w:t>
            </w:r>
          </w:p>
        </w:tc>
        <w:tc>
          <w:tcPr>
            <w:tcW w:w="856" w:type="dxa"/>
            <w:shd w:val="clear" w:color="auto" w:fill="auto"/>
            <w:vAlign w:val="center"/>
          </w:tcPr>
          <w:p w14:paraId="614D6EC0" w14:textId="66B23A89" w:rsidR="0055335A" w:rsidRPr="005208DC" w:rsidRDefault="0055335A" w:rsidP="0055335A">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1,5 ore</w:t>
            </w:r>
            <w:r w:rsidRPr="005208DC">
              <w:rPr>
                <w:rStyle w:val="FootnoteReference"/>
                <w:rFonts w:asciiTheme="majorBidi" w:eastAsia="Times New Roman" w:hAnsiTheme="majorBidi" w:cstheme="majorBidi"/>
                <w:color w:val="0D0D0D" w:themeColor="text1" w:themeTint="F2"/>
                <w:lang w:val="sq-AL"/>
              </w:rPr>
              <w:footnoteReference w:id="11"/>
            </w:r>
          </w:p>
        </w:tc>
        <w:tc>
          <w:tcPr>
            <w:tcW w:w="1418" w:type="dxa"/>
            <w:shd w:val="clear" w:color="auto" w:fill="auto"/>
            <w:vAlign w:val="center"/>
          </w:tcPr>
          <w:p w14:paraId="729E9B6E" w14:textId="689F8B81" w:rsidR="0055335A" w:rsidRPr="005208DC" w:rsidRDefault="0055335A" w:rsidP="0055335A">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1 ore</w:t>
            </w:r>
          </w:p>
        </w:tc>
        <w:tc>
          <w:tcPr>
            <w:tcW w:w="992" w:type="dxa"/>
            <w:shd w:val="clear" w:color="auto" w:fill="auto"/>
            <w:vAlign w:val="center"/>
          </w:tcPr>
          <w:p w14:paraId="49BDC971" w14:textId="6366E357" w:rsidR="0055335A" w:rsidRPr="005208DC" w:rsidRDefault="0055335A" w:rsidP="0055335A">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1 ore</w:t>
            </w:r>
          </w:p>
        </w:tc>
      </w:tr>
      <w:tr w:rsidR="005208DC" w:rsidRPr="005208DC" w14:paraId="0A62BBCD" w14:textId="77777777" w:rsidTr="0055335A">
        <w:trPr>
          <w:trHeight w:val="411"/>
        </w:trPr>
        <w:tc>
          <w:tcPr>
            <w:tcW w:w="6984" w:type="dxa"/>
            <w:shd w:val="clear" w:color="auto" w:fill="auto"/>
            <w:vAlign w:val="bottom"/>
          </w:tcPr>
          <w:p w14:paraId="58D98F5D" w14:textId="36F1B05D" w:rsidR="0055335A" w:rsidRPr="005208DC" w:rsidRDefault="0055335A" w:rsidP="0055335A">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Vleftësimi i Operatorëve Ekonomiksë të Autorizuat në nivel CEFTA</w:t>
            </w:r>
          </w:p>
        </w:tc>
        <w:tc>
          <w:tcPr>
            <w:tcW w:w="856" w:type="dxa"/>
            <w:shd w:val="clear" w:color="auto" w:fill="auto"/>
            <w:vAlign w:val="center"/>
          </w:tcPr>
          <w:p w14:paraId="2D5DCEC2" w14:textId="25858776" w:rsidR="0055335A" w:rsidRPr="005208DC" w:rsidRDefault="0055335A" w:rsidP="0055335A">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0</w:t>
            </w:r>
          </w:p>
        </w:tc>
        <w:tc>
          <w:tcPr>
            <w:tcW w:w="1418" w:type="dxa"/>
            <w:shd w:val="clear" w:color="auto" w:fill="auto"/>
            <w:vAlign w:val="center"/>
          </w:tcPr>
          <w:p w14:paraId="02D1B881" w14:textId="0EAA7630" w:rsidR="0055335A" w:rsidRPr="005208DC" w:rsidRDefault="0055335A" w:rsidP="0055335A">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4</w:t>
            </w:r>
          </w:p>
        </w:tc>
        <w:tc>
          <w:tcPr>
            <w:tcW w:w="992" w:type="dxa"/>
            <w:shd w:val="clear" w:color="auto" w:fill="auto"/>
            <w:vAlign w:val="center"/>
          </w:tcPr>
          <w:p w14:paraId="429FE00A" w14:textId="4D7B2E11" w:rsidR="0055335A" w:rsidRPr="005208DC" w:rsidRDefault="0055335A" w:rsidP="0055335A">
            <w:pPr>
              <w:jc w:val="right"/>
              <w:rPr>
                <w:rFonts w:asciiTheme="majorBidi" w:eastAsia="Times New Roman" w:hAnsiTheme="majorBidi" w:cstheme="majorBidi"/>
                <w:color w:val="0D0D0D" w:themeColor="text1" w:themeTint="F2"/>
                <w:lang w:val="sq-AL"/>
              </w:rPr>
            </w:pPr>
            <w:r w:rsidRPr="005208DC">
              <w:rPr>
                <w:rFonts w:asciiTheme="majorBidi" w:eastAsia="Times New Roman" w:hAnsiTheme="majorBidi" w:cstheme="majorBidi"/>
                <w:color w:val="0D0D0D" w:themeColor="text1" w:themeTint="F2"/>
                <w:lang w:val="sq-AL"/>
              </w:rPr>
              <w:t>4</w:t>
            </w:r>
          </w:p>
        </w:tc>
      </w:tr>
    </w:tbl>
    <w:p w14:paraId="2E596D43" w14:textId="77777777" w:rsidR="00CC1612" w:rsidRPr="005208DC" w:rsidRDefault="00CC1612" w:rsidP="00857902">
      <w:pPr>
        <w:snapToGrid w:val="0"/>
        <w:rPr>
          <w:rFonts w:asciiTheme="majorBidi" w:hAnsiTheme="majorBidi" w:cstheme="majorBidi"/>
          <w:color w:val="0D0D0D" w:themeColor="text1" w:themeTint="F2"/>
          <w:lang w:val="sq-AL"/>
        </w:rPr>
      </w:pPr>
    </w:p>
    <w:p w14:paraId="37C17A55" w14:textId="3FCA54E6" w:rsidR="00CC1612" w:rsidRPr="005208DC" w:rsidRDefault="00B2062A" w:rsidP="00857902">
      <w:pPr>
        <w:pStyle w:val="Heading6"/>
        <w:numPr>
          <w:ilvl w:val="0"/>
          <w:numId w:val="85"/>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konkurrueshmëri</w:t>
      </w:r>
    </w:p>
    <w:p w14:paraId="2B62F3D9" w14:textId="1C19A08F" w:rsidR="00627F6C" w:rsidRPr="005208DC" w:rsidRDefault="0055335A" w:rsidP="00857902">
      <w:pPr>
        <w:jc w:val="both"/>
        <w:rPr>
          <w:rFonts w:asciiTheme="majorBidi" w:hAnsiTheme="majorBidi" w:cstheme="majorBidi"/>
          <w:color w:val="0D0D0D" w:themeColor="text1" w:themeTint="F2"/>
          <w:lang w:val="sq-AL" w:eastAsia="x-none"/>
        </w:rPr>
      </w:pPr>
      <w:r w:rsidRPr="005208DC">
        <w:rPr>
          <w:rFonts w:asciiTheme="majorBidi" w:hAnsiTheme="majorBidi" w:cstheme="majorBidi"/>
          <w:color w:val="0D0D0D" w:themeColor="text1" w:themeTint="F2"/>
          <w:lang w:val="sq-AL"/>
        </w:rPr>
        <w:t>Orientimi i politikës sonë të tregtisë së jashtme me partnerët tregtarë bazohet në adresimin e problemeve dhe pengesave me të cilat përballen bizneset tona si: ulja e kostove dhe tarifave lidhur me import/eksportin të aplikuara nga vendet e tjera, heqja e barrierave në tregti, harmonizimi i orarit të punës, të agjencive kufitare me vendet fqinje etj. Heqja e kësaj pengese do të nxisë konkurrencën e Shqipërisë në tregjet rajonale, BE dhe të tjera</w:t>
      </w:r>
      <w:r w:rsidR="00627F6C" w:rsidRPr="005208DC">
        <w:rPr>
          <w:rFonts w:asciiTheme="majorBidi" w:hAnsiTheme="majorBidi" w:cstheme="majorBidi"/>
          <w:color w:val="0D0D0D" w:themeColor="text1" w:themeTint="F2"/>
          <w:lang w:val="sq-AL" w:eastAsia="x-none"/>
        </w:rPr>
        <w:t>.</w:t>
      </w:r>
    </w:p>
    <w:p w14:paraId="0E318FCC" w14:textId="77777777" w:rsidR="00627F6C" w:rsidRPr="005208DC" w:rsidRDefault="00627F6C" w:rsidP="00857902">
      <w:pPr>
        <w:rPr>
          <w:rFonts w:asciiTheme="majorBidi" w:hAnsiTheme="majorBidi" w:cstheme="majorBidi"/>
          <w:color w:val="0D0D0D" w:themeColor="text1" w:themeTint="F2"/>
          <w:lang w:val="sq-AL" w:eastAsia="x-none"/>
        </w:rPr>
      </w:pPr>
    </w:p>
    <w:p w14:paraId="6E56B5CA" w14:textId="78CCC207" w:rsidR="00CC1612" w:rsidRPr="005208DC" w:rsidRDefault="00B2062A" w:rsidP="00857902">
      <w:pPr>
        <w:pStyle w:val="Heading6"/>
        <w:numPr>
          <w:ilvl w:val="0"/>
          <w:numId w:val="85"/>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Kosto e parashikuar e aktiviteteve dhe burimi i financimit</w:t>
      </w:r>
    </w:p>
    <w:p w14:paraId="1A419AF9" w14:textId="6AD0FC96" w:rsidR="00627F6C" w:rsidRPr="005208DC" w:rsidRDefault="00627F6C"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Kostoja e aktiviteteve dhe burimi i financimit janë të detajuara në tabelën 10a dhe tabelën 10b të aneksit 1.</w:t>
      </w:r>
    </w:p>
    <w:p w14:paraId="61E2F8A1" w14:textId="77777777" w:rsidR="00627F6C" w:rsidRPr="005208DC" w:rsidRDefault="00627F6C" w:rsidP="00857902">
      <w:pPr>
        <w:snapToGrid w:val="0"/>
        <w:rPr>
          <w:rFonts w:asciiTheme="majorBidi" w:hAnsiTheme="majorBidi" w:cstheme="majorBidi"/>
          <w:color w:val="0D0D0D" w:themeColor="text1" w:themeTint="F2"/>
          <w:lang w:val="sq-AL"/>
        </w:rPr>
      </w:pPr>
    </w:p>
    <w:p w14:paraId="3F41FBBD" w14:textId="1B5290D1" w:rsidR="00CC1612" w:rsidRPr="005208DC" w:rsidRDefault="00B2062A" w:rsidP="00857902">
      <w:pPr>
        <w:pStyle w:val="Heading6"/>
        <w:numPr>
          <w:ilvl w:val="0"/>
          <w:numId w:val="85"/>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përfundimet sociale si punësimi, ulja e varfërisë, barazia gjinore dhe aksesi në kujdesin shëndetësor</w:t>
      </w:r>
    </w:p>
    <w:p w14:paraId="2AE82205" w14:textId="0904EADD" w:rsidR="00627F6C" w:rsidRPr="005208DC" w:rsidRDefault="00627F6C"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Rritja e konkurrencës shqiptare do të gjenerojë vende pune dhe ndërkombëtarizim të produkteve shqiptare.</w:t>
      </w:r>
    </w:p>
    <w:p w14:paraId="266DD623" w14:textId="77777777" w:rsidR="00627F6C" w:rsidRPr="005208DC" w:rsidRDefault="00627F6C" w:rsidP="00857902">
      <w:pPr>
        <w:snapToGrid w:val="0"/>
        <w:rPr>
          <w:rFonts w:asciiTheme="majorBidi" w:hAnsiTheme="majorBidi" w:cstheme="majorBidi"/>
          <w:color w:val="0D0D0D" w:themeColor="text1" w:themeTint="F2"/>
          <w:lang w:val="sq-AL"/>
        </w:rPr>
      </w:pPr>
    </w:p>
    <w:p w14:paraId="7F664170" w14:textId="4AD5840D" w:rsidR="00CC1612" w:rsidRPr="005208DC" w:rsidRDefault="00B2062A" w:rsidP="00857902">
      <w:pPr>
        <w:pStyle w:val="Heading6"/>
        <w:numPr>
          <w:ilvl w:val="0"/>
          <w:numId w:val="85"/>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mjedis dhe ndryshimi i klimës</w:t>
      </w:r>
    </w:p>
    <w:p w14:paraId="4AE096CC" w14:textId="28695A66" w:rsidR="00627F6C" w:rsidRPr="005208DC" w:rsidRDefault="00627F6C"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Kjo masë nuk parashikohet të ketë ndikim në mjedis.</w:t>
      </w:r>
    </w:p>
    <w:p w14:paraId="2505DE7D" w14:textId="77777777" w:rsidR="00627F6C" w:rsidRPr="005208DC" w:rsidRDefault="00627F6C" w:rsidP="00857902">
      <w:pPr>
        <w:snapToGrid w:val="0"/>
        <w:rPr>
          <w:rFonts w:asciiTheme="majorBidi" w:hAnsiTheme="majorBidi" w:cstheme="majorBidi"/>
          <w:color w:val="0D0D0D" w:themeColor="text1" w:themeTint="F2"/>
          <w:lang w:val="sq-AL"/>
        </w:rPr>
      </w:pPr>
    </w:p>
    <w:p w14:paraId="767BCD25" w14:textId="581E1CAD" w:rsidR="00CC1612" w:rsidRPr="005208DC" w:rsidRDefault="00B2062A" w:rsidP="00857902">
      <w:pPr>
        <w:pStyle w:val="Heading6"/>
        <w:numPr>
          <w:ilvl w:val="0"/>
          <w:numId w:val="85"/>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Rreziqet e mundshme</w:t>
      </w:r>
    </w:p>
    <w:tbl>
      <w:tblPr>
        <w:tblStyle w:val="TableGrid"/>
        <w:tblW w:w="10485" w:type="dxa"/>
        <w:tblLook w:val="04A0" w:firstRow="1" w:lastRow="0" w:firstColumn="1" w:lastColumn="0" w:noHBand="0" w:noVBand="1"/>
      </w:tblPr>
      <w:tblGrid>
        <w:gridCol w:w="5949"/>
        <w:gridCol w:w="1559"/>
        <w:gridCol w:w="2977"/>
      </w:tblGrid>
      <w:tr w:rsidR="005208DC" w:rsidRPr="005208DC" w14:paraId="614F58F0" w14:textId="77777777" w:rsidTr="0055335A">
        <w:tc>
          <w:tcPr>
            <w:tcW w:w="5949" w:type="dxa"/>
          </w:tcPr>
          <w:p w14:paraId="0BB29F82" w14:textId="381362D9" w:rsidR="00A54F3A"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Rreziku</w:t>
            </w:r>
          </w:p>
        </w:tc>
        <w:tc>
          <w:tcPr>
            <w:tcW w:w="1559" w:type="dxa"/>
          </w:tcPr>
          <w:p w14:paraId="5E9DF49F" w14:textId="28BE84F9" w:rsidR="00A54F3A"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Mundësia</w:t>
            </w:r>
            <w:r w:rsidR="00A54F3A" w:rsidRPr="005208DC">
              <w:rPr>
                <w:rFonts w:asciiTheme="majorBidi" w:hAnsiTheme="majorBidi" w:cstheme="majorBidi"/>
                <w:color w:val="0D0D0D" w:themeColor="text1" w:themeTint="F2"/>
                <w:lang w:val="sq-AL"/>
              </w:rPr>
              <w:t xml:space="preserve"> (</w:t>
            </w:r>
            <w:r w:rsidRPr="005208DC">
              <w:rPr>
                <w:rFonts w:asciiTheme="majorBidi" w:hAnsiTheme="majorBidi" w:cstheme="majorBidi"/>
                <w:color w:val="0D0D0D" w:themeColor="text1" w:themeTint="F2"/>
                <w:lang w:val="sq-AL"/>
              </w:rPr>
              <w:t>e ulët, e lartë</w:t>
            </w:r>
            <w:r w:rsidR="00A54F3A" w:rsidRPr="005208DC">
              <w:rPr>
                <w:rFonts w:asciiTheme="majorBidi" w:hAnsiTheme="majorBidi" w:cstheme="majorBidi"/>
                <w:color w:val="0D0D0D" w:themeColor="text1" w:themeTint="F2"/>
                <w:lang w:val="sq-AL"/>
              </w:rPr>
              <w:t>)</w:t>
            </w:r>
          </w:p>
        </w:tc>
        <w:tc>
          <w:tcPr>
            <w:tcW w:w="2977" w:type="dxa"/>
          </w:tcPr>
          <w:p w14:paraId="6CBE7304" w14:textId="00413025" w:rsidR="00A54F3A"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Veprimi zbutës i parashikuar</w:t>
            </w:r>
          </w:p>
        </w:tc>
      </w:tr>
      <w:tr w:rsidR="005208DC" w:rsidRPr="005208DC" w14:paraId="004F28DA" w14:textId="77777777" w:rsidTr="0055335A">
        <w:tc>
          <w:tcPr>
            <w:tcW w:w="5949" w:type="dxa"/>
          </w:tcPr>
          <w:p w14:paraId="3C13CC06" w14:textId="0DAEF3A7" w:rsidR="00A54F3A" w:rsidRPr="005208DC" w:rsidRDefault="0055335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Vonesa në aprovimin e vendimeve të Komitetit të Përbashkët të CEFTA për shkakk të çështjeve politike.</w:t>
            </w:r>
          </w:p>
        </w:tc>
        <w:tc>
          <w:tcPr>
            <w:tcW w:w="1559" w:type="dxa"/>
          </w:tcPr>
          <w:p w14:paraId="5E86DE0A" w14:textId="152F555B" w:rsidR="00A54F3A" w:rsidRPr="005208DC" w:rsidRDefault="00A74C26"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e lartë</w:t>
            </w:r>
          </w:p>
        </w:tc>
        <w:tc>
          <w:tcPr>
            <w:tcW w:w="2977" w:type="dxa"/>
          </w:tcPr>
          <w:p w14:paraId="770119FE" w14:textId="0BE7DBA6" w:rsidR="00A54F3A" w:rsidRPr="005208DC" w:rsidRDefault="0055335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Nivel rajonal</w:t>
            </w:r>
          </w:p>
        </w:tc>
      </w:tr>
    </w:tbl>
    <w:p w14:paraId="10EBEDDF" w14:textId="77777777" w:rsidR="00CC1612" w:rsidRPr="005208DC" w:rsidRDefault="00CC1612" w:rsidP="00857902">
      <w:pPr>
        <w:rPr>
          <w:rFonts w:asciiTheme="majorBidi" w:hAnsiTheme="majorBidi" w:cstheme="majorBidi"/>
          <w:color w:val="0D0D0D" w:themeColor="text1" w:themeTint="F2"/>
          <w:lang w:val="sq-AL"/>
        </w:rPr>
      </w:pPr>
    </w:p>
    <w:p w14:paraId="46113C95" w14:textId="77777777" w:rsidR="00CC1612" w:rsidRPr="005208DC" w:rsidRDefault="00CC1612" w:rsidP="00857902">
      <w:pPr>
        <w:rPr>
          <w:rFonts w:asciiTheme="majorBidi" w:hAnsiTheme="majorBidi" w:cstheme="majorBidi"/>
          <w:color w:val="0D0D0D" w:themeColor="text1" w:themeTint="F2"/>
          <w:lang w:val="sq-AL"/>
        </w:rPr>
      </w:pPr>
    </w:p>
    <w:p w14:paraId="7DAACA65" w14:textId="2F263E5F" w:rsidR="00C21F03" w:rsidRPr="005208DC" w:rsidRDefault="001E4FC2" w:rsidP="00857902">
      <w:pPr>
        <w:pStyle w:val="Heading3"/>
        <w:numPr>
          <w:ilvl w:val="2"/>
          <w:numId w:val="1"/>
        </w:numPr>
        <w:snapToGrid w:val="0"/>
        <w:rPr>
          <w:rFonts w:asciiTheme="majorBidi" w:hAnsiTheme="majorBidi" w:cstheme="majorBidi"/>
          <w:b/>
          <w:color w:val="0D0D0D" w:themeColor="text1" w:themeTint="F2"/>
          <w:sz w:val="24"/>
          <w:szCs w:val="24"/>
          <w:lang w:val="sq-AL"/>
        </w:rPr>
      </w:pPr>
      <w:bookmarkStart w:id="81" w:name="_Toc92721150"/>
      <w:r w:rsidRPr="005208DC">
        <w:rPr>
          <w:rFonts w:asciiTheme="majorBidi" w:hAnsiTheme="majorBidi" w:cstheme="majorBidi"/>
          <w:b/>
          <w:color w:val="0D0D0D" w:themeColor="text1" w:themeTint="F2"/>
          <w:sz w:val="24"/>
          <w:szCs w:val="24"/>
          <w:lang w:val="sq-AL"/>
        </w:rPr>
        <w:t>E</w:t>
      </w:r>
      <w:r w:rsidR="002C5872" w:rsidRPr="005208DC">
        <w:rPr>
          <w:rFonts w:asciiTheme="majorBidi" w:hAnsiTheme="majorBidi" w:cstheme="majorBidi"/>
          <w:b/>
          <w:color w:val="0D0D0D" w:themeColor="text1" w:themeTint="F2"/>
          <w:sz w:val="24"/>
          <w:szCs w:val="24"/>
          <w:lang w:val="sq-AL"/>
        </w:rPr>
        <w:t>nergji</w:t>
      </w:r>
      <w:r w:rsidRPr="005208DC">
        <w:rPr>
          <w:rFonts w:asciiTheme="majorBidi" w:hAnsiTheme="majorBidi" w:cstheme="majorBidi"/>
          <w:b/>
          <w:color w:val="0D0D0D" w:themeColor="text1" w:themeTint="F2"/>
          <w:sz w:val="24"/>
          <w:szCs w:val="24"/>
          <w:lang w:val="sq-AL"/>
        </w:rPr>
        <w:t>a</w:t>
      </w:r>
      <w:bookmarkEnd w:id="81"/>
    </w:p>
    <w:p w14:paraId="05A0058E" w14:textId="48485CD5" w:rsidR="00080139" w:rsidRPr="005208DC" w:rsidRDefault="00B2062A" w:rsidP="00857902">
      <w:pPr>
        <w:pStyle w:val="Heading4"/>
        <w:numPr>
          <w:ilvl w:val="0"/>
          <w:numId w:val="66"/>
        </w:numPr>
        <w:snapToGrid w:val="0"/>
        <w:ind w:left="567" w:hanging="283"/>
        <w:rPr>
          <w:rFonts w:asciiTheme="majorBidi" w:hAnsiTheme="majorBidi" w:cstheme="majorBidi"/>
          <w:b w:val="0"/>
          <w:i/>
          <w:color w:val="0D0D0D" w:themeColor="text1" w:themeTint="F2"/>
          <w:sz w:val="24"/>
          <w:szCs w:val="24"/>
          <w:lang w:val="sq-AL"/>
        </w:rPr>
      </w:pPr>
      <w:r w:rsidRPr="005208DC">
        <w:rPr>
          <w:rFonts w:asciiTheme="majorBidi" w:hAnsiTheme="majorBidi" w:cstheme="majorBidi"/>
          <w:b w:val="0"/>
          <w:i/>
          <w:color w:val="0D0D0D" w:themeColor="text1" w:themeTint="F2"/>
          <w:sz w:val="24"/>
          <w:szCs w:val="24"/>
          <w:lang w:val="sq-AL"/>
        </w:rPr>
        <w:t>Analiza e pengesave kryesore</w:t>
      </w:r>
    </w:p>
    <w:p w14:paraId="75F9791A" w14:textId="77777777" w:rsidR="00877F0D" w:rsidRPr="005208DC" w:rsidRDefault="00877F0D"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Sektori i energjisë luan një rol kyç në zhvillimin ekonomik të vendit. Hidroenergjia zë pjesën më të madhe të prodhimit të energjisë elektrike në vend, duke përfaqësuar rreth 95% të kapacitetit të instaluar të energjisë elektrike të Shqipërisë. Kjo do të thotë se përzierja energjetike e Shqipërisë ka një nga përqindjet më të larta të energjisë së rinovueshme në Evropën Juglindore; megjithatë, është gjithashtu shumë i varur nga reshjet vjetore. vulnerabiliteti pasues ndaj eksternaliteteve klimatike për prodhimin e energjisë elektrike krijon luhatje të dukshme në prodhimin vendas të energjisë, i cili nuk është në gjendje të plotësojë kërkesën; Prandaj, Shqipëria është mesatarisht një importues neto i energjisë. Importet e energjisë kufizojnë ndjeshëm rritjen ekonomike, kanë një efekt negativ në deficitin tregtar të vendit dhe e lënë vendin të hapur ndaj goditjeve të ofertës.</w:t>
      </w:r>
    </w:p>
    <w:p w14:paraId="7EA7E450" w14:textId="77777777" w:rsidR="00877F0D" w:rsidRPr="005208DC" w:rsidRDefault="00877F0D" w:rsidP="00857902">
      <w:pPr>
        <w:snapToGrid w:val="0"/>
        <w:jc w:val="both"/>
        <w:rPr>
          <w:rFonts w:asciiTheme="majorBidi" w:hAnsiTheme="majorBidi" w:cstheme="majorBidi"/>
          <w:color w:val="0D0D0D" w:themeColor="text1" w:themeTint="F2"/>
          <w:lang w:val="sq-AL"/>
        </w:rPr>
      </w:pPr>
    </w:p>
    <w:p w14:paraId="09EECA60" w14:textId="77777777" w:rsidR="00877F0D" w:rsidRPr="005208DC" w:rsidRDefault="00877F0D"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Bilanci i shkëmbimit (importit) të energjisë elektrike për vitin 2020 në total është 3,238 GWh, në furnizim rezulton në vlerën 963 GWh dhe merr 2,276 GWh. Prodhimi i energjisë elektrike në 5,313 GWh është realizuar nga termocentralet në pronësi të shoqërisë së prodhimit publik (kompania KESH) në masën 3,090 GWh dhe pjesa tjetër prej 2,222 GWh është prodhuar nga impiante të tjera. Siç shihet nga këto shifra, pesha e prodhimit të realizuar nga prodhuesit e pavarur privatë të energjisë elektrike, zë një pjesë të konsiderueshme në prodhimin vendas. Numri i prodhuesve të pavarur të energjisë elektrike po rritet çdo vit, duke rritur kështu rëndësinë e këtyre prodhuesve në treg, që është një hap i rëndësishëm për liberalizimin e tregut të energjisë elektrike në vendin tonë. Në lidhje me rritjen e kapaciteteve gjeneruese dhe me ngritjen e Bursës së Energjisë Elektrike duke shfrytëzuar kontratat për diferenca, do të optimizohet efekti financiar i tyre për klientët e energjisë elektrike.</w:t>
      </w:r>
    </w:p>
    <w:p w14:paraId="28D67B5A" w14:textId="77777777" w:rsidR="00877F0D" w:rsidRPr="005208DC" w:rsidRDefault="00877F0D" w:rsidP="00857902">
      <w:pPr>
        <w:snapToGrid w:val="0"/>
        <w:jc w:val="both"/>
        <w:rPr>
          <w:rFonts w:asciiTheme="majorBidi" w:hAnsiTheme="majorBidi" w:cstheme="majorBidi"/>
          <w:color w:val="0D0D0D" w:themeColor="text1" w:themeTint="F2"/>
          <w:lang w:val="sq-AL"/>
        </w:rPr>
      </w:pPr>
    </w:p>
    <w:p w14:paraId="4746E132" w14:textId="77777777" w:rsidR="00877F0D" w:rsidRPr="005208DC" w:rsidRDefault="00877F0D"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Kërkesa për energji elektrike në vitin 2020 ka arritur vlerën e 7,589 GWh. Rënia e kërkesës e vërejtur më parë dhe gjatë këtij viti, lidhet kryesisht me ndryshimet klimatike, efiçencën e energjisë apo shtrirjen për zbatimin e masave (nga instalimi i sistemit të matjes së energjisë për çdo konsumator e deri te dispozitat e kodi penal për vjedhjen e energjisë elektrike) për reduktimin e vjedhjes së energjisë elektrike dhe kryesisht lidhur me masat e miratuara nga qeveria shqiptare për kufizimet në lidhje me përhapjen e pandemisë duke filluar nga marsi 2020. Këto masa ndër të tjera kanë ulur kërkesën për energji elektrike pasi disa biznese ishin të detyruar të punonin me orar të kufizuar ose të mbylleshin plotësisht. Në këtë kuadër, humbjet e energjisë elektrike në sistemin e shpërndarjes për vitin 2020 sipas të dhënave të raportuara nga kompania kapin vlerën 21.48%, duke shënuar një ulje të lehtë të nivelit të humbjeve krahasuar me vlerën prej 21.79% në vitin 2019, trend ky që do të vazhdojnë edhe në vitet në vijim, pasi në këtë pikë niveli i humbjeve lidhet më së shumti me investimet në rrjetin e shpërndarjes.</w:t>
      </w:r>
    </w:p>
    <w:p w14:paraId="053A092B" w14:textId="77777777" w:rsidR="00877F0D" w:rsidRPr="005208DC" w:rsidRDefault="00877F0D" w:rsidP="00857902">
      <w:pPr>
        <w:snapToGrid w:val="0"/>
        <w:jc w:val="both"/>
        <w:rPr>
          <w:rFonts w:asciiTheme="majorBidi" w:hAnsiTheme="majorBidi" w:cstheme="majorBidi"/>
          <w:color w:val="0D0D0D" w:themeColor="text1" w:themeTint="F2"/>
          <w:lang w:val="sq-AL"/>
        </w:rPr>
      </w:pPr>
    </w:p>
    <w:p w14:paraId="1E7E6D79" w14:textId="77777777" w:rsidR="00877F0D" w:rsidRPr="005208DC" w:rsidRDefault="00877F0D"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 vitin 2020, humbjet totale të energjisë elektrike në sistemin e shpërndarjes dhe transmetimit sipas raporteve të kompanive kanë qenë në vlerat 1632 GWh, me një ulje prej 19 GWh krahasuar me vitin 2019.</w:t>
      </w:r>
    </w:p>
    <w:p w14:paraId="733A6CEE" w14:textId="77777777" w:rsidR="00877F0D" w:rsidRPr="005208DC" w:rsidRDefault="00877F0D" w:rsidP="00857902">
      <w:pPr>
        <w:snapToGrid w:val="0"/>
        <w:jc w:val="both"/>
        <w:rPr>
          <w:rFonts w:asciiTheme="majorBidi" w:hAnsiTheme="majorBidi" w:cstheme="majorBidi"/>
          <w:color w:val="0D0D0D" w:themeColor="text1" w:themeTint="F2"/>
          <w:lang w:val="sq-AL"/>
        </w:rPr>
      </w:pPr>
    </w:p>
    <w:p w14:paraId="2371EC96" w14:textId="77777777" w:rsidR="00877F0D" w:rsidRPr="005208DC" w:rsidRDefault="00877F0D"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xml:space="preserve">Në lidhje me ngritjen e Bursës Shqiptare të Energjisë Elektrike, operatorët e sistemit të transmetimit të Shqipërisë dhe Kosovës*, si aksionerë themelues, në datën 23.10.2020 themeluan shoqërinë ALPEX, e cila do të punojë për realizimin e bashkimit të tregut të ditës në vijim. Krijimi i këtij tregu do të përmirësojë sigurinë e furnizimit me energji elektrike, për të dy vendet, dhe integriteti i tregjeve do të ndikojë ndjeshëm në rritjen e konkurrencës në shitjen e energjisë elektrike në tregun me shumicë dhe si pasojë mund të sjellë uljen e çmimeve të energjisë elektrike në tregun e shitjes me pakicë. </w:t>
      </w:r>
    </w:p>
    <w:p w14:paraId="648DEF5C" w14:textId="77777777" w:rsidR="00877F0D" w:rsidRPr="005208DC" w:rsidRDefault="00877F0D" w:rsidP="00857902">
      <w:pPr>
        <w:snapToGrid w:val="0"/>
        <w:jc w:val="both"/>
        <w:rPr>
          <w:rFonts w:asciiTheme="majorBidi" w:hAnsiTheme="majorBidi" w:cstheme="majorBidi"/>
          <w:color w:val="0D0D0D" w:themeColor="text1" w:themeTint="F2"/>
          <w:lang w:val="sq-AL"/>
        </w:rPr>
      </w:pPr>
    </w:p>
    <w:p w14:paraId="24A8FB0E" w14:textId="7AD320B8" w:rsidR="00877F0D" w:rsidRPr="005208DC" w:rsidRDefault="00877F0D"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Lidhur me hapjen e tregut, me Urdhrin e Ministrit të Infrastrukturës dhe Energjisë nr. 28, datë 18.01.2021 “Për miratimin e udhërrëfyesit për hapjen e tregut dhe çrregullimin e çmimeve të energjisë elektrike”, u miratua udhërrëfyesi për hapjen e tregut dhe derregullimin e çmimeve, i cili parashikon që duke filluar nga Nga 1 janari 2021 të gjithë konsumatorët e kyçur në 35 kV dhe një pjesë e konsumatorëve të lidhur në 20 kV do të furnizohen përmes tregut dhe çmimit të çrregulluar (faza 1) dhe duke filluar nga 1 janari 2022 të gjithë konsumatorët përveç 0.4 kV do të furnizohen me çmime të çrregulluara. Hyrja në tregun e parregulluar të konsumatorëve të energjisë elektrike është e lidhur ngushtë me cilësinë e shërbimit të ofruar nga OSSH S.A si dhe me treguesit e lejuar të performancës. Një nga elementët kryesorë për kontrollin e monitorimit të cilësisë së tensionit dhe treguesve të performancës së rrjetit të shpërndarjes së energjisë elektrike është vendosja e matësve inteligjentë tek klientët si detyrim i OSSH SA në përputhje me nenin 78 “Sistemet inteligjente të matjes” të ligjit nr.43/ 2015 “Për sektorin e energjisë elektrike” i ndryshuar. Sipas këtij neni, kërkohen investime të konsiderueshme si në sistemet e informacionit ashtu edhe në pajisjet terminale. Ndonëse gjatë viteve 2019 - 2020 janë realizuar dy projekte pilot për matje inteligjente, me rezultate premtuese dhe pozitive, sfidat me të cilat është përballur kompania në vitet e fundit duke filluar nga situata e pafavorshme hidrologjike, pasojat e tërmetit 2019 dhe ndikimi i Covid 2019, kanë detyruar kompaninë të devijojë dhe të reduktojë investimet për të siguruar energji për të gjithë përdoruesit.</w:t>
      </w:r>
    </w:p>
    <w:p w14:paraId="01B41E42" w14:textId="77777777" w:rsidR="00877F0D" w:rsidRPr="005208DC" w:rsidRDefault="00877F0D" w:rsidP="00857902">
      <w:pPr>
        <w:snapToGrid w:val="0"/>
        <w:rPr>
          <w:rFonts w:asciiTheme="majorBidi" w:hAnsiTheme="majorBidi" w:cstheme="majorBidi"/>
          <w:color w:val="0D0D0D" w:themeColor="text1" w:themeTint="F2"/>
          <w:lang w:val="sq-AL"/>
        </w:rPr>
      </w:pPr>
    </w:p>
    <w:p w14:paraId="7C155F85" w14:textId="77777777" w:rsidR="00877F0D" w:rsidRPr="005208DC" w:rsidRDefault="00877F0D" w:rsidP="00857902">
      <w:pPr>
        <w:autoSpaceDE w:val="0"/>
        <w:autoSpaceDN w:val="0"/>
        <w:adjustRightInd w:val="0"/>
        <w:jc w:val="both"/>
        <w:rPr>
          <w:rFonts w:ascii="Times New Roman" w:hAnsi="Times New Roman"/>
          <w:b/>
          <w:i/>
          <w:color w:val="0D0D0D" w:themeColor="text1" w:themeTint="F2"/>
          <w:u w:val="single"/>
          <w:lang w:val="sq-AL"/>
        </w:rPr>
      </w:pPr>
      <w:r w:rsidRPr="005208DC">
        <w:rPr>
          <w:rFonts w:ascii="Times New Roman" w:hAnsi="Times New Roman"/>
          <w:b/>
          <w:i/>
          <w:color w:val="0D0D0D" w:themeColor="text1" w:themeTint="F2"/>
          <w:u w:val="single"/>
          <w:lang w:val="sq-AL"/>
        </w:rPr>
        <w:t>Burimet e rinovueshme dhe energjia dhe efikasiteti i energjisë</w:t>
      </w:r>
    </w:p>
    <w:p w14:paraId="5AFE769D" w14:textId="77777777" w:rsidR="00877F0D" w:rsidRPr="005208DC" w:rsidRDefault="00877F0D" w:rsidP="00857902">
      <w:pPr>
        <w:autoSpaceDE w:val="0"/>
        <w:autoSpaceDN w:val="0"/>
        <w:adjustRightIn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Qeveria e Shqipërisë njeh rolin kyç të sektorit të energjisë në zhvillimin ekonomik të vendit. Prandaj, Shqipëria po i jep shtysë të re reformave energjetike duke konsoliduar gjithashtu përpjekjet ekzistuese për të ofruar kushte të favorshme për zhvillimin e energjisë së rinovueshme dhe për të përmbushur angazhimet e saj rajonale dhe ndërkombëtare. Ndërsa tregu ka përjetuar përparime të konsiderueshme vitet e fundit, Qeveria Shqiptare është tani më e vendosur se kurrë për të rritur investimet që do të formësojnë të ardhmen e energjisë, duke krijuar një udhërrëfyes të qartë strategjik për burimet e rinovueshme.</w:t>
      </w:r>
    </w:p>
    <w:p w14:paraId="6F194444" w14:textId="77777777" w:rsidR="00877F0D" w:rsidRPr="005208DC" w:rsidRDefault="00877F0D" w:rsidP="00857902">
      <w:pPr>
        <w:autoSpaceDE w:val="0"/>
        <w:autoSpaceDN w:val="0"/>
        <w:adjustRightInd w:val="0"/>
        <w:jc w:val="both"/>
        <w:rPr>
          <w:rFonts w:ascii="Times New Roman" w:hAnsi="Times New Roman"/>
          <w:color w:val="0D0D0D" w:themeColor="text1" w:themeTint="F2"/>
          <w:lang w:val="sq-AL"/>
        </w:rPr>
      </w:pPr>
    </w:p>
    <w:p w14:paraId="375CDFBC" w14:textId="77777777" w:rsidR="00877F0D" w:rsidRPr="005208DC" w:rsidRDefault="00877F0D" w:rsidP="00857902">
      <w:pPr>
        <w:autoSpaceDE w:val="0"/>
        <w:autoSpaceDN w:val="0"/>
        <w:adjustRightIn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Rritja e qëndrueshme ekonomike është një komponent kyç i agjendës së zhvillimit të qëndrueshëm ekonomik dhe social të vendit dhe kontributi i sektorit të energjisë luan një rol gjithnjë e më kritik. Siguria e energjisë, qëndrueshmëria e sektorit dhe sigurimi i furnizimit me energji me çmime konkurruese janë disa nga sfidat kryesore që vendi duhet të adresojë në të ardhmen e afërt. Këto sfida mund të përballohen duke rritur më tej peshën e energjisë së rinovueshme në prodhimin përfundimtar bruto dhe duke diversifikuar sektorin e energjisë elektrike në vend. Shqipëria është në një pozicion fillestar të shkëlqyer për Axhendën e Gjelbër, me një sektor energjetik të bazuar tërësisht në hidrocentralet pa emetim karboni. Reforma në tregun e energjisë elektrike është në rrugën e duhur.</w:t>
      </w:r>
    </w:p>
    <w:p w14:paraId="01001308" w14:textId="77777777" w:rsidR="00877F0D" w:rsidRPr="005208DC" w:rsidRDefault="00877F0D" w:rsidP="00857902">
      <w:pPr>
        <w:autoSpaceDE w:val="0"/>
        <w:autoSpaceDN w:val="0"/>
        <w:adjustRightInd w:val="0"/>
        <w:jc w:val="both"/>
        <w:rPr>
          <w:rFonts w:ascii="Times New Roman" w:hAnsi="Times New Roman"/>
          <w:color w:val="0D0D0D" w:themeColor="text1" w:themeTint="F2"/>
          <w:lang w:val="sq-AL"/>
        </w:rPr>
      </w:pPr>
    </w:p>
    <w:p w14:paraId="7AE6C450" w14:textId="77777777" w:rsidR="00877F0D" w:rsidRPr="005208DC" w:rsidRDefault="00877F0D" w:rsidP="00857902">
      <w:pPr>
        <w:autoSpaceDE w:val="0"/>
        <w:autoSpaceDN w:val="0"/>
        <w:adjustRightInd w:val="0"/>
        <w:jc w:val="both"/>
        <w:rPr>
          <w:rFonts w:ascii="Times New Roman" w:hAnsi="Times New Roman"/>
          <w:b/>
          <w:i/>
          <w:color w:val="0D0D0D" w:themeColor="text1" w:themeTint="F2"/>
          <w:u w:val="single"/>
          <w:lang w:val="sq-AL"/>
        </w:rPr>
      </w:pPr>
      <w:r w:rsidRPr="005208DC">
        <w:rPr>
          <w:rFonts w:ascii="Times New Roman" w:hAnsi="Times New Roman"/>
          <w:b/>
          <w:i/>
          <w:color w:val="0D0D0D" w:themeColor="text1" w:themeTint="F2"/>
          <w:u w:val="single"/>
          <w:lang w:val="sq-AL"/>
        </w:rPr>
        <w:t>Burimet e rinovueshme</w:t>
      </w:r>
    </w:p>
    <w:p w14:paraId="020629ED" w14:textId="77777777" w:rsidR="00877F0D" w:rsidRPr="005208DC" w:rsidRDefault="00877F0D" w:rsidP="00857902">
      <w:pPr>
        <w:autoSpaceDE w:val="0"/>
        <w:autoSpaceDN w:val="0"/>
        <w:adjustRightIn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 xml:space="preserve">Vitet e fundit, qeveria shqiptare ka ndërmarrë hapa të lavdërueshëm në promovimin e përdorimit të energjisë së rinovueshme jo hidro. Në Strategjinë Kombëtare të Sektorit të Energjisë 2018, Shqipëria ka përcaktuar një pjesë prej 42% të energjisë së rinovueshme në totalin e furnizimit me energji parësore (TPES) deri në vitin 2030. Gjithashtu, Plani Kombëtar i Veprimit për Energjinë e Rinovueshme të Shqipërisë (PKREAP) përcakton objektivat e energjisë së rinovueshme deri në vitin 2021 dhe në vazhdim , NREAP do të zëvendësohet nga Plani Kombëtar i Energjisë dhe Klimës (NECP), i cili është ende për t'u zhvilluar dhe do të përcaktojë objektivat e energjisë së rinovueshme deri në vitin 2030. Diversifikimi i prodhimit të energjisë elektrike ka avancuar më tej kohët e fundit duke promovuar burimet alternative të energjisë së rinovueshme (era dhe solar) nëpërmjet investimeve private dhe ankandeve. </w:t>
      </w:r>
    </w:p>
    <w:p w14:paraId="418327AA" w14:textId="77777777" w:rsidR="00877F0D" w:rsidRPr="005208DC" w:rsidRDefault="00877F0D" w:rsidP="00857902">
      <w:pPr>
        <w:autoSpaceDE w:val="0"/>
        <w:autoSpaceDN w:val="0"/>
        <w:adjustRightInd w:val="0"/>
        <w:jc w:val="both"/>
        <w:rPr>
          <w:rFonts w:ascii="Times New Roman" w:hAnsi="Times New Roman"/>
          <w:color w:val="0D0D0D" w:themeColor="text1" w:themeTint="F2"/>
          <w:lang w:val="sq-AL"/>
        </w:rPr>
      </w:pPr>
    </w:p>
    <w:p w14:paraId="5F9571EF" w14:textId="77777777" w:rsidR="00877F0D" w:rsidRPr="005208DC" w:rsidRDefault="00877F0D" w:rsidP="00857902">
      <w:pPr>
        <w:autoSpaceDE w:val="0"/>
        <w:autoSpaceDN w:val="0"/>
        <w:adjustRightIn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 xml:space="preserve">Politikat aktive të energjisë së rinovueshme krahas hidrocentraleve datojnë që në vitin 2017 me miratimin e ligjit 7/2017 “Për nxitjen e përdorimit të energjisë nga burimet e rinovueshme”. Ky ligj është i harmonizuar me ligjin nr. 43/2015, “Për sektorin e energjisë elektrike” dhe pasqyron plotësisht mundësinë e hyrjes në tregun e liberalizuar të energjisë elektrike të gjeneruesve nga burimet e rinovueshme. Plani Kombëtar i Veprimit për BRE (2018–2021) i cili krahas masave brenda kuadrit ligjor, përcakton metodologjitë e përcaktimit të çmimit të blerjes së energjisë përmes “Skemave të Mbështetjes Financiare” si një angazhim i drejtpërdrejtë i qeverisë për arritjen e objektivit kombëtar. </w:t>
      </w:r>
    </w:p>
    <w:p w14:paraId="0340D21E" w14:textId="77777777" w:rsidR="00877F0D" w:rsidRPr="005208DC" w:rsidRDefault="00877F0D" w:rsidP="00857902">
      <w:pPr>
        <w:autoSpaceDE w:val="0"/>
        <w:autoSpaceDN w:val="0"/>
        <w:adjustRightInd w:val="0"/>
        <w:jc w:val="both"/>
        <w:rPr>
          <w:rFonts w:ascii="Times New Roman" w:hAnsi="Times New Roman"/>
          <w:color w:val="0D0D0D" w:themeColor="text1" w:themeTint="F2"/>
          <w:lang w:val="sq-AL"/>
        </w:rPr>
      </w:pPr>
    </w:p>
    <w:p w14:paraId="68C978C7" w14:textId="77777777" w:rsidR="00877F0D" w:rsidRPr="005208DC" w:rsidRDefault="00877F0D" w:rsidP="00857902">
      <w:pPr>
        <w:autoSpaceDE w:val="0"/>
        <w:autoSpaceDN w:val="0"/>
        <w:adjustRightIn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Për arritjen e objektivit, janë miratuar lejet tarifore të rregulluara për këto burime dhe metodologjitë për çmimet e blerjes së energjisë elektrike nga BRE. Në fakt MIE ka hartuar një Strategji të re për kalimin nga skemat ekzistuese “Feed-in-Tariff” (FiT) në “Feed-in-Premium” (tarifa FiP) që në thelb konsiston në transformimin e FiT në Kontratë për Diferencë (Auksione). i cili do të zbatohet nëpërmjet Operatorit të Energjive të Rinovueshme, FTL dhe ALPEX që do të shërbejë si një nxitje për rritjen e kapaciteteve prodhuese nga dielli dhe era Diversifikimi i prodhimit të energjisë elektrike kohët e fundit ka avancuar më tej duke promovuar burime alternative të energjisë së rinovueshme (erë dhe diellore) nëpërmjet investimet private dhe ankandet.</w:t>
      </w:r>
    </w:p>
    <w:p w14:paraId="142B46C3" w14:textId="77777777" w:rsidR="00877F0D" w:rsidRPr="005208DC" w:rsidRDefault="00877F0D" w:rsidP="00857902">
      <w:pPr>
        <w:autoSpaceDE w:val="0"/>
        <w:autoSpaceDN w:val="0"/>
        <w:adjustRightInd w:val="0"/>
        <w:jc w:val="both"/>
        <w:rPr>
          <w:rFonts w:ascii="Times New Roman" w:hAnsi="Times New Roman"/>
          <w:color w:val="0D0D0D" w:themeColor="text1" w:themeTint="F2"/>
          <w:lang w:val="sq-AL"/>
        </w:rPr>
      </w:pPr>
    </w:p>
    <w:p w14:paraId="5B465080" w14:textId="77777777" w:rsidR="00877F0D" w:rsidRPr="005208DC" w:rsidRDefault="00877F0D" w:rsidP="00857902">
      <w:pPr>
        <w:autoSpaceDE w:val="0"/>
        <w:autoSpaceDN w:val="0"/>
        <w:adjustRightIn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Në këtë drejtim, janë zhvilluar dy ankande solare, gjatë viteve 2020-2021 me një çmim rekord të ulët Karavasta për ndërtimin e një centrali PV diellor 140 MW në Lushnjë dhe ankandi i Spitallës për ndërtimin e një centrali PV diellor 100 MW në Durrës. Ministria e Infrastrukturës dhe Energjisë ka shpallur një proces konkurrues për gjeneruesit e energjisë elektrike me erë me kapacitet total prej 100 MW Gjithashtu, Ministria e Infrastrukturës dhe Energjisë po hap një proces konkurrues për ankandet Hibride PV me kapacitet të instaluar 5 – 10 MW, për një kapacitet total prej 50 MW.</w:t>
      </w:r>
    </w:p>
    <w:p w14:paraId="338B180A" w14:textId="77777777" w:rsidR="00877F0D" w:rsidRPr="005208DC" w:rsidRDefault="00877F0D" w:rsidP="00857902">
      <w:pPr>
        <w:jc w:val="both"/>
        <w:rPr>
          <w:rFonts w:ascii="Times New Roman" w:hAnsi="Times New Roman"/>
          <w:color w:val="0D0D0D" w:themeColor="text1" w:themeTint="F2"/>
          <w:lang w:val="sq-AL"/>
        </w:rPr>
      </w:pPr>
    </w:p>
    <w:p w14:paraId="7A2613CB" w14:textId="77777777" w:rsidR="00877F0D" w:rsidRPr="005208DC" w:rsidRDefault="00877F0D"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Është e rëndësishme të përmendet se kostot e masave të vendosura në Plan (të pasqyruara në ERP 2021-2023, Tab 10b) nuk paguhen nga Buxheti i Shtetit. Bazuar në legjislacionin në fuqi, prodhuesit prioritarë do të paguhen nga OSHEE GROUP.</w:t>
      </w:r>
    </w:p>
    <w:p w14:paraId="21D23C9F" w14:textId="77777777" w:rsidR="00877F0D" w:rsidRPr="005208DC" w:rsidRDefault="00877F0D" w:rsidP="00857902">
      <w:pPr>
        <w:pStyle w:val="CommentText"/>
        <w:jc w:val="both"/>
        <w:rPr>
          <w:color w:val="0D0D0D" w:themeColor="text1" w:themeTint="F2"/>
          <w:sz w:val="24"/>
          <w:szCs w:val="24"/>
          <w:lang w:val="sq-AL"/>
        </w:rPr>
      </w:pPr>
    </w:p>
    <w:p w14:paraId="196C6C91" w14:textId="77777777" w:rsidR="00877F0D" w:rsidRPr="005208DC" w:rsidRDefault="00877F0D" w:rsidP="00857902">
      <w:pPr>
        <w:autoSpaceDE w:val="0"/>
        <w:autoSpaceDN w:val="0"/>
        <w:adjustRightInd w:val="0"/>
        <w:jc w:val="both"/>
        <w:rPr>
          <w:rFonts w:ascii="Times New Roman" w:hAnsi="Times New Roman"/>
          <w:b/>
          <w:i/>
          <w:color w:val="0D0D0D" w:themeColor="text1" w:themeTint="F2"/>
          <w:u w:val="single"/>
          <w:lang w:val="sq-AL"/>
        </w:rPr>
      </w:pPr>
      <w:r w:rsidRPr="005208DC">
        <w:rPr>
          <w:rFonts w:ascii="Times New Roman" w:hAnsi="Times New Roman"/>
          <w:b/>
          <w:i/>
          <w:color w:val="0D0D0D" w:themeColor="text1" w:themeTint="F2"/>
          <w:u w:val="single"/>
          <w:lang w:val="sq-AL"/>
        </w:rPr>
        <w:t>Eficenca e energjisë</w:t>
      </w:r>
    </w:p>
    <w:p w14:paraId="6F8DB11E" w14:textId="77777777" w:rsidR="00877F0D" w:rsidRPr="005208DC" w:rsidRDefault="00877F0D" w:rsidP="00857902">
      <w:pPr>
        <w:autoSpaceDE w:val="0"/>
        <w:autoSpaceDN w:val="0"/>
        <w:adjustRightInd w:val="0"/>
        <w:jc w:val="both"/>
        <w:rPr>
          <w:rFonts w:ascii="Times New Roman" w:hAnsi="Times New Roman"/>
          <w:color w:val="0D0D0D" w:themeColor="text1" w:themeTint="F2"/>
          <w:lang w:val="sq-AL"/>
        </w:rPr>
      </w:pPr>
    </w:p>
    <w:p w14:paraId="29D0BFD0" w14:textId="77777777" w:rsidR="00877F0D" w:rsidRPr="005208DC" w:rsidRDefault="00877F0D"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Efiçenca e energjisë luan një rol të madh në Strategjinë Kombëtare të Energjisë, në veçanti janë konsideruar dy politika afatshkurtra dhe afatmesme: rritja e kursimit të energjisë dhe reduktimi i emetimeve të gazeve serrë. Një nga objektivat kryesore ishte diversifikimi nëpërmjet ndërtimit të burimeve të rinovueshme të energjisë dhe masave për efiçencën e energjisë, për të arritur sigurinë politike dhe makroekonomike të prodhimit të energjisë. Reduktimi i konsumit të energjisë duke rritur efiçencën e energjisë është një mënyrë shumë e suksesshme për të përmbushur objektivat kryesore të politikës energjetike të sigurisë së furnizimit, kostove të përballueshme të shërbimeve të energjisë dhe qëndrueshmërisë së mjedisit. Brenda vitit 2021 do të hartohen dhe miratohen disa urdhëresa të ministrit të mbetura nga aktet nënligjore bazuar në ligjin për efiçiencën e energjisë dhe ligjin për performancën energjetike në ndërtesa.</w:t>
      </w:r>
    </w:p>
    <w:p w14:paraId="485B6867" w14:textId="77777777" w:rsidR="00877F0D" w:rsidRPr="005208DC" w:rsidRDefault="00877F0D" w:rsidP="00857902">
      <w:pPr>
        <w:snapToGrid w:val="0"/>
        <w:jc w:val="both"/>
        <w:rPr>
          <w:rFonts w:ascii="Times New Roman" w:hAnsi="Times New Roman"/>
          <w:color w:val="0D0D0D" w:themeColor="text1" w:themeTint="F2"/>
          <w:lang w:val="sq-AL"/>
        </w:rPr>
      </w:pPr>
    </w:p>
    <w:p w14:paraId="75C10916" w14:textId="77777777" w:rsidR="00877F0D" w:rsidRPr="005208DC" w:rsidRDefault="00877F0D"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Për sa i përket kostos së masave të efiçiencës së energjisë, mund të përmendet se MIE është në proces të hartimit të Planit Kombëtar të Energjisë dhe Klimës, i cili do të zëvendësojë Planin Kombëtar të Veprimit për Efiçiencën e Energjisë i cili duhet të jetë aktiv për 2022-2024 sipas legjislacionit në fuqi. Viti 2021 do të jetë një vit tranzicioni për reformat në efiçencë deri në miratimin e planit të ri të përmendur më sipër. Plani duhet të përfshijë një kapitull të gjerë të efikasitetit të energjisë.</w:t>
      </w:r>
    </w:p>
    <w:p w14:paraId="098690C0" w14:textId="77777777" w:rsidR="00877F0D" w:rsidRPr="005208DC" w:rsidRDefault="00877F0D" w:rsidP="00857902">
      <w:pPr>
        <w:snapToGrid w:val="0"/>
        <w:jc w:val="both"/>
        <w:rPr>
          <w:rFonts w:ascii="Times New Roman" w:hAnsi="Times New Roman"/>
          <w:color w:val="0D0D0D" w:themeColor="text1" w:themeTint="F2"/>
          <w:lang w:val="sq-AL"/>
        </w:rPr>
      </w:pPr>
    </w:p>
    <w:p w14:paraId="0A6BBDB1" w14:textId="77777777" w:rsidR="00877F0D" w:rsidRPr="005208DC" w:rsidRDefault="00877F0D"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Ministria e Infrastrukturës dhe Energjisë ka rishikuar ligjin ekzistues nr. 124/2015, datë 12.11.2015 “Për efiçencën e energjisë” Ligji i rishikuar “Për efiçencën e energjisë” nr. 28/2021, i miratuar më 08.03.2021 është në përputhje të plotë me Direktivën 2012/27/BE. Akoma nënligjore lidhur me nenet e ndryshuara të ligjit të mësipërm nuk ka filluar. Krijimi i mekanizmave financiarë të efiçencës së energjisë është një parakusht për ekspertizë shtesë dhe mundësi financimi për masat dhe projektet në fushën e efiçencës së energjisë në Shqipëri.</w:t>
      </w:r>
    </w:p>
    <w:p w14:paraId="6258DBA8" w14:textId="77777777" w:rsidR="00877F0D" w:rsidRPr="005208DC" w:rsidRDefault="00877F0D" w:rsidP="00857902">
      <w:pPr>
        <w:snapToGrid w:val="0"/>
        <w:jc w:val="both"/>
        <w:rPr>
          <w:rFonts w:ascii="Times New Roman" w:hAnsi="Times New Roman"/>
          <w:color w:val="0D0D0D" w:themeColor="text1" w:themeTint="F2"/>
          <w:lang w:val="sq-AL"/>
        </w:rPr>
      </w:pPr>
    </w:p>
    <w:p w14:paraId="53A1B788" w14:textId="05EFAA41" w:rsidR="00877F0D" w:rsidRPr="005208DC" w:rsidRDefault="00877F0D" w:rsidP="00857902">
      <w:pPr>
        <w:snapToGrid w:val="0"/>
        <w:jc w:val="both"/>
        <w:rPr>
          <w:rFonts w:asciiTheme="majorBidi" w:hAnsiTheme="majorBidi" w:cstheme="majorBidi"/>
          <w:color w:val="0D0D0D" w:themeColor="text1" w:themeTint="F2"/>
          <w:lang w:val="sq-AL"/>
        </w:rPr>
      </w:pPr>
      <w:r w:rsidRPr="005208DC">
        <w:rPr>
          <w:rFonts w:ascii="Times New Roman" w:eastAsia="Times New Roman" w:hAnsi="Times New Roman"/>
          <w:color w:val="0D0D0D" w:themeColor="text1" w:themeTint="F2"/>
          <w:spacing w:val="-1"/>
          <w:lang w:val="sq-AL"/>
        </w:rPr>
        <w:t>Metodologjia për EPC është e vendosur dhe aktualisht është në përdorim nga Auditimet e Energjisë të certifikuara nga AEE. Agjencia për Efiçiencë të Energjisë është duke i vlerësuar raportet e auditimit.</w:t>
      </w:r>
    </w:p>
    <w:p w14:paraId="7E0AB6D7" w14:textId="77777777" w:rsidR="00877F0D" w:rsidRPr="005208DC" w:rsidRDefault="00877F0D" w:rsidP="00857902">
      <w:pPr>
        <w:snapToGrid w:val="0"/>
        <w:rPr>
          <w:rFonts w:asciiTheme="majorBidi" w:hAnsiTheme="majorBidi" w:cstheme="majorBidi"/>
          <w:color w:val="0D0D0D" w:themeColor="text1" w:themeTint="F2"/>
          <w:lang w:val="sq-AL"/>
        </w:rPr>
      </w:pPr>
    </w:p>
    <w:p w14:paraId="3D58502C" w14:textId="7493D54B" w:rsidR="00080139" w:rsidRPr="005208DC" w:rsidRDefault="00B2062A" w:rsidP="00857902">
      <w:pPr>
        <w:pStyle w:val="Heading4"/>
        <w:numPr>
          <w:ilvl w:val="0"/>
          <w:numId w:val="66"/>
        </w:numPr>
        <w:snapToGrid w:val="0"/>
        <w:ind w:left="567" w:hanging="283"/>
        <w:rPr>
          <w:rFonts w:asciiTheme="majorBidi" w:hAnsiTheme="majorBidi" w:cstheme="majorBidi"/>
          <w:b w:val="0"/>
          <w:i/>
          <w:color w:val="0D0D0D" w:themeColor="text1" w:themeTint="F2"/>
          <w:sz w:val="24"/>
          <w:szCs w:val="24"/>
          <w:lang w:val="sq-AL"/>
        </w:rPr>
      </w:pPr>
      <w:r w:rsidRPr="005208DC">
        <w:rPr>
          <w:rFonts w:asciiTheme="majorBidi" w:hAnsiTheme="majorBidi" w:cstheme="majorBidi"/>
          <w:b w:val="0"/>
          <w:i/>
          <w:color w:val="0D0D0D" w:themeColor="text1" w:themeTint="F2"/>
          <w:sz w:val="24"/>
          <w:szCs w:val="24"/>
          <w:lang w:val="sq-AL"/>
        </w:rPr>
        <w:t>Masat e reformës</w:t>
      </w:r>
    </w:p>
    <w:p w14:paraId="000878FC" w14:textId="382BA251" w:rsidR="00080139" w:rsidRPr="005208DC" w:rsidRDefault="00B2062A" w:rsidP="00857902">
      <w:pPr>
        <w:pStyle w:val="Heading5"/>
        <w:snapToGrid w:val="0"/>
        <w:ind w:left="0"/>
        <w:rPr>
          <w:rFonts w:asciiTheme="majorBidi" w:hAnsiTheme="majorBidi" w:cstheme="majorBidi"/>
          <w:i w:val="0"/>
          <w:color w:val="0D0D0D" w:themeColor="text1" w:themeTint="F2"/>
          <w:sz w:val="24"/>
          <w:szCs w:val="24"/>
          <w:lang w:val="sq-AL"/>
        </w:rPr>
      </w:pPr>
      <w:r w:rsidRPr="005208DC">
        <w:rPr>
          <w:rFonts w:asciiTheme="majorBidi" w:hAnsiTheme="majorBidi" w:cstheme="majorBidi"/>
          <w:i w:val="0"/>
          <w:color w:val="0D0D0D" w:themeColor="text1" w:themeTint="F2"/>
          <w:sz w:val="24"/>
          <w:szCs w:val="24"/>
          <w:lang w:val="sq-AL"/>
        </w:rPr>
        <w:t>Masa e reformës</w:t>
      </w:r>
      <w:r w:rsidR="005358F8" w:rsidRPr="005208DC">
        <w:rPr>
          <w:rFonts w:asciiTheme="majorBidi" w:hAnsiTheme="majorBidi" w:cstheme="majorBidi"/>
          <w:i w:val="0"/>
          <w:color w:val="0D0D0D" w:themeColor="text1" w:themeTint="F2"/>
          <w:sz w:val="24"/>
          <w:szCs w:val="24"/>
          <w:lang w:val="sq-AL"/>
        </w:rPr>
        <w:t xml:space="preserve"> 13</w:t>
      </w:r>
      <w:r w:rsidR="00080139" w:rsidRPr="005208DC">
        <w:rPr>
          <w:rFonts w:asciiTheme="majorBidi" w:hAnsiTheme="majorBidi" w:cstheme="majorBidi"/>
          <w:i w:val="0"/>
          <w:color w:val="0D0D0D" w:themeColor="text1" w:themeTint="F2"/>
          <w:sz w:val="24"/>
          <w:szCs w:val="24"/>
          <w:lang w:val="sq-AL"/>
        </w:rPr>
        <w:t>: Liberaliz</w:t>
      </w:r>
      <w:r w:rsidR="002C5872" w:rsidRPr="005208DC">
        <w:rPr>
          <w:rFonts w:asciiTheme="majorBidi" w:hAnsiTheme="majorBidi" w:cstheme="majorBidi"/>
          <w:i w:val="0"/>
          <w:color w:val="0D0D0D" w:themeColor="text1" w:themeTint="F2"/>
          <w:sz w:val="24"/>
          <w:szCs w:val="24"/>
          <w:lang w:val="sq-AL"/>
        </w:rPr>
        <w:t>imi i tregut te energjisë</w:t>
      </w:r>
    </w:p>
    <w:p w14:paraId="60161C95" w14:textId="6BCF378C" w:rsidR="00080139" w:rsidRPr="005208DC" w:rsidRDefault="00B2062A" w:rsidP="00857902">
      <w:pPr>
        <w:pStyle w:val="Heading6"/>
        <w:numPr>
          <w:ilvl w:val="0"/>
          <w:numId w:val="67"/>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Përshkrimi i masës</w:t>
      </w:r>
    </w:p>
    <w:p w14:paraId="7885D22B" w14:textId="77777777" w:rsidR="00877F0D" w:rsidRPr="005208DC" w:rsidRDefault="00877F0D"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Zhvillimi i një tregu të organizuar të energjisë elektrike dhe integrimi i tregut shqiptar të energjisë elektrike me tregjet më të gjera rajonale të energjisë dhe në fund me tregun e brendshëm të energjisë në BE. Qëllimi është krijimi i një tregu që gjeneron, transmeton dhe konsumon energji elektrike në mënyrë efikase, si dhe një treg që çon në fitime më të larta, të organizuar sipas modelit të BE-së, i cili udhëhiqet nga parimet e transparencës, mosdiskriminimit dhe të qëndrueshëm në afatgjatë, bazuar në çmime konkurruese.</w:t>
      </w:r>
    </w:p>
    <w:p w14:paraId="40DCA499" w14:textId="77777777" w:rsidR="00877F0D" w:rsidRPr="005208DC" w:rsidRDefault="00877F0D" w:rsidP="00857902">
      <w:pPr>
        <w:rPr>
          <w:rFonts w:asciiTheme="majorBidi" w:hAnsiTheme="majorBidi" w:cstheme="majorBidi"/>
          <w:color w:val="0D0D0D" w:themeColor="text1" w:themeTint="F2"/>
          <w:lang w:val="sq-AL"/>
        </w:rPr>
      </w:pPr>
    </w:p>
    <w:p w14:paraId="6BA3477D" w14:textId="77777777" w:rsidR="00877F0D" w:rsidRPr="005208DC" w:rsidRDefault="00877F0D"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Liberalizimi i tregut të energjisë dhe paralelisht krijimi i bursës së energjisë janë dy projekte të integruara që ndihmojnë njëri-tjetrin. Për sa i përket krijimit të Bursës Energjitike Shqiptare, ndryshimet e bëra në vitin 2018 në ligjin e sektorit të energjisë elektrike vendosën një afat dhe kushte të reja për ngritjen e Bursës së Energjisë Elektrike. Ndërsa aktet nënligjore (Vendimi i Këshillit të Ministrave nr. 322, datë 15.05.2019 “Për krijimin dhe formën ligjore dhe strukturën e kapitalit të operatorit të tregut” dhe Vendimi i Këshillit të Ministrave nr. 609, datë 11.09.2019 “Për përcaktimin e kritereve. dhe procedurat për përzgjedhjen e aksionarëve në kapitalin e operatorit të tregut”) plotësuan bazën e nevojshme ligjore për ngritjen e operatorit të tregut në Shqipëri. Procedura e përzgjedhjes konkurruese të pjesëmarrësve në kapitalin e operatorit të tregut u pezullua për shkak të COVID – 19 dhe data 29 qershor 2020 ishte afati i ri për dorëzimin e propozimeve.</w:t>
      </w:r>
    </w:p>
    <w:p w14:paraId="71FA724E" w14:textId="77777777" w:rsidR="00877F0D" w:rsidRPr="005208DC" w:rsidRDefault="00877F0D" w:rsidP="00857902">
      <w:pPr>
        <w:jc w:val="both"/>
        <w:rPr>
          <w:rFonts w:asciiTheme="majorBidi" w:hAnsiTheme="majorBidi" w:cstheme="majorBidi"/>
          <w:color w:val="0D0D0D" w:themeColor="text1" w:themeTint="F2"/>
          <w:lang w:val="sq-AL"/>
        </w:rPr>
      </w:pPr>
    </w:p>
    <w:p w14:paraId="300009C1" w14:textId="77777777" w:rsidR="00877F0D" w:rsidRPr="005208DC" w:rsidRDefault="00877F0D"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Në datën 23.10.2020 operatorët e sistemit të transmetimit të Shqipërisë dhe Kosovës*, si aksionarë themelues, themeluan kompaninë ALPEX, e cila do të punojë për realizimin e bashkimit të tregut në ditët e ardhshme. Kompania shqiptare e shkëmbimit të energjisë ALPEX, e cila është përgjegjëse për ngritjen e këtyre tregjeve si në Shqipëri ashtu edhe në Kosovë*, aktualisht është duke tenderuar për një ofrues shërbimi të platformave të tregtimit elektronik dhe shërbimeve përkatëse. Pas dy tentativave të pasuksesshme, ALPEX ka nisur një tender të tretë i cili është pezulluar për shkak të një ankese. Tregu i ditës në Shqipëri duhet të jetë funksional pas nëntë muajsh dhe lidhja me Kosovën* duhet të fillojë 11 muaj pas nënshkrimit të kontratës me ofertuesin e suksesshëm.</w:t>
      </w:r>
    </w:p>
    <w:p w14:paraId="0C830EDA" w14:textId="77777777" w:rsidR="00877F0D" w:rsidRPr="005208DC" w:rsidRDefault="00877F0D" w:rsidP="00857902">
      <w:pPr>
        <w:jc w:val="both"/>
        <w:rPr>
          <w:rFonts w:asciiTheme="majorBidi" w:hAnsiTheme="majorBidi" w:cstheme="majorBidi"/>
          <w:color w:val="0D0D0D" w:themeColor="text1" w:themeTint="F2"/>
          <w:lang w:val="sq-AL"/>
        </w:rPr>
      </w:pPr>
    </w:p>
    <w:p w14:paraId="1ADD7D97" w14:textId="77777777" w:rsidR="00877F0D" w:rsidRPr="005208DC" w:rsidRDefault="00877F0D"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Lidhur me hapjen e tregut, me Urdhrin e Ministrit të Infrastrukturës dhe Energjisë nr. 28, datë 18.01.2021 “Për miratimin e udhërrëfyesit për hapjen e tregut dhe çrregullimin e çmimeve të energjisë elektrike”, u miratua udhërrëfyesi për hapjen e tregut dhe procedurat e derregullimit, i cili parashikon që duke filluar nga Nga 1 janari 2021 të gjithë konsumatorët e kyçur në 35 kV dhe një pjesë e konsumatorëve të lidhur në 20 kV do të furnizohen përmes tregut dhe çmimit të çrregulluar (faza 1) dhe duke filluar nga 1 janari 2022 të gjithë konsumatorët përveç 0.4 kV do të furnizohen me çmime të çrregulluara. Hyrja në tregun e parregulluar të konsumatorëve të energjisë elektrike është e lidhur ngushtë me cilësinë e shërbimit të ofruar nga OSSH S.A si dhe me treguesit e lejuar të performancës. Një nga elementët kryesorë për kontrollin e monitorimit të cilësisë së tensionit dhe treguesve të performancës së rrjetit të shpërndarjes së energjisë elektrike është vendosja e matësve inteligjentë tek klientët si detyrim i OSSH SA në përputhje me nenin 78 “Sistemet inteligjente të matjes” të ligjit nr.43/ 2015 “Për sektorin e energjisë elektrike” i ndryshuar. Sipas këtij neni, kërkohen investime të konsiderueshme si në sistemet e informacionit ashtu edhe në pajisjet terminale. Ndonëse gjatë viteve 2019 - 2020 janë realizuar dy projekte pilot për matje inteligjente, me rezultate premtuese dhe pozitive, sfidat me të cilat është përballur kompania në vitet e fundit duke filluar nga situata e pafavorshme hidrologjike, pasojat e tërmetit 2019 dhe ndikimi i Covid 2019. , kanë detyruar kompaninë të devijojë dhe të reduktojë investimet për të siguruar energji për të gjithë përdoruesit.</w:t>
      </w:r>
    </w:p>
    <w:p w14:paraId="3E27CCC4" w14:textId="77777777" w:rsidR="00877F0D" w:rsidRPr="005208DC" w:rsidRDefault="00877F0D"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Linja e interkonjeksionit 400 kV ndërmjet Shqipërisë dhe Kosovës përfundoi më 28.06.2016 dhe më 20.04.2020, u përmbyll me sukses marrëveshja e re për kyçje ndërmjet operatorit të sistemit të transmisionit të Kosovës (OST) KOSTT dhe ENTSO-E nga Grupi Rajonal i Evropës Kontinentale (RGCE). ). Pas votimit, e më pas nënshkrimit, KOSTT dhe Republika e Kosovës fitojnë pavarësinë energjetike nga Serbia dhe Operacionin e Pavarur si Zonë Rregullatore, në kuadër të Bllokut Rregullator Kosovë – Shqipëri. Më 14.12.2020, Marrëveshja e Kyçjes ndërmjet KOSTT-it dhe operatorëve të sistemit të transmisionit (OST) nga Evropa Kontinentale ka hyrë në fuqi duke shënuar ditën e parë të funksionimit të KOSTT-it si zonë kontrolli brenda bllokut të përbashkët të kontrollit me OST-në Shqiptare, OST. Përveç kësaj, linja e re 400 kV ndërmjet Kosovës dhe Shqipërisë tani është në funksionim duke kontribuar në shkëmbimet e mëtejshme ndërkufitare.</w:t>
      </w:r>
    </w:p>
    <w:p w14:paraId="17E75CEA" w14:textId="77777777" w:rsidR="00877F0D" w:rsidRPr="005208DC" w:rsidRDefault="00877F0D" w:rsidP="00857902">
      <w:pPr>
        <w:jc w:val="both"/>
        <w:rPr>
          <w:rFonts w:ascii="Times New Roman" w:hAnsi="Times New Roman"/>
          <w:color w:val="0D0D0D" w:themeColor="text1" w:themeTint="F2"/>
          <w:lang w:val="sq-AL"/>
        </w:rPr>
      </w:pPr>
    </w:p>
    <w:p w14:paraId="1E407F6D" w14:textId="77777777" w:rsidR="00877F0D" w:rsidRPr="005208DC" w:rsidRDefault="00877F0D"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Ndërtimi i Hidrocentralit të Skavicës është një hap i rëndësishëm drejt rritjes së sigurisë energjetike, reduktimit të importit të energjisë elektrike dhe rritjes së efiçencës dhe prodhimit të energjisë nga hidrocentralet e tjerë të kaskadës së lumit Drin. Qeveria shqiptare do të ndërtojë me financim 100% shtetëror HEC Skavica, duke përfunduar përfundimisht skemën e shfrytëzimit të kaskadës së lumit Drin.</w:t>
      </w:r>
    </w:p>
    <w:p w14:paraId="2B65355E" w14:textId="77777777" w:rsidR="00877F0D" w:rsidRPr="005208DC" w:rsidRDefault="00877F0D" w:rsidP="00857902">
      <w:pPr>
        <w:jc w:val="both"/>
        <w:rPr>
          <w:rFonts w:asciiTheme="majorBidi" w:hAnsiTheme="majorBidi" w:cstheme="majorBidi"/>
          <w:color w:val="0D0D0D" w:themeColor="text1" w:themeTint="F2"/>
          <w:lang w:val="sq-AL"/>
        </w:rPr>
      </w:pPr>
    </w:p>
    <w:p w14:paraId="64BD1689" w14:textId="77777777" w:rsidR="00877F0D" w:rsidRPr="005208DC" w:rsidRDefault="00877F0D"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Hidrocentrali i Skavicës, ashtu si tre hidrocentralet e tjerë në kaskadën e lumit Drin, do të operohet nga Korporata Elektroenergjetike Shqiptare (KESH).</w:t>
      </w:r>
    </w:p>
    <w:p w14:paraId="4516793C" w14:textId="77777777" w:rsidR="00877F0D" w:rsidRPr="005208DC" w:rsidRDefault="00877F0D" w:rsidP="00857902">
      <w:pPr>
        <w:snapToGrid w:val="0"/>
        <w:jc w:val="both"/>
        <w:rPr>
          <w:rFonts w:asciiTheme="majorBidi" w:hAnsiTheme="majorBidi" w:cstheme="majorBidi"/>
          <w:color w:val="0D0D0D" w:themeColor="text1" w:themeTint="F2"/>
          <w:lang w:val="sq-AL"/>
        </w:rPr>
      </w:pPr>
    </w:p>
    <w:p w14:paraId="0A35C91E" w14:textId="77777777" w:rsidR="00877F0D" w:rsidRPr="005208DC" w:rsidRDefault="00877F0D"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Në kuadër të Memorandumit të Bashkëpunimit Ekonomik për Projekte dhe Blerje ndërmjet Qeverisë Shqiptare dhe Qeverisë Amerikane, Ministri i Infrastrukturës dhe Energjisë dhe përfaqësuesi i Bechtel, nënshkruan Memorandumin e Mirëkuptimit për Bashkëpunimin në lidhje me Projektin e HEC Skavica.</w:t>
      </w:r>
    </w:p>
    <w:p w14:paraId="4C7140F7" w14:textId="77777777" w:rsidR="00877F0D" w:rsidRPr="005208DC" w:rsidRDefault="00877F0D" w:rsidP="00857902">
      <w:pPr>
        <w:snapToGrid w:val="0"/>
        <w:jc w:val="both"/>
        <w:rPr>
          <w:rFonts w:asciiTheme="majorBidi" w:hAnsiTheme="majorBidi" w:cstheme="majorBidi"/>
          <w:color w:val="0D0D0D" w:themeColor="text1" w:themeTint="F2"/>
          <w:lang w:val="sq-AL"/>
        </w:rPr>
      </w:pPr>
    </w:p>
    <w:p w14:paraId="2FD61EFF" w14:textId="77777777" w:rsidR="00877F0D" w:rsidRPr="005208DC" w:rsidRDefault="00877F0D"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Me ligjin nr. 38/2021, datë 23.03.2021 “Për përcaktimin e procedurës së veçantë për negocimin dhe ekzekutimin e kontratës me shoqërinë “Bechtel International, Inc”, për projektimin dhe ndërtimin e Hidrocentralit të Skavicës” parashikohet procedura e veçantë. për negocimin e ekzekutimit dhe miratimin e kontratës me “Bechtel International, Inc” ose filialet e saj për projektimin dhe ndërtimin e Hidrocentralit të Skavicës bazuar në shprehjen paraprake të interesit të depozituar pranë Ministrisë së Infrastrukturës dhe Energjisë.</w:t>
      </w:r>
    </w:p>
    <w:p w14:paraId="446FD941" w14:textId="77777777" w:rsidR="00877F0D" w:rsidRPr="005208DC" w:rsidRDefault="00877F0D" w:rsidP="00857902">
      <w:pPr>
        <w:snapToGrid w:val="0"/>
        <w:jc w:val="both"/>
        <w:rPr>
          <w:rFonts w:asciiTheme="majorBidi" w:hAnsiTheme="majorBidi" w:cstheme="majorBidi"/>
          <w:color w:val="0D0D0D" w:themeColor="text1" w:themeTint="F2"/>
          <w:lang w:val="sq-AL"/>
        </w:rPr>
      </w:pPr>
    </w:p>
    <w:p w14:paraId="12B99CE0" w14:textId="11EE6A6F" w:rsidR="00877F0D" w:rsidRPr="005208DC" w:rsidRDefault="00877F0D"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Kontrata me Bechtel është e ndarë në dy faza. Kontrata e fazës së parë, miratuar me vendim të Këshillit të Ministrave nr. 485, datë 30.07.2021, përfshin aktivitete paraprake të cilat do t'i mundësojnë Bechtel-it të paraqesë një propozim pranë Autoritetit Kontraktor për kontratën e fazës së dytë dhe do të ndihmojë Autoritetin Kontraktor dhe Këshilli i Ministrave të Shqipërisë të sigurojë mbështetjen financiare për projektin. Kontrata e fazës së dytë konsiston në projektimin dhe ndërtimin e hidrocentralit të Scavicës.</w:t>
      </w:r>
    </w:p>
    <w:p w14:paraId="75C3EDC7" w14:textId="77777777" w:rsidR="00877F0D" w:rsidRPr="005208DC" w:rsidRDefault="00877F0D" w:rsidP="00857902">
      <w:pPr>
        <w:snapToGrid w:val="0"/>
        <w:rPr>
          <w:rFonts w:asciiTheme="majorBidi" w:hAnsiTheme="majorBidi" w:cstheme="majorBidi"/>
          <w:color w:val="0D0D0D" w:themeColor="text1" w:themeTint="F2"/>
          <w:lang w:val="sq-AL"/>
        </w:rPr>
      </w:pPr>
    </w:p>
    <w:p w14:paraId="734A13E1" w14:textId="03C01669" w:rsidR="00080139" w:rsidRPr="005208DC" w:rsidRDefault="00B2062A" w:rsidP="00857902">
      <w:pPr>
        <w:pStyle w:val="ListParagraph"/>
        <w:numPr>
          <w:ilvl w:val="0"/>
          <w:numId w:val="68"/>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080139" w:rsidRPr="005208DC">
        <w:rPr>
          <w:rFonts w:asciiTheme="majorBidi" w:hAnsiTheme="majorBidi" w:cstheme="majorBidi"/>
          <w:b/>
          <w:color w:val="0D0D0D" w:themeColor="text1" w:themeTint="F2"/>
          <w:sz w:val="24"/>
          <w:szCs w:val="24"/>
          <w:lang w:val="sq-AL"/>
        </w:rPr>
        <w:t xml:space="preserve"> 2022</w:t>
      </w:r>
    </w:p>
    <w:p w14:paraId="564512A9" w14:textId="5BFBAF2E" w:rsidR="00877F0D" w:rsidRPr="005208DC" w:rsidRDefault="00877F0D" w:rsidP="00857902">
      <w:pPr>
        <w:pStyle w:val="ListParagraph"/>
        <w:numPr>
          <w:ilvl w:val="0"/>
          <w:numId w:val="69"/>
        </w:numPr>
        <w:snapToGrid w:val="0"/>
        <w:rPr>
          <w:rFonts w:asciiTheme="majorBidi" w:eastAsia="Times New Roman" w:hAnsiTheme="majorBidi" w:cstheme="majorBidi"/>
          <w:color w:val="0D0D0D" w:themeColor="text1" w:themeTint="F2"/>
          <w:spacing w:val="-1"/>
          <w:sz w:val="24"/>
          <w:szCs w:val="24"/>
          <w:lang w:val="sq-AL"/>
        </w:rPr>
      </w:pPr>
      <w:r w:rsidRPr="005208DC">
        <w:rPr>
          <w:rFonts w:asciiTheme="majorBidi" w:eastAsia="Times New Roman" w:hAnsiTheme="majorBidi" w:cstheme="majorBidi"/>
          <w:color w:val="0D0D0D" w:themeColor="text1" w:themeTint="F2"/>
          <w:spacing w:val="-1"/>
          <w:sz w:val="24"/>
          <w:szCs w:val="24"/>
          <w:lang w:val="sq-AL"/>
        </w:rPr>
        <w:t>Liberalizimi i mëtejshëm i tregut të energjisë elektrike (konsumatorët në tregun e lirë)</w:t>
      </w:r>
    </w:p>
    <w:p w14:paraId="32E9CACA" w14:textId="77777777" w:rsidR="00877F0D" w:rsidRPr="005208DC" w:rsidRDefault="00877F0D" w:rsidP="00857902">
      <w:pPr>
        <w:pStyle w:val="ListParagraph"/>
        <w:numPr>
          <w:ilvl w:val="0"/>
          <w:numId w:val="69"/>
        </w:numPr>
        <w:snapToGrid w:val="0"/>
        <w:rPr>
          <w:rFonts w:asciiTheme="majorBidi" w:eastAsia="Times New Roman" w:hAnsiTheme="majorBidi" w:cstheme="majorBidi"/>
          <w:color w:val="0D0D0D" w:themeColor="text1" w:themeTint="F2"/>
          <w:spacing w:val="-1"/>
          <w:sz w:val="24"/>
          <w:szCs w:val="24"/>
          <w:lang w:val="sq-AL"/>
        </w:rPr>
      </w:pPr>
      <w:r w:rsidRPr="005208DC">
        <w:rPr>
          <w:rFonts w:asciiTheme="majorBidi" w:eastAsia="Times New Roman" w:hAnsiTheme="majorBidi" w:cstheme="majorBidi"/>
          <w:color w:val="0D0D0D" w:themeColor="text1" w:themeTint="F2"/>
          <w:spacing w:val="-1"/>
          <w:sz w:val="24"/>
          <w:szCs w:val="24"/>
          <w:lang w:val="sq-AL"/>
        </w:rPr>
        <w:t>a. instalimi i matësve inteligjentë në klientë i cili është ende në proces nga OSSH</w:t>
      </w:r>
    </w:p>
    <w:p w14:paraId="4E1588B7" w14:textId="77777777" w:rsidR="00877F0D" w:rsidRPr="005208DC" w:rsidRDefault="00877F0D" w:rsidP="00857902">
      <w:pPr>
        <w:pStyle w:val="ListParagraph"/>
        <w:numPr>
          <w:ilvl w:val="0"/>
          <w:numId w:val="69"/>
        </w:numPr>
        <w:snapToGrid w:val="0"/>
        <w:rPr>
          <w:rFonts w:asciiTheme="majorBidi" w:eastAsia="Times New Roman" w:hAnsiTheme="majorBidi" w:cstheme="majorBidi"/>
          <w:color w:val="0D0D0D" w:themeColor="text1" w:themeTint="F2"/>
          <w:spacing w:val="-1"/>
          <w:sz w:val="24"/>
          <w:szCs w:val="24"/>
          <w:lang w:val="sq-AL"/>
        </w:rPr>
      </w:pPr>
      <w:r w:rsidRPr="005208DC">
        <w:rPr>
          <w:rFonts w:asciiTheme="majorBidi" w:eastAsia="Times New Roman" w:hAnsiTheme="majorBidi" w:cstheme="majorBidi"/>
          <w:color w:val="0D0D0D" w:themeColor="text1" w:themeTint="F2"/>
          <w:spacing w:val="-1"/>
          <w:sz w:val="24"/>
          <w:szCs w:val="24"/>
          <w:lang w:val="sq-AL"/>
        </w:rPr>
        <w:t>b. përgatitja e rrjetit 20 kV duke e kthyer në rrjet SMART, zëvendësimi i rrjeteve ajrore 6/10 kV jashtë standardeve teknike dhe zëvendësimi i tyre me rrjet kabllor me gjatësi dhe seksione në përputhje me këto standarde.</w:t>
      </w:r>
    </w:p>
    <w:p w14:paraId="2B2AAC73" w14:textId="77777777" w:rsidR="00877F0D" w:rsidRPr="005208DC" w:rsidRDefault="00877F0D" w:rsidP="00857902">
      <w:pPr>
        <w:pStyle w:val="ListParagraph"/>
        <w:numPr>
          <w:ilvl w:val="0"/>
          <w:numId w:val="69"/>
        </w:numPr>
        <w:snapToGrid w:val="0"/>
        <w:rPr>
          <w:rFonts w:asciiTheme="majorBidi" w:eastAsia="Times New Roman" w:hAnsiTheme="majorBidi" w:cstheme="majorBidi"/>
          <w:color w:val="0D0D0D" w:themeColor="text1" w:themeTint="F2"/>
          <w:spacing w:val="-1"/>
          <w:sz w:val="24"/>
          <w:szCs w:val="24"/>
          <w:lang w:val="sq-AL"/>
        </w:rPr>
      </w:pPr>
      <w:r w:rsidRPr="005208DC">
        <w:rPr>
          <w:rFonts w:asciiTheme="majorBidi" w:eastAsia="Times New Roman" w:hAnsiTheme="majorBidi" w:cstheme="majorBidi"/>
          <w:color w:val="0D0D0D" w:themeColor="text1" w:themeTint="F2"/>
          <w:spacing w:val="-1"/>
          <w:sz w:val="24"/>
          <w:szCs w:val="24"/>
          <w:lang w:val="sq-AL"/>
        </w:rPr>
        <w:t>c. Planifikimi i rrjeteve të energjisë elektrike në formë aktive (ku energjia ka dy drejtime) që vjen si rezultat i injektimit të energjisë nga përdoruesit/prodhuesit në rrjetin e shpërndarjes. Planifikimi i këtyre investimeve sjell si pasojë kërkesën për zbatimin e treguesve të cilësisë dhe për rrjedhojë hyrjen në një treg të parregulluar. Afatet për zbatimin e treguesve të cilësisë nuk lidhen me afatet e hyrjes së parregulluar në treg të klientëve jofamiljarë, por mund të përcaktojnë një tendencë daljeje në mënyrë të përshkallëzuar sipas zonave me ngarkesë/konsum më të lartë.</w:t>
      </w:r>
    </w:p>
    <w:p w14:paraId="1F2674B2" w14:textId="77777777" w:rsidR="00877F0D" w:rsidRPr="005208DC" w:rsidRDefault="00877F0D" w:rsidP="00857902">
      <w:pPr>
        <w:pStyle w:val="ListParagraph"/>
        <w:numPr>
          <w:ilvl w:val="0"/>
          <w:numId w:val="69"/>
        </w:numPr>
        <w:snapToGrid w:val="0"/>
        <w:rPr>
          <w:rFonts w:asciiTheme="majorBidi" w:eastAsia="Times New Roman" w:hAnsiTheme="majorBidi" w:cstheme="majorBidi"/>
          <w:color w:val="0D0D0D" w:themeColor="text1" w:themeTint="F2"/>
          <w:spacing w:val="-1"/>
          <w:sz w:val="24"/>
          <w:szCs w:val="24"/>
          <w:lang w:val="sq-AL"/>
        </w:rPr>
      </w:pPr>
      <w:r w:rsidRPr="005208DC">
        <w:rPr>
          <w:rFonts w:asciiTheme="majorBidi" w:eastAsia="Times New Roman" w:hAnsiTheme="majorBidi" w:cstheme="majorBidi"/>
          <w:color w:val="0D0D0D" w:themeColor="text1" w:themeTint="F2"/>
          <w:spacing w:val="-1"/>
          <w:sz w:val="24"/>
          <w:szCs w:val="24"/>
          <w:lang w:val="sq-AL"/>
        </w:rPr>
        <w:t>- Funksionimi i Bursës Shqiptare të Energjisë Elektrike – Siguria e Furnizimit ALPEX.</w:t>
      </w:r>
    </w:p>
    <w:p w14:paraId="21579DFE" w14:textId="77777777" w:rsidR="00877F0D" w:rsidRPr="005208DC" w:rsidRDefault="00877F0D" w:rsidP="00857902">
      <w:pPr>
        <w:pStyle w:val="ListParagraph"/>
        <w:numPr>
          <w:ilvl w:val="0"/>
          <w:numId w:val="69"/>
        </w:numPr>
        <w:snapToGrid w:val="0"/>
        <w:rPr>
          <w:rFonts w:asciiTheme="majorBidi" w:eastAsia="Times New Roman" w:hAnsiTheme="majorBidi" w:cstheme="majorBidi"/>
          <w:color w:val="0D0D0D" w:themeColor="text1" w:themeTint="F2"/>
          <w:spacing w:val="-1"/>
          <w:sz w:val="24"/>
          <w:szCs w:val="24"/>
          <w:lang w:val="sq-AL"/>
        </w:rPr>
      </w:pPr>
      <w:r w:rsidRPr="005208DC">
        <w:rPr>
          <w:rFonts w:asciiTheme="majorBidi" w:eastAsia="Times New Roman" w:hAnsiTheme="majorBidi" w:cstheme="majorBidi"/>
          <w:color w:val="0D0D0D" w:themeColor="text1" w:themeTint="F2"/>
          <w:spacing w:val="-1"/>
          <w:sz w:val="24"/>
          <w:szCs w:val="24"/>
          <w:lang w:val="sq-AL"/>
        </w:rPr>
        <w:t>- Zbatimi i projektit Elbasan (Shqiperi) - Manastir (RNM) Linja e interkonjeksionit 400 kV: Loti 1 &amp; Loti 2.</w:t>
      </w:r>
    </w:p>
    <w:p w14:paraId="3954DE22" w14:textId="77777777" w:rsidR="00877F0D" w:rsidRPr="005208DC" w:rsidRDefault="00877F0D" w:rsidP="00857902">
      <w:pPr>
        <w:pStyle w:val="ListParagraph"/>
        <w:numPr>
          <w:ilvl w:val="0"/>
          <w:numId w:val="69"/>
        </w:numPr>
        <w:snapToGrid w:val="0"/>
        <w:rPr>
          <w:rFonts w:asciiTheme="majorBidi" w:eastAsia="Times New Roman" w:hAnsiTheme="majorBidi" w:cstheme="majorBidi"/>
          <w:color w:val="0D0D0D" w:themeColor="text1" w:themeTint="F2"/>
          <w:spacing w:val="-1"/>
          <w:sz w:val="24"/>
          <w:szCs w:val="24"/>
          <w:lang w:val="sq-AL"/>
        </w:rPr>
      </w:pPr>
      <w:r w:rsidRPr="005208DC">
        <w:rPr>
          <w:rFonts w:asciiTheme="majorBidi" w:eastAsia="Times New Roman" w:hAnsiTheme="majorBidi" w:cstheme="majorBidi"/>
          <w:color w:val="0D0D0D" w:themeColor="text1" w:themeTint="F2"/>
          <w:spacing w:val="-1"/>
          <w:sz w:val="24"/>
          <w:szCs w:val="24"/>
          <w:lang w:val="sq-AL"/>
        </w:rPr>
        <w:t>- Projekti Hidroenergjetik i Skavicës.</w:t>
      </w:r>
    </w:p>
    <w:p w14:paraId="07DA956C" w14:textId="77777777" w:rsidR="00877F0D" w:rsidRPr="005208DC" w:rsidRDefault="00877F0D" w:rsidP="00857902">
      <w:pPr>
        <w:pStyle w:val="ListParagraph"/>
        <w:numPr>
          <w:ilvl w:val="0"/>
          <w:numId w:val="69"/>
        </w:numPr>
        <w:snapToGrid w:val="0"/>
        <w:rPr>
          <w:rFonts w:asciiTheme="majorBidi" w:eastAsia="Times New Roman" w:hAnsiTheme="majorBidi" w:cstheme="majorBidi"/>
          <w:color w:val="0D0D0D" w:themeColor="text1" w:themeTint="F2"/>
          <w:spacing w:val="-1"/>
          <w:sz w:val="24"/>
          <w:szCs w:val="24"/>
          <w:lang w:val="sq-AL"/>
        </w:rPr>
      </w:pPr>
      <w:r w:rsidRPr="005208DC">
        <w:rPr>
          <w:rFonts w:asciiTheme="majorBidi" w:eastAsia="Times New Roman" w:hAnsiTheme="majorBidi" w:cstheme="majorBidi"/>
          <w:color w:val="0D0D0D" w:themeColor="text1" w:themeTint="F2"/>
          <w:spacing w:val="-1"/>
          <w:sz w:val="24"/>
          <w:szCs w:val="24"/>
          <w:lang w:val="sq-AL"/>
        </w:rPr>
        <w:t>- Reduktimi i mëtejshëm i humbjeve në shpërndarje.</w:t>
      </w:r>
    </w:p>
    <w:p w14:paraId="0275D34F" w14:textId="67A30641" w:rsidR="00877F0D" w:rsidRPr="005208DC" w:rsidRDefault="00877F0D" w:rsidP="00857902">
      <w:pPr>
        <w:pStyle w:val="ListParagraph"/>
        <w:numPr>
          <w:ilvl w:val="0"/>
          <w:numId w:val="69"/>
        </w:numPr>
        <w:jc w:val="both"/>
        <w:rPr>
          <w:rFonts w:asciiTheme="majorBidi" w:hAnsiTheme="majorBidi" w:cstheme="majorBidi"/>
          <w:b/>
          <w:color w:val="0D0D0D" w:themeColor="text1" w:themeTint="F2"/>
          <w:sz w:val="24"/>
          <w:szCs w:val="24"/>
          <w:lang w:val="sq-AL"/>
        </w:rPr>
      </w:pPr>
      <w:r w:rsidRPr="005208DC">
        <w:rPr>
          <w:rFonts w:asciiTheme="majorBidi" w:eastAsia="Times New Roman" w:hAnsiTheme="majorBidi" w:cstheme="majorBidi"/>
          <w:color w:val="0D0D0D" w:themeColor="text1" w:themeTint="F2"/>
          <w:spacing w:val="-1"/>
          <w:sz w:val="24"/>
          <w:szCs w:val="24"/>
          <w:lang w:val="sq-AL"/>
        </w:rPr>
        <w:t>- Rritje e mëtejshme e normave të arkëtimit të faturave.</w:t>
      </w:r>
    </w:p>
    <w:p w14:paraId="497298AE" w14:textId="57F6EA76" w:rsidR="00080139" w:rsidRPr="005208DC" w:rsidRDefault="00B2062A" w:rsidP="00857902">
      <w:pPr>
        <w:pStyle w:val="ListParagraph"/>
        <w:numPr>
          <w:ilvl w:val="0"/>
          <w:numId w:val="68"/>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080139" w:rsidRPr="005208DC">
        <w:rPr>
          <w:rFonts w:asciiTheme="majorBidi" w:hAnsiTheme="majorBidi" w:cstheme="majorBidi"/>
          <w:b/>
          <w:color w:val="0D0D0D" w:themeColor="text1" w:themeTint="F2"/>
          <w:sz w:val="24"/>
          <w:szCs w:val="24"/>
          <w:lang w:val="sq-AL"/>
        </w:rPr>
        <w:t xml:space="preserve"> 2023</w:t>
      </w:r>
    </w:p>
    <w:p w14:paraId="7C01404F" w14:textId="77777777" w:rsidR="00877F0D" w:rsidRPr="005208DC" w:rsidRDefault="00877F0D" w:rsidP="00857902">
      <w:pPr>
        <w:pStyle w:val="ListParagraph"/>
        <w:numPr>
          <w:ilvl w:val="0"/>
          <w:numId w:val="69"/>
        </w:numPr>
        <w:jc w:val="both"/>
        <w:rPr>
          <w:rFonts w:asciiTheme="majorBidi" w:eastAsia="Times New Roman" w:hAnsiTheme="majorBidi" w:cstheme="majorBidi"/>
          <w:color w:val="0D0D0D" w:themeColor="text1" w:themeTint="F2"/>
          <w:spacing w:val="-1"/>
          <w:sz w:val="24"/>
          <w:szCs w:val="24"/>
          <w:lang w:val="sq-AL"/>
        </w:rPr>
      </w:pPr>
      <w:r w:rsidRPr="005208DC">
        <w:rPr>
          <w:rFonts w:asciiTheme="majorBidi" w:eastAsia="Times New Roman" w:hAnsiTheme="majorBidi" w:cstheme="majorBidi"/>
          <w:color w:val="0D0D0D" w:themeColor="text1" w:themeTint="F2"/>
          <w:spacing w:val="-1"/>
          <w:sz w:val="24"/>
          <w:szCs w:val="24"/>
          <w:lang w:val="sq-AL"/>
        </w:rPr>
        <w:t>Liberalizimi i mëtejshëm i tregut të energjisë elektrike (konsumatorët në tregun e lirë)</w:t>
      </w:r>
    </w:p>
    <w:p w14:paraId="570D0EE2" w14:textId="77777777" w:rsidR="00877F0D" w:rsidRPr="005208DC" w:rsidRDefault="00877F0D" w:rsidP="00857902">
      <w:pPr>
        <w:pStyle w:val="ListParagraph"/>
        <w:numPr>
          <w:ilvl w:val="0"/>
          <w:numId w:val="69"/>
        </w:numPr>
        <w:jc w:val="both"/>
        <w:rPr>
          <w:rFonts w:asciiTheme="majorBidi" w:eastAsia="Times New Roman" w:hAnsiTheme="majorBidi" w:cstheme="majorBidi"/>
          <w:color w:val="0D0D0D" w:themeColor="text1" w:themeTint="F2"/>
          <w:spacing w:val="-1"/>
          <w:sz w:val="24"/>
          <w:szCs w:val="24"/>
          <w:lang w:val="sq-AL"/>
        </w:rPr>
      </w:pPr>
      <w:r w:rsidRPr="005208DC">
        <w:rPr>
          <w:rFonts w:asciiTheme="majorBidi" w:eastAsia="Times New Roman" w:hAnsiTheme="majorBidi" w:cstheme="majorBidi"/>
          <w:color w:val="0D0D0D" w:themeColor="text1" w:themeTint="F2"/>
          <w:spacing w:val="-1"/>
          <w:sz w:val="24"/>
          <w:szCs w:val="24"/>
          <w:lang w:val="sq-AL"/>
        </w:rPr>
        <w:t>Zbatimi i projektit Elbasan (Shqipëri) - Manastir (RNM) Linja e interkonjeksionit 400 kV: Loti 1 &amp; Loti 2.</w:t>
      </w:r>
    </w:p>
    <w:p w14:paraId="2B00DB6E" w14:textId="77777777" w:rsidR="00877F0D" w:rsidRPr="005208DC" w:rsidRDefault="00877F0D" w:rsidP="00857902">
      <w:pPr>
        <w:pStyle w:val="ListParagraph"/>
        <w:numPr>
          <w:ilvl w:val="0"/>
          <w:numId w:val="69"/>
        </w:numPr>
        <w:jc w:val="both"/>
        <w:rPr>
          <w:rFonts w:asciiTheme="majorBidi" w:eastAsia="Times New Roman" w:hAnsiTheme="majorBidi" w:cstheme="majorBidi"/>
          <w:color w:val="0D0D0D" w:themeColor="text1" w:themeTint="F2"/>
          <w:spacing w:val="-1"/>
          <w:sz w:val="24"/>
          <w:szCs w:val="24"/>
          <w:lang w:val="sq-AL"/>
        </w:rPr>
      </w:pPr>
      <w:r w:rsidRPr="005208DC">
        <w:rPr>
          <w:rFonts w:asciiTheme="majorBidi" w:eastAsia="Times New Roman" w:hAnsiTheme="majorBidi" w:cstheme="majorBidi"/>
          <w:color w:val="0D0D0D" w:themeColor="text1" w:themeTint="F2"/>
          <w:spacing w:val="-1"/>
          <w:sz w:val="24"/>
          <w:szCs w:val="24"/>
          <w:lang w:val="sq-AL"/>
        </w:rPr>
        <w:t>Projekti Hidroenergjetik i Skavicës.</w:t>
      </w:r>
    </w:p>
    <w:p w14:paraId="2AA5012F" w14:textId="77777777" w:rsidR="00877F0D" w:rsidRPr="005208DC" w:rsidRDefault="00877F0D" w:rsidP="00857902">
      <w:pPr>
        <w:pStyle w:val="ListParagraph"/>
        <w:numPr>
          <w:ilvl w:val="0"/>
          <w:numId w:val="69"/>
        </w:numPr>
        <w:jc w:val="both"/>
        <w:rPr>
          <w:rFonts w:asciiTheme="majorBidi" w:eastAsia="Times New Roman" w:hAnsiTheme="majorBidi" w:cstheme="majorBidi"/>
          <w:color w:val="0D0D0D" w:themeColor="text1" w:themeTint="F2"/>
          <w:spacing w:val="-1"/>
          <w:sz w:val="24"/>
          <w:szCs w:val="24"/>
          <w:lang w:val="sq-AL"/>
        </w:rPr>
      </w:pPr>
      <w:r w:rsidRPr="005208DC">
        <w:rPr>
          <w:rFonts w:asciiTheme="majorBidi" w:eastAsia="Times New Roman" w:hAnsiTheme="majorBidi" w:cstheme="majorBidi"/>
          <w:color w:val="0D0D0D" w:themeColor="text1" w:themeTint="F2"/>
          <w:spacing w:val="-1"/>
          <w:sz w:val="24"/>
          <w:szCs w:val="24"/>
          <w:lang w:val="sq-AL"/>
        </w:rPr>
        <w:t>Reduktimi i mëtejshëm i humbjeve në shpërndarje.</w:t>
      </w:r>
    </w:p>
    <w:p w14:paraId="5222F319" w14:textId="172B2F1C" w:rsidR="00877F0D" w:rsidRPr="005208DC" w:rsidRDefault="00877F0D" w:rsidP="00857902">
      <w:pPr>
        <w:pStyle w:val="ListParagraph"/>
        <w:numPr>
          <w:ilvl w:val="0"/>
          <w:numId w:val="69"/>
        </w:numPr>
        <w:jc w:val="both"/>
        <w:rPr>
          <w:rFonts w:asciiTheme="majorBidi" w:eastAsia="Times New Roman" w:hAnsiTheme="majorBidi" w:cstheme="majorBidi"/>
          <w:color w:val="0D0D0D" w:themeColor="text1" w:themeTint="F2"/>
          <w:spacing w:val="-1"/>
          <w:sz w:val="24"/>
          <w:szCs w:val="24"/>
          <w:lang w:val="sq-AL"/>
        </w:rPr>
      </w:pPr>
      <w:r w:rsidRPr="005208DC">
        <w:rPr>
          <w:rFonts w:asciiTheme="majorBidi" w:eastAsia="Times New Roman" w:hAnsiTheme="majorBidi" w:cstheme="majorBidi"/>
          <w:color w:val="0D0D0D" w:themeColor="text1" w:themeTint="F2"/>
          <w:spacing w:val="-1"/>
          <w:sz w:val="24"/>
          <w:szCs w:val="24"/>
          <w:lang w:val="sq-AL"/>
        </w:rPr>
        <w:t>Rritje e mëtejshme e normave të arkëtimit të faturave.</w:t>
      </w:r>
    </w:p>
    <w:p w14:paraId="6ABACA9A" w14:textId="6EF254B7" w:rsidR="00080139" w:rsidRPr="005208DC" w:rsidRDefault="00B2062A" w:rsidP="00857902">
      <w:pPr>
        <w:pStyle w:val="ListParagraph"/>
        <w:numPr>
          <w:ilvl w:val="0"/>
          <w:numId w:val="68"/>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080139" w:rsidRPr="005208DC">
        <w:rPr>
          <w:rFonts w:asciiTheme="majorBidi" w:hAnsiTheme="majorBidi" w:cstheme="majorBidi"/>
          <w:b/>
          <w:color w:val="0D0D0D" w:themeColor="text1" w:themeTint="F2"/>
          <w:sz w:val="24"/>
          <w:szCs w:val="24"/>
          <w:lang w:val="sq-AL"/>
        </w:rPr>
        <w:t xml:space="preserve"> 2024</w:t>
      </w:r>
    </w:p>
    <w:p w14:paraId="0522EC28" w14:textId="77777777" w:rsidR="00877F0D" w:rsidRPr="005208DC" w:rsidRDefault="00877F0D" w:rsidP="00857902">
      <w:pPr>
        <w:pStyle w:val="ListParagraph"/>
        <w:numPr>
          <w:ilvl w:val="0"/>
          <w:numId w:val="69"/>
        </w:numPr>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Liberalizimi i mëtejshëm i tregut të energjisë elektrike (konsumatorët në tregun e lirë)</w:t>
      </w:r>
    </w:p>
    <w:p w14:paraId="27CA75BA" w14:textId="77777777" w:rsidR="00877F0D" w:rsidRPr="005208DC" w:rsidRDefault="00877F0D" w:rsidP="00857902">
      <w:pPr>
        <w:pStyle w:val="ListParagraph"/>
        <w:numPr>
          <w:ilvl w:val="0"/>
          <w:numId w:val="69"/>
        </w:numPr>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Zbatimi i projektit Elbasan (Shqipëri) - Manastir (RNM) Linja e interkonjeksionit 400 kV: Loti 1 &amp; Loti 2.</w:t>
      </w:r>
    </w:p>
    <w:p w14:paraId="5B2EC6E6" w14:textId="77777777" w:rsidR="00877F0D" w:rsidRPr="005208DC" w:rsidRDefault="00877F0D" w:rsidP="00857902">
      <w:pPr>
        <w:pStyle w:val="ListParagraph"/>
        <w:numPr>
          <w:ilvl w:val="0"/>
          <w:numId w:val="69"/>
        </w:numPr>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Projekti Hidroenergjetik i Skavicës.</w:t>
      </w:r>
    </w:p>
    <w:p w14:paraId="7DB6EEA3" w14:textId="2C915B91" w:rsidR="00877F0D" w:rsidRPr="005208DC" w:rsidRDefault="00877F0D" w:rsidP="00857902">
      <w:pPr>
        <w:pStyle w:val="ListParagraph"/>
        <w:numPr>
          <w:ilvl w:val="0"/>
          <w:numId w:val="69"/>
        </w:numPr>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Reduktimi i mëtejshëm i humbjeve në shpërndarje.</w:t>
      </w:r>
    </w:p>
    <w:p w14:paraId="485ECDEC" w14:textId="686A741F" w:rsidR="00877F0D" w:rsidRPr="005208DC" w:rsidRDefault="00877F0D" w:rsidP="00857902">
      <w:pPr>
        <w:pStyle w:val="ListParagraph"/>
        <w:numPr>
          <w:ilvl w:val="0"/>
          <w:numId w:val="69"/>
        </w:numPr>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Rritje e mëtejshme e normave të arkëtimit të faturave.</w:t>
      </w:r>
    </w:p>
    <w:p w14:paraId="39ABBB9A" w14:textId="77777777" w:rsidR="00080139" w:rsidRPr="005208DC" w:rsidRDefault="00080139" w:rsidP="00857902">
      <w:pPr>
        <w:snapToGrid w:val="0"/>
        <w:rPr>
          <w:rFonts w:asciiTheme="majorBidi" w:hAnsiTheme="majorBidi" w:cstheme="majorBidi"/>
          <w:color w:val="0D0D0D" w:themeColor="text1" w:themeTint="F2"/>
          <w:lang w:val="sq-AL"/>
        </w:rPr>
      </w:pPr>
    </w:p>
    <w:p w14:paraId="0C48D0CD" w14:textId="6A83C722" w:rsidR="00080139" w:rsidRPr="005208DC" w:rsidRDefault="00B2062A" w:rsidP="00857902">
      <w:pPr>
        <w:pStyle w:val="Heading6"/>
        <w:numPr>
          <w:ilvl w:val="0"/>
          <w:numId w:val="67"/>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Treguesit e rezultateve</w:t>
      </w:r>
    </w:p>
    <w:tbl>
      <w:tblPr>
        <w:tblStyle w:val="TableGrid"/>
        <w:tblW w:w="0" w:type="auto"/>
        <w:tblLook w:val="04A0" w:firstRow="1" w:lastRow="0" w:firstColumn="1" w:lastColumn="0" w:noHBand="0" w:noVBand="1"/>
      </w:tblPr>
      <w:tblGrid>
        <w:gridCol w:w="4248"/>
        <w:gridCol w:w="1791"/>
        <w:gridCol w:w="1791"/>
        <w:gridCol w:w="1792"/>
      </w:tblGrid>
      <w:tr w:rsidR="005208DC" w:rsidRPr="005208DC" w14:paraId="08FBFB98" w14:textId="77777777" w:rsidTr="008E61CF">
        <w:trPr>
          <w:trHeight w:val="584"/>
        </w:trPr>
        <w:tc>
          <w:tcPr>
            <w:tcW w:w="4248" w:type="dxa"/>
          </w:tcPr>
          <w:p w14:paraId="19ED98D0" w14:textId="6B8A5D01" w:rsidR="00E759FB"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w:t>
            </w:r>
          </w:p>
        </w:tc>
        <w:tc>
          <w:tcPr>
            <w:tcW w:w="1791" w:type="dxa"/>
          </w:tcPr>
          <w:p w14:paraId="4B0C21AD" w14:textId="375B7817" w:rsidR="00E759FB"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Bazë</w:t>
            </w:r>
            <w:r w:rsidR="004D1F24" w:rsidRPr="005208DC">
              <w:rPr>
                <w:rFonts w:asciiTheme="majorBidi" w:hAnsiTheme="majorBidi" w:cstheme="majorBidi"/>
                <w:color w:val="0D0D0D" w:themeColor="text1" w:themeTint="F2"/>
                <w:lang w:val="sq-AL"/>
              </w:rPr>
              <w:t xml:space="preserve"> (</w:t>
            </w:r>
            <w:r w:rsidR="00E759FB" w:rsidRPr="005208DC">
              <w:rPr>
                <w:rFonts w:asciiTheme="majorBidi" w:hAnsiTheme="majorBidi" w:cstheme="majorBidi"/>
                <w:color w:val="0D0D0D" w:themeColor="text1" w:themeTint="F2"/>
                <w:lang w:val="sq-AL"/>
              </w:rPr>
              <w:t>2022</w:t>
            </w:r>
            <w:r w:rsidR="004D1F24" w:rsidRPr="005208DC">
              <w:rPr>
                <w:rFonts w:asciiTheme="majorBidi" w:hAnsiTheme="majorBidi" w:cstheme="majorBidi"/>
                <w:color w:val="0D0D0D" w:themeColor="text1" w:themeTint="F2"/>
                <w:lang w:val="sq-AL"/>
              </w:rPr>
              <w:t>)</w:t>
            </w:r>
          </w:p>
        </w:tc>
        <w:tc>
          <w:tcPr>
            <w:tcW w:w="1791" w:type="dxa"/>
          </w:tcPr>
          <w:p w14:paraId="2B74D9F1" w14:textId="4EF8FBEB" w:rsidR="00E759FB"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 ndërmjetëm</w:t>
            </w:r>
            <w:r w:rsidR="004D1F24" w:rsidRPr="005208DC">
              <w:rPr>
                <w:rFonts w:asciiTheme="majorBidi" w:hAnsiTheme="majorBidi" w:cstheme="majorBidi"/>
                <w:color w:val="0D0D0D" w:themeColor="text1" w:themeTint="F2"/>
                <w:lang w:val="sq-AL"/>
              </w:rPr>
              <w:t xml:space="preserve"> (</w:t>
            </w:r>
            <w:r w:rsidR="00E759FB" w:rsidRPr="005208DC">
              <w:rPr>
                <w:rFonts w:asciiTheme="majorBidi" w:hAnsiTheme="majorBidi" w:cstheme="majorBidi"/>
                <w:color w:val="0D0D0D" w:themeColor="text1" w:themeTint="F2"/>
                <w:lang w:val="sq-AL"/>
              </w:rPr>
              <w:t>2023</w:t>
            </w:r>
            <w:r w:rsidR="004D1F24" w:rsidRPr="005208DC">
              <w:rPr>
                <w:rFonts w:asciiTheme="majorBidi" w:hAnsiTheme="majorBidi" w:cstheme="majorBidi"/>
                <w:color w:val="0D0D0D" w:themeColor="text1" w:themeTint="F2"/>
                <w:lang w:val="sq-AL"/>
              </w:rPr>
              <w:t>)</w:t>
            </w:r>
          </w:p>
        </w:tc>
        <w:tc>
          <w:tcPr>
            <w:tcW w:w="1792" w:type="dxa"/>
          </w:tcPr>
          <w:p w14:paraId="3CD9C233" w14:textId="1CB3C537" w:rsidR="00E759FB"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Synimi</w:t>
            </w:r>
            <w:r w:rsidR="004D1F24" w:rsidRPr="005208DC">
              <w:rPr>
                <w:rFonts w:asciiTheme="majorBidi" w:hAnsiTheme="majorBidi" w:cstheme="majorBidi"/>
                <w:color w:val="0D0D0D" w:themeColor="text1" w:themeTint="F2"/>
                <w:lang w:val="sq-AL"/>
              </w:rPr>
              <w:t xml:space="preserve"> (</w:t>
            </w:r>
            <w:r w:rsidR="00E759FB" w:rsidRPr="005208DC">
              <w:rPr>
                <w:rFonts w:asciiTheme="majorBidi" w:hAnsiTheme="majorBidi" w:cstheme="majorBidi"/>
                <w:color w:val="0D0D0D" w:themeColor="text1" w:themeTint="F2"/>
                <w:lang w:val="sq-AL"/>
              </w:rPr>
              <w:t>2024</w:t>
            </w:r>
            <w:r w:rsidR="004D1F24" w:rsidRPr="005208DC">
              <w:rPr>
                <w:rFonts w:asciiTheme="majorBidi" w:hAnsiTheme="majorBidi" w:cstheme="majorBidi"/>
                <w:color w:val="0D0D0D" w:themeColor="text1" w:themeTint="F2"/>
                <w:lang w:val="sq-AL"/>
              </w:rPr>
              <w:t>)</w:t>
            </w:r>
          </w:p>
        </w:tc>
      </w:tr>
      <w:tr w:rsidR="005208DC" w:rsidRPr="005208DC" w14:paraId="10172902" w14:textId="77777777" w:rsidTr="008E61CF">
        <w:tc>
          <w:tcPr>
            <w:tcW w:w="4248" w:type="dxa"/>
          </w:tcPr>
          <w:p w14:paraId="45EF9A42" w14:textId="5A0F8561" w:rsidR="00877F0D" w:rsidRPr="005208DC" w:rsidRDefault="00877F0D"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Reduktimi i importeve të energjisë</w:t>
            </w:r>
          </w:p>
        </w:tc>
        <w:tc>
          <w:tcPr>
            <w:tcW w:w="1791" w:type="dxa"/>
          </w:tcPr>
          <w:p w14:paraId="13FDBDFB" w14:textId="207CC743" w:rsidR="00877F0D" w:rsidRPr="005208DC" w:rsidRDefault="00877F0D"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1,143 GWh</w:t>
            </w:r>
          </w:p>
        </w:tc>
        <w:tc>
          <w:tcPr>
            <w:tcW w:w="1791" w:type="dxa"/>
          </w:tcPr>
          <w:p w14:paraId="086DFE29" w14:textId="6DF513D4" w:rsidR="00877F0D" w:rsidRPr="005208DC" w:rsidRDefault="00877F0D"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1,184 GWh</w:t>
            </w:r>
          </w:p>
        </w:tc>
        <w:tc>
          <w:tcPr>
            <w:tcW w:w="1792" w:type="dxa"/>
          </w:tcPr>
          <w:p w14:paraId="7EBC124E" w14:textId="77777777" w:rsidR="00877F0D" w:rsidRPr="005208DC" w:rsidRDefault="00877F0D" w:rsidP="00857902">
            <w:pPr>
              <w:snapToGrid w:val="0"/>
              <w:rPr>
                <w:rFonts w:asciiTheme="majorBidi" w:hAnsiTheme="majorBidi" w:cstheme="majorBidi"/>
                <w:color w:val="0D0D0D" w:themeColor="text1" w:themeTint="F2"/>
                <w:lang w:val="sq-AL"/>
              </w:rPr>
            </w:pPr>
          </w:p>
        </w:tc>
      </w:tr>
      <w:tr w:rsidR="005208DC" w:rsidRPr="005208DC" w14:paraId="7ECE2E2C" w14:textId="77777777" w:rsidTr="008E61CF">
        <w:tc>
          <w:tcPr>
            <w:tcW w:w="4248" w:type="dxa"/>
          </w:tcPr>
          <w:p w14:paraId="638CF024" w14:textId="6E069896" w:rsidR="00877F0D" w:rsidRPr="005208DC" w:rsidRDefault="00877F0D"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Prodhimi vendas (KESH + HEC ekzistues + TC)</w:t>
            </w:r>
          </w:p>
        </w:tc>
        <w:tc>
          <w:tcPr>
            <w:tcW w:w="1791" w:type="dxa"/>
          </w:tcPr>
          <w:p w14:paraId="30E57AAF" w14:textId="0E1893FA" w:rsidR="00877F0D" w:rsidRPr="005208DC" w:rsidRDefault="00877F0D"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6,730 GWh</w:t>
            </w:r>
          </w:p>
        </w:tc>
        <w:tc>
          <w:tcPr>
            <w:tcW w:w="1791" w:type="dxa"/>
          </w:tcPr>
          <w:p w14:paraId="6EA04ABC" w14:textId="5FF19D6F" w:rsidR="00877F0D" w:rsidRPr="005208DC" w:rsidRDefault="00877F0D"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6,875 GWh</w:t>
            </w:r>
          </w:p>
        </w:tc>
        <w:tc>
          <w:tcPr>
            <w:tcW w:w="1792" w:type="dxa"/>
          </w:tcPr>
          <w:p w14:paraId="16601339" w14:textId="77777777" w:rsidR="00877F0D" w:rsidRPr="005208DC" w:rsidRDefault="00877F0D" w:rsidP="00857902">
            <w:pPr>
              <w:snapToGrid w:val="0"/>
              <w:rPr>
                <w:rFonts w:asciiTheme="majorBidi" w:hAnsiTheme="majorBidi" w:cstheme="majorBidi"/>
                <w:color w:val="0D0D0D" w:themeColor="text1" w:themeTint="F2"/>
                <w:lang w:val="sq-AL"/>
              </w:rPr>
            </w:pPr>
          </w:p>
        </w:tc>
      </w:tr>
      <w:tr w:rsidR="005208DC" w:rsidRPr="005208DC" w14:paraId="40592CC1" w14:textId="77777777" w:rsidTr="008E61CF">
        <w:tc>
          <w:tcPr>
            <w:tcW w:w="4248" w:type="dxa"/>
          </w:tcPr>
          <w:p w14:paraId="6D1E6EE3" w14:textId="4749CB86" w:rsidR="00877F0D" w:rsidRPr="005208DC" w:rsidRDefault="00877F0D"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Reduktim i humbjeve teknike dhe joteknike në rrjet</w:t>
            </w:r>
          </w:p>
        </w:tc>
        <w:tc>
          <w:tcPr>
            <w:tcW w:w="1791" w:type="dxa"/>
          </w:tcPr>
          <w:p w14:paraId="4390F041" w14:textId="7B0952A1" w:rsidR="00877F0D" w:rsidRPr="005208DC" w:rsidRDefault="00877F0D"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19.6</w:t>
            </w:r>
            <w:r w:rsidRPr="005208DC">
              <w:rPr>
                <w:rFonts w:asciiTheme="majorBidi" w:hAnsiTheme="majorBidi" w:cstheme="majorBidi"/>
                <w:color w:val="0D0D0D" w:themeColor="text1" w:themeTint="F2"/>
                <w:lang w:val="sq-AL"/>
              </w:rPr>
              <w:t>%</w:t>
            </w:r>
            <w:r w:rsidRPr="005208DC">
              <w:rPr>
                <w:rStyle w:val="FootnoteReference"/>
                <w:rFonts w:asciiTheme="majorBidi" w:hAnsiTheme="majorBidi" w:cstheme="majorBidi"/>
                <w:color w:val="0D0D0D" w:themeColor="text1" w:themeTint="F2"/>
                <w:lang w:val="sq-AL"/>
              </w:rPr>
              <w:footnoteReference w:id="12"/>
            </w:r>
          </w:p>
        </w:tc>
        <w:tc>
          <w:tcPr>
            <w:tcW w:w="1791" w:type="dxa"/>
          </w:tcPr>
          <w:p w14:paraId="2A5DB5C5" w14:textId="239E614B" w:rsidR="00877F0D" w:rsidRPr="005208DC" w:rsidRDefault="00877F0D"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19.0-</w:t>
            </w:r>
          </w:p>
        </w:tc>
        <w:tc>
          <w:tcPr>
            <w:tcW w:w="1792" w:type="dxa"/>
          </w:tcPr>
          <w:p w14:paraId="68131D55" w14:textId="0E0734D8" w:rsidR="00877F0D" w:rsidRPr="005208DC" w:rsidRDefault="00877F0D"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18.5-</w:t>
            </w:r>
          </w:p>
        </w:tc>
      </w:tr>
      <w:tr w:rsidR="005208DC" w:rsidRPr="005208DC" w14:paraId="5FBAEC11" w14:textId="77777777" w:rsidTr="008E61CF">
        <w:tc>
          <w:tcPr>
            <w:tcW w:w="4248" w:type="dxa"/>
          </w:tcPr>
          <w:p w14:paraId="3816D104" w14:textId="4582F798" w:rsidR="00877F0D" w:rsidRPr="005208DC" w:rsidRDefault="00877F0D"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Rritja e arkëtimit të faturave</w:t>
            </w:r>
          </w:p>
        </w:tc>
        <w:tc>
          <w:tcPr>
            <w:tcW w:w="1791" w:type="dxa"/>
          </w:tcPr>
          <w:p w14:paraId="5E5D4551" w14:textId="4C6153BE" w:rsidR="00877F0D" w:rsidRPr="005208DC" w:rsidRDefault="00877F0D"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95 %</w:t>
            </w:r>
            <w:r w:rsidRPr="005208DC">
              <w:rPr>
                <w:rStyle w:val="FootnoteReference"/>
                <w:rFonts w:asciiTheme="majorBidi" w:hAnsiTheme="majorBidi" w:cstheme="majorBidi"/>
                <w:color w:val="0D0D0D" w:themeColor="text1" w:themeTint="F2"/>
                <w:lang w:val="sq-AL"/>
              </w:rPr>
              <w:footnoteReference w:id="13"/>
            </w:r>
          </w:p>
        </w:tc>
        <w:tc>
          <w:tcPr>
            <w:tcW w:w="1791" w:type="dxa"/>
          </w:tcPr>
          <w:p w14:paraId="3B391D7A" w14:textId="58E5FDC9" w:rsidR="00877F0D" w:rsidRPr="005208DC" w:rsidRDefault="00877F0D"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w:t>
            </w:r>
          </w:p>
        </w:tc>
        <w:tc>
          <w:tcPr>
            <w:tcW w:w="1792" w:type="dxa"/>
          </w:tcPr>
          <w:p w14:paraId="192C9E20" w14:textId="0A45F964" w:rsidR="00877F0D" w:rsidRPr="005208DC" w:rsidRDefault="00877F0D"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w:t>
            </w:r>
          </w:p>
        </w:tc>
      </w:tr>
    </w:tbl>
    <w:p w14:paraId="2C0A15A8" w14:textId="77777777" w:rsidR="00E759FB" w:rsidRPr="005208DC" w:rsidRDefault="00E759FB" w:rsidP="00857902">
      <w:pPr>
        <w:snapToGrid w:val="0"/>
        <w:rPr>
          <w:rFonts w:asciiTheme="majorBidi" w:hAnsiTheme="majorBidi" w:cstheme="majorBidi"/>
          <w:color w:val="0D0D0D" w:themeColor="text1" w:themeTint="F2"/>
          <w:lang w:val="sq-AL"/>
        </w:rPr>
      </w:pPr>
    </w:p>
    <w:p w14:paraId="66187246" w14:textId="24408935" w:rsidR="00080139" w:rsidRPr="005208DC" w:rsidRDefault="00B2062A" w:rsidP="00857902">
      <w:pPr>
        <w:pStyle w:val="Heading6"/>
        <w:numPr>
          <w:ilvl w:val="0"/>
          <w:numId w:val="67"/>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konkurrueshmëri</w:t>
      </w:r>
    </w:p>
    <w:p w14:paraId="0FF43048" w14:textId="5EE1AE4C" w:rsidR="00877F0D" w:rsidRPr="005208DC" w:rsidRDefault="00877F0D" w:rsidP="00857902">
      <w:pPr>
        <w:jc w:val="both"/>
        <w:rPr>
          <w:rFonts w:asciiTheme="majorBidi" w:hAnsiTheme="majorBidi" w:cstheme="majorBidi"/>
          <w:color w:val="0D0D0D" w:themeColor="text1" w:themeTint="F2"/>
          <w:lang w:val="sq-AL" w:eastAsia="x-none"/>
        </w:rPr>
      </w:pPr>
      <w:r w:rsidRPr="005208DC">
        <w:rPr>
          <w:rFonts w:asciiTheme="majorBidi" w:hAnsiTheme="majorBidi" w:cstheme="majorBidi"/>
          <w:color w:val="0D0D0D" w:themeColor="text1" w:themeTint="F2"/>
          <w:lang w:val="sq-AL"/>
        </w:rPr>
        <w:t>Forcon lidhjet e ndërlidhjes me rrjetin rajonal të energjisë elektrike, duke krijuar kushte për shkëmbime tregtare dhe tranzit të pakufizuar të energjisë elektrike në rajon. Liberalizimi i mëtejshëm i tregut të energjisë, i cili do të çojë në decentralizimin e sistemit energjetik, do të ketë ndikime të drejtpërdrejta pozitive në konkurrueshmëri duke mundësuar pjesëmarrjen e operatorëve privatë në tregun e energjisë elektrike dhe do të rrisë cilësinë e furnizimit. Kjo masë reformuese do të rrisë ndjeshëm investimet dhe do të kontribuojë në punësimin dhe konkurrueshmërinë e vendeve të punës, si dhe do të lejojë uljen e kostos së energjisë për konsumatorët.</w:t>
      </w:r>
    </w:p>
    <w:p w14:paraId="25ECE491" w14:textId="77777777" w:rsidR="00877F0D" w:rsidRPr="005208DC" w:rsidRDefault="00877F0D" w:rsidP="00857902">
      <w:pPr>
        <w:rPr>
          <w:rFonts w:asciiTheme="majorBidi" w:hAnsiTheme="majorBidi" w:cstheme="majorBidi"/>
          <w:color w:val="0D0D0D" w:themeColor="text1" w:themeTint="F2"/>
          <w:lang w:val="sq-AL" w:eastAsia="x-none"/>
        </w:rPr>
      </w:pPr>
    </w:p>
    <w:p w14:paraId="43524C8E" w14:textId="485A6FED" w:rsidR="00080139" w:rsidRPr="005208DC" w:rsidRDefault="00B2062A" w:rsidP="00857902">
      <w:pPr>
        <w:pStyle w:val="Heading6"/>
        <w:numPr>
          <w:ilvl w:val="0"/>
          <w:numId w:val="67"/>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Kosto e parashikuar e aktiviteteve dhe burimi i financimit</w:t>
      </w:r>
    </w:p>
    <w:p w14:paraId="65FD4C4D" w14:textId="5C4ECDDE" w:rsidR="00877F0D" w:rsidRPr="005208DC" w:rsidRDefault="00877F0D"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Nuk ka ndikim të drejtpërdrejtë në buxhetin e shtetit, por investimet në rrjetin e shpërndarjes/transmetimit dhe prodhimin e energjisë elektrike janë të përcaktuara në programet e zhvillimit të kompanive (KESH, OST dhe OSHEE). Në mbështetje të kësaj pike, kostoja e parashikuar për përfundimin e linjës së interkonjeksionit 400 kV Elbasan (Shqipëri) – Manastir (RNM), pjesa e Shqipërisë është 70 milionë euro e financuar në vlerën 50 milionë euro nga një kredi e huaj; 15 milionë euro nga granti dhe 5 milionë euro nga OST sh.a (përfshirë TVSH).</w:t>
      </w:r>
    </w:p>
    <w:p w14:paraId="41650A74" w14:textId="77777777" w:rsidR="00877F0D" w:rsidRPr="005208DC" w:rsidRDefault="00877F0D" w:rsidP="00857902">
      <w:pPr>
        <w:snapToGrid w:val="0"/>
        <w:rPr>
          <w:rFonts w:asciiTheme="majorBidi" w:hAnsiTheme="majorBidi" w:cstheme="majorBidi"/>
          <w:color w:val="0D0D0D" w:themeColor="text1" w:themeTint="F2"/>
          <w:lang w:val="sq-AL"/>
        </w:rPr>
      </w:pPr>
    </w:p>
    <w:p w14:paraId="279CC075" w14:textId="5CDB2C7E" w:rsidR="00080139" w:rsidRPr="005208DC" w:rsidRDefault="00B2062A" w:rsidP="00857902">
      <w:pPr>
        <w:pStyle w:val="Heading6"/>
        <w:numPr>
          <w:ilvl w:val="0"/>
          <w:numId w:val="67"/>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përfundimet sociale si punësimi, ulja e varfërisë, barazia gjinore dhe aksesi në kujdesin shëndetësor</w:t>
      </w:r>
    </w:p>
    <w:p w14:paraId="35ED4DE9" w14:textId="0B1E795D" w:rsidR="00877F0D" w:rsidRPr="005208DC" w:rsidRDefault="00877F0D"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Kjo masë reformuese kontribuon në punësimin e vendeve të punës dhe konkurrencën dhe do të lejojë gjithashtu uljen e kostos së energjisë për konsumatorët. Kjo masë reformuese do të kontribuojë në mënyrë indirekte në krijimin e vendeve të punës duke siguruar furnizim të besueshëm me energji me nivele të arsyeshme çmimesh dhe si rrjedhim stimulon mjedisin e përgjithshëm të biznesit dhe e bën sektorin më tërheqës për investitorët. Është një masë reforme neutrale ndaj gjinisë.</w:t>
      </w:r>
    </w:p>
    <w:p w14:paraId="6BD2A55B" w14:textId="77777777" w:rsidR="00877F0D" w:rsidRPr="005208DC" w:rsidRDefault="00877F0D" w:rsidP="00857902">
      <w:pPr>
        <w:snapToGrid w:val="0"/>
        <w:rPr>
          <w:rFonts w:asciiTheme="majorBidi" w:hAnsiTheme="majorBidi" w:cstheme="majorBidi"/>
          <w:color w:val="0D0D0D" w:themeColor="text1" w:themeTint="F2"/>
          <w:lang w:val="sq-AL"/>
        </w:rPr>
      </w:pPr>
    </w:p>
    <w:p w14:paraId="5E605EEA" w14:textId="03B1F12B" w:rsidR="00080139" w:rsidRPr="005208DC" w:rsidRDefault="00B2062A" w:rsidP="00857902">
      <w:pPr>
        <w:pStyle w:val="Heading6"/>
        <w:numPr>
          <w:ilvl w:val="0"/>
          <w:numId w:val="67"/>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mjedis dhe ndryshimi i klimës</w:t>
      </w:r>
    </w:p>
    <w:p w14:paraId="28CF001E" w14:textId="5003D4B6" w:rsidR="00877F0D" w:rsidRPr="005208DC" w:rsidRDefault="00877F0D"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Duke marrë parasysh llojin e reformës, ndikimi në mjedis është i papërfillshëm.</w:t>
      </w:r>
    </w:p>
    <w:p w14:paraId="28444901" w14:textId="77777777" w:rsidR="00877F0D" w:rsidRPr="005208DC" w:rsidRDefault="00877F0D" w:rsidP="00857902">
      <w:pPr>
        <w:snapToGrid w:val="0"/>
        <w:rPr>
          <w:rFonts w:asciiTheme="majorBidi" w:hAnsiTheme="majorBidi" w:cstheme="majorBidi"/>
          <w:color w:val="0D0D0D" w:themeColor="text1" w:themeTint="F2"/>
          <w:lang w:val="sq-AL"/>
        </w:rPr>
      </w:pPr>
    </w:p>
    <w:p w14:paraId="1CE9DDFA" w14:textId="093BACBE" w:rsidR="00080139" w:rsidRPr="005208DC" w:rsidRDefault="00B2062A" w:rsidP="00857902">
      <w:pPr>
        <w:pStyle w:val="Heading6"/>
        <w:numPr>
          <w:ilvl w:val="0"/>
          <w:numId w:val="67"/>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Rreziqet e mundshme</w:t>
      </w:r>
    </w:p>
    <w:tbl>
      <w:tblPr>
        <w:tblStyle w:val="TableGrid"/>
        <w:tblW w:w="0" w:type="auto"/>
        <w:tblLook w:val="04A0" w:firstRow="1" w:lastRow="0" w:firstColumn="1" w:lastColumn="0" w:noHBand="0" w:noVBand="1"/>
      </w:tblPr>
      <w:tblGrid>
        <w:gridCol w:w="3681"/>
        <w:gridCol w:w="1417"/>
        <w:gridCol w:w="5245"/>
      </w:tblGrid>
      <w:tr w:rsidR="005208DC" w:rsidRPr="005208DC" w14:paraId="109AD1C9" w14:textId="77777777" w:rsidTr="00877F0D">
        <w:tc>
          <w:tcPr>
            <w:tcW w:w="3681" w:type="dxa"/>
          </w:tcPr>
          <w:p w14:paraId="3F47C544" w14:textId="285BF05C" w:rsidR="00877F0D" w:rsidRPr="005208DC" w:rsidRDefault="00877F0D"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Rreziku</w:t>
            </w:r>
          </w:p>
        </w:tc>
        <w:tc>
          <w:tcPr>
            <w:tcW w:w="1417" w:type="dxa"/>
          </w:tcPr>
          <w:p w14:paraId="3F67A967" w14:textId="0FA6EA93" w:rsidR="00877F0D" w:rsidRPr="005208DC" w:rsidRDefault="00877F0D"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Mundësia (e ulët, e lartë)</w:t>
            </w:r>
          </w:p>
        </w:tc>
        <w:tc>
          <w:tcPr>
            <w:tcW w:w="5245" w:type="dxa"/>
          </w:tcPr>
          <w:p w14:paraId="304A6C7A" w14:textId="2F756C0D" w:rsidR="00877F0D" w:rsidRPr="005208DC" w:rsidRDefault="00877F0D"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Veprimi zbutës i parashikuar</w:t>
            </w:r>
          </w:p>
        </w:tc>
      </w:tr>
      <w:tr w:rsidR="005208DC" w:rsidRPr="005208DC" w14:paraId="10880566" w14:textId="77777777" w:rsidTr="00877F0D">
        <w:tc>
          <w:tcPr>
            <w:tcW w:w="3681" w:type="dxa"/>
          </w:tcPr>
          <w:p w14:paraId="1E6ED2D4" w14:textId="7ECFAB2F" w:rsidR="00877F0D" w:rsidRPr="005208DC" w:rsidRDefault="00877F0D" w:rsidP="0085790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Pengesat mund të lindin gjatë procesit të shpronësimit, prokurimit dhe licencimit për projektin e linjës së interkonjeksionit 400 kV ndërmjet Shqipërisë dhe RNM, si dhe pengesa teknike.</w:t>
            </w:r>
          </w:p>
        </w:tc>
        <w:tc>
          <w:tcPr>
            <w:tcW w:w="1417" w:type="dxa"/>
          </w:tcPr>
          <w:p w14:paraId="1C9ADB72" w14:textId="7FE71B96" w:rsidR="00877F0D" w:rsidRPr="005208DC" w:rsidRDefault="00877F0D"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Mesatar</w:t>
            </w:r>
          </w:p>
        </w:tc>
        <w:tc>
          <w:tcPr>
            <w:tcW w:w="5245" w:type="dxa"/>
          </w:tcPr>
          <w:p w14:paraId="00774C2A" w14:textId="601A50E3" w:rsidR="00877F0D" w:rsidRPr="005208DC" w:rsidRDefault="00877F0D"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Monitorim, vlerësim dhe koordinim më i mirë me të gjitha palët e interesuara në të gjitha fazat e projektit. Rritja e rëndësisë së masës së reformës.</w:t>
            </w:r>
          </w:p>
        </w:tc>
      </w:tr>
      <w:tr w:rsidR="005208DC" w:rsidRPr="005208DC" w14:paraId="4902FA64" w14:textId="77777777" w:rsidTr="00877F0D">
        <w:tc>
          <w:tcPr>
            <w:tcW w:w="3681" w:type="dxa"/>
          </w:tcPr>
          <w:p w14:paraId="4D43CBBB" w14:textId="6C9DF6FE" w:rsidR="00877F0D" w:rsidRPr="005208DC" w:rsidRDefault="00877F0D"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Mungesa e kapaciteteve dhe koordinimit ndërmjet institucioneve</w:t>
            </w:r>
          </w:p>
        </w:tc>
        <w:tc>
          <w:tcPr>
            <w:tcW w:w="1417" w:type="dxa"/>
          </w:tcPr>
          <w:p w14:paraId="3CEBAF2F" w14:textId="03196903" w:rsidR="00877F0D" w:rsidRPr="005208DC" w:rsidRDefault="00877F0D"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 ulët</w:t>
            </w:r>
          </w:p>
        </w:tc>
        <w:tc>
          <w:tcPr>
            <w:tcW w:w="5245" w:type="dxa"/>
          </w:tcPr>
          <w:p w14:paraId="64C6CFC8" w14:textId="00DE3996" w:rsidR="00877F0D" w:rsidRPr="005208DC" w:rsidRDefault="00877F0D"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Monitorim, vlerësim dhe koordinim më i mirë me të gjitha palët e interesuara.</w:t>
            </w:r>
          </w:p>
        </w:tc>
      </w:tr>
      <w:tr w:rsidR="005208DC" w:rsidRPr="005208DC" w14:paraId="1F74CB69" w14:textId="77777777" w:rsidTr="00877F0D">
        <w:tc>
          <w:tcPr>
            <w:tcW w:w="3681" w:type="dxa"/>
          </w:tcPr>
          <w:p w14:paraId="124CA1E0" w14:textId="6853EA63" w:rsidR="00877F0D" w:rsidRPr="005208DC" w:rsidRDefault="00877F0D"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Pengesat mund të lindin gjatë procesit të shpronësimit, prokurimit dhe licencimit për projektin e linjës së interkonjeksionit 400 kV ndërmjet Shqipërisë dhe RNM, si dhe pengesa teknike.</w:t>
            </w:r>
          </w:p>
        </w:tc>
        <w:tc>
          <w:tcPr>
            <w:tcW w:w="1417" w:type="dxa"/>
          </w:tcPr>
          <w:p w14:paraId="20EAD629" w14:textId="7653BFF5" w:rsidR="00877F0D" w:rsidRPr="005208DC" w:rsidRDefault="00877F0D"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Mesatar</w:t>
            </w:r>
          </w:p>
        </w:tc>
        <w:tc>
          <w:tcPr>
            <w:tcW w:w="5245" w:type="dxa"/>
          </w:tcPr>
          <w:p w14:paraId="30E1BB7A" w14:textId="05F80B99" w:rsidR="00877F0D" w:rsidRPr="005208DC" w:rsidRDefault="00877F0D"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Monitorim, vlerësim dhe koordinim më i mirë me të gjitha palët e interesuara në të gjitha fazat e projektit. Rritja e rëndësisë së masës së reformës.</w:t>
            </w:r>
          </w:p>
        </w:tc>
      </w:tr>
    </w:tbl>
    <w:p w14:paraId="2D981AC5" w14:textId="77777777" w:rsidR="00E759FB" w:rsidRPr="005208DC" w:rsidRDefault="00E759FB" w:rsidP="00857902">
      <w:pPr>
        <w:snapToGrid w:val="0"/>
        <w:rPr>
          <w:rFonts w:asciiTheme="majorBidi" w:hAnsiTheme="majorBidi" w:cstheme="majorBidi"/>
          <w:color w:val="0D0D0D" w:themeColor="text1" w:themeTint="F2"/>
          <w:lang w:val="sq-AL"/>
        </w:rPr>
      </w:pPr>
    </w:p>
    <w:p w14:paraId="29D487B2" w14:textId="77777777" w:rsidR="00080139" w:rsidRPr="005208DC" w:rsidRDefault="00080139" w:rsidP="00857902">
      <w:pPr>
        <w:snapToGrid w:val="0"/>
        <w:rPr>
          <w:rFonts w:asciiTheme="majorBidi" w:hAnsiTheme="majorBidi" w:cstheme="majorBidi"/>
          <w:color w:val="0D0D0D" w:themeColor="text1" w:themeTint="F2"/>
          <w:lang w:val="sq-AL"/>
        </w:rPr>
      </w:pPr>
    </w:p>
    <w:p w14:paraId="0EFB7B79" w14:textId="6473E0BC" w:rsidR="00080139" w:rsidRPr="005208DC" w:rsidRDefault="00B2062A" w:rsidP="00857902">
      <w:pPr>
        <w:pStyle w:val="Heading5"/>
        <w:snapToGrid w:val="0"/>
        <w:ind w:left="0"/>
        <w:rPr>
          <w:rFonts w:asciiTheme="majorBidi" w:hAnsiTheme="majorBidi" w:cstheme="majorBidi"/>
          <w:i w:val="0"/>
          <w:color w:val="0D0D0D" w:themeColor="text1" w:themeTint="F2"/>
          <w:sz w:val="24"/>
          <w:szCs w:val="24"/>
          <w:lang w:val="sq-AL"/>
        </w:rPr>
      </w:pPr>
      <w:r w:rsidRPr="005208DC">
        <w:rPr>
          <w:rFonts w:asciiTheme="majorBidi" w:hAnsiTheme="majorBidi" w:cstheme="majorBidi"/>
          <w:i w:val="0"/>
          <w:color w:val="0D0D0D" w:themeColor="text1" w:themeTint="F2"/>
          <w:sz w:val="24"/>
          <w:szCs w:val="24"/>
          <w:lang w:val="sq-AL"/>
        </w:rPr>
        <w:t>Masa e reformës</w:t>
      </w:r>
      <w:r w:rsidR="005358F8" w:rsidRPr="005208DC">
        <w:rPr>
          <w:rFonts w:asciiTheme="majorBidi" w:hAnsiTheme="majorBidi" w:cstheme="majorBidi"/>
          <w:i w:val="0"/>
          <w:color w:val="0D0D0D" w:themeColor="text1" w:themeTint="F2"/>
          <w:sz w:val="24"/>
          <w:szCs w:val="24"/>
          <w:lang w:val="sq-AL"/>
        </w:rPr>
        <w:t xml:space="preserve"> 14</w:t>
      </w:r>
      <w:r w:rsidR="00080139" w:rsidRPr="005208DC">
        <w:rPr>
          <w:rFonts w:asciiTheme="majorBidi" w:hAnsiTheme="majorBidi" w:cstheme="majorBidi"/>
          <w:i w:val="0"/>
          <w:color w:val="0D0D0D" w:themeColor="text1" w:themeTint="F2"/>
          <w:sz w:val="24"/>
          <w:szCs w:val="24"/>
          <w:lang w:val="sq-AL"/>
        </w:rPr>
        <w:t xml:space="preserve">: </w:t>
      </w:r>
      <w:r w:rsidR="00877F0D" w:rsidRPr="005208DC">
        <w:rPr>
          <w:rFonts w:asciiTheme="majorBidi" w:hAnsiTheme="majorBidi" w:cstheme="majorBidi"/>
          <w:i w:val="0"/>
          <w:color w:val="0D0D0D" w:themeColor="text1" w:themeTint="F2"/>
          <w:sz w:val="24"/>
          <w:szCs w:val="24"/>
          <w:lang w:val="sq-AL"/>
        </w:rPr>
        <w:t>Diversifikimi i burimeve të energjisë përmes promovimit të burimeve të rinovueshme të energjisë dhe përmirësimeve të efiçencës së energjisë</w:t>
      </w:r>
    </w:p>
    <w:p w14:paraId="60BC8FAC" w14:textId="282261BC" w:rsidR="00080139" w:rsidRPr="005208DC" w:rsidRDefault="00B2062A" w:rsidP="00857902">
      <w:pPr>
        <w:pStyle w:val="Heading6"/>
        <w:numPr>
          <w:ilvl w:val="0"/>
          <w:numId w:val="7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Përshkrimi i masës</w:t>
      </w:r>
    </w:p>
    <w:p w14:paraId="7EC0184C" w14:textId="77777777" w:rsidR="00877F0D" w:rsidRPr="005208DC" w:rsidRDefault="00877F0D"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Kjo masë reformuese synon të kontribuojë në diversifikimin e burimeve nëpërmjet nxitjes së prodhimit të energjisë së rinovueshme përtej përmirësimeve të hidrocentraleve dhe efiçencës së energjisë, si një mjet i rëndësishëm i politikave energjetike të Shqipërisë, për rritjen e sigurisë në furnizimin me energji, në mënyrë të qëndrueshme. dhe miqësore me mjedisin.</w:t>
      </w:r>
    </w:p>
    <w:p w14:paraId="2A711359" w14:textId="77777777" w:rsidR="00877F0D" w:rsidRPr="005208DC" w:rsidRDefault="00877F0D"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Masa është në përputhje me Politikën Energjetike të Shqipërisë, Strategjinë Kombëtare për Zhvillim dhe Integrim (2015-2020), Strategjinë Kombëtare të Energjisë (2018-2030), marrëveshjet ndërkombëtare (Marrëveshja e Parisit, UNFCCC etj.), Plani aktual Kombëtar i Veprimit për burimet e rinovueshme. Burimet e Energjisë (2019-2020), dhe Plani Kombëtar i Veprimit për Efiçiencën e Energjisë së Shqipërisë (2017 – 2020).</w:t>
      </w:r>
    </w:p>
    <w:p w14:paraId="4EFFFAFF" w14:textId="77777777" w:rsidR="00877F0D" w:rsidRPr="005208DC" w:rsidRDefault="00877F0D"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Krijimi i ALPEX (Tregut të Shkëmbimit të Energjisë) dhe funksionimi i tij do të ndryshojë marrëdhëniet ndërmjet pjesëmarrësve të tregut duke shmangur marrëdhëniet dypalëshe mes tyre. Në këtë kuadër, çdo kompani që operon në tregun e energjisë bazuar në licencën përkatëse të marrë nga ERE do të shesë ose blejë produktin e saj nëpërmjet tregut të këmbimit i cili orienton çmimet që nuk do të jenë fikse por bazuar në tregun e liberalizuar (tregu i BE-së) dhe për rrjedhojë do të kontribuojë në rritjen e konkurrencës mes tyre.</w:t>
      </w:r>
    </w:p>
    <w:p w14:paraId="4D4CF548" w14:textId="77777777" w:rsidR="00877F0D" w:rsidRPr="005208DC" w:rsidRDefault="00877F0D"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 më tepër, në kuadër të kësaj reforme janë bërë përpjekje të mëtejshme për të kaluar nga skemat ekzistuese “Feed-in-Tariff” (FiT) në “Feed-in-Premium” (tarifa FiP) që në thelb konsistojnë në transformimin e FiT në kontratë për Diferenca (Auctions), që është një skemë e re stimuluese e mbështetjes financiare për BRE-të e parashikuara nga Ligji 7/2017.</w:t>
      </w:r>
    </w:p>
    <w:p w14:paraId="1C6AB389" w14:textId="77777777" w:rsidR="00877F0D" w:rsidRPr="005208DC" w:rsidRDefault="00877F0D" w:rsidP="00857902">
      <w:pPr>
        <w:jc w:val="both"/>
        <w:rPr>
          <w:rFonts w:asciiTheme="majorBidi" w:hAnsiTheme="majorBidi" w:cstheme="majorBidi"/>
          <w:color w:val="0D0D0D" w:themeColor="text1" w:themeTint="F2"/>
          <w:lang w:val="sq-AL"/>
        </w:rPr>
      </w:pPr>
    </w:p>
    <w:p w14:paraId="44764338" w14:textId="77777777" w:rsidR="00877F0D" w:rsidRPr="005208DC" w:rsidRDefault="00877F0D"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Impianti Fotovoltaik i Karavastasë</w:t>
      </w:r>
    </w:p>
    <w:p w14:paraId="272B73EB" w14:textId="77777777" w:rsidR="00877F0D" w:rsidRPr="005208DC" w:rsidRDefault="00877F0D"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Ministria e Infrastrukturës dhe Energjisë, në bazë të vendimit të Këshillit të Ministrave nr. ndërtimi i një impianti fotovoltaik në Remas – Karavasta (afër zonës së Lushnjës) me fuqi të instaluar 140 MW, ku 70 MW, si pjesë e masave mbështetëse (për këtë kapacitet do të ketë një APP për 15 vjet) dhe 70 MW. të cilat nuk do të jenë pjesë e Masave Mbështetëse. Ofertuesi fitues ofroi një çmim prej 24.89 euro/MWh, për 15 vjet. Fituesi u shpall në maj 2020. Për më tepër, në vitin 2020 u nënshkrua Marrëveshja e Projektit dhe APP e cila është në zbatim. Aktualisht, ofertuesi është në proces të mbledhjes së lejeve në përputhje me kontratat e nënshkruara.</w:t>
      </w:r>
    </w:p>
    <w:p w14:paraId="490AD177" w14:textId="77777777" w:rsidR="00877F0D" w:rsidRPr="005208DC" w:rsidRDefault="00877F0D" w:rsidP="00857902">
      <w:pPr>
        <w:jc w:val="both"/>
        <w:rPr>
          <w:rFonts w:asciiTheme="majorBidi" w:hAnsiTheme="majorBidi" w:cstheme="majorBidi"/>
          <w:color w:val="0D0D0D" w:themeColor="text1" w:themeTint="F2"/>
          <w:lang w:val="sq-AL"/>
        </w:rPr>
      </w:pPr>
    </w:p>
    <w:p w14:paraId="3F12ACEE" w14:textId="77777777" w:rsidR="00877F0D" w:rsidRPr="005208DC" w:rsidRDefault="00877F0D"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Impianti Fotovoltaik i Spitallës</w:t>
      </w:r>
    </w:p>
    <w:p w14:paraId="4FFB7268" w14:textId="77777777" w:rsidR="00877F0D" w:rsidRPr="005208DC" w:rsidRDefault="00877F0D"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Ministria e Infrastrukturës dhe Energjisë ka përfunduar edhe procedurën e tenderit për ndërtimin e Termocentralit FV në Spitallë gjatë muajit nëntor 2020, me kapacitet të instaluar 100 MW (70 MW, si pjesë e Masave Mbështetëse dhe 30 MW shtesë që nuk janë pjesë e Mbështetjes. Masat) në zonën e Spitallës, rrethi i Durrësit. Fituesi ofroi çmimin prej 29.89 Euro/MWh. Marrëveshja e projektit dhe APP të cilat janë në zbatim janë nënshkruar në qershor 2021. Aktualisht, ofertuesi është në proces të mbledhjes së lejeve në përputhje me kontratat e nënshkruara.</w:t>
      </w:r>
    </w:p>
    <w:p w14:paraId="7C60D592" w14:textId="77777777" w:rsidR="00877F0D" w:rsidRPr="005208DC" w:rsidRDefault="00877F0D" w:rsidP="00857902">
      <w:pPr>
        <w:jc w:val="both"/>
        <w:rPr>
          <w:rFonts w:asciiTheme="majorBidi" w:hAnsiTheme="majorBidi" w:cstheme="majorBidi"/>
          <w:color w:val="0D0D0D" w:themeColor="text1" w:themeTint="F2"/>
          <w:lang w:val="sq-AL"/>
        </w:rPr>
      </w:pPr>
    </w:p>
    <w:p w14:paraId="29EE416B" w14:textId="77777777" w:rsidR="00877F0D" w:rsidRPr="005208DC" w:rsidRDefault="00877F0D"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Gjeneratorë shtesë fotovoltaikë dhe me erë</w:t>
      </w:r>
    </w:p>
    <w:p w14:paraId="3450779E" w14:textId="77777777" w:rsidR="00877F0D" w:rsidRPr="005208DC" w:rsidRDefault="00877F0D"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Ministria e Infrastrukturës dhe Energjisë ka shpallur një proces konkurrues për gjeneruesit e energjisë elektrike me erë me kapacitet të instaluar nga 10 MW në 75 MW. Nëpërmjet kësaj procedure tenderimi, Ministria do të përzgjedhë projektet me kapacitet total prej 100 MW të cilat do të përfitojnë nga masat mbështetëse. Autoriteti kontraktor më vonë mund të vendosë të rrisë kapacitetin total të tenderuar deri në 150 MW. Ofertuesit e mundshëm duhet të identifikojnë dhe propozojnë vendndodhje të përshtatshme për projektimin, financimin, ndërtimin dhe funksionimin e parqeve eolike. Aktualisht, MIE është në proces të mbledhjes së aplikimeve deri në qershor 2022. Fituesi do të zgjidhet në qershor 2023.</w:t>
      </w:r>
    </w:p>
    <w:p w14:paraId="0E09C8C2" w14:textId="77777777" w:rsidR="00877F0D" w:rsidRPr="005208DC" w:rsidRDefault="00877F0D" w:rsidP="00857902">
      <w:pPr>
        <w:jc w:val="both"/>
        <w:rPr>
          <w:rFonts w:asciiTheme="majorBidi" w:hAnsiTheme="majorBidi" w:cstheme="majorBidi"/>
          <w:color w:val="0D0D0D" w:themeColor="text1" w:themeTint="F2"/>
          <w:lang w:val="sq-AL"/>
        </w:rPr>
      </w:pPr>
    </w:p>
    <w:p w14:paraId="28678495" w14:textId="77777777" w:rsidR="00877F0D" w:rsidRPr="005208DC" w:rsidRDefault="00877F0D"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Gjithashtu, Ministria e Infrastrukturës dhe Energjisë është duke hapur një proces konkurrues për Ankandet Hybride PV me kapacitet të instaluar 5 – 10 MW, për një kapacitet total prej 50 MW.</w:t>
      </w:r>
    </w:p>
    <w:p w14:paraId="26561442" w14:textId="77777777" w:rsidR="00877F0D" w:rsidRPr="005208DC" w:rsidRDefault="00877F0D" w:rsidP="00857902">
      <w:pPr>
        <w:jc w:val="both"/>
        <w:rPr>
          <w:rFonts w:asciiTheme="majorBidi" w:hAnsiTheme="majorBidi" w:cstheme="majorBidi"/>
          <w:color w:val="0D0D0D" w:themeColor="text1" w:themeTint="F2"/>
          <w:lang w:val="sq-AL"/>
        </w:rPr>
      </w:pPr>
    </w:p>
    <w:p w14:paraId="604497EA" w14:textId="623B9E99" w:rsidR="00877F0D" w:rsidRPr="005208DC" w:rsidRDefault="00877F0D"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Nëpërmjet kësaj mase synohet zbatimi i përmirësimeve të EE në ndërtesa publike dhe private, amvisëri, industri, transport etj. Sektori i ndërtimit pritet të kontribuojë në masë të madhe në rritjen e kursimeve kombëtare të energjisë. Investimet në efiçiencën e energjisë janë duke vazhduar përmes buxhetit të shtetit dhe projekteve të ndihmës financiare të huaja përmes donatorëve. Buxheti i shtetit ka rritur kontributin në këtë fushë për vitet 2022-2024. Siç u përmend më lart, Ligji i ndryshuar për Efiçiencën e Energjisë do të kontribuojë në arritjen e objektivit të kursimit të energjisë, duke marrë parasysh edhe investimet e mëdha që do të bëhen për procesin e rindërtimit pas tërmetit, përmes mekanizmave të shtuar, duke përfshirë një skemë të parashikuar për detyrimin e efikasitetit të energjisë. Miratimi i akteve nënligjore që rrjedhin nga ligji nr. 116/2016 “Për performancën energjetike të ndërtesave” do të përmirësojë efiçencën energjetike dhe do të rrisë kursimet në ndërtesat e reja në përgjithësi nëpërmjet raporteve të auditimit në fuqi, në përputhje me rregulloret e miratuara, në zbatim. kriteret minimale të efiçencës së energjisë në ndërtesat e reja, nëpërmjet stimujve nga pushteti vendor për investime individuale në masat e EE në sektorin e banimit dhe nëpërmjet finalizimit të disa studimeve të fizibilitetit që janë në proces nga AEE.</w:t>
      </w:r>
    </w:p>
    <w:p w14:paraId="4284E132" w14:textId="77777777" w:rsidR="00877F0D" w:rsidRPr="005208DC" w:rsidRDefault="00877F0D" w:rsidP="00857902">
      <w:pPr>
        <w:snapToGrid w:val="0"/>
        <w:rPr>
          <w:rFonts w:asciiTheme="majorBidi" w:hAnsiTheme="majorBidi" w:cstheme="majorBidi"/>
          <w:color w:val="0D0D0D" w:themeColor="text1" w:themeTint="F2"/>
          <w:lang w:val="sq-AL"/>
        </w:rPr>
      </w:pPr>
    </w:p>
    <w:p w14:paraId="4B86882F" w14:textId="2982372F" w:rsidR="00080139" w:rsidRPr="005208DC" w:rsidRDefault="00B2062A" w:rsidP="00857902">
      <w:pPr>
        <w:pStyle w:val="ListParagraph"/>
        <w:numPr>
          <w:ilvl w:val="0"/>
          <w:numId w:val="74"/>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080139" w:rsidRPr="005208DC">
        <w:rPr>
          <w:rFonts w:asciiTheme="majorBidi" w:hAnsiTheme="majorBidi" w:cstheme="majorBidi"/>
          <w:b/>
          <w:color w:val="0D0D0D" w:themeColor="text1" w:themeTint="F2"/>
          <w:sz w:val="24"/>
          <w:szCs w:val="24"/>
          <w:lang w:val="sq-AL"/>
        </w:rPr>
        <w:t xml:space="preserve"> 2022</w:t>
      </w:r>
    </w:p>
    <w:p w14:paraId="2EB7AFF0" w14:textId="77777777" w:rsidR="00877F0D" w:rsidRPr="005208DC" w:rsidRDefault="00877F0D" w:rsidP="00857902">
      <w:pPr>
        <w:pStyle w:val="ListParagraph"/>
        <w:numPr>
          <w:ilvl w:val="0"/>
          <w:numId w:val="75"/>
        </w:numPr>
        <w:jc w:val="both"/>
        <w:rPr>
          <w:rFonts w:asciiTheme="majorBidi" w:hAnsiTheme="majorBidi" w:cstheme="majorBidi"/>
          <w:bCs/>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Përgatitja dhe miratimi i akteve nënligjore bazuar në ligjin për nxitjen e përdorimit të energjisë nga burimet e rinovueshme (MIE/AKBN/FTL/OSSH/FSHU/OST/ERE): Faza e ndërtimit të Uzinës FV të Karavastasë 140 MW”.</w:t>
      </w:r>
    </w:p>
    <w:p w14:paraId="57E55C75" w14:textId="77777777" w:rsidR="00877F0D" w:rsidRPr="005208DC" w:rsidRDefault="00877F0D" w:rsidP="00857902">
      <w:pPr>
        <w:pStyle w:val="ListParagraph"/>
        <w:numPr>
          <w:ilvl w:val="0"/>
          <w:numId w:val="75"/>
        </w:numPr>
        <w:jc w:val="both"/>
        <w:rPr>
          <w:rFonts w:asciiTheme="majorBidi" w:hAnsiTheme="majorBidi" w:cstheme="majorBidi"/>
          <w:bCs/>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Zbatimi i Projektit Spitalla për ndërtimin e centralit FV me kapacitet 100 MW (faza e nënshkrimit të kontratës dhe lejes).</w:t>
      </w:r>
    </w:p>
    <w:p w14:paraId="1518DF48" w14:textId="77777777" w:rsidR="00877F0D" w:rsidRPr="005208DC" w:rsidRDefault="00877F0D" w:rsidP="00857902">
      <w:pPr>
        <w:pStyle w:val="ListParagraph"/>
        <w:numPr>
          <w:ilvl w:val="0"/>
          <w:numId w:val="75"/>
        </w:numPr>
        <w:jc w:val="both"/>
        <w:rPr>
          <w:rFonts w:asciiTheme="majorBidi" w:hAnsiTheme="majorBidi" w:cstheme="majorBidi"/>
          <w:bCs/>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Ankandi i parë hibrid në energjinë e erës për 35 deri në 75 MW secila për një kapacitet total deri në 130 MW.</w:t>
      </w:r>
    </w:p>
    <w:p w14:paraId="763A7A69" w14:textId="77777777" w:rsidR="00877F0D" w:rsidRPr="005208DC" w:rsidRDefault="00877F0D" w:rsidP="00857902">
      <w:pPr>
        <w:pStyle w:val="ListParagraph"/>
        <w:numPr>
          <w:ilvl w:val="0"/>
          <w:numId w:val="75"/>
        </w:numPr>
        <w:jc w:val="both"/>
        <w:rPr>
          <w:rFonts w:asciiTheme="majorBidi" w:hAnsiTheme="majorBidi" w:cstheme="majorBidi"/>
          <w:bCs/>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Monitorimi i zbatimit të projekteve të reja të energjisë së erës dhe diellit që pajisen me miratimin përfundimtar për ndërtimin e kapaciteteve të reja prodhuese të energjisë elektrike; (MIE / AKBN).</w:t>
      </w:r>
    </w:p>
    <w:p w14:paraId="3C770342" w14:textId="77777777" w:rsidR="00877F0D" w:rsidRPr="005208DC" w:rsidRDefault="00877F0D" w:rsidP="00857902">
      <w:pPr>
        <w:pStyle w:val="ListParagraph"/>
        <w:numPr>
          <w:ilvl w:val="0"/>
          <w:numId w:val="75"/>
        </w:numPr>
        <w:jc w:val="both"/>
        <w:rPr>
          <w:rFonts w:asciiTheme="majorBidi" w:hAnsiTheme="majorBidi" w:cstheme="majorBidi"/>
          <w:bCs/>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Projekt pilot për ndërtimin e një pallati me “0 Energy” (vazhdim).</w:t>
      </w:r>
    </w:p>
    <w:p w14:paraId="73A2DD91" w14:textId="77777777" w:rsidR="00877F0D" w:rsidRPr="005208DC" w:rsidRDefault="00877F0D" w:rsidP="00857902">
      <w:pPr>
        <w:pStyle w:val="ListParagraph"/>
        <w:numPr>
          <w:ilvl w:val="0"/>
          <w:numId w:val="75"/>
        </w:numPr>
        <w:jc w:val="both"/>
        <w:rPr>
          <w:rFonts w:asciiTheme="majorBidi" w:hAnsiTheme="majorBidi" w:cstheme="majorBidi"/>
          <w:bCs/>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Studimi i plotë i fizibilitetit për instalimin e Kullave të Karikimit për makinat elektrike në Republikën e Shqipërisë (vazhdim).</w:t>
      </w:r>
    </w:p>
    <w:p w14:paraId="1860C323" w14:textId="4A1AFFE8" w:rsidR="00877F0D" w:rsidRPr="005208DC" w:rsidRDefault="00877F0D" w:rsidP="00857902">
      <w:pPr>
        <w:pStyle w:val="ListParagraph"/>
        <w:numPr>
          <w:ilvl w:val="0"/>
          <w:numId w:val="75"/>
        </w:numPr>
        <w:jc w:val="both"/>
        <w:rPr>
          <w:rFonts w:asciiTheme="majorBidi" w:hAnsiTheme="majorBidi" w:cstheme="majorBidi"/>
          <w:bCs/>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Projekt ide për Elektrifikimin e linjave të transportit urban dhe ndërqytetës në Bashkitë Tiranë, Vlorë dhe Durrës (vazhdim).</w:t>
      </w:r>
    </w:p>
    <w:p w14:paraId="7B8147BB" w14:textId="26901766" w:rsidR="00080139" w:rsidRPr="005208DC" w:rsidRDefault="00B2062A" w:rsidP="00857902">
      <w:pPr>
        <w:pStyle w:val="ListParagraph"/>
        <w:numPr>
          <w:ilvl w:val="0"/>
          <w:numId w:val="74"/>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080139" w:rsidRPr="005208DC">
        <w:rPr>
          <w:rFonts w:asciiTheme="majorBidi" w:hAnsiTheme="majorBidi" w:cstheme="majorBidi"/>
          <w:b/>
          <w:color w:val="0D0D0D" w:themeColor="text1" w:themeTint="F2"/>
          <w:sz w:val="24"/>
          <w:szCs w:val="24"/>
          <w:lang w:val="sq-AL"/>
        </w:rPr>
        <w:t xml:space="preserve"> 2023</w:t>
      </w:r>
    </w:p>
    <w:p w14:paraId="25CFAAEA" w14:textId="77777777" w:rsidR="00877F0D" w:rsidRPr="005208DC" w:rsidRDefault="00877F0D" w:rsidP="00857902">
      <w:pPr>
        <w:pStyle w:val="ListParagraph"/>
        <w:numPr>
          <w:ilvl w:val="0"/>
          <w:numId w:val="76"/>
        </w:numPr>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Zbatimi i Projektit “Focentrali PV i Karavastasë 140 MW” (Faza e Ndërtimit).</w:t>
      </w:r>
    </w:p>
    <w:p w14:paraId="2ADC8FDA" w14:textId="77777777" w:rsidR="00877F0D" w:rsidRPr="005208DC" w:rsidRDefault="00877F0D" w:rsidP="00857902">
      <w:pPr>
        <w:pStyle w:val="ListParagraph"/>
        <w:numPr>
          <w:ilvl w:val="0"/>
          <w:numId w:val="76"/>
        </w:numPr>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Zbatimi i Projektit të Termocentralit FV të Spitallës prej 100 MW (Faza e Ndërtimit).</w:t>
      </w:r>
    </w:p>
    <w:p w14:paraId="6A87648D" w14:textId="77777777" w:rsidR="00877F0D" w:rsidRPr="005208DC" w:rsidRDefault="00877F0D" w:rsidP="00857902">
      <w:pPr>
        <w:pStyle w:val="ListParagraph"/>
        <w:numPr>
          <w:ilvl w:val="0"/>
          <w:numId w:val="76"/>
        </w:numPr>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Monitorimi i zbatimit të projekteve të reja të energjisë së erës dhe diellit që janë pajisur me miratimin përfundimtar për ndërtimin e kapaciteteve të reja prodhuese të energjisë elektrike; (MIE/AKBN).</w:t>
      </w:r>
    </w:p>
    <w:p w14:paraId="67296490" w14:textId="77777777" w:rsidR="00877F0D" w:rsidRPr="005208DC" w:rsidRDefault="00877F0D" w:rsidP="00857902">
      <w:pPr>
        <w:pStyle w:val="ListParagraph"/>
        <w:numPr>
          <w:ilvl w:val="0"/>
          <w:numId w:val="76"/>
        </w:numPr>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Projekt pilot për ndërtimin e një pallati me “0 Energy”.</w:t>
      </w:r>
    </w:p>
    <w:p w14:paraId="0955ABEF" w14:textId="77777777" w:rsidR="00877F0D" w:rsidRPr="005208DC" w:rsidRDefault="00877F0D" w:rsidP="00857902">
      <w:pPr>
        <w:pStyle w:val="ListParagraph"/>
        <w:numPr>
          <w:ilvl w:val="0"/>
          <w:numId w:val="76"/>
        </w:numPr>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Studim i plotë fizibiliteti për instalimin e Kullave të Karikimit për makinat elektrike në Republikën e Shqipërisë.</w:t>
      </w:r>
    </w:p>
    <w:p w14:paraId="20A68AD9" w14:textId="59E65AB8" w:rsidR="00877F0D" w:rsidRPr="005208DC" w:rsidRDefault="00877F0D" w:rsidP="00857902">
      <w:pPr>
        <w:pStyle w:val="ListParagraph"/>
        <w:numPr>
          <w:ilvl w:val="0"/>
          <w:numId w:val="76"/>
        </w:numPr>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Projekt ide për Elektrifikimin e linjave të transportit urban dhe ndërqytetës në Bashkitë Tiranë, Vlorë, Durrës. (Në faza).</w:t>
      </w:r>
    </w:p>
    <w:p w14:paraId="6FF4B4FA" w14:textId="70DE7F64" w:rsidR="00080139" w:rsidRPr="005208DC" w:rsidRDefault="00B2062A" w:rsidP="00857902">
      <w:pPr>
        <w:pStyle w:val="ListParagraph"/>
        <w:numPr>
          <w:ilvl w:val="0"/>
          <w:numId w:val="74"/>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080139" w:rsidRPr="005208DC">
        <w:rPr>
          <w:rFonts w:asciiTheme="majorBidi" w:hAnsiTheme="majorBidi" w:cstheme="majorBidi"/>
          <w:b/>
          <w:color w:val="0D0D0D" w:themeColor="text1" w:themeTint="F2"/>
          <w:sz w:val="24"/>
          <w:szCs w:val="24"/>
          <w:lang w:val="sq-AL"/>
        </w:rPr>
        <w:t xml:space="preserve"> 2024</w:t>
      </w:r>
    </w:p>
    <w:p w14:paraId="32304D37" w14:textId="77777777" w:rsidR="00877F0D" w:rsidRPr="005208DC" w:rsidRDefault="00877F0D" w:rsidP="00857902">
      <w:pPr>
        <w:pStyle w:val="ListParagraph"/>
        <w:numPr>
          <w:ilvl w:val="0"/>
          <w:numId w:val="77"/>
        </w:numPr>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Zbatimi i Projektit “Focentrali PV i Karavastasë 140 MW” (Faza e Ndërtimit).</w:t>
      </w:r>
    </w:p>
    <w:p w14:paraId="020F176B" w14:textId="77777777" w:rsidR="00877F0D" w:rsidRPr="005208DC" w:rsidRDefault="00877F0D" w:rsidP="00857902">
      <w:pPr>
        <w:pStyle w:val="ListParagraph"/>
        <w:numPr>
          <w:ilvl w:val="0"/>
          <w:numId w:val="77"/>
        </w:numPr>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Zbatimi i Projektit të Termocentralit FV të Spitallës prej 100 MW (Faza e Ndërtimit).</w:t>
      </w:r>
    </w:p>
    <w:p w14:paraId="18020E95" w14:textId="77777777" w:rsidR="00877F0D" w:rsidRPr="005208DC" w:rsidRDefault="00877F0D" w:rsidP="00857902">
      <w:pPr>
        <w:pStyle w:val="ListParagraph"/>
        <w:numPr>
          <w:ilvl w:val="0"/>
          <w:numId w:val="77"/>
        </w:numPr>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Monitorimi i zbatimit të projekteve të reja të energjisë së erës dhe diellit që janë pajisur me miratimin përfundimtar për ndërtimin e kapaciteteve të reja prodhuese të energjisë elektrike; (MIE/AKBN).</w:t>
      </w:r>
    </w:p>
    <w:p w14:paraId="21F63224" w14:textId="77777777" w:rsidR="00877F0D" w:rsidRPr="005208DC" w:rsidRDefault="00877F0D" w:rsidP="00857902">
      <w:pPr>
        <w:pStyle w:val="ListParagraph"/>
        <w:numPr>
          <w:ilvl w:val="0"/>
          <w:numId w:val="77"/>
        </w:numPr>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Projekt pilot për ndërtimin e një pallati me “0 Energy”.</w:t>
      </w:r>
    </w:p>
    <w:p w14:paraId="7CEE488B" w14:textId="77777777" w:rsidR="00877F0D" w:rsidRPr="005208DC" w:rsidRDefault="00877F0D" w:rsidP="00857902">
      <w:pPr>
        <w:pStyle w:val="ListParagraph"/>
        <w:numPr>
          <w:ilvl w:val="0"/>
          <w:numId w:val="77"/>
        </w:numPr>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Standardet e ndriçimit urban dhe rrugor në Republikën e Shqipërisë.</w:t>
      </w:r>
    </w:p>
    <w:p w14:paraId="7B7ABE3A" w14:textId="77777777" w:rsidR="00877F0D" w:rsidRPr="005208DC" w:rsidRDefault="00877F0D" w:rsidP="00857902">
      <w:pPr>
        <w:pStyle w:val="ListParagraph"/>
        <w:numPr>
          <w:ilvl w:val="0"/>
          <w:numId w:val="77"/>
        </w:numPr>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Studim i plotë fizibiliteti për instalimin e Kullave të Karikimit për makinat elektrike në Republikën e Shqipërisë.</w:t>
      </w:r>
    </w:p>
    <w:p w14:paraId="2367653F" w14:textId="2EE0C1C4" w:rsidR="00877F0D" w:rsidRPr="005208DC" w:rsidRDefault="00877F0D" w:rsidP="00857902">
      <w:pPr>
        <w:pStyle w:val="ListParagraph"/>
        <w:numPr>
          <w:ilvl w:val="0"/>
          <w:numId w:val="77"/>
        </w:numPr>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Raport studimi/mbikëqyrje për Elektrifikimin e linjave të transportit urban dhe ndërqytetës në Bashkitë Tiranë, Vlorë, Durrës (në faza).</w:t>
      </w:r>
    </w:p>
    <w:p w14:paraId="550CB29F" w14:textId="77777777" w:rsidR="00080139" w:rsidRPr="005208DC" w:rsidRDefault="00080139" w:rsidP="00857902">
      <w:pPr>
        <w:snapToGrid w:val="0"/>
        <w:rPr>
          <w:rFonts w:asciiTheme="majorBidi" w:hAnsiTheme="majorBidi" w:cstheme="majorBidi"/>
          <w:color w:val="0D0D0D" w:themeColor="text1" w:themeTint="F2"/>
          <w:lang w:val="sq-AL"/>
        </w:rPr>
      </w:pPr>
    </w:p>
    <w:p w14:paraId="632D4E88" w14:textId="0114F963" w:rsidR="00080139" w:rsidRPr="005208DC" w:rsidRDefault="00B2062A" w:rsidP="00857902">
      <w:pPr>
        <w:pStyle w:val="Heading6"/>
        <w:numPr>
          <w:ilvl w:val="0"/>
          <w:numId w:val="7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Treguesit e rezultateve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2"/>
        <w:gridCol w:w="1134"/>
        <w:gridCol w:w="1559"/>
        <w:gridCol w:w="1127"/>
      </w:tblGrid>
      <w:tr w:rsidR="005208DC" w:rsidRPr="005208DC" w14:paraId="2EDE25B2" w14:textId="77777777" w:rsidTr="003D2C7A">
        <w:tc>
          <w:tcPr>
            <w:tcW w:w="5802" w:type="dxa"/>
            <w:shd w:val="clear" w:color="auto" w:fill="auto"/>
          </w:tcPr>
          <w:p w14:paraId="29DA2FAA" w14:textId="588C4571" w:rsidR="007A5807" w:rsidRPr="005208DC" w:rsidRDefault="00B2062A" w:rsidP="00857902">
            <w:pPr>
              <w:widowControl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w:t>
            </w:r>
          </w:p>
        </w:tc>
        <w:tc>
          <w:tcPr>
            <w:tcW w:w="1134" w:type="dxa"/>
            <w:shd w:val="clear" w:color="auto" w:fill="auto"/>
          </w:tcPr>
          <w:p w14:paraId="32634388" w14:textId="21E26C50" w:rsidR="007A5807" w:rsidRPr="005208DC" w:rsidRDefault="00B2062A" w:rsidP="00857902">
            <w:pPr>
              <w:widowControl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Bazë</w:t>
            </w:r>
            <w:r w:rsidR="007A5807" w:rsidRPr="005208DC">
              <w:rPr>
                <w:rFonts w:asciiTheme="majorBidi" w:hAnsiTheme="majorBidi" w:cstheme="majorBidi"/>
                <w:color w:val="0D0D0D" w:themeColor="text1" w:themeTint="F2"/>
                <w:lang w:val="sq-AL"/>
              </w:rPr>
              <w:t xml:space="preserve"> (2022)</w:t>
            </w:r>
          </w:p>
        </w:tc>
        <w:tc>
          <w:tcPr>
            <w:tcW w:w="1559" w:type="dxa"/>
            <w:shd w:val="clear" w:color="auto" w:fill="auto"/>
          </w:tcPr>
          <w:p w14:paraId="252289C8" w14:textId="144787F5" w:rsidR="007A5807" w:rsidRPr="005208DC" w:rsidRDefault="00B2062A" w:rsidP="00857902">
            <w:pPr>
              <w:widowControl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 ndërmjetëm</w:t>
            </w:r>
            <w:r w:rsidR="007A5807" w:rsidRPr="005208DC">
              <w:rPr>
                <w:rFonts w:asciiTheme="majorBidi" w:hAnsiTheme="majorBidi" w:cstheme="majorBidi"/>
                <w:color w:val="0D0D0D" w:themeColor="text1" w:themeTint="F2"/>
                <w:lang w:val="sq-AL"/>
              </w:rPr>
              <w:t xml:space="preserve"> (2023)</w:t>
            </w:r>
          </w:p>
        </w:tc>
        <w:tc>
          <w:tcPr>
            <w:tcW w:w="1127" w:type="dxa"/>
            <w:shd w:val="clear" w:color="auto" w:fill="auto"/>
          </w:tcPr>
          <w:p w14:paraId="390C7B2C" w14:textId="411DC700" w:rsidR="007A5807" w:rsidRPr="005208DC" w:rsidRDefault="00B2062A" w:rsidP="00857902">
            <w:pPr>
              <w:widowControl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Synimi</w:t>
            </w:r>
            <w:r w:rsidR="007A5807" w:rsidRPr="005208DC">
              <w:rPr>
                <w:rFonts w:asciiTheme="majorBidi" w:hAnsiTheme="majorBidi" w:cstheme="majorBidi"/>
                <w:color w:val="0D0D0D" w:themeColor="text1" w:themeTint="F2"/>
                <w:lang w:val="sq-AL"/>
              </w:rPr>
              <w:t xml:space="preserve"> (2024)</w:t>
            </w:r>
          </w:p>
        </w:tc>
      </w:tr>
      <w:tr w:rsidR="005208DC" w:rsidRPr="005208DC" w14:paraId="257C4944" w14:textId="77777777" w:rsidTr="003D2C7A">
        <w:tc>
          <w:tcPr>
            <w:tcW w:w="5802" w:type="dxa"/>
            <w:shd w:val="clear" w:color="auto" w:fill="auto"/>
          </w:tcPr>
          <w:p w14:paraId="1B58E7EC" w14:textId="6C915761" w:rsidR="00877F0D" w:rsidRPr="005208DC" w:rsidRDefault="00877F0D" w:rsidP="00857902">
            <w:pPr>
              <w:rPr>
                <w:rFonts w:asciiTheme="majorBidi" w:hAnsiTheme="majorBidi" w:cstheme="majorBidi"/>
                <w:color w:val="0D0D0D" w:themeColor="text1" w:themeTint="F2"/>
                <w:lang w:val="sq-AL"/>
              </w:rPr>
            </w:pPr>
            <w:r w:rsidRPr="005208DC">
              <w:rPr>
                <w:rFonts w:asciiTheme="majorBidi" w:eastAsia="Arial Narrow" w:hAnsiTheme="majorBidi" w:cstheme="majorBidi"/>
                <w:color w:val="0D0D0D" w:themeColor="text1" w:themeTint="F2"/>
                <w:lang w:val="sq-AL"/>
              </w:rPr>
              <w:t>% e energjisë elektrike të prodhuar nga impiantet diellore PV dhe turbinat me erë</w:t>
            </w:r>
          </w:p>
        </w:tc>
        <w:tc>
          <w:tcPr>
            <w:tcW w:w="1134" w:type="dxa"/>
            <w:shd w:val="clear" w:color="auto" w:fill="auto"/>
          </w:tcPr>
          <w:p w14:paraId="3CC5FC6F" w14:textId="1ED20F9D" w:rsidR="00877F0D" w:rsidRPr="005208DC" w:rsidRDefault="00877F0D" w:rsidP="00857902">
            <w:pPr>
              <w:widowControl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xml:space="preserve">1% </w:t>
            </w:r>
          </w:p>
        </w:tc>
        <w:tc>
          <w:tcPr>
            <w:tcW w:w="1559" w:type="dxa"/>
            <w:shd w:val="clear" w:color="auto" w:fill="auto"/>
          </w:tcPr>
          <w:p w14:paraId="127214E7" w14:textId="7BADB8BF" w:rsidR="00877F0D" w:rsidRPr="005208DC" w:rsidRDefault="00877F0D" w:rsidP="00857902">
            <w:pPr>
              <w:widowControl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1.5%</w:t>
            </w:r>
          </w:p>
        </w:tc>
        <w:tc>
          <w:tcPr>
            <w:tcW w:w="1127" w:type="dxa"/>
            <w:shd w:val="clear" w:color="auto" w:fill="auto"/>
          </w:tcPr>
          <w:p w14:paraId="3D98AEF2" w14:textId="529578DD" w:rsidR="00877F0D" w:rsidRPr="005208DC" w:rsidRDefault="00877F0D" w:rsidP="00857902">
            <w:pPr>
              <w:widowControl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10%</w:t>
            </w:r>
          </w:p>
        </w:tc>
      </w:tr>
      <w:tr w:rsidR="005208DC" w:rsidRPr="005208DC" w14:paraId="3538BAC8" w14:textId="77777777" w:rsidTr="003D2C7A">
        <w:tc>
          <w:tcPr>
            <w:tcW w:w="5802" w:type="dxa"/>
            <w:shd w:val="clear" w:color="auto" w:fill="auto"/>
          </w:tcPr>
          <w:p w14:paraId="2C1376E4" w14:textId="4B4A8B54" w:rsidR="00877F0D" w:rsidRPr="005208DC" w:rsidRDefault="00877F0D" w:rsidP="00857902">
            <w:pPr>
              <w:rPr>
                <w:rFonts w:asciiTheme="majorBidi" w:hAnsiTheme="majorBidi" w:cstheme="majorBidi"/>
                <w:color w:val="0D0D0D" w:themeColor="text1" w:themeTint="F2"/>
                <w:lang w:val="sq-AL"/>
              </w:rPr>
            </w:pPr>
            <w:r w:rsidRPr="005208DC">
              <w:rPr>
                <w:rFonts w:asciiTheme="majorBidi" w:eastAsia="Arial Narrow" w:hAnsiTheme="majorBidi" w:cstheme="majorBidi"/>
                <w:color w:val="0D0D0D" w:themeColor="text1" w:themeTint="F2"/>
                <w:lang w:val="sq-AL"/>
              </w:rPr>
              <w:t>Kursimi i energjisë nga masat (projektet pilot) në sektorin e efiçiencës së energjisë</w:t>
            </w:r>
          </w:p>
        </w:tc>
        <w:tc>
          <w:tcPr>
            <w:tcW w:w="1134" w:type="dxa"/>
            <w:shd w:val="clear" w:color="auto" w:fill="auto"/>
          </w:tcPr>
          <w:p w14:paraId="01C4E3B8" w14:textId="05CFF594" w:rsidR="00877F0D" w:rsidRPr="005208DC" w:rsidRDefault="00877F0D" w:rsidP="00857902">
            <w:pPr>
              <w:widowControl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5 %</w:t>
            </w:r>
          </w:p>
        </w:tc>
        <w:tc>
          <w:tcPr>
            <w:tcW w:w="1559" w:type="dxa"/>
            <w:shd w:val="clear" w:color="auto" w:fill="auto"/>
          </w:tcPr>
          <w:p w14:paraId="7960C9FB" w14:textId="160CDD00" w:rsidR="00877F0D" w:rsidRPr="005208DC" w:rsidRDefault="00877F0D" w:rsidP="00857902">
            <w:pPr>
              <w:widowControl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6%</w:t>
            </w:r>
          </w:p>
        </w:tc>
        <w:tc>
          <w:tcPr>
            <w:tcW w:w="1127" w:type="dxa"/>
            <w:shd w:val="clear" w:color="auto" w:fill="auto"/>
          </w:tcPr>
          <w:p w14:paraId="11318E9C" w14:textId="0686FF40" w:rsidR="00877F0D" w:rsidRPr="005208DC" w:rsidRDefault="00877F0D" w:rsidP="00857902">
            <w:pPr>
              <w:widowControl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7%</w:t>
            </w:r>
          </w:p>
        </w:tc>
      </w:tr>
      <w:tr w:rsidR="005208DC" w:rsidRPr="005208DC" w14:paraId="5447676A" w14:textId="77777777" w:rsidTr="003D2C7A">
        <w:tc>
          <w:tcPr>
            <w:tcW w:w="5802" w:type="dxa"/>
            <w:shd w:val="clear" w:color="auto" w:fill="auto"/>
          </w:tcPr>
          <w:p w14:paraId="5C6268C4" w14:textId="03FB0136" w:rsidR="00877F0D" w:rsidRPr="005208DC" w:rsidRDefault="00877F0D" w:rsidP="00857902">
            <w:pPr>
              <w:rPr>
                <w:rFonts w:asciiTheme="majorBidi" w:hAnsiTheme="majorBidi" w:cstheme="majorBidi"/>
                <w:color w:val="0D0D0D" w:themeColor="text1" w:themeTint="F2"/>
                <w:lang w:val="sq-AL"/>
              </w:rPr>
            </w:pPr>
            <w:r w:rsidRPr="005208DC">
              <w:rPr>
                <w:rFonts w:asciiTheme="majorBidi" w:eastAsia="Arial Narrow" w:hAnsiTheme="majorBidi" w:cstheme="majorBidi"/>
                <w:color w:val="0D0D0D" w:themeColor="text1" w:themeTint="F2"/>
                <w:lang w:val="sq-AL"/>
              </w:rPr>
              <w:t>Raportet e auditimit të efiçencës së energjisë / Certifikata e performancës së ndërtesës</w:t>
            </w:r>
          </w:p>
        </w:tc>
        <w:tc>
          <w:tcPr>
            <w:tcW w:w="1134" w:type="dxa"/>
            <w:shd w:val="clear" w:color="auto" w:fill="auto"/>
          </w:tcPr>
          <w:p w14:paraId="465A0670" w14:textId="4F6A289E" w:rsidR="00877F0D" w:rsidRPr="005208DC" w:rsidRDefault="00877F0D" w:rsidP="00857902">
            <w:pPr>
              <w:widowControl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22000</w:t>
            </w:r>
          </w:p>
        </w:tc>
        <w:tc>
          <w:tcPr>
            <w:tcW w:w="1559" w:type="dxa"/>
            <w:shd w:val="clear" w:color="auto" w:fill="auto"/>
          </w:tcPr>
          <w:p w14:paraId="06B5CB5C" w14:textId="36A5117C" w:rsidR="00877F0D" w:rsidRPr="005208DC" w:rsidRDefault="00877F0D" w:rsidP="00857902">
            <w:pPr>
              <w:widowControl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30000</w:t>
            </w:r>
          </w:p>
        </w:tc>
        <w:tc>
          <w:tcPr>
            <w:tcW w:w="1127" w:type="dxa"/>
            <w:shd w:val="clear" w:color="auto" w:fill="auto"/>
          </w:tcPr>
          <w:p w14:paraId="074745A4" w14:textId="759CA4F3" w:rsidR="00877F0D" w:rsidRPr="005208DC" w:rsidRDefault="00877F0D" w:rsidP="00857902">
            <w:pPr>
              <w:widowControl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35000</w:t>
            </w:r>
          </w:p>
        </w:tc>
      </w:tr>
    </w:tbl>
    <w:p w14:paraId="753C6ACD" w14:textId="77777777" w:rsidR="007A5807" w:rsidRPr="005208DC" w:rsidRDefault="007A5807" w:rsidP="00857902">
      <w:pPr>
        <w:snapToGrid w:val="0"/>
        <w:rPr>
          <w:rFonts w:asciiTheme="majorBidi" w:hAnsiTheme="majorBidi" w:cstheme="majorBidi"/>
          <w:color w:val="0D0D0D" w:themeColor="text1" w:themeTint="F2"/>
          <w:lang w:val="sq-AL"/>
        </w:rPr>
      </w:pPr>
    </w:p>
    <w:p w14:paraId="5A036E7C" w14:textId="59EFC1A2" w:rsidR="00080139" w:rsidRPr="005208DC" w:rsidRDefault="00B2062A" w:rsidP="00857902">
      <w:pPr>
        <w:pStyle w:val="Heading6"/>
        <w:numPr>
          <w:ilvl w:val="0"/>
          <w:numId w:val="7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konkurrueshmëri</w:t>
      </w:r>
    </w:p>
    <w:p w14:paraId="0BECD5AD" w14:textId="77777777" w:rsidR="00877F0D" w:rsidRPr="005208DC" w:rsidRDefault="00877F0D" w:rsidP="00857902">
      <w:pPr>
        <w:jc w:val="both"/>
        <w:rPr>
          <w:rFonts w:asciiTheme="majorBidi" w:hAnsiTheme="majorBidi" w:cstheme="majorBidi"/>
          <w:color w:val="0D0D0D" w:themeColor="text1" w:themeTint="F2"/>
          <w:lang w:val="sq-AL" w:eastAsia="sq-AL"/>
        </w:rPr>
      </w:pPr>
      <w:r w:rsidRPr="005208DC">
        <w:rPr>
          <w:rFonts w:asciiTheme="majorBidi" w:hAnsiTheme="majorBidi" w:cstheme="majorBidi"/>
          <w:color w:val="0D0D0D" w:themeColor="text1" w:themeTint="F2"/>
          <w:lang w:val="sq-AL" w:eastAsia="sq-AL"/>
        </w:rPr>
        <w:t>Sektori i energjisë po hyn në një epokë transformimesh të rëndësishme për shkak të rritjes së depërtimit të burimeve të rinovueshme. Diversifikimi i burimeve të energjisë (burimet e rinovueshme) do të ketë ndikim pozitiv të drejtpërdrejtë në rritjen e konkurrueshmërisë si rezultat i përdorimit të burimeve të reja të energjisë (solare dhe erë) që do të rrisin prodhimin vendas të energjisë në tregun shqiptar. Ndërsa teknologjitë e prodhimit të energjisë së rinovueshme janë maturuar dhe kostot e tyre janë ulur, ka një zhvendosje në rritje drejt ankandeve. Në tregun shqiptar me vëllime të kufizuara në ofertë, kjo ka çuar në konkurrencë intensive për projekte dhe ka rezultuar në uljen e kostove të çmimeve të energjisë (ankandi i Akernia 59.9 Euro KWh dhe 24.89 Euro/MWh për Karavasta 70 MWp).</w:t>
      </w:r>
    </w:p>
    <w:p w14:paraId="17CDF50A" w14:textId="77777777" w:rsidR="00877F0D" w:rsidRPr="005208DC" w:rsidRDefault="00877F0D" w:rsidP="00857902">
      <w:pPr>
        <w:jc w:val="both"/>
        <w:rPr>
          <w:rFonts w:asciiTheme="majorBidi" w:hAnsiTheme="majorBidi" w:cstheme="majorBidi"/>
          <w:color w:val="0D0D0D" w:themeColor="text1" w:themeTint="F2"/>
          <w:lang w:val="sq-AL" w:eastAsia="sq-AL"/>
        </w:rPr>
      </w:pPr>
      <w:r w:rsidRPr="005208DC">
        <w:rPr>
          <w:rFonts w:asciiTheme="majorBidi" w:hAnsiTheme="majorBidi" w:cstheme="majorBidi"/>
          <w:color w:val="0D0D0D" w:themeColor="text1" w:themeTint="F2"/>
          <w:lang w:val="sq-AL" w:eastAsia="sq-AL"/>
        </w:rPr>
        <w:t>Masat promovuese dhe nxitëse për burimet e rinovueshme do të kontribuojnë në rritjen e sigurisë së furnizimit me energji në vend dhe do t'i detyrojnë zhvilluesit të zbatojnë praktikat më të mira në drejtim të zhvillimit të projektit, të përdorin zgjidhje më të reja teknologjike inovative dhe në përgjithësi të reduktojnë marzhet.</w:t>
      </w:r>
    </w:p>
    <w:p w14:paraId="6E141D8F" w14:textId="533E3408" w:rsidR="00877F0D" w:rsidRPr="005208DC" w:rsidRDefault="00877F0D" w:rsidP="00857902">
      <w:pPr>
        <w:rPr>
          <w:rFonts w:asciiTheme="majorBidi" w:hAnsiTheme="majorBidi" w:cstheme="majorBidi"/>
          <w:color w:val="0D0D0D" w:themeColor="text1" w:themeTint="F2"/>
          <w:lang w:val="sq-AL" w:eastAsia="x-none"/>
        </w:rPr>
      </w:pPr>
      <w:r w:rsidRPr="005208DC">
        <w:rPr>
          <w:rFonts w:asciiTheme="majorBidi" w:hAnsiTheme="majorBidi" w:cstheme="majorBidi"/>
          <w:color w:val="0D0D0D" w:themeColor="text1" w:themeTint="F2"/>
          <w:lang w:val="sq-AL" w:eastAsia="sq-AL"/>
        </w:rPr>
        <w:t>Rezultatet e kursimit dhe efiçencës së energjisë do të kenë ndikim të drejtpërdrejtë pozitiv në rritjen e konkurrencës duke bërë të mundur uljen e konsumit të energjisë dhe uljen e kostove si rezultat i kursimeve.</w:t>
      </w:r>
    </w:p>
    <w:p w14:paraId="14BEEA0B" w14:textId="77777777" w:rsidR="00877F0D" w:rsidRPr="005208DC" w:rsidRDefault="00877F0D" w:rsidP="00857902">
      <w:pPr>
        <w:rPr>
          <w:rFonts w:asciiTheme="majorBidi" w:hAnsiTheme="majorBidi" w:cstheme="majorBidi"/>
          <w:color w:val="0D0D0D" w:themeColor="text1" w:themeTint="F2"/>
          <w:lang w:val="sq-AL" w:eastAsia="x-none"/>
        </w:rPr>
      </w:pPr>
    </w:p>
    <w:p w14:paraId="6F140C18" w14:textId="0FEEBD0F" w:rsidR="00080139" w:rsidRPr="005208DC" w:rsidRDefault="00B2062A" w:rsidP="00857902">
      <w:pPr>
        <w:pStyle w:val="Heading6"/>
        <w:numPr>
          <w:ilvl w:val="0"/>
          <w:numId w:val="7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Kosto e parashikuar e aktiviteteve dhe burimi i financimit</w:t>
      </w:r>
    </w:p>
    <w:p w14:paraId="7B255B78" w14:textId="4EE1CFF2" w:rsidR="00877F0D" w:rsidRPr="005208DC" w:rsidRDefault="00877F0D"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 të siguruar arritjen e objektivit kombëtar të konsumit të BRE (38%) në vitin 2020, janë miratuar autorizimet me tarifa të rregulluara për këto burime dhe janë miratuar metodologjitë për çmimet e blerjes së BRE. Ligji ruan kontratat koncesionare për hidrocentralet e vogla të miratuara më parë deri në 15 MW. Gjithashtu si nevojë për diversifikim, konsiderohen promovimi i burimeve të tjera të rinovueshme si Eolic apo PV, përtej hidrocentraleve. Në çdo rast, ligji parashikon mundësinë e mbështetjes financiare me prurje të rregulluara (feed-in-tariffs) dhe sipas kontratës Feed-in-Premium, si për prodhuesit me prioritet ekzistues dhe të rinj, ashtu edhe për prodhuesit e rinj pas përfundimit të vitit 2017. kur kontratat që nuk ishin objekt koncesioni filluan të funksiononin sipas një procedure të miratuar me VKM nr. 822 datë 7.10.2015 i ndryshuar. Sipas NREAP, investimi total për sektorin e BRE dhe EE (Synimet e reja) për 2021-2030 do të jetë pjesë e Planeve të reja të Veprimit (NECP) që do të zbatohen brenda tremujorit të parë të vitit 2022.</w:t>
      </w:r>
    </w:p>
    <w:p w14:paraId="633302A1" w14:textId="77777777" w:rsidR="00877F0D" w:rsidRPr="005208DC" w:rsidRDefault="00877F0D" w:rsidP="00857902">
      <w:pPr>
        <w:snapToGrid w:val="0"/>
        <w:rPr>
          <w:rFonts w:asciiTheme="majorBidi" w:hAnsiTheme="majorBidi" w:cstheme="majorBidi"/>
          <w:color w:val="0D0D0D" w:themeColor="text1" w:themeTint="F2"/>
          <w:lang w:val="sq-AL"/>
        </w:rPr>
      </w:pPr>
    </w:p>
    <w:p w14:paraId="0B00C2FC" w14:textId="3746B07A" w:rsidR="00080139" w:rsidRPr="005208DC" w:rsidRDefault="00B2062A" w:rsidP="00857902">
      <w:pPr>
        <w:pStyle w:val="Heading6"/>
        <w:numPr>
          <w:ilvl w:val="0"/>
          <w:numId w:val="7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përfundimet sociale si punësimi, ulja e varfërisë, barazia gjinore dhe aksesi në kujdesin shëndetësor</w:t>
      </w:r>
    </w:p>
    <w:p w14:paraId="36F8B407" w14:textId="3EB41ED3" w:rsidR="00877F0D" w:rsidRPr="005208DC" w:rsidRDefault="00877F0D"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Sektori i burimeve të rinovueshme do të ketë ndikim të drejtpërdrejtë social dhe ekonomik duke kontribuar në përmirësimin e mundësive të punësimit. Energjia e rinovueshme ka rritur numrin e punonjësve në një sërë kapacitetesh, duke përfshirë zhvillimin e projekteve, ndërtimin, instalimin, operimin dhe mirëmbajtjen, transportin dhe logjistikën, shërbimet financiare, ligjore dhe konsulence. Në sektorin industrial do të rekrutohet edhe staf i kualifikuar me kualifikime të duhura profesionale (auditorë dhe kompani ESCO), të cilët do të angazhohen në vazhdimësi në monitorimin e konsumit dhe propozimin e masave të reja për arritjen e kursimeve. Barazia gjinore po bën progres të qëndrueshëm në çdo fushë të ekonomisë, si dhe në industrinë e burimeve të rinovueshme. Numri i grave në role biznesi e tejkaloi atë të grave që drejtojnë burimet njerëzore, gjë që sinjalizon një ndryshim në llojet e përgjegjësive që gratë marrin tani. Në Shqipëri nuk ka kërkesa ligjore që synojnë në mënyrë specifike pjesëmarrjen e grave në bordet e kompanive. Megjithatë, për disa arsye duket një ritëm i përshpejtuar me të cilin kompanitë rrisin pjesëmarrjen e grave në fushën e burimeve të rinovueshme dhe efiçiencës së energjisë. Prioritetet strategjike adresojnë nevojat për shërbime shëndetësore të të gjitha komuniteteve dhe kategorive të popullsisë. Akses më i mirë i komuniteteve vulnerabël në shërbimet e kujdesit shëndetësor do të arrihet përmes një integrimi më të mirë horizontal të profesionistëve të ndryshëm të specializuar, që punojnë në nivel komunitar.</w:t>
      </w:r>
    </w:p>
    <w:p w14:paraId="7E1F4CB4" w14:textId="77777777" w:rsidR="00877F0D" w:rsidRPr="005208DC" w:rsidRDefault="00877F0D" w:rsidP="00857902">
      <w:pPr>
        <w:snapToGrid w:val="0"/>
        <w:rPr>
          <w:rFonts w:asciiTheme="majorBidi" w:hAnsiTheme="majorBidi" w:cstheme="majorBidi"/>
          <w:color w:val="0D0D0D" w:themeColor="text1" w:themeTint="F2"/>
          <w:lang w:val="sq-AL"/>
        </w:rPr>
      </w:pPr>
    </w:p>
    <w:p w14:paraId="379C2BC3" w14:textId="5B65CEED" w:rsidR="00080139" w:rsidRPr="005208DC" w:rsidRDefault="00B2062A" w:rsidP="00857902">
      <w:pPr>
        <w:pStyle w:val="Heading6"/>
        <w:numPr>
          <w:ilvl w:val="0"/>
          <w:numId w:val="7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mjedis dhe ndryshimi i klimës</w:t>
      </w:r>
    </w:p>
    <w:p w14:paraId="5A09E550" w14:textId="77777777" w:rsidR="00877F0D" w:rsidRPr="005208DC" w:rsidRDefault="00877F0D" w:rsidP="00857902">
      <w:pPr>
        <w:jc w:val="both"/>
        <w:rPr>
          <w:rFonts w:asciiTheme="majorBidi" w:hAnsiTheme="majorBidi" w:cstheme="majorBidi"/>
          <w:color w:val="0D0D0D" w:themeColor="text1" w:themeTint="F2"/>
          <w:lang w:val="sq-AL" w:eastAsia="sq-AL"/>
        </w:rPr>
      </w:pPr>
      <w:r w:rsidRPr="005208DC">
        <w:rPr>
          <w:rFonts w:asciiTheme="majorBidi" w:hAnsiTheme="majorBidi" w:cstheme="majorBidi"/>
          <w:color w:val="0D0D0D" w:themeColor="text1" w:themeTint="F2"/>
          <w:lang w:val="sq-AL" w:eastAsia="sq-AL"/>
        </w:rPr>
        <w:t>Qeveria Shqiptare po merr masa për të vijuar me përgatitjen e Planit të Integruar të Energjisë dhe Klimës duke marrë parasysh përshtatjen ndaj ndryshimeve klimatike. Strategjia kombëtare e përshtatjes ndaj ndryshimeve klimatike miratohet brenda korrikut 2019. Shqipëria nënshkroi Marrëveshjen e Parisit më 22 prill 2016, duke hyrë në një epokë të re të procesit ndërkombëtar të politikës klimatike. Shqipëria u bashkua me Konventën Kuadër të Kombeve të Bashkuara për Ndryshimet Klimatike (UNFCCC) në 1995 dhe Protokollin e Kiotos në 2005 dhe ka filluar procesin e ndryshimit të statusit të një vendi në zhvillim në një të zhvilluar, në kuadrin e UNFCCC.</w:t>
      </w:r>
    </w:p>
    <w:p w14:paraId="11CE7F44" w14:textId="0121D450" w:rsidR="00877F0D" w:rsidRPr="005208DC" w:rsidRDefault="00877F0D"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eastAsia="sq-AL"/>
        </w:rPr>
        <w:t>Shumica e burimeve të rinovueshme të energjisë prodhojnë pak ose aspak emetime të ngrohjes globale. Sistemet e erës, diellore dhe hidroelektrike prodhojnë energji elektrike pa emetime të lidhura me ndotjen e ajrit. Përveç kësaj, era dhe energjia diellore në thelb nuk kërkojnë ujë për të funksionuar dhe kështu nuk ndotin burimet ujore ose furnizimet e tendosjes. Prodhimi i energjisë nga instalimet e rinovueshme nuk kontribuon në emetimet e gazit të karbonit. Masat e efiçencës së energjisë janë një mjet i rëndësishëm për të reduktuar emetimet e CO2 përmes kursimeve në të gjithë sektorët, industri, vendbanim, transport etj. Lidhja midis reduktimit të emetimeve të CO2 dhe masës BRE &amp; EE do të jetë pjesë e dokumentit NECP që do të miratohet deri në fund të 2021. Qasja në energji të përballueshme dhe të besueshme në përputhje me SDG#7 duke rritur pjesën e energjisë së rinovueshme në përzierjen globale të energjisë. Kjo do të përfshinte përmirësimin e efikasitetit të energjisë dhe rritjen e bashkëpunimit ndërkombëtar për të lehtësuar aksesin më të hapur në teknologjinë e energjisë së pastër dhe më shumë investime në infrastrukturën e energjisë së pastër. Qasja në energji është një shtyllë shumë e rëndësishme për mirëqenien e njerëzve si dhe zhvillimin ekonomik dhe zbutjen e varfërisë përmes rritjes së përqindjes globale të energjisë së rinovueshme dhe përmirësimeve në efiçencën e energjisë.</w:t>
      </w:r>
    </w:p>
    <w:p w14:paraId="39F52081" w14:textId="77777777" w:rsidR="00877F0D" w:rsidRPr="005208DC" w:rsidRDefault="00877F0D" w:rsidP="00857902">
      <w:pPr>
        <w:snapToGrid w:val="0"/>
        <w:rPr>
          <w:rFonts w:asciiTheme="majorBidi" w:hAnsiTheme="majorBidi" w:cstheme="majorBidi"/>
          <w:color w:val="0D0D0D" w:themeColor="text1" w:themeTint="F2"/>
          <w:lang w:val="sq-AL"/>
        </w:rPr>
      </w:pPr>
    </w:p>
    <w:p w14:paraId="00CF5F73" w14:textId="3559805B" w:rsidR="00080139" w:rsidRPr="005208DC" w:rsidRDefault="00B2062A" w:rsidP="00857902">
      <w:pPr>
        <w:pStyle w:val="Heading6"/>
        <w:numPr>
          <w:ilvl w:val="0"/>
          <w:numId w:val="73"/>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Rreziqet e mundshme</w:t>
      </w:r>
    </w:p>
    <w:p w14:paraId="6F2C8250" w14:textId="2FF7CBCF" w:rsidR="00877F0D" w:rsidRPr="005208DC" w:rsidRDefault="00877F0D" w:rsidP="00857902">
      <w:pPr>
        <w:jc w:val="both"/>
        <w:rPr>
          <w:rFonts w:asciiTheme="majorBidi" w:hAnsiTheme="majorBidi" w:cstheme="majorBidi"/>
          <w:color w:val="0D0D0D" w:themeColor="text1" w:themeTint="F2"/>
          <w:lang w:val="sq-AL" w:eastAsia="x-none"/>
        </w:rPr>
      </w:pPr>
      <w:r w:rsidRPr="005208DC">
        <w:rPr>
          <w:rFonts w:asciiTheme="majorBidi" w:hAnsiTheme="majorBidi" w:cstheme="majorBidi"/>
          <w:color w:val="0D0D0D" w:themeColor="text1" w:themeTint="F2"/>
          <w:lang w:val="sq-AL"/>
        </w:rPr>
        <w:t>Parashikohen rreziqe në realizimin e reformës nëpërmjet zbatimit të projekteve dhe finalizimit të kuadrit legjislativ në mbështetje të burimeve diversifikuese të furnizimit me energji nëpërmjet rritjes së prodhimit të energjisë nga PV dhe era, financuar nga donacione, buxheti i shtetit të miratuar (në disa raste) dhe “Furnizimi i Tregut të Lirë” SA etj. Mund të ketë një rrezik të përgjithshëm për shkak të ndërveprimit të nevojshëm ndërmjet të gjithë aktorëve përkatës. Vonesa në miratimin e akteve nënligjore; Mungesa e një instrumenti financiar ndërsa projektet do të realizohen nga buxheti i shtetit dhe disa nga instrumentet e huaja financiare (fondet IPA); Vonesat në miratimin e VKM-së së KBP-së; EEA jo e pajisur plotësisht me staf; Vonesa në aktivitetet e projektit (faza e prokurimit etj.), Vonesat në fazën e autorizimit dhe ndërtimit të projekteve të FV dhe Erës për shkak të dukurive të sipërpërmendura dhe për shkak të procedurave të shtyra për COVID-19.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83"/>
        <w:gridCol w:w="5663"/>
      </w:tblGrid>
      <w:tr w:rsidR="005208DC" w:rsidRPr="005208DC" w14:paraId="17D9FE98" w14:textId="77777777" w:rsidTr="00A14AD0">
        <w:tc>
          <w:tcPr>
            <w:tcW w:w="3397" w:type="dxa"/>
            <w:shd w:val="clear" w:color="auto" w:fill="auto"/>
          </w:tcPr>
          <w:p w14:paraId="47EA8614" w14:textId="06D17479" w:rsidR="000B1809" w:rsidRPr="005208DC" w:rsidRDefault="00B2062A" w:rsidP="00857902">
            <w:pPr>
              <w:widowControl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Rreziku</w:t>
            </w:r>
          </w:p>
        </w:tc>
        <w:tc>
          <w:tcPr>
            <w:tcW w:w="1283" w:type="dxa"/>
            <w:shd w:val="clear" w:color="auto" w:fill="auto"/>
          </w:tcPr>
          <w:p w14:paraId="0B268EFA" w14:textId="38A0EC33" w:rsidR="000B1809" w:rsidRPr="005208DC" w:rsidRDefault="00B2062A" w:rsidP="00857902">
            <w:pPr>
              <w:widowControl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Mundësia</w:t>
            </w:r>
            <w:r w:rsidR="000B1809" w:rsidRPr="005208DC">
              <w:rPr>
                <w:rFonts w:asciiTheme="majorBidi" w:hAnsiTheme="majorBidi" w:cstheme="majorBidi"/>
                <w:color w:val="0D0D0D" w:themeColor="text1" w:themeTint="F2"/>
                <w:lang w:val="sq-AL"/>
              </w:rPr>
              <w:t xml:space="preserve"> (</w:t>
            </w:r>
            <w:r w:rsidRPr="005208DC">
              <w:rPr>
                <w:rFonts w:asciiTheme="majorBidi" w:hAnsiTheme="majorBidi" w:cstheme="majorBidi"/>
                <w:color w:val="0D0D0D" w:themeColor="text1" w:themeTint="F2"/>
                <w:lang w:val="sq-AL"/>
              </w:rPr>
              <w:t>e ulët, e lartë</w:t>
            </w:r>
            <w:r w:rsidR="000B1809" w:rsidRPr="005208DC">
              <w:rPr>
                <w:rFonts w:asciiTheme="majorBidi" w:hAnsiTheme="majorBidi" w:cstheme="majorBidi"/>
                <w:color w:val="0D0D0D" w:themeColor="text1" w:themeTint="F2"/>
                <w:lang w:val="sq-AL"/>
              </w:rPr>
              <w:t>)</w:t>
            </w:r>
          </w:p>
        </w:tc>
        <w:tc>
          <w:tcPr>
            <w:tcW w:w="5663" w:type="dxa"/>
            <w:shd w:val="clear" w:color="auto" w:fill="auto"/>
          </w:tcPr>
          <w:p w14:paraId="6147BAE6" w14:textId="5DB2EC9F" w:rsidR="000B1809" w:rsidRPr="005208DC" w:rsidRDefault="00B2062A" w:rsidP="00857902">
            <w:pPr>
              <w:widowControl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Veprimi zbutës i parashikuar</w:t>
            </w:r>
          </w:p>
        </w:tc>
      </w:tr>
      <w:tr w:rsidR="005208DC" w:rsidRPr="005208DC" w14:paraId="40E5FA2D" w14:textId="77777777" w:rsidTr="00A14AD0">
        <w:tc>
          <w:tcPr>
            <w:tcW w:w="3397" w:type="dxa"/>
            <w:shd w:val="clear" w:color="auto" w:fill="auto"/>
          </w:tcPr>
          <w:p w14:paraId="2108DC6C" w14:textId="28D7DC8A" w:rsidR="00877F0D" w:rsidRPr="005208DC" w:rsidRDefault="00877F0D" w:rsidP="00857902">
            <w:pPr>
              <w:pStyle w:val="TableParagraph"/>
              <w:ind w:right="63"/>
              <w:rPr>
                <w:rFonts w:asciiTheme="majorBidi" w:eastAsia="Arial Narrow"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Aktivitetet e projekteve të zgjatjes</w:t>
            </w:r>
          </w:p>
        </w:tc>
        <w:tc>
          <w:tcPr>
            <w:tcW w:w="1283" w:type="dxa"/>
            <w:shd w:val="clear" w:color="auto" w:fill="auto"/>
          </w:tcPr>
          <w:p w14:paraId="6BFCCE7C" w14:textId="7C346475" w:rsidR="00877F0D" w:rsidRPr="005208DC" w:rsidRDefault="00877F0D" w:rsidP="00857902">
            <w:pPr>
              <w:pStyle w:val="TableParagraph"/>
              <w:ind w:left="102" w:right="63"/>
              <w:rPr>
                <w:rFonts w:asciiTheme="majorBidi" w:hAnsiTheme="majorBidi" w:cstheme="majorBidi"/>
                <w:color w:val="0D0D0D" w:themeColor="text1" w:themeTint="F2"/>
                <w:spacing w:val="-1"/>
                <w:sz w:val="24"/>
                <w:szCs w:val="24"/>
                <w:lang w:val="sq-AL"/>
              </w:rPr>
            </w:pPr>
            <w:r w:rsidRPr="005208DC">
              <w:rPr>
                <w:rFonts w:asciiTheme="majorBidi" w:hAnsiTheme="majorBidi" w:cstheme="majorBidi"/>
                <w:color w:val="0D0D0D" w:themeColor="text1" w:themeTint="F2"/>
                <w:spacing w:val="-1"/>
                <w:sz w:val="24"/>
                <w:szCs w:val="24"/>
                <w:lang w:val="sq-AL"/>
              </w:rPr>
              <w:t>mesatar</w:t>
            </w:r>
          </w:p>
        </w:tc>
        <w:tc>
          <w:tcPr>
            <w:tcW w:w="5663" w:type="dxa"/>
            <w:shd w:val="clear" w:color="auto" w:fill="auto"/>
          </w:tcPr>
          <w:p w14:paraId="5C8A4E2D" w14:textId="00FEE3E7" w:rsidR="00877F0D" w:rsidRPr="005208DC" w:rsidRDefault="00877F0D" w:rsidP="00857902">
            <w:pPr>
              <w:pStyle w:val="TableParagraph"/>
              <w:ind w:left="102" w:right="63"/>
              <w:rPr>
                <w:rFonts w:asciiTheme="majorBidi" w:hAnsiTheme="majorBidi" w:cstheme="majorBidi"/>
                <w:color w:val="0D0D0D" w:themeColor="text1" w:themeTint="F2"/>
                <w:spacing w:val="-1"/>
                <w:sz w:val="24"/>
                <w:szCs w:val="24"/>
                <w:lang w:val="sq-AL"/>
              </w:rPr>
            </w:pPr>
            <w:r w:rsidRPr="005208DC">
              <w:rPr>
                <w:rFonts w:asciiTheme="majorBidi" w:hAnsiTheme="majorBidi" w:cstheme="majorBidi"/>
                <w:color w:val="0D0D0D" w:themeColor="text1" w:themeTint="F2"/>
                <w:sz w:val="24"/>
                <w:szCs w:val="24"/>
                <w:lang w:val="sq-AL"/>
              </w:rPr>
              <w:t>Monitorimi i rregullt i realizimit të aktiviteteve (Duhet përmendur vonesa në ndërtimin e impianteve të rinovueshme në proces autorizimi apo në bazë të zgjatjes së kontratave për ankande për çështje ligjore)</w:t>
            </w:r>
          </w:p>
        </w:tc>
      </w:tr>
      <w:tr w:rsidR="005208DC" w:rsidRPr="005208DC" w14:paraId="21AE887A" w14:textId="77777777" w:rsidTr="00A14AD0">
        <w:tc>
          <w:tcPr>
            <w:tcW w:w="3397" w:type="dxa"/>
            <w:shd w:val="clear" w:color="auto" w:fill="auto"/>
          </w:tcPr>
          <w:p w14:paraId="51BB646B" w14:textId="4D79D116" w:rsidR="00877F0D" w:rsidRPr="005208DC" w:rsidRDefault="00877F0D" w:rsidP="00857902">
            <w:pPr>
              <w:pStyle w:val="TableParagraph"/>
              <w:ind w:right="63"/>
              <w:rPr>
                <w:rFonts w:asciiTheme="majorBidi" w:eastAsia="Arial Narrow"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Vonesa në miratimin dhe miratimin e akteve nënligjore.</w:t>
            </w:r>
          </w:p>
        </w:tc>
        <w:tc>
          <w:tcPr>
            <w:tcW w:w="1283" w:type="dxa"/>
            <w:shd w:val="clear" w:color="auto" w:fill="auto"/>
          </w:tcPr>
          <w:p w14:paraId="1D082F12" w14:textId="55570D5D" w:rsidR="00877F0D" w:rsidRPr="005208DC" w:rsidRDefault="00877F0D" w:rsidP="00857902">
            <w:pPr>
              <w:pStyle w:val="TableParagraph"/>
              <w:ind w:left="102" w:right="63"/>
              <w:rPr>
                <w:rFonts w:asciiTheme="majorBidi" w:hAnsiTheme="majorBidi" w:cstheme="majorBidi"/>
                <w:color w:val="0D0D0D" w:themeColor="text1" w:themeTint="F2"/>
                <w:spacing w:val="-1"/>
                <w:sz w:val="24"/>
                <w:szCs w:val="24"/>
                <w:lang w:val="sq-AL"/>
              </w:rPr>
            </w:pPr>
            <w:r w:rsidRPr="005208DC">
              <w:rPr>
                <w:rFonts w:asciiTheme="majorBidi" w:hAnsiTheme="majorBidi" w:cstheme="majorBidi"/>
                <w:color w:val="0D0D0D" w:themeColor="text1" w:themeTint="F2"/>
                <w:lang w:val="sq-AL"/>
              </w:rPr>
              <w:t>i ulët</w:t>
            </w:r>
          </w:p>
        </w:tc>
        <w:tc>
          <w:tcPr>
            <w:tcW w:w="5663" w:type="dxa"/>
            <w:shd w:val="clear" w:color="auto" w:fill="auto"/>
          </w:tcPr>
          <w:p w14:paraId="2167AEED" w14:textId="07A87BF6" w:rsidR="00877F0D" w:rsidRPr="005208DC" w:rsidRDefault="00877F0D" w:rsidP="00857902">
            <w:pPr>
              <w:pStyle w:val="TableParagraph"/>
              <w:ind w:left="102" w:right="63"/>
              <w:rPr>
                <w:rFonts w:asciiTheme="majorBidi" w:hAnsiTheme="majorBidi" w:cstheme="majorBidi"/>
                <w:color w:val="0D0D0D" w:themeColor="text1" w:themeTint="F2"/>
                <w:spacing w:val="-1"/>
                <w:sz w:val="24"/>
                <w:szCs w:val="24"/>
                <w:lang w:val="sq-AL"/>
              </w:rPr>
            </w:pPr>
            <w:r w:rsidRPr="005208DC">
              <w:rPr>
                <w:rFonts w:asciiTheme="majorBidi" w:hAnsiTheme="majorBidi" w:cstheme="majorBidi"/>
                <w:color w:val="0D0D0D" w:themeColor="text1" w:themeTint="F2"/>
                <w:sz w:val="24"/>
                <w:szCs w:val="24"/>
                <w:lang w:val="sq-AL"/>
              </w:rPr>
              <w:t>Përdorimi i asistencës teknike të BE-së për një përafrim më të mirë dhe efikas të legjislacionit në përputhje me zhvillimet e reja në tregun e energjisë.</w:t>
            </w:r>
          </w:p>
        </w:tc>
      </w:tr>
    </w:tbl>
    <w:p w14:paraId="49D86DDC" w14:textId="77777777" w:rsidR="00080139" w:rsidRPr="005208DC" w:rsidRDefault="00080139" w:rsidP="00857902">
      <w:pPr>
        <w:snapToGrid w:val="0"/>
        <w:rPr>
          <w:rFonts w:asciiTheme="majorBidi" w:hAnsiTheme="majorBidi" w:cstheme="majorBidi"/>
          <w:color w:val="0D0D0D" w:themeColor="text1" w:themeTint="F2"/>
          <w:lang w:val="sq-AL"/>
        </w:rPr>
      </w:pPr>
    </w:p>
    <w:p w14:paraId="343F90BA" w14:textId="77777777" w:rsidR="00080139" w:rsidRPr="005208DC" w:rsidRDefault="00080139" w:rsidP="00857902">
      <w:pPr>
        <w:rPr>
          <w:rFonts w:asciiTheme="majorBidi" w:hAnsiTheme="majorBidi" w:cstheme="majorBidi"/>
          <w:color w:val="0D0D0D" w:themeColor="text1" w:themeTint="F2"/>
          <w:lang w:val="sq-AL"/>
        </w:rPr>
      </w:pPr>
    </w:p>
    <w:p w14:paraId="308D1F23" w14:textId="11512E73" w:rsidR="00C21F03" w:rsidRPr="005208DC" w:rsidRDefault="001E4FC2" w:rsidP="00857902">
      <w:pPr>
        <w:pStyle w:val="Heading3"/>
        <w:numPr>
          <w:ilvl w:val="2"/>
          <w:numId w:val="1"/>
        </w:numPr>
        <w:snapToGrid w:val="0"/>
        <w:rPr>
          <w:rFonts w:asciiTheme="majorBidi" w:hAnsiTheme="majorBidi" w:cstheme="majorBidi"/>
          <w:b/>
          <w:color w:val="0D0D0D" w:themeColor="text1" w:themeTint="F2"/>
          <w:sz w:val="24"/>
          <w:szCs w:val="24"/>
          <w:lang w:val="sq-AL"/>
        </w:rPr>
      </w:pPr>
      <w:bookmarkStart w:id="82" w:name="_Toc92721151"/>
      <w:r w:rsidRPr="005208DC">
        <w:rPr>
          <w:rFonts w:asciiTheme="majorBidi" w:hAnsiTheme="majorBidi" w:cstheme="majorBidi"/>
          <w:b/>
          <w:color w:val="0D0D0D" w:themeColor="text1" w:themeTint="F2"/>
          <w:sz w:val="24"/>
          <w:szCs w:val="24"/>
          <w:lang w:val="sq-AL"/>
        </w:rPr>
        <w:t>T</w:t>
      </w:r>
      <w:r w:rsidR="002C5872" w:rsidRPr="005208DC">
        <w:rPr>
          <w:rFonts w:asciiTheme="majorBidi" w:hAnsiTheme="majorBidi" w:cstheme="majorBidi"/>
          <w:b/>
          <w:color w:val="0D0D0D" w:themeColor="text1" w:themeTint="F2"/>
          <w:sz w:val="24"/>
          <w:szCs w:val="24"/>
          <w:lang w:val="sq-AL"/>
        </w:rPr>
        <w:t>ransporti</w:t>
      </w:r>
      <w:bookmarkEnd w:id="82"/>
    </w:p>
    <w:p w14:paraId="0FF6F43E" w14:textId="706CE1D9" w:rsidR="0004171D" w:rsidRPr="005208DC" w:rsidRDefault="00B2062A" w:rsidP="00857902">
      <w:pPr>
        <w:pStyle w:val="Heading4"/>
        <w:numPr>
          <w:ilvl w:val="0"/>
          <w:numId w:val="50"/>
        </w:numPr>
        <w:snapToGrid w:val="0"/>
        <w:ind w:left="567" w:hanging="283"/>
        <w:rPr>
          <w:rFonts w:asciiTheme="majorBidi" w:hAnsiTheme="majorBidi" w:cstheme="majorBidi"/>
          <w:b w:val="0"/>
          <w:i/>
          <w:color w:val="0D0D0D" w:themeColor="text1" w:themeTint="F2"/>
          <w:sz w:val="24"/>
          <w:szCs w:val="24"/>
          <w:lang w:val="sq-AL"/>
        </w:rPr>
      </w:pPr>
      <w:r w:rsidRPr="005208DC">
        <w:rPr>
          <w:rFonts w:asciiTheme="majorBidi" w:hAnsiTheme="majorBidi" w:cstheme="majorBidi"/>
          <w:b w:val="0"/>
          <w:i/>
          <w:color w:val="0D0D0D" w:themeColor="text1" w:themeTint="F2"/>
          <w:sz w:val="24"/>
          <w:szCs w:val="24"/>
          <w:lang w:val="sq-AL"/>
        </w:rPr>
        <w:t>Analiza e pengesave kryesore</w:t>
      </w:r>
    </w:p>
    <w:p w14:paraId="39BADF85" w14:textId="7C089FAE" w:rsidR="007905B3" w:rsidRPr="005208DC" w:rsidRDefault="007905B3"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Rrjeti hekurudhor shqiptar operon nën kapacitetin e tij aktual, për shkak të mungesës së investimeve, operacioneve të mirëmbajtjes dhe rrjetit të vjetërsuar, ku nuk arrin të sigurojë se nuk ka seksion të mirëmbajtjes së dobët/shumë të dobët në rrjetin kryesor të transportit. Është arritur ndarja e operimeve të trenave nga menaxhimi i infrastrukturës, sipas legjislacionit në fuqi të ndarjes ekzistuese hekurudhore.</w:t>
      </w:r>
      <w:r w:rsidRPr="005208DC">
        <w:rPr>
          <w:color w:val="0D0D0D" w:themeColor="text1" w:themeTint="F2"/>
          <w:lang w:val="sq-AL"/>
        </w:rPr>
        <w:t xml:space="preserve"> </w:t>
      </w:r>
      <w:r w:rsidRPr="005208DC">
        <w:rPr>
          <w:rFonts w:asciiTheme="majorBidi" w:hAnsiTheme="majorBidi" w:cstheme="majorBidi"/>
          <w:color w:val="0D0D0D" w:themeColor="text1" w:themeTint="F2"/>
          <w:lang w:val="sq-AL"/>
        </w:rPr>
        <w:t>Pengesat kryesore në hekurudha:</w:t>
      </w:r>
    </w:p>
    <w:p w14:paraId="18668D57" w14:textId="77777777" w:rsidR="007905B3" w:rsidRPr="005208DC" w:rsidRDefault="007905B3" w:rsidP="00857902">
      <w:pPr>
        <w:snapToGrid w:val="0"/>
        <w:ind w:left="36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Përafrimi i pamjaftueshëm i dokumenteve të shumta të politikave nga administrata, drejtimi dhe kontrolli i brendshëm i hekurudhave shqiptare, në kuadër të veprimeve prioritare tërthore dhe prioriteteve për hekurudhat;</w:t>
      </w:r>
    </w:p>
    <w:p w14:paraId="3148F8DB" w14:textId="77777777" w:rsidR="007905B3" w:rsidRPr="005208DC" w:rsidRDefault="007905B3" w:rsidP="00857902">
      <w:pPr>
        <w:snapToGrid w:val="0"/>
        <w:ind w:left="36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Zbatimi i paqartë i objektivave, objektivave dhe veprimeve të planifikuara dhe masave të buta; për shkak të dështimit të paraqitjes së një programi të saktë të zhvillimit ekonomik financiar, pasi nuk është në përputhje me metodologjinë e OECD, zbatimi i ngadaltë i rishikimit të dytë të planit kombëtar të transportit (ANTP3);</w:t>
      </w:r>
    </w:p>
    <w:p w14:paraId="577FB084" w14:textId="77777777" w:rsidR="007905B3" w:rsidRPr="005208DC" w:rsidRDefault="007905B3" w:rsidP="00857902">
      <w:pPr>
        <w:snapToGrid w:val="0"/>
        <w:ind w:left="36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Mungesa e treguesve të matshëm, të raportueshëm dhe të verifikueshëm; për shkak të programit M&amp;R me BE-në;</w:t>
      </w:r>
    </w:p>
    <w:p w14:paraId="58A39251" w14:textId="77777777" w:rsidR="007905B3" w:rsidRPr="005208DC" w:rsidRDefault="007905B3" w:rsidP="00857902">
      <w:pPr>
        <w:snapToGrid w:val="0"/>
        <w:ind w:left="36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Mungesa e vlerësimit ex-ante të efektit eventual mjedisor të kontesteve të identifikuara;</w:t>
      </w:r>
    </w:p>
    <w:p w14:paraId="16310984" w14:textId="77777777" w:rsidR="007905B3" w:rsidRPr="005208DC" w:rsidRDefault="007905B3" w:rsidP="00857902">
      <w:pPr>
        <w:snapToGrid w:val="0"/>
        <w:ind w:left="36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Teknologji të ndryshme dhe njohuri të këtyre teknologjive; moduli i pjesshëm i AFMIS, mungesa e CoreDa_RAILDATA për llogaritjen e orëve të qëndrimit për trenat në BKP të Përbashkët; etj.</w:t>
      </w:r>
    </w:p>
    <w:p w14:paraId="7246C97E" w14:textId="77777777" w:rsidR="007905B3" w:rsidRPr="005208DC" w:rsidRDefault="007905B3" w:rsidP="00857902">
      <w:pPr>
        <w:snapToGrid w:val="0"/>
        <w:ind w:left="36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Shpronësimi i tokës, nën rishikimin e metodologjisë së Bankës dhe vendimit të ardhshëm të DoCM.</w:t>
      </w:r>
    </w:p>
    <w:p w14:paraId="29A3B628" w14:textId="77777777" w:rsidR="007905B3" w:rsidRPr="005208DC" w:rsidRDefault="007905B3"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Legjislacioni zbatues është akoma në faza tranzicioni sipas dispozitave ligjore për ngritjen e strukturave dhe agjencive përkatëse, në veçanti, Autoritetit Rregullator i Hekurudhave, Autoritetit i Sigurisë Hekurudhore dhe Autoritetit Kombëtar i Hetimit për Hekurudhat dhe Detin.</w:t>
      </w:r>
    </w:p>
    <w:p w14:paraId="1292D2BA" w14:textId="77777777" w:rsidR="007905B3" w:rsidRPr="005208DC" w:rsidRDefault="007905B3"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Infrastruktura detare është e pazhvilluar me kapacitet të pamjaftueshëm. Cilësia e ulët e infrastrukturës të transportit ka ndikuar në integrimin e vendit në zinxhirët e furnizimit rajonal dhe global dhe ka një ndikim të drejtpërdrejtë në zhvillimin e turizmit dhe shërbimeve transitore.</w:t>
      </w:r>
    </w:p>
    <w:p w14:paraId="26EEE708" w14:textId="77777777" w:rsidR="007905B3" w:rsidRPr="005208DC" w:rsidRDefault="007905B3"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Masa e propozuar për sektorin e transportit do të ndihmojë në frenimin e këtyre çështjeve, si dhe do të ndihmojë në rritjen e rritjes ekonomike dhe konkurrencës së vendit. Urdhri i Masterplanit për sistemin e integruar portual, është në fuqi nga Agjencia Kombëtare e Planifikimit Hapësinor (AKPT) nga data 14.10.2020. Zhvendosja e aktiviteteve tregtare është shpallur tashme në një vend tjetër, porti Romano në zonën ekonomike të Spitallës, të Bashkisë Durrës dhe shndërrimi i Portit të Durrësit në një port turistik.</w:t>
      </w:r>
    </w:p>
    <w:p w14:paraId="5018ECD5" w14:textId="77777777" w:rsidR="007905B3" w:rsidRPr="005208DC" w:rsidRDefault="007905B3"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Duke qenë se Shqipëria është mesatarisht e përgatitur me reformën e RAP-it të administratës së saj publike dhe shtetërore, e rëndësishme edhe për sektorin strategjik të hekurudhave, si në legjislacionin në fuqi, ajo përmirëson për sektorin e transportit, integrimin e sistemeve të menaxhimit të burimeve njerëzore, të cilat ende mungojnë në dislokim për hekurudhat. Tashme eshtë bërë njëfarë progresi në krijimin e kapaciteteve në ministritë e linjës për zbatimin e vlerësimeve të ndikimit rregullator, miratimin e udhëzimeve për konsultimet publike, ngritjen e sistemeve të TI-së për planifikimin e integruar, rritjen e shkallës së zbatimit të Planit Kombëtar të Integrimit Evropian, rritjen e numrit të e- shërbimet dhe përfundimi i fazës së testimit për të automatizuar sistemin e listës së pagave. Zbatimi i reformës së administratës publike (PAR) 2015-2022 dhe strategjive të reformës së menaxhimit të financave publike (MFP) 2015-2022 ka vazhduar pavarësisht ndikimit të pandemisë.</w:t>
      </w:r>
    </w:p>
    <w:p w14:paraId="0EF9EFC0" w14:textId="14585E6C" w:rsidR="007905B3" w:rsidRPr="005208DC" w:rsidRDefault="007905B3"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Kuvendi miratoi në 1 korrik 2021 paketën ligjore në lidhje me kuadrin institucional, duke krijuar Autoritetin Rregullator të pavarur të Hekurudhave, Autoritetin e Sigurisë Hekurudhore dhe Autoritetin Kombëtar të Hetimit për Hekurudhat dhe Detin, për gjithsej katër ligje. Ligjet kanë hyrë në fuqi më 20 gusht 2021.</w:t>
      </w:r>
    </w:p>
    <w:p w14:paraId="256F4BC7" w14:textId="77777777" w:rsidR="007905B3" w:rsidRPr="005208DC" w:rsidRDefault="007905B3" w:rsidP="00857902">
      <w:pPr>
        <w:snapToGrid w:val="0"/>
        <w:rPr>
          <w:rFonts w:asciiTheme="majorBidi" w:hAnsiTheme="majorBidi" w:cstheme="majorBidi"/>
          <w:color w:val="0D0D0D" w:themeColor="text1" w:themeTint="F2"/>
          <w:lang w:val="sq-AL"/>
        </w:rPr>
      </w:pPr>
    </w:p>
    <w:p w14:paraId="4E0F8F17" w14:textId="224D9F1C" w:rsidR="0004171D" w:rsidRPr="005208DC" w:rsidRDefault="00B2062A" w:rsidP="00857902">
      <w:pPr>
        <w:pStyle w:val="Heading4"/>
        <w:numPr>
          <w:ilvl w:val="0"/>
          <w:numId w:val="50"/>
        </w:numPr>
        <w:snapToGrid w:val="0"/>
        <w:ind w:left="567" w:hanging="283"/>
        <w:rPr>
          <w:rFonts w:asciiTheme="majorBidi" w:hAnsiTheme="majorBidi" w:cstheme="majorBidi"/>
          <w:b w:val="0"/>
          <w:i/>
          <w:color w:val="0D0D0D" w:themeColor="text1" w:themeTint="F2"/>
          <w:sz w:val="24"/>
          <w:szCs w:val="24"/>
          <w:lang w:val="sq-AL"/>
        </w:rPr>
      </w:pPr>
      <w:r w:rsidRPr="005208DC">
        <w:rPr>
          <w:rFonts w:asciiTheme="majorBidi" w:hAnsiTheme="majorBidi" w:cstheme="majorBidi"/>
          <w:b w:val="0"/>
          <w:i/>
          <w:color w:val="0D0D0D" w:themeColor="text1" w:themeTint="F2"/>
          <w:sz w:val="24"/>
          <w:szCs w:val="24"/>
          <w:lang w:val="sq-AL"/>
        </w:rPr>
        <w:t>Masat e reformës</w:t>
      </w:r>
    </w:p>
    <w:p w14:paraId="45F13441" w14:textId="049AD55C" w:rsidR="0004171D" w:rsidRPr="005208DC" w:rsidRDefault="00B2062A" w:rsidP="00857902">
      <w:pPr>
        <w:pStyle w:val="Heading5"/>
        <w:snapToGrid w:val="0"/>
        <w:ind w:left="0"/>
        <w:rPr>
          <w:rFonts w:asciiTheme="majorBidi" w:hAnsiTheme="majorBidi" w:cstheme="majorBidi"/>
          <w:i w:val="0"/>
          <w:color w:val="0D0D0D" w:themeColor="text1" w:themeTint="F2"/>
          <w:sz w:val="24"/>
          <w:szCs w:val="24"/>
          <w:lang w:val="sq-AL"/>
        </w:rPr>
      </w:pPr>
      <w:r w:rsidRPr="005208DC">
        <w:rPr>
          <w:rFonts w:asciiTheme="majorBidi" w:hAnsiTheme="majorBidi" w:cstheme="majorBidi"/>
          <w:i w:val="0"/>
          <w:color w:val="0D0D0D" w:themeColor="text1" w:themeTint="F2"/>
          <w:sz w:val="24"/>
          <w:szCs w:val="24"/>
          <w:lang w:val="sq-AL"/>
        </w:rPr>
        <w:t>Masa e reformës</w:t>
      </w:r>
      <w:r w:rsidR="005358F8" w:rsidRPr="005208DC">
        <w:rPr>
          <w:rFonts w:asciiTheme="majorBidi" w:hAnsiTheme="majorBidi" w:cstheme="majorBidi"/>
          <w:i w:val="0"/>
          <w:color w:val="0D0D0D" w:themeColor="text1" w:themeTint="F2"/>
          <w:sz w:val="24"/>
          <w:szCs w:val="24"/>
          <w:lang w:val="sq-AL"/>
        </w:rPr>
        <w:t xml:space="preserve"> 15</w:t>
      </w:r>
      <w:r w:rsidR="0004171D" w:rsidRPr="005208DC">
        <w:rPr>
          <w:rFonts w:asciiTheme="majorBidi" w:hAnsiTheme="majorBidi" w:cstheme="majorBidi"/>
          <w:i w:val="0"/>
          <w:color w:val="0D0D0D" w:themeColor="text1" w:themeTint="F2"/>
          <w:sz w:val="24"/>
          <w:szCs w:val="24"/>
          <w:lang w:val="sq-AL"/>
        </w:rPr>
        <w:t xml:space="preserve">: </w:t>
      </w:r>
      <w:r w:rsidR="007905B3" w:rsidRPr="005208DC">
        <w:rPr>
          <w:rFonts w:asciiTheme="majorBidi" w:hAnsiTheme="majorBidi" w:cstheme="majorBidi"/>
          <w:i w:val="0"/>
          <w:color w:val="0D0D0D" w:themeColor="text1" w:themeTint="F2"/>
          <w:sz w:val="24"/>
          <w:szCs w:val="24"/>
          <w:lang w:val="sq-AL"/>
        </w:rPr>
        <w:t>Rehabilitimi dhe ndërtimi i segmentit hekurudhor Durrës-TIA-Tiranë</w:t>
      </w:r>
    </w:p>
    <w:p w14:paraId="516E85B7" w14:textId="535E888D" w:rsidR="0004171D" w:rsidRPr="005208DC" w:rsidRDefault="00B2062A" w:rsidP="00857902">
      <w:pPr>
        <w:pStyle w:val="Heading6"/>
        <w:numPr>
          <w:ilvl w:val="0"/>
          <w:numId w:val="51"/>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Përshkrimi i masës</w:t>
      </w:r>
    </w:p>
    <w:p w14:paraId="2A80E788" w14:textId="77777777" w:rsidR="007905B3" w:rsidRPr="005208DC" w:rsidRDefault="007905B3" w:rsidP="00857902">
      <w:pPr>
        <w:jc w:val="both"/>
        <w:rPr>
          <w:rFonts w:asciiTheme="majorBidi" w:hAnsiTheme="majorBidi" w:cstheme="majorBidi"/>
          <w:color w:val="0D0D0D" w:themeColor="text1" w:themeTint="F2"/>
          <w:lang w:val="sq-AL" w:eastAsia="x-none"/>
        </w:rPr>
      </w:pPr>
      <w:r w:rsidRPr="005208DC">
        <w:rPr>
          <w:rFonts w:asciiTheme="majorBidi" w:hAnsiTheme="majorBidi" w:cstheme="majorBidi"/>
          <w:color w:val="0D0D0D" w:themeColor="text1" w:themeTint="F2"/>
          <w:lang w:val="sq-AL" w:eastAsia="x-none"/>
        </w:rPr>
        <w:t>Objektivi kryesor i kësaj reforme strategjike është zhvillimi i mëtejshëm i sistemit kombëtar të transportit mbi bazën e një lëvizshmërie më të pastër, më të sigurt, më të zgjuar, më të gjelbër, më elastike dhe konkurruese, dhe përveç kësaj, të përmirësojë ndjeshëm qëndrueshmërinë, ndërlidhjen, ndërveprimin dhe integrimin më të gjerë me Rajoni i Ballkanit Perëndimor në zonën e vetme hekurudhore evropiane dhe sistemin ndërkombëtar të transportit. Integrimi i shërbimeve të transportit publik synon në intermodalitetin hekurudhor dhe transportin e kombinuar me zinxhirët e vlerave të transportit urban, rrugor-hekurudhor, ujor/detar, ajror dhe logjistik, nëpërmjet dixhitalizimit, dekarbonizimit dhe automatizimit. Përmirësimi i bazës ekologjike në transformimin e sistemit të transportit të Shqipërisë drejt sistemit hekurudhor të BE-së, promovon sistemin e pastër të transportit dhe nënsistemet hekurudhore, duke vendosur në një treg të vetëm në zonën evropiane të transportit, me teknologjitë neutrale ndaj klimës, integrimin tonë në sistemet e kursimit të energjisë. dhe zinxhiri i vlerës së BE-së, paraqitja e objektivave të agjendës së gjelbër të BE-së për transportin e gjelbër të mallrave dhe zhurmën me hekurudhë. Forcimi i kapaciteteve të zhvillimit dhe kërkimit inovativ dhe reagimi i shpejtë ndaj rreziqeve jep një transformim inovativ drejt konkurrencës dhe demonstrimit të integrimit dhe fizibilitetit në BE. Teknologjitë kryesore dixhitale me komponentë elektronikë nxisin shërbimin e marketingut / markës. Rrjetet dhe shërbimet inteligjente mbështesin zhvillimin teknologjik në lidhjen e rajonit, si në strategjinë kombëtare të sektorit të transportit dhe planin e veprimit për periudhën 2001-2025 sipas miratimit</w:t>
      </w:r>
    </w:p>
    <w:p w14:paraId="41B662B1" w14:textId="32661100" w:rsidR="007905B3" w:rsidRPr="005208DC" w:rsidRDefault="007905B3"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eastAsia="x-none"/>
        </w:rPr>
        <w:t>Masa është një prioritet kryesor që rrjedh nga plani i veprimit të NTS 2016-2020, (Veprimi prioritar HEKURUDHOR nr. 6), dhe me rishikimin e strategjisë së re kombëtare të sektorit të transportit dhe planit të veprimit, ekziston një nevojë e veçantë për më shumë multimodalitetet, si në financimin dhe planin e veprimit të strategjisë së sektorit të Transportit 2021-2025, ku masat e buta të këtij prioriteti hekurudhor në reformën tonë strukturore theksojnë në fakt zhvillimin nga transporti i kombinuar. Dimensioni i transportit intermodal sigurohet përmes ERP 2022-2024, me pasagjerët e terminalit të trageteve nga portet dhe lëvizjen me hekurudhë në brendësi të vendit drejt aeroporteve. Specifikimet e prokuruar të ndërveprueshmërisë ndërlidhen me reformën e masave të vështira dhe nënsistemet funksionale dhe operacionale të hekurudhave. Të gjitha investimet madhore të ndërlidhura si në SSPP, në faktorin kryesor të suksesit për Rehabilitimin dhe ndërtimin e segmentit hekurudhor Durrës-TIA-Tiranë janë domosdoshmëri për realizimin e saktë të kësaj reforme strategjike.</w:t>
      </w:r>
    </w:p>
    <w:p w14:paraId="0CF4E84F" w14:textId="77777777" w:rsidR="007905B3" w:rsidRPr="005208DC" w:rsidRDefault="007905B3" w:rsidP="00857902">
      <w:pPr>
        <w:snapToGrid w:val="0"/>
        <w:rPr>
          <w:rFonts w:asciiTheme="majorBidi" w:hAnsiTheme="majorBidi" w:cstheme="majorBidi"/>
          <w:color w:val="0D0D0D" w:themeColor="text1" w:themeTint="F2"/>
          <w:lang w:val="sq-AL"/>
        </w:rPr>
      </w:pPr>
    </w:p>
    <w:p w14:paraId="323B30A5" w14:textId="3A9C55FF" w:rsidR="0004171D" w:rsidRPr="005208DC" w:rsidRDefault="00B2062A" w:rsidP="00857902">
      <w:pPr>
        <w:pStyle w:val="ListParagraph"/>
        <w:numPr>
          <w:ilvl w:val="0"/>
          <w:numId w:val="52"/>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04171D" w:rsidRPr="005208DC">
        <w:rPr>
          <w:rFonts w:asciiTheme="majorBidi" w:hAnsiTheme="majorBidi" w:cstheme="majorBidi"/>
          <w:b/>
          <w:color w:val="0D0D0D" w:themeColor="text1" w:themeTint="F2"/>
          <w:sz w:val="24"/>
          <w:szCs w:val="24"/>
          <w:lang w:val="sq-AL"/>
        </w:rPr>
        <w:t xml:space="preserve"> 2022</w:t>
      </w:r>
    </w:p>
    <w:p w14:paraId="7DDD4142" w14:textId="56CD1502" w:rsidR="0004171D" w:rsidRPr="005208DC" w:rsidRDefault="007905B3" w:rsidP="00857902">
      <w:pPr>
        <w:pStyle w:val="ListParagraph"/>
        <w:numPr>
          <w:ilvl w:val="0"/>
          <w:numId w:val="53"/>
        </w:numPr>
        <w:jc w:val="both"/>
        <w:rPr>
          <w:rFonts w:asciiTheme="majorBidi" w:hAnsiTheme="majorBidi" w:cstheme="majorBidi"/>
          <w:bCs/>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Gjatë vitit 2022 do të kryhet rehabilitimi i punimeve në seksionin kryesor nga Durrësi në PTT Tiranë dhe do të nisë ndërtimi i linjës së re hekurudhore deri në Aeroportin Ndërkombëtar të Tiranës. Projekti parashikohet të përfundojë dhe të dorëzohet në fund të periudhës raportuese (NjPI HSH).</w:t>
      </w:r>
    </w:p>
    <w:p w14:paraId="7EDF3D93" w14:textId="687AEA4C" w:rsidR="0004171D" w:rsidRPr="005208DC" w:rsidRDefault="00B2062A" w:rsidP="00857902">
      <w:pPr>
        <w:pStyle w:val="ListParagraph"/>
        <w:numPr>
          <w:ilvl w:val="0"/>
          <w:numId w:val="52"/>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04171D" w:rsidRPr="005208DC">
        <w:rPr>
          <w:rFonts w:asciiTheme="majorBidi" w:hAnsiTheme="majorBidi" w:cstheme="majorBidi"/>
          <w:b/>
          <w:color w:val="0D0D0D" w:themeColor="text1" w:themeTint="F2"/>
          <w:sz w:val="24"/>
          <w:szCs w:val="24"/>
          <w:lang w:val="sq-AL"/>
        </w:rPr>
        <w:t xml:space="preserve"> 2023</w:t>
      </w:r>
    </w:p>
    <w:p w14:paraId="554A2BBC" w14:textId="346952CF" w:rsidR="0004171D" w:rsidRPr="005208DC" w:rsidRDefault="007905B3" w:rsidP="00857902">
      <w:pPr>
        <w:pStyle w:val="ListParagraph"/>
        <w:numPr>
          <w:ilvl w:val="0"/>
          <w:numId w:val="54"/>
        </w:numPr>
        <w:jc w:val="both"/>
        <w:rPr>
          <w:rFonts w:asciiTheme="majorBidi" w:hAnsiTheme="majorBidi" w:cstheme="majorBidi"/>
          <w:bCs/>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Aktivitetet e ndërtimit parashikohen vetëm në Periudhën e Përgjegjësisë për Defektet, e cila do të zgjasë 12 muaj (NjPI HSH). Lidhja hekurudhore me aeroportin e Rinasit 5 km, do të plotësojë kryqëzimin trekëndor hekurudhor i cili është i prirur për shpronësime dhe një LAP tokësor</w:t>
      </w:r>
      <w:r w:rsidR="000C350C" w:rsidRPr="005208DC">
        <w:rPr>
          <w:rFonts w:asciiTheme="majorBidi" w:hAnsiTheme="majorBidi" w:cstheme="majorBidi"/>
          <w:bCs/>
          <w:color w:val="0D0D0D" w:themeColor="text1" w:themeTint="F2"/>
          <w:sz w:val="24"/>
          <w:szCs w:val="24"/>
          <w:lang w:val="sq-AL"/>
        </w:rPr>
        <w:t>.</w:t>
      </w:r>
    </w:p>
    <w:p w14:paraId="197CA48A" w14:textId="6B0CBBA0" w:rsidR="0004171D" w:rsidRPr="005208DC" w:rsidRDefault="00B2062A" w:rsidP="00857902">
      <w:pPr>
        <w:pStyle w:val="ListParagraph"/>
        <w:numPr>
          <w:ilvl w:val="0"/>
          <w:numId w:val="52"/>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04171D" w:rsidRPr="005208DC">
        <w:rPr>
          <w:rFonts w:asciiTheme="majorBidi" w:hAnsiTheme="majorBidi" w:cstheme="majorBidi"/>
          <w:b/>
          <w:color w:val="0D0D0D" w:themeColor="text1" w:themeTint="F2"/>
          <w:sz w:val="24"/>
          <w:szCs w:val="24"/>
          <w:lang w:val="sq-AL"/>
        </w:rPr>
        <w:t xml:space="preserve"> 2024</w:t>
      </w:r>
    </w:p>
    <w:p w14:paraId="5DC1026B" w14:textId="232C2312" w:rsidR="0004171D" w:rsidRPr="005208DC" w:rsidRDefault="007905B3" w:rsidP="00857902">
      <w:pPr>
        <w:pStyle w:val="ListParagraph"/>
        <w:numPr>
          <w:ilvl w:val="0"/>
          <w:numId w:val="55"/>
        </w:numPr>
        <w:jc w:val="both"/>
        <w:rPr>
          <w:rFonts w:asciiTheme="majorBidi" w:hAnsiTheme="majorBidi" w:cstheme="majorBidi"/>
          <w:bCs/>
          <w:color w:val="0D0D0D" w:themeColor="text1" w:themeTint="F2"/>
          <w:sz w:val="24"/>
          <w:szCs w:val="24"/>
          <w:lang w:val="sq-AL"/>
        </w:rPr>
      </w:pPr>
      <w:r w:rsidRPr="005208DC">
        <w:rPr>
          <w:rFonts w:asciiTheme="majorBidi" w:hAnsiTheme="majorBidi" w:cstheme="majorBidi"/>
          <w:bCs/>
          <w:color w:val="0D0D0D" w:themeColor="text1" w:themeTint="F2"/>
          <w:sz w:val="24"/>
          <w:szCs w:val="24"/>
          <w:lang w:val="sq-AL"/>
        </w:rPr>
        <w:t>Projekti do të përfundojë në 30 muaj dhe ndërlidhet me pikën e ndërrimit të Vorës, me projektin e sinergjisë që është projekti tjetër strategjik i financuar nga BERZH, nga Vora në Han të Hotit</w:t>
      </w:r>
      <w:r w:rsidR="0004171D" w:rsidRPr="005208DC">
        <w:rPr>
          <w:rFonts w:asciiTheme="majorBidi" w:hAnsiTheme="majorBidi" w:cstheme="majorBidi"/>
          <w:bCs/>
          <w:color w:val="0D0D0D" w:themeColor="text1" w:themeTint="F2"/>
          <w:sz w:val="24"/>
          <w:szCs w:val="24"/>
          <w:lang w:val="sq-AL"/>
        </w:rPr>
        <w:t>.</w:t>
      </w:r>
    </w:p>
    <w:p w14:paraId="0392D0EE" w14:textId="77777777" w:rsidR="000C350C" w:rsidRPr="005208DC" w:rsidRDefault="000C350C" w:rsidP="00857902">
      <w:pPr>
        <w:snapToGrid w:val="0"/>
        <w:rPr>
          <w:rFonts w:asciiTheme="majorBidi" w:hAnsiTheme="majorBidi" w:cstheme="majorBidi"/>
          <w:color w:val="0D0D0D" w:themeColor="text1" w:themeTint="F2"/>
          <w:lang w:val="sq-AL"/>
        </w:rPr>
      </w:pPr>
    </w:p>
    <w:p w14:paraId="5C164BA9" w14:textId="279B7CE6" w:rsidR="0004171D" w:rsidRPr="005208DC" w:rsidRDefault="00B2062A" w:rsidP="00857902">
      <w:pPr>
        <w:pStyle w:val="Heading6"/>
        <w:numPr>
          <w:ilvl w:val="0"/>
          <w:numId w:val="51"/>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Treguesit e rezultateve</w:t>
      </w:r>
    </w:p>
    <w:tbl>
      <w:tblPr>
        <w:tblStyle w:val="TableGrid"/>
        <w:tblW w:w="0" w:type="auto"/>
        <w:tblLook w:val="04A0" w:firstRow="1" w:lastRow="0" w:firstColumn="1" w:lastColumn="0" w:noHBand="0" w:noVBand="1"/>
      </w:tblPr>
      <w:tblGrid>
        <w:gridCol w:w="4004"/>
        <w:gridCol w:w="1785"/>
        <w:gridCol w:w="2047"/>
        <w:gridCol w:w="1786"/>
      </w:tblGrid>
      <w:tr w:rsidR="005208DC" w:rsidRPr="005208DC" w14:paraId="7CD5BB7D" w14:textId="77777777" w:rsidTr="000C350C">
        <w:tc>
          <w:tcPr>
            <w:tcW w:w="4004" w:type="dxa"/>
            <w:shd w:val="clear" w:color="auto" w:fill="auto"/>
          </w:tcPr>
          <w:p w14:paraId="528BEF81" w14:textId="75167FB5" w:rsidR="000C350C"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w:t>
            </w:r>
          </w:p>
        </w:tc>
        <w:tc>
          <w:tcPr>
            <w:tcW w:w="1785" w:type="dxa"/>
            <w:shd w:val="clear" w:color="auto" w:fill="auto"/>
          </w:tcPr>
          <w:p w14:paraId="5D70036D" w14:textId="793753B6" w:rsidR="000C350C" w:rsidRPr="005208DC" w:rsidRDefault="00B2062A"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Bazë</w:t>
            </w:r>
          </w:p>
          <w:p w14:paraId="2D404517" w14:textId="77777777" w:rsidR="000C350C" w:rsidRPr="005208DC" w:rsidRDefault="000C350C"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(2018)</w:t>
            </w:r>
          </w:p>
        </w:tc>
        <w:tc>
          <w:tcPr>
            <w:tcW w:w="2047" w:type="dxa"/>
            <w:shd w:val="clear" w:color="auto" w:fill="auto"/>
          </w:tcPr>
          <w:p w14:paraId="15A74AB1" w14:textId="469CD61B" w:rsidR="000C350C" w:rsidRPr="005208DC" w:rsidRDefault="00B2062A"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 ndërmjetëm</w:t>
            </w:r>
            <w:r w:rsidR="000C350C" w:rsidRPr="005208DC">
              <w:rPr>
                <w:rFonts w:asciiTheme="majorBidi" w:hAnsiTheme="majorBidi" w:cstheme="majorBidi"/>
                <w:color w:val="0D0D0D" w:themeColor="text1" w:themeTint="F2"/>
                <w:lang w:val="sq-AL"/>
              </w:rPr>
              <w:t xml:space="preserve"> (2023)</w:t>
            </w:r>
          </w:p>
        </w:tc>
        <w:tc>
          <w:tcPr>
            <w:tcW w:w="1786" w:type="dxa"/>
            <w:shd w:val="clear" w:color="auto" w:fill="auto"/>
          </w:tcPr>
          <w:p w14:paraId="4DE918C7" w14:textId="6E56E6E2" w:rsidR="000C350C" w:rsidRPr="005208DC" w:rsidRDefault="00B2062A"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Synimi</w:t>
            </w:r>
          </w:p>
          <w:p w14:paraId="02687824" w14:textId="77777777" w:rsidR="000C350C" w:rsidRPr="005208DC" w:rsidRDefault="000C350C"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(2047)</w:t>
            </w:r>
          </w:p>
        </w:tc>
      </w:tr>
      <w:tr w:rsidR="005208DC" w:rsidRPr="005208DC" w14:paraId="2D7F62B9" w14:textId="77777777" w:rsidTr="007905B3">
        <w:tc>
          <w:tcPr>
            <w:tcW w:w="4004" w:type="dxa"/>
            <w:shd w:val="clear" w:color="auto" w:fill="auto"/>
          </w:tcPr>
          <w:p w14:paraId="2E86B661" w14:textId="7CDDF9EA" w:rsidR="007905B3" w:rsidRPr="005208DC" w:rsidRDefault="007905B3" w:rsidP="00857902">
            <w:pPr>
              <w:pStyle w:val="MediumGrid21"/>
              <w:snapToGrid w:val="0"/>
              <w:rPr>
                <w:rFonts w:asciiTheme="majorBidi" w:hAnsiTheme="majorBidi" w:cstheme="majorBidi"/>
                <w:bCs/>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Treguesi i rezultatit 1 - Milion pasagjerë/vit</w:t>
            </w:r>
          </w:p>
        </w:tc>
        <w:tc>
          <w:tcPr>
            <w:tcW w:w="1785" w:type="dxa"/>
            <w:shd w:val="clear" w:color="auto" w:fill="auto"/>
            <w:vAlign w:val="center"/>
          </w:tcPr>
          <w:p w14:paraId="010F7D7C" w14:textId="6AC974AD" w:rsidR="007905B3" w:rsidRPr="005208DC" w:rsidRDefault="007905B3"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0.75881</w:t>
            </w:r>
          </w:p>
        </w:tc>
        <w:tc>
          <w:tcPr>
            <w:tcW w:w="2047" w:type="dxa"/>
            <w:shd w:val="clear" w:color="auto" w:fill="auto"/>
            <w:vAlign w:val="center"/>
          </w:tcPr>
          <w:p w14:paraId="4A4DB425" w14:textId="4D8DF5A0" w:rsidR="007905B3" w:rsidRPr="005208DC" w:rsidRDefault="007905B3"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1.1741</w:t>
            </w:r>
          </w:p>
        </w:tc>
        <w:tc>
          <w:tcPr>
            <w:tcW w:w="1786" w:type="dxa"/>
            <w:shd w:val="clear" w:color="auto" w:fill="auto"/>
            <w:vAlign w:val="center"/>
          </w:tcPr>
          <w:p w14:paraId="2204CED4" w14:textId="5A14E0CD" w:rsidR="007905B3" w:rsidRPr="005208DC" w:rsidRDefault="007905B3"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1.25</w:t>
            </w:r>
          </w:p>
        </w:tc>
      </w:tr>
      <w:tr w:rsidR="005208DC" w:rsidRPr="005208DC" w14:paraId="2D5AB865" w14:textId="77777777" w:rsidTr="007905B3">
        <w:tc>
          <w:tcPr>
            <w:tcW w:w="4004" w:type="dxa"/>
            <w:shd w:val="clear" w:color="auto" w:fill="auto"/>
          </w:tcPr>
          <w:p w14:paraId="0AFB2688" w14:textId="6E0104F7" w:rsidR="007905B3" w:rsidRPr="005208DC" w:rsidRDefault="007905B3" w:rsidP="00857902">
            <w:pPr>
              <w:pStyle w:val="MediumGrid21"/>
              <w:snapToGrid w:val="0"/>
              <w:rPr>
                <w:rFonts w:asciiTheme="majorBidi" w:hAnsiTheme="majorBidi" w:cstheme="majorBidi"/>
                <w:bCs/>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Treguesi i rezultatit 2 - Ton/vit</w:t>
            </w:r>
          </w:p>
        </w:tc>
        <w:tc>
          <w:tcPr>
            <w:tcW w:w="1785" w:type="dxa"/>
            <w:shd w:val="clear" w:color="auto" w:fill="auto"/>
            <w:vAlign w:val="center"/>
          </w:tcPr>
          <w:p w14:paraId="6001E248" w14:textId="38287888" w:rsidR="007905B3" w:rsidRPr="005208DC" w:rsidRDefault="007905B3"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198,900</w:t>
            </w:r>
          </w:p>
        </w:tc>
        <w:tc>
          <w:tcPr>
            <w:tcW w:w="2047" w:type="dxa"/>
            <w:shd w:val="clear" w:color="auto" w:fill="auto"/>
            <w:vAlign w:val="center"/>
          </w:tcPr>
          <w:p w14:paraId="4352CACF" w14:textId="03A4DC8A" w:rsidR="007905B3" w:rsidRPr="005208DC" w:rsidRDefault="007905B3"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51,100</w:t>
            </w:r>
          </w:p>
        </w:tc>
        <w:tc>
          <w:tcPr>
            <w:tcW w:w="1786" w:type="dxa"/>
            <w:shd w:val="clear" w:color="auto" w:fill="auto"/>
            <w:vAlign w:val="center"/>
          </w:tcPr>
          <w:p w14:paraId="5A3B3B31" w14:textId="66AD5985" w:rsidR="007905B3" w:rsidRPr="005208DC" w:rsidRDefault="007905B3"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250,000</w:t>
            </w:r>
          </w:p>
        </w:tc>
      </w:tr>
      <w:tr w:rsidR="005208DC" w:rsidRPr="005208DC" w14:paraId="6256D60B" w14:textId="77777777" w:rsidTr="007905B3">
        <w:tc>
          <w:tcPr>
            <w:tcW w:w="4004" w:type="dxa"/>
            <w:shd w:val="clear" w:color="auto" w:fill="auto"/>
          </w:tcPr>
          <w:p w14:paraId="0C60BC42" w14:textId="235036C8" w:rsidR="007905B3" w:rsidRPr="005208DC" w:rsidRDefault="007905B3" w:rsidP="00857902">
            <w:pPr>
              <w:pStyle w:val="MediumGrid21"/>
              <w:snapToGrid w:val="0"/>
              <w:rPr>
                <w:rFonts w:asciiTheme="majorBidi" w:hAnsiTheme="majorBidi" w:cstheme="majorBidi"/>
                <w:bCs/>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Treguesi i rezultatit 3 (ton/vit) - Emetimet e reduktuara të CO2 kundrejt makinave</w:t>
            </w:r>
          </w:p>
        </w:tc>
        <w:tc>
          <w:tcPr>
            <w:tcW w:w="1785" w:type="dxa"/>
            <w:shd w:val="clear" w:color="auto" w:fill="auto"/>
            <w:vAlign w:val="center"/>
          </w:tcPr>
          <w:p w14:paraId="7622E0FA" w14:textId="57526CF9" w:rsidR="007905B3" w:rsidRPr="005208DC" w:rsidRDefault="007905B3"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bCs/>
                <w:color w:val="0D0D0D" w:themeColor="text1" w:themeTint="F2"/>
                <w:lang w:val="sq-AL"/>
              </w:rPr>
              <w:t>0</w:t>
            </w:r>
          </w:p>
        </w:tc>
        <w:tc>
          <w:tcPr>
            <w:tcW w:w="2047" w:type="dxa"/>
            <w:shd w:val="clear" w:color="auto" w:fill="auto"/>
            <w:vAlign w:val="center"/>
          </w:tcPr>
          <w:p w14:paraId="331DCF15" w14:textId="102B6FE4" w:rsidR="007905B3" w:rsidRPr="005208DC" w:rsidRDefault="007905B3"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bCs/>
                <w:color w:val="0D0D0D" w:themeColor="text1" w:themeTint="F2"/>
                <w:lang w:val="sq-AL"/>
              </w:rPr>
              <w:t>486</w:t>
            </w:r>
          </w:p>
        </w:tc>
        <w:tc>
          <w:tcPr>
            <w:tcW w:w="1786" w:type="dxa"/>
            <w:shd w:val="clear" w:color="auto" w:fill="auto"/>
            <w:vAlign w:val="center"/>
          </w:tcPr>
          <w:p w14:paraId="199E20A3" w14:textId="6D7032BA" w:rsidR="007905B3" w:rsidRPr="005208DC" w:rsidRDefault="007905B3"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bCs/>
                <w:color w:val="0D0D0D" w:themeColor="text1" w:themeTint="F2"/>
                <w:lang w:val="sq-AL"/>
              </w:rPr>
              <w:t>486</w:t>
            </w:r>
          </w:p>
        </w:tc>
      </w:tr>
      <w:tr w:rsidR="005208DC" w:rsidRPr="005208DC" w14:paraId="2054D135" w14:textId="77777777" w:rsidTr="007905B3">
        <w:tc>
          <w:tcPr>
            <w:tcW w:w="4004" w:type="dxa"/>
            <w:shd w:val="clear" w:color="auto" w:fill="auto"/>
          </w:tcPr>
          <w:p w14:paraId="385E531E" w14:textId="0456EC8E" w:rsidR="007905B3" w:rsidRPr="005208DC" w:rsidRDefault="007905B3" w:rsidP="00857902">
            <w:pPr>
              <w:pStyle w:val="MediumGrid21"/>
              <w:snapToGrid w:val="0"/>
              <w:rPr>
                <w:rFonts w:asciiTheme="majorBidi" w:hAnsiTheme="majorBidi" w:cstheme="majorBidi"/>
                <w:bCs/>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Treguesi specifik i projektit 1 - Makina km larguar nga rruga në vit</w:t>
            </w:r>
          </w:p>
        </w:tc>
        <w:tc>
          <w:tcPr>
            <w:tcW w:w="1785" w:type="dxa"/>
            <w:shd w:val="clear" w:color="auto" w:fill="auto"/>
            <w:vAlign w:val="center"/>
          </w:tcPr>
          <w:p w14:paraId="15A767B0" w14:textId="15BDB51E" w:rsidR="007905B3" w:rsidRPr="005208DC" w:rsidRDefault="007905B3"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0</w:t>
            </w:r>
          </w:p>
        </w:tc>
        <w:tc>
          <w:tcPr>
            <w:tcW w:w="2047" w:type="dxa"/>
            <w:shd w:val="clear" w:color="auto" w:fill="auto"/>
            <w:vAlign w:val="center"/>
          </w:tcPr>
          <w:p w14:paraId="524190D8" w14:textId="29D9F5D9" w:rsidR="007905B3" w:rsidRPr="005208DC" w:rsidRDefault="007905B3"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bCs/>
                <w:color w:val="0D0D0D" w:themeColor="text1" w:themeTint="F2"/>
                <w:lang w:val="sq-AL"/>
              </w:rPr>
              <w:t>8,700,000</w:t>
            </w:r>
          </w:p>
        </w:tc>
        <w:tc>
          <w:tcPr>
            <w:tcW w:w="1786" w:type="dxa"/>
            <w:shd w:val="clear" w:color="auto" w:fill="auto"/>
            <w:vAlign w:val="center"/>
          </w:tcPr>
          <w:p w14:paraId="385E9A5E" w14:textId="29B95748" w:rsidR="007905B3" w:rsidRPr="005208DC" w:rsidRDefault="007905B3"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bCs/>
                <w:color w:val="0D0D0D" w:themeColor="text1" w:themeTint="F2"/>
                <w:lang w:val="sq-AL"/>
              </w:rPr>
              <w:t>8,700,000</w:t>
            </w:r>
          </w:p>
        </w:tc>
      </w:tr>
      <w:tr w:rsidR="005208DC" w:rsidRPr="005208DC" w14:paraId="0DABB6F3" w14:textId="77777777" w:rsidTr="007905B3">
        <w:tc>
          <w:tcPr>
            <w:tcW w:w="4004" w:type="dxa"/>
            <w:shd w:val="clear" w:color="auto" w:fill="auto"/>
          </w:tcPr>
          <w:p w14:paraId="70EA958C" w14:textId="465629A4" w:rsidR="007905B3" w:rsidRPr="005208DC" w:rsidRDefault="007905B3" w:rsidP="00857902">
            <w:pPr>
              <w:pStyle w:val="MediumGrid21"/>
              <w:snapToGrid w:val="0"/>
              <w:rPr>
                <w:rFonts w:asciiTheme="majorBidi" w:hAnsiTheme="majorBidi" w:cstheme="majorBidi"/>
                <w:bCs/>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Treguesi specifik i projektit 2 - Kamion-km i larguar nga rruga në vit</w:t>
            </w:r>
          </w:p>
        </w:tc>
        <w:tc>
          <w:tcPr>
            <w:tcW w:w="1785" w:type="dxa"/>
            <w:shd w:val="clear" w:color="auto" w:fill="auto"/>
            <w:vAlign w:val="center"/>
          </w:tcPr>
          <w:p w14:paraId="72781E02" w14:textId="7288532A" w:rsidR="007905B3" w:rsidRPr="005208DC" w:rsidRDefault="007905B3"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0</w:t>
            </w:r>
          </w:p>
        </w:tc>
        <w:tc>
          <w:tcPr>
            <w:tcW w:w="2047" w:type="dxa"/>
            <w:shd w:val="clear" w:color="auto" w:fill="auto"/>
            <w:vAlign w:val="center"/>
          </w:tcPr>
          <w:p w14:paraId="05242033" w14:textId="72EB633F" w:rsidR="007905B3" w:rsidRPr="005208DC" w:rsidRDefault="007905B3"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bCs/>
                <w:color w:val="0D0D0D" w:themeColor="text1" w:themeTint="F2"/>
                <w:lang w:val="sq-AL"/>
              </w:rPr>
              <w:t>138,000</w:t>
            </w:r>
          </w:p>
        </w:tc>
        <w:tc>
          <w:tcPr>
            <w:tcW w:w="1786" w:type="dxa"/>
            <w:shd w:val="clear" w:color="auto" w:fill="auto"/>
            <w:vAlign w:val="center"/>
          </w:tcPr>
          <w:p w14:paraId="55F4068A" w14:textId="4B4B64CB" w:rsidR="007905B3" w:rsidRPr="005208DC" w:rsidRDefault="007905B3" w:rsidP="00857902">
            <w:pPr>
              <w:snapToGrid w:val="0"/>
              <w:jc w:val="center"/>
              <w:rPr>
                <w:rFonts w:asciiTheme="majorBidi" w:hAnsiTheme="majorBidi" w:cstheme="majorBidi"/>
                <w:color w:val="0D0D0D" w:themeColor="text1" w:themeTint="F2"/>
                <w:lang w:val="sq-AL"/>
              </w:rPr>
            </w:pPr>
            <w:r w:rsidRPr="005208DC">
              <w:rPr>
                <w:rFonts w:asciiTheme="majorBidi" w:hAnsiTheme="majorBidi" w:cstheme="majorBidi"/>
                <w:bCs/>
                <w:color w:val="0D0D0D" w:themeColor="text1" w:themeTint="F2"/>
                <w:lang w:val="sq-AL"/>
              </w:rPr>
              <w:t>138,000</w:t>
            </w:r>
          </w:p>
        </w:tc>
      </w:tr>
      <w:tr w:rsidR="005208DC" w:rsidRPr="005208DC" w14:paraId="3465AE4F" w14:textId="77777777" w:rsidTr="007905B3">
        <w:tc>
          <w:tcPr>
            <w:tcW w:w="4004" w:type="dxa"/>
            <w:shd w:val="clear" w:color="auto" w:fill="auto"/>
          </w:tcPr>
          <w:p w14:paraId="0F964173" w14:textId="266691CB" w:rsidR="007905B3" w:rsidRPr="005208DC" w:rsidRDefault="007905B3" w:rsidP="00857902">
            <w:pPr>
              <w:pStyle w:val="MediumGrid21"/>
              <w:snapToGrid w:val="0"/>
              <w:rPr>
                <w:rFonts w:asciiTheme="majorBidi" w:hAnsiTheme="majorBidi" w:cstheme="majorBidi"/>
                <w:color w:val="0D0D0D" w:themeColor="text1" w:themeTint="F2"/>
                <w:sz w:val="24"/>
                <w:szCs w:val="24"/>
                <w:lang w:val="sq-AL" w:eastAsia="en-US"/>
              </w:rPr>
            </w:pPr>
            <w:r w:rsidRPr="005208DC">
              <w:rPr>
                <w:rFonts w:asciiTheme="majorBidi" w:hAnsiTheme="majorBidi" w:cstheme="majorBidi"/>
                <w:color w:val="0D0D0D" w:themeColor="text1" w:themeTint="F2"/>
                <w:sz w:val="24"/>
                <w:szCs w:val="24"/>
                <w:lang w:val="sq-AL"/>
              </w:rPr>
              <w:t>Treguesi ndërsektorial (# në milionë) - Numri total i përfituesve</w:t>
            </w:r>
          </w:p>
        </w:tc>
        <w:tc>
          <w:tcPr>
            <w:tcW w:w="1785" w:type="dxa"/>
            <w:shd w:val="clear" w:color="auto" w:fill="auto"/>
            <w:vAlign w:val="center"/>
          </w:tcPr>
          <w:p w14:paraId="1259A2F6" w14:textId="47F3EE9D" w:rsidR="007905B3" w:rsidRPr="005208DC" w:rsidRDefault="007905B3" w:rsidP="00857902">
            <w:pPr>
              <w:snapToGrid w:val="0"/>
              <w:jc w:val="center"/>
              <w:rPr>
                <w:rFonts w:asciiTheme="majorBidi" w:hAnsiTheme="majorBidi" w:cstheme="majorBidi"/>
                <w:bCs/>
                <w:color w:val="0D0D0D" w:themeColor="text1" w:themeTint="F2"/>
                <w:lang w:val="sq-AL"/>
              </w:rPr>
            </w:pPr>
            <w:r w:rsidRPr="005208DC">
              <w:rPr>
                <w:rFonts w:asciiTheme="majorBidi" w:hAnsiTheme="majorBidi" w:cstheme="majorBidi"/>
                <w:color w:val="0D0D0D" w:themeColor="text1" w:themeTint="F2"/>
                <w:lang w:val="sq-AL"/>
              </w:rPr>
              <w:t>0</w:t>
            </w:r>
          </w:p>
        </w:tc>
        <w:tc>
          <w:tcPr>
            <w:tcW w:w="2047" w:type="dxa"/>
            <w:shd w:val="clear" w:color="auto" w:fill="auto"/>
            <w:vAlign w:val="center"/>
          </w:tcPr>
          <w:p w14:paraId="13CD641A" w14:textId="7415DD04" w:rsidR="007905B3" w:rsidRPr="005208DC" w:rsidRDefault="007905B3" w:rsidP="00857902">
            <w:pPr>
              <w:snapToGrid w:val="0"/>
              <w:jc w:val="center"/>
              <w:rPr>
                <w:rFonts w:asciiTheme="majorBidi" w:hAnsiTheme="majorBidi" w:cstheme="majorBidi"/>
                <w:bCs/>
                <w:color w:val="0D0D0D" w:themeColor="text1" w:themeTint="F2"/>
                <w:lang w:val="sq-AL"/>
              </w:rPr>
            </w:pPr>
            <w:r w:rsidRPr="005208DC">
              <w:rPr>
                <w:rFonts w:asciiTheme="majorBidi" w:hAnsiTheme="majorBidi" w:cstheme="majorBidi"/>
                <w:color w:val="0D0D0D" w:themeColor="text1" w:themeTint="F2"/>
                <w:lang w:val="sq-AL"/>
              </w:rPr>
              <w:t>2,9</w:t>
            </w:r>
          </w:p>
        </w:tc>
        <w:tc>
          <w:tcPr>
            <w:tcW w:w="1786" w:type="dxa"/>
            <w:shd w:val="clear" w:color="auto" w:fill="auto"/>
            <w:vAlign w:val="center"/>
          </w:tcPr>
          <w:p w14:paraId="4985FDC8" w14:textId="05CCD672" w:rsidR="007905B3" w:rsidRPr="005208DC" w:rsidRDefault="007905B3" w:rsidP="00857902">
            <w:pPr>
              <w:snapToGrid w:val="0"/>
              <w:jc w:val="center"/>
              <w:rPr>
                <w:rFonts w:asciiTheme="majorBidi" w:hAnsiTheme="majorBidi" w:cstheme="majorBidi"/>
                <w:bCs/>
                <w:color w:val="0D0D0D" w:themeColor="text1" w:themeTint="F2"/>
                <w:lang w:val="sq-AL"/>
              </w:rPr>
            </w:pPr>
            <w:r w:rsidRPr="005208DC">
              <w:rPr>
                <w:rFonts w:asciiTheme="majorBidi" w:hAnsiTheme="majorBidi" w:cstheme="majorBidi"/>
                <w:color w:val="0D0D0D" w:themeColor="text1" w:themeTint="F2"/>
                <w:lang w:val="sq-AL"/>
              </w:rPr>
              <w:t>2,9</w:t>
            </w:r>
          </w:p>
        </w:tc>
      </w:tr>
    </w:tbl>
    <w:p w14:paraId="1C5DB8EC" w14:textId="77777777" w:rsidR="000C350C" w:rsidRPr="005208DC" w:rsidRDefault="000C350C" w:rsidP="00857902">
      <w:pPr>
        <w:snapToGrid w:val="0"/>
        <w:rPr>
          <w:rFonts w:asciiTheme="majorBidi" w:hAnsiTheme="majorBidi" w:cstheme="majorBidi"/>
          <w:color w:val="0D0D0D" w:themeColor="text1" w:themeTint="F2"/>
          <w:lang w:val="sq-AL"/>
        </w:rPr>
      </w:pPr>
    </w:p>
    <w:p w14:paraId="0C2F6C22" w14:textId="182540B7" w:rsidR="0004171D" w:rsidRPr="005208DC" w:rsidRDefault="00B2062A" w:rsidP="00857902">
      <w:pPr>
        <w:pStyle w:val="Heading6"/>
        <w:numPr>
          <w:ilvl w:val="0"/>
          <w:numId w:val="51"/>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konkurrueshmëri</w:t>
      </w:r>
    </w:p>
    <w:p w14:paraId="1B21D7D5" w14:textId="780F518C" w:rsidR="007905B3" w:rsidRPr="005208DC" w:rsidRDefault="007905B3"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Masa është një projekt strategjik prioritar që do t'i japë prosperitet dhe zhvillim mjeteve të transportit të qytetarëve në qytetet më të mëdha të Shqipërisë. Projekti i hekurudhës Tiranë – Durrës dhe lidhja me TIA plotëson dhe realizon plotësisht multimodalitetin e rrjetit të infrastrukturës mes dy metropoleve, duke krijuar një rrjet efikas midis infrastrukturës rrugore, aeroportit dhe Portit të Durrësit. Projekti do të ketë një ndikim të madh ekonomik dhe social në ndërtimin e grupimeve në rajonin në rritje Tiranë-Durrës. Sigurimi i rajonit me një linjë hekurudhore që funksionon mirë do të jetë një avantazh, i dobishëm për të dy kompanitë tashmë të vendosura, si dhe për investitorët e mundshëm vendas dhe të huaj.</w:t>
      </w:r>
    </w:p>
    <w:p w14:paraId="7C61D0B4" w14:textId="77777777" w:rsidR="007905B3" w:rsidRPr="005208DC" w:rsidRDefault="007905B3" w:rsidP="00857902">
      <w:pPr>
        <w:snapToGrid w:val="0"/>
        <w:rPr>
          <w:rFonts w:asciiTheme="majorBidi" w:hAnsiTheme="majorBidi" w:cstheme="majorBidi"/>
          <w:color w:val="0D0D0D" w:themeColor="text1" w:themeTint="F2"/>
          <w:lang w:val="sq-AL"/>
        </w:rPr>
      </w:pPr>
    </w:p>
    <w:p w14:paraId="2CAB48E6" w14:textId="6DE78BE1" w:rsidR="0004171D" w:rsidRPr="005208DC" w:rsidRDefault="00B2062A" w:rsidP="00857902">
      <w:pPr>
        <w:pStyle w:val="Heading6"/>
        <w:numPr>
          <w:ilvl w:val="0"/>
          <w:numId w:val="51"/>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Kosto e parashikuar e aktiviteteve dhe burimi i financimit</w:t>
      </w:r>
    </w:p>
    <w:p w14:paraId="4936F498" w14:textId="3AB70D9B" w:rsidR="007905B3" w:rsidRPr="005208DC" w:rsidRDefault="007905B3"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Projekti ka një kosto totale të vlerësuar prej 90.45 milionë euro. Kontrata përfshin punime për rehabilitimin e linjës hekurudhore Tiranë-Durrës dhe ndërtimin e lidhjes së re hekurudhore, si dhe shërbime konsulence për mbikëqyrjen e punimeve, për të cilat proceset e tenderimit janë gjithashtu në vazhdim. Gjithashtu ne këtë përfshihet një kredi sovrane deri në 36.87 milionë euro për punët civile (përfshirë rastet e paparashikuara) dhe shtesa për forcimin e kapaciteteve institucionale nëpërmjet një granti të BERZH-it prej 0.87 milionë euro.</w:t>
      </w:r>
    </w:p>
    <w:p w14:paraId="543A4EC1" w14:textId="1B91C548" w:rsidR="007905B3" w:rsidRPr="005208DC" w:rsidRDefault="007905B3"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Një grant nga WBIF-EU prej 35,435 milionë euro, i përbërë nga 32,935 milionë euro për punët civile dhe 1,5 milionë euro për mbikëqyrjen dhe 1 milionë euro për zbatimin dhe menaxhimin e projektit të VNMS-së dhe dokumentacioni i tenderit në shumën prej 1,215 milionë euro në total 36,65 milionë euro është dhënë tashmë. për këtë projekt të rëndësishëm. Gjithashtu, shpronësimi i tokës (1 mln euro) dhe TVSH (15,06 mln euro) janë pjesë e buxhetit të shtetit (mbi 16,06 milion euro). Numri i objekteve nga projekti është mbi 150 shtëpi dhe magazina të tjera në Kryqëzimin teknik Trekëndor Hekurudhor të Brendshëm, të ndryshuar në PBA 2022-2024 dhe në rritje të vlerës nga 1 milion euro në 3 milion euro me përditësimin e planit të marrjes së tokës (LAP, 2021). Metodologjia e vlerësimit fillestar (LAP, 2019) është rishikuar.</w:t>
      </w:r>
    </w:p>
    <w:p w14:paraId="5BEC2A0A" w14:textId="77777777" w:rsidR="007905B3" w:rsidRPr="005208DC" w:rsidRDefault="007905B3" w:rsidP="00857902">
      <w:pPr>
        <w:snapToGrid w:val="0"/>
        <w:rPr>
          <w:rFonts w:asciiTheme="majorBidi" w:hAnsiTheme="majorBidi" w:cstheme="majorBidi"/>
          <w:color w:val="0D0D0D" w:themeColor="text1" w:themeTint="F2"/>
          <w:lang w:val="sq-AL"/>
        </w:rPr>
      </w:pPr>
    </w:p>
    <w:p w14:paraId="1F4A1DEF" w14:textId="76DC4EBC" w:rsidR="0004171D" w:rsidRPr="005208DC" w:rsidRDefault="00B2062A" w:rsidP="00857902">
      <w:pPr>
        <w:pStyle w:val="Heading6"/>
        <w:numPr>
          <w:ilvl w:val="0"/>
          <w:numId w:val="51"/>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përfundimet sociale si punësimi, ulja e varfërisë, barazia gjinore dhe aksesi në kujdesin shëndetësor</w:t>
      </w:r>
    </w:p>
    <w:p w14:paraId="700728A4" w14:textId="77777777" w:rsidR="007905B3" w:rsidRPr="005208DC" w:rsidRDefault="007905B3"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Hekurudhat shqiptare në Komunitetin e Kompanive Evropiane të Hekurudhave dhe Infrastrukturës (CER), që përfaqësojnë punëdhënësit e sektorit hekurudhor, dhe Federata Evropiane e Punëtorëve të Transportit (ETF), që përfaqëson punëtorët hekurudhor, të përfshirë zyrtarisht për të nënshkruar marrëveshjen autonome Gratë në hekurudhë synon nxitjen e punësimit të grave në këtë sektor.</w:t>
      </w:r>
    </w:p>
    <w:p w14:paraId="5DAF02D4" w14:textId="77777777" w:rsidR="007905B3" w:rsidRPr="005208DC" w:rsidRDefault="007905B3"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Komuniteti hekurudhor miratoi marrëveshjen, duke çuar në fazën përfundimtare procesin, me nënshkrimin zyrtar të marrëveshjes që shënon hyrjen e saj në fuqi. Kjo marrëveshje synon të tërheqë më shumë gra në sektorin hekurudhor dhe t'u japë atyre më shumë mbrojtje dhe të garantojë trajtim të barabartë në vendin e punës falë masave të shumta të dakorduara nën titujt e politikës së përgjithshme të barazisë gjinore. Këto masa mbulojnë fusha të tilla si objektivi për të tërhequr më shumë gra në sektor, harmonizimi i punës dhe jetës private, promovimi dhe zhvillimi i karrierës, paga e barabartë, shëndeti dhe siguria ne mjedisin e punës dhe parandalimi i ngacmimeve seksuale dhe seksizmit.</w:t>
      </w:r>
    </w:p>
    <w:p w14:paraId="1E0C648C" w14:textId="77777777" w:rsidR="007905B3" w:rsidRPr="005208DC" w:rsidRDefault="007905B3" w:rsidP="00857902">
      <w:pPr>
        <w:jc w:val="both"/>
        <w:rPr>
          <w:rFonts w:asciiTheme="majorBidi" w:hAnsiTheme="majorBidi" w:cstheme="majorBidi"/>
          <w:color w:val="0D0D0D" w:themeColor="text1" w:themeTint="F2"/>
          <w:lang w:val="sq-AL"/>
        </w:rPr>
      </w:pPr>
    </w:p>
    <w:p w14:paraId="5C7A070E" w14:textId="77777777" w:rsidR="007905B3" w:rsidRPr="005208DC" w:rsidRDefault="007905B3"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 barazinë gjinore, zbatimi i strategjisë kombëtare dhe planit të veprimit 2016-2020 për barazinë gjinore pasohet nga një strategji e re për barazinë gjinore 2021-2030 e miratuar në qershor 2021.</w:t>
      </w:r>
    </w:p>
    <w:p w14:paraId="506D86C4" w14:textId="77777777" w:rsidR="007905B3" w:rsidRPr="005208DC" w:rsidRDefault="007905B3"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Zbatimi i reformës strukturore, i jep gjithnjë e më shumë akses gruas në hekurudhë, sigurohet balanca gjinore për të gjitha pozicionet dhe vendet vakante, konsultimi/vendimmarrja.</w:t>
      </w:r>
    </w:p>
    <w:p w14:paraId="14D7EF83" w14:textId="77777777" w:rsidR="007905B3" w:rsidRPr="005208DC" w:rsidRDefault="007905B3"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Gratë pritet të përfitojnë nga stimujt me një regjim të ri pagash, në përgatitje, me konsulencën e BERZH-it të asistencës teknike të BE-së.</w:t>
      </w:r>
    </w:p>
    <w:p w14:paraId="5E35D127" w14:textId="77777777" w:rsidR="007905B3" w:rsidRPr="005208DC" w:rsidRDefault="007905B3" w:rsidP="00857902">
      <w:pPr>
        <w:jc w:val="both"/>
        <w:rPr>
          <w:rFonts w:asciiTheme="majorBidi" w:hAnsiTheme="majorBidi" w:cstheme="majorBidi"/>
          <w:color w:val="0D0D0D" w:themeColor="text1" w:themeTint="F2"/>
          <w:lang w:val="sq-AL" w:eastAsia="en-GB"/>
        </w:rPr>
      </w:pPr>
      <w:r w:rsidRPr="005208DC">
        <w:rPr>
          <w:rFonts w:asciiTheme="majorBidi" w:hAnsiTheme="majorBidi" w:cstheme="majorBidi"/>
          <w:color w:val="0D0D0D" w:themeColor="text1" w:themeTint="F2"/>
          <w:lang w:val="sq-AL" w:eastAsia="en-GB"/>
        </w:rPr>
        <w:t>Si rezultat, gjenerohen përfitime të përgjithshme neto socio-ekonomike të konsiderueshme, siç tregohet nga treguesit e performancës socio-ekonomike të projektit të llogaritur nga CBA-ja përkatëse 2015 e kryer në përputhje me Udhëzuesin e BE-së për analizën kosto-përfitim të vitit 2014 (bazuar në kostot dhe përfitimet e shprehura në terma monetarë):</w:t>
      </w:r>
    </w:p>
    <w:p w14:paraId="51A5BDBA" w14:textId="77777777" w:rsidR="007905B3" w:rsidRPr="005208DC" w:rsidRDefault="007905B3" w:rsidP="00857902">
      <w:pPr>
        <w:jc w:val="both"/>
        <w:rPr>
          <w:rFonts w:asciiTheme="majorBidi" w:hAnsiTheme="majorBidi" w:cstheme="majorBidi"/>
          <w:color w:val="0D0D0D" w:themeColor="text1" w:themeTint="F2"/>
          <w:lang w:val="sq-AL" w:eastAsia="en-GB"/>
        </w:rPr>
      </w:pPr>
      <w:r w:rsidRPr="005208DC">
        <w:rPr>
          <w:rFonts w:asciiTheme="majorBidi" w:hAnsiTheme="majorBidi" w:cstheme="majorBidi"/>
          <w:color w:val="0D0D0D" w:themeColor="text1" w:themeTint="F2"/>
          <w:lang w:val="sq-AL" w:eastAsia="en-GB"/>
        </w:rPr>
        <w:t>• ERR = 7,43%</w:t>
      </w:r>
    </w:p>
    <w:p w14:paraId="5E6C6C60" w14:textId="77777777" w:rsidR="007905B3" w:rsidRPr="005208DC" w:rsidRDefault="007905B3" w:rsidP="00857902">
      <w:pPr>
        <w:jc w:val="both"/>
        <w:rPr>
          <w:rFonts w:asciiTheme="majorBidi" w:hAnsiTheme="majorBidi" w:cstheme="majorBidi"/>
          <w:color w:val="0D0D0D" w:themeColor="text1" w:themeTint="F2"/>
          <w:lang w:val="sq-AL" w:eastAsia="en-GB"/>
        </w:rPr>
      </w:pPr>
      <w:r w:rsidRPr="005208DC">
        <w:rPr>
          <w:rFonts w:asciiTheme="majorBidi" w:hAnsiTheme="majorBidi" w:cstheme="majorBidi"/>
          <w:color w:val="0D0D0D" w:themeColor="text1" w:themeTint="F2"/>
          <w:lang w:val="sq-AL" w:eastAsia="en-GB"/>
        </w:rPr>
        <w:t>• ENPV = 29.52 milionë euro</w:t>
      </w:r>
    </w:p>
    <w:p w14:paraId="0086769F" w14:textId="77777777" w:rsidR="007905B3" w:rsidRPr="005208DC" w:rsidRDefault="007905B3" w:rsidP="00857902">
      <w:pPr>
        <w:jc w:val="both"/>
        <w:rPr>
          <w:rFonts w:asciiTheme="majorBidi" w:hAnsiTheme="majorBidi" w:cstheme="majorBidi"/>
          <w:color w:val="0D0D0D" w:themeColor="text1" w:themeTint="F2"/>
          <w:lang w:val="sq-AL" w:eastAsia="en-GB"/>
        </w:rPr>
      </w:pPr>
      <w:r w:rsidRPr="005208DC">
        <w:rPr>
          <w:rFonts w:asciiTheme="majorBidi" w:hAnsiTheme="majorBidi" w:cstheme="majorBidi"/>
          <w:color w:val="0D0D0D" w:themeColor="text1" w:themeTint="F2"/>
          <w:lang w:val="sq-AL" w:eastAsia="en-GB"/>
        </w:rPr>
        <w:t>• Raporti B/C = 1,17.</w:t>
      </w:r>
    </w:p>
    <w:p w14:paraId="418159C6" w14:textId="77777777" w:rsidR="007905B3" w:rsidRPr="005208DC" w:rsidRDefault="007905B3" w:rsidP="00857902">
      <w:pPr>
        <w:jc w:val="both"/>
        <w:rPr>
          <w:rFonts w:asciiTheme="majorBidi" w:hAnsiTheme="majorBidi" w:cstheme="majorBidi"/>
          <w:color w:val="0D0D0D" w:themeColor="text1" w:themeTint="F2"/>
          <w:lang w:val="sq-AL" w:eastAsia="en-GB"/>
        </w:rPr>
      </w:pPr>
      <w:r w:rsidRPr="005208DC">
        <w:rPr>
          <w:rFonts w:asciiTheme="majorBidi" w:hAnsiTheme="majorBidi" w:cstheme="majorBidi"/>
          <w:color w:val="0D0D0D" w:themeColor="text1" w:themeTint="F2"/>
          <w:lang w:val="sq-AL" w:eastAsia="en-GB"/>
        </w:rPr>
        <w:t>Ndikimi i tranzicionit: Projekti përfshin reformën e sektorit dhe masat për forcimin institucional në fushat e mëposhtme. Rezultatet në vlerësimin socio-ekonomik sipas CBA-së përllogariten për rezultate:</w:t>
      </w:r>
    </w:p>
    <w:p w14:paraId="1A5DDA9F" w14:textId="77777777" w:rsidR="007905B3" w:rsidRPr="005208DC" w:rsidRDefault="007905B3" w:rsidP="00857902">
      <w:pPr>
        <w:jc w:val="both"/>
        <w:rPr>
          <w:rFonts w:asciiTheme="majorBidi" w:hAnsiTheme="majorBidi" w:cstheme="majorBidi"/>
          <w:color w:val="0D0D0D" w:themeColor="text1" w:themeTint="F2"/>
          <w:lang w:val="sq-AL" w:eastAsia="en-GB"/>
        </w:rPr>
      </w:pPr>
      <w:r w:rsidRPr="005208DC">
        <w:rPr>
          <w:rFonts w:asciiTheme="majorBidi" w:hAnsiTheme="majorBidi" w:cstheme="majorBidi"/>
          <w:color w:val="0D0D0D" w:themeColor="text1" w:themeTint="F2"/>
          <w:lang w:val="sq-AL" w:eastAsia="en-GB"/>
        </w:rPr>
        <w:t>• 4,100 vite punësimi të krijuara gjatë ndërtimit të projektit – që korrespondojnë me 1,375 pozicione të reja ekuivalente të punësimit me kohë të plotë me kohëzgjatje 3-vjeçare.</w:t>
      </w:r>
    </w:p>
    <w:p w14:paraId="1D98D4F7" w14:textId="77777777" w:rsidR="007905B3" w:rsidRPr="005208DC" w:rsidRDefault="007905B3" w:rsidP="00857902">
      <w:pPr>
        <w:jc w:val="both"/>
        <w:rPr>
          <w:rFonts w:asciiTheme="majorBidi" w:hAnsiTheme="majorBidi" w:cstheme="majorBidi"/>
          <w:color w:val="0D0D0D" w:themeColor="text1" w:themeTint="F2"/>
          <w:lang w:val="sq-AL" w:eastAsia="en-GB"/>
        </w:rPr>
      </w:pPr>
      <w:r w:rsidRPr="005208DC">
        <w:rPr>
          <w:rFonts w:asciiTheme="majorBidi" w:hAnsiTheme="majorBidi" w:cstheme="majorBidi"/>
          <w:color w:val="0D0D0D" w:themeColor="text1" w:themeTint="F2"/>
          <w:lang w:val="sq-AL" w:eastAsia="en-GB"/>
        </w:rPr>
        <w:t>• 2200 pozicione të reja pune ekuivalente me kohë të plotë me kohëzgjatje 27 vjeçare (përfshirë në periudhën referuese 30-vjeçare të AQB-së, pas përfundimit të ndërtimit të seksionit hekurudhor Tiranë-Durrës dhe hekurudhave-aeroportit) të krijuara në operacion dhe mirëmbajtjen e hekurudhës në Shqipëri.</w:t>
      </w:r>
    </w:p>
    <w:p w14:paraId="094EDFE8" w14:textId="1AC81251" w:rsidR="007905B3" w:rsidRPr="005208DC" w:rsidRDefault="007905B3"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eastAsia="en-GB"/>
        </w:rPr>
        <w:t>Ndikimet në ekonominë e gjelbër: ofrimi i shërbimeve hekurudhore me cilësi të lartë, i cili është thelbësor për zhvillimin e sistemeve të transportit të qëndrueshëm që reduktojnë emetimet e CO2 në përputhje me objektivat e politikës së transportit kombëtar dhe të BE-së. Projekti ofron raportin fillestar të KI-së dhe Auditimin e Punës, si dhe siguron strukturën e re organizative të NJZP-së dhe IM-së sipas ligjit të ri të ndarjes.</w:t>
      </w:r>
    </w:p>
    <w:p w14:paraId="31F0700B" w14:textId="77777777" w:rsidR="007905B3" w:rsidRPr="005208DC" w:rsidRDefault="007905B3" w:rsidP="00857902">
      <w:pPr>
        <w:snapToGrid w:val="0"/>
        <w:rPr>
          <w:rFonts w:asciiTheme="majorBidi" w:hAnsiTheme="majorBidi" w:cstheme="majorBidi"/>
          <w:color w:val="0D0D0D" w:themeColor="text1" w:themeTint="F2"/>
          <w:lang w:val="sq-AL"/>
        </w:rPr>
      </w:pPr>
    </w:p>
    <w:p w14:paraId="67528120" w14:textId="4BDF5E75" w:rsidR="0004171D" w:rsidRPr="005208DC" w:rsidRDefault="00B2062A" w:rsidP="00857902">
      <w:pPr>
        <w:pStyle w:val="Heading6"/>
        <w:numPr>
          <w:ilvl w:val="0"/>
          <w:numId w:val="51"/>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mjedis dhe ndryshimi i klimës</w:t>
      </w:r>
    </w:p>
    <w:p w14:paraId="3551DBAB" w14:textId="77777777" w:rsidR="007905B3" w:rsidRPr="005208DC" w:rsidRDefault="007905B3"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Objektivi është të reduktojë ndikimin negativ mjedisor të trafikut rrugor midis Durrësit, Tiranës dhe TIA-s dhe të kontribuojë në uljen e CO2 dhe ndotjes lokale të ajrit nga trafiku rrugor në rajonin Durrës-Tiranë. Një objektiv paralel i projektit është të prezantojë një mënyrë eko-miqësore të lëvizshmërisë inteligjente, pajisja me certifikatën ISO për herë të parë për Hekurudhat Shqiptare Përfituese, e cila tregon se menaxheri i Infrastrukturës është i certifikuar për standardet mjedisore në lidhje me kontributin e vazhdueshëm. për dekarbonizimin, duke ulur bllokimin e trafikut nga autostrada/autostrada e mbingarkuar midis aeroportit të Durrësit, Tiranës dhe Rinasit dhe duke kontribuar më tej në marrëveshjen e gjelbër të BE-së për përmirësimin e cilësisë së ajrit dhe ruajtjen e natyrës në zonën e projektit/rajonin e grupit.</w:t>
      </w:r>
    </w:p>
    <w:p w14:paraId="20650EE2" w14:textId="77777777" w:rsidR="007905B3" w:rsidRPr="005208DC" w:rsidRDefault="007905B3"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Do të merren masa për të reduktuar konsumin e energjisë dhe kostot për njësi të shërbimit të transportit;</w:t>
      </w:r>
    </w:p>
    <w:p w14:paraId="5FF8ACD2" w14:textId="77777777" w:rsidR="007905B3" w:rsidRPr="005208DC" w:rsidRDefault="007905B3"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Zhvillimi i zgjidhjeve multimodale të transportit duke u fokusuar në mënyrat e transportit me efikasitet energjetik dhe miqësor ndaj mjedisit është në vazhdim. Për këtë arsye, hekurudha shqiptare është përfshirë në Planin Kombëtar të Efiçiencës së Energjisë Afatmesme dhe në Planin e Energjisë së Rinovueshme për BRE.</w:t>
      </w:r>
    </w:p>
    <w:p w14:paraId="620AE162" w14:textId="77777777" w:rsidR="007905B3" w:rsidRPr="005208DC" w:rsidRDefault="007905B3"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Janë marrë masa për të përmirësuar pjesën e transportit hekurudhor dhe të rrugëve ujore të brendshme pasi që të dyja mund të jenë mënyra transporti miqësore me mjedisin (nëse ushqehen nga energjia e rinovueshme) dhe të promovojnë kohezionin rajonal.</w:t>
      </w:r>
    </w:p>
    <w:p w14:paraId="5675586C" w14:textId="77777777" w:rsidR="007905B3" w:rsidRPr="005208DC" w:rsidRDefault="007905B3"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Ndikimet në ekonominë e gjelbër: ofrimi i shërbimeve hekurudhore me cilësi të lartë, i cili është thelbësor për zhvillimin e sistemeve të transportit të qëndrueshëm që reduktojnë emetimet e CO2 në përputhje me objektivat e politikës së transportit kombëtar dhe të BE-së.</w:t>
      </w:r>
    </w:p>
    <w:p w14:paraId="723C8E5A" w14:textId="77777777" w:rsidR="007905B3" w:rsidRPr="005208DC" w:rsidRDefault="007905B3"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Janë marrë parasysh ceshtjet mjedisore (p.sh., treni është miqësor me mjedisin dhe masat për reduktimin e zhurmës së trenit në zonat urbane dhe për minimizimin e ndërprerjes së zonave janë duke u zhvilluar). Sipas AQB-së, përfitimet shtesë të mëposhtme (të llogaritura në bazë të parametrave që mund të shprehen në terma monetarë) rrjedhin nga zbatimi i projektit – të matura në terma të ENPV-ve gjatë periudhës referuese 30-vjeçare të analizës 2017-2043, e llogaritur në baza e SDR e barabartë me 5% (me çmime konstante):</w:t>
      </w:r>
    </w:p>
    <w:p w14:paraId="182E148C" w14:textId="77777777" w:rsidR="007905B3" w:rsidRPr="005208DC" w:rsidRDefault="007905B3"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Kursime në kostot e funksionimit të mjeteve rrugore: 69.6 milionë euro.</w:t>
      </w:r>
    </w:p>
    <w:p w14:paraId="3AD71075" w14:textId="77777777" w:rsidR="007905B3" w:rsidRPr="005208DC" w:rsidRDefault="007905B3"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Kursime në koston e kohës së udhëtimit/transportit: 55.1 milionë euro.</w:t>
      </w:r>
    </w:p>
    <w:p w14:paraId="679F2AEC" w14:textId="77777777" w:rsidR="007905B3" w:rsidRPr="005208DC" w:rsidRDefault="007905B3"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Kursime në koston e aksidenteve të trafikut: 30.2 milionë euro.</w:t>
      </w:r>
    </w:p>
    <w:p w14:paraId="603E9871" w14:textId="77777777" w:rsidR="007905B3" w:rsidRPr="005208DC" w:rsidRDefault="007905B3"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Kursime në kostot mjedisore: 34.7 milionë euro.</w:t>
      </w:r>
    </w:p>
    <w:p w14:paraId="5C6B18CA" w14:textId="77777777" w:rsidR="007905B3" w:rsidRPr="005208DC" w:rsidRDefault="007905B3"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Masat e marra për të siguruar qëndrueshmëri (qëndrueshmëri institucionale, financiare, mjedisore):</w:t>
      </w:r>
    </w:p>
    <w:p w14:paraId="3F7AB006" w14:textId="6D5A8702" w:rsidR="007905B3" w:rsidRPr="005208DC" w:rsidRDefault="007905B3"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Këto masa ndikojnë në peizazhin (p.sh. Mbjellja e pemëve në anët e Tiranës - Durrës - Rinas;), toka (p.sh. Mirëmbajtja e linjës së funksionimit është e kufizuar sa më shumë në pika; ka rrugë aksesi duke shmangur kalimin e mjeteve në tokë bujqësore), uji (p.sh. Zbutja: Ndotja e ujërave sipërfaqësore/nëntokësore) ajri (p.sh. shkarkimet e gazit dhe pluhurit), zhurma (p.sh. Zbutja: Dridhjet), Mjedisi biologjik (Zbutja: Ndikimi i faunës së zonës) etj.</w:t>
      </w:r>
    </w:p>
    <w:p w14:paraId="60BFB364" w14:textId="77777777" w:rsidR="007905B3" w:rsidRPr="005208DC" w:rsidRDefault="007905B3" w:rsidP="00857902">
      <w:pPr>
        <w:snapToGrid w:val="0"/>
        <w:rPr>
          <w:rFonts w:asciiTheme="majorBidi" w:hAnsiTheme="majorBidi" w:cstheme="majorBidi"/>
          <w:color w:val="0D0D0D" w:themeColor="text1" w:themeTint="F2"/>
          <w:lang w:val="sq-AL"/>
        </w:rPr>
      </w:pPr>
    </w:p>
    <w:p w14:paraId="24C2B32E" w14:textId="596BF02E" w:rsidR="0004171D" w:rsidRPr="005208DC" w:rsidRDefault="00B2062A" w:rsidP="00857902">
      <w:pPr>
        <w:pStyle w:val="Heading6"/>
        <w:numPr>
          <w:ilvl w:val="0"/>
          <w:numId w:val="51"/>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Rreziqet e mundshme</w:t>
      </w:r>
    </w:p>
    <w:tbl>
      <w:tblPr>
        <w:tblStyle w:val="TableGrid"/>
        <w:tblW w:w="10485" w:type="dxa"/>
        <w:tblLook w:val="04A0" w:firstRow="1" w:lastRow="0" w:firstColumn="1" w:lastColumn="0" w:noHBand="0" w:noVBand="1"/>
      </w:tblPr>
      <w:tblGrid>
        <w:gridCol w:w="2972"/>
        <w:gridCol w:w="1351"/>
        <w:gridCol w:w="6162"/>
      </w:tblGrid>
      <w:tr w:rsidR="005208DC" w:rsidRPr="005208DC" w14:paraId="24513044" w14:textId="77777777" w:rsidTr="007905B3">
        <w:tc>
          <w:tcPr>
            <w:tcW w:w="2972" w:type="dxa"/>
            <w:shd w:val="clear" w:color="auto" w:fill="auto"/>
          </w:tcPr>
          <w:p w14:paraId="5C991B4F" w14:textId="14D8688A" w:rsidR="004F7D30"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Rreziku</w:t>
            </w:r>
          </w:p>
        </w:tc>
        <w:tc>
          <w:tcPr>
            <w:tcW w:w="1351" w:type="dxa"/>
            <w:shd w:val="clear" w:color="auto" w:fill="auto"/>
          </w:tcPr>
          <w:p w14:paraId="78B98215" w14:textId="5C82A07B" w:rsidR="004F7D30"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Mundësia</w:t>
            </w:r>
          </w:p>
          <w:p w14:paraId="7FC05E67" w14:textId="6D6C11E1" w:rsidR="004F7D30" w:rsidRPr="005208DC" w:rsidRDefault="004F7D30"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w:t>
            </w:r>
            <w:r w:rsidR="004D1F24" w:rsidRPr="005208DC">
              <w:rPr>
                <w:rFonts w:asciiTheme="majorBidi" w:hAnsiTheme="majorBidi" w:cstheme="majorBidi"/>
                <w:color w:val="0D0D0D" w:themeColor="text1" w:themeTint="F2"/>
                <w:lang w:val="sq-AL"/>
              </w:rPr>
              <w:t>ulët</w:t>
            </w:r>
            <w:r w:rsidR="007905B3" w:rsidRPr="005208DC">
              <w:rPr>
                <w:rFonts w:asciiTheme="majorBidi" w:hAnsiTheme="majorBidi" w:cstheme="majorBidi"/>
                <w:color w:val="0D0D0D" w:themeColor="text1" w:themeTint="F2"/>
                <w:lang w:val="sq-AL"/>
              </w:rPr>
              <w:t>,</w:t>
            </w:r>
            <w:r w:rsidR="004D1F24" w:rsidRPr="005208DC">
              <w:rPr>
                <w:rFonts w:asciiTheme="majorBidi" w:hAnsiTheme="majorBidi" w:cstheme="majorBidi"/>
                <w:color w:val="0D0D0D" w:themeColor="text1" w:themeTint="F2"/>
                <w:lang w:val="sq-AL"/>
              </w:rPr>
              <w:t xml:space="preserve"> lartë</w:t>
            </w:r>
            <w:r w:rsidRPr="005208DC">
              <w:rPr>
                <w:rFonts w:asciiTheme="majorBidi" w:hAnsiTheme="majorBidi" w:cstheme="majorBidi"/>
                <w:color w:val="0D0D0D" w:themeColor="text1" w:themeTint="F2"/>
                <w:lang w:val="sq-AL"/>
              </w:rPr>
              <w:t>)</w:t>
            </w:r>
          </w:p>
        </w:tc>
        <w:tc>
          <w:tcPr>
            <w:tcW w:w="6162" w:type="dxa"/>
            <w:shd w:val="clear" w:color="auto" w:fill="auto"/>
          </w:tcPr>
          <w:p w14:paraId="11F2A283" w14:textId="280CBCE9" w:rsidR="004F7D30"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Veprimi zbutës i parashikuar</w:t>
            </w:r>
          </w:p>
        </w:tc>
      </w:tr>
      <w:tr w:rsidR="005208DC" w:rsidRPr="005208DC" w14:paraId="5D39087B" w14:textId="77777777" w:rsidTr="007905B3">
        <w:tc>
          <w:tcPr>
            <w:tcW w:w="2972" w:type="dxa"/>
            <w:shd w:val="clear" w:color="auto" w:fill="auto"/>
          </w:tcPr>
          <w:p w14:paraId="59B56EC7" w14:textId="3DD9387D" w:rsidR="007905B3" w:rsidRPr="005208DC" w:rsidRDefault="007905B3"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Territori urban dhe planifikimi hapësinor dhe pengesat ndaj lejeve</w:t>
            </w:r>
          </w:p>
        </w:tc>
        <w:tc>
          <w:tcPr>
            <w:tcW w:w="1351" w:type="dxa"/>
            <w:shd w:val="clear" w:color="auto" w:fill="auto"/>
          </w:tcPr>
          <w:p w14:paraId="2067AC79" w14:textId="5158E083" w:rsidR="007905B3" w:rsidRPr="005208DC" w:rsidRDefault="007905B3"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 ulet</w:t>
            </w:r>
          </w:p>
        </w:tc>
        <w:tc>
          <w:tcPr>
            <w:tcW w:w="6162" w:type="dxa"/>
            <w:shd w:val="clear" w:color="auto" w:fill="auto"/>
          </w:tcPr>
          <w:p w14:paraId="4450722D" w14:textId="59A9D7E8" w:rsidR="007905B3" w:rsidRPr="005208DC" w:rsidRDefault="007905B3"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Projekti i propozuar i kushtoi vëmendje të veçantë aksesit të përdorimeve dhe pronave fqinje të tokës, si dhe lidhjes së këmbësorëve dhe rrugëve.</w:t>
            </w:r>
          </w:p>
        </w:tc>
      </w:tr>
      <w:tr w:rsidR="005208DC" w:rsidRPr="005208DC" w14:paraId="3689F2C1" w14:textId="77777777" w:rsidTr="007905B3">
        <w:tc>
          <w:tcPr>
            <w:tcW w:w="2972" w:type="dxa"/>
            <w:shd w:val="clear" w:color="auto" w:fill="auto"/>
          </w:tcPr>
          <w:p w14:paraId="7007323E" w14:textId="63CCC2B6" w:rsidR="007905B3" w:rsidRPr="005208DC" w:rsidRDefault="007905B3"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Pamundësia për të negociuar zgjidhjet.</w:t>
            </w:r>
          </w:p>
        </w:tc>
        <w:tc>
          <w:tcPr>
            <w:tcW w:w="1351" w:type="dxa"/>
            <w:shd w:val="clear" w:color="auto" w:fill="auto"/>
          </w:tcPr>
          <w:p w14:paraId="5F1F7360" w14:textId="41569B61" w:rsidR="007905B3" w:rsidRPr="005208DC" w:rsidRDefault="007905B3"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 ulet</w:t>
            </w:r>
          </w:p>
        </w:tc>
        <w:tc>
          <w:tcPr>
            <w:tcW w:w="6162" w:type="dxa"/>
            <w:shd w:val="clear" w:color="auto" w:fill="auto"/>
          </w:tcPr>
          <w:p w14:paraId="549A17A5" w14:textId="3293BB38" w:rsidR="007905B3" w:rsidRPr="005208DC" w:rsidRDefault="007905B3"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Zgjidhjet e negociuara inkurajohen për të ndihmuar në shmangien e shpronësimit dhe eliminimin e nevojës për të përdorur autoritetin qeveritar për të larguar njerëzit me forcë.</w:t>
            </w:r>
          </w:p>
        </w:tc>
      </w:tr>
      <w:tr w:rsidR="005208DC" w:rsidRPr="005208DC" w14:paraId="024F4E8A" w14:textId="77777777" w:rsidTr="007905B3">
        <w:tc>
          <w:tcPr>
            <w:tcW w:w="2972" w:type="dxa"/>
            <w:shd w:val="clear" w:color="auto" w:fill="auto"/>
          </w:tcPr>
          <w:p w14:paraId="65329979" w14:textId="68822B28" w:rsidR="007905B3" w:rsidRPr="005208DC" w:rsidRDefault="007905B3"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Defektet e shërbimit (p.sh. prishjet e hekurudhës) për milje në vit.</w:t>
            </w:r>
          </w:p>
        </w:tc>
        <w:tc>
          <w:tcPr>
            <w:tcW w:w="1351" w:type="dxa"/>
            <w:shd w:val="clear" w:color="auto" w:fill="auto"/>
          </w:tcPr>
          <w:p w14:paraId="61369C1C" w14:textId="64BE993C" w:rsidR="007905B3" w:rsidRPr="005208DC" w:rsidRDefault="007905B3"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E mesme</w:t>
            </w:r>
          </w:p>
        </w:tc>
        <w:tc>
          <w:tcPr>
            <w:tcW w:w="6162" w:type="dxa"/>
            <w:shd w:val="clear" w:color="auto" w:fill="auto"/>
          </w:tcPr>
          <w:p w14:paraId="070FC042" w14:textId="7F098EBA" w:rsidR="007905B3" w:rsidRPr="005208DC" w:rsidRDefault="007905B3"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Monitorim i vazhdueshëm, rritje e testimit (testimi me ultratinguj - UT) dhe përmirësimi i efikasitetit të inspektimit.</w:t>
            </w:r>
          </w:p>
        </w:tc>
      </w:tr>
    </w:tbl>
    <w:p w14:paraId="235C1F27" w14:textId="77777777" w:rsidR="0004171D" w:rsidRPr="005208DC" w:rsidRDefault="0004171D" w:rsidP="00857902">
      <w:pPr>
        <w:rPr>
          <w:rFonts w:asciiTheme="majorBidi" w:hAnsiTheme="majorBidi" w:cstheme="majorBidi"/>
          <w:color w:val="0D0D0D" w:themeColor="text1" w:themeTint="F2"/>
          <w:lang w:val="sq-AL"/>
        </w:rPr>
      </w:pPr>
    </w:p>
    <w:p w14:paraId="5004233E" w14:textId="74665282" w:rsidR="00C21F03" w:rsidRPr="005208DC" w:rsidRDefault="002C5872" w:rsidP="00857902">
      <w:pPr>
        <w:pStyle w:val="Heading3"/>
        <w:numPr>
          <w:ilvl w:val="2"/>
          <w:numId w:val="1"/>
        </w:numPr>
        <w:snapToGrid w:val="0"/>
        <w:rPr>
          <w:rFonts w:asciiTheme="majorBidi" w:hAnsiTheme="majorBidi" w:cstheme="majorBidi"/>
          <w:b/>
          <w:color w:val="0D0D0D" w:themeColor="text1" w:themeTint="F2"/>
          <w:sz w:val="24"/>
          <w:szCs w:val="24"/>
          <w:lang w:val="sq-AL"/>
        </w:rPr>
      </w:pPr>
      <w:bookmarkStart w:id="83" w:name="_Toc92721152"/>
      <w:r w:rsidRPr="005208DC">
        <w:rPr>
          <w:rFonts w:asciiTheme="majorBidi" w:hAnsiTheme="majorBidi" w:cstheme="majorBidi"/>
          <w:b/>
          <w:color w:val="0D0D0D" w:themeColor="text1" w:themeTint="F2"/>
          <w:sz w:val="24"/>
          <w:szCs w:val="24"/>
          <w:lang w:val="sq-AL"/>
        </w:rPr>
        <w:t>Bujqësi, industri dhe shërbime</w:t>
      </w:r>
      <w:bookmarkEnd w:id="83"/>
    </w:p>
    <w:p w14:paraId="38194FD3" w14:textId="430EC3AB" w:rsidR="00614E20" w:rsidRPr="005208DC" w:rsidRDefault="00B2062A" w:rsidP="00857902">
      <w:pPr>
        <w:pStyle w:val="Heading4"/>
        <w:numPr>
          <w:ilvl w:val="0"/>
          <w:numId w:val="56"/>
        </w:numPr>
        <w:snapToGrid w:val="0"/>
        <w:ind w:left="567" w:hanging="283"/>
        <w:rPr>
          <w:rFonts w:asciiTheme="majorBidi" w:hAnsiTheme="majorBidi" w:cstheme="majorBidi"/>
          <w:b w:val="0"/>
          <w:i/>
          <w:color w:val="0D0D0D" w:themeColor="text1" w:themeTint="F2"/>
          <w:sz w:val="24"/>
          <w:szCs w:val="24"/>
          <w:lang w:val="sq-AL"/>
        </w:rPr>
      </w:pPr>
      <w:r w:rsidRPr="005208DC">
        <w:rPr>
          <w:rFonts w:asciiTheme="majorBidi" w:hAnsiTheme="majorBidi" w:cstheme="majorBidi"/>
          <w:b w:val="0"/>
          <w:i/>
          <w:color w:val="0D0D0D" w:themeColor="text1" w:themeTint="F2"/>
          <w:sz w:val="24"/>
          <w:szCs w:val="24"/>
          <w:lang w:val="sq-AL"/>
        </w:rPr>
        <w:t>Analiza e pengesave kryesore</w:t>
      </w:r>
    </w:p>
    <w:p w14:paraId="3E7014B2" w14:textId="770ADF4B" w:rsidR="006A7C45" w:rsidRPr="005208DC" w:rsidRDefault="006A7C45"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Pandemia e Covid-19 ka impaktuar shumë turizmin në Shqipëri. Të dhënat e fundit zyrtare për vitin 2020 tregojnë se vendin tonë e kanë vizituar 2.657.818 turistë të huaj, krahasuar me 6.406.028 turistë të huaj në vitin 2019, me një rënie prej 58,5%.</w:t>
      </w:r>
    </w:p>
    <w:p w14:paraId="6CD6BF43" w14:textId="24198E07" w:rsidR="006A7C45" w:rsidRPr="005208DC" w:rsidRDefault="006A7C45"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Sipas publikimit të Këshillit Botëror të Udhëtimit dhe Turizmit (WTTC) 2021, gjatë vitit 2020 sektori i turizmit regjistroi një kontribut total prej 1,561.3 milion dollarë, që përbën rreth 10.6% të PBB-së. Krahasuar me të dhënat e vitit 2019 ka një rënie prej 51.6% që është edhe më e lartë se rënia e të dhënave globale (-49.1%). Gjithashtu, për sa i përket punësimit, kontributi total i udhëtimeve dhe turizmit për vitin 2020 ishte 194,600 vende pune ose 17.5% e punësimit total në Shqipëri. Të ardhurat nga sektori i turizmit për vitin 2020 janë regjistruar në 989 milionë euro. Krahasuar me vitin e kaluar (2019) të ardhurat nga turizmi hyrës u ulën me 53% për shkak të pasojave të COVID 19 si dhe tërmetit të vitit 2019.</w:t>
      </w:r>
    </w:p>
    <w:p w14:paraId="05745BF0" w14:textId="21C06C00" w:rsidR="006A7C45" w:rsidRPr="005208DC" w:rsidRDefault="006A7C45"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Përballë krizës së shkaktuar nga pandemia, përveç paketave të mbështetjes financiare dhe vendim-marrjes në lidhje me politikën monetare dhe të huazimit të prezantuar nga Qeveria Shqiptare, ku midis përfituesve kryesorë ishin individë dhe biznese nga sektori i turizmit, Ministria e Turizmit dhe Mjedisit ndërmori një sërë masash të menjëhershme, afatshkurtra në mbështetje të</w:t>
      </w:r>
      <w:r w:rsidRPr="005208DC">
        <w:rPr>
          <w:rFonts w:ascii="Helvetica" w:hAnsi="Helvetica" w:cs="Helvetica"/>
          <w:color w:val="0D0D0D" w:themeColor="text1" w:themeTint="F2"/>
          <w:sz w:val="27"/>
          <w:szCs w:val="27"/>
          <w:shd w:val="clear" w:color="auto" w:fill="F5F5F5"/>
          <w:lang w:val="sq-AL"/>
        </w:rPr>
        <w:t xml:space="preserve"> </w:t>
      </w:r>
      <w:r w:rsidRPr="005208DC">
        <w:rPr>
          <w:rFonts w:ascii="Times New Roman" w:hAnsi="Times New Roman"/>
          <w:color w:val="0D0D0D" w:themeColor="text1" w:themeTint="F2"/>
          <w:lang w:val="sq-AL"/>
        </w:rPr>
        <w:t>përballimit të situatës së shkaktuar nga pandemia, siç janë: aplikimi online për procesin e kategorizimit nga subjektet dhe lehtësimi i procedurës; aplikimi online për ushtrimin e veprimtarisë si stacion plazhi, hartimi i protokolleve të sigurisë në bashkëpunim me Ministrinë e Shëndetësisë për t`u zbatuar nga strukturat akomoduese dhe subjektet e tjera që veprojnë në sektorin e turizmit etj.</w:t>
      </w:r>
    </w:p>
    <w:p w14:paraId="5BF7BD8F" w14:textId="75A0472B" w:rsidR="006A7C45" w:rsidRPr="005208DC" w:rsidRDefault="006A7C45"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Në këto kushte, diversifikimi i ofertës turistike me qëllim konsolidimin më tej të saj, përmes përdorimit dhe optimizimit të potencialeve të pashfrytëzuara të turizmit siç është turizmi detar, shihet si një nga masat afatgjata për të mbështetur zhvillimin e sektorit të turizmit. Turizmi detar, siç është provuar në vendet e tjera të rajonit si Kroacia, Mali i Zi, Greqia dhe Italia, është një industri kryesore dhe Shqipëria nuk po përfiton nga korridori i vlefshëm Mesdhetar për shkak të ekonomisë së saj të pakët të marinës. Pozicioni i favorshëm gjeografik i Shqipërisë, që lidh detet Adriatik dhe Jon dhe Detin Mesdhe Qendror, e bën atë një vend të rëndësishëm për zhvillimin e aktiviteteve detare.</w:t>
      </w:r>
    </w:p>
    <w:p w14:paraId="4A2FF9B4" w14:textId="7D2B320D" w:rsidR="006A7C45" w:rsidRPr="005208DC" w:rsidRDefault="006A7C45"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Gjithashtu, "hartimi i kuadrit rregullator dhe institucional për zhvillimin e shërbimeve dhe mënyrën e funksionimit të Porteve Turistike dhe aktivitetet në funksion të tyre", si dhe "Zhvillimi i Programit të Turizmit Bregdetar dhe Detar dhe krijimi i produkteve të reja" janë ndër objektivat specifikë të Strategjisë Kombëtare për Zhvillimin e Qëndrueshëm të Turizmit 2019-2023.</w:t>
      </w:r>
    </w:p>
    <w:p w14:paraId="55FE8D91" w14:textId="55AEF677" w:rsidR="006A7C45" w:rsidRPr="005208DC" w:rsidRDefault="006A7C4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Aktivitetet detare në Shqipëri janë mjaft të kufizuara, të përqendruara kryesisht në peshkim. Shqipërisë i mungon infrastruktura bazike, burimet njerëzore dhe pajisjet për të shërbyer qoftë edhe një numër modest varkash kënaqësie, shumë më pak se një industri e qëndrueshme e marinës; rregullat dhe procedurat e vendit, të pandryshuara nga epoka komuniste, shquhen për kompleksitetin dhe ngurtësinë e tyre, duke e bërë vendin destinacionin më pak mikpritës në Detin Mesdhe Verior.</w:t>
      </w:r>
    </w:p>
    <w:p w14:paraId="790528E3" w14:textId="77777777" w:rsidR="006A7C45" w:rsidRPr="005208DC" w:rsidRDefault="006A7C45" w:rsidP="00857902">
      <w:pPr>
        <w:snapToGrid w:val="0"/>
        <w:rPr>
          <w:rFonts w:asciiTheme="majorBidi" w:hAnsiTheme="majorBidi" w:cstheme="majorBidi"/>
          <w:color w:val="0D0D0D" w:themeColor="text1" w:themeTint="F2"/>
          <w:lang w:val="sq-AL"/>
        </w:rPr>
      </w:pPr>
    </w:p>
    <w:p w14:paraId="75C555F4" w14:textId="55DA1D95" w:rsidR="00EC2A3F" w:rsidRPr="005208DC" w:rsidRDefault="00B2062A" w:rsidP="00857902">
      <w:pPr>
        <w:pStyle w:val="Heading4"/>
        <w:numPr>
          <w:ilvl w:val="0"/>
          <w:numId w:val="56"/>
        </w:numPr>
        <w:snapToGrid w:val="0"/>
        <w:ind w:left="567" w:hanging="283"/>
        <w:rPr>
          <w:rFonts w:asciiTheme="majorBidi" w:hAnsiTheme="majorBidi" w:cstheme="majorBidi"/>
          <w:b w:val="0"/>
          <w:i/>
          <w:color w:val="0D0D0D" w:themeColor="text1" w:themeTint="F2"/>
          <w:sz w:val="24"/>
          <w:szCs w:val="24"/>
          <w:lang w:val="sq-AL"/>
        </w:rPr>
      </w:pPr>
      <w:r w:rsidRPr="005208DC">
        <w:rPr>
          <w:rFonts w:asciiTheme="majorBidi" w:hAnsiTheme="majorBidi" w:cstheme="majorBidi"/>
          <w:b w:val="0"/>
          <w:i/>
          <w:color w:val="0D0D0D" w:themeColor="text1" w:themeTint="F2"/>
          <w:sz w:val="24"/>
          <w:szCs w:val="24"/>
          <w:lang w:val="sq-AL"/>
        </w:rPr>
        <w:t>Masat e reformës</w:t>
      </w:r>
    </w:p>
    <w:p w14:paraId="2E7F7105" w14:textId="6C3D7673" w:rsidR="00EC2A3F" w:rsidRPr="005208DC" w:rsidRDefault="00B2062A" w:rsidP="00857902">
      <w:pPr>
        <w:pStyle w:val="Heading5"/>
        <w:snapToGrid w:val="0"/>
        <w:ind w:left="0"/>
        <w:rPr>
          <w:rFonts w:asciiTheme="majorBidi" w:hAnsiTheme="majorBidi" w:cstheme="majorBidi"/>
          <w:i w:val="0"/>
          <w:color w:val="0D0D0D" w:themeColor="text1" w:themeTint="F2"/>
          <w:sz w:val="24"/>
          <w:szCs w:val="24"/>
          <w:lang w:val="sq-AL"/>
        </w:rPr>
      </w:pPr>
      <w:r w:rsidRPr="005208DC">
        <w:rPr>
          <w:rFonts w:asciiTheme="majorBidi" w:hAnsiTheme="majorBidi" w:cstheme="majorBidi"/>
          <w:i w:val="0"/>
          <w:color w:val="0D0D0D" w:themeColor="text1" w:themeTint="F2"/>
          <w:sz w:val="24"/>
          <w:szCs w:val="24"/>
          <w:lang w:val="sq-AL"/>
        </w:rPr>
        <w:t>Masa e reformës</w:t>
      </w:r>
      <w:r w:rsidR="005358F8" w:rsidRPr="005208DC">
        <w:rPr>
          <w:rFonts w:asciiTheme="majorBidi" w:hAnsiTheme="majorBidi" w:cstheme="majorBidi"/>
          <w:i w:val="0"/>
          <w:color w:val="0D0D0D" w:themeColor="text1" w:themeTint="F2"/>
          <w:sz w:val="24"/>
          <w:szCs w:val="24"/>
          <w:lang w:val="sq-AL"/>
        </w:rPr>
        <w:t xml:space="preserve"> 16</w:t>
      </w:r>
      <w:r w:rsidR="00EC2A3F" w:rsidRPr="005208DC">
        <w:rPr>
          <w:rFonts w:asciiTheme="majorBidi" w:hAnsiTheme="majorBidi" w:cstheme="majorBidi"/>
          <w:i w:val="0"/>
          <w:color w:val="0D0D0D" w:themeColor="text1" w:themeTint="F2"/>
          <w:sz w:val="24"/>
          <w:szCs w:val="24"/>
          <w:lang w:val="sq-AL"/>
        </w:rPr>
        <w:t xml:space="preserve">: </w:t>
      </w:r>
      <w:r w:rsidR="001E4FC2" w:rsidRPr="005208DC">
        <w:rPr>
          <w:rFonts w:asciiTheme="majorBidi" w:hAnsiTheme="majorBidi" w:cstheme="majorBidi"/>
          <w:i w:val="0"/>
          <w:color w:val="0D0D0D" w:themeColor="text1" w:themeTint="F2"/>
          <w:sz w:val="24"/>
          <w:szCs w:val="24"/>
          <w:lang w:val="sq-AL"/>
        </w:rPr>
        <w:t>Marina më të mira dhe qeverisje dhe shërbime detare</w:t>
      </w:r>
    </w:p>
    <w:p w14:paraId="6A1F9E90" w14:textId="39081176" w:rsidR="00EC2A3F" w:rsidRPr="005208DC" w:rsidRDefault="00B2062A" w:rsidP="00857902">
      <w:pPr>
        <w:pStyle w:val="Heading6"/>
        <w:numPr>
          <w:ilvl w:val="0"/>
          <w:numId w:val="61"/>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Përshkrimi i masës</w:t>
      </w:r>
    </w:p>
    <w:p w14:paraId="5A09D791" w14:textId="14313E23" w:rsidR="006A7C45" w:rsidRPr="005208DC" w:rsidRDefault="006A7C45"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Për sa i përket përputhshmërisë së reformës me planet dhe politikat e përgjithshme për zhvillimin e sektorit, kjo reformë është në përputhje me Strategjinë Kombëtare për Zhvillimin e Qëndrueshëm të Turizmit 2019-2023, konkretisht me objektivat e saj specifike 2.3 dhe 3.1, si dhe me Programin e Qeverisë 2017-2021 për konsolidimin e porteve dhe marinave. Gjithashtu, Plani i Përgjithshëm Kombëtar i Territorit vendos si prioritet strategjik rritjen e numrit të marinave turistike në përputhje me kapacitetin fizik të bregdetit shqiptar për të zhvilluar një sektor elitar të turizmit bregdetar që respekton mjedisin dhe karakteristikat fizike të zonës. peizazhin natyror dhe urban të bregdetit shqiptar. Ashtu si Plani i Përgjithshëm Kombëtar i Territorit, edhe Plani i Integruar Ndërsektorial i Zonës Bregdetare (PINS Bregdeti) përcakton si objektiv zhvillimin e porteve turistike (marinave) në mbështetje të zhvillimit të sektorit të turizmit.</w:t>
      </w:r>
    </w:p>
    <w:p w14:paraId="469FABC5" w14:textId="75CE3573" w:rsidR="006A7C45" w:rsidRPr="005208DC" w:rsidRDefault="006A7C45"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Kjo masë reformuese synon të ndryshojë, harmonizojë dhe plotësojë legjislacionin dhe procedurat aktuale, për të krijuar një kuadër rregullator modern, në përputhje me rregulloret e BE-së dhe të përshtatur me nevojat dhe karakteristikat e veçanta të Ekonomisë Blu. Certifikimi i operatorëve të turizmit detar do të mundësojë ofrimin e aktiviteteve të turizmit detar si: lundrimi për qëllime turistike dhe argëtuese, surfing, zhytja rekreative, windsurfing, water skiing, wakeboarding, motor uji, peshkim turistik etj., vetëm nga operatorë të licencuar të turizmit detar, duke pasur kështu një ndikim pozitiv në standardet dhe sigurinë e shërbimit të turizmit detar. Kjo reformë do të ketë një efekt pozitiv edhe në nxitjen e konkurrueshmërisë duke vendosur standarde dhe rregulla të qarta për të gjitha subjektet që operojnë në këtë sektor.</w:t>
      </w:r>
    </w:p>
    <w:p w14:paraId="768D7317" w14:textId="77777777" w:rsidR="006A7C45" w:rsidRPr="005208DC" w:rsidRDefault="006A7C45"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Qeveria shqiptare po aplikon një qasje të integruar për të shfrytëzuar potencialin e zhvillimit të turizmit detar. Një nismë tjetër e ndërmarrë në këtë drejtim është miratimi në datën 14 maj 2020 nga Kuvendi i ndryshimit të ligjit nr.92/2014, datë 24.07.2014 “Për tatimin mbi vlerën e shtuar në Republikën e Shqipërisë”, i ndryshuar, i cili bën përjashtimin nga detyrimi për të paguar TVSH 20% për anijet turistike të importuara, me vjetërsi jo më shumë se 20 vjet. Ky ndryshim i ligjit synon:</w:t>
      </w:r>
    </w:p>
    <w:p w14:paraId="2B8520FC" w14:textId="77777777" w:rsidR="006A7C45" w:rsidRPr="005208DC" w:rsidRDefault="006A7C45" w:rsidP="00F957E8">
      <w:pPr>
        <w:pStyle w:val="ListParagraph"/>
        <w:numPr>
          <w:ilvl w:val="0"/>
          <w:numId w:val="112"/>
        </w:numPr>
        <w:jc w:val="both"/>
        <w:rPr>
          <w:rFonts w:ascii="Times New Roman" w:eastAsia="Calibri" w:hAnsi="Times New Roman" w:cs="Times New Roman"/>
          <w:color w:val="0D0D0D" w:themeColor="text1" w:themeTint="F2"/>
          <w:sz w:val="24"/>
          <w:szCs w:val="24"/>
          <w:lang w:val="sq-AL"/>
        </w:rPr>
      </w:pPr>
      <w:r w:rsidRPr="005208DC">
        <w:rPr>
          <w:rFonts w:ascii="Times New Roman" w:eastAsia="Calibri" w:hAnsi="Times New Roman" w:cs="Times New Roman"/>
          <w:color w:val="0D0D0D" w:themeColor="text1" w:themeTint="F2"/>
          <w:sz w:val="24"/>
          <w:szCs w:val="24"/>
          <w:lang w:val="sq-AL"/>
        </w:rPr>
        <w:t>rindërtimin e një flote shqiptare me anije turistike miqësore me mjedisin;</w:t>
      </w:r>
    </w:p>
    <w:p w14:paraId="2A7C415D" w14:textId="77777777" w:rsidR="006A7C45" w:rsidRPr="005208DC" w:rsidRDefault="006A7C45" w:rsidP="00F957E8">
      <w:pPr>
        <w:pStyle w:val="ListParagraph"/>
        <w:numPr>
          <w:ilvl w:val="0"/>
          <w:numId w:val="112"/>
        </w:numPr>
        <w:jc w:val="both"/>
        <w:rPr>
          <w:rFonts w:ascii="Times New Roman" w:eastAsia="Calibri" w:hAnsi="Times New Roman" w:cs="Times New Roman"/>
          <w:color w:val="0D0D0D" w:themeColor="text1" w:themeTint="F2"/>
          <w:sz w:val="24"/>
          <w:szCs w:val="24"/>
          <w:lang w:val="sq-AL"/>
        </w:rPr>
      </w:pPr>
      <w:r w:rsidRPr="005208DC">
        <w:rPr>
          <w:rFonts w:ascii="Times New Roman" w:eastAsia="Calibri" w:hAnsi="Times New Roman" w:cs="Times New Roman"/>
          <w:color w:val="0D0D0D" w:themeColor="text1" w:themeTint="F2"/>
          <w:sz w:val="24"/>
          <w:szCs w:val="24"/>
          <w:lang w:val="sq-AL"/>
        </w:rPr>
        <w:t>të zgjeroj</w:t>
      </w:r>
      <w:r w:rsidRPr="005208DC">
        <w:rPr>
          <w:rFonts w:ascii="Times New Roman" w:hAnsi="Times New Roman"/>
          <w:color w:val="0D0D0D" w:themeColor="text1" w:themeTint="F2"/>
          <w:sz w:val="24"/>
          <w:szCs w:val="24"/>
          <w:lang w:val="sq-AL"/>
        </w:rPr>
        <w:t>ë</w:t>
      </w:r>
      <w:r w:rsidRPr="005208DC">
        <w:rPr>
          <w:rFonts w:ascii="Times New Roman" w:eastAsia="Calibri" w:hAnsi="Times New Roman" w:cs="Times New Roman"/>
          <w:color w:val="0D0D0D" w:themeColor="text1" w:themeTint="F2"/>
          <w:sz w:val="24"/>
          <w:szCs w:val="24"/>
          <w:lang w:val="sq-AL"/>
        </w:rPr>
        <w:t xml:space="preserve"> flot</w:t>
      </w:r>
      <w:r w:rsidRPr="005208DC">
        <w:rPr>
          <w:rFonts w:ascii="Times New Roman" w:hAnsi="Times New Roman"/>
          <w:color w:val="0D0D0D" w:themeColor="text1" w:themeTint="F2"/>
          <w:sz w:val="24"/>
          <w:szCs w:val="24"/>
          <w:lang w:val="sq-AL"/>
        </w:rPr>
        <w:t>ë</w:t>
      </w:r>
      <w:r w:rsidRPr="005208DC">
        <w:rPr>
          <w:rFonts w:ascii="Times New Roman" w:eastAsia="Calibri" w:hAnsi="Times New Roman" w:cs="Times New Roman"/>
          <w:color w:val="0D0D0D" w:themeColor="text1" w:themeTint="F2"/>
          <w:sz w:val="24"/>
          <w:szCs w:val="24"/>
          <w:lang w:val="sq-AL"/>
        </w:rPr>
        <w:t>n me flamurin shqiptar;</w:t>
      </w:r>
    </w:p>
    <w:p w14:paraId="4BDA7F28" w14:textId="7BE465F2" w:rsidR="006A7C45" w:rsidRPr="005208DC" w:rsidRDefault="006A7C45" w:rsidP="00F957E8">
      <w:pPr>
        <w:pStyle w:val="ListParagraph"/>
        <w:numPr>
          <w:ilvl w:val="0"/>
          <w:numId w:val="112"/>
        </w:numPr>
        <w:jc w:val="both"/>
        <w:rPr>
          <w:rFonts w:ascii="Times New Roman" w:eastAsia="Calibri" w:hAnsi="Times New Roman" w:cs="Times New Roman"/>
          <w:color w:val="0D0D0D" w:themeColor="text1" w:themeTint="F2"/>
          <w:sz w:val="24"/>
          <w:szCs w:val="24"/>
          <w:lang w:val="sq-AL"/>
        </w:rPr>
      </w:pPr>
      <w:r w:rsidRPr="005208DC">
        <w:rPr>
          <w:rFonts w:ascii="Times New Roman" w:eastAsia="Calibri" w:hAnsi="Times New Roman" w:cs="Times New Roman"/>
          <w:color w:val="0D0D0D" w:themeColor="text1" w:themeTint="F2"/>
          <w:sz w:val="24"/>
          <w:szCs w:val="24"/>
          <w:lang w:val="sq-AL"/>
        </w:rPr>
        <w:t>stimulimin e zhvillimit të infrastrukturës së marinës.</w:t>
      </w:r>
    </w:p>
    <w:p w14:paraId="184CEC16" w14:textId="77777777" w:rsidR="006A7C45" w:rsidRPr="005208DC" w:rsidRDefault="006A7C45" w:rsidP="00857902">
      <w:pPr>
        <w:snapToGrid w:val="0"/>
        <w:rPr>
          <w:rFonts w:asciiTheme="majorBidi" w:hAnsiTheme="majorBidi" w:cstheme="majorBidi"/>
          <w:color w:val="0D0D0D" w:themeColor="text1" w:themeTint="F2"/>
          <w:lang w:val="sq-AL"/>
        </w:rPr>
      </w:pPr>
    </w:p>
    <w:p w14:paraId="7B44E6FB" w14:textId="6AEEC1A4" w:rsidR="00EC2A3F" w:rsidRPr="005208DC" w:rsidRDefault="00B2062A" w:rsidP="00857902">
      <w:pPr>
        <w:pStyle w:val="ListParagraph"/>
        <w:numPr>
          <w:ilvl w:val="0"/>
          <w:numId w:val="62"/>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EC2A3F" w:rsidRPr="005208DC">
        <w:rPr>
          <w:rFonts w:asciiTheme="majorBidi" w:hAnsiTheme="majorBidi" w:cstheme="majorBidi"/>
          <w:b/>
          <w:color w:val="0D0D0D" w:themeColor="text1" w:themeTint="F2"/>
          <w:sz w:val="24"/>
          <w:szCs w:val="24"/>
          <w:lang w:val="sq-AL"/>
        </w:rPr>
        <w:t xml:space="preserve"> 2022</w:t>
      </w:r>
    </w:p>
    <w:p w14:paraId="40ABDD17" w14:textId="38296AE0" w:rsidR="006A7C45" w:rsidRPr="005208DC" w:rsidRDefault="006A7C45" w:rsidP="00857902">
      <w:pPr>
        <w:pStyle w:val="ListParagraph"/>
        <w:numPr>
          <w:ilvl w:val="0"/>
          <w:numId w:val="63"/>
        </w:numPr>
        <w:jc w:val="both"/>
        <w:rPr>
          <w:rFonts w:asciiTheme="majorBidi" w:hAnsiTheme="majorBidi" w:cstheme="majorBidi"/>
          <w:b/>
          <w:color w:val="0D0D0D" w:themeColor="text1" w:themeTint="F2"/>
          <w:sz w:val="24"/>
          <w:szCs w:val="24"/>
          <w:lang w:val="sq-AL"/>
        </w:rPr>
      </w:pPr>
      <w:r w:rsidRPr="005208DC">
        <w:rPr>
          <w:rFonts w:ascii="Times New Roman" w:hAnsi="Times New Roman"/>
          <w:color w:val="0D0D0D" w:themeColor="text1" w:themeTint="F2"/>
          <w:lang w:val="sq-AL"/>
        </w:rPr>
        <w:t xml:space="preserve">Përfundimi i kornizës ligjore për aktivitetet e turizmit detar </w:t>
      </w:r>
    </w:p>
    <w:p w14:paraId="1C4D878F" w14:textId="77777777" w:rsidR="006A7C45" w:rsidRPr="005208DC" w:rsidRDefault="006A7C45" w:rsidP="00857902">
      <w:pPr>
        <w:pStyle w:val="ListParagraph"/>
        <w:ind w:left="1440" w:firstLine="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Në prill 2020, Kuvendi i Shqipërisë miratoi ligjin nr. 43/2020, datë 23.04.2020 “Për veprimtaritë e turizmit detar”. Ky ligj përcakton rregullat, kushtet dhe kriteret për aktivitetet në turizmin detar, anijet turistike dhe qëllimet e argëtimit, infrastrukturën e nevojshme për ushtrimin e tyre, si dhe përgjegjësitë institucionale në këtë fushë. Krahas akteve ligjore të hartuara dhe miratuara në vitin 2021 do të hartohet një kuadër tjetër ligjor plotësues që rrjedh nga ky ligj, si: VKM “Për vendosjen e kritereve dhe mënyrën e funksionimit të stacioneve të ankorimit sezonal”. Gjithashtu është planifikuar hartimi i ligjit “Për menaxhimin e integruar të vijës bregdetare”. Hartimi i kuadrit ligjor do të vazhdojë edhe gjatë tremujorit të parë të vitit 2022. (MTM, MIE)</w:t>
      </w:r>
    </w:p>
    <w:p w14:paraId="3A235308" w14:textId="0697B7F9" w:rsidR="006A7C45" w:rsidRPr="005208DC" w:rsidRDefault="006A7C45" w:rsidP="00857902">
      <w:pPr>
        <w:pStyle w:val="ListParagraph"/>
        <w:numPr>
          <w:ilvl w:val="0"/>
          <w:numId w:val="63"/>
        </w:num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 xml:space="preserve">Çertifikimi i operatorëve të turizmit detar </w:t>
      </w:r>
    </w:p>
    <w:p w14:paraId="2B991D5D" w14:textId="0D9BB6FB" w:rsidR="006A7C45" w:rsidRPr="005208DC" w:rsidRDefault="006A7C45" w:rsidP="00857902">
      <w:pPr>
        <w:pStyle w:val="ListParagraph"/>
        <w:ind w:left="1440" w:firstLine="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Ky do të jetë një proces i rregulluar mirë dhe shumë transparent që do të krijojë kushtet për zhvillimin e mëtejshëm të sektorit, përmirësimin e cilësisë dhe krijimin e standardeve të larta të sigurisë. Operatorët duhet të demonstrojnë pajtueshmërinë e kapaciteteve dhe pajisjeve të tyre me dispozitat e legjislacionit</w:t>
      </w:r>
      <w:r w:rsidRPr="005208DC">
        <w:rPr>
          <w:rFonts w:ascii="Helvetica" w:hAnsi="Helvetica" w:cs="Helvetica"/>
          <w:color w:val="0D0D0D" w:themeColor="text1" w:themeTint="F2"/>
          <w:sz w:val="27"/>
          <w:szCs w:val="27"/>
          <w:shd w:val="clear" w:color="auto" w:fill="F5F5F5"/>
          <w:lang w:val="sq-AL"/>
        </w:rPr>
        <w:t xml:space="preserve">, </w:t>
      </w:r>
      <w:r w:rsidRPr="005208DC">
        <w:rPr>
          <w:rFonts w:ascii="Times New Roman" w:hAnsi="Times New Roman"/>
          <w:color w:val="0D0D0D" w:themeColor="text1" w:themeTint="F2"/>
          <w:lang w:val="sq-AL"/>
        </w:rPr>
        <w:t>si dhe arsimin e duhur profesional. Ky do të jetë një proces i vazhdueshëm që do të pasqyrojë dhe adresojë nevojat e tregut për shërbimet detare. (MTE, MI, MIE)</w:t>
      </w:r>
    </w:p>
    <w:p w14:paraId="2C083B66" w14:textId="65543F64" w:rsidR="006A7C45" w:rsidRPr="005208DC" w:rsidRDefault="006A7C45" w:rsidP="00857902">
      <w:pPr>
        <w:pStyle w:val="ListParagraph"/>
        <w:numPr>
          <w:ilvl w:val="0"/>
          <w:numId w:val="63"/>
        </w:numPr>
        <w:jc w:val="both"/>
        <w:rPr>
          <w:rFonts w:ascii="Times New Roman" w:hAnsi="Times New Roman"/>
          <w:color w:val="0D0D0D" w:themeColor="text1" w:themeTint="F2"/>
          <w:lang w:val="sq-AL"/>
        </w:rPr>
      </w:pPr>
      <w:r w:rsidRPr="005208DC">
        <w:rPr>
          <w:rFonts w:ascii="Times New Roman" w:hAnsi="Times New Roman"/>
          <w:bCs/>
          <w:color w:val="0D0D0D" w:themeColor="text1" w:themeTint="F2"/>
          <w:lang w:val="sq-AL"/>
        </w:rPr>
        <w:t>Promovimi i sektorit të turizmit detar</w:t>
      </w:r>
    </w:p>
    <w:p w14:paraId="062347AB" w14:textId="52DB7DE3" w:rsidR="006A7C45" w:rsidRPr="005208DC" w:rsidRDefault="006A7C45" w:rsidP="00857902">
      <w:pPr>
        <w:pStyle w:val="ListParagraph"/>
        <w:ind w:left="1440" w:firstLine="0"/>
        <w:jc w:val="both"/>
        <w:rPr>
          <w:rFonts w:asciiTheme="majorBidi" w:hAnsiTheme="majorBidi" w:cstheme="majorBidi"/>
          <w:b/>
          <w:color w:val="0D0D0D" w:themeColor="text1" w:themeTint="F2"/>
          <w:sz w:val="24"/>
          <w:szCs w:val="24"/>
          <w:lang w:val="sq-AL"/>
        </w:rPr>
      </w:pPr>
      <w:r w:rsidRPr="005208DC">
        <w:rPr>
          <w:rFonts w:ascii="Times New Roman" w:hAnsi="Times New Roman"/>
          <w:color w:val="0D0D0D" w:themeColor="text1" w:themeTint="F2"/>
          <w:lang w:val="sq-AL"/>
        </w:rPr>
        <w:t>Ky aktivitet përfshin mbështetjen për aktivitete të ndryshme promocionale në bashki të ndryshme, organizimin e aktiviteteve ndërkombëtare etj. (MTE, National Tourism Agency, LGAs)</w:t>
      </w:r>
    </w:p>
    <w:p w14:paraId="3E1864B7" w14:textId="40150E57" w:rsidR="00EC2A3F" w:rsidRPr="005208DC" w:rsidRDefault="00B2062A" w:rsidP="00857902">
      <w:pPr>
        <w:pStyle w:val="ListParagraph"/>
        <w:numPr>
          <w:ilvl w:val="0"/>
          <w:numId w:val="62"/>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EC2A3F" w:rsidRPr="005208DC">
        <w:rPr>
          <w:rFonts w:asciiTheme="majorBidi" w:hAnsiTheme="majorBidi" w:cstheme="majorBidi"/>
          <w:b/>
          <w:color w:val="0D0D0D" w:themeColor="text1" w:themeTint="F2"/>
          <w:sz w:val="24"/>
          <w:szCs w:val="24"/>
          <w:lang w:val="sq-AL"/>
        </w:rPr>
        <w:t xml:space="preserve"> 2023</w:t>
      </w:r>
    </w:p>
    <w:p w14:paraId="004F87E4" w14:textId="784EAA0F" w:rsidR="006A7C45" w:rsidRPr="005208DC" w:rsidRDefault="006A7C45" w:rsidP="00857902">
      <w:pPr>
        <w:pStyle w:val="ListParagraph"/>
        <w:numPr>
          <w:ilvl w:val="0"/>
          <w:numId w:val="64"/>
        </w:numPr>
        <w:jc w:val="both"/>
        <w:rPr>
          <w:rFonts w:asciiTheme="majorBidi" w:hAnsiTheme="majorBidi" w:cstheme="majorBidi"/>
          <w:bCs/>
          <w:color w:val="0D0D0D" w:themeColor="text1" w:themeTint="F2"/>
          <w:sz w:val="24"/>
          <w:szCs w:val="24"/>
          <w:lang w:val="sq-AL"/>
        </w:rPr>
      </w:pPr>
      <w:r w:rsidRPr="005208DC">
        <w:rPr>
          <w:rFonts w:ascii="Times New Roman" w:hAnsi="Times New Roman"/>
          <w:bCs/>
          <w:color w:val="0D0D0D" w:themeColor="text1" w:themeTint="F2"/>
          <w:lang w:val="sq-AL"/>
        </w:rPr>
        <w:t>Çertifikimi i operatorëve turistikë detarë;</w:t>
      </w:r>
    </w:p>
    <w:p w14:paraId="061CDBD2" w14:textId="701DA9E5" w:rsidR="006A7C45" w:rsidRPr="005208DC" w:rsidRDefault="006A7C45" w:rsidP="00857902">
      <w:pPr>
        <w:pStyle w:val="ListParagraph"/>
        <w:numPr>
          <w:ilvl w:val="0"/>
          <w:numId w:val="64"/>
        </w:numPr>
        <w:snapToGrid w:val="0"/>
        <w:jc w:val="both"/>
        <w:rPr>
          <w:rFonts w:ascii="Times New Roman" w:hAnsi="Times New Roman"/>
          <w:color w:val="0D0D0D" w:themeColor="text1" w:themeTint="F2"/>
          <w:lang w:val="sq-AL"/>
        </w:rPr>
      </w:pPr>
      <w:r w:rsidRPr="005208DC">
        <w:rPr>
          <w:rFonts w:ascii="Times New Roman" w:hAnsi="Times New Roman"/>
          <w:bCs/>
          <w:color w:val="0D0D0D" w:themeColor="text1" w:themeTint="F2"/>
          <w:lang w:val="sq-AL"/>
        </w:rPr>
        <w:t>Promovimi i sektorit të turizmit detar;</w:t>
      </w:r>
    </w:p>
    <w:p w14:paraId="1C29BE4A" w14:textId="60E00AD4" w:rsidR="006A7C45" w:rsidRPr="005208DC" w:rsidRDefault="006A7C45" w:rsidP="00857902">
      <w:pPr>
        <w:pStyle w:val="ListParagraph"/>
        <w:numPr>
          <w:ilvl w:val="0"/>
          <w:numId w:val="64"/>
        </w:numPr>
        <w:snapToGrid w:val="0"/>
        <w:jc w:val="both"/>
        <w:rPr>
          <w:rFonts w:ascii="Times New Roman" w:hAnsi="Times New Roman"/>
          <w:color w:val="0D0D0D" w:themeColor="text1" w:themeTint="F2"/>
          <w:lang w:val="sq-AL"/>
        </w:rPr>
      </w:pPr>
      <w:r w:rsidRPr="005208DC">
        <w:rPr>
          <w:rFonts w:ascii="Times New Roman" w:hAnsi="Times New Roman"/>
          <w:bCs/>
          <w:color w:val="0D0D0D" w:themeColor="text1" w:themeTint="F2"/>
          <w:lang w:val="sq-AL"/>
        </w:rPr>
        <w:t>Rritja e kapaciteteve të burimeve njerëzore.</w:t>
      </w:r>
    </w:p>
    <w:p w14:paraId="7DA59637" w14:textId="0875EB2C" w:rsidR="006A7C45" w:rsidRPr="005208DC" w:rsidRDefault="006A7C45" w:rsidP="00857902">
      <w:pPr>
        <w:pStyle w:val="ListParagraph"/>
        <w:ind w:left="1440" w:firstLine="0"/>
        <w:jc w:val="both"/>
        <w:rPr>
          <w:rFonts w:asciiTheme="majorBidi" w:hAnsiTheme="majorBidi" w:cstheme="majorBidi"/>
          <w:bCs/>
          <w:color w:val="0D0D0D" w:themeColor="text1" w:themeTint="F2"/>
          <w:sz w:val="24"/>
          <w:szCs w:val="24"/>
          <w:lang w:val="sq-AL"/>
        </w:rPr>
      </w:pPr>
      <w:r w:rsidRPr="005208DC">
        <w:rPr>
          <w:rFonts w:ascii="Times New Roman" w:hAnsi="Times New Roman"/>
          <w:bCs/>
          <w:color w:val="0D0D0D" w:themeColor="text1" w:themeTint="F2"/>
          <w:lang w:val="sq-AL"/>
        </w:rPr>
        <w:t>Ky aktivitet synon të inkurajojë bashkëpunimin dhe të promovojë formimin profesional në lidhje me profesionet e turizmit detar. (MTE, MFE, LGA)</w:t>
      </w:r>
    </w:p>
    <w:p w14:paraId="52A02762" w14:textId="15CB21FB" w:rsidR="00EC2A3F" w:rsidRPr="005208DC" w:rsidRDefault="00B2062A" w:rsidP="00857902">
      <w:pPr>
        <w:pStyle w:val="ListParagraph"/>
        <w:numPr>
          <w:ilvl w:val="0"/>
          <w:numId w:val="62"/>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EC2A3F" w:rsidRPr="005208DC">
        <w:rPr>
          <w:rFonts w:asciiTheme="majorBidi" w:hAnsiTheme="majorBidi" w:cstheme="majorBidi"/>
          <w:b/>
          <w:color w:val="0D0D0D" w:themeColor="text1" w:themeTint="F2"/>
          <w:sz w:val="24"/>
          <w:szCs w:val="24"/>
          <w:lang w:val="sq-AL"/>
        </w:rPr>
        <w:t xml:space="preserve"> 2024</w:t>
      </w:r>
    </w:p>
    <w:p w14:paraId="7C17E223" w14:textId="77777777" w:rsidR="006A7C45" w:rsidRPr="005208DC" w:rsidRDefault="006A7C45" w:rsidP="00857902">
      <w:pPr>
        <w:pStyle w:val="ListParagraph"/>
        <w:numPr>
          <w:ilvl w:val="0"/>
          <w:numId w:val="65"/>
        </w:numPr>
        <w:jc w:val="both"/>
        <w:rPr>
          <w:rFonts w:asciiTheme="majorBidi" w:hAnsiTheme="majorBidi" w:cstheme="majorBidi"/>
          <w:bCs/>
          <w:color w:val="0D0D0D" w:themeColor="text1" w:themeTint="F2"/>
          <w:sz w:val="24"/>
          <w:szCs w:val="24"/>
          <w:lang w:val="sq-AL"/>
        </w:rPr>
      </w:pPr>
      <w:r w:rsidRPr="005208DC">
        <w:rPr>
          <w:rFonts w:ascii="Times New Roman" w:hAnsi="Times New Roman"/>
          <w:bCs/>
          <w:color w:val="0D0D0D" w:themeColor="text1" w:themeTint="F2"/>
          <w:lang w:val="sq-AL"/>
        </w:rPr>
        <w:t>Çertifikimi i operatorëve turistikë detarë;</w:t>
      </w:r>
    </w:p>
    <w:p w14:paraId="6B267BBD" w14:textId="77777777" w:rsidR="006A7C45" w:rsidRPr="005208DC" w:rsidRDefault="006A7C45" w:rsidP="00857902">
      <w:pPr>
        <w:pStyle w:val="ListParagraph"/>
        <w:numPr>
          <w:ilvl w:val="0"/>
          <w:numId w:val="65"/>
        </w:numPr>
        <w:snapToGrid w:val="0"/>
        <w:jc w:val="both"/>
        <w:rPr>
          <w:rFonts w:ascii="Times New Roman" w:hAnsi="Times New Roman"/>
          <w:color w:val="0D0D0D" w:themeColor="text1" w:themeTint="F2"/>
          <w:lang w:val="sq-AL"/>
        </w:rPr>
      </w:pPr>
      <w:r w:rsidRPr="005208DC">
        <w:rPr>
          <w:rFonts w:ascii="Times New Roman" w:hAnsi="Times New Roman"/>
          <w:bCs/>
          <w:color w:val="0D0D0D" w:themeColor="text1" w:themeTint="F2"/>
          <w:lang w:val="sq-AL"/>
        </w:rPr>
        <w:t>Promovimi i sektorit të turizmit detar;</w:t>
      </w:r>
    </w:p>
    <w:p w14:paraId="45D9E679" w14:textId="3E65F92C" w:rsidR="006A7C45" w:rsidRPr="005208DC" w:rsidRDefault="006A7C45" w:rsidP="00857902">
      <w:pPr>
        <w:pStyle w:val="ListParagraph"/>
        <w:numPr>
          <w:ilvl w:val="0"/>
          <w:numId w:val="65"/>
        </w:numPr>
        <w:snapToGrid w:val="0"/>
        <w:jc w:val="both"/>
        <w:rPr>
          <w:rFonts w:ascii="Times New Roman" w:hAnsi="Times New Roman"/>
          <w:color w:val="0D0D0D" w:themeColor="text1" w:themeTint="F2"/>
          <w:lang w:val="sq-AL"/>
        </w:rPr>
      </w:pPr>
      <w:r w:rsidRPr="005208DC">
        <w:rPr>
          <w:rFonts w:ascii="Times New Roman" w:hAnsi="Times New Roman"/>
          <w:bCs/>
          <w:color w:val="0D0D0D" w:themeColor="text1" w:themeTint="F2"/>
          <w:lang w:val="sq-AL"/>
        </w:rPr>
        <w:t>Rritja e kapaciteteve të burimeve njerëzore.</w:t>
      </w:r>
    </w:p>
    <w:p w14:paraId="0F77AE53" w14:textId="77777777" w:rsidR="00836016" w:rsidRPr="005208DC" w:rsidRDefault="00836016" w:rsidP="00857902">
      <w:pPr>
        <w:snapToGrid w:val="0"/>
        <w:rPr>
          <w:rFonts w:asciiTheme="majorBidi" w:hAnsiTheme="majorBidi" w:cstheme="majorBidi"/>
          <w:color w:val="0D0D0D" w:themeColor="text1" w:themeTint="F2"/>
          <w:lang w:val="sq-AL"/>
        </w:rPr>
      </w:pPr>
    </w:p>
    <w:p w14:paraId="394CD3FD" w14:textId="63E9875D" w:rsidR="00EC2A3F" w:rsidRPr="005208DC" w:rsidRDefault="00B2062A" w:rsidP="00857902">
      <w:pPr>
        <w:pStyle w:val="Heading6"/>
        <w:numPr>
          <w:ilvl w:val="0"/>
          <w:numId w:val="61"/>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Treguesit e rezultateve</w:t>
      </w:r>
    </w:p>
    <w:tbl>
      <w:tblPr>
        <w:tblStyle w:val="TableGrid"/>
        <w:tblW w:w="0" w:type="auto"/>
        <w:tblLook w:val="04A0" w:firstRow="1" w:lastRow="0" w:firstColumn="1" w:lastColumn="0" w:noHBand="0" w:noVBand="1"/>
      </w:tblPr>
      <w:tblGrid>
        <w:gridCol w:w="4248"/>
        <w:gridCol w:w="1791"/>
        <w:gridCol w:w="1791"/>
        <w:gridCol w:w="1792"/>
      </w:tblGrid>
      <w:tr w:rsidR="005208DC" w:rsidRPr="005208DC" w14:paraId="3A83990D" w14:textId="77777777" w:rsidTr="002B2B60">
        <w:tc>
          <w:tcPr>
            <w:tcW w:w="4248" w:type="dxa"/>
          </w:tcPr>
          <w:p w14:paraId="622A1872" w14:textId="36AC3B45" w:rsidR="002B2B60"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w:t>
            </w:r>
          </w:p>
        </w:tc>
        <w:tc>
          <w:tcPr>
            <w:tcW w:w="1791" w:type="dxa"/>
          </w:tcPr>
          <w:p w14:paraId="03F8C53A" w14:textId="6309C93A" w:rsidR="002B2B60"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Bazë</w:t>
            </w:r>
            <w:r w:rsidR="002B2B60" w:rsidRPr="005208DC">
              <w:rPr>
                <w:rFonts w:asciiTheme="majorBidi" w:hAnsiTheme="majorBidi" w:cstheme="majorBidi"/>
                <w:color w:val="0D0D0D" w:themeColor="text1" w:themeTint="F2"/>
                <w:lang w:val="sq-AL"/>
              </w:rPr>
              <w:t xml:space="preserve"> (2020)</w:t>
            </w:r>
          </w:p>
        </w:tc>
        <w:tc>
          <w:tcPr>
            <w:tcW w:w="1791" w:type="dxa"/>
          </w:tcPr>
          <w:p w14:paraId="79B3068D" w14:textId="555AE0A4" w:rsidR="002B2B60"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 ndërmjetëm</w:t>
            </w:r>
            <w:r w:rsidR="002B2B60" w:rsidRPr="005208DC">
              <w:rPr>
                <w:rFonts w:asciiTheme="majorBidi" w:hAnsiTheme="majorBidi" w:cstheme="majorBidi"/>
                <w:color w:val="0D0D0D" w:themeColor="text1" w:themeTint="F2"/>
                <w:lang w:val="sq-AL"/>
              </w:rPr>
              <w:t xml:space="preserve"> (2022 or 23)</w:t>
            </w:r>
          </w:p>
        </w:tc>
        <w:tc>
          <w:tcPr>
            <w:tcW w:w="1792" w:type="dxa"/>
          </w:tcPr>
          <w:p w14:paraId="640F502C" w14:textId="53F65FD7" w:rsidR="002B2B60"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Synimi</w:t>
            </w:r>
            <w:r w:rsidR="002B2B60" w:rsidRPr="005208DC">
              <w:rPr>
                <w:rFonts w:asciiTheme="majorBidi" w:hAnsiTheme="majorBidi" w:cstheme="majorBidi"/>
                <w:color w:val="0D0D0D" w:themeColor="text1" w:themeTint="F2"/>
                <w:lang w:val="sq-AL"/>
              </w:rPr>
              <w:t xml:space="preserve"> (2025)</w:t>
            </w:r>
          </w:p>
        </w:tc>
      </w:tr>
      <w:tr w:rsidR="005208DC" w:rsidRPr="005208DC" w14:paraId="18B11E58" w14:textId="77777777" w:rsidTr="002B2B60">
        <w:tc>
          <w:tcPr>
            <w:tcW w:w="4248" w:type="dxa"/>
          </w:tcPr>
          <w:p w14:paraId="6593653B" w14:textId="3A8DDE4E" w:rsidR="006A7C45" w:rsidRPr="005208DC" w:rsidRDefault="006A7C4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 xml:space="preserve">Numri i operatorëve turistikë detarë të çertifikuar </w:t>
            </w:r>
          </w:p>
        </w:tc>
        <w:tc>
          <w:tcPr>
            <w:tcW w:w="1791" w:type="dxa"/>
          </w:tcPr>
          <w:p w14:paraId="629F7CA5" w14:textId="6F961D66" w:rsidR="006A7C45" w:rsidRPr="005208DC" w:rsidRDefault="006A7C4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0</w:t>
            </w:r>
          </w:p>
        </w:tc>
        <w:tc>
          <w:tcPr>
            <w:tcW w:w="1791" w:type="dxa"/>
          </w:tcPr>
          <w:p w14:paraId="1B7DBB95" w14:textId="6CF2C272" w:rsidR="006A7C45" w:rsidRPr="005208DC" w:rsidRDefault="006A7C4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*5</w:t>
            </w:r>
          </w:p>
        </w:tc>
        <w:tc>
          <w:tcPr>
            <w:tcW w:w="1792" w:type="dxa"/>
          </w:tcPr>
          <w:p w14:paraId="4191FD59" w14:textId="381A7AF0" w:rsidR="006A7C45" w:rsidRPr="005208DC" w:rsidRDefault="006A7C4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20</w:t>
            </w:r>
          </w:p>
        </w:tc>
      </w:tr>
      <w:tr w:rsidR="005208DC" w:rsidRPr="005208DC" w14:paraId="07FEA926" w14:textId="77777777" w:rsidTr="002B2B60">
        <w:tc>
          <w:tcPr>
            <w:tcW w:w="4248" w:type="dxa"/>
          </w:tcPr>
          <w:p w14:paraId="5DE5D5BB" w14:textId="6AEB15D6" w:rsidR="006A7C45" w:rsidRPr="005208DC" w:rsidRDefault="006A7C4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 xml:space="preserve">Numri i të punësuarve në sektorin e turizmit detar </w:t>
            </w:r>
          </w:p>
        </w:tc>
        <w:tc>
          <w:tcPr>
            <w:tcW w:w="1791" w:type="dxa"/>
          </w:tcPr>
          <w:p w14:paraId="2EE49C15" w14:textId="57B1ABFA" w:rsidR="006A7C45" w:rsidRPr="005208DC" w:rsidRDefault="006A7C4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N/A</w:t>
            </w:r>
          </w:p>
        </w:tc>
        <w:tc>
          <w:tcPr>
            <w:tcW w:w="1791" w:type="dxa"/>
          </w:tcPr>
          <w:p w14:paraId="4A060833" w14:textId="561F6BC3" w:rsidR="006A7C45" w:rsidRPr="005208DC" w:rsidRDefault="006A7C4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+ 400</w:t>
            </w:r>
          </w:p>
        </w:tc>
        <w:tc>
          <w:tcPr>
            <w:tcW w:w="1792" w:type="dxa"/>
          </w:tcPr>
          <w:p w14:paraId="64756DB5" w14:textId="0E75FECB" w:rsidR="006A7C45" w:rsidRPr="005208DC" w:rsidRDefault="006A7C4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1000</w:t>
            </w:r>
          </w:p>
        </w:tc>
      </w:tr>
      <w:tr w:rsidR="005208DC" w:rsidRPr="005208DC" w14:paraId="133DF691" w14:textId="77777777" w:rsidTr="002B2B60">
        <w:tc>
          <w:tcPr>
            <w:tcW w:w="4248" w:type="dxa"/>
          </w:tcPr>
          <w:p w14:paraId="4FABDBF6" w14:textId="5FBC7B40" w:rsidR="006A7C45" w:rsidRPr="005208DC" w:rsidRDefault="006A7C4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 xml:space="preserve">Numri i jahteve që vizitojnë portet dhe numri i prekjes së porteve </w:t>
            </w:r>
          </w:p>
        </w:tc>
        <w:tc>
          <w:tcPr>
            <w:tcW w:w="1791" w:type="dxa"/>
          </w:tcPr>
          <w:p w14:paraId="0F225F4F" w14:textId="1B3F027A" w:rsidR="006A7C45" w:rsidRPr="005208DC" w:rsidRDefault="006A7C4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 xml:space="preserve">441-hyrje &amp; 423-dalje </w:t>
            </w:r>
            <w:r w:rsidRPr="005208DC">
              <w:rPr>
                <w:rFonts w:ascii="Times New Roman" w:hAnsi="Times New Roman"/>
                <w:color w:val="0D0D0D" w:themeColor="text1" w:themeTint="F2"/>
                <w:sz w:val="16"/>
                <w:szCs w:val="16"/>
                <w:lang w:val="sq-AL"/>
              </w:rPr>
              <w:t>(jahte/anije turistike)</w:t>
            </w:r>
          </w:p>
        </w:tc>
        <w:tc>
          <w:tcPr>
            <w:tcW w:w="1791" w:type="dxa"/>
          </w:tcPr>
          <w:p w14:paraId="34AF259A" w14:textId="4643CA49" w:rsidR="006A7C45" w:rsidRPr="005208DC" w:rsidRDefault="006A7C4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*1136-hyrje &amp; 1091-dalje (</w:t>
            </w:r>
            <w:r w:rsidRPr="005208DC">
              <w:rPr>
                <w:rFonts w:ascii="Times New Roman" w:hAnsi="Times New Roman"/>
                <w:color w:val="0D0D0D" w:themeColor="text1" w:themeTint="F2"/>
                <w:sz w:val="16"/>
                <w:szCs w:val="16"/>
                <w:lang w:val="sq-AL"/>
              </w:rPr>
              <w:t>jahte/anije turistike)</w:t>
            </w:r>
          </w:p>
        </w:tc>
        <w:tc>
          <w:tcPr>
            <w:tcW w:w="1792" w:type="dxa"/>
          </w:tcPr>
          <w:p w14:paraId="3E425EDC" w14:textId="478ED954" w:rsidR="006A7C45" w:rsidRPr="005208DC" w:rsidRDefault="006A7C4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3000</w:t>
            </w:r>
          </w:p>
        </w:tc>
      </w:tr>
      <w:tr w:rsidR="005208DC" w:rsidRPr="005208DC" w14:paraId="2E130154" w14:textId="77777777" w:rsidTr="002B2B60">
        <w:trPr>
          <w:trHeight w:val="401"/>
        </w:trPr>
        <w:tc>
          <w:tcPr>
            <w:tcW w:w="4248" w:type="dxa"/>
          </w:tcPr>
          <w:p w14:paraId="5131A7F7" w14:textId="4E3437B8" w:rsidR="006A7C45" w:rsidRPr="005208DC" w:rsidRDefault="006A7C4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Numri (inventari) i mjeteve lundruese etj.</w:t>
            </w:r>
          </w:p>
        </w:tc>
        <w:tc>
          <w:tcPr>
            <w:tcW w:w="1791" w:type="dxa"/>
          </w:tcPr>
          <w:p w14:paraId="79059E5F" w14:textId="444A5D45" w:rsidR="006A7C45" w:rsidRPr="005208DC" w:rsidRDefault="006A7C4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N/A</w:t>
            </w:r>
          </w:p>
        </w:tc>
        <w:tc>
          <w:tcPr>
            <w:tcW w:w="1791" w:type="dxa"/>
          </w:tcPr>
          <w:p w14:paraId="67999513" w14:textId="73E8E838" w:rsidR="006A7C45" w:rsidRPr="005208DC" w:rsidRDefault="006A7C4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+ 2000</w:t>
            </w:r>
          </w:p>
        </w:tc>
        <w:tc>
          <w:tcPr>
            <w:tcW w:w="1792" w:type="dxa"/>
          </w:tcPr>
          <w:p w14:paraId="09F8EFC5" w14:textId="4921A979" w:rsidR="006A7C45" w:rsidRPr="005208DC" w:rsidRDefault="006A7C4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2000</w:t>
            </w:r>
          </w:p>
        </w:tc>
      </w:tr>
    </w:tbl>
    <w:p w14:paraId="7FA7C47E" w14:textId="413D1029" w:rsidR="002B2B60" w:rsidRPr="005208DC" w:rsidRDefault="006A7C45" w:rsidP="00857902">
      <w:pPr>
        <w:snapToGrid w:val="0"/>
        <w:rPr>
          <w:rFonts w:ascii="Times New Roman" w:hAnsi="Times New Roman"/>
          <w:i/>
          <w:color w:val="0D0D0D" w:themeColor="text1" w:themeTint="F2"/>
          <w:sz w:val="22"/>
          <w:szCs w:val="22"/>
          <w:lang w:val="sq-AL"/>
        </w:rPr>
      </w:pPr>
      <w:r w:rsidRPr="005208DC">
        <w:rPr>
          <w:rFonts w:ascii="Times New Roman" w:hAnsi="Times New Roman"/>
          <w:color w:val="0D0D0D" w:themeColor="text1" w:themeTint="F2"/>
          <w:lang w:val="sq-AL"/>
        </w:rPr>
        <w:t>*</w:t>
      </w:r>
      <w:r w:rsidRPr="005208DC">
        <w:rPr>
          <w:rFonts w:ascii="Times New Roman" w:hAnsi="Times New Roman"/>
          <w:i/>
          <w:color w:val="0D0D0D" w:themeColor="text1" w:themeTint="F2"/>
          <w:sz w:val="22"/>
          <w:szCs w:val="22"/>
          <w:lang w:val="sq-AL"/>
        </w:rPr>
        <w:t>vlerat e raportuara i referohen periudhës Janar-Gusht 2021</w:t>
      </w:r>
    </w:p>
    <w:p w14:paraId="33D699E5" w14:textId="77777777" w:rsidR="006A7C45" w:rsidRPr="005208DC" w:rsidRDefault="006A7C45" w:rsidP="00857902">
      <w:pPr>
        <w:snapToGrid w:val="0"/>
        <w:rPr>
          <w:rFonts w:asciiTheme="majorBidi" w:hAnsiTheme="majorBidi" w:cstheme="majorBidi"/>
          <w:color w:val="0D0D0D" w:themeColor="text1" w:themeTint="F2"/>
          <w:lang w:val="sq-AL"/>
        </w:rPr>
      </w:pPr>
    </w:p>
    <w:p w14:paraId="22D8C8E8" w14:textId="220E5286" w:rsidR="00836016" w:rsidRPr="005208DC" w:rsidRDefault="004D1F24" w:rsidP="00857902">
      <w:pPr>
        <w:pStyle w:val="Heading6"/>
        <w:numPr>
          <w:ilvl w:val="0"/>
          <w:numId w:val="61"/>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konkurrueshmëri</w:t>
      </w:r>
    </w:p>
    <w:p w14:paraId="4B72C9E1" w14:textId="550D6070" w:rsidR="006A7C45" w:rsidRPr="005208DC" w:rsidRDefault="006A7C45" w:rsidP="00857902">
      <w:pPr>
        <w:rPr>
          <w:rFonts w:asciiTheme="majorBidi" w:hAnsiTheme="majorBidi" w:cstheme="majorBidi"/>
          <w:color w:val="0D0D0D" w:themeColor="text1" w:themeTint="F2"/>
          <w:lang w:val="sq-AL" w:eastAsia="x-none"/>
        </w:rPr>
      </w:pPr>
      <w:r w:rsidRPr="005208DC">
        <w:rPr>
          <w:rFonts w:ascii="Times New Roman" w:hAnsi="Times New Roman"/>
          <w:color w:val="0D0D0D" w:themeColor="text1" w:themeTint="F2"/>
          <w:lang w:val="sq-AL"/>
        </w:rPr>
        <w:t>Kjo reformë do të kontribuojë në uljen e informalitetit dhe në mundësimin e shërbimeve me cilësi më të mirë në sektorin e turizmit detar. Vendosja dhe zbatimi i rregullave dhe rregulloreve të qarta do të inkurajojë dhe promovojë më tej konkurrencën midis bizneseve që operojnë në sektor brenda vendit, si dhe në nivel rajonal. Ai do të forcojë kapacitetet njerëzore si një parakusht thelbësor drejt rritjes.</w:t>
      </w:r>
    </w:p>
    <w:p w14:paraId="0DB788F2" w14:textId="77777777" w:rsidR="006A7C45" w:rsidRPr="005208DC" w:rsidRDefault="006A7C45" w:rsidP="00857902">
      <w:pPr>
        <w:rPr>
          <w:rFonts w:asciiTheme="majorBidi" w:hAnsiTheme="majorBidi" w:cstheme="majorBidi"/>
          <w:color w:val="0D0D0D" w:themeColor="text1" w:themeTint="F2"/>
          <w:lang w:val="sq-AL" w:eastAsia="x-none"/>
        </w:rPr>
      </w:pPr>
    </w:p>
    <w:p w14:paraId="0821CF44" w14:textId="5B26343A" w:rsidR="00EC2A3F" w:rsidRPr="005208DC" w:rsidRDefault="00B2062A" w:rsidP="00857902">
      <w:pPr>
        <w:pStyle w:val="Heading6"/>
        <w:numPr>
          <w:ilvl w:val="0"/>
          <w:numId w:val="61"/>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Kosto e parashikuar e aktiviteteve dhe burimi i financimit</w:t>
      </w:r>
    </w:p>
    <w:p w14:paraId="6F8E9B77" w14:textId="0AA0C751" w:rsidR="006A7C45" w:rsidRPr="005208DC" w:rsidRDefault="006A7C4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Burimi i financimit është buxheti i shtetit. (s`ka kosto shtesë).</w:t>
      </w:r>
    </w:p>
    <w:p w14:paraId="4CEF1260" w14:textId="77777777" w:rsidR="006A7C45" w:rsidRPr="005208DC" w:rsidRDefault="006A7C45" w:rsidP="00857902">
      <w:pPr>
        <w:snapToGrid w:val="0"/>
        <w:rPr>
          <w:rFonts w:asciiTheme="majorBidi" w:hAnsiTheme="majorBidi" w:cstheme="majorBidi"/>
          <w:color w:val="0D0D0D" w:themeColor="text1" w:themeTint="F2"/>
          <w:lang w:val="sq-AL"/>
        </w:rPr>
      </w:pPr>
    </w:p>
    <w:p w14:paraId="69041609" w14:textId="3C5DC604" w:rsidR="00EC2A3F" w:rsidRPr="005208DC" w:rsidRDefault="00B2062A" w:rsidP="00857902">
      <w:pPr>
        <w:pStyle w:val="Heading6"/>
        <w:numPr>
          <w:ilvl w:val="0"/>
          <w:numId w:val="61"/>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përfundimet sociale si punësimi, ulja e varfërisë, barazia gjinore dhe aksesi në kujdesin shëndetësor</w:t>
      </w:r>
    </w:p>
    <w:p w14:paraId="1DC796CD" w14:textId="10B667AD" w:rsidR="006A7C45" w:rsidRPr="005208DC" w:rsidRDefault="006A7C45" w:rsidP="00857902">
      <w:pPr>
        <w:snapToGrid w:val="0"/>
        <w:jc w:val="both"/>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Turizmi detar në Shqipëri është ndër sektorët me përfitime të përhapura ekonomike, por me potencial të pashfrytëzuar. Përveç të ardhurave që pritet të gjenerohen nga shërbimet e drejtpërdrejta, turizmi detar gjeneron përfitime të panumërta indirekte në punësim dhe të ardhura siç tregojnë praktikat e suksesit të vendeve fqinje. Si pasojë, një efekt pozitiv pritet sa i përket rritjes së investimeve, e si rrjedhojë punësimit dhe e të ardhurave buxhetore. Gjithashtu sektorë të tjerë të lidhur me lundrimin turistik do të njohin rritje, kryesisht furnizuesit e karburanteve, importuesit e pjesëve të këmbimit, kurset profesionale për një sërë pozicionesh pune. Impaktet ekonomike priten të afektojnë veçanërisht autoritetet publike dhe bizneset e vogla dhe të mesme.</w:t>
      </w:r>
    </w:p>
    <w:p w14:paraId="0CF0E60E" w14:textId="77777777" w:rsidR="006A7C45" w:rsidRPr="005208DC" w:rsidRDefault="006A7C45" w:rsidP="00857902">
      <w:pPr>
        <w:snapToGrid w:val="0"/>
        <w:rPr>
          <w:rFonts w:asciiTheme="majorBidi" w:hAnsiTheme="majorBidi" w:cstheme="majorBidi"/>
          <w:color w:val="0D0D0D" w:themeColor="text1" w:themeTint="F2"/>
          <w:lang w:val="sq-AL"/>
        </w:rPr>
      </w:pPr>
    </w:p>
    <w:p w14:paraId="63F9732A" w14:textId="14316CBF" w:rsidR="00EC2A3F" w:rsidRPr="005208DC" w:rsidRDefault="00B2062A" w:rsidP="00857902">
      <w:pPr>
        <w:pStyle w:val="Heading6"/>
        <w:numPr>
          <w:ilvl w:val="0"/>
          <w:numId w:val="61"/>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mjedis dhe ndryshimi i klimës</w:t>
      </w:r>
    </w:p>
    <w:p w14:paraId="67363B56" w14:textId="77777777" w:rsidR="006A7C45" w:rsidRPr="005208DC" w:rsidRDefault="006A7C45" w:rsidP="00857902">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Ndër të tjera, në hartimin e kuadrit ligjor për aktivitetet e turizmit detar, janë rishikuar dhe marrë parasysh konventat ndërkombëtare detare, të tilla si: Konventa e UNESCO-s për Mbrojtjen e Trashëgimisë Kulturore Nënujore, Konventa për Mbrojtjen e Jetës Detare dhe Bregut Mesdhetar, Konventa Ndërkombëtare për Kërkimin dhe Shpëtimin Detar, Konventa Ndërkombëtare për Parandalimin e Ndotjes së Anijeve.</w:t>
      </w:r>
    </w:p>
    <w:p w14:paraId="459767D6" w14:textId="268F40C3" w:rsidR="006A7C45" w:rsidRPr="005208DC" w:rsidRDefault="006A7C4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Ndërhyrjet e reja ligjore synojnë mbajtjen në kontroll të ndotjes së shkaktuar nga aktivitetet e lundrimit detar për shkak të shkallës së kontrollit në rritje që sjell ndërhyrja rregullatore.</w:t>
      </w:r>
    </w:p>
    <w:p w14:paraId="5C7748F1" w14:textId="77777777" w:rsidR="006A7C45" w:rsidRPr="005208DC" w:rsidRDefault="006A7C45" w:rsidP="00857902">
      <w:pPr>
        <w:snapToGrid w:val="0"/>
        <w:rPr>
          <w:rFonts w:asciiTheme="majorBidi" w:hAnsiTheme="majorBidi" w:cstheme="majorBidi"/>
          <w:color w:val="0D0D0D" w:themeColor="text1" w:themeTint="F2"/>
          <w:lang w:val="sq-AL"/>
        </w:rPr>
      </w:pPr>
    </w:p>
    <w:p w14:paraId="777A5A7A" w14:textId="5A091400" w:rsidR="00EC2A3F" w:rsidRPr="005208DC" w:rsidRDefault="00B2062A" w:rsidP="00857902">
      <w:pPr>
        <w:pStyle w:val="Heading6"/>
        <w:numPr>
          <w:ilvl w:val="0"/>
          <w:numId w:val="61"/>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Rreziqet e mundshme</w:t>
      </w:r>
    </w:p>
    <w:tbl>
      <w:tblPr>
        <w:tblStyle w:val="TableGrid"/>
        <w:tblW w:w="0" w:type="auto"/>
        <w:tblLook w:val="04A0" w:firstRow="1" w:lastRow="0" w:firstColumn="1" w:lastColumn="0" w:noHBand="0" w:noVBand="1"/>
      </w:tblPr>
      <w:tblGrid>
        <w:gridCol w:w="3823"/>
        <w:gridCol w:w="1559"/>
        <w:gridCol w:w="4240"/>
      </w:tblGrid>
      <w:tr w:rsidR="005208DC" w:rsidRPr="005208DC" w14:paraId="0E173ABA" w14:textId="77777777" w:rsidTr="00835FA3">
        <w:tc>
          <w:tcPr>
            <w:tcW w:w="3823" w:type="dxa"/>
          </w:tcPr>
          <w:p w14:paraId="7E494935" w14:textId="258175AA" w:rsidR="00836016"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Rreziku</w:t>
            </w:r>
          </w:p>
        </w:tc>
        <w:tc>
          <w:tcPr>
            <w:tcW w:w="1559" w:type="dxa"/>
          </w:tcPr>
          <w:p w14:paraId="5C8A63DF" w14:textId="55924163" w:rsidR="00836016"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Mundësia</w:t>
            </w:r>
            <w:r w:rsidR="00836016" w:rsidRPr="005208DC">
              <w:rPr>
                <w:rFonts w:asciiTheme="majorBidi" w:hAnsiTheme="majorBidi" w:cstheme="majorBidi"/>
                <w:color w:val="0D0D0D" w:themeColor="text1" w:themeTint="F2"/>
                <w:lang w:val="sq-AL"/>
              </w:rPr>
              <w:t xml:space="preserve"> (</w:t>
            </w:r>
            <w:r w:rsidRPr="005208DC">
              <w:rPr>
                <w:rFonts w:asciiTheme="majorBidi" w:hAnsiTheme="majorBidi" w:cstheme="majorBidi"/>
                <w:color w:val="0D0D0D" w:themeColor="text1" w:themeTint="F2"/>
                <w:lang w:val="sq-AL"/>
              </w:rPr>
              <w:t>e ulët, e lartë</w:t>
            </w:r>
            <w:r w:rsidR="00836016" w:rsidRPr="005208DC">
              <w:rPr>
                <w:rFonts w:asciiTheme="majorBidi" w:hAnsiTheme="majorBidi" w:cstheme="majorBidi"/>
                <w:color w:val="0D0D0D" w:themeColor="text1" w:themeTint="F2"/>
                <w:lang w:val="sq-AL"/>
              </w:rPr>
              <w:t>)</w:t>
            </w:r>
          </w:p>
        </w:tc>
        <w:tc>
          <w:tcPr>
            <w:tcW w:w="4240" w:type="dxa"/>
          </w:tcPr>
          <w:p w14:paraId="44265853" w14:textId="2D12D11A" w:rsidR="00836016"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Veprimi zbutës i parashikuar</w:t>
            </w:r>
          </w:p>
        </w:tc>
      </w:tr>
      <w:tr w:rsidR="005208DC" w:rsidRPr="005208DC" w14:paraId="08ACC65A" w14:textId="77777777" w:rsidTr="00835FA3">
        <w:tc>
          <w:tcPr>
            <w:tcW w:w="3823" w:type="dxa"/>
          </w:tcPr>
          <w:p w14:paraId="2C34AB7E" w14:textId="4B8307FE" w:rsidR="006A7C45" w:rsidRPr="005208DC" w:rsidRDefault="006A7C4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Mos-përgatitja dhe mos-miratimi i akteve nënligjore në përputhje me dispozitat e ligjit, të cilat lidhen kryesisht me mungesën e përvojës.</w:t>
            </w:r>
          </w:p>
        </w:tc>
        <w:tc>
          <w:tcPr>
            <w:tcW w:w="1559" w:type="dxa"/>
          </w:tcPr>
          <w:p w14:paraId="7BA3C3E8" w14:textId="7CD6733C" w:rsidR="006A7C45" w:rsidRPr="005208DC" w:rsidRDefault="006A7C4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spacing w:val="-1"/>
                <w:lang w:val="sq-AL"/>
              </w:rPr>
              <w:t>I mesëm</w:t>
            </w:r>
          </w:p>
        </w:tc>
        <w:tc>
          <w:tcPr>
            <w:tcW w:w="4240" w:type="dxa"/>
          </w:tcPr>
          <w:p w14:paraId="549F91E4" w14:textId="4A0FCE71" w:rsidR="006A7C45" w:rsidRPr="005208DC" w:rsidRDefault="006A7C4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 xml:space="preserve">Identifikimi i burimeve që sigurojnë asistencë teknike në përgatitjen dhe hartimin e të gjitha akteve nënligjore. Për këtë do të jetë e nevojshme ekspertiza e ekspertëve të huaj dhe vendas. </w:t>
            </w:r>
          </w:p>
        </w:tc>
      </w:tr>
      <w:tr w:rsidR="005208DC" w:rsidRPr="005208DC" w14:paraId="69155A25" w14:textId="77777777" w:rsidTr="00835FA3">
        <w:tc>
          <w:tcPr>
            <w:tcW w:w="3823" w:type="dxa"/>
          </w:tcPr>
          <w:p w14:paraId="67421B19" w14:textId="5B6F9273" w:rsidR="006A7C45" w:rsidRPr="005208DC" w:rsidRDefault="006A7C4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Pandemia Covid-19</w:t>
            </w:r>
          </w:p>
        </w:tc>
        <w:tc>
          <w:tcPr>
            <w:tcW w:w="1559" w:type="dxa"/>
          </w:tcPr>
          <w:p w14:paraId="6E1674F5" w14:textId="625237F7" w:rsidR="006A7C45" w:rsidRPr="005208DC" w:rsidRDefault="006A7C4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I mesëm</w:t>
            </w:r>
          </w:p>
        </w:tc>
        <w:tc>
          <w:tcPr>
            <w:tcW w:w="4240" w:type="dxa"/>
          </w:tcPr>
          <w:p w14:paraId="6E91C3E7" w14:textId="796FADE4" w:rsidR="006A7C45" w:rsidRPr="005208DC" w:rsidRDefault="006A7C4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 xml:space="preserve">Planifikim i kujdesshëm i kalendarit të aktiviteteve duke mbajtur në konsideratë faktin e alternimit të punës mes prezencës fizike dhe asaj online, si dhe vendosja e </w:t>
            </w:r>
            <w:r w:rsidR="00A72F9A" w:rsidRPr="005208DC">
              <w:rPr>
                <w:rFonts w:ascii="Times New Roman" w:hAnsi="Times New Roman"/>
                <w:color w:val="0D0D0D" w:themeColor="text1" w:themeTint="F2"/>
                <w:lang w:val="sq-AL"/>
              </w:rPr>
              <w:t>një</w:t>
            </w:r>
            <w:r w:rsidRPr="005208DC">
              <w:rPr>
                <w:rFonts w:ascii="Times New Roman" w:hAnsi="Times New Roman"/>
                <w:color w:val="0D0D0D" w:themeColor="text1" w:themeTint="F2"/>
                <w:lang w:val="sq-AL"/>
              </w:rPr>
              <w:t xml:space="preserve"> bashkëpunimi të ngushtë me </w:t>
            </w:r>
            <w:r w:rsidR="00A72F9A" w:rsidRPr="005208DC">
              <w:rPr>
                <w:rFonts w:ascii="Times New Roman" w:hAnsi="Times New Roman"/>
                <w:color w:val="0D0D0D" w:themeColor="text1" w:themeTint="F2"/>
                <w:lang w:val="sq-AL"/>
              </w:rPr>
              <w:t>institucionet</w:t>
            </w:r>
            <w:r w:rsidRPr="005208DC">
              <w:rPr>
                <w:rFonts w:ascii="Times New Roman" w:hAnsi="Times New Roman"/>
                <w:color w:val="0D0D0D" w:themeColor="text1" w:themeTint="F2"/>
                <w:lang w:val="sq-AL"/>
              </w:rPr>
              <w:t xml:space="preserve"> partnere. </w:t>
            </w:r>
          </w:p>
        </w:tc>
      </w:tr>
    </w:tbl>
    <w:p w14:paraId="7660E54A" w14:textId="77777777" w:rsidR="00836016" w:rsidRPr="005208DC" w:rsidRDefault="00836016" w:rsidP="00857902">
      <w:pPr>
        <w:snapToGrid w:val="0"/>
        <w:rPr>
          <w:rFonts w:asciiTheme="majorBidi" w:hAnsiTheme="majorBidi" w:cstheme="majorBidi"/>
          <w:color w:val="0D0D0D" w:themeColor="text1" w:themeTint="F2"/>
          <w:lang w:val="sq-AL"/>
        </w:rPr>
      </w:pPr>
    </w:p>
    <w:p w14:paraId="6903300F" w14:textId="77777777" w:rsidR="00614E20" w:rsidRPr="005208DC" w:rsidRDefault="00614E20" w:rsidP="00857902">
      <w:pPr>
        <w:rPr>
          <w:rFonts w:asciiTheme="majorBidi" w:hAnsiTheme="majorBidi" w:cstheme="majorBidi"/>
          <w:color w:val="0D0D0D" w:themeColor="text1" w:themeTint="F2"/>
          <w:lang w:val="sq-AL"/>
        </w:rPr>
      </w:pPr>
    </w:p>
    <w:p w14:paraId="70206EB1" w14:textId="1A6A79BC" w:rsidR="00C21F03" w:rsidRPr="005208DC" w:rsidRDefault="00A72F9A" w:rsidP="00857902">
      <w:pPr>
        <w:pStyle w:val="Heading3"/>
        <w:numPr>
          <w:ilvl w:val="2"/>
          <w:numId w:val="1"/>
        </w:numPr>
        <w:snapToGrid w:val="0"/>
        <w:rPr>
          <w:rFonts w:asciiTheme="majorBidi" w:hAnsiTheme="majorBidi" w:cstheme="majorBidi"/>
          <w:b/>
          <w:color w:val="0D0D0D" w:themeColor="text1" w:themeTint="F2"/>
          <w:sz w:val="24"/>
          <w:szCs w:val="24"/>
          <w:lang w:val="sq-AL"/>
        </w:rPr>
      </w:pPr>
      <w:bookmarkStart w:id="84" w:name="_Toc92721153"/>
      <w:r w:rsidRPr="005208DC">
        <w:rPr>
          <w:rFonts w:asciiTheme="majorBidi" w:hAnsiTheme="majorBidi" w:cstheme="majorBidi"/>
          <w:b/>
          <w:color w:val="0D0D0D" w:themeColor="text1" w:themeTint="F2"/>
          <w:sz w:val="24"/>
          <w:szCs w:val="24"/>
          <w:lang w:val="sq-AL"/>
        </w:rPr>
        <w:t>Arsimimi dhe aftësitë</w:t>
      </w:r>
      <w:bookmarkEnd w:id="84"/>
    </w:p>
    <w:p w14:paraId="65F3DF26" w14:textId="38A9D3CA" w:rsidR="0030742B" w:rsidRPr="005208DC" w:rsidRDefault="00B2062A" w:rsidP="00F957E8">
      <w:pPr>
        <w:pStyle w:val="Heading4"/>
        <w:numPr>
          <w:ilvl w:val="0"/>
          <w:numId w:val="90"/>
        </w:numPr>
        <w:snapToGrid w:val="0"/>
        <w:ind w:left="567" w:hanging="283"/>
        <w:rPr>
          <w:rFonts w:asciiTheme="majorBidi" w:hAnsiTheme="majorBidi" w:cstheme="majorBidi"/>
          <w:b w:val="0"/>
          <w:i/>
          <w:color w:val="0D0D0D" w:themeColor="text1" w:themeTint="F2"/>
          <w:sz w:val="24"/>
          <w:szCs w:val="24"/>
          <w:lang w:val="sq-AL"/>
        </w:rPr>
      </w:pPr>
      <w:r w:rsidRPr="005208DC">
        <w:rPr>
          <w:rFonts w:asciiTheme="majorBidi" w:hAnsiTheme="majorBidi" w:cstheme="majorBidi"/>
          <w:b w:val="0"/>
          <w:i/>
          <w:color w:val="0D0D0D" w:themeColor="text1" w:themeTint="F2"/>
          <w:sz w:val="24"/>
          <w:szCs w:val="24"/>
          <w:lang w:val="sq-AL"/>
        </w:rPr>
        <w:t>Analiza e pengesave kryesore</w:t>
      </w:r>
    </w:p>
    <w:p w14:paraId="21017D7D" w14:textId="4FAF5342" w:rsidR="00A72F9A" w:rsidRPr="005208DC" w:rsidRDefault="00A72F9A"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Përfshirja ka qenë fokusi i politikave arsimore në Shqipëri gjatë dekadës së fundit, duke synuar rritjen e pjesëmarrjes në arsim në fëmijërinë e hershme, si dhe pjesëmarrjen në edukimin e fëmijëve nga grupet vulnerabël. Pjesëmarrja në arsimin para universitar të fëmijëve me aftësi të kufizuara është rritur nga viti në vit. Kjo vlen veçanërisht për shkollat e zakonshme, ku numri i fëmijëve me aftësi të kufizuara është rritur nga 2,849 gjatë vitit akademik 2013/14 në 4672 gjatë vitit akademik 2020/21, me rreth 79% të këtyre fëmijëve që ndjekin arsimin bazë, 10% e tyre shkojnë në arsimin parashkollor dhe pjesa tjetër marrin pjesë në arsimin e mesëm të lartë. Ndërkohë në shkolla speciale ndjekin mësimin 541 fëmijë me aftësi të kufizuara. Progres është bërë me përmirësimin e mësimit të gjuhës shqipe të shenjave për rritjen e cilësisë arsimore të nxënësve që nuk dëgjojnë deri në arsimin e mesëm.</w:t>
      </w:r>
    </w:p>
    <w:p w14:paraId="5137F99B" w14:textId="1045606D" w:rsidR="00A72F9A" w:rsidRPr="005208DC" w:rsidRDefault="00A72F9A"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Pavarësisht angazhimit të MAS për ofrimin e arsimit gjithëpërfshirës për të gjithë fëmijët, ende nuk janë hedhur baza të rëndësishme për pjesëmarrjen e të gjithë fëmijëve me aftësi të kufizuara dhe sigurimin që të gjitha shkollat të kenë plotësuar të gjitha standardet e gjithë përfshirjes, numrin e nevojshëm të mësuesve mbështetës, shërbimet psiko-sociale, dhe pajisjet/infrastruktura e aftësisë së kufizuar dhe vlerësimi i aftësisë së kufizuar.</w:t>
      </w:r>
    </w:p>
    <w:p w14:paraId="6B6F84B9" w14:textId="4E7A24DE" w:rsidR="00A72F9A" w:rsidRPr="005208DC" w:rsidRDefault="00A72F9A"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Republika e Shqipërisë ka një rrjet prej 3582 institucionesh arsimore para universitare, nga të cilat 3113 janë publike dhe 469 private (viti shkollor 2020-2021). Vitet e fundit vihet re një tendencë e qartë - reduktimi i numrit të fëmijëve/nxënësve në të gjitha nivelet e arsimit para universitar, si rezultat i uljes së popullsisë rezidente, uljes së fertilitetit dhe migrimit etj. Shqipëria ka një numër të konsiderueshëm të shkollave të vogla me klasa të përbashkëta ku mësojnë së bashku edhe nxënës të klasave të ndryshme (klasat kolektive). Në këtë drejtim, racionalizimi i shkollave duhet të trajtohet më tej.</w:t>
      </w:r>
    </w:p>
    <w:p w14:paraId="3043B01C" w14:textId="77777777" w:rsidR="00A72F9A" w:rsidRPr="005208DC" w:rsidRDefault="00A72F9A"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Për koordinimin e aktiviteteve në këtë fushë nevojitet zhvillimi i mëtejshëm i politikave multi-sektoriale të edukimit të fëmijërisë së hershme. Në fushën e shërbimeve publike dhe infrastrukturës, njësitë e qeverisjes vendore janë përgjegjëse për menaxhimin dhe rregullimin e sistemit arsimor parashkollor në kopshte dhe çerdhe. Referuar pikës 12, te nenit 23, te ligjit nr.139/2015, i ndryshuar, njësitë e qeverisjes vendore janë përgjegjëse për menaxhimin dhe rregullimin e sistemit arsimor parashkollor në kopshte dhe çerdhe. Ndërkohë, orët përgatitore janë nën përgjegjësinë e Ministrisë së Arsimit dhe Sportit.</w:t>
      </w:r>
    </w:p>
    <w:p w14:paraId="2FC7E23D" w14:textId="77777777" w:rsidR="00A72F9A" w:rsidRPr="005208DC" w:rsidRDefault="00A72F9A" w:rsidP="00857902">
      <w:pPr>
        <w:jc w:val="both"/>
        <w:rPr>
          <w:rStyle w:val="y2iqfc"/>
          <w:rFonts w:ascii="Times New Roman" w:hAnsi="Times New Roman"/>
          <w:color w:val="0D0D0D" w:themeColor="text1" w:themeTint="F2"/>
          <w:lang w:val="sq-AL"/>
        </w:rPr>
      </w:pPr>
      <w:r w:rsidRPr="005208DC">
        <w:rPr>
          <w:rStyle w:val="y2iqfc"/>
          <w:rFonts w:ascii="Times New Roman" w:hAnsi="Times New Roman"/>
          <w:color w:val="0D0D0D" w:themeColor="text1" w:themeTint="F2"/>
          <w:lang w:val="sq-AL"/>
        </w:rPr>
        <w:t>Përmirësimi i infrastrukturës shkollore ka një rëndësi të veçantë në politikat e shtetit shqiptar. Gjatë viteve 2018 dhe 2019, shpenzimet kapitale të ish MASR-së arritën në 6.52 miliardë lekë (~ 53 milionë euro). Tërmeti i 26 nëntorit 2019 ka shkaktuar dëme të konsiderueshme në infrastrukturën e shkollës. Sipas të dhënave të disponueshme, nga tërmeti janë prekur 321 institucione të ndryshme arsimore në 11 bashki, prej të cilave 76 janë prishur, 75 janë riparuar dhe 170 kanë pësuar dëme të vogla. Krahas infrastrukturës janë dëmtuar edhe asete fizike si mobilje, laboratorë, biblioteka etj. Dëmet më të mëdha kanë ndodhur në bashkitë e Tiranës dhe Durrësit, ku janë prekur përkatësisht 55% dhe 21% e objekteve shkollore. Mendohet se buxheti i nevojshëm për rindërtimin dhe riparimin e infrastrukturës shkollore të dëmtuar nga tërmeti duhet të jetë 94.83 milionë euro, nga të cilat 54 milionë euro duhet të investohen në vitin 2020, ndërsa 39 milionë euro në vitin 2021 dhe 2022. Asokohe, MASR ka miratuar standarde për projektimin e shkollave dhe kopshteve, të cilat do të shërbejnë si referencë për personat e përfshirë në planifikimin, programimin, projektimin dhe procesin e ndërtimit të objekteve/ambienteve të reja shkollore apo rehabilitimin e ndërtesave ekzistuese. Megjithatë, një sfidë për investimet në infrastrukturë mund të jenë mungesat buxhetore për sistemin arsimor të imponuara nga reduktimi i pritshëm ekonomik, si pasojë e pandemisë COVID-19 dhe dëmeve të shkaktuara nga tërmeti i vitit 2019.</w:t>
      </w:r>
    </w:p>
    <w:p w14:paraId="223EFD40" w14:textId="77777777" w:rsidR="00A72F9A" w:rsidRPr="005208DC" w:rsidRDefault="00A72F9A" w:rsidP="00857902">
      <w:pPr>
        <w:jc w:val="both"/>
        <w:rPr>
          <w:rStyle w:val="y2iqfc"/>
          <w:rFonts w:ascii="Times New Roman" w:hAnsi="Times New Roman"/>
          <w:color w:val="0D0D0D" w:themeColor="text1" w:themeTint="F2"/>
          <w:lang w:val="sq-AL"/>
        </w:rPr>
      </w:pPr>
      <w:r w:rsidRPr="005208DC">
        <w:rPr>
          <w:rStyle w:val="y2iqfc"/>
          <w:rFonts w:ascii="Times New Roman" w:hAnsi="Times New Roman"/>
          <w:color w:val="0D0D0D" w:themeColor="text1" w:themeTint="F2"/>
          <w:lang w:val="sq-AL"/>
        </w:rPr>
        <w:t>Për sa i përket cilësisë së arsimit, Shqipëria ka parë përmirësime të qëndrueshme dhe thelbësore në shkencë, lexim dhe matematikë.</w:t>
      </w:r>
    </w:p>
    <w:p w14:paraId="658657D7" w14:textId="77777777" w:rsidR="00A72F9A" w:rsidRPr="005208DC" w:rsidRDefault="00A72F9A" w:rsidP="00857902">
      <w:pPr>
        <w:jc w:val="both"/>
        <w:rPr>
          <w:rFonts w:ascii="Times New Roman" w:hAnsi="Times New Roman"/>
          <w:color w:val="0D0D0D" w:themeColor="text1" w:themeTint="F2"/>
          <w:lang w:val="sq-AL"/>
        </w:rPr>
      </w:pPr>
      <w:r w:rsidRPr="005208DC">
        <w:rPr>
          <w:rStyle w:val="y2iqfc"/>
          <w:rFonts w:ascii="Times New Roman" w:hAnsi="Times New Roman"/>
          <w:color w:val="0D0D0D" w:themeColor="text1" w:themeTint="F2"/>
          <w:lang w:val="sq-AL"/>
        </w:rPr>
        <w:t>Sipas raportit të PISA 2015, rritja e rezultateve të PISA-s (ndërmjet viteve 2009 dhe 2015) në matematikë dhe shkencë është e barabartë me njohuritë që nxënësit marrin në një vit shkollimi, dhe në lexim, me një gjysmë viti shkollimi.</w:t>
      </w:r>
    </w:p>
    <w:p w14:paraId="6DE4B9E8" w14:textId="77777777" w:rsidR="00A72F9A" w:rsidRPr="005208DC" w:rsidRDefault="00A72F9A" w:rsidP="00857902">
      <w:pPr>
        <w:jc w:val="both"/>
        <w:rPr>
          <w:rStyle w:val="y2iqfc"/>
          <w:rFonts w:ascii="Times New Roman" w:hAnsi="Times New Roman"/>
          <w:color w:val="0D0D0D" w:themeColor="text1" w:themeTint="F2"/>
          <w:lang w:val="sq-AL"/>
        </w:rPr>
      </w:pPr>
      <w:r w:rsidRPr="005208DC">
        <w:rPr>
          <w:rStyle w:val="y2iqfc"/>
          <w:rFonts w:ascii="Times New Roman" w:hAnsi="Times New Roman"/>
          <w:color w:val="0D0D0D" w:themeColor="text1" w:themeTint="F2"/>
          <w:lang w:val="sq-AL"/>
        </w:rPr>
        <w:t>Rezultatet e PISA 2018 tregojnë gjithashtu përmirësim në matematikë krahasuar me rezultatet e vitit 2015, pa përmirësim në lexim, dhe rënie në shkencë me 10 pikë. Arritjet e pamjaftueshme në arsim, e matur nga përqindja e nxënësve 15-vjeçarë që performojnë nën nivelin 2 në testin e aftësisë së matematikës PISA, është përmirësuar nga 67.7% në 2009 në 42.4% në 2018. Edhe pse përmirësimi ka qenë i qëndrueshëm në rezultatet e PISA që nga viti 2000, rezultatet janë të ulëta në krahasim me ekonomitë e OECD.</w:t>
      </w:r>
    </w:p>
    <w:p w14:paraId="7ABCDB36" w14:textId="77777777" w:rsidR="00A72F9A" w:rsidRPr="005208DC" w:rsidRDefault="00A72F9A" w:rsidP="00857902">
      <w:pPr>
        <w:jc w:val="both"/>
        <w:rPr>
          <w:rStyle w:val="y2iqfc"/>
          <w:rFonts w:ascii="Times New Roman" w:hAnsi="Times New Roman"/>
          <w:color w:val="0D0D0D" w:themeColor="text1" w:themeTint="F2"/>
          <w:lang w:val="sq-AL"/>
        </w:rPr>
      </w:pPr>
      <w:r w:rsidRPr="005208DC">
        <w:rPr>
          <w:rStyle w:val="y2iqfc"/>
          <w:rFonts w:ascii="Times New Roman" w:hAnsi="Times New Roman"/>
          <w:color w:val="0D0D0D" w:themeColor="text1" w:themeTint="F2"/>
          <w:lang w:val="sq-AL"/>
        </w:rPr>
        <w:t>Gjatë vitit shkollor 2019-2020, zbatimi i kurrikulës së bazuar në kompetenca përfshiu të gjitha klasat e arsimit bazë dhe të mesëm të lartë. Zbatimi i kurrikulës shoqërohet me sfida që adresojnë mbështetjen e vazhdueshme të zhvillimit të mëtejshëm profesional të mësuesve në fusha si: vlerësimi i nxënësve, plotësimi i nevojave të nxënësve me nevoja të veçanta, përdorimi i TIK-ut etj. Përmirësimi i komunikimit ndërmjet palëve të interesuara dhe roli i drejtuesve të shkollave në zbatimin e kurrikulave të bazuara në kompetenca janë aspekte që duhen përmirësuar dhe mbështetur më tej.</w:t>
      </w:r>
    </w:p>
    <w:p w14:paraId="3A32900B" w14:textId="77777777" w:rsidR="00A72F9A" w:rsidRPr="005208DC" w:rsidRDefault="00A72F9A" w:rsidP="00857902">
      <w:pPr>
        <w:jc w:val="both"/>
        <w:rPr>
          <w:rStyle w:val="y2iqfc"/>
          <w:rFonts w:ascii="Times New Roman" w:hAnsi="Times New Roman"/>
          <w:color w:val="0D0D0D" w:themeColor="text1" w:themeTint="F2"/>
          <w:lang w:val="sq-AL"/>
        </w:rPr>
      </w:pPr>
      <w:r w:rsidRPr="005208DC">
        <w:rPr>
          <w:rStyle w:val="y2iqfc"/>
          <w:rFonts w:ascii="Times New Roman" w:hAnsi="Times New Roman"/>
          <w:color w:val="0D0D0D" w:themeColor="text1" w:themeTint="F2"/>
          <w:lang w:val="sq-AL"/>
        </w:rPr>
        <w:t>Zhvillimi i mëtejshëm i kompetencës digjitale është një nga objektivat e planifikuar për të qenë pjesë e Strategjisë Kombëtare të Arsimit 2021-2026. Teknologjia e informacionit dhe komunikimit (TIK), e cila përfshin kompjuterë, tablet, smartfonë, tavolina ndërvepruese dhe aksesorë të tjerë, mund të ketë një efekt pozitiv dhe ndikim në përmirësimin e cilësisë së mësimdhënies, rritjen e motivimit dhe përmirësimin e performancës së studentëve, duke siguruar që të gjithë studentët të jenë në gjendje të marrin nivele të caktuara të kompetencës digjitale për të përmbushur kërkesat e njohurive të shoqërive të shekullit të 21-të. Në rast situatash të paparashikuara, si pandemitë apo fatkeqësitë natyrore, TIK ofron mundësi për të organizuar mësimin në distancë, ndërsa në situata normale teknologjia mund të përdoret për të avancuar procesin e mësimdhënies në shkolla.</w:t>
      </w:r>
    </w:p>
    <w:p w14:paraId="4D2ADA29" w14:textId="09D5B2DF" w:rsidR="00A72F9A" w:rsidRPr="005208DC" w:rsidRDefault="00A72F9A" w:rsidP="00857902">
      <w:pPr>
        <w:snapToGrid w:val="0"/>
        <w:jc w:val="both"/>
        <w:rPr>
          <w:rFonts w:asciiTheme="majorBidi" w:hAnsiTheme="majorBidi" w:cstheme="majorBidi"/>
          <w:color w:val="0D0D0D" w:themeColor="text1" w:themeTint="F2"/>
          <w:lang w:val="sq-AL"/>
        </w:rPr>
      </w:pPr>
      <w:r w:rsidRPr="005208DC">
        <w:rPr>
          <w:rStyle w:val="y2iqfc"/>
          <w:rFonts w:ascii="Times New Roman" w:hAnsi="Times New Roman"/>
          <w:color w:val="0D0D0D" w:themeColor="text1" w:themeTint="F2"/>
          <w:lang w:val="sq-AL"/>
        </w:rPr>
        <w:t>Disa nga sfidat kryesore për arritjen e këtij qëllimi janë numri i pamjaftueshëm i pajisjeve TIK në shkolla dhe aksesi i kufizuar në pajisjet TIK dhe interneti në laboratorë të specializuar në shkolla. Mundësitë për të shfrytëzuar pajisjet në klasa janë shumë të kufizuara, për shkak të mungesës së projektorëve, të rrjetit WI-FI dhe aksesorëve të tjerë të dedikuar. Përdorimi i internetit nga fëmijët mund të ketë gjithashtu rezultate pozitive në rezultatet e tyre mësimore dhe përfshirjen sociale, por gjithashtu mund t'i ekspozojë ata ndaj rreziqeve të botës virtuale. Masat që synojnë mbrojtjen e fëmijëve dhe të rinjve nga dhuna, abuzimi dhe shfrytëzimi në internet janë gjithashtu të rëndësishme.</w:t>
      </w:r>
    </w:p>
    <w:p w14:paraId="000027BF" w14:textId="77777777" w:rsidR="00A72F9A" w:rsidRPr="005208DC" w:rsidRDefault="00A72F9A" w:rsidP="00857902">
      <w:pPr>
        <w:snapToGrid w:val="0"/>
        <w:rPr>
          <w:rFonts w:asciiTheme="majorBidi" w:hAnsiTheme="majorBidi" w:cstheme="majorBidi"/>
          <w:color w:val="0D0D0D" w:themeColor="text1" w:themeTint="F2"/>
          <w:lang w:val="sq-AL"/>
        </w:rPr>
      </w:pPr>
    </w:p>
    <w:p w14:paraId="2AE61E83" w14:textId="414B8589" w:rsidR="0030742B" w:rsidRPr="005208DC" w:rsidRDefault="00B2062A" w:rsidP="00F957E8">
      <w:pPr>
        <w:pStyle w:val="Heading4"/>
        <w:numPr>
          <w:ilvl w:val="0"/>
          <w:numId w:val="90"/>
        </w:numPr>
        <w:snapToGrid w:val="0"/>
        <w:ind w:left="567" w:hanging="283"/>
        <w:rPr>
          <w:rFonts w:asciiTheme="majorBidi" w:hAnsiTheme="majorBidi" w:cstheme="majorBidi"/>
          <w:b w:val="0"/>
          <w:i/>
          <w:color w:val="0D0D0D" w:themeColor="text1" w:themeTint="F2"/>
          <w:sz w:val="24"/>
          <w:szCs w:val="24"/>
          <w:lang w:val="sq-AL"/>
        </w:rPr>
      </w:pPr>
      <w:r w:rsidRPr="005208DC">
        <w:rPr>
          <w:rFonts w:asciiTheme="majorBidi" w:hAnsiTheme="majorBidi" w:cstheme="majorBidi"/>
          <w:b w:val="0"/>
          <w:i/>
          <w:color w:val="0D0D0D" w:themeColor="text1" w:themeTint="F2"/>
          <w:sz w:val="24"/>
          <w:szCs w:val="24"/>
          <w:lang w:val="sq-AL"/>
        </w:rPr>
        <w:t>Masat e reformës</w:t>
      </w:r>
    </w:p>
    <w:p w14:paraId="592D4ACD" w14:textId="00E89582" w:rsidR="0030742B" w:rsidRPr="005208DC" w:rsidRDefault="00B2062A" w:rsidP="00857902">
      <w:pPr>
        <w:pStyle w:val="Heading5"/>
        <w:snapToGrid w:val="0"/>
        <w:ind w:left="0"/>
        <w:rPr>
          <w:rFonts w:asciiTheme="majorBidi" w:hAnsiTheme="majorBidi" w:cstheme="majorBidi"/>
          <w:i w:val="0"/>
          <w:color w:val="0D0D0D" w:themeColor="text1" w:themeTint="F2"/>
          <w:sz w:val="24"/>
          <w:szCs w:val="24"/>
          <w:lang w:val="sq-AL"/>
        </w:rPr>
      </w:pPr>
      <w:r w:rsidRPr="005208DC">
        <w:rPr>
          <w:rFonts w:asciiTheme="majorBidi" w:hAnsiTheme="majorBidi" w:cstheme="majorBidi"/>
          <w:i w:val="0"/>
          <w:color w:val="0D0D0D" w:themeColor="text1" w:themeTint="F2"/>
          <w:sz w:val="24"/>
          <w:szCs w:val="24"/>
          <w:lang w:val="sq-AL"/>
        </w:rPr>
        <w:t>Masa e reformës</w:t>
      </w:r>
      <w:r w:rsidR="005358F8" w:rsidRPr="005208DC">
        <w:rPr>
          <w:rFonts w:asciiTheme="majorBidi" w:hAnsiTheme="majorBidi" w:cstheme="majorBidi"/>
          <w:i w:val="0"/>
          <w:color w:val="0D0D0D" w:themeColor="text1" w:themeTint="F2"/>
          <w:sz w:val="24"/>
          <w:szCs w:val="24"/>
          <w:lang w:val="sq-AL"/>
        </w:rPr>
        <w:t xml:space="preserve"> 17</w:t>
      </w:r>
      <w:r w:rsidR="0030742B" w:rsidRPr="005208DC">
        <w:rPr>
          <w:rFonts w:asciiTheme="majorBidi" w:hAnsiTheme="majorBidi" w:cstheme="majorBidi"/>
          <w:i w:val="0"/>
          <w:color w:val="0D0D0D" w:themeColor="text1" w:themeTint="F2"/>
          <w:sz w:val="24"/>
          <w:szCs w:val="24"/>
          <w:lang w:val="sq-AL"/>
        </w:rPr>
        <w:t xml:space="preserve">: </w:t>
      </w:r>
      <w:r w:rsidR="00A72F9A" w:rsidRPr="005208DC">
        <w:rPr>
          <w:rFonts w:asciiTheme="majorBidi" w:hAnsiTheme="majorBidi" w:cstheme="majorBidi"/>
          <w:i w:val="0"/>
          <w:color w:val="0D0D0D" w:themeColor="text1" w:themeTint="F2"/>
          <w:sz w:val="24"/>
          <w:szCs w:val="24"/>
          <w:lang w:val="sq-AL"/>
        </w:rPr>
        <w:t>Mbështetja e zbatimit të reformës kurrikulare para universitare dhe trajnimit të mësuesve</w:t>
      </w:r>
    </w:p>
    <w:p w14:paraId="399B71B1" w14:textId="6538561E" w:rsidR="0030742B" w:rsidRPr="005208DC" w:rsidRDefault="00B2062A" w:rsidP="00F957E8">
      <w:pPr>
        <w:pStyle w:val="Heading6"/>
        <w:numPr>
          <w:ilvl w:val="0"/>
          <w:numId w:val="91"/>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Përshkrimi i masës</w:t>
      </w:r>
    </w:p>
    <w:p w14:paraId="3B0D747C" w14:textId="5E053CAC" w:rsidR="00A72F9A" w:rsidRPr="005208DC" w:rsidRDefault="00A72F9A" w:rsidP="00857902">
      <w:pPr>
        <w:jc w:val="both"/>
        <w:rPr>
          <w:rStyle w:val="y2iqfc"/>
          <w:rFonts w:ascii="Times New Roman" w:hAnsi="Times New Roman"/>
          <w:color w:val="0D0D0D" w:themeColor="text1" w:themeTint="F2"/>
          <w:lang w:val="sq-AL"/>
        </w:rPr>
      </w:pPr>
      <w:r w:rsidRPr="005208DC">
        <w:rPr>
          <w:rStyle w:val="y2iqfc"/>
          <w:rFonts w:ascii="Times New Roman" w:hAnsi="Times New Roman"/>
          <w:color w:val="0D0D0D" w:themeColor="text1" w:themeTint="F2"/>
          <w:lang w:val="sq-AL"/>
        </w:rPr>
        <w:t>Kurrikula e bazuar në kompetenca zbatohet në të gjitha klasat 1 deri në 12 të sistemit arsimor para universitar. Me ndryshimet që ndodhin në shoqëri, shfaqen nevoja të reja, marrëdhënie të reja në shoqëri dhe në tregun e punës, investime më të mëdha në kapitalin njerëzor, inovacione teknologjike, aspirata të reja njerëzore, strategji të reja për zhvillim, etj. Kurrikula i përgjigjet këtyre ndryshimeve me ritme të shpejta, me zhvillime të brendshme sasiore dhe cilësore, për të mundësuar njohuri, aftësi, vlera dhe qëndrime të reja të përshtatshme, sistematike, koherente dhe vazhdimisht në zhvillim, të cilat u transmetohen nxënësve nëpërmjet mësuesve të tyre. Procesi i zbatimit të kurrikulës është shoqëruar me forcimin e kapaciteteve të mësuesve dhe drejtorëve në zbatimin efektiv të kurrikulës së reformuar. Për arritjen e këtij qëllimi, theks i veçantë iu kushtua trajnimit të mësuesve, rrjetit profesional të fuqizimit dhe inkurajimit të mësuesve, si një mekanizëm që mbështet zhvillimin profesional të mësuesve dhe përmirëson cilësinë e kurrikulës së zbatuar në shkollë. Vlerësimi i brendshëm dhe i jashtëm i kurrikulës dhe faktorëve që ndikojnë në të, konsiderohen si një proces shumë i rëndësishëm për monitorimin dhe vlerësimin e vazhdueshëm të cilësisë së hartimit dhe zbatimit të kurrikulës.</w:t>
      </w:r>
    </w:p>
    <w:p w14:paraId="0E3A845A" w14:textId="09F57D69" w:rsidR="00A72F9A" w:rsidRPr="005208DC" w:rsidRDefault="00A72F9A" w:rsidP="00857902">
      <w:pPr>
        <w:jc w:val="both"/>
        <w:rPr>
          <w:rFonts w:ascii="Times New Roman" w:hAnsi="Times New Roman"/>
          <w:color w:val="0D0D0D" w:themeColor="text1" w:themeTint="F2"/>
          <w:lang w:val="sq-AL"/>
        </w:rPr>
      </w:pPr>
      <w:r w:rsidRPr="005208DC">
        <w:rPr>
          <w:rStyle w:val="y2iqfc"/>
          <w:rFonts w:ascii="Times New Roman" w:hAnsi="Times New Roman"/>
          <w:color w:val="0D0D0D" w:themeColor="text1" w:themeTint="F2"/>
          <w:lang w:val="sq-AL"/>
        </w:rPr>
        <w:t>Për sa i përket zhvillimit profesional të mësuesve, funksionimi i rrjeteve profesionale të mësuesve ka vijuar sipas profileve përkatëse ose sipas roleve të mësuesve në shkollë. Mësuesit dhe drejtuesit e shkollave duhet të ndjekin të paktën 3 ditë trajnime në vit nga ofruesit e autorizuar, ndër të cilët ASCAP është qendror.</w:t>
      </w:r>
    </w:p>
    <w:p w14:paraId="75F43939" w14:textId="77777777" w:rsidR="00A72F9A" w:rsidRPr="005208DC" w:rsidRDefault="00A72F9A" w:rsidP="00857902">
      <w:pPr>
        <w:jc w:val="both"/>
        <w:rPr>
          <w:rStyle w:val="y2iqfc"/>
          <w:rFonts w:ascii="Times New Roman" w:hAnsi="Times New Roman"/>
          <w:color w:val="0D0D0D" w:themeColor="text1" w:themeTint="F2"/>
          <w:lang w:val="sq-AL"/>
        </w:rPr>
      </w:pPr>
      <w:r w:rsidRPr="005208DC">
        <w:rPr>
          <w:rStyle w:val="y2iqfc"/>
          <w:rFonts w:ascii="Times New Roman" w:hAnsi="Times New Roman"/>
          <w:color w:val="0D0D0D" w:themeColor="text1" w:themeTint="F2"/>
          <w:lang w:val="sq-AL"/>
        </w:rPr>
        <w:t>Mësuesit kanë mundësinë të ndajnë përvojat dhe të reflektojnë përmes “rrjeteve të zhvillimit profesional”, të cilat organizohen rregullisht dhe ku stafi i shkollës mund të ndajë sfidat dhe arritjet e tyre. Arsyeja pse rrjetet funksionojnë është sepse mësuesit i shohin ato si një vend ku ata mund të ndajnë shqetësimet dhe arritjet e tyre.</w:t>
      </w:r>
    </w:p>
    <w:p w14:paraId="35443951" w14:textId="60F99F73" w:rsidR="00A72F9A" w:rsidRPr="005208DC" w:rsidRDefault="00A72F9A" w:rsidP="00857902">
      <w:pPr>
        <w:jc w:val="both"/>
        <w:rPr>
          <w:rStyle w:val="y2iqfc"/>
          <w:rFonts w:ascii="Times New Roman" w:hAnsi="Times New Roman"/>
          <w:color w:val="0D0D0D" w:themeColor="text1" w:themeTint="F2"/>
          <w:lang w:val="sq-AL"/>
        </w:rPr>
      </w:pPr>
      <w:r w:rsidRPr="005208DC">
        <w:rPr>
          <w:rStyle w:val="y2iqfc"/>
          <w:rFonts w:ascii="Times New Roman" w:hAnsi="Times New Roman"/>
          <w:color w:val="0D0D0D" w:themeColor="text1" w:themeTint="F2"/>
          <w:lang w:val="sq-AL"/>
        </w:rPr>
        <w:t>Harmonizimi i kurrikulës së trajnimit fillestar për programet e arsimit të lartë bazuar në kërkesat e Ligjit për Arsimin e Lartë si dhe me kurrikulën e parashikuar në arsimin para universitar është një masë e rëndësishme. Ky proces duhet të përdoret për të përshtatur kurrikulat, në përputhje me praktikat më të mira ndërkombëtare, veçanërisht me rekomandimet e BE-së që vendosin një ekuilibër të drejtë midis përmbajtjes së lëndës, komponentit pedagogjik dhe punës praktike të integruar në programin e studimit. Në përputhje me këto rekomandime, programet për trajnimin fillestar të mësuesve duhet t'u ofrojnë mësuesve të ardhshëm kompetencat kyçe të nevojshme për mësimdhënie cilësore, por edhe t'i motivojnë ata që t'i zhvillojnë më tej këto kompetenca gjatë karrierës së tyre. Në veçanti, këto programe duhet t'i kushtojnë vëmendje trajnimit të mësuesve të ardhshëm për të zhvilluar kompetenca kyçe ndërkurrikulare te nxënësit, si: kompetenca digjitale, kompetenca për të mësuar, për të nxënë, kompetenca sipërmarrëse dhe shkrim-leximi. Mësuesit gjithashtu duhet të trajnohen për të punuar me grupe të ndryshme nxënësish, duke përfshirë nxënësit me aftësi të kufizuara dhe fëmijët që janë pjesë e grupeve vulnerabël.</w:t>
      </w:r>
    </w:p>
    <w:p w14:paraId="1557AAC6" w14:textId="77777777" w:rsidR="00A72F9A" w:rsidRPr="005208DC" w:rsidRDefault="00A72F9A" w:rsidP="00857902">
      <w:pPr>
        <w:jc w:val="both"/>
        <w:rPr>
          <w:rStyle w:val="y2iqfc"/>
          <w:rFonts w:ascii="Times New Roman" w:hAnsi="Times New Roman"/>
          <w:color w:val="0D0D0D" w:themeColor="text1" w:themeTint="F2"/>
          <w:lang w:val="sq-AL"/>
        </w:rPr>
      </w:pPr>
      <w:r w:rsidRPr="005208DC">
        <w:rPr>
          <w:rStyle w:val="y2iqfc"/>
          <w:rFonts w:ascii="Times New Roman" w:hAnsi="Times New Roman"/>
          <w:color w:val="0D0D0D" w:themeColor="text1" w:themeTint="F2"/>
          <w:lang w:val="sq-AL"/>
        </w:rPr>
        <w:t>Në bazë të programit të qeverisë për përfshirjen e gjuhës angleze në klasën e parë, është rishikuar dhe miratuar plani i arsimit bazë. Gjuha angleze përfshihet në kurrikulën e detyrueshme për klasën e parë dhe gjuha e huaj e dytë përfshihet në kurrikulën bërthamë në klasën e gjashtë. Është hartuar dhe miratuar programi i gjuhës angleze për klasën e parë. Trajnimi i mësuesve të anglishtes do të ofrohet në bazë të moduleve të trajnimit.</w:t>
      </w:r>
    </w:p>
    <w:p w14:paraId="5F3F394E" w14:textId="189016BD" w:rsidR="00A72F9A" w:rsidRPr="005208DC" w:rsidRDefault="00A72F9A"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Programi i Arteve dhe Zejeve është një program që synon të përfshijë artet dhe zejet në arsim duke nxitur mësimin e artit dhe zejeve në arsimin para universitar nëpërmjet aktiviteteve praktike. Ky program është krijuar për t'i shërbyer dhe mbështetur zhvillimin e fëmijëve dhe të rinjve në arsimin bazë dhe të mesëm të lartë. “Artet dhe Zejet” përfshin kreativitetin, inovacionin dhe marrjen përsipër të iniciativave, aktiviteteve dhe projekteve që zhvillohen në shkolla në bashkëpunim dhe partneritet me prindërit, komunitetin dhe bizneset lokale. Ai synon të nxisë aftësitë sipërmarrëse të studentëve në këndvështrimin e ruajtjes dhe promovimit të vlerave të komunitetit ku ata jetojnë, si dhe të trashëgimisë sonë kulturore. Në planin vjetor të shkollës mund të planifikohen aktivitete për realizimin e programit "Edukimi për arte dhe zeje", të cilat mund të zhvillohen nga procesi mësimor dhe realizimi i tyre përmbush qëllimin e shkollës për zhvillimin e aftësive praktike të nxënësve. Në këtë rast studentët zgjedhin të marrin pjesë vullnetarisht.</w:t>
      </w:r>
    </w:p>
    <w:p w14:paraId="17865B33" w14:textId="77777777" w:rsidR="00A72F9A" w:rsidRPr="005208DC" w:rsidRDefault="00A72F9A" w:rsidP="00857902">
      <w:pPr>
        <w:jc w:val="both"/>
        <w:rPr>
          <w:rStyle w:val="y2iqfc"/>
          <w:rFonts w:ascii="Times New Roman" w:hAnsi="Times New Roman"/>
          <w:color w:val="0D0D0D" w:themeColor="text1" w:themeTint="F2"/>
          <w:lang w:val="sq-AL"/>
        </w:rPr>
      </w:pPr>
      <w:r w:rsidRPr="005208DC">
        <w:rPr>
          <w:rFonts w:ascii="Times New Roman" w:hAnsi="Times New Roman"/>
          <w:color w:val="0D0D0D" w:themeColor="text1" w:themeTint="F2"/>
          <w:lang w:val="sq-AL"/>
        </w:rPr>
        <w:t>Gjithashtu aktivitetet për zbatimin e programit “Edukimi për arte dhe zeje” mund të planifikohen dhe zhvillohen në formën e moduleve në kurrikulën e bazuar në shkollë.</w:t>
      </w:r>
    </w:p>
    <w:p w14:paraId="6016BBB8" w14:textId="09521351" w:rsidR="00A72F9A" w:rsidRPr="005208DC" w:rsidRDefault="00A72F9A" w:rsidP="00857902">
      <w:pPr>
        <w:snapToGrid w:val="0"/>
        <w:jc w:val="both"/>
        <w:rPr>
          <w:rFonts w:asciiTheme="majorBidi" w:hAnsiTheme="majorBidi" w:cstheme="majorBidi"/>
          <w:color w:val="0D0D0D" w:themeColor="text1" w:themeTint="F2"/>
          <w:lang w:val="sq-AL"/>
        </w:rPr>
      </w:pPr>
      <w:r w:rsidRPr="005208DC">
        <w:rPr>
          <w:rStyle w:val="y2iqfc"/>
          <w:rFonts w:ascii="Times New Roman" w:hAnsi="Times New Roman"/>
          <w:color w:val="0D0D0D" w:themeColor="text1" w:themeTint="F2"/>
          <w:lang w:val="sq-AL"/>
        </w:rPr>
        <w:t>Kjo masë lidhet me Kriteret Ekonomike, për të qenë konkurrues në BE, gjë që kërkon një sasi të mjaftueshme kapitali njerëzor, arsim, kërkim, inovacion dhe zhvillime të ardhshme në këtë fushë.</w:t>
      </w:r>
    </w:p>
    <w:p w14:paraId="632C718F" w14:textId="77777777" w:rsidR="00A72F9A" w:rsidRPr="005208DC" w:rsidRDefault="00A72F9A" w:rsidP="00857902">
      <w:pPr>
        <w:snapToGrid w:val="0"/>
        <w:rPr>
          <w:rFonts w:asciiTheme="majorBidi" w:hAnsiTheme="majorBidi" w:cstheme="majorBidi"/>
          <w:color w:val="0D0D0D" w:themeColor="text1" w:themeTint="F2"/>
          <w:lang w:val="sq-AL"/>
        </w:rPr>
      </w:pPr>
    </w:p>
    <w:p w14:paraId="19D17584" w14:textId="29D0766C" w:rsidR="0030742B" w:rsidRPr="005208DC" w:rsidRDefault="00B2062A" w:rsidP="00F957E8">
      <w:pPr>
        <w:pStyle w:val="ListParagraph"/>
        <w:numPr>
          <w:ilvl w:val="0"/>
          <w:numId w:val="92"/>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30742B" w:rsidRPr="005208DC">
        <w:rPr>
          <w:rFonts w:asciiTheme="majorBidi" w:hAnsiTheme="majorBidi" w:cstheme="majorBidi"/>
          <w:b/>
          <w:color w:val="0D0D0D" w:themeColor="text1" w:themeTint="F2"/>
          <w:sz w:val="24"/>
          <w:szCs w:val="24"/>
          <w:lang w:val="sq-AL"/>
        </w:rPr>
        <w:t xml:space="preserve"> 2022</w:t>
      </w:r>
    </w:p>
    <w:p w14:paraId="6C4D3167" w14:textId="77777777" w:rsidR="00A72F9A" w:rsidRPr="005208DC" w:rsidRDefault="00A72F9A" w:rsidP="00F957E8">
      <w:pPr>
        <w:pStyle w:val="ListParagraph"/>
        <w:widowControl/>
        <w:numPr>
          <w:ilvl w:val="0"/>
          <w:numId w:val="93"/>
        </w:numPr>
        <w:jc w:val="both"/>
        <w:rPr>
          <w:rStyle w:val="y2iqfc"/>
          <w:rFonts w:ascii="Times New Roman" w:hAnsi="Times New Roman" w:cs="Times New Roman"/>
          <w:color w:val="0D0D0D" w:themeColor="text1" w:themeTint="F2"/>
          <w:sz w:val="24"/>
          <w:szCs w:val="24"/>
          <w:lang w:val="sq-AL"/>
        </w:rPr>
      </w:pPr>
      <w:r w:rsidRPr="005208DC">
        <w:rPr>
          <w:rStyle w:val="y2iqfc"/>
          <w:rFonts w:ascii="Times New Roman" w:hAnsi="Times New Roman" w:cs="Times New Roman"/>
          <w:color w:val="0D0D0D" w:themeColor="text1" w:themeTint="F2"/>
          <w:sz w:val="24"/>
          <w:szCs w:val="24"/>
          <w:lang w:val="sq-AL"/>
        </w:rPr>
        <w:t>Përfshirja e gjuhës angleze në klasën e parë</w:t>
      </w:r>
    </w:p>
    <w:p w14:paraId="686D2876" w14:textId="77777777" w:rsidR="00A72F9A" w:rsidRPr="005208DC" w:rsidRDefault="00A72F9A" w:rsidP="00F957E8">
      <w:pPr>
        <w:pStyle w:val="ListParagraph"/>
        <w:widowControl/>
        <w:numPr>
          <w:ilvl w:val="0"/>
          <w:numId w:val="93"/>
        </w:numPr>
        <w:jc w:val="both"/>
        <w:rPr>
          <w:rStyle w:val="y2iqfc"/>
          <w:rFonts w:ascii="Times New Roman" w:hAnsi="Times New Roman" w:cs="Times New Roman"/>
          <w:color w:val="0D0D0D" w:themeColor="text1" w:themeTint="F2"/>
          <w:sz w:val="24"/>
          <w:szCs w:val="24"/>
          <w:lang w:val="sq-AL"/>
        </w:rPr>
      </w:pPr>
      <w:r w:rsidRPr="005208DC">
        <w:rPr>
          <w:rStyle w:val="y2iqfc"/>
          <w:rFonts w:ascii="Times New Roman" w:hAnsi="Times New Roman" w:cs="Times New Roman"/>
          <w:color w:val="0D0D0D" w:themeColor="text1" w:themeTint="F2"/>
          <w:sz w:val="24"/>
          <w:szCs w:val="24"/>
          <w:lang w:val="sq-AL"/>
        </w:rPr>
        <w:t>Hartimi i moduleve të trajnimit për "Mësimi i gjuhës angleze që në klasën e parë të arsimit bazë"</w:t>
      </w:r>
    </w:p>
    <w:p w14:paraId="3EB6345F" w14:textId="77777777" w:rsidR="00A72F9A" w:rsidRPr="005208DC" w:rsidRDefault="00A72F9A" w:rsidP="00F957E8">
      <w:pPr>
        <w:pStyle w:val="ListParagraph"/>
        <w:widowControl/>
        <w:numPr>
          <w:ilvl w:val="0"/>
          <w:numId w:val="93"/>
        </w:numPr>
        <w:jc w:val="both"/>
        <w:rPr>
          <w:rStyle w:val="y2iqfc"/>
          <w:rFonts w:ascii="Times New Roman" w:hAnsi="Times New Roman" w:cs="Times New Roman"/>
          <w:color w:val="0D0D0D" w:themeColor="text1" w:themeTint="F2"/>
          <w:sz w:val="24"/>
          <w:szCs w:val="24"/>
          <w:lang w:val="sq-AL"/>
        </w:rPr>
      </w:pPr>
      <w:r w:rsidRPr="005208DC">
        <w:rPr>
          <w:rStyle w:val="y2iqfc"/>
          <w:rFonts w:ascii="Times New Roman" w:hAnsi="Times New Roman" w:cs="Times New Roman"/>
          <w:color w:val="0D0D0D" w:themeColor="text1" w:themeTint="F2"/>
          <w:sz w:val="24"/>
          <w:szCs w:val="24"/>
          <w:lang w:val="sq-AL"/>
        </w:rPr>
        <w:t>Trajnimi i 1000 mësuesve të klasës së parë dhe monitorimi i vijueshmërisë së punës për zbatimin e programit të gjuhës angleze.</w:t>
      </w:r>
    </w:p>
    <w:p w14:paraId="6F0403DD" w14:textId="77777777" w:rsidR="00A72F9A" w:rsidRPr="005208DC" w:rsidRDefault="00A72F9A" w:rsidP="00F957E8">
      <w:pPr>
        <w:pStyle w:val="ListParagraph"/>
        <w:widowControl/>
        <w:numPr>
          <w:ilvl w:val="0"/>
          <w:numId w:val="93"/>
        </w:numPr>
        <w:jc w:val="both"/>
        <w:rPr>
          <w:rStyle w:val="y2iqfc"/>
          <w:rFonts w:ascii="Times New Roman" w:hAnsi="Times New Roman" w:cs="Times New Roman"/>
          <w:color w:val="0D0D0D" w:themeColor="text1" w:themeTint="F2"/>
          <w:sz w:val="24"/>
          <w:szCs w:val="24"/>
          <w:lang w:val="sq-AL"/>
        </w:rPr>
      </w:pPr>
      <w:r w:rsidRPr="005208DC">
        <w:rPr>
          <w:rStyle w:val="y2iqfc"/>
          <w:rFonts w:ascii="Times New Roman" w:hAnsi="Times New Roman" w:cs="Times New Roman"/>
          <w:color w:val="0D0D0D" w:themeColor="text1" w:themeTint="F2"/>
          <w:sz w:val="24"/>
          <w:szCs w:val="24"/>
          <w:lang w:val="sq-AL"/>
        </w:rPr>
        <w:t>Harmonizimi i kurrikulave të IAL-ve të trajnimit fillestar për programet arsimore bazuar në kërkesat e Ligjit për Arsimin e Lartë si dhe me kurrikulën e ofruar në arsimin parauniversitar.</w:t>
      </w:r>
    </w:p>
    <w:p w14:paraId="08152FF2" w14:textId="77777777" w:rsidR="00A72F9A" w:rsidRPr="005208DC" w:rsidRDefault="00A72F9A" w:rsidP="00F957E8">
      <w:pPr>
        <w:pStyle w:val="ListParagraph"/>
        <w:widowControl/>
        <w:numPr>
          <w:ilvl w:val="0"/>
          <w:numId w:val="93"/>
        </w:numPr>
        <w:jc w:val="both"/>
        <w:rPr>
          <w:rStyle w:val="y2iqfc"/>
          <w:rFonts w:ascii="Times New Roman" w:hAnsi="Times New Roman" w:cs="Times New Roman"/>
          <w:color w:val="0D0D0D" w:themeColor="text1" w:themeTint="F2"/>
          <w:sz w:val="24"/>
          <w:szCs w:val="24"/>
          <w:lang w:val="sq-AL"/>
        </w:rPr>
      </w:pPr>
      <w:r w:rsidRPr="005208DC">
        <w:rPr>
          <w:rStyle w:val="y2iqfc"/>
          <w:rFonts w:ascii="Times New Roman" w:hAnsi="Times New Roman" w:cs="Times New Roman"/>
          <w:color w:val="0D0D0D" w:themeColor="text1" w:themeTint="F2"/>
          <w:sz w:val="24"/>
          <w:szCs w:val="24"/>
          <w:lang w:val="sq-AL"/>
        </w:rPr>
        <w:t>Zhvillimi i moduleve të trajnimit bazuar në standardet profesionale të mësuesit dhe në koherencë me kurrikulën e re.</w:t>
      </w:r>
    </w:p>
    <w:p w14:paraId="2FDD17BA" w14:textId="77777777" w:rsidR="00A72F9A" w:rsidRPr="005208DC" w:rsidRDefault="00A72F9A" w:rsidP="00F957E8">
      <w:pPr>
        <w:pStyle w:val="ListParagraph"/>
        <w:widowControl/>
        <w:numPr>
          <w:ilvl w:val="0"/>
          <w:numId w:val="93"/>
        </w:numPr>
        <w:jc w:val="both"/>
        <w:rPr>
          <w:rStyle w:val="y2iqfc"/>
          <w:rFonts w:ascii="Times New Roman" w:hAnsi="Times New Roman" w:cs="Times New Roman"/>
          <w:color w:val="0D0D0D" w:themeColor="text1" w:themeTint="F2"/>
          <w:sz w:val="24"/>
          <w:szCs w:val="24"/>
          <w:lang w:val="sq-AL"/>
        </w:rPr>
      </w:pPr>
      <w:r w:rsidRPr="005208DC">
        <w:rPr>
          <w:rStyle w:val="y2iqfc"/>
          <w:rFonts w:ascii="Times New Roman" w:hAnsi="Times New Roman" w:cs="Times New Roman"/>
          <w:color w:val="0D0D0D" w:themeColor="text1" w:themeTint="F2"/>
          <w:sz w:val="24"/>
          <w:szCs w:val="24"/>
          <w:lang w:val="sq-AL"/>
        </w:rPr>
        <w:t>Hartimi i një sistemi të karrierës së mësuesit bazuar në vlerësimin e performancës së mësuesve në shkollë.</w:t>
      </w:r>
    </w:p>
    <w:p w14:paraId="192417BD" w14:textId="77777777" w:rsidR="00A72F9A" w:rsidRPr="005208DC" w:rsidRDefault="00A72F9A" w:rsidP="00F957E8">
      <w:pPr>
        <w:pStyle w:val="ListParagraph"/>
        <w:widowControl/>
        <w:numPr>
          <w:ilvl w:val="0"/>
          <w:numId w:val="93"/>
        </w:numPr>
        <w:jc w:val="both"/>
        <w:rPr>
          <w:rStyle w:val="y2iqfc"/>
          <w:rFonts w:ascii="Times New Roman" w:hAnsi="Times New Roman" w:cs="Times New Roman"/>
          <w:color w:val="0D0D0D" w:themeColor="text1" w:themeTint="F2"/>
          <w:sz w:val="24"/>
          <w:szCs w:val="24"/>
          <w:lang w:val="sq-AL"/>
        </w:rPr>
      </w:pPr>
      <w:r w:rsidRPr="005208DC">
        <w:rPr>
          <w:rStyle w:val="y2iqfc"/>
          <w:rFonts w:ascii="Times New Roman" w:hAnsi="Times New Roman" w:cs="Times New Roman"/>
          <w:color w:val="0D0D0D" w:themeColor="text1" w:themeTint="F2"/>
          <w:sz w:val="24"/>
          <w:szCs w:val="24"/>
          <w:lang w:val="sq-AL"/>
        </w:rPr>
        <w:t>Hartimi i një udhëzuesi për zhvillimin e arsimit artizanal në arsimin parauniversitar.</w:t>
      </w:r>
    </w:p>
    <w:p w14:paraId="6AC51AC3" w14:textId="18AF7B24" w:rsidR="00A72F9A" w:rsidRPr="005208DC" w:rsidRDefault="00A72F9A" w:rsidP="00F957E8">
      <w:pPr>
        <w:pStyle w:val="ListParagraph"/>
        <w:widowControl/>
        <w:numPr>
          <w:ilvl w:val="0"/>
          <w:numId w:val="93"/>
        </w:numPr>
        <w:jc w:val="both"/>
        <w:rPr>
          <w:rFonts w:ascii="Times New Roman" w:hAnsi="Times New Roman" w:cs="Times New Roman"/>
          <w:color w:val="0D0D0D" w:themeColor="text1" w:themeTint="F2"/>
          <w:sz w:val="24"/>
          <w:szCs w:val="24"/>
          <w:lang w:val="sq-AL"/>
        </w:rPr>
      </w:pPr>
      <w:r w:rsidRPr="005208DC">
        <w:rPr>
          <w:rStyle w:val="y2iqfc"/>
          <w:rFonts w:ascii="Times New Roman" w:hAnsi="Times New Roman" w:cs="Times New Roman"/>
          <w:color w:val="0D0D0D" w:themeColor="text1" w:themeTint="F2"/>
          <w:sz w:val="24"/>
          <w:szCs w:val="24"/>
          <w:lang w:val="sq-AL"/>
        </w:rPr>
        <w:t>Hartimi dhe miratimi i standardeve të drejtorit të kopshteve</w:t>
      </w:r>
    </w:p>
    <w:p w14:paraId="7E0D0218" w14:textId="05AC0465" w:rsidR="0030742B" w:rsidRPr="005208DC" w:rsidRDefault="00B2062A" w:rsidP="00F957E8">
      <w:pPr>
        <w:pStyle w:val="ListParagraph"/>
        <w:numPr>
          <w:ilvl w:val="0"/>
          <w:numId w:val="92"/>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30742B" w:rsidRPr="005208DC">
        <w:rPr>
          <w:rFonts w:asciiTheme="majorBidi" w:hAnsiTheme="majorBidi" w:cstheme="majorBidi"/>
          <w:b/>
          <w:color w:val="0D0D0D" w:themeColor="text1" w:themeTint="F2"/>
          <w:sz w:val="24"/>
          <w:szCs w:val="24"/>
          <w:lang w:val="sq-AL"/>
        </w:rPr>
        <w:t xml:space="preserve"> 2023</w:t>
      </w:r>
    </w:p>
    <w:p w14:paraId="54D7F5C0" w14:textId="77777777" w:rsidR="00A72F9A" w:rsidRPr="005208DC" w:rsidRDefault="00A72F9A" w:rsidP="00F957E8">
      <w:pPr>
        <w:pStyle w:val="ListParagraph"/>
        <w:widowControl/>
        <w:numPr>
          <w:ilvl w:val="0"/>
          <w:numId w:val="94"/>
        </w:numPr>
        <w:jc w:val="both"/>
        <w:rPr>
          <w:rStyle w:val="y2iqfc"/>
          <w:rFonts w:ascii="Times New Roman" w:hAnsi="Times New Roman" w:cs="Times New Roman"/>
          <w:color w:val="0D0D0D" w:themeColor="text1" w:themeTint="F2"/>
          <w:sz w:val="24"/>
          <w:szCs w:val="24"/>
          <w:lang w:val="sq-AL"/>
        </w:rPr>
      </w:pPr>
      <w:r w:rsidRPr="005208DC">
        <w:rPr>
          <w:rStyle w:val="y2iqfc"/>
          <w:rFonts w:ascii="Times New Roman" w:hAnsi="Times New Roman" w:cs="Times New Roman"/>
          <w:color w:val="0D0D0D" w:themeColor="text1" w:themeTint="F2"/>
          <w:sz w:val="24"/>
          <w:szCs w:val="24"/>
          <w:lang w:val="sq-AL"/>
        </w:rPr>
        <w:t>Trajnimi i 1000 mësuesve të klasës së dytë dhe monitorimi i vazhdimësisë së punës për zbatimin e programit të gjuhës angleze.</w:t>
      </w:r>
    </w:p>
    <w:p w14:paraId="7BFB9C2A" w14:textId="77777777" w:rsidR="00A72F9A" w:rsidRPr="005208DC" w:rsidRDefault="00A72F9A" w:rsidP="00F957E8">
      <w:pPr>
        <w:pStyle w:val="ListParagraph"/>
        <w:widowControl/>
        <w:numPr>
          <w:ilvl w:val="0"/>
          <w:numId w:val="94"/>
        </w:numPr>
        <w:jc w:val="both"/>
        <w:rPr>
          <w:rStyle w:val="y2iqfc"/>
          <w:rFonts w:ascii="Times New Roman" w:hAnsi="Times New Roman" w:cs="Times New Roman"/>
          <w:color w:val="0D0D0D" w:themeColor="text1" w:themeTint="F2"/>
          <w:sz w:val="24"/>
          <w:szCs w:val="24"/>
          <w:lang w:val="sq-AL"/>
        </w:rPr>
      </w:pPr>
      <w:r w:rsidRPr="005208DC">
        <w:rPr>
          <w:rStyle w:val="y2iqfc"/>
          <w:rFonts w:ascii="Times New Roman" w:hAnsi="Times New Roman" w:cs="Times New Roman"/>
          <w:color w:val="0D0D0D" w:themeColor="text1" w:themeTint="F2"/>
          <w:sz w:val="24"/>
          <w:szCs w:val="24"/>
          <w:lang w:val="sq-AL"/>
        </w:rPr>
        <w:t>Përfundimi i procesit të harmonizimit të kurrikulave të trajnimit fillestar të mësuesve të IAL-ve bazuar në kërkesat e Ligjit për Arsimin e Lartë si dhe me kurrikulën e ofruar në arsimin parauniversitar.</w:t>
      </w:r>
    </w:p>
    <w:p w14:paraId="7EA2FA27" w14:textId="77777777" w:rsidR="00A72F9A" w:rsidRPr="005208DC" w:rsidRDefault="00A72F9A" w:rsidP="00F957E8">
      <w:pPr>
        <w:pStyle w:val="ListParagraph"/>
        <w:widowControl/>
        <w:numPr>
          <w:ilvl w:val="0"/>
          <w:numId w:val="94"/>
        </w:numPr>
        <w:jc w:val="both"/>
        <w:rPr>
          <w:rStyle w:val="y2iqfc"/>
          <w:rFonts w:ascii="Times New Roman" w:hAnsi="Times New Roman" w:cs="Times New Roman"/>
          <w:color w:val="0D0D0D" w:themeColor="text1" w:themeTint="F2"/>
          <w:sz w:val="24"/>
          <w:szCs w:val="24"/>
          <w:lang w:val="sq-AL"/>
        </w:rPr>
      </w:pPr>
      <w:r w:rsidRPr="005208DC">
        <w:rPr>
          <w:rStyle w:val="y2iqfc"/>
          <w:rFonts w:ascii="Times New Roman" w:hAnsi="Times New Roman" w:cs="Times New Roman"/>
          <w:color w:val="0D0D0D" w:themeColor="text1" w:themeTint="F2"/>
          <w:sz w:val="24"/>
          <w:szCs w:val="24"/>
          <w:lang w:val="sq-AL"/>
        </w:rPr>
        <w:t>Diskutimi dhe finalizimi i draftit të sistemit të karrierës së mësuesit bazuar në vlerësimin e performancës së mësuesit në shkollë.</w:t>
      </w:r>
    </w:p>
    <w:p w14:paraId="4D63B6F5" w14:textId="77777777" w:rsidR="00A72F9A" w:rsidRPr="005208DC" w:rsidRDefault="00A72F9A" w:rsidP="00F957E8">
      <w:pPr>
        <w:pStyle w:val="ListParagraph"/>
        <w:widowControl/>
        <w:numPr>
          <w:ilvl w:val="0"/>
          <w:numId w:val="94"/>
        </w:numPr>
        <w:jc w:val="both"/>
        <w:rPr>
          <w:rStyle w:val="y2iqfc"/>
          <w:rFonts w:ascii="Times New Roman" w:hAnsi="Times New Roman" w:cs="Times New Roman"/>
          <w:color w:val="0D0D0D" w:themeColor="text1" w:themeTint="F2"/>
          <w:sz w:val="24"/>
          <w:szCs w:val="24"/>
          <w:lang w:val="sq-AL"/>
        </w:rPr>
      </w:pPr>
      <w:r w:rsidRPr="005208DC">
        <w:rPr>
          <w:rStyle w:val="y2iqfc"/>
          <w:rFonts w:ascii="Times New Roman" w:hAnsi="Times New Roman" w:cs="Times New Roman"/>
          <w:color w:val="0D0D0D" w:themeColor="text1" w:themeTint="F2"/>
          <w:sz w:val="24"/>
          <w:szCs w:val="24"/>
          <w:lang w:val="sq-AL"/>
        </w:rPr>
        <w:t>Forcimi i kapaciteteve njerëzore në sektorët e kurrikulës në nivel të Zyrave Arsimore Vendore.</w:t>
      </w:r>
    </w:p>
    <w:p w14:paraId="1278F834" w14:textId="77777777" w:rsidR="00A72F9A" w:rsidRPr="005208DC" w:rsidRDefault="00A72F9A" w:rsidP="00F957E8">
      <w:pPr>
        <w:pStyle w:val="ListParagraph"/>
        <w:widowControl/>
        <w:numPr>
          <w:ilvl w:val="0"/>
          <w:numId w:val="94"/>
        </w:numPr>
        <w:jc w:val="both"/>
        <w:rPr>
          <w:rStyle w:val="y2iqfc"/>
          <w:rFonts w:ascii="Times New Roman" w:hAnsi="Times New Roman" w:cs="Times New Roman"/>
          <w:color w:val="0D0D0D" w:themeColor="text1" w:themeTint="F2"/>
          <w:sz w:val="24"/>
          <w:szCs w:val="24"/>
          <w:lang w:val="sq-AL"/>
        </w:rPr>
      </w:pPr>
      <w:r w:rsidRPr="005208DC">
        <w:rPr>
          <w:rStyle w:val="y2iqfc"/>
          <w:rFonts w:ascii="Times New Roman" w:hAnsi="Times New Roman" w:cs="Times New Roman"/>
          <w:color w:val="0D0D0D" w:themeColor="text1" w:themeTint="F2"/>
          <w:sz w:val="24"/>
          <w:szCs w:val="24"/>
          <w:lang w:val="sq-AL"/>
        </w:rPr>
        <w:t>Trajnimi i 700 drejtuesve të rrjeteve profesionale të arsimit të mesëm të ulët mbi udhëzuesin e zhvillimit të arsimit për Arte dhe Zeje.</w:t>
      </w:r>
    </w:p>
    <w:p w14:paraId="1F13C083" w14:textId="45D69697" w:rsidR="00A72F9A" w:rsidRPr="005208DC" w:rsidRDefault="00A72F9A" w:rsidP="00F957E8">
      <w:pPr>
        <w:pStyle w:val="ListParagraph"/>
        <w:widowControl/>
        <w:numPr>
          <w:ilvl w:val="0"/>
          <w:numId w:val="94"/>
        </w:numPr>
        <w:jc w:val="both"/>
        <w:rPr>
          <w:rFonts w:ascii="Times New Roman" w:hAnsi="Times New Roman" w:cs="Times New Roman"/>
          <w:color w:val="0D0D0D" w:themeColor="text1" w:themeTint="F2"/>
          <w:sz w:val="24"/>
          <w:szCs w:val="24"/>
          <w:lang w:val="sq-AL"/>
        </w:rPr>
      </w:pPr>
      <w:r w:rsidRPr="005208DC">
        <w:rPr>
          <w:rStyle w:val="y2iqfc"/>
          <w:rFonts w:ascii="Times New Roman" w:hAnsi="Times New Roman" w:cs="Times New Roman"/>
          <w:color w:val="0D0D0D" w:themeColor="text1" w:themeTint="F2"/>
          <w:sz w:val="24"/>
          <w:szCs w:val="24"/>
          <w:lang w:val="sq-AL"/>
        </w:rPr>
        <w:t>Hartimi dhe miratimi i kornizës për vlerësimin e cilësisë së shërbimeve në arsimin parashkollor</w:t>
      </w:r>
      <w:r w:rsidRPr="005208DC">
        <w:rPr>
          <w:rStyle w:val="y2iqfc"/>
          <w:rFonts w:ascii="Times New Roman" w:hAnsi="Times New Roman"/>
          <w:color w:val="0D0D0D" w:themeColor="text1" w:themeTint="F2"/>
          <w:lang w:val="sq-AL"/>
        </w:rPr>
        <w:t>.</w:t>
      </w:r>
    </w:p>
    <w:p w14:paraId="743C1EB9" w14:textId="043F2D93" w:rsidR="0030742B" w:rsidRPr="005208DC" w:rsidRDefault="00B2062A" w:rsidP="00F957E8">
      <w:pPr>
        <w:pStyle w:val="ListParagraph"/>
        <w:numPr>
          <w:ilvl w:val="0"/>
          <w:numId w:val="92"/>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30742B" w:rsidRPr="005208DC">
        <w:rPr>
          <w:rFonts w:asciiTheme="majorBidi" w:hAnsiTheme="majorBidi" w:cstheme="majorBidi"/>
          <w:b/>
          <w:color w:val="0D0D0D" w:themeColor="text1" w:themeTint="F2"/>
          <w:sz w:val="24"/>
          <w:szCs w:val="24"/>
          <w:lang w:val="sq-AL"/>
        </w:rPr>
        <w:t xml:space="preserve"> 2024</w:t>
      </w:r>
    </w:p>
    <w:p w14:paraId="1CFC6835" w14:textId="77777777" w:rsidR="00A72F9A" w:rsidRPr="005208DC" w:rsidRDefault="00A72F9A" w:rsidP="00F957E8">
      <w:pPr>
        <w:pStyle w:val="ListParagraph"/>
        <w:widowControl/>
        <w:numPr>
          <w:ilvl w:val="0"/>
          <w:numId w:val="95"/>
        </w:numPr>
        <w:jc w:val="both"/>
        <w:rPr>
          <w:rStyle w:val="y2iqfc"/>
          <w:rFonts w:ascii="Times New Roman" w:hAnsi="Times New Roman" w:cs="Times New Roman"/>
          <w:color w:val="0D0D0D" w:themeColor="text1" w:themeTint="F2"/>
          <w:sz w:val="24"/>
          <w:szCs w:val="24"/>
          <w:lang w:val="sq-AL"/>
        </w:rPr>
      </w:pPr>
      <w:r w:rsidRPr="005208DC">
        <w:rPr>
          <w:rStyle w:val="y2iqfc"/>
          <w:rFonts w:ascii="Times New Roman" w:hAnsi="Times New Roman" w:cs="Times New Roman"/>
          <w:color w:val="0D0D0D" w:themeColor="text1" w:themeTint="F2"/>
          <w:sz w:val="24"/>
          <w:szCs w:val="24"/>
          <w:lang w:val="sq-AL"/>
        </w:rPr>
        <w:t>Përmirësimi i aftësive të studentëve në gjuhë dhe komunikim, matematikë dhe shkencë.</w:t>
      </w:r>
    </w:p>
    <w:p w14:paraId="1A3687DB" w14:textId="77777777" w:rsidR="00A72F9A" w:rsidRPr="005208DC" w:rsidRDefault="00A72F9A" w:rsidP="00F957E8">
      <w:pPr>
        <w:pStyle w:val="ListParagraph"/>
        <w:widowControl/>
        <w:numPr>
          <w:ilvl w:val="0"/>
          <w:numId w:val="95"/>
        </w:numPr>
        <w:jc w:val="both"/>
        <w:rPr>
          <w:rStyle w:val="y2iqfc"/>
          <w:rFonts w:ascii="Times New Roman" w:hAnsi="Times New Roman" w:cs="Times New Roman"/>
          <w:color w:val="0D0D0D" w:themeColor="text1" w:themeTint="F2"/>
          <w:sz w:val="24"/>
          <w:szCs w:val="24"/>
          <w:lang w:val="sq-AL"/>
        </w:rPr>
      </w:pPr>
      <w:r w:rsidRPr="005208DC">
        <w:rPr>
          <w:rStyle w:val="y2iqfc"/>
          <w:rFonts w:ascii="Times New Roman" w:hAnsi="Times New Roman" w:cs="Times New Roman"/>
          <w:color w:val="0D0D0D" w:themeColor="text1" w:themeTint="F2"/>
          <w:sz w:val="24"/>
          <w:szCs w:val="24"/>
          <w:lang w:val="sq-AL"/>
        </w:rPr>
        <w:t>Miratimi i sistemit të karrierës së mësuesit bazuar në vlerësimin e performancës së mësuesit në shkollë.</w:t>
      </w:r>
    </w:p>
    <w:p w14:paraId="608CD8A2" w14:textId="77777777" w:rsidR="00A72F9A" w:rsidRPr="005208DC" w:rsidRDefault="00A72F9A" w:rsidP="00F957E8">
      <w:pPr>
        <w:pStyle w:val="ListParagraph"/>
        <w:widowControl/>
        <w:numPr>
          <w:ilvl w:val="0"/>
          <w:numId w:val="95"/>
        </w:numPr>
        <w:jc w:val="both"/>
        <w:rPr>
          <w:rStyle w:val="y2iqfc"/>
          <w:rFonts w:ascii="Times New Roman" w:hAnsi="Times New Roman" w:cs="Times New Roman"/>
          <w:color w:val="0D0D0D" w:themeColor="text1" w:themeTint="F2"/>
          <w:sz w:val="24"/>
          <w:szCs w:val="24"/>
          <w:lang w:val="sq-AL"/>
        </w:rPr>
      </w:pPr>
      <w:r w:rsidRPr="005208DC">
        <w:rPr>
          <w:rStyle w:val="y2iqfc"/>
          <w:rFonts w:ascii="Times New Roman" w:hAnsi="Times New Roman" w:cs="Times New Roman"/>
          <w:color w:val="0D0D0D" w:themeColor="text1" w:themeTint="F2"/>
          <w:sz w:val="24"/>
          <w:szCs w:val="24"/>
          <w:lang w:val="sq-AL"/>
        </w:rPr>
        <w:t>Forcimi i kapaciteteve njerëzore në sektorët e kurrikulës në nivel të zyrave arsimore vendore.</w:t>
      </w:r>
    </w:p>
    <w:p w14:paraId="69494059" w14:textId="165FAB47" w:rsidR="00A72F9A" w:rsidRPr="005208DC" w:rsidRDefault="00A72F9A" w:rsidP="00F957E8">
      <w:pPr>
        <w:pStyle w:val="ListParagraph"/>
        <w:widowControl/>
        <w:numPr>
          <w:ilvl w:val="0"/>
          <w:numId w:val="95"/>
        </w:numPr>
        <w:jc w:val="both"/>
        <w:rPr>
          <w:rFonts w:ascii="Times New Roman" w:hAnsi="Times New Roman" w:cs="Times New Roman"/>
          <w:color w:val="0D0D0D" w:themeColor="text1" w:themeTint="F2"/>
          <w:sz w:val="24"/>
          <w:szCs w:val="24"/>
          <w:lang w:val="sq-AL"/>
        </w:rPr>
      </w:pPr>
      <w:r w:rsidRPr="005208DC">
        <w:rPr>
          <w:rStyle w:val="y2iqfc"/>
          <w:rFonts w:ascii="Times New Roman" w:hAnsi="Times New Roman" w:cs="Times New Roman"/>
          <w:color w:val="0D0D0D" w:themeColor="text1" w:themeTint="F2"/>
          <w:sz w:val="24"/>
          <w:szCs w:val="24"/>
          <w:lang w:val="sq-AL"/>
        </w:rPr>
        <w:t>Trajnimi i 500 drejtuesve të rrjetit mbi udhëzimin dhe zhvillimin e arsimit për Arte dhe Zeje</w:t>
      </w:r>
      <w:r w:rsidRPr="005208DC">
        <w:rPr>
          <w:rStyle w:val="y2iqfc"/>
          <w:rFonts w:ascii="Times New Roman" w:hAnsi="Times New Roman"/>
          <w:color w:val="0D0D0D" w:themeColor="text1" w:themeTint="F2"/>
          <w:lang w:val="sq-AL"/>
        </w:rPr>
        <w:t>.</w:t>
      </w:r>
    </w:p>
    <w:p w14:paraId="0C5569DB" w14:textId="77777777" w:rsidR="0030742B" w:rsidRPr="005208DC" w:rsidRDefault="0030742B" w:rsidP="00857902">
      <w:pPr>
        <w:snapToGrid w:val="0"/>
        <w:rPr>
          <w:rFonts w:asciiTheme="majorBidi" w:hAnsiTheme="majorBidi" w:cstheme="majorBidi"/>
          <w:color w:val="0D0D0D" w:themeColor="text1" w:themeTint="F2"/>
          <w:lang w:val="sq-AL"/>
        </w:rPr>
      </w:pPr>
    </w:p>
    <w:p w14:paraId="43CABB0B" w14:textId="059173AC" w:rsidR="0030742B" w:rsidRPr="005208DC" w:rsidRDefault="00B2062A" w:rsidP="00F957E8">
      <w:pPr>
        <w:pStyle w:val="Heading6"/>
        <w:numPr>
          <w:ilvl w:val="0"/>
          <w:numId w:val="91"/>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Treguesit e rezultateve</w:t>
      </w:r>
    </w:p>
    <w:tbl>
      <w:tblPr>
        <w:tblStyle w:val="TableGrid"/>
        <w:tblW w:w="0" w:type="auto"/>
        <w:tblLook w:val="04A0" w:firstRow="1" w:lastRow="0" w:firstColumn="1" w:lastColumn="0" w:noHBand="0" w:noVBand="1"/>
      </w:tblPr>
      <w:tblGrid>
        <w:gridCol w:w="4248"/>
        <w:gridCol w:w="1791"/>
        <w:gridCol w:w="1791"/>
        <w:gridCol w:w="1792"/>
      </w:tblGrid>
      <w:tr w:rsidR="005208DC" w:rsidRPr="005208DC" w14:paraId="5D63DABA" w14:textId="77777777" w:rsidTr="00D95692">
        <w:tc>
          <w:tcPr>
            <w:tcW w:w="4248" w:type="dxa"/>
          </w:tcPr>
          <w:p w14:paraId="77A89431" w14:textId="7B8B6FB6" w:rsidR="00D95692"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w:t>
            </w:r>
          </w:p>
        </w:tc>
        <w:tc>
          <w:tcPr>
            <w:tcW w:w="1791" w:type="dxa"/>
          </w:tcPr>
          <w:p w14:paraId="194A1C75" w14:textId="19A0B7A7" w:rsidR="00D95692"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Bazë</w:t>
            </w:r>
            <w:r w:rsidR="00D95692" w:rsidRPr="005208DC">
              <w:rPr>
                <w:rFonts w:asciiTheme="majorBidi" w:hAnsiTheme="majorBidi" w:cstheme="majorBidi"/>
                <w:color w:val="0D0D0D" w:themeColor="text1" w:themeTint="F2"/>
                <w:lang w:val="sq-AL"/>
              </w:rPr>
              <w:t xml:space="preserve"> (2022)</w:t>
            </w:r>
          </w:p>
        </w:tc>
        <w:tc>
          <w:tcPr>
            <w:tcW w:w="1791" w:type="dxa"/>
          </w:tcPr>
          <w:p w14:paraId="4B326355" w14:textId="63810581" w:rsidR="00D95692"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I ndërmjetëm</w:t>
            </w:r>
            <w:r w:rsidR="00D95692" w:rsidRPr="005208DC">
              <w:rPr>
                <w:rFonts w:asciiTheme="majorBidi" w:hAnsiTheme="majorBidi" w:cstheme="majorBidi"/>
                <w:color w:val="0D0D0D" w:themeColor="text1" w:themeTint="F2"/>
                <w:lang w:val="sq-AL"/>
              </w:rPr>
              <w:t xml:space="preserve"> (</w:t>
            </w:r>
            <w:r w:rsidR="005E44FE" w:rsidRPr="005208DC">
              <w:rPr>
                <w:rFonts w:asciiTheme="majorBidi" w:hAnsiTheme="majorBidi" w:cstheme="majorBidi"/>
                <w:color w:val="0D0D0D" w:themeColor="text1" w:themeTint="F2"/>
                <w:lang w:val="sq-AL"/>
              </w:rPr>
              <w:t>Viti</w:t>
            </w:r>
            <w:r w:rsidR="00D95692" w:rsidRPr="005208DC">
              <w:rPr>
                <w:rFonts w:asciiTheme="majorBidi" w:hAnsiTheme="majorBidi" w:cstheme="majorBidi"/>
                <w:color w:val="0D0D0D" w:themeColor="text1" w:themeTint="F2"/>
                <w:lang w:val="sq-AL"/>
              </w:rPr>
              <w:t>) 2023</w:t>
            </w:r>
          </w:p>
        </w:tc>
        <w:tc>
          <w:tcPr>
            <w:tcW w:w="1792" w:type="dxa"/>
          </w:tcPr>
          <w:p w14:paraId="6719A1DF" w14:textId="5B7ECD79" w:rsidR="00D95692"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Synimi</w:t>
            </w:r>
            <w:r w:rsidR="00D95692" w:rsidRPr="005208DC">
              <w:rPr>
                <w:rFonts w:asciiTheme="majorBidi" w:hAnsiTheme="majorBidi" w:cstheme="majorBidi"/>
                <w:color w:val="0D0D0D" w:themeColor="text1" w:themeTint="F2"/>
                <w:lang w:val="sq-AL"/>
              </w:rPr>
              <w:t xml:space="preserve"> (</w:t>
            </w:r>
            <w:r w:rsidR="005E44FE" w:rsidRPr="005208DC">
              <w:rPr>
                <w:rFonts w:asciiTheme="majorBidi" w:hAnsiTheme="majorBidi" w:cstheme="majorBidi"/>
                <w:color w:val="0D0D0D" w:themeColor="text1" w:themeTint="F2"/>
                <w:lang w:val="sq-AL"/>
              </w:rPr>
              <w:t>Viti</w:t>
            </w:r>
            <w:r w:rsidR="00D95692" w:rsidRPr="005208DC">
              <w:rPr>
                <w:rFonts w:asciiTheme="majorBidi" w:hAnsiTheme="majorBidi" w:cstheme="majorBidi"/>
                <w:color w:val="0D0D0D" w:themeColor="text1" w:themeTint="F2"/>
                <w:lang w:val="sq-AL"/>
              </w:rPr>
              <w:t>) 2024</w:t>
            </w:r>
          </w:p>
        </w:tc>
      </w:tr>
      <w:tr w:rsidR="005208DC" w:rsidRPr="005208DC" w14:paraId="15DD48C4" w14:textId="77777777" w:rsidTr="00DB2D75">
        <w:tc>
          <w:tcPr>
            <w:tcW w:w="4248" w:type="dxa"/>
            <w:vAlign w:val="center"/>
          </w:tcPr>
          <w:p w14:paraId="5ACAEEEE" w14:textId="0D8CCE8F" w:rsidR="00DB2D75" w:rsidRPr="005208DC" w:rsidRDefault="00DB2D7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 xml:space="preserve">Numri i mësuesve  të gjuhës angleze të trajnuar </w:t>
            </w:r>
          </w:p>
        </w:tc>
        <w:tc>
          <w:tcPr>
            <w:tcW w:w="1791" w:type="dxa"/>
            <w:vAlign w:val="center"/>
          </w:tcPr>
          <w:p w14:paraId="363D06BD" w14:textId="6DDD0715" w:rsidR="00DB2D75" w:rsidRPr="005208DC" w:rsidRDefault="00DB2D75" w:rsidP="00857902">
            <w:pPr>
              <w:snapToGrid w:val="0"/>
              <w:rPr>
                <w:rFonts w:asciiTheme="majorBidi" w:hAnsiTheme="majorBidi" w:cstheme="majorBidi"/>
                <w:color w:val="0D0D0D" w:themeColor="text1" w:themeTint="F2"/>
                <w:lang w:val="sq-AL"/>
              </w:rPr>
            </w:pPr>
            <w:r w:rsidRPr="005208DC">
              <w:rPr>
                <w:rFonts w:ascii="Times New Roman" w:hAnsi="Times New Roman"/>
                <w:bCs/>
                <w:color w:val="0D0D0D" w:themeColor="text1" w:themeTint="F2"/>
                <w:lang w:val="sq-AL"/>
              </w:rPr>
              <w:t>0</w:t>
            </w:r>
          </w:p>
        </w:tc>
        <w:tc>
          <w:tcPr>
            <w:tcW w:w="1791" w:type="dxa"/>
            <w:vAlign w:val="center"/>
          </w:tcPr>
          <w:p w14:paraId="5E38582D" w14:textId="5365A73D" w:rsidR="00DB2D75" w:rsidRPr="005208DC" w:rsidRDefault="00DB2D7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1000</w:t>
            </w:r>
          </w:p>
        </w:tc>
        <w:tc>
          <w:tcPr>
            <w:tcW w:w="1792" w:type="dxa"/>
            <w:vAlign w:val="center"/>
          </w:tcPr>
          <w:p w14:paraId="329B962F" w14:textId="7DCDBDAD" w:rsidR="00DB2D75" w:rsidRPr="005208DC" w:rsidRDefault="00DB2D75" w:rsidP="00857902">
            <w:pPr>
              <w:snapToGrid w:val="0"/>
              <w:rPr>
                <w:rFonts w:asciiTheme="majorBidi" w:hAnsiTheme="majorBidi" w:cstheme="majorBidi"/>
                <w:color w:val="0D0D0D" w:themeColor="text1" w:themeTint="F2"/>
                <w:lang w:val="sq-AL"/>
              </w:rPr>
            </w:pPr>
            <w:r w:rsidRPr="005208DC">
              <w:rPr>
                <w:rFonts w:ascii="Times New Roman" w:hAnsi="Times New Roman"/>
                <w:bCs/>
                <w:color w:val="0D0D0D" w:themeColor="text1" w:themeTint="F2"/>
                <w:lang w:val="sq-AL"/>
              </w:rPr>
              <w:t>1000</w:t>
            </w:r>
          </w:p>
        </w:tc>
      </w:tr>
      <w:tr w:rsidR="005208DC" w:rsidRPr="005208DC" w14:paraId="219A092A" w14:textId="77777777" w:rsidTr="00DB2D75">
        <w:tc>
          <w:tcPr>
            <w:tcW w:w="4248" w:type="dxa"/>
            <w:vAlign w:val="center"/>
          </w:tcPr>
          <w:p w14:paraId="653D49D0" w14:textId="58F292FA" w:rsidR="00DB2D75" w:rsidRPr="005208DC" w:rsidRDefault="00DB2D7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Harmonizimi i kurrikulës së trajnimit fillestar</w:t>
            </w:r>
          </w:p>
        </w:tc>
        <w:tc>
          <w:tcPr>
            <w:tcW w:w="1791" w:type="dxa"/>
            <w:vAlign w:val="center"/>
          </w:tcPr>
          <w:p w14:paraId="7B459CC1" w14:textId="6CFD67D8" w:rsidR="00DB2D75" w:rsidRPr="005208DC" w:rsidRDefault="00DB2D75" w:rsidP="00857902">
            <w:pPr>
              <w:snapToGrid w:val="0"/>
              <w:rPr>
                <w:rFonts w:asciiTheme="majorBidi" w:hAnsiTheme="majorBidi" w:cstheme="majorBidi"/>
                <w:color w:val="0D0D0D" w:themeColor="text1" w:themeTint="F2"/>
                <w:lang w:val="sq-AL"/>
              </w:rPr>
            </w:pPr>
            <w:r w:rsidRPr="005208DC">
              <w:rPr>
                <w:rFonts w:ascii="Times New Roman" w:eastAsia="Arial Narrow" w:hAnsi="Times New Roman"/>
                <w:color w:val="0D0D0D" w:themeColor="text1" w:themeTint="F2"/>
                <w:lang w:val="sq-AL"/>
              </w:rPr>
              <w:t>0</w:t>
            </w:r>
          </w:p>
        </w:tc>
        <w:tc>
          <w:tcPr>
            <w:tcW w:w="1791" w:type="dxa"/>
            <w:vAlign w:val="center"/>
          </w:tcPr>
          <w:p w14:paraId="389BA368" w14:textId="5085C04E" w:rsidR="00DB2D75" w:rsidRPr="005208DC" w:rsidRDefault="00DB2D7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70% programe arsimore ne IAL</w:t>
            </w:r>
          </w:p>
        </w:tc>
        <w:tc>
          <w:tcPr>
            <w:tcW w:w="1792" w:type="dxa"/>
            <w:vAlign w:val="center"/>
          </w:tcPr>
          <w:p w14:paraId="45D89A08" w14:textId="362F4D79" w:rsidR="00DB2D75" w:rsidRPr="005208DC" w:rsidRDefault="00DB2D7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100 % programe arsimore ne IAL</w:t>
            </w:r>
          </w:p>
        </w:tc>
      </w:tr>
      <w:tr w:rsidR="005208DC" w:rsidRPr="005208DC" w14:paraId="045963D5" w14:textId="77777777" w:rsidTr="00DB2D75">
        <w:tc>
          <w:tcPr>
            <w:tcW w:w="4248" w:type="dxa"/>
            <w:vAlign w:val="center"/>
          </w:tcPr>
          <w:p w14:paraId="2D5E4515" w14:textId="4FBBEC54" w:rsidR="00DB2D75" w:rsidRPr="005208DC" w:rsidRDefault="00DB2D7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Udhëzues për trajnimin e drejtuesve të rrjeteve profesionale për artet dhe zejet</w:t>
            </w:r>
          </w:p>
        </w:tc>
        <w:tc>
          <w:tcPr>
            <w:tcW w:w="1791" w:type="dxa"/>
            <w:vAlign w:val="center"/>
          </w:tcPr>
          <w:p w14:paraId="148D12A5" w14:textId="77663664" w:rsidR="00DB2D75" w:rsidRPr="005208DC" w:rsidRDefault="00DB2D75" w:rsidP="00857902">
            <w:pPr>
              <w:snapToGrid w:val="0"/>
              <w:rPr>
                <w:rFonts w:asciiTheme="majorBidi" w:hAnsiTheme="majorBidi" w:cstheme="majorBidi"/>
                <w:color w:val="0D0D0D" w:themeColor="text1" w:themeTint="F2"/>
                <w:lang w:val="sq-AL"/>
              </w:rPr>
            </w:pPr>
            <w:r w:rsidRPr="005208DC">
              <w:rPr>
                <w:rFonts w:ascii="Times New Roman" w:eastAsia="Arial Narrow" w:hAnsi="Times New Roman"/>
                <w:color w:val="0D0D0D" w:themeColor="text1" w:themeTint="F2"/>
                <w:lang w:val="sq-AL"/>
              </w:rPr>
              <w:t>0</w:t>
            </w:r>
          </w:p>
        </w:tc>
        <w:tc>
          <w:tcPr>
            <w:tcW w:w="1791" w:type="dxa"/>
            <w:vAlign w:val="center"/>
          </w:tcPr>
          <w:p w14:paraId="0310F985" w14:textId="27419F67" w:rsidR="00DB2D75" w:rsidRPr="005208DC" w:rsidRDefault="00DB2D7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700</w:t>
            </w:r>
          </w:p>
        </w:tc>
        <w:tc>
          <w:tcPr>
            <w:tcW w:w="1792" w:type="dxa"/>
            <w:vAlign w:val="center"/>
          </w:tcPr>
          <w:p w14:paraId="3D4111EC" w14:textId="1B8CFCAD" w:rsidR="00DB2D75" w:rsidRPr="005208DC" w:rsidRDefault="00DB2D7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1200</w:t>
            </w:r>
          </w:p>
        </w:tc>
      </w:tr>
    </w:tbl>
    <w:p w14:paraId="27BC2372" w14:textId="77777777" w:rsidR="00D95692" w:rsidRPr="005208DC" w:rsidRDefault="00D95692" w:rsidP="00857902">
      <w:pPr>
        <w:snapToGrid w:val="0"/>
        <w:rPr>
          <w:rFonts w:asciiTheme="majorBidi" w:hAnsiTheme="majorBidi" w:cstheme="majorBidi"/>
          <w:color w:val="0D0D0D" w:themeColor="text1" w:themeTint="F2"/>
          <w:lang w:val="sq-AL"/>
        </w:rPr>
      </w:pPr>
    </w:p>
    <w:p w14:paraId="7C0FB3CD" w14:textId="27505877" w:rsidR="0030742B" w:rsidRPr="005208DC" w:rsidRDefault="00B2062A" w:rsidP="00F957E8">
      <w:pPr>
        <w:pStyle w:val="Heading6"/>
        <w:numPr>
          <w:ilvl w:val="0"/>
          <w:numId w:val="91"/>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konkurrueshmëri</w:t>
      </w:r>
    </w:p>
    <w:p w14:paraId="6FA7DD6F" w14:textId="622E2CC5" w:rsidR="00DB2D75" w:rsidRPr="005208DC" w:rsidRDefault="00DB2D75" w:rsidP="00857902">
      <w:pPr>
        <w:jc w:val="both"/>
        <w:rPr>
          <w:rFonts w:asciiTheme="majorBidi" w:hAnsiTheme="majorBidi" w:cstheme="majorBidi"/>
          <w:color w:val="0D0D0D" w:themeColor="text1" w:themeTint="F2"/>
          <w:lang w:val="sq-AL" w:eastAsia="x-none"/>
        </w:rPr>
      </w:pPr>
      <w:r w:rsidRPr="005208DC">
        <w:rPr>
          <w:rFonts w:asciiTheme="majorBidi" w:hAnsiTheme="majorBidi" w:cstheme="majorBidi"/>
          <w:color w:val="0D0D0D" w:themeColor="text1" w:themeTint="F2"/>
          <w:lang w:val="sq-AL" w:eastAsia="x-none"/>
        </w:rPr>
        <w:t>Në terma afatgjatë - sipas studimeve si studimi i OECD PISA që bëjnë një lidhje midis rezultateve më të mira në aftësitë bazë dhe zhvillimit ekonomik të vendeve - përmirësimi i cilësisë së mësuesve rrit rezultatet në aftësitë bazë, gjë që i mundëson këtij brezi studentësh të përgatiten më mirë për tregun e punës: qoftë si punonjës apo si krijues pune.</w:t>
      </w:r>
    </w:p>
    <w:p w14:paraId="15E6DEB7" w14:textId="77777777" w:rsidR="00DB2D75" w:rsidRPr="005208DC" w:rsidRDefault="00DB2D75" w:rsidP="00857902">
      <w:pPr>
        <w:rPr>
          <w:rFonts w:asciiTheme="majorBidi" w:hAnsiTheme="majorBidi" w:cstheme="majorBidi"/>
          <w:color w:val="0D0D0D" w:themeColor="text1" w:themeTint="F2"/>
          <w:lang w:val="sq-AL" w:eastAsia="x-none"/>
        </w:rPr>
      </w:pPr>
    </w:p>
    <w:p w14:paraId="1C930246" w14:textId="3623CF58" w:rsidR="0030742B" w:rsidRPr="005208DC" w:rsidRDefault="00B2062A" w:rsidP="00F957E8">
      <w:pPr>
        <w:pStyle w:val="Heading6"/>
        <w:numPr>
          <w:ilvl w:val="0"/>
          <w:numId w:val="91"/>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Kosto e parashikuar e aktiviteteve dhe burimi i financimit</w:t>
      </w:r>
    </w:p>
    <w:tbl>
      <w:tblPr>
        <w:tblStyle w:val="TableGrid1"/>
        <w:tblW w:w="9701" w:type="dxa"/>
        <w:tblLayout w:type="fixed"/>
        <w:tblLook w:val="04A0" w:firstRow="1" w:lastRow="0" w:firstColumn="1" w:lastColumn="0" w:noHBand="0" w:noVBand="1"/>
      </w:tblPr>
      <w:tblGrid>
        <w:gridCol w:w="988"/>
        <w:gridCol w:w="6197"/>
        <w:gridCol w:w="1180"/>
        <w:gridCol w:w="1336"/>
      </w:tblGrid>
      <w:tr w:rsidR="005208DC" w:rsidRPr="005208DC" w14:paraId="4F922605" w14:textId="77777777" w:rsidTr="00DB2D75">
        <w:trPr>
          <w:trHeight w:val="330"/>
        </w:trPr>
        <w:tc>
          <w:tcPr>
            <w:tcW w:w="988" w:type="dxa"/>
            <w:hideMark/>
          </w:tcPr>
          <w:p w14:paraId="32291007" w14:textId="77777777" w:rsidR="00DB2D75" w:rsidRPr="005208DC" w:rsidRDefault="00DB2D75" w:rsidP="00857902">
            <w:pPr>
              <w:jc w:val="both"/>
              <w:rPr>
                <w:rFonts w:ascii="Times New Roman" w:hAnsi="Times New Roman" w:cs="Times New Roman"/>
                <w:b/>
                <w:bCs/>
                <w:color w:val="0D0D0D" w:themeColor="text1" w:themeTint="F2"/>
                <w:lang w:val="sq-AL"/>
              </w:rPr>
            </w:pPr>
            <w:r w:rsidRPr="005208DC">
              <w:rPr>
                <w:rFonts w:ascii="Times New Roman" w:hAnsi="Times New Roman" w:cs="Times New Roman"/>
                <w:b/>
                <w:bCs/>
                <w:color w:val="0D0D0D" w:themeColor="text1" w:themeTint="F2"/>
                <w:lang w:val="sq-AL"/>
              </w:rPr>
              <w:t>Viti</w:t>
            </w:r>
          </w:p>
        </w:tc>
        <w:tc>
          <w:tcPr>
            <w:tcW w:w="6197" w:type="dxa"/>
            <w:hideMark/>
          </w:tcPr>
          <w:p w14:paraId="6C58AE70" w14:textId="77777777" w:rsidR="00DB2D75" w:rsidRPr="005208DC" w:rsidRDefault="00DB2D75" w:rsidP="00857902">
            <w:pPr>
              <w:jc w:val="both"/>
              <w:rPr>
                <w:rFonts w:ascii="Times New Roman" w:hAnsi="Times New Roman" w:cs="Times New Roman"/>
                <w:b/>
                <w:bCs/>
                <w:color w:val="0D0D0D" w:themeColor="text1" w:themeTint="F2"/>
                <w:lang w:val="sq-AL"/>
              </w:rPr>
            </w:pPr>
            <w:r w:rsidRPr="005208DC">
              <w:rPr>
                <w:rFonts w:ascii="Times New Roman" w:hAnsi="Times New Roman" w:cs="Times New Roman"/>
                <w:b/>
                <w:bCs/>
                <w:color w:val="0D0D0D" w:themeColor="text1" w:themeTint="F2"/>
                <w:lang w:val="sq-AL"/>
              </w:rPr>
              <w:t>Aktiviteti</w:t>
            </w:r>
          </w:p>
        </w:tc>
        <w:tc>
          <w:tcPr>
            <w:tcW w:w="1180" w:type="dxa"/>
            <w:hideMark/>
          </w:tcPr>
          <w:p w14:paraId="2128ECFC" w14:textId="77777777" w:rsidR="00DB2D75" w:rsidRPr="005208DC" w:rsidRDefault="00DB2D75" w:rsidP="00857902">
            <w:pPr>
              <w:rPr>
                <w:rFonts w:ascii="Times New Roman" w:hAnsi="Times New Roman" w:cs="Times New Roman"/>
                <w:b/>
                <w:bCs/>
                <w:color w:val="0D0D0D" w:themeColor="text1" w:themeTint="F2"/>
                <w:lang w:val="sq-AL"/>
              </w:rPr>
            </w:pPr>
            <w:r w:rsidRPr="005208DC">
              <w:rPr>
                <w:rFonts w:ascii="Times New Roman" w:hAnsi="Times New Roman" w:cs="Times New Roman"/>
                <w:b/>
                <w:bCs/>
                <w:color w:val="0D0D0D" w:themeColor="text1" w:themeTint="F2"/>
                <w:lang w:val="sq-AL"/>
              </w:rPr>
              <w:t>Kostoja e vlerësuar</w:t>
            </w:r>
          </w:p>
        </w:tc>
        <w:tc>
          <w:tcPr>
            <w:tcW w:w="1336" w:type="dxa"/>
            <w:hideMark/>
          </w:tcPr>
          <w:p w14:paraId="3A184169" w14:textId="77777777" w:rsidR="00DB2D75" w:rsidRPr="005208DC" w:rsidRDefault="00DB2D75" w:rsidP="00857902">
            <w:pPr>
              <w:rPr>
                <w:rFonts w:ascii="Times New Roman" w:hAnsi="Times New Roman" w:cs="Times New Roman"/>
                <w:b/>
                <w:bCs/>
                <w:color w:val="0D0D0D" w:themeColor="text1" w:themeTint="F2"/>
                <w:lang w:val="sq-AL"/>
              </w:rPr>
            </w:pPr>
            <w:r w:rsidRPr="005208DC">
              <w:rPr>
                <w:rFonts w:ascii="Times New Roman" w:hAnsi="Times New Roman" w:cs="Times New Roman"/>
                <w:b/>
                <w:bCs/>
                <w:color w:val="0D0D0D" w:themeColor="text1" w:themeTint="F2"/>
                <w:lang w:val="sq-AL"/>
              </w:rPr>
              <w:t>Burimi i financimit</w:t>
            </w:r>
          </w:p>
        </w:tc>
      </w:tr>
      <w:tr w:rsidR="005208DC" w:rsidRPr="005208DC" w14:paraId="54DA9265" w14:textId="77777777" w:rsidTr="00DB2D75">
        <w:trPr>
          <w:trHeight w:val="665"/>
        </w:trPr>
        <w:tc>
          <w:tcPr>
            <w:tcW w:w="988" w:type="dxa"/>
            <w:vMerge w:val="restart"/>
            <w:hideMark/>
          </w:tcPr>
          <w:p w14:paraId="066B185A" w14:textId="0EFDEE2F" w:rsidR="00DB2D75" w:rsidRPr="005208DC" w:rsidRDefault="00DB2D75" w:rsidP="00857902">
            <w:pPr>
              <w:jc w:val="both"/>
              <w:rPr>
                <w:rFonts w:ascii="Times New Roman" w:hAnsi="Times New Roman" w:cs="Times New Roman"/>
                <w:b/>
                <w:bCs/>
                <w:color w:val="0D0D0D" w:themeColor="text1" w:themeTint="F2"/>
                <w:lang w:val="sq-AL"/>
              </w:rPr>
            </w:pPr>
            <w:r w:rsidRPr="005208DC">
              <w:rPr>
                <w:rFonts w:ascii="Times New Roman" w:hAnsi="Times New Roman" w:cs="Times New Roman"/>
                <w:b/>
                <w:bCs/>
                <w:color w:val="0D0D0D" w:themeColor="text1" w:themeTint="F2"/>
                <w:lang w:val="sq-AL"/>
              </w:rPr>
              <w:t>2022</w:t>
            </w:r>
          </w:p>
        </w:tc>
        <w:tc>
          <w:tcPr>
            <w:tcW w:w="6197" w:type="dxa"/>
            <w:hideMark/>
          </w:tcPr>
          <w:p w14:paraId="5591FAE8" w14:textId="77777777" w:rsidR="00DB2D75" w:rsidRPr="005208DC" w:rsidRDefault="00DB2D75"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Përfshirja e gjuhës angleze në klasën e parë (tekste për nxënësit e klasës së parë 2022)</w:t>
            </w:r>
          </w:p>
        </w:tc>
        <w:tc>
          <w:tcPr>
            <w:tcW w:w="1180" w:type="dxa"/>
          </w:tcPr>
          <w:p w14:paraId="5C536851" w14:textId="77777777" w:rsidR="00DB2D75" w:rsidRPr="005208DC" w:rsidRDefault="00DB2D75" w:rsidP="00857902">
            <w:pPr>
              <w:jc w:val="both"/>
              <w:rPr>
                <w:rFonts w:ascii="Times New Roman" w:hAnsi="Times New Roman" w:cs="Times New Roman"/>
                <w:color w:val="0D0D0D" w:themeColor="text1" w:themeTint="F2"/>
                <w:lang w:val="sq-AL"/>
              </w:rPr>
            </w:pPr>
          </w:p>
        </w:tc>
        <w:tc>
          <w:tcPr>
            <w:tcW w:w="1336" w:type="dxa"/>
          </w:tcPr>
          <w:p w14:paraId="06D5D860"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PBA 2022-2024</w:t>
            </w:r>
          </w:p>
        </w:tc>
      </w:tr>
      <w:tr w:rsidR="005208DC" w:rsidRPr="005208DC" w14:paraId="4CF9F359" w14:textId="77777777" w:rsidTr="00DB2D75">
        <w:trPr>
          <w:trHeight w:val="702"/>
        </w:trPr>
        <w:tc>
          <w:tcPr>
            <w:tcW w:w="988" w:type="dxa"/>
            <w:vMerge/>
          </w:tcPr>
          <w:p w14:paraId="602F1D62" w14:textId="77777777" w:rsidR="00DB2D75" w:rsidRPr="005208DC" w:rsidRDefault="00DB2D75" w:rsidP="00857902">
            <w:pPr>
              <w:jc w:val="both"/>
              <w:rPr>
                <w:rFonts w:ascii="Times New Roman" w:hAnsi="Times New Roman" w:cs="Times New Roman"/>
                <w:b/>
                <w:bCs/>
                <w:color w:val="0D0D0D" w:themeColor="text1" w:themeTint="F2"/>
                <w:lang w:val="sq-AL"/>
              </w:rPr>
            </w:pPr>
          </w:p>
        </w:tc>
        <w:tc>
          <w:tcPr>
            <w:tcW w:w="6197" w:type="dxa"/>
          </w:tcPr>
          <w:p w14:paraId="0A8719A3" w14:textId="77777777" w:rsidR="00DB2D75" w:rsidRPr="005208DC" w:rsidRDefault="00DB2D75"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Hartimi i moduleve të trajnimit për "Mësimi i gjuhës angleze që në klasën e parë të arsimit bazë"</w:t>
            </w:r>
          </w:p>
        </w:tc>
        <w:tc>
          <w:tcPr>
            <w:tcW w:w="1180" w:type="dxa"/>
          </w:tcPr>
          <w:p w14:paraId="7BEF3E4E" w14:textId="77777777" w:rsidR="00DB2D75" w:rsidRPr="005208DC" w:rsidRDefault="00DB2D75"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700 Euro</w:t>
            </w:r>
          </w:p>
        </w:tc>
        <w:tc>
          <w:tcPr>
            <w:tcW w:w="1336" w:type="dxa"/>
          </w:tcPr>
          <w:p w14:paraId="24362A1A"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081224FE" w14:textId="77777777" w:rsidTr="00DB2D75">
        <w:trPr>
          <w:trHeight w:val="702"/>
        </w:trPr>
        <w:tc>
          <w:tcPr>
            <w:tcW w:w="988" w:type="dxa"/>
            <w:vMerge/>
            <w:hideMark/>
          </w:tcPr>
          <w:p w14:paraId="2BF9773F" w14:textId="77777777" w:rsidR="00DB2D75" w:rsidRPr="005208DC" w:rsidRDefault="00DB2D75" w:rsidP="00857902">
            <w:pPr>
              <w:jc w:val="both"/>
              <w:rPr>
                <w:rFonts w:ascii="Times New Roman" w:hAnsi="Times New Roman" w:cs="Times New Roman"/>
                <w:b/>
                <w:bCs/>
                <w:color w:val="0D0D0D" w:themeColor="text1" w:themeTint="F2"/>
                <w:lang w:val="sq-AL"/>
              </w:rPr>
            </w:pPr>
          </w:p>
        </w:tc>
        <w:tc>
          <w:tcPr>
            <w:tcW w:w="6197" w:type="dxa"/>
            <w:hideMark/>
          </w:tcPr>
          <w:p w14:paraId="1C608488" w14:textId="77777777" w:rsidR="00DB2D75" w:rsidRPr="005208DC" w:rsidRDefault="00DB2D75"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Trajnimi i 1000 mësuesve të klasës së parë dhe monitorimi i vazhdimësisë së punës për zbatimin e programit të gjuhës angleze.</w:t>
            </w:r>
          </w:p>
        </w:tc>
        <w:tc>
          <w:tcPr>
            <w:tcW w:w="1180" w:type="dxa"/>
          </w:tcPr>
          <w:p w14:paraId="3DC90450"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12 000 Euro</w:t>
            </w:r>
          </w:p>
        </w:tc>
        <w:tc>
          <w:tcPr>
            <w:tcW w:w="1336" w:type="dxa"/>
          </w:tcPr>
          <w:p w14:paraId="63B73FA9"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356F71A3" w14:textId="77777777" w:rsidTr="00DB2D75">
        <w:trPr>
          <w:trHeight w:val="786"/>
        </w:trPr>
        <w:tc>
          <w:tcPr>
            <w:tcW w:w="988" w:type="dxa"/>
            <w:vMerge/>
          </w:tcPr>
          <w:p w14:paraId="3B21DBA5" w14:textId="77777777" w:rsidR="00DB2D75" w:rsidRPr="005208DC" w:rsidRDefault="00DB2D75" w:rsidP="00857902">
            <w:pPr>
              <w:jc w:val="both"/>
              <w:rPr>
                <w:rFonts w:ascii="Times New Roman" w:hAnsi="Times New Roman" w:cs="Times New Roman"/>
                <w:b/>
                <w:bCs/>
                <w:color w:val="0D0D0D" w:themeColor="text1" w:themeTint="F2"/>
                <w:lang w:val="sq-AL"/>
              </w:rPr>
            </w:pPr>
          </w:p>
        </w:tc>
        <w:tc>
          <w:tcPr>
            <w:tcW w:w="6197" w:type="dxa"/>
          </w:tcPr>
          <w:p w14:paraId="1CF42BB3" w14:textId="77777777" w:rsidR="00DB2D75" w:rsidRPr="005208DC" w:rsidRDefault="00DB2D75"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Harmonizimi i kurrikulave të trajnimit fillestar të programeve të arsimit të lartë për arsimin bazuar në kërkesat e Ligjit për Arsimin e Lartë si dhe me kurrikulën e ofruar në arsimin parauniversitar.</w:t>
            </w:r>
          </w:p>
        </w:tc>
        <w:tc>
          <w:tcPr>
            <w:tcW w:w="1180" w:type="dxa"/>
          </w:tcPr>
          <w:p w14:paraId="5E3D34F0"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ASCAL</w:t>
            </w:r>
          </w:p>
        </w:tc>
        <w:tc>
          <w:tcPr>
            <w:tcW w:w="1336" w:type="dxa"/>
          </w:tcPr>
          <w:p w14:paraId="6D24BCE4"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BE Erasmus +</w:t>
            </w:r>
          </w:p>
        </w:tc>
      </w:tr>
      <w:tr w:rsidR="005208DC" w:rsidRPr="005208DC" w14:paraId="4A450D84" w14:textId="77777777" w:rsidTr="00DB2D75">
        <w:trPr>
          <w:trHeight w:val="601"/>
        </w:trPr>
        <w:tc>
          <w:tcPr>
            <w:tcW w:w="988" w:type="dxa"/>
            <w:vMerge/>
            <w:hideMark/>
          </w:tcPr>
          <w:p w14:paraId="0F6748F8" w14:textId="77777777" w:rsidR="00DB2D75" w:rsidRPr="005208DC" w:rsidRDefault="00DB2D75" w:rsidP="00857902">
            <w:pPr>
              <w:jc w:val="both"/>
              <w:rPr>
                <w:rFonts w:ascii="Times New Roman" w:hAnsi="Times New Roman" w:cs="Times New Roman"/>
                <w:b/>
                <w:bCs/>
                <w:color w:val="0D0D0D" w:themeColor="text1" w:themeTint="F2"/>
                <w:lang w:val="sq-AL"/>
              </w:rPr>
            </w:pPr>
          </w:p>
        </w:tc>
        <w:tc>
          <w:tcPr>
            <w:tcW w:w="6197" w:type="dxa"/>
            <w:hideMark/>
          </w:tcPr>
          <w:p w14:paraId="086701E7" w14:textId="77777777" w:rsidR="00DB2D75" w:rsidRPr="005208DC" w:rsidRDefault="00DB2D75"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Zhvillimi i moduleve të trajnimit bazuar në standardet profesionale të mësuesit dhe në koherencë me kurrikulën e re.</w:t>
            </w:r>
          </w:p>
        </w:tc>
        <w:tc>
          <w:tcPr>
            <w:tcW w:w="1180" w:type="dxa"/>
            <w:hideMark/>
          </w:tcPr>
          <w:p w14:paraId="72C0AA0C"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35 000 Euro</w:t>
            </w:r>
          </w:p>
        </w:tc>
        <w:tc>
          <w:tcPr>
            <w:tcW w:w="1336" w:type="dxa"/>
            <w:hideMark/>
          </w:tcPr>
          <w:p w14:paraId="644871DD"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17827927" w14:textId="77777777" w:rsidTr="00DB2D75">
        <w:trPr>
          <w:trHeight w:val="529"/>
        </w:trPr>
        <w:tc>
          <w:tcPr>
            <w:tcW w:w="988" w:type="dxa"/>
            <w:vMerge/>
          </w:tcPr>
          <w:p w14:paraId="56245FD0" w14:textId="77777777" w:rsidR="00DB2D75" w:rsidRPr="005208DC" w:rsidRDefault="00DB2D75" w:rsidP="00857902">
            <w:pPr>
              <w:jc w:val="both"/>
              <w:rPr>
                <w:rFonts w:ascii="Times New Roman" w:hAnsi="Times New Roman" w:cs="Times New Roman"/>
                <w:b/>
                <w:bCs/>
                <w:color w:val="0D0D0D" w:themeColor="text1" w:themeTint="F2"/>
                <w:lang w:val="sq-AL"/>
              </w:rPr>
            </w:pPr>
          </w:p>
        </w:tc>
        <w:tc>
          <w:tcPr>
            <w:tcW w:w="6197" w:type="dxa"/>
          </w:tcPr>
          <w:p w14:paraId="4C7C86C1" w14:textId="77777777" w:rsidR="00DB2D75" w:rsidRPr="005208DC" w:rsidRDefault="00DB2D75"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Hartimi i sistemit të karrierës së mësuesit bazuar në vlerësimin e performancës së mësuesve në shkollë.</w:t>
            </w:r>
          </w:p>
        </w:tc>
        <w:tc>
          <w:tcPr>
            <w:tcW w:w="1180" w:type="dxa"/>
          </w:tcPr>
          <w:p w14:paraId="604A6BEF"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3 000 Euro</w:t>
            </w:r>
          </w:p>
        </w:tc>
        <w:tc>
          <w:tcPr>
            <w:tcW w:w="1336" w:type="dxa"/>
          </w:tcPr>
          <w:p w14:paraId="221B9727"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6846B5A6" w14:textId="77777777" w:rsidTr="00DB2D75">
        <w:trPr>
          <w:trHeight w:val="529"/>
        </w:trPr>
        <w:tc>
          <w:tcPr>
            <w:tcW w:w="988" w:type="dxa"/>
            <w:vMerge/>
            <w:hideMark/>
          </w:tcPr>
          <w:p w14:paraId="036E99AC" w14:textId="77777777" w:rsidR="00DB2D75" w:rsidRPr="005208DC" w:rsidRDefault="00DB2D75" w:rsidP="00857902">
            <w:pPr>
              <w:jc w:val="both"/>
              <w:rPr>
                <w:rFonts w:ascii="Times New Roman" w:hAnsi="Times New Roman" w:cs="Times New Roman"/>
                <w:b/>
                <w:bCs/>
                <w:color w:val="0D0D0D" w:themeColor="text1" w:themeTint="F2"/>
                <w:lang w:val="sq-AL"/>
              </w:rPr>
            </w:pPr>
          </w:p>
        </w:tc>
        <w:tc>
          <w:tcPr>
            <w:tcW w:w="6197" w:type="dxa"/>
            <w:hideMark/>
          </w:tcPr>
          <w:p w14:paraId="450A206B" w14:textId="77777777" w:rsidR="00DB2D75" w:rsidRPr="005208DC" w:rsidRDefault="00DB2D75"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Hartimi i një udhëzuesi për zhvillimin e arsimit artizanal në arsimin parauniversitar.</w:t>
            </w:r>
          </w:p>
        </w:tc>
        <w:tc>
          <w:tcPr>
            <w:tcW w:w="1180" w:type="dxa"/>
            <w:hideMark/>
          </w:tcPr>
          <w:p w14:paraId="308A86E8"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3 000 Euro</w:t>
            </w:r>
          </w:p>
        </w:tc>
        <w:tc>
          <w:tcPr>
            <w:tcW w:w="1336" w:type="dxa"/>
            <w:hideMark/>
          </w:tcPr>
          <w:p w14:paraId="4D664A8C" w14:textId="77777777" w:rsidR="00DB2D75" w:rsidRPr="005208DC" w:rsidRDefault="00DB2D75" w:rsidP="00857902">
            <w:pPr>
              <w:rPr>
                <w:rFonts w:ascii="Times New Roman" w:hAnsi="Times New Roman" w:cs="Times New Roman"/>
                <w:b/>
                <w:color w:val="0D0D0D" w:themeColor="text1" w:themeTint="F2"/>
                <w:lang w:val="sq-AL"/>
              </w:rPr>
            </w:pPr>
            <w:r w:rsidRPr="005208DC">
              <w:rPr>
                <w:rFonts w:ascii="Times New Roman" w:hAnsi="Times New Roman" w:cs="Times New Roman"/>
                <w:color w:val="0D0D0D" w:themeColor="text1" w:themeTint="F2"/>
                <w:lang w:val="sq-AL"/>
              </w:rPr>
              <w:t>Buxheti i Shtetit</w:t>
            </w:r>
            <w:r w:rsidRPr="005208DC">
              <w:rPr>
                <w:rFonts w:ascii="Times New Roman" w:hAnsi="Times New Roman" w:cs="Times New Roman"/>
                <w:b/>
                <w:color w:val="0D0D0D" w:themeColor="text1" w:themeTint="F2"/>
                <w:lang w:val="sq-AL"/>
              </w:rPr>
              <w:t xml:space="preserve"> </w:t>
            </w:r>
          </w:p>
        </w:tc>
      </w:tr>
      <w:tr w:rsidR="005208DC" w:rsidRPr="005208DC" w14:paraId="6E574DEB" w14:textId="77777777" w:rsidTr="00DB2D75">
        <w:trPr>
          <w:trHeight w:val="710"/>
        </w:trPr>
        <w:tc>
          <w:tcPr>
            <w:tcW w:w="988" w:type="dxa"/>
            <w:vMerge/>
            <w:hideMark/>
          </w:tcPr>
          <w:p w14:paraId="7BB38482" w14:textId="77777777" w:rsidR="00DB2D75" w:rsidRPr="005208DC" w:rsidRDefault="00DB2D75" w:rsidP="00857902">
            <w:pPr>
              <w:jc w:val="both"/>
              <w:rPr>
                <w:rFonts w:ascii="Times New Roman" w:hAnsi="Times New Roman" w:cs="Times New Roman"/>
                <w:b/>
                <w:bCs/>
                <w:color w:val="0D0D0D" w:themeColor="text1" w:themeTint="F2"/>
                <w:lang w:val="sq-AL"/>
              </w:rPr>
            </w:pPr>
          </w:p>
        </w:tc>
        <w:tc>
          <w:tcPr>
            <w:tcW w:w="6197" w:type="dxa"/>
          </w:tcPr>
          <w:p w14:paraId="30EF5BF3" w14:textId="77777777" w:rsidR="00DB2D75" w:rsidRPr="005208DC" w:rsidRDefault="00DB2D75"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Hartimi dhe miratimi i standardeve të drejtorit të kopshteve.</w:t>
            </w:r>
          </w:p>
        </w:tc>
        <w:tc>
          <w:tcPr>
            <w:tcW w:w="1180" w:type="dxa"/>
          </w:tcPr>
          <w:p w14:paraId="69A74255"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2 000 Euro</w:t>
            </w:r>
          </w:p>
        </w:tc>
        <w:tc>
          <w:tcPr>
            <w:tcW w:w="1336" w:type="dxa"/>
          </w:tcPr>
          <w:p w14:paraId="50A8948A"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448C4794" w14:textId="77777777" w:rsidTr="00DB2D75">
        <w:trPr>
          <w:trHeight w:val="844"/>
        </w:trPr>
        <w:tc>
          <w:tcPr>
            <w:tcW w:w="988" w:type="dxa"/>
            <w:vMerge w:val="restart"/>
          </w:tcPr>
          <w:p w14:paraId="2A63C989" w14:textId="77777777" w:rsidR="00DB2D75" w:rsidRPr="005208DC" w:rsidRDefault="00DB2D75" w:rsidP="00857902">
            <w:pPr>
              <w:jc w:val="both"/>
              <w:rPr>
                <w:rFonts w:ascii="Times New Roman" w:hAnsi="Times New Roman" w:cs="Times New Roman"/>
                <w:b/>
                <w:bCs/>
                <w:color w:val="0D0D0D" w:themeColor="text1" w:themeTint="F2"/>
                <w:lang w:val="sq-AL"/>
              </w:rPr>
            </w:pPr>
            <w:r w:rsidRPr="005208DC">
              <w:rPr>
                <w:rFonts w:ascii="Times New Roman" w:hAnsi="Times New Roman" w:cs="Times New Roman"/>
                <w:b/>
                <w:bCs/>
                <w:color w:val="0D0D0D" w:themeColor="text1" w:themeTint="F2"/>
                <w:lang w:val="sq-AL"/>
              </w:rPr>
              <w:t>2023</w:t>
            </w:r>
          </w:p>
        </w:tc>
        <w:tc>
          <w:tcPr>
            <w:tcW w:w="6197" w:type="dxa"/>
          </w:tcPr>
          <w:p w14:paraId="513764BC" w14:textId="77777777" w:rsidR="00DB2D75" w:rsidRPr="005208DC" w:rsidRDefault="00DB2D75" w:rsidP="00857902">
            <w:pPr>
              <w:jc w:val="both"/>
              <w:rPr>
                <w:rFonts w:ascii="Times New Roman" w:hAnsi="Times New Roman" w:cs="Times New Roman"/>
                <w:color w:val="0D0D0D" w:themeColor="text1" w:themeTint="F2"/>
                <w:lang w:val="sq-AL"/>
              </w:rPr>
            </w:pPr>
            <w:r w:rsidRPr="005208DC">
              <w:rPr>
                <w:rStyle w:val="y2iqfc"/>
                <w:rFonts w:ascii="Times New Roman" w:hAnsi="Times New Roman" w:cs="Times New Roman"/>
                <w:color w:val="0D0D0D" w:themeColor="text1" w:themeTint="F2"/>
                <w:lang w:val="sq-AL"/>
              </w:rPr>
              <w:t>Trajnimi i 1000 mësuesve të klasës së dytë dhe monitorimi i vazhdimësisë së punës për zbatimin e programit të gjuhës angleze.</w:t>
            </w:r>
          </w:p>
        </w:tc>
        <w:tc>
          <w:tcPr>
            <w:tcW w:w="1180" w:type="dxa"/>
          </w:tcPr>
          <w:p w14:paraId="55206393"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15 000 Euro</w:t>
            </w:r>
          </w:p>
        </w:tc>
        <w:tc>
          <w:tcPr>
            <w:tcW w:w="1336" w:type="dxa"/>
          </w:tcPr>
          <w:p w14:paraId="5698F217"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6F9F7B96" w14:textId="77777777" w:rsidTr="00DB2D75">
        <w:trPr>
          <w:trHeight w:val="844"/>
        </w:trPr>
        <w:tc>
          <w:tcPr>
            <w:tcW w:w="988" w:type="dxa"/>
            <w:vMerge/>
          </w:tcPr>
          <w:p w14:paraId="54A2CFD5" w14:textId="77777777" w:rsidR="00DB2D75" w:rsidRPr="005208DC" w:rsidRDefault="00DB2D75" w:rsidP="00857902">
            <w:pPr>
              <w:jc w:val="both"/>
              <w:rPr>
                <w:rFonts w:ascii="Times New Roman" w:hAnsi="Times New Roman" w:cs="Times New Roman"/>
                <w:b/>
                <w:bCs/>
                <w:color w:val="0D0D0D" w:themeColor="text1" w:themeTint="F2"/>
                <w:lang w:val="sq-AL"/>
              </w:rPr>
            </w:pPr>
          </w:p>
        </w:tc>
        <w:tc>
          <w:tcPr>
            <w:tcW w:w="6197" w:type="dxa"/>
          </w:tcPr>
          <w:p w14:paraId="050BFAC5" w14:textId="73892683" w:rsidR="00DB2D75" w:rsidRPr="005208DC" w:rsidRDefault="00DB2D75"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Përfundimi i procesit të harmonizimit të kurrikulave të trajnimit fillestar të mësuesve të IAL-ve bazuar në kërkesat e Ligjit për Arsimin e Lartë si dhe me kurrikulën e ofruar në arsimin parauniversitar.</w:t>
            </w:r>
          </w:p>
        </w:tc>
        <w:tc>
          <w:tcPr>
            <w:tcW w:w="1180" w:type="dxa"/>
          </w:tcPr>
          <w:p w14:paraId="37A0099F"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ASCAL</w:t>
            </w:r>
          </w:p>
        </w:tc>
        <w:tc>
          <w:tcPr>
            <w:tcW w:w="1336" w:type="dxa"/>
          </w:tcPr>
          <w:p w14:paraId="119DD921"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071BF4FA" w14:textId="77777777" w:rsidTr="00DB2D75">
        <w:trPr>
          <w:trHeight w:val="638"/>
        </w:trPr>
        <w:tc>
          <w:tcPr>
            <w:tcW w:w="988" w:type="dxa"/>
            <w:vMerge/>
          </w:tcPr>
          <w:p w14:paraId="545516F6" w14:textId="77777777" w:rsidR="00DB2D75" w:rsidRPr="005208DC" w:rsidRDefault="00DB2D75" w:rsidP="00857902">
            <w:pPr>
              <w:jc w:val="both"/>
              <w:rPr>
                <w:rFonts w:ascii="Times New Roman" w:hAnsi="Times New Roman" w:cs="Times New Roman"/>
                <w:b/>
                <w:bCs/>
                <w:color w:val="0D0D0D" w:themeColor="text1" w:themeTint="F2"/>
                <w:lang w:val="sq-AL"/>
              </w:rPr>
            </w:pPr>
          </w:p>
        </w:tc>
        <w:tc>
          <w:tcPr>
            <w:tcW w:w="6197" w:type="dxa"/>
          </w:tcPr>
          <w:p w14:paraId="5F5EC3BE" w14:textId="77777777" w:rsidR="00DB2D75" w:rsidRPr="005208DC" w:rsidRDefault="00DB2D75"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Diskutimi dhe finalizimi i draftit të karrierës së mësuesit bazuar në vlerësimin e performancës së mësuesit në shkollë.</w:t>
            </w:r>
          </w:p>
        </w:tc>
        <w:tc>
          <w:tcPr>
            <w:tcW w:w="1180" w:type="dxa"/>
          </w:tcPr>
          <w:p w14:paraId="51882AD6"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3 000 Euro</w:t>
            </w:r>
          </w:p>
        </w:tc>
        <w:tc>
          <w:tcPr>
            <w:tcW w:w="1336" w:type="dxa"/>
          </w:tcPr>
          <w:p w14:paraId="6FE03346"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3658C199" w14:textId="77777777" w:rsidTr="00DB2D75">
        <w:trPr>
          <w:trHeight w:val="560"/>
        </w:trPr>
        <w:tc>
          <w:tcPr>
            <w:tcW w:w="988" w:type="dxa"/>
            <w:vMerge/>
            <w:hideMark/>
          </w:tcPr>
          <w:p w14:paraId="5691C7B4" w14:textId="77777777" w:rsidR="00DB2D75" w:rsidRPr="005208DC" w:rsidRDefault="00DB2D75" w:rsidP="00857902">
            <w:pPr>
              <w:jc w:val="both"/>
              <w:rPr>
                <w:rFonts w:ascii="Times New Roman" w:hAnsi="Times New Roman" w:cs="Times New Roman"/>
                <w:b/>
                <w:bCs/>
                <w:color w:val="0D0D0D" w:themeColor="text1" w:themeTint="F2"/>
                <w:lang w:val="sq-AL"/>
              </w:rPr>
            </w:pPr>
          </w:p>
        </w:tc>
        <w:tc>
          <w:tcPr>
            <w:tcW w:w="6197" w:type="dxa"/>
            <w:hideMark/>
          </w:tcPr>
          <w:p w14:paraId="721D3C2A" w14:textId="096FB848" w:rsidR="00DB2D75" w:rsidRPr="005208DC" w:rsidRDefault="00DB2D75"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Forcimi i 300 kapaciteteve njerëzore në sektorët e kurrikulës në nivel të DRAP-ve dhe ZVAP-ve</w:t>
            </w:r>
          </w:p>
        </w:tc>
        <w:tc>
          <w:tcPr>
            <w:tcW w:w="1180" w:type="dxa"/>
          </w:tcPr>
          <w:p w14:paraId="669A113D"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3 600 Euro</w:t>
            </w:r>
          </w:p>
        </w:tc>
        <w:tc>
          <w:tcPr>
            <w:tcW w:w="1336" w:type="dxa"/>
          </w:tcPr>
          <w:p w14:paraId="3F944646"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72EFDE2D" w14:textId="77777777" w:rsidTr="00DB2D75">
        <w:trPr>
          <w:trHeight w:val="558"/>
        </w:trPr>
        <w:tc>
          <w:tcPr>
            <w:tcW w:w="988" w:type="dxa"/>
            <w:vMerge/>
            <w:hideMark/>
          </w:tcPr>
          <w:p w14:paraId="0607E014" w14:textId="77777777" w:rsidR="00DB2D75" w:rsidRPr="005208DC" w:rsidRDefault="00DB2D75" w:rsidP="00857902">
            <w:pPr>
              <w:jc w:val="both"/>
              <w:rPr>
                <w:rFonts w:ascii="Times New Roman" w:hAnsi="Times New Roman" w:cs="Times New Roman"/>
                <w:b/>
                <w:bCs/>
                <w:color w:val="0D0D0D" w:themeColor="text1" w:themeTint="F2"/>
                <w:lang w:val="sq-AL"/>
              </w:rPr>
            </w:pPr>
          </w:p>
        </w:tc>
        <w:tc>
          <w:tcPr>
            <w:tcW w:w="6197" w:type="dxa"/>
          </w:tcPr>
          <w:p w14:paraId="724AA402" w14:textId="1ABE1671" w:rsidR="00DB2D75" w:rsidRPr="005208DC" w:rsidRDefault="00DB2D75"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Trajnimi i 700 drejtuesve të rrjeteve profesionale të arsimit të mesëm të ulët mbi udhëzuesin e zhvillimit të arsimit për Arte dhe Zejtari.</w:t>
            </w:r>
          </w:p>
        </w:tc>
        <w:tc>
          <w:tcPr>
            <w:tcW w:w="1180" w:type="dxa"/>
          </w:tcPr>
          <w:p w14:paraId="3482E606"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8 400 Euro</w:t>
            </w:r>
          </w:p>
        </w:tc>
        <w:tc>
          <w:tcPr>
            <w:tcW w:w="1336" w:type="dxa"/>
          </w:tcPr>
          <w:p w14:paraId="1CBF536B"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348AE8DA" w14:textId="77777777" w:rsidTr="00DB2D75">
        <w:trPr>
          <w:trHeight w:val="694"/>
        </w:trPr>
        <w:tc>
          <w:tcPr>
            <w:tcW w:w="988" w:type="dxa"/>
            <w:vMerge/>
            <w:hideMark/>
          </w:tcPr>
          <w:p w14:paraId="772B47ED" w14:textId="77777777" w:rsidR="00DB2D75" w:rsidRPr="005208DC" w:rsidRDefault="00DB2D75" w:rsidP="00857902">
            <w:pPr>
              <w:jc w:val="both"/>
              <w:rPr>
                <w:rFonts w:ascii="Times New Roman" w:hAnsi="Times New Roman" w:cs="Times New Roman"/>
                <w:b/>
                <w:bCs/>
                <w:color w:val="0D0D0D" w:themeColor="text1" w:themeTint="F2"/>
                <w:lang w:val="sq-AL"/>
              </w:rPr>
            </w:pPr>
          </w:p>
        </w:tc>
        <w:tc>
          <w:tcPr>
            <w:tcW w:w="6197" w:type="dxa"/>
            <w:hideMark/>
          </w:tcPr>
          <w:p w14:paraId="2946764B" w14:textId="1733011B" w:rsidR="00DB2D75" w:rsidRPr="005208DC" w:rsidRDefault="00DB2D75"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Hartimi dhe miratimi i kornizës për vlerësimin e cilësisë së shërbimeve në arsimin parashkollor.</w:t>
            </w:r>
          </w:p>
        </w:tc>
        <w:tc>
          <w:tcPr>
            <w:tcW w:w="1180" w:type="dxa"/>
          </w:tcPr>
          <w:p w14:paraId="0F34F6A9"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2 000 Euro</w:t>
            </w:r>
          </w:p>
        </w:tc>
        <w:tc>
          <w:tcPr>
            <w:tcW w:w="1336" w:type="dxa"/>
          </w:tcPr>
          <w:p w14:paraId="7DE77BF2"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1C34D6D4" w14:textId="77777777" w:rsidTr="00DB2D75">
        <w:trPr>
          <w:trHeight w:val="694"/>
        </w:trPr>
        <w:tc>
          <w:tcPr>
            <w:tcW w:w="988" w:type="dxa"/>
            <w:vMerge w:val="restart"/>
          </w:tcPr>
          <w:p w14:paraId="5013C970" w14:textId="77777777" w:rsidR="00DB2D75" w:rsidRPr="005208DC" w:rsidRDefault="00DB2D75" w:rsidP="00857902">
            <w:pPr>
              <w:jc w:val="both"/>
              <w:rPr>
                <w:rFonts w:ascii="Times New Roman" w:hAnsi="Times New Roman" w:cs="Times New Roman"/>
                <w:b/>
                <w:bCs/>
                <w:color w:val="0D0D0D" w:themeColor="text1" w:themeTint="F2"/>
                <w:lang w:val="sq-AL"/>
              </w:rPr>
            </w:pPr>
            <w:r w:rsidRPr="005208DC">
              <w:rPr>
                <w:rFonts w:ascii="Times New Roman" w:hAnsi="Times New Roman" w:cs="Times New Roman"/>
                <w:b/>
                <w:bCs/>
                <w:color w:val="0D0D0D" w:themeColor="text1" w:themeTint="F2"/>
                <w:lang w:val="sq-AL"/>
              </w:rPr>
              <w:t>2024</w:t>
            </w:r>
          </w:p>
        </w:tc>
        <w:tc>
          <w:tcPr>
            <w:tcW w:w="6197" w:type="dxa"/>
          </w:tcPr>
          <w:p w14:paraId="4D435330" w14:textId="3D5F970F" w:rsidR="00DB2D75" w:rsidRPr="005208DC" w:rsidRDefault="00DB2D75"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Përmirësimi i aftësive të studentëve në gjuhë dhe komunikim, matematikë dhe shkencë</w:t>
            </w:r>
          </w:p>
        </w:tc>
        <w:tc>
          <w:tcPr>
            <w:tcW w:w="1180" w:type="dxa"/>
          </w:tcPr>
          <w:p w14:paraId="2ADB3B0B"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5 000 Euro</w:t>
            </w:r>
          </w:p>
        </w:tc>
        <w:tc>
          <w:tcPr>
            <w:tcW w:w="1336" w:type="dxa"/>
          </w:tcPr>
          <w:p w14:paraId="3774F056"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0A75516D" w14:textId="77777777" w:rsidTr="00DB2D75">
        <w:trPr>
          <w:trHeight w:val="694"/>
        </w:trPr>
        <w:tc>
          <w:tcPr>
            <w:tcW w:w="988" w:type="dxa"/>
            <w:vMerge/>
          </w:tcPr>
          <w:p w14:paraId="322256B6" w14:textId="77777777" w:rsidR="00DB2D75" w:rsidRPr="005208DC" w:rsidRDefault="00DB2D75" w:rsidP="00857902">
            <w:pPr>
              <w:jc w:val="both"/>
              <w:rPr>
                <w:rFonts w:ascii="Times New Roman" w:hAnsi="Times New Roman" w:cs="Times New Roman"/>
                <w:b/>
                <w:bCs/>
                <w:color w:val="0D0D0D" w:themeColor="text1" w:themeTint="F2"/>
                <w:lang w:val="sq-AL"/>
              </w:rPr>
            </w:pPr>
          </w:p>
        </w:tc>
        <w:tc>
          <w:tcPr>
            <w:tcW w:w="6197" w:type="dxa"/>
          </w:tcPr>
          <w:p w14:paraId="4D3438CA" w14:textId="329FF3FA" w:rsidR="00DB2D75" w:rsidRPr="005208DC" w:rsidRDefault="00DB2D75"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Miratimi i sistemit të karrierës së mësuesit bazuar në vlerësimin e performancës së mësuesve në shkollë</w:t>
            </w:r>
          </w:p>
        </w:tc>
        <w:tc>
          <w:tcPr>
            <w:tcW w:w="1180" w:type="dxa"/>
          </w:tcPr>
          <w:p w14:paraId="67737340"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3 000 Euro</w:t>
            </w:r>
          </w:p>
        </w:tc>
        <w:tc>
          <w:tcPr>
            <w:tcW w:w="1336" w:type="dxa"/>
          </w:tcPr>
          <w:p w14:paraId="53193E3B"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38D64410" w14:textId="77777777" w:rsidTr="00DB2D75">
        <w:trPr>
          <w:trHeight w:val="694"/>
        </w:trPr>
        <w:tc>
          <w:tcPr>
            <w:tcW w:w="988" w:type="dxa"/>
            <w:vMerge/>
          </w:tcPr>
          <w:p w14:paraId="51C17CF7" w14:textId="77777777" w:rsidR="00DB2D75" w:rsidRPr="005208DC" w:rsidRDefault="00DB2D75" w:rsidP="00857902">
            <w:pPr>
              <w:jc w:val="both"/>
              <w:rPr>
                <w:rFonts w:ascii="Times New Roman" w:hAnsi="Times New Roman" w:cs="Times New Roman"/>
                <w:b/>
                <w:bCs/>
                <w:color w:val="0D0D0D" w:themeColor="text1" w:themeTint="F2"/>
                <w:lang w:val="sq-AL"/>
              </w:rPr>
            </w:pPr>
          </w:p>
        </w:tc>
        <w:tc>
          <w:tcPr>
            <w:tcW w:w="6197" w:type="dxa"/>
          </w:tcPr>
          <w:p w14:paraId="736156BB" w14:textId="3EA748C8" w:rsidR="00DB2D75" w:rsidRPr="005208DC" w:rsidRDefault="00DB2D75"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Forcimi i kapaciteteve njerëzore në sektorët e kurrikulës në nivel të DRAP-ve dhe ZVAP-ve dhe trajnimi i 500 drejtuesve të rrjetit për udhëzuesin dhe zhvillimin e arsimit për Arte dhe Zeje.</w:t>
            </w:r>
          </w:p>
        </w:tc>
        <w:tc>
          <w:tcPr>
            <w:tcW w:w="1180" w:type="dxa"/>
          </w:tcPr>
          <w:p w14:paraId="7849349F"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6 000 Euro</w:t>
            </w:r>
          </w:p>
        </w:tc>
        <w:tc>
          <w:tcPr>
            <w:tcW w:w="1336" w:type="dxa"/>
          </w:tcPr>
          <w:p w14:paraId="2B74BF29" w14:textId="77777777" w:rsidR="00DB2D75" w:rsidRPr="005208DC" w:rsidRDefault="00DB2D75"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bl>
    <w:p w14:paraId="12751EBE" w14:textId="77777777" w:rsidR="00DB2D75" w:rsidRPr="005208DC" w:rsidRDefault="00DB2D75" w:rsidP="00857902">
      <w:pPr>
        <w:snapToGrid w:val="0"/>
        <w:rPr>
          <w:rFonts w:asciiTheme="majorBidi" w:hAnsiTheme="majorBidi" w:cstheme="majorBidi"/>
          <w:color w:val="0D0D0D" w:themeColor="text1" w:themeTint="F2"/>
          <w:lang w:val="sq-AL"/>
        </w:rPr>
      </w:pPr>
    </w:p>
    <w:p w14:paraId="184AF8DF" w14:textId="77777777" w:rsidR="00DB2D75" w:rsidRPr="005208DC" w:rsidRDefault="00DB2D75"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 Për ASCAP-in, për periudhën 2022-2024 në tabelë janë përfshirë fondet e planifikuara në aktivitetet e detajuara si më sipër: në vitin 2022 janë parashikuar 55,700 euro x123 lekë = 6,851,000 lekë, dhe në vitin 2023 janë parashikuar 32,000 euro x 123 lekë = 3,936,000 lekë.</w:t>
      </w:r>
    </w:p>
    <w:p w14:paraId="0F3A4D6B" w14:textId="77777777" w:rsidR="00DB2D75" w:rsidRPr="005208DC" w:rsidRDefault="00DB2D75"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Aktivitetet e parashikuara për Ministrinë e Arsimit llogariten si më poshtë;</w:t>
      </w:r>
    </w:p>
    <w:p w14:paraId="4AB8C382" w14:textId="77777777" w:rsidR="00DB2D75" w:rsidRPr="005208DC" w:rsidRDefault="00DB2D75"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 Në vitin 2022, fondet e parashikuara për mbulimin e kostove të mësimdhënies, mësimit të anglishtes për nxënësit e klasës së parë për rreth 150-160 staf pedagogjik, si dhe mbulimin e kostos së teksteve shkollore ku pritet të përfitojnë tekste falas rreth 28-30 mijë nxënës me rreth 30 milionë lekë.</w:t>
      </w:r>
    </w:p>
    <w:p w14:paraId="2D313090" w14:textId="77777777" w:rsidR="00DB2D75" w:rsidRPr="005208DC" w:rsidRDefault="00DB2D75"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 Në vitin 2023, fondet e parashikuara për mbulimin e kostove të mësimdhënies, mësimdhënies së anglishtes për nxënësit e klasave të para dhe të dyta për rreth 300-320 staf pedagogjik, si dhe për mbulimin e kostove të teksteve shkollore ku parashikohet të përfitojnë rreth 58-60 mijë nxënës falas me rreth 60 milionë lekë.</w:t>
      </w:r>
    </w:p>
    <w:p w14:paraId="6A98F0F8" w14:textId="5320D216" w:rsidR="00DB2D75" w:rsidRPr="005208DC" w:rsidRDefault="00DB2D7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 Në vitin 2024, fondet e parashikuara për mbulimin e kostove të mësimdhënies, mësimit të gjuhës angleze për nxënësit e klasës së parë, klasës së dytë dhe të tretë për rreth 450-480 personel mësimdhënës, si dhe për mbulimin e kostos së teksteve shkollore ku pritet të përfitojnë tekste falas për rreth 85-90 mijë nxënës me rreth 90 milionë lekë, nxënës përfitues nga klasa e parë deri në klasën e tretë.</w:t>
      </w:r>
    </w:p>
    <w:p w14:paraId="0861501C" w14:textId="77777777" w:rsidR="00DB2D75" w:rsidRPr="005208DC" w:rsidRDefault="00DB2D75" w:rsidP="00857902">
      <w:pPr>
        <w:snapToGrid w:val="0"/>
        <w:rPr>
          <w:rFonts w:asciiTheme="majorBidi" w:hAnsiTheme="majorBidi" w:cstheme="majorBidi"/>
          <w:color w:val="0D0D0D" w:themeColor="text1" w:themeTint="F2"/>
          <w:lang w:val="sq-AL"/>
        </w:rPr>
      </w:pPr>
    </w:p>
    <w:p w14:paraId="579997C5" w14:textId="4571733C" w:rsidR="0030742B" w:rsidRPr="005208DC" w:rsidRDefault="00B2062A" w:rsidP="00F957E8">
      <w:pPr>
        <w:pStyle w:val="Heading6"/>
        <w:numPr>
          <w:ilvl w:val="0"/>
          <w:numId w:val="91"/>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përfundimet sociale si punësimi, ulja e varfërisë, barazia gjinore dhe aksesi në kujdesin shëndetësor</w:t>
      </w:r>
    </w:p>
    <w:p w14:paraId="7E8699B7" w14:textId="5FDD6381" w:rsidR="00DB2D75" w:rsidRPr="005208DC" w:rsidRDefault="00DB2D75"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Masa konsiderohet neutrale ndaj gjinisë. Barazia gjinore do të respektohet gjatë zbatimit të masës së reformës.</w:t>
      </w:r>
    </w:p>
    <w:p w14:paraId="0CC3EB22" w14:textId="77777777" w:rsidR="00DB2D75" w:rsidRPr="005208DC" w:rsidRDefault="00DB2D75" w:rsidP="00857902">
      <w:pPr>
        <w:snapToGrid w:val="0"/>
        <w:rPr>
          <w:rFonts w:asciiTheme="majorBidi" w:hAnsiTheme="majorBidi" w:cstheme="majorBidi"/>
          <w:color w:val="0D0D0D" w:themeColor="text1" w:themeTint="F2"/>
          <w:lang w:val="sq-AL"/>
        </w:rPr>
      </w:pPr>
    </w:p>
    <w:p w14:paraId="47DC0D92" w14:textId="0A282075" w:rsidR="0030742B" w:rsidRPr="005208DC" w:rsidRDefault="00B2062A" w:rsidP="00F957E8">
      <w:pPr>
        <w:pStyle w:val="Heading6"/>
        <w:numPr>
          <w:ilvl w:val="0"/>
          <w:numId w:val="91"/>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mjedis dhe ndryshimi i klimës</w:t>
      </w:r>
    </w:p>
    <w:p w14:paraId="5F6D90F9" w14:textId="0CC06657" w:rsidR="00DB2D75" w:rsidRPr="005208DC" w:rsidRDefault="00DB2D7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Masa e reformës është neutrale për sa i përket ndikimit në mjedis.</w:t>
      </w:r>
    </w:p>
    <w:p w14:paraId="095F8DA2" w14:textId="77777777" w:rsidR="00DB2D75" w:rsidRPr="005208DC" w:rsidRDefault="00DB2D75" w:rsidP="00857902">
      <w:pPr>
        <w:snapToGrid w:val="0"/>
        <w:rPr>
          <w:rFonts w:asciiTheme="majorBidi" w:hAnsiTheme="majorBidi" w:cstheme="majorBidi"/>
          <w:color w:val="0D0D0D" w:themeColor="text1" w:themeTint="F2"/>
          <w:lang w:val="sq-AL"/>
        </w:rPr>
      </w:pPr>
    </w:p>
    <w:p w14:paraId="11E949A4" w14:textId="28402F4A" w:rsidR="0030742B" w:rsidRPr="005208DC" w:rsidRDefault="00B2062A" w:rsidP="00F957E8">
      <w:pPr>
        <w:pStyle w:val="Heading6"/>
        <w:numPr>
          <w:ilvl w:val="0"/>
          <w:numId w:val="91"/>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Rreziqet e mundshme</w:t>
      </w:r>
    </w:p>
    <w:tbl>
      <w:tblPr>
        <w:tblStyle w:val="TableGrid"/>
        <w:tblW w:w="0" w:type="auto"/>
        <w:tblLook w:val="04A0" w:firstRow="1" w:lastRow="0" w:firstColumn="1" w:lastColumn="0" w:noHBand="0" w:noVBand="1"/>
      </w:tblPr>
      <w:tblGrid>
        <w:gridCol w:w="4522"/>
        <w:gridCol w:w="1417"/>
        <w:gridCol w:w="3668"/>
      </w:tblGrid>
      <w:tr w:rsidR="005208DC" w:rsidRPr="005208DC" w14:paraId="6781DF91" w14:textId="77777777" w:rsidTr="002B2B60">
        <w:tc>
          <w:tcPr>
            <w:tcW w:w="4522" w:type="dxa"/>
          </w:tcPr>
          <w:p w14:paraId="3C8A63B4" w14:textId="770EFE48" w:rsidR="004F59F4"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Rreziku</w:t>
            </w:r>
          </w:p>
        </w:tc>
        <w:tc>
          <w:tcPr>
            <w:tcW w:w="1417" w:type="dxa"/>
          </w:tcPr>
          <w:p w14:paraId="241FC270" w14:textId="6763CDB3" w:rsidR="004F59F4"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Mundësia</w:t>
            </w:r>
          </w:p>
        </w:tc>
        <w:tc>
          <w:tcPr>
            <w:tcW w:w="3668" w:type="dxa"/>
          </w:tcPr>
          <w:p w14:paraId="7173188D" w14:textId="230A84A9" w:rsidR="004F59F4"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Veprimi zbutës i parashikuar</w:t>
            </w:r>
          </w:p>
        </w:tc>
      </w:tr>
      <w:tr w:rsidR="005208DC" w:rsidRPr="005208DC" w14:paraId="1EC2F826" w14:textId="77777777" w:rsidTr="002B2B60">
        <w:tc>
          <w:tcPr>
            <w:tcW w:w="4522" w:type="dxa"/>
          </w:tcPr>
          <w:p w14:paraId="7C6AB1BD" w14:textId="46D312D3" w:rsidR="00DB2D75" w:rsidRPr="005208DC" w:rsidRDefault="00DB2D75" w:rsidP="00857902">
            <w:pPr>
              <w:widowControl/>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Bashkëpunim me institucionet e arsimit të lartë për harmonizimin e formimit fillestar</w:t>
            </w:r>
          </w:p>
        </w:tc>
        <w:tc>
          <w:tcPr>
            <w:tcW w:w="1417" w:type="dxa"/>
          </w:tcPr>
          <w:p w14:paraId="2431875D" w14:textId="2A861659" w:rsidR="00DB2D75" w:rsidRPr="005208DC" w:rsidRDefault="00DB2D7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Mesatare</w:t>
            </w:r>
          </w:p>
        </w:tc>
        <w:tc>
          <w:tcPr>
            <w:tcW w:w="3668" w:type="dxa"/>
          </w:tcPr>
          <w:p w14:paraId="1B22BD40" w14:textId="75142B2C" w:rsidR="00DB2D75" w:rsidRPr="005208DC" w:rsidRDefault="00DB2D7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Zbatimi i një plani specifik veprimi me institucionet e IAL-së dhe MAS-it që punojnë për harmonizimin e procesit të programeve mësimore të trajnimit fillestar.</w:t>
            </w:r>
          </w:p>
        </w:tc>
      </w:tr>
      <w:tr w:rsidR="005208DC" w:rsidRPr="005208DC" w14:paraId="78DEC251" w14:textId="77777777" w:rsidTr="002B2B60">
        <w:tc>
          <w:tcPr>
            <w:tcW w:w="4522" w:type="dxa"/>
          </w:tcPr>
          <w:p w14:paraId="38B6909D" w14:textId="21C924D5" w:rsidR="00DB2D75" w:rsidRPr="005208DC" w:rsidRDefault="00DB2D7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Përdorimi i vlerësimit të performancës së mësuesit në shkollë në bazë të karrierës nga drejtuesit e shkollës</w:t>
            </w:r>
          </w:p>
        </w:tc>
        <w:tc>
          <w:tcPr>
            <w:tcW w:w="1417" w:type="dxa"/>
          </w:tcPr>
          <w:p w14:paraId="4ED6A376" w14:textId="3C96BDF2" w:rsidR="00DB2D75" w:rsidRPr="005208DC" w:rsidRDefault="00DB2D7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E ulët</w:t>
            </w:r>
          </w:p>
        </w:tc>
        <w:tc>
          <w:tcPr>
            <w:tcW w:w="3668" w:type="dxa"/>
          </w:tcPr>
          <w:p w14:paraId="1B49CA33" w14:textId="157775CC" w:rsidR="00DB2D75" w:rsidRPr="005208DC" w:rsidRDefault="00DB2D75"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Trajnimi i të gjithë drejtuesve të shkollës</w:t>
            </w:r>
          </w:p>
        </w:tc>
      </w:tr>
      <w:tr w:rsidR="005208DC" w:rsidRPr="005208DC" w14:paraId="11A45C5E" w14:textId="77777777" w:rsidTr="002B2B60">
        <w:tc>
          <w:tcPr>
            <w:tcW w:w="4522" w:type="dxa"/>
          </w:tcPr>
          <w:p w14:paraId="14D19BAF" w14:textId="234CE1A5" w:rsidR="00DB2D75" w:rsidRPr="005208DC" w:rsidRDefault="00DB2D7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Zbatimi i kurrikulës së unifikuar nga ASCAL në fakultetet e arsimit</w:t>
            </w:r>
          </w:p>
        </w:tc>
        <w:tc>
          <w:tcPr>
            <w:tcW w:w="1417" w:type="dxa"/>
          </w:tcPr>
          <w:p w14:paraId="484E3E99" w14:textId="57792FF6" w:rsidR="00DB2D75" w:rsidRPr="005208DC" w:rsidRDefault="00DB2D7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Mesatare</w:t>
            </w:r>
          </w:p>
        </w:tc>
        <w:tc>
          <w:tcPr>
            <w:tcW w:w="3668" w:type="dxa"/>
          </w:tcPr>
          <w:p w14:paraId="7CC44BFE" w14:textId="5F31D2F9" w:rsidR="00DB2D75" w:rsidRPr="005208DC" w:rsidRDefault="00DB2D75"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Akreditimi i programeve të rishikuara të mësimdhënies</w:t>
            </w:r>
          </w:p>
        </w:tc>
      </w:tr>
    </w:tbl>
    <w:p w14:paraId="6F376E2B" w14:textId="77777777" w:rsidR="004F59F4" w:rsidRPr="005208DC" w:rsidRDefault="004F59F4" w:rsidP="00857902">
      <w:pPr>
        <w:snapToGrid w:val="0"/>
        <w:rPr>
          <w:rFonts w:asciiTheme="majorBidi" w:hAnsiTheme="majorBidi" w:cstheme="majorBidi"/>
          <w:color w:val="0D0D0D" w:themeColor="text1" w:themeTint="F2"/>
          <w:lang w:val="sq-AL"/>
        </w:rPr>
      </w:pPr>
    </w:p>
    <w:p w14:paraId="19A1C7E5" w14:textId="77777777" w:rsidR="00F30712" w:rsidRPr="005208DC" w:rsidRDefault="00F30712" w:rsidP="00857902">
      <w:pPr>
        <w:snapToGrid w:val="0"/>
        <w:rPr>
          <w:rFonts w:asciiTheme="majorBidi" w:hAnsiTheme="majorBidi" w:cstheme="majorBidi"/>
          <w:color w:val="0D0D0D" w:themeColor="text1" w:themeTint="F2"/>
          <w:lang w:val="sq-AL"/>
        </w:rPr>
      </w:pPr>
    </w:p>
    <w:p w14:paraId="41E894EC" w14:textId="0CBD4087" w:rsidR="0030742B" w:rsidRPr="005208DC" w:rsidRDefault="00B2062A" w:rsidP="00857902">
      <w:pPr>
        <w:pStyle w:val="Heading5"/>
        <w:snapToGrid w:val="0"/>
        <w:ind w:left="0"/>
        <w:rPr>
          <w:rFonts w:asciiTheme="majorBidi" w:hAnsiTheme="majorBidi" w:cstheme="majorBidi"/>
          <w:i w:val="0"/>
          <w:color w:val="0D0D0D" w:themeColor="text1" w:themeTint="F2"/>
          <w:sz w:val="24"/>
          <w:szCs w:val="24"/>
          <w:lang w:val="sq-AL"/>
        </w:rPr>
      </w:pPr>
      <w:r w:rsidRPr="005208DC">
        <w:rPr>
          <w:rFonts w:asciiTheme="majorBidi" w:hAnsiTheme="majorBidi" w:cstheme="majorBidi"/>
          <w:i w:val="0"/>
          <w:color w:val="0D0D0D" w:themeColor="text1" w:themeTint="F2"/>
          <w:sz w:val="24"/>
          <w:szCs w:val="24"/>
          <w:lang w:val="sq-AL"/>
        </w:rPr>
        <w:t>Masa e reformës</w:t>
      </w:r>
      <w:r w:rsidR="009D3B25" w:rsidRPr="005208DC">
        <w:rPr>
          <w:rFonts w:asciiTheme="majorBidi" w:hAnsiTheme="majorBidi" w:cstheme="majorBidi"/>
          <w:i w:val="0"/>
          <w:color w:val="0D0D0D" w:themeColor="text1" w:themeTint="F2"/>
          <w:sz w:val="24"/>
          <w:szCs w:val="24"/>
          <w:lang w:val="sq-AL"/>
        </w:rPr>
        <w:t xml:space="preserve"> </w:t>
      </w:r>
      <w:r w:rsidR="005358F8" w:rsidRPr="005208DC">
        <w:rPr>
          <w:rFonts w:asciiTheme="majorBidi" w:hAnsiTheme="majorBidi" w:cstheme="majorBidi"/>
          <w:i w:val="0"/>
          <w:color w:val="0D0D0D" w:themeColor="text1" w:themeTint="F2"/>
          <w:sz w:val="24"/>
          <w:szCs w:val="24"/>
          <w:lang w:val="sq-AL"/>
        </w:rPr>
        <w:t>18</w:t>
      </w:r>
      <w:r w:rsidR="0030742B" w:rsidRPr="005208DC">
        <w:rPr>
          <w:rFonts w:asciiTheme="majorBidi" w:hAnsiTheme="majorBidi" w:cstheme="majorBidi"/>
          <w:i w:val="0"/>
          <w:color w:val="0D0D0D" w:themeColor="text1" w:themeTint="F2"/>
          <w:sz w:val="24"/>
          <w:szCs w:val="24"/>
          <w:lang w:val="sq-AL"/>
        </w:rPr>
        <w:t>:</w:t>
      </w:r>
      <w:r w:rsidR="00F30712" w:rsidRPr="005208DC">
        <w:rPr>
          <w:rFonts w:asciiTheme="majorBidi" w:hAnsiTheme="majorBidi" w:cstheme="majorBidi"/>
          <w:i w:val="0"/>
          <w:color w:val="0D0D0D" w:themeColor="text1" w:themeTint="F2"/>
          <w:sz w:val="24"/>
          <w:szCs w:val="24"/>
          <w:lang w:val="sq-AL"/>
        </w:rPr>
        <w:t xml:space="preserve"> </w:t>
      </w:r>
      <w:r w:rsidR="00DB2D75" w:rsidRPr="005208DC">
        <w:rPr>
          <w:rFonts w:asciiTheme="majorBidi" w:hAnsiTheme="majorBidi" w:cstheme="majorBidi"/>
          <w:i w:val="0"/>
          <w:color w:val="0D0D0D" w:themeColor="text1" w:themeTint="F2"/>
          <w:sz w:val="24"/>
          <w:szCs w:val="24"/>
          <w:lang w:val="sq-AL"/>
        </w:rPr>
        <w:t>Gjithë përfshirja dhe barazia në arsim</w:t>
      </w:r>
    </w:p>
    <w:p w14:paraId="12A5F68E" w14:textId="41E8B82C" w:rsidR="0030742B" w:rsidRPr="005208DC" w:rsidRDefault="00B2062A" w:rsidP="00F957E8">
      <w:pPr>
        <w:pStyle w:val="Heading6"/>
        <w:numPr>
          <w:ilvl w:val="0"/>
          <w:numId w:val="96"/>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Përshkrimi i masës</w:t>
      </w:r>
    </w:p>
    <w:p w14:paraId="60E0F4B4" w14:textId="77777777" w:rsidR="00DB2D75" w:rsidRPr="005208DC" w:rsidRDefault="00DB2D75"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Masa e reformës synon të sigurojë arsim gjithëpërfshirës duke rritur më tej numrin e mësuesve mbështetës për fëmijët me aftësi të kufizuara në shkollat ​​publike të zakonshme dhe duke reduktuar më tej numrin e nxënësve që ndjekin klasa të larta dhe me cilësi të ulët. Janë bërë përpjekje për organizimin dhe trajnimin e mësuesve ndihmës në rrjetet profesionale.</w:t>
      </w:r>
    </w:p>
    <w:p w14:paraId="3118840B" w14:textId="507629C7" w:rsidR="00DB2D75" w:rsidRPr="005208DC" w:rsidRDefault="00DB2D75"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Gjithëpërfshirja ka qenë fokusi i politikave arsimore në Shqipëri në dekadën e fundit, duke synuar rritjen e pjesëmarrjes në edukimin e fëmijërisë së hershme, si dhe pjesëmarrjen në edukimin e fëmijëve nga grupet vulnerabël. Mësimi në klasa të përbashkëta zhvillohet në zona rurale dhe të thella. Për vite me radhë, MAS ka ndjekur një politikë të mbylljes së klasave kolektive, duke bashkuar shkollat e vogla për të zhvendosur nxënësit nga ato klasa në shkollat ku mësimi zhvillohet në klasa të veçanta, më të mëdha dhe duke siguruar transport për këta nxënës. Kjo ndërhyrje ka siguruar ofrimin e një arsimi më cilësor për nxënësit e zonave rurale. Aktualisht, çdo fëmijë që jeton mbi 2 km nga shkolla më e afërt ka transport falas. Parashikohet një rritje prej +50% e çmimit të rimbursimit të transportit të nxënësve.</w:t>
      </w:r>
    </w:p>
    <w:p w14:paraId="148E6DFE" w14:textId="21B5AC19" w:rsidR="00DB2D75" w:rsidRPr="005208DC" w:rsidRDefault="00DB2D75"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Nga viti në vit është rritur numri i fëmijëve që kanë përfituar nga programi i teksteve falas. Në vitin shkollor 2021-2022 studentët që ndjekin arsimin bazë në institucionet arsimore publike nga klasa e parë deri në klasën e 9-të përfshihen në politikën e “teksteve falas”. Sipas vendimit nr. 486, datë 17.06.2020 janë edhe 18 kategori që përfitojnë tekste falas në shkollat e mesme: nxënës që në arsimin bazë i përkasin kategorisë së pakicave kombëtare, ata që kanë marrë statusin e jetimit, nxënësit që vijnë nga familje që trajtohen me ndihmë ekonomike, asistencë dhe përfitime papunësie nga zyrat e punësimit, studentë me aftësi të kufizuara, studentë të pranuar në Shërbimin Onkologjik, studentë që i përkasin minoriteteve rome dhe egjiptiane etj.</w:t>
      </w:r>
    </w:p>
    <w:p w14:paraId="6BB8B6D5" w14:textId="26683A6D" w:rsidR="00DB2D75" w:rsidRPr="005208DC" w:rsidRDefault="00DB2D75" w:rsidP="00857902">
      <w:pPr>
        <w:snapToGrid w:val="0"/>
        <w:jc w:val="both"/>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MAS po planifikon transformimin e shkollave/instituteve speciale në qendra burimore që mbështesin edukimin e fëmijëve me aftësi të kufizuara dhe integrimin e tyre social. Shndërrimi i një shkolle/institucioni të arsimit special në qendër burimore është një proces që kalon në disa faza duke adresuar ndryshimet në strukturë, menaxhim, personel mësimor dhe të specializuar, kurrikulë, infrastrukturë etj. Kjo masë lidhet me Kriteret Ekonomike, për të qenë konkurrues në BE e cila kërkon një sasi të mjaftueshme të kapitalit njerëzor, arsim, kërkim, inovacion dhe zhvillime të ardhshme në këtë fushë.</w:t>
      </w:r>
    </w:p>
    <w:p w14:paraId="284B03E3" w14:textId="77777777" w:rsidR="00DB2D75" w:rsidRPr="005208DC" w:rsidRDefault="00DB2D75" w:rsidP="00857902">
      <w:pPr>
        <w:snapToGrid w:val="0"/>
        <w:rPr>
          <w:rFonts w:asciiTheme="majorBidi" w:hAnsiTheme="majorBidi" w:cstheme="majorBidi"/>
          <w:color w:val="0D0D0D" w:themeColor="text1" w:themeTint="F2"/>
          <w:lang w:val="sq-AL"/>
        </w:rPr>
      </w:pPr>
    </w:p>
    <w:p w14:paraId="3A21E39E" w14:textId="2A723977" w:rsidR="0030742B" w:rsidRPr="005208DC" w:rsidRDefault="00B2062A" w:rsidP="00F957E8">
      <w:pPr>
        <w:pStyle w:val="ListParagraph"/>
        <w:numPr>
          <w:ilvl w:val="0"/>
          <w:numId w:val="97"/>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30742B" w:rsidRPr="005208DC">
        <w:rPr>
          <w:rFonts w:asciiTheme="majorBidi" w:hAnsiTheme="majorBidi" w:cstheme="majorBidi"/>
          <w:b/>
          <w:color w:val="0D0D0D" w:themeColor="text1" w:themeTint="F2"/>
          <w:sz w:val="24"/>
          <w:szCs w:val="24"/>
          <w:lang w:val="sq-AL"/>
        </w:rPr>
        <w:t xml:space="preserve"> 2022</w:t>
      </w:r>
    </w:p>
    <w:p w14:paraId="44407BFB" w14:textId="77777777" w:rsidR="002C526F" w:rsidRPr="005208DC" w:rsidRDefault="002C526F" w:rsidP="00F957E8">
      <w:pPr>
        <w:pStyle w:val="ListParagraph"/>
        <w:widowControl/>
        <w:numPr>
          <w:ilvl w:val="0"/>
          <w:numId w:val="98"/>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Analiza e bazës ligjore dhe modeleve të vendeve të tjera për funksionimin e qendrave burimore.</w:t>
      </w:r>
    </w:p>
    <w:p w14:paraId="78E12798" w14:textId="77777777" w:rsidR="002C526F" w:rsidRPr="005208DC" w:rsidRDefault="002C526F" w:rsidP="00F957E8">
      <w:pPr>
        <w:pStyle w:val="ListParagraph"/>
        <w:widowControl/>
        <w:numPr>
          <w:ilvl w:val="0"/>
          <w:numId w:val="98"/>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Hartimi i akteve administrative për funksionimin e qendrave burimore.</w:t>
      </w:r>
    </w:p>
    <w:p w14:paraId="70B8E322" w14:textId="77777777" w:rsidR="002C526F" w:rsidRPr="005208DC" w:rsidRDefault="002C526F" w:rsidP="00F957E8">
      <w:pPr>
        <w:pStyle w:val="ListParagraph"/>
        <w:widowControl/>
        <w:numPr>
          <w:ilvl w:val="0"/>
          <w:numId w:val="98"/>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Ofrimi i mësuesve ndihmës shtesë për nxënësit me aftësi të kufizuara dhe mësuesit që njohin gjuhën shqipe të shenjave për nxënësit që nuk dëgjojnë.</w:t>
      </w:r>
    </w:p>
    <w:p w14:paraId="7FEE855C" w14:textId="77777777" w:rsidR="002C526F" w:rsidRPr="005208DC" w:rsidRDefault="002C526F" w:rsidP="00F957E8">
      <w:pPr>
        <w:pStyle w:val="ListParagraph"/>
        <w:widowControl/>
        <w:numPr>
          <w:ilvl w:val="0"/>
          <w:numId w:val="98"/>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Hartimi dhe standardizimi i protokolleve të punës për shërbimin psiko-social.</w:t>
      </w:r>
    </w:p>
    <w:p w14:paraId="7C7F1DEB" w14:textId="77777777" w:rsidR="002C526F" w:rsidRPr="005208DC" w:rsidRDefault="002C526F" w:rsidP="00F957E8">
      <w:pPr>
        <w:pStyle w:val="ListParagraph"/>
        <w:widowControl/>
        <w:numPr>
          <w:ilvl w:val="0"/>
          <w:numId w:val="98"/>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Trajnimi i 42 ToT (drejtues të rrjeteve profesionale të mësuesve ndihmës) dhe mësues ndihmës.</w:t>
      </w:r>
    </w:p>
    <w:p w14:paraId="33ABB82F" w14:textId="77777777" w:rsidR="002C526F" w:rsidRPr="005208DC" w:rsidRDefault="002C526F" w:rsidP="00F957E8">
      <w:pPr>
        <w:pStyle w:val="ListParagraph"/>
        <w:widowControl/>
        <w:numPr>
          <w:ilvl w:val="0"/>
          <w:numId w:val="98"/>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Forcimi i rrjeteve profesionale të punonjësve të shërbimit psiko-social.</w:t>
      </w:r>
    </w:p>
    <w:p w14:paraId="522FE832" w14:textId="77777777" w:rsidR="002C526F" w:rsidRPr="005208DC" w:rsidRDefault="002C526F" w:rsidP="00F957E8">
      <w:pPr>
        <w:pStyle w:val="ListParagraph"/>
        <w:widowControl/>
        <w:numPr>
          <w:ilvl w:val="0"/>
          <w:numId w:val="98"/>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Racionalizimi i rrjetit shkollor.</w:t>
      </w:r>
    </w:p>
    <w:p w14:paraId="6E3646A8" w14:textId="12EB967E" w:rsidR="002C526F" w:rsidRPr="005208DC" w:rsidRDefault="002C526F" w:rsidP="00F957E8">
      <w:pPr>
        <w:pStyle w:val="ListParagraph"/>
        <w:widowControl/>
        <w:numPr>
          <w:ilvl w:val="0"/>
          <w:numId w:val="98"/>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Përmirësimi i shërbimit të transportit falas për studentët dhe mësuesit (Rritje +50% e çmimit të rimbursimit të transportit të nxënësve)</w:t>
      </w:r>
      <w:r w:rsidRPr="005208DC">
        <w:rPr>
          <w:rFonts w:ascii="Times New Roman" w:hAnsi="Times New Roman"/>
          <w:color w:val="0D0D0D" w:themeColor="text1" w:themeTint="F2"/>
          <w:lang w:val="sq-AL"/>
        </w:rPr>
        <w:t>.</w:t>
      </w:r>
    </w:p>
    <w:p w14:paraId="69D678FC" w14:textId="2F1E78CD" w:rsidR="0030742B" w:rsidRPr="005208DC" w:rsidRDefault="00B2062A" w:rsidP="00F957E8">
      <w:pPr>
        <w:pStyle w:val="ListParagraph"/>
        <w:numPr>
          <w:ilvl w:val="0"/>
          <w:numId w:val="97"/>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30742B" w:rsidRPr="005208DC">
        <w:rPr>
          <w:rFonts w:asciiTheme="majorBidi" w:hAnsiTheme="majorBidi" w:cstheme="majorBidi"/>
          <w:b/>
          <w:color w:val="0D0D0D" w:themeColor="text1" w:themeTint="F2"/>
          <w:sz w:val="24"/>
          <w:szCs w:val="24"/>
          <w:lang w:val="sq-AL"/>
        </w:rPr>
        <w:t xml:space="preserve"> 2023</w:t>
      </w:r>
    </w:p>
    <w:p w14:paraId="654B2158" w14:textId="77777777" w:rsidR="002C526F" w:rsidRPr="005208DC" w:rsidRDefault="002C526F" w:rsidP="00F957E8">
      <w:pPr>
        <w:pStyle w:val="ListParagraph"/>
        <w:widowControl/>
        <w:numPr>
          <w:ilvl w:val="0"/>
          <w:numId w:val="99"/>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Transformimi i shkollave speciale në qendra burimore.</w:t>
      </w:r>
    </w:p>
    <w:p w14:paraId="0E4B1DE4" w14:textId="77777777" w:rsidR="002C526F" w:rsidRPr="005208DC" w:rsidRDefault="002C526F" w:rsidP="00F957E8">
      <w:pPr>
        <w:pStyle w:val="ListParagraph"/>
        <w:widowControl/>
        <w:numPr>
          <w:ilvl w:val="0"/>
          <w:numId w:val="99"/>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Ofrimi i mësuesve ndihmës shtesë për nxënësit me aftësi të kufizuara dhe mësuesit që njohin gjuhën shqipe të shenjave për nxënësit që nuk dëgjojnë.</w:t>
      </w:r>
    </w:p>
    <w:p w14:paraId="72C65D09" w14:textId="77777777" w:rsidR="002C526F" w:rsidRPr="005208DC" w:rsidRDefault="002C526F" w:rsidP="00F957E8">
      <w:pPr>
        <w:pStyle w:val="ListParagraph"/>
        <w:widowControl/>
        <w:numPr>
          <w:ilvl w:val="0"/>
          <w:numId w:val="99"/>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Pajisja e shkollave me mjete dhe programe teknologjike për të ndihmuar fëmijët me aftësi të kufizuara</w:t>
      </w:r>
    </w:p>
    <w:p w14:paraId="3EEC1EBA" w14:textId="77777777" w:rsidR="002C526F" w:rsidRPr="005208DC" w:rsidRDefault="002C526F" w:rsidP="00F957E8">
      <w:pPr>
        <w:pStyle w:val="ListParagraph"/>
        <w:widowControl/>
        <w:numPr>
          <w:ilvl w:val="0"/>
          <w:numId w:val="99"/>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Trajnimi i 42 ToT (drejtues të rrjeteve profesionale të mësuesve ndihmës) dhe mësues ndihmës.</w:t>
      </w:r>
    </w:p>
    <w:p w14:paraId="53AF3985" w14:textId="77777777" w:rsidR="002C526F" w:rsidRPr="005208DC" w:rsidRDefault="002C526F" w:rsidP="00F957E8">
      <w:pPr>
        <w:pStyle w:val="ListParagraph"/>
        <w:widowControl/>
        <w:numPr>
          <w:ilvl w:val="0"/>
          <w:numId w:val="99"/>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Trajnimi i rrjeteve profesionale të punonjësve të shërbimit psiko-social.</w:t>
      </w:r>
    </w:p>
    <w:p w14:paraId="18161D19" w14:textId="043E912A" w:rsidR="002C526F" w:rsidRPr="005208DC" w:rsidRDefault="002C526F" w:rsidP="00F957E8">
      <w:pPr>
        <w:pStyle w:val="ListParagraph"/>
        <w:widowControl/>
        <w:numPr>
          <w:ilvl w:val="0"/>
          <w:numId w:val="99"/>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Racionalizimi i rrjetit shkollor</w:t>
      </w:r>
      <w:r w:rsidRPr="005208DC">
        <w:rPr>
          <w:rFonts w:ascii="Times New Roman" w:hAnsi="Times New Roman"/>
          <w:color w:val="0D0D0D" w:themeColor="text1" w:themeTint="F2"/>
          <w:lang w:val="sq-AL"/>
        </w:rPr>
        <w:t>.</w:t>
      </w:r>
    </w:p>
    <w:p w14:paraId="4995EB9E" w14:textId="77790C98" w:rsidR="0030742B" w:rsidRPr="005208DC" w:rsidRDefault="00B2062A" w:rsidP="00F957E8">
      <w:pPr>
        <w:pStyle w:val="ListParagraph"/>
        <w:numPr>
          <w:ilvl w:val="0"/>
          <w:numId w:val="97"/>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30742B" w:rsidRPr="005208DC">
        <w:rPr>
          <w:rFonts w:asciiTheme="majorBidi" w:hAnsiTheme="majorBidi" w:cstheme="majorBidi"/>
          <w:b/>
          <w:color w:val="0D0D0D" w:themeColor="text1" w:themeTint="F2"/>
          <w:sz w:val="24"/>
          <w:szCs w:val="24"/>
          <w:lang w:val="sq-AL"/>
        </w:rPr>
        <w:t xml:space="preserve"> 2024</w:t>
      </w:r>
    </w:p>
    <w:p w14:paraId="54B4F7B5" w14:textId="77777777" w:rsidR="002C526F" w:rsidRPr="005208DC" w:rsidRDefault="002C526F" w:rsidP="00F957E8">
      <w:pPr>
        <w:pStyle w:val="ListParagraph"/>
        <w:widowControl/>
        <w:numPr>
          <w:ilvl w:val="0"/>
          <w:numId w:val="100"/>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Funksionimi i plotë i shkollave speciale deri te qendrat burimore.</w:t>
      </w:r>
    </w:p>
    <w:p w14:paraId="6AF9DAED" w14:textId="3D8FD08B" w:rsidR="002C526F" w:rsidRPr="005208DC" w:rsidRDefault="002C526F" w:rsidP="00F957E8">
      <w:pPr>
        <w:pStyle w:val="ListParagraph"/>
        <w:widowControl/>
        <w:numPr>
          <w:ilvl w:val="0"/>
          <w:numId w:val="100"/>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Pajisja e shkollave me mjete dhe programe teknologjike për të ndihmuar fëmijët me aftësi të kufizuara</w:t>
      </w:r>
      <w:r w:rsidRPr="005208DC">
        <w:rPr>
          <w:rFonts w:ascii="Times New Roman" w:hAnsi="Times New Roman"/>
          <w:color w:val="0D0D0D" w:themeColor="text1" w:themeTint="F2"/>
          <w:lang w:val="sq-AL"/>
        </w:rPr>
        <w:t>.</w:t>
      </w:r>
    </w:p>
    <w:p w14:paraId="76CF02BE" w14:textId="77777777" w:rsidR="00F30712" w:rsidRPr="005208DC" w:rsidRDefault="00F30712" w:rsidP="00857902">
      <w:pPr>
        <w:snapToGrid w:val="0"/>
        <w:rPr>
          <w:rFonts w:asciiTheme="majorBidi" w:hAnsiTheme="majorBidi" w:cstheme="majorBidi"/>
          <w:color w:val="0D0D0D" w:themeColor="text1" w:themeTint="F2"/>
          <w:lang w:val="sq-AL"/>
        </w:rPr>
      </w:pPr>
    </w:p>
    <w:p w14:paraId="2C96CF79" w14:textId="3E8094EA" w:rsidR="0030742B" w:rsidRPr="005208DC" w:rsidRDefault="00B2062A" w:rsidP="00F957E8">
      <w:pPr>
        <w:pStyle w:val="Heading6"/>
        <w:numPr>
          <w:ilvl w:val="0"/>
          <w:numId w:val="96"/>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Treguesit e rezultateve</w:t>
      </w:r>
    </w:p>
    <w:tbl>
      <w:tblPr>
        <w:tblW w:w="10201" w:type="dxa"/>
        <w:tblLayout w:type="fixed"/>
        <w:tblLook w:val="04A0" w:firstRow="1" w:lastRow="0" w:firstColumn="1" w:lastColumn="0" w:noHBand="0" w:noVBand="1"/>
      </w:tblPr>
      <w:tblGrid>
        <w:gridCol w:w="4135"/>
        <w:gridCol w:w="1710"/>
        <w:gridCol w:w="2160"/>
        <w:gridCol w:w="2196"/>
      </w:tblGrid>
      <w:tr w:rsidR="005208DC" w:rsidRPr="005208DC" w14:paraId="6DD076F5" w14:textId="77777777" w:rsidTr="002B2B60">
        <w:trPr>
          <w:trHeight w:val="681"/>
        </w:trPr>
        <w:tc>
          <w:tcPr>
            <w:tcW w:w="4135" w:type="dxa"/>
            <w:tcBorders>
              <w:top w:val="single" w:sz="4" w:space="0" w:color="auto"/>
              <w:left w:val="single" w:sz="4" w:space="0" w:color="auto"/>
              <w:bottom w:val="single" w:sz="4" w:space="0" w:color="auto"/>
              <w:right w:val="single" w:sz="4" w:space="0" w:color="auto"/>
            </w:tcBorders>
            <w:shd w:val="clear" w:color="auto" w:fill="auto"/>
            <w:hideMark/>
          </w:tcPr>
          <w:p w14:paraId="17E31634" w14:textId="34F07785" w:rsidR="004F59F4" w:rsidRPr="005208DC" w:rsidRDefault="00B2062A" w:rsidP="00857902">
            <w:pPr>
              <w:rPr>
                <w:rFonts w:asciiTheme="majorBidi" w:eastAsia="Times New Roman" w:hAnsiTheme="majorBidi" w:cstheme="majorBidi"/>
                <w:bCs/>
                <w:color w:val="0D0D0D" w:themeColor="text1" w:themeTint="F2"/>
                <w:lang w:val="sq-AL"/>
              </w:rPr>
            </w:pPr>
            <w:r w:rsidRPr="005208DC">
              <w:rPr>
                <w:rFonts w:asciiTheme="majorBidi" w:eastAsia="Times New Roman" w:hAnsiTheme="majorBidi" w:cstheme="majorBidi"/>
                <w:bCs/>
                <w:color w:val="0D0D0D" w:themeColor="text1" w:themeTint="F2"/>
                <w:lang w:val="sq-AL"/>
              </w:rPr>
              <w:t>Tregues</w:t>
            </w:r>
          </w:p>
        </w:tc>
        <w:tc>
          <w:tcPr>
            <w:tcW w:w="1710" w:type="dxa"/>
            <w:tcBorders>
              <w:top w:val="single" w:sz="4" w:space="0" w:color="auto"/>
              <w:left w:val="nil"/>
              <w:bottom w:val="single" w:sz="4" w:space="0" w:color="auto"/>
              <w:right w:val="single" w:sz="4" w:space="0" w:color="auto"/>
            </w:tcBorders>
            <w:shd w:val="clear" w:color="auto" w:fill="auto"/>
            <w:hideMark/>
          </w:tcPr>
          <w:p w14:paraId="7DD77469" w14:textId="62936841" w:rsidR="004F59F4" w:rsidRPr="005208DC" w:rsidRDefault="00B2062A" w:rsidP="00857902">
            <w:pPr>
              <w:rPr>
                <w:rFonts w:asciiTheme="majorBidi" w:eastAsia="Times New Roman" w:hAnsiTheme="majorBidi" w:cstheme="majorBidi"/>
                <w:bCs/>
                <w:color w:val="0D0D0D" w:themeColor="text1" w:themeTint="F2"/>
                <w:lang w:val="sq-AL"/>
              </w:rPr>
            </w:pPr>
            <w:r w:rsidRPr="005208DC">
              <w:rPr>
                <w:rFonts w:asciiTheme="majorBidi" w:hAnsiTheme="majorBidi" w:cstheme="majorBidi"/>
                <w:color w:val="0D0D0D" w:themeColor="text1" w:themeTint="F2"/>
                <w:lang w:val="sq-AL"/>
              </w:rPr>
              <w:t>Bazë</w:t>
            </w:r>
            <w:r w:rsidR="004F59F4" w:rsidRPr="005208DC">
              <w:rPr>
                <w:rFonts w:asciiTheme="majorBidi" w:hAnsiTheme="majorBidi" w:cstheme="majorBidi"/>
                <w:color w:val="0D0D0D" w:themeColor="text1" w:themeTint="F2"/>
                <w:lang w:val="sq-AL"/>
              </w:rPr>
              <w:t xml:space="preserve"> (2021)</w:t>
            </w:r>
          </w:p>
        </w:tc>
        <w:tc>
          <w:tcPr>
            <w:tcW w:w="2160" w:type="dxa"/>
            <w:tcBorders>
              <w:top w:val="single" w:sz="4" w:space="0" w:color="auto"/>
              <w:left w:val="nil"/>
              <w:bottom w:val="single" w:sz="4" w:space="0" w:color="auto"/>
              <w:right w:val="single" w:sz="4" w:space="0" w:color="auto"/>
            </w:tcBorders>
            <w:shd w:val="clear" w:color="auto" w:fill="auto"/>
            <w:hideMark/>
          </w:tcPr>
          <w:p w14:paraId="4D99E58E" w14:textId="519189CE" w:rsidR="004F59F4" w:rsidRPr="005208DC" w:rsidRDefault="00B2062A" w:rsidP="00857902">
            <w:pPr>
              <w:rPr>
                <w:rFonts w:asciiTheme="majorBidi" w:eastAsia="Times New Roman" w:hAnsiTheme="majorBidi" w:cstheme="majorBidi"/>
                <w:bCs/>
                <w:color w:val="0D0D0D" w:themeColor="text1" w:themeTint="F2"/>
                <w:lang w:val="sq-AL"/>
              </w:rPr>
            </w:pPr>
            <w:r w:rsidRPr="005208DC">
              <w:rPr>
                <w:rFonts w:asciiTheme="majorBidi" w:hAnsiTheme="majorBidi" w:cstheme="majorBidi"/>
                <w:color w:val="0D0D0D" w:themeColor="text1" w:themeTint="F2"/>
                <w:lang w:val="sq-AL"/>
              </w:rPr>
              <w:t>I ndërmjetëm</w:t>
            </w:r>
            <w:r w:rsidR="004F59F4" w:rsidRPr="005208DC">
              <w:rPr>
                <w:rFonts w:asciiTheme="majorBidi" w:hAnsiTheme="majorBidi" w:cstheme="majorBidi"/>
                <w:color w:val="0D0D0D" w:themeColor="text1" w:themeTint="F2"/>
                <w:lang w:val="sq-AL"/>
              </w:rPr>
              <w:t xml:space="preserve"> (2022)</w:t>
            </w:r>
          </w:p>
        </w:tc>
        <w:tc>
          <w:tcPr>
            <w:tcW w:w="2196" w:type="dxa"/>
            <w:tcBorders>
              <w:top w:val="single" w:sz="4" w:space="0" w:color="auto"/>
              <w:left w:val="nil"/>
              <w:bottom w:val="single" w:sz="4" w:space="0" w:color="auto"/>
              <w:right w:val="single" w:sz="4" w:space="0" w:color="auto"/>
            </w:tcBorders>
            <w:shd w:val="clear" w:color="auto" w:fill="auto"/>
            <w:hideMark/>
          </w:tcPr>
          <w:p w14:paraId="24084F21" w14:textId="1971CA2C" w:rsidR="004F59F4" w:rsidRPr="005208DC" w:rsidRDefault="00B2062A" w:rsidP="00857902">
            <w:pPr>
              <w:rPr>
                <w:rFonts w:asciiTheme="majorBidi" w:eastAsia="Times New Roman" w:hAnsiTheme="majorBidi" w:cstheme="majorBidi"/>
                <w:bCs/>
                <w:color w:val="0D0D0D" w:themeColor="text1" w:themeTint="F2"/>
                <w:lang w:val="sq-AL"/>
              </w:rPr>
            </w:pPr>
            <w:r w:rsidRPr="005208DC">
              <w:rPr>
                <w:rFonts w:asciiTheme="majorBidi" w:hAnsiTheme="majorBidi" w:cstheme="majorBidi"/>
                <w:color w:val="0D0D0D" w:themeColor="text1" w:themeTint="F2"/>
                <w:lang w:val="sq-AL"/>
              </w:rPr>
              <w:t>Synimi</w:t>
            </w:r>
            <w:r w:rsidR="004F59F4" w:rsidRPr="005208DC">
              <w:rPr>
                <w:rFonts w:asciiTheme="majorBidi" w:hAnsiTheme="majorBidi" w:cstheme="majorBidi"/>
                <w:color w:val="0D0D0D" w:themeColor="text1" w:themeTint="F2"/>
                <w:lang w:val="sq-AL"/>
              </w:rPr>
              <w:t xml:space="preserve"> (2024)</w:t>
            </w:r>
          </w:p>
        </w:tc>
      </w:tr>
      <w:tr w:rsidR="005208DC" w:rsidRPr="005208DC" w14:paraId="6C3E582F" w14:textId="77777777" w:rsidTr="002B2B60">
        <w:trPr>
          <w:trHeight w:val="281"/>
        </w:trPr>
        <w:tc>
          <w:tcPr>
            <w:tcW w:w="4135" w:type="dxa"/>
            <w:tcBorders>
              <w:top w:val="single" w:sz="4" w:space="0" w:color="auto"/>
              <w:left w:val="single" w:sz="4" w:space="0" w:color="auto"/>
              <w:bottom w:val="single" w:sz="4" w:space="0" w:color="auto"/>
              <w:right w:val="single" w:sz="4" w:space="0" w:color="auto"/>
            </w:tcBorders>
            <w:shd w:val="clear" w:color="auto" w:fill="auto"/>
            <w:noWrap/>
          </w:tcPr>
          <w:p w14:paraId="71708A44" w14:textId="23F4D362" w:rsidR="002C526F" w:rsidRPr="005208DC" w:rsidRDefault="002C526F" w:rsidP="00857902">
            <w:pPr>
              <w:rPr>
                <w:rFonts w:asciiTheme="majorBidi" w:eastAsia="Times New Roman" w:hAnsiTheme="majorBidi" w:cstheme="majorBidi"/>
                <w:bCs/>
                <w:color w:val="0D0D0D" w:themeColor="text1" w:themeTint="F2"/>
                <w:lang w:val="sq-AL"/>
              </w:rPr>
            </w:pPr>
            <w:r w:rsidRPr="005208DC">
              <w:rPr>
                <w:rFonts w:ascii="Times New Roman" w:eastAsia="Times New Roman" w:hAnsi="Times New Roman"/>
                <w:color w:val="0D0D0D" w:themeColor="text1" w:themeTint="F2"/>
                <w:lang w:val="sq-AL"/>
              </w:rPr>
              <w:t>Numri i mësuesve ndihmës shtesë për nxënësit me nevoja të veçanta</w:t>
            </w:r>
          </w:p>
        </w:tc>
        <w:tc>
          <w:tcPr>
            <w:tcW w:w="1710" w:type="dxa"/>
            <w:tcBorders>
              <w:top w:val="single" w:sz="4" w:space="0" w:color="auto"/>
              <w:left w:val="nil"/>
              <w:bottom w:val="single" w:sz="4" w:space="0" w:color="auto"/>
              <w:right w:val="single" w:sz="4" w:space="0" w:color="auto"/>
            </w:tcBorders>
            <w:shd w:val="clear" w:color="auto" w:fill="auto"/>
            <w:noWrap/>
            <w:vAlign w:val="center"/>
          </w:tcPr>
          <w:p w14:paraId="057536E3" w14:textId="025E0B0E" w:rsidR="002C526F" w:rsidRPr="005208DC" w:rsidRDefault="002C526F" w:rsidP="00857902">
            <w:pPr>
              <w:rPr>
                <w:rFonts w:asciiTheme="majorBidi" w:hAnsiTheme="majorBidi" w:cstheme="majorBidi"/>
                <w:color w:val="0D0D0D" w:themeColor="text1" w:themeTint="F2"/>
                <w:lang w:val="sq-AL"/>
              </w:rPr>
            </w:pPr>
            <w:r w:rsidRPr="005208DC">
              <w:rPr>
                <w:rFonts w:ascii="Times New Roman" w:eastAsia="Arial Narrow" w:hAnsi="Times New Roman"/>
                <w:color w:val="0D0D0D" w:themeColor="text1" w:themeTint="F2"/>
                <w:lang w:val="sq-AL"/>
              </w:rPr>
              <w:t>1275 (2020-2021)</w:t>
            </w:r>
          </w:p>
        </w:tc>
        <w:tc>
          <w:tcPr>
            <w:tcW w:w="2160" w:type="dxa"/>
            <w:tcBorders>
              <w:top w:val="single" w:sz="4" w:space="0" w:color="auto"/>
              <w:left w:val="nil"/>
              <w:bottom w:val="single" w:sz="4" w:space="0" w:color="auto"/>
              <w:right w:val="single" w:sz="4" w:space="0" w:color="auto"/>
            </w:tcBorders>
            <w:shd w:val="clear" w:color="auto" w:fill="auto"/>
            <w:noWrap/>
          </w:tcPr>
          <w:p w14:paraId="7CC75064" w14:textId="6CDAD141" w:rsidR="002C526F" w:rsidRPr="005208DC" w:rsidRDefault="002C526F" w:rsidP="00857902">
            <w:pPr>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1300</w:t>
            </w:r>
          </w:p>
        </w:tc>
        <w:tc>
          <w:tcPr>
            <w:tcW w:w="2196" w:type="dxa"/>
            <w:tcBorders>
              <w:top w:val="single" w:sz="4" w:space="0" w:color="auto"/>
              <w:left w:val="nil"/>
              <w:bottom w:val="single" w:sz="4" w:space="0" w:color="auto"/>
              <w:right w:val="single" w:sz="4" w:space="0" w:color="auto"/>
            </w:tcBorders>
            <w:shd w:val="clear" w:color="auto" w:fill="auto"/>
            <w:noWrap/>
          </w:tcPr>
          <w:p w14:paraId="056419CC" w14:textId="219A9B29" w:rsidR="002C526F" w:rsidRPr="005208DC" w:rsidRDefault="002C526F" w:rsidP="00857902">
            <w:pPr>
              <w:rPr>
                <w:rFonts w:asciiTheme="majorBidi" w:eastAsia="Times New Roman" w:hAnsiTheme="majorBidi" w:cstheme="majorBidi"/>
                <w:bCs/>
                <w:color w:val="0D0D0D" w:themeColor="text1" w:themeTint="F2"/>
                <w:lang w:val="sq-AL"/>
              </w:rPr>
            </w:pPr>
            <w:r w:rsidRPr="005208DC">
              <w:rPr>
                <w:rFonts w:ascii="Times New Roman" w:hAnsi="Times New Roman"/>
                <w:color w:val="0D0D0D" w:themeColor="text1" w:themeTint="F2"/>
                <w:lang w:val="sq-AL"/>
              </w:rPr>
              <w:t>1350</w:t>
            </w:r>
          </w:p>
        </w:tc>
      </w:tr>
      <w:tr w:rsidR="005208DC" w:rsidRPr="005208DC" w14:paraId="7F603D58" w14:textId="77777777" w:rsidTr="002B2B60">
        <w:trPr>
          <w:trHeight w:val="272"/>
        </w:trPr>
        <w:tc>
          <w:tcPr>
            <w:tcW w:w="4135" w:type="dxa"/>
            <w:tcBorders>
              <w:top w:val="single" w:sz="4" w:space="0" w:color="auto"/>
              <w:left w:val="single" w:sz="4" w:space="0" w:color="auto"/>
              <w:bottom w:val="single" w:sz="4" w:space="0" w:color="auto"/>
              <w:right w:val="single" w:sz="4" w:space="0" w:color="auto"/>
            </w:tcBorders>
            <w:shd w:val="clear" w:color="auto" w:fill="auto"/>
            <w:noWrap/>
          </w:tcPr>
          <w:p w14:paraId="2ECA024E" w14:textId="433F37B4" w:rsidR="002C526F" w:rsidRPr="005208DC" w:rsidRDefault="002C526F" w:rsidP="00857902">
            <w:pPr>
              <w:rPr>
                <w:rFonts w:asciiTheme="majorBidi" w:eastAsia="Times New Roman" w:hAnsiTheme="majorBidi" w:cstheme="majorBidi"/>
                <w:bCs/>
                <w:color w:val="0D0D0D" w:themeColor="text1" w:themeTint="F2"/>
                <w:lang w:val="sq-AL"/>
              </w:rPr>
            </w:pPr>
            <w:r w:rsidRPr="005208DC">
              <w:rPr>
                <w:rFonts w:ascii="Times New Roman" w:eastAsia="Times New Roman" w:hAnsi="Times New Roman"/>
                <w:color w:val="0D0D0D" w:themeColor="text1" w:themeTint="F2"/>
                <w:lang w:val="sq-AL"/>
              </w:rPr>
              <w:t>Numri i personelit në shërbimin psiko-social në shkolla</w:t>
            </w:r>
          </w:p>
        </w:tc>
        <w:tc>
          <w:tcPr>
            <w:tcW w:w="1710" w:type="dxa"/>
            <w:tcBorders>
              <w:top w:val="single" w:sz="4" w:space="0" w:color="auto"/>
              <w:left w:val="nil"/>
              <w:bottom w:val="single" w:sz="4" w:space="0" w:color="auto"/>
              <w:right w:val="single" w:sz="4" w:space="0" w:color="auto"/>
            </w:tcBorders>
            <w:shd w:val="clear" w:color="auto" w:fill="auto"/>
            <w:noWrap/>
            <w:vAlign w:val="center"/>
          </w:tcPr>
          <w:p w14:paraId="16C72E4C" w14:textId="6B48DCFD" w:rsidR="002C526F" w:rsidRPr="005208DC" w:rsidRDefault="002C526F" w:rsidP="00857902">
            <w:pPr>
              <w:rPr>
                <w:rFonts w:asciiTheme="majorBidi" w:eastAsia="Times New Roman" w:hAnsiTheme="majorBidi" w:cstheme="majorBidi"/>
                <w:bCs/>
                <w:color w:val="0D0D0D" w:themeColor="text1" w:themeTint="F2"/>
                <w:lang w:val="sq-AL"/>
              </w:rPr>
            </w:pPr>
            <w:r w:rsidRPr="005208DC">
              <w:rPr>
                <w:rFonts w:ascii="Times New Roman" w:eastAsia="Arial Narrow" w:hAnsi="Times New Roman"/>
                <w:color w:val="0D0D0D" w:themeColor="text1" w:themeTint="F2"/>
                <w:lang w:val="sq-AL"/>
              </w:rPr>
              <w:t>526</w:t>
            </w:r>
          </w:p>
        </w:tc>
        <w:tc>
          <w:tcPr>
            <w:tcW w:w="2160" w:type="dxa"/>
            <w:tcBorders>
              <w:top w:val="single" w:sz="4" w:space="0" w:color="auto"/>
              <w:left w:val="nil"/>
              <w:bottom w:val="single" w:sz="4" w:space="0" w:color="auto"/>
              <w:right w:val="single" w:sz="4" w:space="0" w:color="auto"/>
            </w:tcBorders>
            <w:shd w:val="clear" w:color="auto" w:fill="auto"/>
            <w:noWrap/>
          </w:tcPr>
          <w:p w14:paraId="7247E9C8" w14:textId="6552C5A0" w:rsidR="002C526F" w:rsidRPr="005208DC" w:rsidRDefault="002C526F" w:rsidP="00857902">
            <w:pPr>
              <w:rPr>
                <w:rFonts w:asciiTheme="majorBidi" w:eastAsia="Times New Roman" w:hAnsiTheme="majorBidi" w:cstheme="majorBidi"/>
                <w:bCs/>
                <w:color w:val="0D0D0D" w:themeColor="text1" w:themeTint="F2"/>
                <w:lang w:val="sq-AL"/>
              </w:rPr>
            </w:pPr>
            <w:r w:rsidRPr="005208DC">
              <w:rPr>
                <w:rFonts w:ascii="Times New Roman" w:hAnsi="Times New Roman"/>
                <w:color w:val="0D0D0D" w:themeColor="text1" w:themeTint="F2"/>
                <w:lang w:val="sq-AL"/>
              </w:rPr>
              <w:t>630</w:t>
            </w:r>
          </w:p>
        </w:tc>
        <w:tc>
          <w:tcPr>
            <w:tcW w:w="2196" w:type="dxa"/>
            <w:tcBorders>
              <w:top w:val="single" w:sz="4" w:space="0" w:color="auto"/>
              <w:left w:val="nil"/>
              <w:bottom w:val="single" w:sz="4" w:space="0" w:color="auto"/>
              <w:right w:val="single" w:sz="4" w:space="0" w:color="auto"/>
            </w:tcBorders>
            <w:shd w:val="clear" w:color="auto" w:fill="auto"/>
            <w:noWrap/>
          </w:tcPr>
          <w:p w14:paraId="4BE08522" w14:textId="337484BC" w:rsidR="002C526F" w:rsidRPr="005208DC" w:rsidRDefault="002C526F" w:rsidP="00857902">
            <w:pPr>
              <w:rPr>
                <w:rFonts w:asciiTheme="majorBidi" w:eastAsia="Times New Roman" w:hAnsiTheme="majorBidi" w:cstheme="majorBidi"/>
                <w:bCs/>
                <w:color w:val="0D0D0D" w:themeColor="text1" w:themeTint="F2"/>
                <w:lang w:val="sq-AL"/>
              </w:rPr>
            </w:pPr>
            <w:r w:rsidRPr="005208DC">
              <w:rPr>
                <w:rFonts w:ascii="Times New Roman" w:hAnsi="Times New Roman"/>
                <w:color w:val="0D0D0D" w:themeColor="text1" w:themeTint="F2"/>
                <w:lang w:val="sq-AL"/>
              </w:rPr>
              <w:t>700</w:t>
            </w:r>
          </w:p>
        </w:tc>
      </w:tr>
      <w:tr w:rsidR="005208DC" w:rsidRPr="005208DC" w14:paraId="07F7C2AB" w14:textId="77777777" w:rsidTr="002B2B60">
        <w:trPr>
          <w:trHeight w:val="272"/>
        </w:trPr>
        <w:tc>
          <w:tcPr>
            <w:tcW w:w="4135" w:type="dxa"/>
            <w:tcBorders>
              <w:top w:val="single" w:sz="4" w:space="0" w:color="auto"/>
              <w:left w:val="single" w:sz="4" w:space="0" w:color="auto"/>
              <w:bottom w:val="single" w:sz="4" w:space="0" w:color="auto"/>
              <w:right w:val="single" w:sz="4" w:space="0" w:color="auto"/>
            </w:tcBorders>
            <w:shd w:val="clear" w:color="auto" w:fill="auto"/>
            <w:noWrap/>
          </w:tcPr>
          <w:p w14:paraId="2A1E4A90" w14:textId="1814F292" w:rsidR="002C526F" w:rsidRPr="005208DC" w:rsidRDefault="002C526F" w:rsidP="00857902">
            <w:pPr>
              <w:rPr>
                <w:rFonts w:asciiTheme="majorBidi" w:eastAsia="Times New Roman" w:hAnsiTheme="majorBidi" w:cstheme="majorBidi"/>
                <w:bCs/>
                <w:color w:val="0D0D0D" w:themeColor="text1" w:themeTint="F2"/>
                <w:lang w:val="sq-AL"/>
              </w:rPr>
            </w:pPr>
            <w:r w:rsidRPr="005208DC">
              <w:rPr>
                <w:rFonts w:ascii="Times New Roman" w:eastAsia="Times New Roman" w:hAnsi="Times New Roman"/>
                <w:color w:val="0D0D0D" w:themeColor="text1" w:themeTint="F2"/>
                <w:lang w:val="sq-AL"/>
              </w:rPr>
              <w:t>Numri i fëmijëve në klasa kolektive të transferuar në shkolla më cilësore aty pranë</w:t>
            </w:r>
          </w:p>
        </w:tc>
        <w:tc>
          <w:tcPr>
            <w:tcW w:w="1710" w:type="dxa"/>
            <w:tcBorders>
              <w:top w:val="single" w:sz="4" w:space="0" w:color="auto"/>
              <w:left w:val="nil"/>
              <w:bottom w:val="single" w:sz="4" w:space="0" w:color="auto"/>
              <w:right w:val="single" w:sz="4" w:space="0" w:color="auto"/>
            </w:tcBorders>
            <w:shd w:val="clear" w:color="auto" w:fill="auto"/>
            <w:noWrap/>
          </w:tcPr>
          <w:p w14:paraId="671F37DF" w14:textId="76AA8F72" w:rsidR="002C526F" w:rsidRPr="005208DC" w:rsidRDefault="002C526F" w:rsidP="00857902">
            <w:pPr>
              <w:rPr>
                <w:rFonts w:asciiTheme="majorBidi" w:eastAsia="Times New Roman" w:hAnsiTheme="majorBidi" w:cstheme="majorBidi"/>
                <w:bCs/>
                <w:color w:val="0D0D0D" w:themeColor="text1" w:themeTint="F2"/>
                <w:lang w:val="sq-AL"/>
              </w:rPr>
            </w:pPr>
            <w:r w:rsidRPr="005208DC">
              <w:rPr>
                <w:rFonts w:ascii="Times New Roman" w:hAnsi="Times New Roman"/>
                <w:color w:val="0D0D0D" w:themeColor="text1" w:themeTint="F2"/>
                <w:lang w:val="sq-AL"/>
              </w:rPr>
              <w:t>2829 nxënës</w:t>
            </w:r>
          </w:p>
        </w:tc>
        <w:tc>
          <w:tcPr>
            <w:tcW w:w="2160" w:type="dxa"/>
            <w:tcBorders>
              <w:top w:val="single" w:sz="4" w:space="0" w:color="auto"/>
              <w:left w:val="nil"/>
              <w:bottom w:val="single" w:sz="4" w:space="0" w:color="auto"/>
              <w:right w:val="single" w:sz="4" w:space="0" w:color="auto"/>
            </w:tcBorders>
            <w:shd w:val="clear" w:color="auto" w:fill="auto"/>
            <w:noWrap/>
          </w:tcPr>
          <w:p w14:paraId="33AF63BE" w14:textId="084E0267" w:rsidR="002C526F" w:rsidRPr="005208DC" w:rsidRDefault="002C526F" w:rsidP="00857902">
            <w:pPr>
              <w:rPr>
                <w:rFonts w:asciiTheme="majorBidi" w:eastAsia="Times New Roman" w:hAnsiTheme="majorBidi" w:cstheme="majorBidi"/>
                <w:bCs/>
                <w:color w:val="0D0D0D" w:themeColor="text1" w:themeTint="F2"/>
                <w:lang w:val="sq-AL"/>
              </w:rPr>
            </w:pPr>
            <w:r w:rsidRPr="005208DC">
              <w:rPr>
                <w:rFonts w:ascii="Times New Roman" w:hAnsi="Times New Roman"/>
                <w:color w:val="0D0D0D" w:themeColor="text1" w:themeTint="F2"/>
                <w:lang w:val="sq-AL"/>
              </w:rPr>
              <w:t>(2020) +250 duke iu referuar vlerësimit bazë</w:t>
            </w:r>
          </w:p>
        </w:tc>
        <w:tc>
          <w:tcPr>
            <w:tcW w:w="2196" w:type="dxa"/>
            <w:tcBorders>
              <w:top w:val="single" w:sz="4" w:space="0" w:color="auto"/>
              <w:left w:val="nil"/>
              <w:bottom w:val="single" w:sz="4" w:space="0" w:color="auto"/>
              <w:right w:val="single" w:sz="4" w:space="0" w:color="auto"/>
            </w:tcBorders>
            <w:shd w:val="clear" w:color="auto" w:fill="auto"/>
            <w:noWrap/>
          </w:tcPr>
          <w:p w14:paraId="6A9241EB" w14:textId="33BED1CE" w:rsidR="002C526F" w:rsidRPr="005208DC" w:rsidRDefault="002C526F" w:rsidP="00857902">
            <w:pPr>
              <w:rPr>
                <w:rFonts w:asciiTheme="majorBidi" w:eastAsia="Times New Roman" w:hAnsiTheme="majorBidi" w:cstheme="majorBidi"/>
                <w:bCs/>
                <w:color w:val="0D0D0D" w:themeColor="text1" w:themeTint="F2"/>
                <w:lang w:val="sq-AL"/>
              </w:rPr>
            </w:pPr>
            <w:r w:rsidRPr="005208DC">
              <w:rPr>
                <w:rFonts w:ascii="Times New Roman" w:hAnsi="Times New Roman"/>
                <w:color w:val="0D0D0D" w:themeColor="text1" w:themeTint="F2"/>
                <w:lang w:val="sq-AL"/>
              </w:rPr>
              <w:t>(2022) +500 duke iu referuar vlerësimit bazë</w:t>
            </w:r>
          </w:p>
        </w:tc>
      </w:tr>
    </w:tbl>
    <w:p w14:paraId="0A311443" w14:textId="77777777" w:rsidR="004F59F4" w:rsidRPr="005208DC" w:rsidRDefault="004F59F4" w:rsidP="00857902">
      <w:pPr>
        <w:snapToGrid w:val="0"/>
        <w:rPr>
          <w:rFonts w:asciiTheme="majorBidi" w:hAnsiTheme="majorBidi" w:cstheme="majorBidi"/>
          <w:color w:val="0D0D0D" w:themeColor="text1" w:themeTint="F2"/>
          <w:lang w:val="sq-AL"/>
        </w:rPr>
      </w:pPr>
    </w:p>
    <w:p w14:paraId="57831A4A" w14:textId="571193AE" w:rsidR="0030742B" w:rsidRPr="005208DC" w:rsidRDefault="00B2062A" w:rsidP="00F957E8">
      <w:pPr>
        <w:pStyle w:val="Heading6"/>
        <w:numPr>
          <w:ilvl w:val="0"/>
          <w:numId w:val="96"/>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konkurrueshmëri</w:t>
      </w:r>
    </w:p>
    <w:p w14:paraId="66EAD5DB" w14:textId="5CCDF2DB" w:rsidR="002C526F" w:rsidRPr="005208DC" w:rsidRDefault="002C526F" w:rsidP="00857902">
      <w:pPr>
        <w:jc w:val="both"/>
        <w:rPr>
          <w:rFonts w:asciiTheme="majorBidi" w:hAnsiTheme="majorBidi" w:cstheme="majorBidi"/>
          <w:color w:val="0D0D0D" w:themeColor="text1" w:themeTint="F2"/>
          <w:lang w:val="sq-AL" w:eastAsia="x-none"/>
        </w:rPr>
      </w:pPr>
      <w:r w:rsidRPr="005208DC">
        <w:rPr>
          <w:rFonts w:ascii="Times New Roman" w:hAnsi="Times New Roman"/>
          <w:color w:val="0D0D0D" w:themeColor="text1" w:themeTint="F2"/>
          <w:lang w:val="sq-AL"/>
        </w:rPr>
        <w:t>Në planin afatgjatë, duke ofruar mundësi më të mira arsimore klasa shumë klasëshe dhe fëmijët me aftësi të kufizuara do të rrisin shanset e tyre për të arritur aftësitë e nevojshme për t'u bashkuar me tregun e punës dhe për të bërë jetë të pavarur, si dhe për të rriturit.</w:t>
      </w:r>
    </w:p>
    <w:p w14:paraId="5A1B1610" w14:textId="77777777" w:rsidR="002C526F" w:rsidRPr="005208DC" w:rsidRDefault="002C526F" w:rsidP="00857902">
      <w:pPr>
        <w:rPr>
          <w:rFonts w:asciiTheme="majorBidi" w:hAnsiTheme="majorBidi" w:cstheme="majorBidi"/>
          <w:color w:val="0D0D0D" w:themeColor="text1" w:themeTint="F2"/>
          <w:lang w:val="sq-AL" w:eastAsia="x-none"/>
        </w:rPr>
      </w:pPr>
    </w:p>
    <w:p w14:paraId="52391854" w14:textId="3121A2D1" w:rsidR="0030742B" w:rsidRPr="005208DC" w:rsidRDefault="00B2062A" w:rsidP="00F957E8">
      <w:pPr>
        <w:pStyle w:val="Heading6"/>
        <w:numPr>
          <w:ilvl w:val="0"/>
          <w:numId w:val="96"/>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Kosto e parashikuar e aktiviteteve dhe burimi i financimit</w:t>
      </w:r>
    </w:p>
    <w:p w14:paraId="35E0CFBE" w14:textId="473BEC96" w:rsidR="002C526F" w:rsidRPr="005208DC" w:rsidRDefault="002C526F"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Trajnimi i 42 ToT (drejtuesve të rrjeteve profesionale të mësuesve ndihmës) dhe mësuesve ndihmës janë parashikuar 2000 Euro në vit.</w:t>
      </w:r>
    </w:p>
    <w:p w14:paraId="0C8E6C9D" w14:textId="7236FB00" w:rsidR="002C526F" w:rsidRPr="005208DC" w:rsidRDefault="002C526F"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Forcimi i rrjeteve profesionale të punonjësve të shërbimit psiko-social për rreth 600 punonjës psiko-socialë që pritet të trajnohen, parashikohet një fond prej 9000 Euro në vit.</w:t>
      </w:r>
    </w:p>
    <w:p w14:paraId="72E1CF00" w14:textId="55CDA1C8" w:rsidR="002C526F" w:rsidRPr="005208DC" w:rsidRDefault="002C526F" w:rsidP="00857902">
      <w:pPr>
        <w:snapToGrid w:val="0"/>
        <w:jc w:val="both"/>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Përmirësimi i shërbimit të transportit falas për studentët dhe mësuesit duke rishikuar çmimet dhe kriteret dhe kategoritë në nevojë, (parashikohet një rritje + 50% e çmimit të transportit të studentëve ku përfitues janë rreth 30-32 mijë studentë me një kosto vjetore të vlerësuar prej 170 milionë lekësh në vit, kosto e cila indeksohet/ rritet çdo vit). Ky aktivitet lidhet me përllogaritjen e kostove të shërbimit të transportit për nxënësit e arsimit bazë që pritet të përballohen nga fondi i buxhetit të shtetit dhe do të vijojnë edhe pas përfundimit të reformës.</w:t>
      </w:r>
    </w:p>
    <w:p w14:paraId="5BCF2C3C" w14:textId="77777777" w:rsidR="002C526F" w:rsidRPr="005208DC" w:rsidRDefault="002C526F" w:rsidP="00857902">
      <w:pPr>
        <w:snapToGrid w:val="0"/>
        <w:rPr>
          <w:rFonts w:asciiTheme="majorBidi" w:hAnsiTheme="majorBidi" w:cstheme="majorBidi"/>
          <w:color w:val="0D0D0D" w:themeColor="text1" w:themeTint="F2"/>
          <w:lang w:val="sq-AL"/>
        </w:rPr>
      </w:pPr>
    </w:p>
    <w:p w14:paraId="1494564E" w14:textId="42F33C2A" w:rsidR="0030742B" w:rsidRPr="005208DC" w:rsidRDefault="00B2062A" w:rsidP="00F957E8">
      <w:pPr>
        <w:pStyle w:val="Heading6"/>
        <w:numPr>
          <w:ilvl w:val="0"/>
          <w:numId w:val="96"/>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përfundimet sociale si punësimi, ulja e varfërisë, barazia gjinore dhe aksesi në kujdesin shëndetësor</w:t>
      </w:r>
    </w:p>
    <w:p w14:paraId="2CE807B2" w14:textId="4807D3D3" w:rsidR="002C526F" w:rsidRPr="005208DC" w:rsidRDefault="002C526F" w:rsidP="00857902">
      <w:pPr>
        <w:snapToGrid w:val="0"/>
        <w:jc w:val="both"/>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Masa synon të krijojë mundësi më të mira, përfshirje më të mirë dhe mundësi më të mira për fëmijët. Barazia gjinore do të respektohet gjatë gjithë zbatimit të masës.</w:t>
      </w:r>
    </w:p>
    <w:p w14:paraId="5C7C0823" w14:textId="77777777" w:rsidR="002C526F" w:rsidRPr="005208DC" w:rsidRDefault="002C526F" w:rsidP="00857902">
      <w:pPr>
        <w:snapToGrid w:val="0"/>
        <w:rPr>
          <w:rFonts w:asciiTheme="majorBidi" w:hAnsiTheme="majorBidi" w:cstheme="majorBidi"/>
          <w:color w:val="0D0D0D" w:themeColor="text1" w:themeTint="F2"/>
          <w:lang w:val="sq-AL"/>
        </w:rPr>
      </w:pPr>
    </w:p>
    <w:p w14:paraId="66FC12FE" w14:textId="6A1F88B7" w:rsidR="0030742B" w:rsidRPr="005208DC" w:rsidRDefault="00B2062A" w:rsidP="00F957E8">
      <w:pPr>
        <w:pStyle w:val="Heading6"/>
        <w:numPr>
          <w:ilvl w:val="0"/>
          <w:numId w:val="96"/>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mjedis dhe ndryshimi i klimës</w:t>
      </w:r>
    </w:p>
    <w:p w14:paraId="65D23A46" w14:textId="1875FBCB" w:rsidR="002C526F" w:rsidRPr="005208DC" w:rsidRDefault="002C526F"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Masa nuk pritet të ketë ndikim në mjedis.</w:t>
      </w:r>
    </w:p>
    <w:p w14:paraId="4D127A47" w14:textId="77777777" w:rsidR="002C526F" w:rsidRPr="005208DC" w:rsidRDefault="002C526F" w:rsidP="00857902">
      <w:pPr>
        <w:snapToGrid w:val="0"/>
        <w:rPr>
          <w:rFonts w:asciiTheme="majorBidi" w:hAnsiTheme="majorBidi" w:cstheme="majorBidi"/>
          <w:color w:val="0D0D0D" w:themeColor="text1" w:themeTint="F2"/>
          <w:lang w:val="sq-AL"/>
        </w:rPr>
      </w:pPr>
    </w:p>
    <w:p w14:paraId="563204BF" w14:textId="09543E47" w:rsidR="0030742B" w:rsidRPr="005208DC" w:rsidRDefault="00B2062A" w:rsidP="00F957E8">
      <w:pPr>
        <w:pStyle w:val="Heading6"/>
        <w:numPr>
          <w:ilvl w:val="0"/>
          <w:numId w:val="96"/>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Rreziqet e mundshme</w:t>
      </w:r>
    </w:p>
    <w:tbl>
      <w:tblPr>
        <w:tblStyle w:val="TableGrid"/>
        <w:tblW w:w="0" w:type="auto"/>
        <w:tblLook w:val="04A0" w:firstRow="1" w:lastRow="0" w:firstColumn="1" w:lastColumn="0" w:noHBand="0" w:noVBand="1"/>
      </w:tblPr>
      <w:tblGrid>
        <w:gridCol w:w="4248"/>
        <w:gridCol w:w="1417"/>
        <w:gridCol w:w="3957"/>
      </w:tblGrid>
      <w:tr w:rsidR="005208DC" w:rsidRPr="005208DC" w14:paraId="58A8F028" w14:textId="77777777" w:rsidTr="002B2B60">
        <w:tc>
          <w:tcPr>
            <w:tcW w:w="4248" w:type="dxa"/>
          </w:tcPr>
          <w:p w14:paraId="5B3D6486" w14:textId="05D05029" w:rsidR="004F59F4"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Rreziku</w:t>
            </w:r>
          </w:p>
        </w:tc>
        <w:tc>
          <w:tcPr>
            <w:tcW w:w="1417" w:type="dxa"/>
          </w:tcPr>
          <w:p w14:paraId="5D46413E" w14:textId="394589AA" w:rsidR="004F59F4"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Mundësia</w:t>
            </w:r>
            <w:r w:rsidR="004F59F4" w:rsidRPr="005208DC">
              <w:rPr>
                <w:rFonts w:asciiTheme="majorBidi" w:hAnsiTheme="majorBidi" w:cstheme="majorBidi"/>
                <w:color w:val="0D0D0D" w:themeColor="text1" w:themeTint="F2"/>
                <w:lang w:val="sq-AL"/>
              </w:rPr>
              <w:t xml:space="preserve"> (</w:t>
            </w:r>
            <w:r w:rsidRPr="005208DC">
              <w:rPr>
                <w:rFonts w:asciiTheme="majorBidi" w:hAnsiTheme="majorBidi" w:cstheme="majorBidi"/>
                <w:color w:val="0D0D0D" w:themeColor="text1" w:themeTint="F2"/>
                <w:lang w:val="sq-AL"/>
              </w:rPr>
              <w:t>e ulët, e lartë</w:t>
            </w:r>
            <w:r w:rsidR="004F59F4" w:rsidRPr="005208DC">
              <w:rPr>
                <w:rFonts w:asciiTheme="majorBidi" w:hAnsiTheme="majorBidi" w:cstheme="majorBidi"/>
                <w:color w:val="0D0D0D" w:themeColor="text1" w:themeTint="F2"/>
                <w:lang w:val="sq-AL"/>
              </w:rPr>
              <w:t>)</w:t>
            </w:r>
          </w:p>
        </w:tc>
        <w:tc>
          <w:tcPr>
            <w:tcW w:w="3957" w:type="dxa"/>
          </w:tcPr>
          <w:p w14:paraId="6B41DC2F" w14:textId="61A8F6E3" w:rsidR="004F59F4"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Veprimi zbutës i parashikuar</w:t>
            </w:r>
          </w:p>
        </w:tc>
      </w:tr>
      <w:tr w:rsidR="005208DC" w:rsidRPr="005208DC" w14:paraId="3C73D49C" w14:textId="77777777" w:rsidTr="002B2B60">
        <w:tc>
          <w:tcPr>
            <w:tcW w:w="4248" w:type="dxa"/>
          </w:tcPr>
          <w:p w14:paraId="64121CC0" w14:textId="27952F89" w:rsidR="002C526F" w:rsidRPr="005208DC" w:rsidRDefault="002C526F" w:rsidP="00857902">
            <w:pPr>
              <w:snapToGrid w:val="0"/>
              <w:rPr>
                <w:rFonts w:asciiTheme="majorBidi" w:hAnsiTheme="majorBidi" w:cstheme="majorBidi"/>
                <w:color w:val="0D0D0D" w:themeColor="text1" w:themeTint="F2"/>
                <w:lang w:val="sq-AL"/>
              </w:rPr>
            </w:pPr>
            <w:r w:rsidRPr="005208DC">
              <w:rPr>
                <w:rFonts w:ascii="Times New Roman" w:eastAsia="Times New Roman" w:hAnsi="Times New Roman"/>
                <w:color w:val="0D0D0D" w:themeColor="text1" w:themeTint="F2"/>
                <w:lang w:val="sq-AL"/>
              </w:rPr>
              <w:t>Ngurrimi nga ana e familjeve për të lejuar që fëmijët e tyre të transferohen në shkollat e afërta</w:t>
            </w:r>
          </w:p>
        </w:tc>
        <w:tc>
          <w:tcPr>
            <w:tcW w:w="1417" w:type="dxa"/>
          </w:tcPr>
          <w:p w14:paraId="25E5D302" w14:textId="214D74E9" w:rsidR="002C526F" w:rsidRPr="005208DC" w:rsidRDefault="002C526F"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E ulët</w:t>
            </w:r>
          </w:p>
        </w:tc>
        <w:tc>
          <w:tcPr>
            <w:tcW w:w="3957" w:type="dxa"/>
          </w:tcPr>
          <w:p w14:paraId="7CDCC4B8" w14:textId="338AD5D4" w:rsidR="002C526F" w:rsidRPr="005208DC" w:rsidRDefault="002C526F" w:rsidP="00857902">
            <w:pPr>
              <w:snapToGrid w:val="0"/>
              <w:rPr>
                <w:rFonts w:asciiTheme="majorBidi" w:hAnsiTheme="majorBidi" w:cstheme="majorBidi"/>
                <w:color w:val="0D0D0D" w:themeColor="text1" w:themeTint="F2"/>
                <w:lang w:val="sq-AL"/>
              </w:rPr>
            </w:pPr>
            <w:r w:rsidRPr="005208DC">
              <w:rPr>
                <w:rFonts w:ascii="Times New Roman" w:eastAsia="Times New Roman" w:hAnsi="Times New Roman"/>
                <w:color w:val="0D0D0D" w:themeColor="text1" w:themeTint="F2"/>
                <w:lang w:val="sq-AL"/>
              </w:rPr>
              <w:t>Masat mbështetëse për fëmijët dhe prindërit. Bashkëpunimi me komunitetin në këtë proces.</w:t>
            </w:r>
          </w:p>
        </w:tc>
      </w:tr>
      <w:tr w:rsidR="005208DC" w:rsidRPr="005208DC" w14:paraId="4727E95C" w14:textId="77777777" w:rsidTr="002B2B60">
        <w:tc>
          <w:tcPr>
            <w:tcW w:w="4248" w:type="dxa"/>
          </w:tcPr>
          <w:p w14:paraId="42B031A0" w14:textId="7039EEEB" w:rsidR="002C526F" w:rsidRPr="005208DC" w:rsidRDefault="002C526F" w:rsidP="00857902">
            <w:pPr>
              <w:snapToGrid w:val="0"/>
              <w:rPr>
                <w:rFonts w:asciiTheme="majorBidi" w:hAnsiTheme="majorBidi" w:cstheme="majorBidi"/>
                <w:color w:val="0D0D0D" w:themeColor="text1" w:themeTint="F2"/>
                <w:lang w:val="sq-AL"/>
              </w:rPr>
            </w:pPr>
            <w:r w:rsidRPr="005208DC">
              <w:rPr>
                <w:rFonts w:ascii="Times New Roman" w:eastAsia="Times New Roman" w:hAnsi="Times New Roman"/>
                <w:color w:val="0D0D0D" w:themeColor="text1" w:themeTint="F2"/>
                <w:lang w:val="sq-AL"/>
              </w:rPr>
              <w:t>Mungesa e fondeve të mjaftueshme për të punësuar/punuar mësues ndihmës</w:t>
            </w:r>
          </w:p>
        </w:tc>
        <w:tc>
          <w:tcPr>
            <w:tcW w:w="1417" w:type="dxa"/>
          </w:tcPr>
          <w:p w14:paraId="7C6C8F81" w14:textId="798FA374" w:rsidR="002C526F" w:rsidRPr="005208DC" w:rsidRDefault="002C526F"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 xml:space="preserve">E ulët </w:t>
            </w:r>
          </w:p>
        </w:tc>
        <w:tc>
          <w:tcPr>
            <w:tcW w:w="3957" w:type="dxa"/>
          </w:tcPr>
          <w:p w14:paraId="6BCA3388" w14:textId="167EA389" w:rsidR="002C526F" w:rsidRPr="005208DC" w:rsidRDefault="002C526F" w:rsidP="00857902">
            <w:pPr>
              <w:snapToGrid w:val="0"/>
              <w:rPr>
                <w:rFonts w:asciiTheme="majorBidi" w:hAnsiTheme="majorBidi" w:cstheme="majorBidi"/>
                <w:color w:val="0D0D0D" w:themeColor="text1" w:themeTint="F2"/>
                <w:lang w:val="sq-AL"/>
              </w:rPr>
            </w:pPr>
            <w:r w:rsidRPr="005208DC">
              <w:rPr>
                <w:rFonts w:ascii="Times New Roman" w:eastAsia="Times New Roman" w:hAnsi="Times New Roman"/>
                <w:color w:val="0D0D0D" w:themeColor="text1" w:themeTint="F2"/>
                <w:lang w:val="sq-AL"/>
              </w:rPr>
              <w:t>Planifikimi vjetor i buxhetit.</w:t>
            </w:r>
          </w:p>
        </w:tc>
      </w:tr>
    </w:tbl>
    <w:p w14:paraId="1A0F625E" w14:textId="77777777" w:rsidR="004F59F4" w:rsidRPr="005208DC" w:rsidRDefault="004F59F4" w:rsidP="00857902">
      <w:pPr>
        <w:snapToGrid w:val="0"/>
        <w:rPr>
          <w:rFonts w:asciiTheme="majorBidi" w:hAnsiTheme="majorBidi" w:cstheme="majorBidi"/>
          <w:color w:val="0D0D0D" w:themeColor="text1" w:themeTint="F2"/>
          <w:lang w:val="sq-AL"/>
        </w:rPr>
      </w:pPr>
    </w:p>
    <w:p w14:paraId="4A8219C9" w14:textId="77777777" w:rsidR="0030742B" w:rsidRPr="005208DC" w:rsidRDefault="0030742B" w:rsidP="00857902">
      <w:pPr>
        <w:rPr>
          <w:rFonts w:asciiTheme="majorBidi" w:hAnsiTheme="majorBidi" w:cstheme="majorBidi"/>
          <w:color w:val="0D0D0D" w:themeColor="text1" w:themeTint="F2"/>
          <w:lang w:val="sq-AL"/>
        </w:rPr>
      </w:pPr>
    </w:p>
    <w:p w14:paraId="41180AB5" w14:textId="744D8774" w:rsidR="00F30712" w:rsidRPr="005208DC" w:rsidRDefault="00B2062A" w:rsidP="00857902">
      <w:pPr>
        <w:pStyle w:val="Heading5"/>
        <w:snapToGrid w:val="0"/>
        <w:ind w:left="0"/>
        <w:rPr>
          <w:rFonts w:asciiTheme="majorBidi" w:hAnsiTheme="majorBidi" w:cstheme="majorBidi"/>
          <w:i w:val="0"/>
          <w:color w:val="0D0D0D" w:themeColor="text1" w:themeTint="F2"/>
          <w:sz w:val="24"/>
          <w:szCs w:val="24"/>
          <w:lang w:val="sq-AL"/>
        </w:rPr>
      </w:pPr>
      <w:r w:rsidRPr="005208DC">
        <w:rPr>
          <w:rFonts w:asciiTheme="majorBidi" w:hAnsiTheme="majorBidi" w:cstheme="majorBidi"/>
          <w:i w:val="0"/>
          <w:color w:val="0D0D0D" w:themeColor="text1" w:themeTint="F2"/>
          <w:sz w:val="24"/>
          <w:szCs w:val="24"/>
          <w:lang w:val="sq-AL"/>
        </w:rPr>
        <w:t>Masa e reformës</w:t>
      </w:r>
      <w:r w:rsidR="009D3B25" w:rsidRPr="005208DC">
        <w:rPr>
          <w:rFonts w:asciiTheme="majorBidi" w:hAnsiTheme="majorBidi" w:cstheme="majorBidi"/>
          <w:i w:val="0"/>
          <w:color w:val="0D0D0D" w:themeColor="text1" w:themeTint="F2"/>
          <w:sz w:val="24"/>
          <w:szCs w:val="24"/>
          <w:lang w:val="sq-AL"/>
        </w:rPr>
        <w:t xml:space="preserve"> </w:t>
      </w:r>
      <w:r w:rsidR="005358F8" w:rsidRPr="005208DC">
        <w:rPr>
          <w:rFonts w:asciiTheme="majorBidi" w:hAnsiTheme="majorBidi" w:cstheme="majorBidi"/>
          <w:i w:val="0"/>
          <w:color w:val="0D0D0D" w:themeColor="text1" w:themeTint="F2"/>
          <w:sz w:val="24"/>
          <w:szCs w:val="24"/>
          <w:lang w:val="sq-AL"/>
        </w:rPr>
        <w:t>19</w:t>
      </w:r>
      <w:r w:rsidR="00F30712" w:rsidRPr="005208DC">
        <w:rPr>
          <w:rFonts w:asciiTheme="majorBidi" w:hAnsiTheme="majorBidi" w:cstheme="majorBidi"/>
          <w:i w:val="0"/>
          <w:color w:val="0D0D0D" w:themeColor="text1" w:themeTint="F2"/>
          <w:sz w:val="24"/>
          <w:szCs w:val="24"/>
          <w:lang w:val="sq-AL"/>
        </w:rPr>
        <w:t>:</w:t>
      </w:r>
      <w:r w:rsidR="0001460F" w:rsidRPr="005208DC">
        <w:rPr>
          <w:rFonts w:asciiTheme="majorBidi" w:hAnsiTheme="majorBidi" w:cstheme="majorBidi"/>
          <w:i w:val="0"/>
          <w:color w:val="0D0D0D" w:themeColor="text1" w:themeTint="F2"/>
          <w:sz w:val="24"/>
          <w:szCs w:val="24"/>
          <w:lang w:val="sq-AL"/>
        </w:rPr>
        <w:t xml:space="preserve"> </w:t>
      </w:r>
      <w:r w:rsidR="002C526F" w:rsidRPr="005208DC">
        <w:rPr>
          <w:rFonts w:asciiTheme="majorBidi" w:hAnsiTheme="majorBidi" w:cstheme="majorBidi"/>
          <w:i w:val="0"/>
          <w:color w:val="0D0D0D" w:themeColor="text1" w:themeTint="F2"/>
          <w:sz w:val="24"/>
          <w:szCs w:val="24"/>
          <w:lang w:val="sq-AL"/>
        </w:rPr>
        <w:t>Zhvillimi dhe fuqizimi i kompetencës digjitale</w:t>
      </w:r>
    </w:p>
    <w:p w14:paraId="525F86FD" w14:textId="2B64F765" w:rsidR="00F30712" w:rsidRPr="005208DC" w:rsidRDefault="00B2062A" w:rsidP="00F957E8">
      <w:pPr>
        <w:pStyle w:val="Heading6"/>
        <w:numPr>
          <w:ilvl w:val="0"/>
          <w:numId w:val="101"/>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Përshkrimi i masës</w:t>
      </w:r>
    </w:p>
    <w:p w14:paraId="1B5EB924" w14:textId="77777777" w:rsidR="002C526F" w:rsidRPr="005208DC" w:rsidRDefault="002C526F"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TIK-u ka ndikuar shumë në mënyrën e ofrimit të shërbimeve arsimore, pasi ka potencialin t'u ofrojë studentëve mësim gjatë gjithë jetës, pjesëmarrje të plotë në shoqëri dhe sukses në jetën profesionale. Arritja e këtij qëllimi dikton zhvillimin e njohurive dhe aftësive digjitale të nxënësve dhe mësuesve. Studentët sot jetojnë dhe rriten në një botë digjitale, por edhe ata kanë nevojë për mbështetje në zhvillimin e kompetencës digjitale. Sfida më e madhe është për mësuesit. Përveç kompetencave digjitale të nevojshme për jetën e përditshme, mësuesit kanë nevojë për kompetenca specifike digjitale që u mundësojnë përdorimin e teknologjisë për të mbështetur, përmirësuar dhe transformuar procesin e mësimdhënies, si dhe për përgjegjësi të tjera në shkollë.</w:t>
      </w:r>
    </w:p>
    <w:p w14:paraId="1BF149BC" w14:textId="77777777" w:rsidR="002C526F" w:rsidRPr="005208DC" w:rsidRDefault="002C526F"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Në nivel evropian, këto kompetenca janë të përfshira në një kornizë kompetencash për mësuesit (European Framework for Digital Teacher Competence, DigComEdu). UNESCO ka hartuar gjithashtu Kornizën e Kompetencës së TIK-ut për Mësuesit (ICT CFT, versioni 3), si një dokument për të udhëhequr zhvillimin e mësuesve në përdorimin e TIK-ut.</w:t>
      </w:r>
    </w:p>
    <w:p w14:paraId="12A678DB" w14:textId="77777777" w:rsidR="002C526F" w:rsidRPr="005208DC" w:rsidRDefault="002C526F"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Ministria e Arsimit dhe Sportit, duke u mbështetur në trendet botërore të arsimit sot, ka vendosur si prioritet integrimin e TIK-ut dhe digjitalizimin e arsimit në Strategjinë Kombëtare të Arsimit, 2021-2026. MAS ka planifikuar hartimin dhe zbatimin e programeve të TIK-ut për herë të parë vit pas viti duke filluar nga klasa I në 2022, klasa II në 2023 dhe klasa III në 2024.</w:t>
      </w:r>
    </w:p>
    <w:p w14:paraId="5250B508" w14:textId="77777777" w:rsidR="002C526F" w:rsidRPr="005208DC" w:rsidRDefault="002C526F"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Përmirësimi i infrastrukturës digjitale, zhvillimi i vazhdueshëm profesional i mësuesve dhe drejtorëve të shkollave, mirëmbajtja e pajisjeve etj., vazhdojnë të mbeten prioritete për të ardhmen. Deri më tani për zhvillimin e aftësive digjitale janë realizuar:</w:t>
      </w:r>
    </w:p>
    <w:p w14:paraId="7D3DD9CE" w14:textId="77777777" w:rsidR="002C526F" w:rsidRPr="005208DC" w:rsidRDefault="002C526F" w:rsidP="00F957E8">
      <w:pPr>
        <w:pStyle w:val="ListParagraph"/>
        <w:widowControl/>
        <w:numPr>
          <w:ilvl w:val="1"/>
          <w:numId w:val="113"/>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Miratimi i standardeve profesionale të mësuesve për përdorimin e TIK-ut në procesin e mësimdhënies.</w:t>
      </w:r>
    </w:p>
    <w:p w14:paraId="48D9B53D" w14:textId="77777777" w:rsidR="002C526F" w:rsidRPr="005208DC" w:rsidRDefault="002C526F" w:rsidP="00F957E8">
      <w:pPr>
        <w:pStyle w:val="ListParagraph"/>
        <w:widowControl/>
        <w:numPr>
          <w:ilvl w:val="1"/>
          <w:numId w:val="113"/>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Hartimi i udhëzimeve për përdorimin e TIK-ut në procesin mësimor.</w:t>
      </w:r>
    </w:p>
    <w:p w14:paraId="630AB34F" w14:textId="77777777" w:rsidR="002C526F" w:rsidRPr="005208DC" w:rsidRDefault="002C526F" w:rsidP="00F957E8">
      <w:pPr>
        <w:pStyle w:val="ListParagraph"/>
        <w:widowControl/>
        <w:numPr>
          <w:ilvl w:val="1"/>
          <w:numId w:val="113"/>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Miratimi i moduleve dhe materialeve për trajnimin e mësuesve.</w:t>
      </w:r>
    </w:p>
    <w:p w14:paraId="2C8DC8D9" w14:textId="77777777" w:rsidR="002C526F" w:rsidRPr="005208DC" w:rsidRDefault="002C526F"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Rreth 1200 mësues të TIK-ut janë trajnuar për përdorimin e platformës akademi.al, si dhe 5508 mësues për përdorimin e platformave online në procesin mësimor, 724 drejtues rrjetesh profesionale për përdorimin e TIK-ut në vlerësimin e nxënësve në bazë të kompetencave.</w:t>
      </w:r>
    </w:p>
    <w:p w14:paraId="565EFCEE" w14:textId="77777777" w:rsidR="002C526F" w:rsidRPr="005208DC" w:rsidRDefault="002C526F"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Shqipëria do të vazhdojë të investojë në pajisjet digjitale dhe aksesin në internet në shkolla. Në funksion të kësaj, duhet të sigurohet balanca ndërmjet investimeve në lidhje me shpenzimet për pajisje dhe akses në internet dhe shpenzimet për mirëmbajtje teknike. Kjo përpjekje duhet të shoqërohet me sigurimin e pajisjeve në klasa, duke rritur ndjeshëm numrin e kompjuterëve që janë plotësisht funksionalë dhe të përdorshëm nga nxënësit në shkolla.</w:t>
      </w:r>
    </w:p>
    <w:p w14:paraId="151A16F9" w14:textId="77777777" w:rsidR="002C526F" w:rsidRPr="005208DC" w:rsidRDefault="002C526F"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Mirëmbajtja teknike e pajisjeve TIK përmes klubeve studentore dhe strukturës lokale arsimore është gjithashtu thelbësore. Në shkolla do të ngrihen klube nxënësish, të cilat së bashku me mësuesit e informatikës do të sigurojnë mirëmbajtjen elementare teknike të pajisjeve TIK, duke përfshirë instalimin dhe përditësimin e softuerit, konfigurimin e pajisjeve, si dhe parandalimin e defekteve të vogla. Për këto klube do të hartohen udhëzime të veçanta dhe do të ofrohen trajnime për mësuesit që drejtojnë klubet.</w:t>
      </w:r>
    </w:p>
    <w:p w14:paraId="3B5C27B4" w14:textId="2642029A" w:rsidR="002C526F" w:rsidRPr="005208DC" w:rsidRDefault="002C526F"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Kjo masë lidhet me Kriteret Ekonomike, për të qenë konkurrues në BE, gjë që kërkon një sasi të mjaftueshme kapitali njerëzor, arsim, kërkim, inovacion dhe zhvillime të ardhshme në këtë fushë.</w:t>
      </w:r>
    </w:p>
    <w:p w14:paraId="596BE5E0" w14:textId="77777777" w:rsidR="002C526F" w:rsidRPr="005208DC" w:rsidRDefault="002C526F" w:rsidP="00857902">
      <w:pPr>
        <w:snapToGrid w:val="0"/>
        <w:rPr>
          <w:rFonts w:asciiTheme="majorBidi" w:hAnsiTheme="majorBidi" w:cstheme="majorBidi"/>
          <w:color w:val="0D0D0D" w:themeColor="text1" w:themeTint="F2"/>
          <w:lang w:val="sq-AL"/>
        </w:rPr>
      </w:pPr>
    </w:p>
    <w:p w14:paraId="31892F49" w14:textId="63F795B9" w:rsidR="00F30712" w:rsidRPr="005208DC" w:rsidRDefault="00B2062A" w:rsidP="00F957E8">
      <w:pPr>
        <w:pStyle w:val="ListParagraph"/>
        <w:numPr>
          <w:ilvl w:val="0"/>
          <w:numId w:val="102"/>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F30712" w:rsidRPr="005208DC">
        <w:rPr>
          <w:rFonts w:asciiTheme="majorBidi" w:hAnsiTheme="majorBidi" w:cstheme="majorBidi"/>
          <w:b/>
          <w:color w:val="0D0D0D" w:themeColor="text1" w:themeTint="F2"/>
          <w:sz w:val="24"/>
          <w:szCs w:val="24"/>
          <w:lang w:val="sq-AL"/>
        </w:rPr>
        <w:t xml:space="preserve"> 2022</w:t>
      </w:r>
    </w:p>
    <w:p w14:paraId="16810F03" w14:textId="77777777" w:rsidR="002C526F" w:rsidRPr="005208DC" w:rsidRDefault="002C526F" w:rsidP="00F957E8">
      <w:pPr>
        <w:pStyle w:val="ListParagraph"/>
        <w:widowControl/>
        <w:numPr>
          <w:ilvl w:val="0"/>
          <w:numId w:val="103"/>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Hartimi dhe miratimi i programit të teknologjisë së informacionit dhe komunikimit dhe zbatimi i tij në klasën e parë.</w:t>
      </w:r>
    </w:p>
    <w:p w14:paraId="702994C4" w14:textId="77777777" w:rsidR="002C526F" w:rsidRPr="005208DC" w:rsidRDefault="002C526F" w:rsidP="00F957E8">
      <w:pPr>
        <w:pStyle w:val="ListParagraph"/>
        <w:widowControl/>
        <w:numPr>
          <w:ilvl w:val="0"/>
          <w:numId w:val="103"/>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Trajnimi i mësuesve TIK për zbatimin e programit në klasën e parë</w:t>
      </w:r>
    </w:p>
    <w:p w14:paraId="063D29A1" w14:textId="77777777" w:rsidR="002C526F" w:rsidRPr="005208DC" w:rsidRDefault="002C526F" w:rsidP="00F957E8">
      <w:pPr>
        <w:pStyle w:val="ListParagraph"/>
        <w:widowControl/>
        <w:numPr>
          <w:ilvl w:val="0"/>
          <w:numId w:val="103"/>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Rishikimi i programit ekzistues të klasës IV për të përfshirë aftësitë e kodimit dhe zbatimin e tij në 2022.</w:t>
      </w:r>
    </w:p>
    <w:p w14:paraId="7372B3DE" w14:textId="77777777" w:rsidR="002C526F" w:rsidRPr="005208DC" w:rsidRDefault="002C526F" w:rsidP="00F957E8">
      <w:pPr>
        <w:pStyle w:val="ListParagraph"/>
        <w:widowControl/>
        <w:numPr>
          <w:ilvl w:val="0"/>
          <w:numId w:val="103"/>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Trajnimi i mësuesve TIK për zbatimin e programit në klasën e katërt.</w:t>
      </w:r>
    </w:p>
    <w:p w14:paraId="6595168A" w14:textId="77777777" w:rsidR="002C526F" w:rsidRPr="005208DC" w:rsidRDefault="002C526F" w:rsidP="00F957E8">
      <w:pPr>
        <w:pStyle w:val="ListParagraph"/>
        <w:widowControl/>
        <w:numPr>
          <w:ilvl w:val="0"/>
          <w:numId w:val="103"/>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Përcaktimi i standardeve për pajisjet TIK në shkolla.</w:t>
      </w:r>
    </w:p>
    <w:p w14:paraId="52475B29" w14:textId="306E13D5" w:rsidR="002C526F" w:rsidRPr="005208DC" w:rsidRDefault="002C526F" w:rsidP="00F957E8">
      <w:pPr>
        <w:pStyle w:val="ListParagraph"/>
        <w:widowControl/>
        <w:numPr>
          <w:ilvl w:val="0"/>
          <w:numId w:val="103"/>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Investimi në rritjen e numrit të pajisjeve digjitale në shkolla.</w:t>
      </w:r>
    </w:p>
    <w:p w14:paraId="38352352" w14:textId="751087D5" w:rsidR="00F30712" w:rsidRPr="005208DC" w:rsidRDefault="00B2062A" w:rsidP="00F957E8">
      <w:pPr>
        <w:pStyle w:val="ListParagraph"/>
        <w:numPr>
          <w:ilvl w:val="0"/>
          <w:numId w:val="102"/>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F30712" w:rsidRPr="005208DC">
        <w:rPr>
          <w:rFonts w:asciiTheme="majorBidi" w:hAnsiTheme="majorBidi" w:cstheme="majorBidi"/>
          <w:b/>
          <w:color w:val="0D0D0D" w:themeColor="text1" w:themeTint="F2"/>
          <w:sz w:val="24"/>
          <w:szCs w:val="24"/>
          <w:lang w:val="sq-AL"/>
        </w:rPr>
        <w:t xml:space="preserve"> 2023</w:t>
      </w:r>
    </w:p>
    <w:p w14:paraId="3B283AB4" w14:textId="77777777" w:rsidR="002C526F" w:rsidRPr="005208DC" w:rsidRDefault="002C526F" w:rsidP="00F957E8">
      <w:pPr>
        <w:pStyle w:val="ListParagraph"/>
        <w:widowControl/>
        <w:numPr>
          <w:ilvl w:val="0"/>
          <w:numId w:val="104"/>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Hartimi dhe miratimi i programit të teknologjisë së informacionit dhe komunikimit dhe zbatimi i tij në klasën e dytë.</w:t>
      </w:r>
    </w:p>
    <w:p w14:paraId="1160D5F3" w14:textId="77777777" w:rsidR="002C526F" w:rsidRPr="005208DC" w:rsidRDefault="002C526F" w:rsidP="00F957E8">
      <w:pPr>
        <w:pStyle w:val="ListParagraph"/>
        <w:widowControl/>
        <w:numPr>
          <w:ilvl w:val="0"/>
          <w:numId w:val="104"/>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Trajnimi i mësuesve TIK për zbatimin e programit në klasën e dytë</w:t>
      </w:r>
    </w:p>
    <w:p w14:paraId="4AFC747D" w14:textId="77777777" w:rsidR="002C526F" w:rsidRPr="005208DC" w:rsidRDefault="002C526F" w:rsidP="00F957E8">
      <w:pPr>
        <w:pStyle w:val="ListParagraph"/>
        <w:widowControl/>
        <w:numPr>
          <w:ilvl w:val="0"/>
          <w:numId w:val="104"/>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Rishikimi i programit ekzistues të klasës V për të përfshirë aftësitë e kodimit dhe zbatimin e tij në 2023.</w:t>
      </w:r>
    </w:p>
    <w:p w14:paraId="520DB581" w14:textId="77777777" w:rsidR="002C526F" w:rsidRPr="005208DC" w:rsidRDefault="002C526F" w:rsidP="00F957E8">
      <w:pPr>
        <w:pStyle w:val="ListParagraph"/>
        <w:widowControl/>
        <w:numPr>
          <w:ilvl w:val="0"/>
          <w:numId w:val="104"/>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Trajnimi i mësuesve TIK për zbatimin e programit në klasën e pestë.</w:t>
      </w:r>
    </w:p>
    <w:p w14:paraId="72F8E463" w14:textId="77777777" w:rsidR="002C526F" w:rsidRPr="005208DC" w:rsidRDefault="002C526F" w:rsidP="00F957E8">
      <w:pPr>
        <w:pStyle w:val="ListParagraph"/>
        <w:widowControl/>
        <w:numPr>
          <w:ilvl w:val="0"/>
          <w:numId w:val="104"/>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Trajnimi i 1200 drejtuesve profesionistë të rrjetit mbi “Siguria e studentëve në Internet”.</w:t>
      </w:r>
    </w:p>
    <w:p w14:paraId="4838DD89" w14:textId="77777777" w:rsidR="002C526F" w:rsidRPr="005208DC" w:rsidRDefault="002C526F" w:rsidP="00F957E8">
      <w:pPr>
        <w:pStyle w:val="ListParagraph"/>
        <w:widowControl/>
        <w:numPr>
          <w:ilvl w:val="0"/>
          <w:numId w:val="104"/>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Trajnimi i 1200 drejtuesve të rrjeteve profesionale për zbatimin e standardeve profesionale të mësuesve si dhe për përdorimin e TIK-ut në procesin mësimor si pjesë e arsimit të kombinuar.</w:t>
      </w:r>
    </w:p>
    <w:p w14:paraId="753B7A1D" w14:textId="4897AA02" w:rsidR="002C526F" w:rsidRPr="005208DC" w:rsidRDefault="002C526F" w:rsidP="00F957E8">
      <w:pPr>
        <w:pStyle w:val="ListParagraph"/>
        <w:widowControl/>
        <w:numPr>
          <w:ilvl w:val="0"/>
          <w:numId w:val="104"/>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Investimi në rritjen e numrit të pajisjeve digjitale në shkolla</w:t>
      </w:r>
      <w:r w:rsidRPr="005208DC">
        <w:rPr>
          <w:rFonts w:ascii="Times New Roman" w:hAnsi="Times New Roman"/>
          <w:color w:val="0D0D0D" w:themeColor="text1" w:themeTint="F2"/>
          <w:lang w:val="sq-AL"/>
        </w:rPr>
        <w:t>.</w:t>
      </w:r>
    </w:p>
    <w:p w14:paraId="24424F9E" w14:textId="79F61B27" w:rsidR="00F30712" w:rsidRPr="005208DC" w:rsidRDefault="00B2062A" w:rsidP="00F957E8">
      <w:pPr>
        <w:pStyle w:val="ListParagraph"/>
        <w:numPr>
          <w:ilvl w:val="0"/>
          <w:numId w:val="102"/>
        </w:numPr>
        <w:snapToGrid w:val="0"/>
        <w:rPr>
          <w:rFonts w:asciiTheme="majorBidi" w:hAnsiTheme="majorBidi" w:cstheme="majorBidi"/>
          <w:b/>
          <w:color w:val="0D0D0D" w:themeColor="text1" w:themeTint="F2"/>
          <w:sz w:val="24"/>
          <w:szCs w:val="24"/>
          <w:lang w:val="sq-AL"/>
        </w:rPr>
      </w:pPr>
      <w:r w:rsidRPr="005208DC">
        <w:rPr>
          <w:rFonts w:asciiTheme="majorBidi" w:hAnsiTheme="majorBidi" w:cstheme="majorBidi"/>
          <w:b/>
          <w:color w:val="0D0D0D" w:themeColor="text1" w:themeTint="F2"/>
          <w:sz w:val="24"/>
          <w:szCs w:val="24"/>
          <w:lang w:val="sq-AL"/>
        </w:rPr>
        <w:t>Aktivitete të planifikuara në</w:t>
      </w:r>
      <w:r w:rsidR="00F30712" w:rsidRPr="005208DC">
        <w:rPr>
          <w:rFonts w:asciiTheme="majorBidi" w:hAnsiTheme="majorBidi" w:cstheme="majorBidi"/>
          <w:b/>
          <w:color w:val="0D0D0D" w:themeColor="text1" w:themeTint="F2"/>
          <w:sz w:val="24"/>
          <w:szCs w:val="24"/>
          <w:lang w:val="sq-AL"/>
        </w:rPr>
        <w:t xml:space="preserve"> 2024</w:t>
      </w:r>
    </w:p>
    <w:p w14:paraId="1A8D9861" w14:textId="77777777" w:rsidR="002C526F" w:rsidRPr="005208DC" w:rsidRDefault="002C526F" w:rsidP="00F957E8">
      <w:pPr>
        <w:pStyle w:val="ListParagraph"/>
        <w:widowControl/>
        <w:numPr>
          <w:ilvl w:val="0"/>
          <w:numId w:val="105"/>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Hartimi dhe miratimi i programit të teknologjisë së informacionit dhe komunikimit dhe zbatimi i tij në klasën e tretë.</w:t>
      </w:r>
    </w:p>
    <w:p w14:paraId="451B917D" w14:textId="77777777" w:rsidR="002C526F" w:rsidRPr="005208DC" w:rsidRDefault="002C526F" w:rsidP="00F957E8">
      <w:pPr>
        <w:pStyle w:val="ListParagraph"/>
        <w:widowControl/>
        <w:numPr>
          <w:ilvl w:val="0"/>
          <w:numId w:val="105"/>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Trajnimi i mësuesve TIK për zbatimin e programit në klasën e tretë.</w:t>
      </w:r>
    </w:p>
    <w:p w14:paraId="4DA9307E" w14:textId="77777777" w:rsidR="002C526F" w:rsidRPr="005208DC" w:rsidRDefault="002C526F" w:rsidP="00F957E8">
      <w:pPr>
        <w:pStyle w:val="ListParagraph"/>
        <w:widowControl/>
        <w:numPr>
          <w:ilvl w:val="0"/>
          <w:numId w:val="105"/>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Rishikimi i programit ekzistues të klasës VI për të përfshirë aftësitë e kodimit dhe zbatimin e tij në 2024.</w:t>
      </w:r>
    </w:p>
    <w:p w14:paraId="6EB62192" w14:textId="77777777" w:rsidR="002C526F" w:rsidRPr="005208DC" w:rsidRDefault="002C526F" w:rsidP="00F957E8">
      <w:pPr>
        <w:pStyle w:val="ListParagraph"/>
        <w:widowControl/>
        <w:numPr>
          <w:ilvl w:val="0"/>
          <w:numId w:val="105"/>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Trajnimi i mësuesve TIK për zbatimin e programit në klasën e gjashtë.</w:t>
      </w:r>
    </w:p>
    <w:p w14:paraId="5C32C909" w14:textId="31F9F3D8" w:rsidR="002C526F" w:rsidRPr="005208DC" w:rsidRDefault="002C526F" w:rsidP="00F957E8">
      <w:pPr>
        <w:pStyle w:val="ListParagraph"/>
        <w:widowControl/>
        <w:numPr>
          <w:ilvl w:val="0"/>
          <w:numId w:val="105"/>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Trajnime për mësues dhe drejtues shkollash mbi standardet e mësuesve për përdorimin e TIK-ut në sistemin arsimor para universitar nëpërmjet rrjeteve profesionale.</w:t>
      </w:r>
    </w:p>
    <w:p w14:paraId="6781E787" w14:textId="77777777" w:rsidR="002C526F" w:rsidRPr="005208DC" w:rsidRDefault="002C526F" w:rsidP="00F957E8">
      <w:pPr>
        <w:pStyle w:val="ListParagraph"/>
        <w:widowControl/>
        <w:numPr>
          <w:ilvl w:val="0"/>
          <w:numId w:val="105"/>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Investimi në rritjen e numrit të pajisjeve digjitale në shkolla.</w:t>
      </w:r>
    </w:p>
    <w:p w14:paraId="02801511" w14:textId="7D9C0785" w:rsidR="002C526F" w:rsidRPr="005208DC" w:rsidRDefault="002C526F" w:rsidP="00F957E8">
      <w:pPr>
        <w:pStyle w:val="ListParagraph"/>
        <w:widowControl/>
        <w:numPr>
          <w:ilvl w:val="0"/>
          <w:numId w:val="105"/>
        </w:numPr>
        <w:jc w:val="both"/>
        <w:rPr>
          <w:rFonts w:ascii="Times New Roman" w:hAnsi="Times New Roman" w:cs="Times New Roman"/>
          <w:color w:val="0D0D0D" w:themeColor="text1" w:themeTint="F2"/>
          <w:sz w:val="24"/>
          <w:szCs w:val="24"/>
          <w:lang w:val="sq-AL"/>
        </w:rPr>
      </w:pPr>
      <w:r w:rsidRPr="005208DC">
        <w:rPr>
          <w:rFonts w:ascii="Times New Roman" w:hAnsi="Times New Roman" w:cs="Times New Roman"/>
          <w:color w:val="0D0D0D" w:themeColor="text1" w:themeTint="F2"/>
          <w:sz w:val="24"/>
          <w:szCs w:val="24"/>
          <w:lang w:val="sq-AL"/>
        </w:rPr>
        <w:t>Mirëmbajtja teknike e pajisjeve TIK përmes klubeve studentore dhe strukturës lokale arsimore</w:t>
      </w:r>
      <w:r w:rsidRPr="005208DC">
        <w:rPr>
          <w:rFonts w:ascii="Times New Roman" w:hAnsi="Times New Roman"/>
          <w:color w:val="0D0D0D" w:themeColor="text1" w:themeTint="F2"/>
          <w:lang w:val="sq-AL"/>
        </w:rPr>
        <w:t>.</w:t>
      </w:r>
    </w:p>
    <w:p w14:paraId="7D221B7E" w14:textId="77777777" w:rsidR="0001460F" w:rsidRPr="005208DC" w:rsidRDefault="0001460F" w:rsidP="00857902">
      <w:pPr>
        <w:snapToGrid w:val="0"/>
        <w:rPr>
          <w:rFonts w:asciiTheme="majorBidi" w:hAnsiTheme="majorBidi" w:cstheme="majorBidi"/>
          <w:color w:val="0D0D0D" w:themeColor="text1" w:themeTint="F2"/>
          <w:lang w:val="sq-AL"/>
        </w:rPr>
      </w:pPr>
    </w:p>
    <w:p w14:paraId="5F9AE728" w14:textId="0632F95E" w:rsidR="00F30712" w:rsidRPr="005208DC" w:rsidRDefault="00B2062A" w:rsidP="00F957E8">
      <w:pPr>
        <w:pStyle w:val="Heading6"/>
        <w:numPr>
          <w:ilvl w:val="0"/>
          <w:numId w:val="101"/>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Treguesit e rezultateve</w:t>
      </w:r>
    </w:p>
    <w:tbl>
      <w:tblPr>
        <w:tblW w:w="10201" w:type="dxa"/>
        <w:tblLayout w:type="fixed"/>
        <w:tblLook w:val="04A0" w:firstRow="1" w:lastRow="0" w:firstColumn="1" w:lastColumn="0" w:noHBand="0" w:noVBand="1"/>
      </w:tblPr>
      <w:tblGrid>
        <w:gridCol w:w="5035"/>
        <w:gridCol w:w="1906"/>
        <w:gridCol w:w="1559"/>
        <w:gridCol w:w="1701"/>
      </w:tblGrid>
      <w:tr w:rsidR="005208DC" w:rsidRPr="005208DC" w14:paraId="74F90DDA" w14:textId="77777777" w:rsidTr="002B2B60">
        <w:trPr>
          <w:trHeight w:val="681"/>
        </w:trPr>
        <w:tc>
          <w:tcPr>
            <w:tcW w:w="5035" w:type="dxa"/>
            <w:tcBorders>
              <w:top w:val="single" w:sz="4" w:space="0" w:color="auto"/>
              <w:left w:val="single" w:sz="4" w:space="0" w:color="auto"/>
              <w:bottom w:val="single" w:sz="4" w:space="0" w:color="auto"/>
              <w:right w:val="single" w:sz="4" w:space="0" w:color="auto"/>
            </w:tcBorders>
            <w:shd w:val="clear" w:color="auto" w:fill="auto"/>
            <w:hideMark/>
          </w:tcPr>
          <w:p w14:paraId="2E45AF27" w14:textId="3528C925" w:rsidR="004F59F4" w:rsidRPr="005208DC" w:rsidRDefault="00B2062A" w:rsidP="00857902">
            <w:pPr>
              <w:rPr>
                <w:rFonts w:asciiTheme="majorBidi" w:eastAsia="Times New Roman" w:hAnsiTheme="majorBidi" w:cstheme="majorBidi"/>
                <w:bCs/>
                <w:color w:val="0D0D0D" w:themeColor="text1" w:themeTint="F2"/>
                <w:lang w:val="sq-AL"/>
              </w:rPr>
            </w:pPr>
            <w:r w:rsidRPr="005208DC">
              <w:rPr>
                <w:rFonts w:asciiTheme="majorBidi" w:eastAsia="Times New Roman" w:hAnsiTheme="majorBidi" w:cstheme="majorBidi"/>
                <w:bCs/>
                <w:color w:val="0D0D0D" w:themeColor="text1" w:themeTint="F2"/>
                <w:lang w:val="sq-AL"/>
              </w:rPr>
              <w:t>Tregues</w:t>
            </w:r>
          </w:p>
        </w:tc>
        <w:tc>
          <w:tcPr>
            <w:tcW w:w="1906" w:type="dxa"/>
            <w:tcBorders>
              <w:top w:val="single" w:sz="4" w:space="0" w:color="auto"/>
              <w:left w:val="nil"/>
              <w:bottom w:val="single" w:sz="4" w:space="0" w:color="auto"/>
              <w:right w:val="single" w:sz="4" w:space="0" w:color="auto"/>
            </w:tcBorders>
            <w:shd w:val="clear" w:color="auto" w:fill="auto"/>
            <w:hideMark/>
          </w:tcPr>
          <w:p w14:paraId="425D24F0" w14:textId="230D1F98" w:rsidR="004F59F4" w:rsidRPr="005208DC" w:rsidRDefault="00B2062A" w:rsidP="00857902">
            <w:pPr>
              <w:rPr>
                <w:rFonts w:asciiTheme="majorBidi" w:eastAsia="Times New Roman" w:hAnsiTheme="majorBidi" w:cstheme="majorBidi"/>
                <w:bCs/>
                <w:color w:val="0D0D0D" w:themeColor="text1" w:themeTint="F2"/>
                <w:lang w:val="sq-AL"/>
              </w:rPr>
            </w:pPr>
            <w:r w:rsidRPr="005208DC">
              <w:rPr>
                <w:rFonts w:asciiTheme="majorBidi" w:hAnsiTheme="majorBidi" w:cstheme="majorBidi"/>
                <w:color w:val="0D0D0D" w:themeColor="text1" w:themeTint="F2"/>
                <w:lang w:val="sq-AL"/>
              </w:rPr>
              <w:t>Bazë</w:t>
            </w:r>
            <w:r w:rsidR="004F59F4" w:rsidRPr="005208DC">
              <w:rPr>
                <w:rFonts w:asciiTheme="majorBidi" w:hAnsiTheme="majorBidi" w:cstheme="majorBidi"/>
                <w:color w:val="0D0D0D" w:themeColor="text1" w:themeTint="F2"/>
                <w:lang w:val="sq-AL"/>
              </w:rPr>
              <w:t xml:space="preserve"> (2022)</w:t>
            </w:r>
          </w:p>
        </w:tc>
        <w:tc>
          <w:tcPr>
            <w:tcW w:w="1559" w:type="dxa"/>
            <w:tcBorders>
              <w:top w:val="single" w:sz="4" w:space="0" w:color="auto"/>
              <w:left w:val="nil"/>
              <w:bottom w:val="single" w:sz="4" w:space="0" w:color="auto"/>
              <w:right w:val="single" w:sz="4" w:space="0" w:color="auto"/>
            </w:tcBorders>
            <w:shd w:val="clear" w:color="auto" w:fill="auto"/>
            <w:hideMark/>
          </w:tcPr>
          <w:p w14:paraId="0A5EE6C1" w14:textId="2D2F3719" w:rsidR="004F59F4" w:rsidRPr="005208DC" w:rsidRDefault="00B2062A" w:rsidP="00857902">
            <w:pPr>
              <w:rPr>
                <w:rFonts w:asciiTheme="majorBidi" w:eastAsia="Times New Roman" w:hAnsiTheme="majorBidi" w:cstheme="majorBidi"/>
                <w:bCs/>
                <w:color w:val="0D0D0D" w:themeColor="text1" w:themeTint="F2"/>
                <w:lang w:val="sq-AL"/>
              </w:rPr>
            </w:pPr>
            <w:r w:rsidRPr="005208DC">
              <w:rPr>
                <w:rFonts w:asciiTheme="majorBidi" w:hAnsiTheme="majorBidi" w:cstheme="majorBidi"/>
                <w:color w:val="0D0D0D" w:themeColor="text1" w:themeTint="F2"/>
                <w:lang w:val="sq-AL"/>
              </w:rPr>
              <w:t>I ndërmjetëm</w:t>
            </w:r>
            <w:r w:rsidR="004F59F4" w:rsidRPr="005208DC">
              <w:rPr>
                <w:rFonts w:asciiTheme="majorBidi" w:hAnsiTheme="majorBidi" w:cstheme="majorBidi"/>
                <w:color w:val="0D0D0D" w:themeColor="text1" w:themeTint="F2"/>
                <w:lang w:val="sq-AL"/>
              </w:rPr>
              <w:t xml:space="preserve"> (2023)</w:t>
            </w:r>
          </w:p>
        </w:tc>
        <w:tc>
          <w:tcPr>
            <w:tcW w:w="1701" w:type="dxa"/>
            <w:tcBorders>
              <w:top w:val="single" w:sz="4" w:space="0" w:color="auto"/>
              <w:left w:val="nil"/>
              <w:bottom w:val="single" w:sz="4" w:space="0" w:color="auto"/>
              <w:right w:val="single" w:sz="4" w:space="0" w:color="auto"/>
            </w:tcBorders>
            <w:shd w:val="clear" w:color="auto" w:fill="auto"/>
            <w:hideMark/>
          </w:tcPr>
          <w:p w14:paraId="75C72C3D" w14:textId="0376DA1E" w:rsidR="004F59F4" w:rsidRPr="005208DC" w:rsidRDefault="00B2062A" w:rsidP="00857902">
            <w:pPr>
              <w:rPr>
                <w:rFonts w:asciiTheme="majorBidi" w:eastAsia="Times New Roman" w:hAnsiTheme="majorBidi" w:cstheme="majorBidi"/>
                <w:bCs/>
                <w:color w:val="0D0D0D" w:themeColor="text1" w:themeTint="F2"/>
                <w:lang w:val="sq-AL"/>
              </w:rPr>
            </w:pPr>
            <w:r w:rsidRPr="005208DC">
              <w:rPr>
                <w:rFonts w:asciiTheme="majorBidi" w:hAnsiTheme="majorBidi" w:cstheme="majorBidi"/>
                <w:color w:val="0D0D0D" w:themeColor="text1" w:themeTint="F2"/>
                <w:lang w:val="sq-AL"/>
              </w:rPr>
              <w:t>Synimi</w:t>
            </w:r>
            <w:r w:rsidR="004F59F4" w:rsidRPr="005208DC">
              <w:rPr>
                <w:rFonts w:asciiTheme="majorBidi" w:hAnsiTheme="majorBidi" w:cstheme="majorBidi"/>
                <w:color w:val="0D0D0D" w:themeColor="text1" w:themeTint="F2"/>
                <w:lang w:val="sq-AL"/>
              </w:rPr>
              <w:t xml:space="preserve"> (2024)</w:t>
            </w:r>
          </w:p>
        </w:tc>
      </w:tr>
      <w:tr w:rsidR="005208DC" w:rsidRPr="005208DC" w14:paraId="345F328C" w14:textId="77777777" w:rsidTr="00020EB1">
        <w:trPr>
          <w:trHeight w:val="333"/>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2AC673FA" w14:textId="0C0CD794" w:rsidR="002C526F" w:rsidRPr="005208DC" w:rsidRDefault="002C526F" w:rsidP="00857902">
            <w:pPr>
              <w:snapToGrid w:val="0"/>
              <w:rPr>
                <w:rFonts w:asciiTheme="majorBidi" w:hAnsiTheme="majorBidi" w:cstheme="majorBidi"/>
                <w:color w:val="0D0D0D" w:themeColor="text1" w:themeTint="F2"/>
                <w:lang w:val="sq-AL"/>
              </w:rPr>
            </w:pPr>
            <w:r w:rsidRPr="005208DC">
              <w:rPr>
                <w:rFonts w:ascii="Times New Roman" w:eastAsia="Times New Roman" w:hAnsi="Times New Roman"/>
                <w:color w:val="0D0D0D" w:themeColor="text1" w:themeTint="F2"/>
                <w:lang w:val="sq-AL"/>
              </w:rPr>
              <w:t>Numri i mësuesve të trajnuar (TIK në klasën e parë, të dytë, të tretë)</w:t>
            </w:r>
          </w:p>
        </w:tc>
        <w:tc>
          <w:tcPr>
            <w:tcW w:w="1906" w:type="dxa"/>
            <w:tcBorders>
              <w:top w:val="single" w:sz="4" w:space="0" w:color="auto"/>
              <w:left w:val="nil"/>
              <w:bottom w:val="single" w:sz="4" w:space="0" w:color="auto"/>
              <w:right w:val="single" w:sz="4" w:space="0" w:color="auto"/>
            </w:tcBorders>
            <w:shd w:val="clear" w:color="auto" w:fill="auto"/>
            <w:vAlign w:val="center"/>
          </w:tcPr>
          <w:p w14:paraId="1A5C0335" w14:textId="63B6F38C" w:rsidR="002C526F" w:rsidRPr="005208DC" w:rsidRDefault="002C526F" w:rsidP="00857902">
            <w:pPr>
              <w:jc w:val="center"/>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500</w:t>
            </w:r>
          </w:p>
        </w:tc>
        <w:tc>
          <w:tcPr>
            <w:tcW w:w="1559" w:type="dxa"/>
            <w:tcBorders>
              <w:top w:val="single" w:sz="4" w:space="0" w:color="auto"/>
              <w:left w:val="nil"/>
              <w:bottom w:val="single" w:sz="4" w:space="0" w:color="auto"/>
              <w:right w:val="single" w:sz="4" w:space="0" w:color="auto"/>
            </w:tcBorders>
            <w:shd w:val="clear" w:color="auto" w:fill="auto"/>
          </w:tcPr>
          <w:p w14:paraId="56F3C35F" w14:textId="7CAA3732" w:rsidR="002C526F" w:rsidRPr="005208DC" w:rsidRDefault="002C526F" w:rsidP="00857902">
            <w:pPr>
              <w:jc w:val="center"/>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1000</w:t>
            </w:r>
          </w:p>
        </w:tc>
        <w:tc>
          <w:tcPr>
            <w:tcW w:w="1701" w:type="dxa"/>
            <w:tcBorders>
              <w:top w:val="single" w:sz="4" w:space="0" w:color="auto"/>
              <w:left w:val="nil"/>
              <w:bottom w:val="single" w:sz="4" w:space="0" w:color="auto"/>
              <w:right w:val="single" w:sz="4" w:space="0" w:color="auto"/>
            </w:tcBorders>
            <w:shd w:val="clear" w:color="auto" w:fill="auto"/>
          </w:tcPr>
          <w:p w14:paraId="609AF96A" w14:textId="2914643D" w:rsidR="002C526F" w:rsidRPr="005208DC" w:rsidRDefault="002C526F" w:rsidP="00857902">
            <w:pPr>
              <w:jc w:val="center"/>
              <w:rPr>
                <w:rFonts w:asciiTheme="majorBidi" w:eastAsia="Times New Roman" w:hAnsiTheme="majorBidi" w:cstheme="majorBidi"/>
                <w:bCs/>
                <w:color w:val="0D0D0D" w:themeColor="text1" w:themeTint="F2"/>
                <w:lang w:val="sq-AL"/>
              </w:rPr>
            </w:pPr>
            <w:r w:rsidRPr="005208DC">
              <w:rPr>
                <w:rFonts w:ascii="Times New Roman" w:hAnsi="Times New Roman"/>
                <w:color w:val="0D0D0D" w:themeColor="text1" w:themeTint="F2"/>
                <w:lang w:val="sq-AL"/>
              </w:rPr>
              <w:t xml:space="preserve">1000 </w:t>
            </w:r>
          </w:p>
        </w:tc>
      </w:tr>
      <w:tr w:rsidR="005208DC" w:rsidRPr="005208DC" w14:paraId="61C02C68" w14:textId="77777777" w:rsidTr="00020EB1">
        <w:trPr>
          <w:trHeight w:val="333"/>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2ECE9F01" w14:textId="0E56415E" w:rsidR="002C526F" w:rsidRPr="005208DC" w:rsidRDefault="002C526F" w:rsidP="00857902">
            <w:pPr>
              <w:snapToGrid w:val="0"/>
              <w:rPr>
                <w:rFonts w:asciiTheme="majorBidi" w:hAnsiTheme="majorBidi" w:cstheme="majorBidi"/>
                <w:color w:val="0D0D0D" w:themeColor="text1" w:themeTint="F2"/>
                <w:lang w:val="sq-AL"/>
              </w:rPr>
            </w:pPr>
            <w:r w:rsidRPr="005208DC">
              <w:rPr>
                <w:rFonts w:ascii="Times New Roman" w:eastAsia="Times New Roman" w:hAnsi="Times New Roman"/>
                <w:color w:val="0D0D0D" w:themeColor="text1" w:themeTint="F2"/>
                <w:lang w:val="sq-AL"/>
              </w:rPr>
              <w:t>Numri i mësuesve të trajnuar (TIK në klasën e katërt, të pestë, të gjashtë)</w:t>
            </w:r>
          </w:p>
        </w:tc>
        <w:tc>
          <w:tcPr>
            <w:tcW w:w="1906" w:type="dxa"/>
            <w:tcBorders>
              <w:top w:val="single" w:sz="4" w:space="0" w:color="auto"/>
              <w:left w:val="nil"/>
              <w:bottom w:val="single" w:sz="4" w:space="0" w:color="auto"/>
              <w:right w:val="single" w:sz="4" w:space="0" w:color="auto"/>
            </w:tcBorders>
            <w:shd w:val="clear" w:color="auto" w:fill="auto"/>
            <w:vAlign w:val="center"/>
          </w:tcPr>
          <w:p w14:paraId="47B6BD95" w14:textId="1E167862" w:rsidR="002C526F" w:rsidRPr="005208DC" w:rsidRDefault="002C526F" w:rsidP="00857902">
            <w:pPr>
              <w:jc w:val="center"/>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0</w:t>
            </w:r>
          </w:p>
        </w:tc>
        <w:tc>
          <w:tcPr>
            <w:tcW w:w="1559" w:type="dxa"/>
            <w:tcBorders>
              <w:top w:val="single" w:sz="4" w:space="0" w:color="auto"/>
              <w:left w:val="nil"/>
              <w:bottom w:val="single" w:sz="4" w:space="0" w:color="auto"/>
              <w:right w:val="single" w:sz="4" w:space="0" w:color="auto"/>
            </w:tcBorders>
            <w:shd w:val="clear" w:color="auto" w:fill="auto"/>
          </w:tcPr>
          <w:p w14:paraId="4893DD43" w14:textId="5F151B25" w:rsidR="002C526F" w:rsidRPr="005208DC" w:rsidRDefault="002C526F" w:rsidP="00857902">
            <w:pPr>
              <w:jc w:val="center"/>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500</w:t>
            </w:r>
          </w:p>
        </w:tc>
        <w:tc>
          <w:tcPr>
            <w:tcW w:w="1701" w:type="dxa"/>
            <w:tcBorders>
              <w:top w:val="single" w:sz="4" w:space="0" w:color="auto"/>
              <w:left w:val="nil"/>
              <w:bottom w:val="single" w:sz="4" w:space="0" w:color="auto"/>
              <w:right w:val="single" w:sz="4" w:space="0" w:color="auto"/>
            </w:tcBorders>
            <w:shd w:val="clear" w:color="auto" w:fill="auto"/>
          </w:tcPr>
          <w:p w14:paraId="6B9C2EE6" w14:textId="47BF4896" w:rsidR="002C526F" w:rsidRPr="005208DC" w:rsidRDefault="002C526F" w:rsidP="00857902">
            <w:pPr>
              <w:jc w:val="center"/>
              <w:rPr>
                <w:rFonts w:asciiTheme="majorBidi" w:eastAsia="Times New Roman" w:hAnsiTheme="majorBidi" w:cstheme="majorBidi"/>
                <w:bCs/>
                <w:color w:val="0D0D0D" w:themeColor="text1" w:themeTint="F2"/>
                <w:lang w:val="sq-AL"/>
              </w:rPr>
            </w:pPr>
            <w:r w:rsidRPr="005208DC">
              <w:rPr>
                <w:rFonts w:ascii="Times New Roman" w:hAnsi="Times New Roman"/>
                <w:color w:val="0D0D0D" w:themeColor="text1" w:themeTint="F2"/>
                <w:lang w:val="sq-AL"/>
              </w:rPr>
              <w:t>1000</w:t>
            </w:r>
          </w:p>
        </w:tc>
      </w:tr>
      <w:tr w:rsidR="005208DC" w:rsidRPr="005208DC" w14:paraId="492CECA9" w14:textId="77777777" w:rsidTr="00020EB1">
        <w:trPr>
          <w:trHeight w:val="333"/>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24747F8E" w14:textId="10507CC9" w:rsidR="002C526F" w:rsidRPr="005208DC" w:rsidRDefault="002C526F" w:rsidP="00857902">
            <w:pPr>
              <w:snapToGrid w:val="0"/>
              <w:rPr>
                <w:rFonts w:asciiTheme="majorBidi" w:hAnsiTheme="majorBidi" w:cstheme="majorBidi"/>
                <w:color w:val="0D0D0D" w:themeColor="text1" w:themeTint="F2"/>
                <w:lang w:val="sq-AL"/>
              </w:rPr>
            </w:pPr>
            <w:r w:rsidRPr="005208DC">
              <w:rPr>
                <w:rFonts w:ascii="Times New Roman" w:eastAsia="Times New Roman" w:hAnsi="Times New Roman"/>
                <w:color w:val="0D0D0D" w:themeColor="text1" w:themeTint="F2"/>
                <w:lang w:val="sq-AL"/>
              </w:rPr>
              <w:t>Trajnimi i drejtuesve të rrjeteve profesionale për TIK</w:t>
            </w:r>
          </w:p>
        </w:tc>
        <w:tc>
          <w:tcPr>
            <w:tcW w:w="1906" w:type="dxa"/>
            <w:tcBorders>
              <w:top w:val="single" w:sz="4" w:space="0" w:color="auto"/>
              <w:left w:val="nil"/>
              <w:bottom w:val="single" w:sz="4" w:space="0" w:color="auto"/>
              <w:right w:val="single" w:sz="4" w:space="0" w:color="auto"/>
            </w:tcBorders>
            <w:shd w:val="clear" w:color="auto" w:fill="auto"/>
            <w:vAlign w:val="center"/>
          </w:tcPr>
          <w:p w14:paraId="244E2209" w14:textId="7ACFD9C6" w:rsidR="002C526F" w:rsidRPr="005208DC" w:rsidRDefault="002C526F" w:rsidP="00857902">
            <w:pPr>
              <w:jc w:val="center"/>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0</w:t>
            </w:r>
          </w:p>
        </w:tc>
        <w:tc>
          <w:tcPr>
            <w:tcW w:w="1559" w:type="dxa"/>
            <w:tcBorders>
              <w:top w:val="single" w:sz="4" w:space="0" w:color="auto"/>
              <w:left w:val="nil"/>
              <w:bottom w:val="single" w:sz="4" w:space="0" w:color="auto"/>
              <w:right w:val="single" w:sz="4" w:space="0" w:color="auto"/>
            </w:tcBorders>
            <w:shd w:val="clear" w:color="auto" w:fill="auto"/>
          </w:tcPr>
          <w:p w14:paraId="647C76A1" w14:textId="12E267F6" w:rsidR="002C526F" w:rsidRPr="005208DC" w:rsidRDefault="002C526F" w:rsidP="00857902">
            <w:pPr>
              <w:jc w:val="center"/>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700</w:t>
            </w:r>
          </w:p>
        </w:tc>
        <w:tc>
          <w:tcPr>
            <w:tcW w:w="1701" w:type="dxa"/>
            <w:tcBorders>
              <w:top w:val="single" w:sz="4" w:space="0" w:color="auto"/>
              <w:left w:val="nil"/>
              <w:bottom w:val="single" w:sz="4" w:space="0" w:color="auto"/>
              <w:right w:val="single" w:sz="4" w:space="0" w:color="auto"/>
            </w:tcBorders>
            <w:shd w:val="clear" w:color="auto" w:fill="auto"/>
          </w:tcPr>
          <w:p w14:paraId="15DFE3A5" w14:textId="12BAF28E" w:rsidR="002C526F" w:rsidRPr="005208DC" w:rsidRDefault="002C526F" w:rsidP="00857902">
            <w:pPr>
              <w:jc w:val="center"/>
              <w:rPr>
                <w:rFonts w:asciiTheme="majorBidi" w:eastAsia="Times New Roman" w:hAnsiTheme="majorBidi" w:cstheme="majorBidi"/>
                <w:bCs/>
                <w:color w:val="0D0D0D" w:themeColor="text1" w:themeTint="F2"/>
                <w:lang w:val="sq-AL"/>
              </w:rPr>
            </w:pPr>
            <w:r w:rsidRPr="005208DC">
              <w:rPr>
                <w:rFonts w:ascii="Times New Roman" w:hAnsi="Times New Roman"/>
                <w:color w:val="0D0D0D" w:themeColor="text1" w:themeTint="F2"/>
                <w:lang w:val="sq-AL"/>
              </w:rPr>
              <w:t>1200</w:t>
            </w:r>
          </w:p>
        </w:tc>
      </w:tr>
    </w:tbl>
    <w:p w14:paraId="0F96FBC7" w14:textId="77777777" w:rsidR="004F59F4" w:rsidRPr="005208DC" w:rsidRDefault="004F59F4" w:rsidP="00857902">
      <w:pPr>
        <w:snapToGrid w:val="0"/>
        <w:rPr>
          <w:rFonts w:asciiTheme="majorBidi" w:hAnsiTheme="majorBidi" w:cstheme="majorBidi"/>
          <w:color w:val="0D0D0D" w:themeColor="text1" w:themeTint="F2"/>
          <w:lang w:val="sq-AL"/>
        </w:rPr>
      </w:pPr>
    </w:p>
    <w:p w14:paraId="43DED573" w14:textId="445235C6" w:rsidR="00F30712" w:rsidRPr="005208DC" w:rsidRDefault="00B2062A" w:rsidP="00F957E8">
      <w:pPr>
        <w:pStyle w:val="Heading6"/>
        <w:numPr>
          <w:ilvl w:val="0"/>
          <w:numId w:val="101"/>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konkurrueshmëri</w:t>
      </w:r>
    </w:p>
    <w:p w14:paraId="19FE3172" w14:textId="02E51855" w:rsidR="002C526F" w:rsidRPr="005208DC" w:rsidRDefault="002C526F" w:rsidP="00857902">
      <w:pPr>
        <w:jc w:val="both"/>
        <w:rPr>
          <w:rFonts w:asciiTheme="majorBidi" w:hAnsiTheme="majorBidi" w:cstheme="majorBidi"/>
          <w:color w:val="0D0D0D" w:themeColor="text1" w:themeTint="F2"/>
          <w:lang w:val="sq-AL" w:eastAsia="x-none"/>
        </w:rPr>
      </w:pPr>
      <w:r w:rsidRPr="005208DC">
        <w:rPr>
          <w:rFonts w:ascii="Times New Roman" w:hAnsi="Times New Roman"/>
          <w:color w:val="0D0D0D" w:themeColor="text1" w:themeTint="F2"/>
          <w:lang w:val="sq-AL"/>
        </w:rPr>
        <w:t>Teknologjia e informacionit dhe komunikimit (TIK), e cila përfshin kompjuterë, tabletë, telefona inteligjentë, tavolina ndërvepruese dhe aksesorë të tjerë, mund të ketë një ndikim pozitiv në përmirësimin e cilësisë së mësimdhënies, rritjen e motivimit dhe përmirësimin e performancës së studentëve, duke siguruar që të gjithë studentët të jenë në gjendje të marrin disa nivele të kompetencës digjitale për të përmbushur kërkesat e njohurive të shoqërive të shekullit të 21-të dhe për t'i mundësuar këtij brezi studentësh, në planin afatgjatë, të përgatiten më mirë për tregun e punës: qoftë si punonjës apo si krijues pune.</w:t>
      </w:r>
    </w:p>
    <w:p w14:paraId="395C037A" w14:textId="77777777" w:rsidR="002C526F" w:rsidRPr="005208DC" w:rsidRDefault="002C526F" w:rsidP="00857902">
      <w:pPr>
        <w:rPr>
          <w:rFonts w:asciiTheme="majorBidi" w:hAnsiTheme="majorBidi" w:cstheme="majorBidi"/>
          <w:color w:val="0D0D0D" w:themeColor="text1" w:themeTint="F2"/>
          <w:lang w:val="sq-AL" w:eastAsia="x-none"/>
        </w:rPr>
      </w:pPr>
    </w:p>
    <w:p w14:paraId="370EF7CF" w14:textId="4BD9C18F" w:rsidR="00F30712" w:rsidRPr="005208DC" w:rsidRDefault="00B2062A" w:rsidP="00F957E8">
      <w:pPr>
        <w:pStyle w:val="Heading6"/>
        <w:numPr>
          <w:ilvl w:val="0"/>
          <w:numId w:val="101"/>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Kosto e parashikuar e aktiviteteve dhe burimi i financimit</w:t>
      </w:r>
    </w:p>
    <w:tbl>
      <w:tblPr>
        <w:tblStyle w:val="TableGrid11"/>
        <w:tblW w:w="9701" w:type="dxa"/>
        <w:tblLayout w:type="fixed"/>
        <w:tblLook w:val="04A0" w:firstRow="1" w:lastRow="0" w:firstColumn="1" w:lastColumn="0" w:noHBand="0" w:noVBand="1"/>
      </w:tblPr>
      <w:tblGrid>
        <w:gridCol w:w="988"/>
        <w:gridCol w:w="5757"/>
        <w:gridCol w:w="1620"/>
        <w:gridCol w:w="1336"/>
      </w:tblGrid>
      <w:tr w:rsidR="005208DC" w:rsidRPr="005208DC" w14:paraId="30E15CFB" w14:textId="77777777" w:rsidTr="00020EB1">
        <w:trPr>
          <w:trHeight w:val="330"/>
        </w:trPr>
        <w:tc>
          <w:tcPr>
            <w:tcW w:w="988" w:type="dxa"/>
            <w:hideMark/>
          </w:tcPr>
          <w:p w14:paraId="0164489E" w14:textId="77777777" w:rsidR="002C526F" w:rsidRPr="005208DC" w:rsidRDefault="002C526F" w:rsidP="00857902">
            <w:pPr>
              <w:jc w:val="both"/>
              <w:rPr>
                <w:rFonts w:ascii="Times New Roman" w:hAnsi="Times New Roman" w:cs="Times New Roman"/>
                <w:b/>
                <w:bCs/>
                <w:color w:val="0D0D0D" w:themeColor="text1" w:themeTint="F2"/>
                <w:lang w:val="sq-AL"/>
              </w:rPr>
            </w:pPr>
            <w:r w:rsidRPr="005208DC">
              <w:rPr>
                <w:rFonts w:ascii="Times New Roman" w:hAnsi="Times New Roman" w:cs="Times New Roman"/>
                <w:b/>
                <w:bCs/>
                <w:color w:val="0D0D0D" w:themeColor="text1" w:themeTint="F2"/>
                <w:lang w:val="sq-AL"/>
              </w:rPr>
              <w:t>Viti</w:t>
            </w:r>
          </w:p>
        </w:tc>
        <w:tc>
          <w:tcPr>
            <w:tcW w:w="5757" w:type="dxa"/>
            <w:hideMark/>
          </w:tcPr>
          <w:p w14:paraId="7F428C2B" w14:textId="77777777" w:rsidR="002C526F" w:rsidRPr="005208DC" w:rsidRDefault="002C526F" w:rsidP="00857902">
            <w:pPr>
              <w:jc w:val="both"/>
              <w:rPr>
                <w:rFonts w:ascii="Times New Roman" w:hAnsi="Times New Roman" w:cs="Times New Roman"/>
                <w:b/>
                <w:bCs/>
                <w:color w:val="0D0D0D" w:themeColor="text1" w:themeTint="F2"/>
                <w:lang w:val="sq-AL"/>
              </w:rPr>
            </w:pPr>
            <w:r w:rsidRPr="005208DC">
              <w:rPr>
                <w:rFonts w:ascii="Times New Roman" w:hAnsi="Times New Roman" w:cs="Times New Roman"/>
                <w:b/>
                <w:bCs/>
                <w:color w:val="0D0D0D" w:themeColor="text1" w:themeTint="F2"/>
                <w:lang w:val="sq-AL"/>
              </w:rPr>
              <w:t>Aktiviteti</w:t>
            </w:r>
          </w:p>
        </w:tc>
        <w:tc>
          <w:tcPr>
            <w:tcW w:w="1620" w:type="dxa"/>
            <w:hideMark/>
          </w:tcPr>
          <w:p w14:paraId="3708455C" w14:textId="77777777" w:rsidR="002C526F" w:rsidRPr="005208DC" w:rsidRDefault="002C526F" w:rsidP="00857902">
            <w:pPr>
              <w:jc w:val="both"/>
              <w:rPr>
                <w:rFonts w:ascii="Times New Roman" w:hAnsi="Times New Roman" w:cs="Times New Roman"/>
                <w:b/>
                <w:bCs/>
                <w:color w:val="0D0D0D" w:themeColor="text1" w:themeTint="F2"/>
                <w:lang w:val="sq-AL"/>
              </w:rPr>
            </w:pPr>
            <w:r w:rsidRPr="005208DC">
              <w:rPr>
                <w:rFonts w:ascii="Times New Roman" w:hAnsi="Times New Roman" w:cs="Times New Roman"/>
                <w:b/>
                <w:bCs/>
                <w:color w:val="0D0D0D" w:themeColor="text1" w:themeTint="F2"/>
                <w:lang w:val="sq-AL"/>
              </w:rPr>
              <w:t>Kostoja e parashikuar</w:t>
            </w:r>
          </w:p>
        </w:tc>
        <w:tc>
          <w:tcPr>
            <w:tcW w:w="1336" w:type="dxa"/>
            <w:hideMark/>
          </w:tcPr>
          <w:p w14:paraId="5359A37A" w14:textId="77777777" w:rsidR="002C526F" w:rsidRPr="005208DC" w:rsidRDefault="002C526F" w:rsidP="00857902">
            <w:pPr>
              <w:jc w:val="both"/>
              <w:rPr>
                <w:rFonts w:ascii="Times New Roman" w:hAnsi="Times New Roman" w:cs="Times New Roman"/>
                <w:b/>
                <w:bCs/>
                <w:color w:val="0D0D0D" w:themeColor="text1" w:themeTint="F2"/>
                <w:lang w:val="sq-AL"/>
              </w:rPr>
            </w:pPr>
            <w:r w:rsidRPr="005208DC">
              <w:rPr>
                <w:rFonts w:ascii="Times New Roman" w:hAnsi="Times New Roman" w:cs="Times New Roman"/>
                <w:b/>
                <w:bCs/>
                <w:color w:val="0D0D0D" w:themeColor="text1" w:themeTint="F2"/>
                <w:lang w:val="sq-AL"/>
              </w:rPr>
              <w:t>Burimi i Financimit</w:t>
            </w:r>
          </w:p>
        </w:tc>
      </w:tr>
      <w:tr w:rsidR="005208DC" w:rsidRPr="005208DC" w14:paraId="0AB2F032" w14:textId="77777777" w:rsidTr="00020EB1">
        <w:trPr>
          <w:trHeight w:val="818"/>
        </w:trPr>
        <w:tc>
          <w:tcPr>
            <w:tcW w:w="988" w:type="dxa"/>
            <w:vMerge w:val="restart"/>
            <w:hideMark/>
          </w:tcPr>
          <w:p w14:paraId="50B8E4F8" w14:textId="77777777" w:rsidR="002C526F" w:rsidRPr="005208DC" w:rsidRDefault="002C526F" w:rsidP="00857902">
            <w:pPr>
              <w:jc w:val="both"/>
              <w:rPr>
                <w:rFonts w:ascii="Times New Roman" w:hAnsi="Times New Roman" w:cs="Times New Roman"/>
                <w:b/>
                <w:bCs/>
                <w:color w:val="0D0D0D" w:themeColor="text1" w:themeTint="F2"/>
                <w:lang w:val="sq-AL"/>
              </w:rPr>
            </w:pPr>
            <w:r w:rsidRPr="005208DC">
              <w:rPr>
                <w:rFonts w:ascii="Times New Roman" w:hAnsi="Times New Roman" w:cs="Times New Roman"/>
                <w:b/>
                <w:bCs/>
                <w:color w:val="0D0D0D" w:themeColor="text1" w:themeTint="F2"/>
                <w:lang w:val="sq-AL"/>
              </w:rPr>
              <w:t>2022</w:t>
            </w:r>
          </w:p>
        </w:tc>
        <w:tc>
          <w:tcPr>
            <w:tcW w:w="5757" w:type="dxa"/>
            <w:shd w:val="clear" w:color="auto" w:fill="auto"/>
          </w:tcPr>
          <w:p w14:paraId="6034EB7D"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Hartimi dhe miratimi i programit të teknologjisë së informacionit dhe komunikimit dhe zbatimi i tij në klasën e parë</w:t>
            </w:r>
          </w:p>
        </w:tc>
        <w:tc>
          <w:tcPr>
            <w:tcW w:w="1620" w:type="dxa"/>
            <w:shd w:val="clear" w:color="auto" w:fill="auto"/>
            <w:hideMark/>
          </w:tcPr>
          <w:p w14:paraId="693AFBBD"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700</w:t>
            </w:r>
          </w:p>
        </w:tc>
        <w:tc>
          <w:tcPr>
            <w:tcW w:w="1336" w:type="dxa"/>
            <w:shd w:val="clear" w:color="auto" w:fill="auto"/>
            <w:hideMark/>
          </w:tcPr>
          <w:p w14:paraId="16D87FFE" w14:textId="77777777" w:rsidR="002C526F" w:rsidRPr="005208DC" w:rsidRDefault="002C526F"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5F458E77" w14:textId="77777777" w:rsidTr="00020EB1">
        <w:trPr>
          <w:trHeight w:val="702"/>
        </w:trPr>
        <w:tc>
          <w:tcPr>
            <w:tcW w:w="988" w:type="dxa"/>
            <w:vMerge/>
            <w:hideMark/>
          </w:tcPr>
          <w:p w14:paraId="0DB55521" w14:textId="77777777" w:rsidR="002C526F" w:rsidRPr="005208DC" w:rsidRDefault="002C526F" w:rsidP="00857902">
            <w:pPr>
              <w:jc w:val="both"/>
              <w:rPr>
                <w:rFonts w:ascii="Times New Roman" w:hAnsi="Times New Roman" w:cs="Times New Roman"/>
                <w:b/>
                <w:bCs/>
                <w:color w:val="0D0D0D" w:themeColor="text1" w:themeTint="F2"/>
                <w:lang w:val="sq-AL"/>
              </w:rPr>
            </w:pPr>
          </w:p>
        </w:tc>
        <w:tc>
          <w:tcPr>
            <w:tcW w:w="5757" w:type="dxa"/>
            <w:shd w:val="clear" w:color="auto" w:fill="auto"/>
          </w:tcPr>
          <w:p w14:paraId="008F97DA"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Trajnimi i mësuesve TIK për zbatimin e programit në klasën e parë.</w:t>
            </w:r>
          </w:p>
        </w:tc>
        <w:tc>
          <w:tcPr>
            <w:tcW w:w="1620" w:type="dxa"/>
            <w:shd w:val="clear" w:color="auto" w:fill="auto"/>
            <w:hideMark/>
          </w:tcPr>
          <w:p w14:paraId="1FC136E7"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 xml:space="preserve">12 000 </w:t>
            </w:r>
          </w:p>
        </w:tc>
        <w:tc>
          <w:tcPr>
            <w:tcW w:w="1336" w:type="dxa"/>
            <w:shd w:val="clear" w:color="auto" w:fill="auto"/>
            <w:hideMark/>
          </w:tcPr>
          <w:p w14:paraId="5263F1F1" w14:textId="77777777" w:rsidR="002C526F" w:rsidRPr="005208DC" w:rsidRDefault="002C526F"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0452B0D2" w14:textId="77777777" w:rsidTr="00020EB1">
        <w:trPr>
          <w:trHeight w:val="710"/>
        </w:trPr>
        <w:tc>
          <w:tcPr>
            <w:tcW w:w="988" w:type="dxa"/>
            <w:vMerge/>
            <w:hideMark/>
          </w:tcPr>
          <w:p w14:paraId="0A776092" w14:textId="77777777" w:rsidR="002C526F" w:rsidRPr="005208DC" w:rsidRDefault="002C526F" w:rsidP="00857902">
            <w:pPr>
              <w:jc w:val="both"/>
              <w:rPr>
                <w:rFonts w:ascii="Times New Roman" w:hAnsi="Times New Roman" w:cs="Times New Roman"/>
                <w:b/>
                <w:bCs/>
                <w:color w:val="0D0D0D" w:themeColor="text1" w:themeTint="F2"/>
                <w:lang w:val="sq-AL"/>
              </w:rPr>
            </w:pPr>
          </w:p>
        </w:tc>
        <w:tc>
          <w:tcPr>
            <w:tcW w:w="5757" w:type="dxa"/>
            <w:shd w:val="clear" w:color="auto" w:fill="auto"/>
          </w:tcPr>
          <w:p w14:paraId="20C085C0"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Rishikimi i programit ekzistues të klasës IV për të përfshirë aftësitë e kodimit dhe zbatimin e tij në 2022.</w:t>
            </w:r>
          </w:p>
        </w:tc>
        <w:tc>
          <w:tcPr>
            <w:tcW w:w="1620" w:type="dxa"/>
            <w:shd w:val="clear" w:color="auto" w:fill="auto"/>
            <w:hideMark/>
          </w:tcPr>
          <w:p w14:paraId="14D7DFE2"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700</w:t>
            </w:r>
          </w:p>
        </w:tc>
        <w:tc>
          <w:tcPr>
            <w:tcW w:w="1336" w:type="dxa"/>
            <w:shd w:val="clear" w:color="auto" w:fill="auto"/>
            <w:hideMark/>
          </w:tcPr>
          <w:p w14:paraId="38B49F5E" w14:textId="77777777" w:rsidR="002C526F" w:rsidRPr="005208DC" w:rsidRDefault="002C526F"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4ABDE0F1" w14:textId="77777777" w:rsidTr="00020EB1">
        <w:trPr>
          <w:trHeight w:val="620"/>
        </w:trPr>
        <w:tc>
          <w:tcPr>
            <w:tcW w:w="988" w:type="dxa"/>
            <w:vMerge/>
            <w:hideMark/>
          </w:tcPr>
          <w:p w14:paraId="73560954" w14:textId="77777777" w:rsidR="002C526F" w:rsidRPr="005208DC" w:rsidRDefault="002C526F" w:rsidP="00857902">
            <w:pPr>
              <w:jc w:val="both"/>
              <w:rPr>
                <w:rFonts w:ascii="Times New Roman" w:hAnsi="Times New Roman" w:cs="Times New Roman"/>
                <w:b/>
                <w:bCs/>
                <w:color w:val="0D0D0D" w:themeColor="text1" w:themeTint="F2"/>
                <w:lang w:val="sq-AL"/>
              </w:rPr>
            </w:pPr>
          </w:p>
        </w:tc>
        <w:tc>
          <w:tcPr>
            <w:tcW w:w="5757" w:type="dxa"/>
            <w:shd w:val="clear" w:color="auto" w:fill="auto"/>
          </w:tcPr>
          <w:p w14:paraId="46B0DFB0"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Trajnimi i mësuesve TIK për zbatimin e programit në klasën e katërt.</w:t>
            </w:r>
          </w:p>
        </w:tc>
        <w:tc>
          <w:tcPr>
            <w:tcW w:w="1620" w:type="dxa"/>
            <w:shd w:val="clear" w:color="auto" w:fill="auto"/>
            <w:hideMark/>
          </w:tcPr>
          <w:p w14:paraId="0A824CAA"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 xml:space="preserve">12 000 </w:t>
            </w:r>
          </w:p>
        </w:tc>
        <w:tc>
          <w:tcPr>
            <w:tcW w:w="1336" w:type="dxa"/>
            <w:shd w:val="clear" w:color="auto" w:fill="auto"/>
            <w:hideMark/>
          </w:tcPr>
          <w:p w14:paraId="43C3D48C" w14:textId="77777777" w:rsidR="002C526F" w:rsidRPr="005208DC" w:rsidRDefault="002C526F"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41223052" w14:textId="77777777" w:rsidTr="00020EB1">
        <w:trPr>
          <w:trHeight w:val="529"/>
        </w:trPr>
        <w:tc>
          <w:tcPr>
            <w:tcW w:w="988" w:type="dxa"/>
            <w:vMerge/>
            <w:hideMark/>
          </w:tcPr>
          <w:p w14:paraId="716B4E78" w14:textId="77777777" w:rsidR="002C526F" w:rsidRPr="005208DC" w:rsidRDefault="002C526F" w:rsidP="00857902">
            <w:pPr>
              <w:jc w:val="both"/>
              <w:rPr>
                <w:rFonts w:ascii="Times New Roman" w:hAnsi="Times New Roman" w:cs="Times New Roman"/>
                <w:b/>
                <w:bCs/>
                <w:color w:val="0D0D0D" w:themeColor="text1" w:themeTint="F2"/>
                <w:lang w:val="sq-AL"/>
              </w:rPr>
            </w:pPr>
          </w:p>
        </w:tc>
        <w:tc>
          <w:tcPr>
            <w:tcW w:w="5757" w:type="dxa"/>
            <w:shd w:val="clear" w:color="auto" w:fill="auto"/>
          </w:tcPr>
          <w:p w14:paraId="3CAE5864"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Përcaktimi i standardeve për pajisjet TIK në shkolla.</w:t>
            </w:r>
          </w:p>
        </w:tc>
        <w:tc>
          <w:tcPr>
            <w:tcW w:w="1620" w:type="dxa"/>
            <w:shd w:val="clear" w:color="auto" w:fill="auto"/>
            <w:hideMark/>
          </w:tcPr>
          <w:p w14:paraId="0781C57B"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 xml:space="preserve">1,382,114 </w:t>
            </w:r>
          </w:p>
        </w:tc>
        <w:tc>
          <w:tcPr>
            <w:tcW w:w="1336" w:type="dxa"/>
            <w:shd w:val="clear" w:color="auto" w:fill="auto"/>
            <w:hideMark/>
          </w:tcPr>
          <w:p w14:paraId="1881A84C" w14:textId="77777777" w:rsidR="002C526F" w:rsidRPr="005208DC" w:rsidRDefault="002C526F"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7B9B00DA" w14:textId="77777777" w:rsidTr="00020EB1">
        <w:trPr>
          <w:trHeight w:val="888"/>
        </w:trPr>
        <w:tc>
          <w:tcPr>
            <w:tcW w:w="988" w:type="dxa"/>
            <w:vMerge w:val="restart"/>
            <w:hideMark/>
          </w:tcPr>
          <w:p w14:paraId="57A482EB" w14:textId="77777777" w:rsidR="002C526F" w:rsidRPr="005208DC" w:rsidRDefault="002C526F" w:rsidP="00857902">
            <w:pPr>
              <w:jc w:val="both"/>
              <w:rPr>
                <w:rFonts w:ascii="Times New Roman" w:hAnsi="Times New Roman" w:cs="Times New Roman"/>
                <w:b/>
                <w:bCs/>
                <w:color w:val="0D0D0D" w:themeColor="text1" w:themeTint="F2"/>
                <w:lang w:val="sq-AL"/>
              </w:rPr>
            </w:pPr>
            <w:r w:rsidRPr="005208DC">
              <w:rPr>
                <w:rFonts w:ascii="Times New Roman" w:hAnsi="Times New Roman" w:cs="Times New Roman"/>
                <w:b/>
                <w:bCs/>
                <w:color w:val="0D0D0D" w:themeColor="text1" w:themeTint="F2"/>
                <w:lang w:val="sq-AL"/>
              </w:rPr>
              <w:t>2023</w:t>
            </w:r>
          </w:p>
        </w:tc>
        <w:tc>
          <w:tcPr>
            <w:tcW w:w="5757" w:type="dxa"/>
            <w:shd w:val="clear" w:color="auto" w:fill="auto"/>
          </w:tcPr>
          <w:p w14:paraId="5D3F5600"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Hartimi dhe miratimi i programit të teknologjisë së informacionit dhe komunikimit dhe zbatimi i tij në klasën e dytë</w:t>
            </w:r>
          </w:p>
        </w:tc>
        <w:tc>
          <w:tcPr>
            <w:tcW w:w="1620" w:type="dxa"/>
            <w:shd w:val="clear" w:color="auto" w:fill="auto"/>
          </w:tcPr>
          <w:p w14:paraId="61D315AA"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700</w:t>
            </w:r>
          </w:p>
        </w:tc>
        <w:tc>
          <w:tcPr>
            <w:tcW w:w="1336" w:type="dxa"/>
            <w:shd w:val="clear" w:color="auto" w:fill="auto"/>
            <w:hideMark/>
          </w:tcPr>
          <w:p w14:paraId="79F30886" w14:textId="77777777" w:rsidR="002C526F" w:rsidRPr="005208DC" w:rsidRDefault="002C526F"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61A23479" w14:textId="77777777" w:rsidTr="00020EB1">
        <w:trPr>
          <w:trHeight w:val="602"/>
        </w:trPr>
        <w:tc>
          <w:tcPr>
            <w:tcW w:w="988" w:type="dxa"/>
            <w:vMerge/>
            <w:hideMark/>
          </w:tcPr>
          <w:p w14:paraId="047C94EC" w14:textId="77777777" w:rsidR="002C526F" w:rsidRPr="005208DC" w:rsidRDefault="002C526F" w:rsidP="00857902">
            <w:pPr>
              <w:jc w:val="both"/>
              <w:rPr>
                <w:rFonts w:ascii="Times New Roman" w:hAnsi="Times New Roman" w:cs="Times New Roman"/>
                <w:b/>
                <w:bCs/>
                <w:color w:val="0D0D0D" w:themeColor="text1" w:themeTint="F2"/>
                <w:lang w:val="sq-AL"/>
              </w:rPr>
            </w:pPr>
          </w:p>
        </w:tc>
        <w:tc>
          <w:tcPr>
            <w:tcW w:w="5757" w:type="dxa"/>
            <w:shd w:val="clear" w:color="auto" w:fill="auto"/>
          </w:tcPr>
          <w:p w14:paraId="3A69E09A"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Trajnimi i mësuesve TIK për zbatimin e programit në klasën e dytë.</w:t>
            </w:r>
          </w:p>
        </w:tc>
        <w:tc>
          <w:tcPr>
            <w:tcW w:w="1620" w:type="dxa"/>
            <w:shd w:val="clear" w:color="auto" w:fill="auto"/>
          </w:tcPr>
          <w:p w14:paraId="0ADA36A3"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12,000</w:t>
            </w:r>
          </w:p>
        </w:tc>
        <w:tc>
          <w:tcPr>
            <w:tcW w:w="1336" w:type="dxa"/>
            <w:shd w:val="clear" w:color="auto" w:fill="auto"/>
            <w:hideMark/>
          </w:tcPr>
          <w:p w14:paraId="706EB1A7" w14:textId="77777777" w:rsidR="002C526F" w:rsidRPr="005208DC" w:rsidRDefault="002C526F"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176DDCA8" w14:textId="77777777" w:rsidTr="00020EB1">
        <w:trPr>
          <w:trHeight w:val="620"/>
        </w:trPr>
        <w:tc>
          <w:tcPr>
            <w:tcW w:w="988" w:type="dxa"/>
            <w:vMerge/>
            <w:hideMark/>
          </w:tcPr>
          <w:p w14:paraId="26C3F9DF" w14:textId="77777777" w:rsidR="002C526F" w:rsidRPr="005208DC" w:rsidRDefault="002C526F" w:rsidP="00857902">
            <w:pPr>
              <w:jc w:val="both"/>
              <w:rPr>
                <w:rFonts w:ascii="Times New Roman" w:hAnsi="Times New Roman" w:cs="Times New Roman"/>
                <w:b/>
                <w:bCs/>
                <w:color w:val="0D0D0D" w:themeColor="text1" w:themeTint="F2"/>
                <w:lang w:val="sq-AL"/>
              </w:rPr>
            </w:pPr>
          </w:p>
        </w:tc>
        <w:tc>
          <w:tcPr>
            <w:tcW w:w="5757" w:type="dxa"/>
            <w:shd w:val="clear" w:color="auto" w:fill="auto"/>
          </w:tcPr>
          <w:p w14:paraId="4755B9C7"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Rishikimi i programit ekzistues të klasës V për të përfshirë aftësitë e kodimit dhe zbatimin e tij në 2023.</w:t>
            </w:r>
          </w:p>
        </w:tc>
        <w:tc>
          <w:tcPr>
            <w:tcW w:w="1620" w:type="dxa"/>
            <w:shd w:val="clear" w:color="auto" w:fill="auto"/>
          </w:tcPr>
          <w:p w14:paraId="3EC4D1FF"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700</w:t>
            </w:r>
          </w:p>
        </w:tc>
        <w:tc>
          <w:tcPr>
            <w:tcW w:w="1336" w:type="dxa"/>
            <w:shd w:val="clear" w:color="auto" w:fill="auto"/>
            <w:hideMark/>
          </w:tcPr>
          <w:p w14:paraId="1FB90126" w14:textId="77777777" w:rsidR="002C526F" w:rsidRPr="005208DC" w:rsidRDefault="002C526F"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78781A9E" w14:textId="77777777" w:rsidTr="00020EB1">
        <w:trPr>
          <w:trHeight w:val="694"/>
        </w:trPr>
        <w:tc>
          <w:tcPr>
            <w:tcW w:w="988" w:type="dxa"/>
            <w:vMerge/>
          </w:tcPr>
          <w:p w14:paraId="6CB6E84E" w14:textId="77777777" w:rsidR="002C526F" w:rsidRPr="005208DC" w:rsidRDefault="002C526F" w:rsidP="00857902">
            <w:pPr>
              <w:jc w:val="both"/>
              <w:rPr>
                <w:rFonts w:ascii="Times New Roman" w:hAnsi="Times New Roman" w:cs="Times New Roman"/>
                <w:b/>
                <w:bCs/>
                <w:color w:val="0D0D0D" w:themeColor="text1" w:themeTint="F2"/>
                <w:lang w:val="sq-AL"/>
              </w:rPr>
            </w:pPr>
          </w:p>
        </w:tc>
        <w:tc>
          <w:tcPr>
            <w:tcW w:w="5757" w:type="dxa"/>
            <w:shd w:val="clear" w:color="auto" w:fill="auto"/>
          </w:tcPr>
          <w:p w14:paraId="3FFAD8EB"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Trajnimi i mësuesve TIK për zbatimin e programit në klasën e pestë</w:t>
            </w:r>
          </w:p>
        </w:tc>
        <w:tc>
          <w:tcPr>
            <w:tcW w:w="1620" w:type="dxa"/>
            <w:shd w:val="clear" w:color="auto" w:fill="auto"/>
          </w:tcPr>
          <w:p w14:paraId="15608E75"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12,000</w:t>
            </w:r>
          </w:p>
        </w:tc>
        <w:tc>
          <w:tcPr>
            <w:tcW w:w="1336" w:type="dxa"/>
            <w:shd w:val="clear" w:color="auto" w:fill="auto"/>
          </w:tcPr>
          <w:p w14:paraId="3445E53D" w14:textId="77777777" w:rsidR="002C526F" w:rsidRPr="005208DC" w:rsidRDefault="002C526F"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331501DC" w14:textId="77777777" w:rsidTr="00020EB1">
        <w:trPr>
          <w:trHeight w:val="694"/>
        </w:trPr>
        <w:tc>
          <w:tcPr>
            <w:tcW w:w="988" w:type="dxa"/>
            <w:vMerge/>
          </w:tcPr>
          <w:p w14:paraId="32A207DA" w14:textId="77777777" w:rsidR="002C526F" w:rsidRPr="005208DC" w:rsidRDefault="002C526F" w:rsidP="00857902">
            <w:pPr>
              <w:jc w:val="both"/>
              <w:rPr>
                <w:rFonts w:ascii="Times New Roman" w:hAnsi="Times New Roman" w:cs="Times New Roman"/>
                <w:b/>
                <w:bCs/>
                <w:color w:val="0D0D0D" w:themeColor="text1" w:themeTint="F2"/>
                <w:lang w:val="sq-AL"/>
              </w:rPr>
            </w:pPr>
          </w:p>
        </w:tc>
        <w:tc>
          <w:tcPr>
            <w:tcW w:w="5757" w:type="dxa"/>
            <w:shd w:val="clear" w:color="auto" w:fill="auto"/>
          </w:tcPr>
          <w:p w14:paraId="0D13F1C4"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Trajnimi i 1200 drejtuesve profesionistë të rrjetit mbi "Siguria e studentëve në internet"</w:t>
            </w:r>
          </w:p>
        </w:tc>
        <w:tc>
          <w:tcPr>
            <w:tcW w:w="1620" w:type="dxa"/>
            <w:shd w:val="clear" w:color="auto" w:fill="auto"/>
          </w:tcPr>
          <w:p w14:paraId="512EAF30"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15,000</w:t>
            </w:r>
          </w:p>
        </w:tc>
        <w:tc>
          <w:tcPr>
            <w:tcW w:w="1336" w:type="dxa"/>
            <w:shd w:val="clear" w:color="auto" w:fill="auto"/>
          </w:tcPr>
          <w:p w14:paraId="0703AD1E" w14:textId="77777777" w:rsidR="002C526F" w:rsidRPr="005208DC" w:rsidRDefault="002C526F"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4CB6CBC3" w14:textId="77777777" w:rsidTr="00020EB1">
        <w:trPr>
          <w:trHeight w:val="694"/>
        </w:trPr>
        <w:tc>
          <w:tcPr>
            <w:tcW w:w="988" w:type="dxa"/>
            <w:vMerge/>
          </w:tcPr>
          <w:p w14:paraId="47F523F9" w14:textId="77777777" w:rsidR="002C526F" w:rsidRPr="005208DC" w:rsidRDefault="002C526F" w:rsidP="00857902">
            <w:pPr>
              <w:jc w:val="both"/>
              <w:rPr>
                <w:rFonts w:ascii="Times New Roman" w:hAnsi="Times New Roman" w:cs="Times New Roman"/>
                <w:b/>
                <w:bCs/>
                <w:color w:val="0D0D0D" w:themeColor="text1" w:themeTint="F2"/>
                <w:lang w:val="sq-AL"/>
              </w:rPr>
            </w:pPr>
          </w:p>
        </w:tc>
        <w:tc>
          <w:tcPr>
            <w:tcW w:w="5757" w:type="dxa"/>
            <w:shd w:val="clear" w:color="auto" w:fill="auto"/>
          </w:tcPr>
          <w:p w14:paraId="2271D323"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Përcaktimi i standardeve për pajisjet TIK në shkolla</w:t>
            </w:r>
          </w:p>
        </w:tc>
        <w:tc>
          <w:tcPr>
            <w:tcW w:w="1620" w:type="dxa"/>
            <w:shd w:val="clear" w:color="auto" w:fill="auto"/>
          </w:tcPr>
          <w:p w14:paraId="03BDAABA"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1,382,114</w:t>
            </w:r>
          </w:p>
        </w:tc>
        <w:tc>
          <w:tcPr>
            <w:tcW w:w="1336" w:type="dxa"/>
            <w:shd w:val="clear" w:color="auto" w:fill="auto"/>
          </w:tcPr>
          <w:p w14:paraId="1E4B6036" w14:textId="77777777" w:rsidR="002C526F" w:rsidRPr="005208DC" w:rsidRDefault="002C526F"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3897ED6F" w14:textId="77777777" w:rsidTr="00020EB1">
        <w:trPr>
          <w:trHeight w:val="694"/>
        </w:trPr>
        <w:tc>
          <w:tcPr>
            <w:tcW w:w="988" w:type="dxa"/>
            <w:vMerge/>
          </w:tcPr>
          <w:p w14:paraId="1BB3D102" w14:textId="77777777" w:rsidR="002C526F" w:rsidRPr="005208DC" w:rsidRDefault="002C526F" w:rsidP="00857902">
            <w:pPr>
              <w:jc w:val="both"/>
              <w:rPr>
                <w:rFonts w:ascii="Times New Roman" w:hAnsi="Times New Roman" w:cs="Times New Roman"/>
                <w:b/>
                <w:bCs/>
                <w:color w:val="0D0D0D" w:themeColor="text1" w:themeTint="F2"/>
                <w:lang w:val="sq-AL"/>
              </w:rPr>
            </w:pPr>
          </w:p>
        </w:tc>
        <w:tc>
          <w:tcPr>
            <w:tcW w:w="5757" w:type="dxa"/>
            <w:shd w:val="clear" w:color="auto" w:fill="auto"/>
          </w:tcPr>
          <w:p w14:paraId="5C65F30C"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Trajnimi i 1200 drejtuesve të rrjeteve profesionale për zbatimin e standardeve profesionale të mësuesve si dhe për përdorimin e TIK-ut në procesin mësimor si pjesë e arsimit të kombinuar.</w:t>
            </w:r>
          </w:p>
        </w:tc>
        <w:tc>
          <w:tcPr>
            <w:tcW w:w="1620" w:type="dxa"/>
            <w:shd w:val="clear" w:color="auto" w:fill="auto"/>
          </w:tcPr>
          <w:p w14:paraId="4E29EB79"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15,000</w:t>
            </w:r>
          </w:p>
        </w:tc>
        <w:tc>
          <w:tcPr>
            <w:tcW w:w="1336" w:type="dxa"/>
            <w:shd w:val="clear" w:color="auto" w:fill="auto"/>
          </w:tcPr>
          <w:p w14:paraId="393B722D" w14:textId="77777777" w:rsidR="002C526F" w:rsidRPr="005208DC" w:rsidRDefault="002C526F"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39AAD65C" w14:textId="77777777" w:rsidTr="00020EB1">
        <w:trPr>
          <w:trHeight w:val="694"/>
        </w:trPr>
        <w:tc>
          <w:tcPr>
            <w:tcW w:w="988" w:type="dxa"/>
            <w:vMerge w:val="restart"/>
          </w:tcPr>
          <w:p w14:paraId="377C80EF" w14:textId="77777777" w:rsidR="002C526F" w:rsidRPr="005208DC" w:rsidRDefault="002C526F" w:rsidP="00857902">
            <w:pPr>
              <w:jc w:val="both"/>
              <w:rPr>
                <w:rFonts w:ascii="Times New Roman" w:hAnsi="Times New Roman" w:cs="Times New Roman"/>
                <w:b/>
                <w:bCs/>
                <w:color w:val="0D0D0D" w:themeColor="text1" w:themeTint="F2"/>
                <w:lang w:val="sq-AL"/>
              </w:rPr>
            </w:pPr>
            <w:r w:rsidRPr="005208DC">
              <w:rPr>
                <w:rFonts w:ascii="Times New Roman" w:hAnsi="Times New Roman" w:cs="Times New Roman"/>
                <w:b/>
                <w:bCs/>
                <w:color w:val="0D0D0D" w:themeColor="text1" w:themeTint="F2"/>
                <w:lang w:val="sq-AL"/>
              </w:rPr>
              <w:t>2024</w:t>
            </w:r>
          </w:p>
        </w:tc>
        <w:tc>
          <w:tcPr>
            <w:tcW w:w="5757" w:type="dxa"/>
            <w:shd w:val="clear" w:color="auto" w:fill="auto"/>
          </w:tcPr>
          <w:p w14:paraId="3E6B20D9"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Hartimi dhe miratimi i programit të teknologjisë së informacionit dhe komunikimit dhe zbatimi i tij në klasën e tretë</w:t>
            </w:r>
          </w:p>
        </w:tc>
        <w:tc>
          <w:tcPr>
            <w:tcW w:w="1620" w:type="dxa"/>
            <w:shd w:val="clear" w:color="auto" w:fill="auto"/>
          </w:tcPr>
          <w:p w14:paraId="2ED7FE5F"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700</w:t>
            </w:r>
          </w:p>
        </w:tc>
        <w:tc>
          <w:tcPr>
            <w:tcW w:w="1336" w:type="dxa"/>
            <w:shd w:val="clear" w:color="auto" w:fill="auto"/>
          </w:tcPr>
          <w:p w14:paraId="2F465EAD" w14:textId="77777777" w:rsidR="002C526F" w:rsidRPr="005208DC" w:rsidRDefault="002C526F"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0F0631A4" w14:textId="77777777" w:rsidTr="00020EB1">
        <w:trPr>
          <w:trHeight w:val="694"/>
        </w:trPr>
        <w:tc>
          <w:tcPr>
            <w:tcW w:w="988" w:type="dxa"/>
            <w:vMerge/>
          </w:tcPr>
          <w:p w14:paraId="69EE5425" w14:textId="77777777" w:rsidR="002C526F" w:rsidRPr="005208DC" w:rsidRDefault="002C526F" w:rsidP="00857902">
            <w:pPr>
              <w:jc w:val="both"/>
              <w:rPr>
                <w:rFonts w:ascii="Times New Roman" w:hAnsi="Times New Roman" w:cs="Times New Roman"/>
                <w:b/>
                <w:bCs/>
                <w:color w:val="0D0D0D" w:themeColor="text1" w:themeTint="F2"/>
                <w:lang w:val="sq-AL"/>
              </w:rPr>
            </w:pPr>
          </w:p>
        </w:tc>
        <w:tc>
          <w:tcPr>
            <w:tcW w:w="5757" w:type="dxa"/>
          </w:tcPr>
          <w:p w14:paraId="771F0FA4"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Trajnimi i mësuesve TIK për zbatimin e programit në klasën e tretë</w:t>
            </w:r>
          </w:p>
        </w:tc>
        <w:tc>
          <w:tcPr>
            <w:tcW w:w="1620" w:type="dxa"/>
          </w:tcPr>
          <w:p w14:paraId="7DA7FE9C"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12,000</w:t>
            </w:r>
          </w:p>
        </w:tc>
        <w:tc>
          <w:tcPr>
            <w:tcW w:w="1336" w:type="dxa"/>
          </w:tcPr>
          <w:p w14:paraId="30DFA693" w14:textId="77777777" w:rsidR="002C526F" w:rsidRPr="005208DC" w:rsidRDefault="002C526F"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25FCE02C" w14:textId="77777777" w:rsidTr="00020EB1">
        <w:trPr>
          <w:trHeight w:val="694"/>
        </w:trPr>
        <w:tc>
          <w:tcPr>
            <w:tcW w:w="988" w:type="dxa"/>
            <w:vMerge/>
          </w:tcPr>
          <w:p w14:paraId="7BAB2B0E" w14:textId="77777777" w:rsidR="002C526F" w:rsidRPr="005208DC" w:rsidRDefault="002C526F" w:rsidP="00857902">
            <w:pPr>
              <w:jc w:val="both"/>
              <w:rPr>
                <w:rFonts w:ascii="Times New Roman" w:hAnsi="Times New Roman" w:cs="Times New Roman"/>
                <w:b/>
                <w:bCs/>
                <w:color w:val="0D0D0D" w:themeColor="text1" w:themeTint="F2"/>
                <w:lang w:val="sq-AL"/>
              </w:rPr>
            </w:pPr>
          </w:p>
        </w:tc>
        <w:tc>
          <w:tcPr>
            <w:tcW w:w="5757" w:type="dxa"/>
          </w:tcPr>
          <w:p w14:paraId="709FA70D"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Rishikimi i programit ekzistues të klasës VI për të përfshirë aftësitë e kodimit dhe zbatimin e tij në 2024.</w:t>
            </w:r>
          </w:p>
        </w:tc>
        <w:tc>
          <w:tcPr>
            <w:tcW w:w="1620" w:type="dxa"/>
          </w:tcPr>
          <w:p w14:paraId="37D89E60"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700</w:t>
            </w:r>
          </w:p>
        </w:tc>
        <w:tc>
          <w:tcPr>
            <w:tcW w:w="1336" w:type="dxa"/>
          </w:tcPr>
          <w:p w14:paraId="0C409E12" w14:textId="77777777" w:rsidR="002C526F" w:rsidRPr="005208DC" w:rsidRDefault="002C526F"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4CF3C631" w14:textId="77777777" w:rsidTr="00020EB1">
        <w:trPr>
          <w:trHeight w:val="694"/>
        </w:trPr>
        <w:tc>
          <w:tcPr>
            <w:tcW w:w="988" w:type="dxa"/>
            <w:vMerge/>
          </w:tcPr>
          <w:p w14:paraId="7130C455" w14:textId="77777777" w:rsidR="002C526F" w:rsidRPr="005208DC" w:rsidRDefault="002C526F" w:rsidP="00857902">
            <w:pPr>
              <w:jc w:val="both"/>
              <w:rPr>
                <w:rFonts w:ascii="Times New Roman" w:hAnsi="Times New Roman" w:cs="Times New Roman"/>
                <w:b/>
                <w:bCs/>
                <w:color w:val="0D0D0D" w:themeColor="text1" w:themeTint="F2"/>
                <w:lang w:val="sq-AL"/>
              </w:rPr>
            </w:pPr>
          </w:p>
        </w:tc>
        <w:tc>
          <w:tcPr>
            <w:tcW w:w="5757" w:type="dxa"/>
          </w:tcPr>
          <w:p w14:paraId="76E8F49A"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Trajnimi i mësuesve TIK për zbatimin e programit në klasën e gjashtë</w:t>
            </w:r>
          </w:p>
        </w:tc>
        <w:tc>
          <w:tcPr>
            <w:tcW w:w="1620" w:type="dxa"/>
          </w:tcPr>
          <w:p w14:paraId="61FC9E5F"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15,000</w:t>
            </w:r>
          </w:p>
        </w:tc>
        <w:tc>
          <w:tcPr>
            <w:tcW w:w="1336" w:type="dxa"/>
          </w:tcPr>
          <w:p w14:paraId="3354880A" w14:textId="77777777" w:rsidR="002C526F" w:rsidRPr="005208DC" w:rsidRDefault="002C526F"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27836522" w14:textId="77777777" w:rsidTr="00020EB1">
        <w:trPr>
          <w:trHeight w:val="694"/>
        </w:trPr>
        <w:tc>
          <w:tcPr>
            <w:tcW w:w="988" w:type="dxa"/>
            <w:vMerge/>
          </w:tcPr>
          <w:p w14:paraId="3F07287B" w14:textId="77777777" w:rsidR="002C526F" w:rsidRPr="005208DC" w:rsidRDefault="002C526F" w:rsidP="00857902">
            <w:pPr>
              <w:jc w:val="both"/>
              <w:rPr>
                <w:rFonts w:ascii="Times New Roman" w:hAnsi="Times New Roman" w:cs="Times New Roman"/>
                <w:b/>
                <w:bCs/>
                <w:color w:val="0D0D0D" w:themeColor="text1" w:themeTint="F2"/>
                <w:lang w:val="sq-AL"/>
              </w:rPr>
            </w:pPr>
          </w:p>
        </w:tc>
        <w:tc>
          <w:tcPr>
            <w:tcW w:w="5757" w:type="dxa"/>
          </w:tcPr>
          <w:p w14:paraId="10A8D8FE"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Trajnime për 5000 mësues dhe drejtues shkollash mbi standardet e mësuesve për përdorimin e TIK-ut në sistemin arsimor parauniversitar përmes rrjeteve profesionale.</w:t>
            </w:r>
          </w:p>
        </w:tc>
        <w:tc>
          <w:tcPr>
            <w:tcW w:w="1620" w:type="dxa"/>
          </w:tcPr>
          <w:p w14:paraId="389947BD"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60,000</w:t>
            </w:r>
          </w:p>
        </w:tc>
        <w:tc>
          <w:tcPr>
            <w:tcW w:w="1336" w:type="dxa"/>
          </w:tcPr>
          <w:p w14:paraId="6B61F1BA" w14:textId="77777777" w:rsidR="002C526F" w:rsidRPr="005208DC" w:rsidRDefault="002C526F"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58621F17" w14:textId="77777777" w:rsidTr="00020EB1">
        <w:trPr>
          <w:trHeight w:val="694"/>
        </w:trPr>
        <w:tc>
          <w:tcPr>
            <w:tcW w:w="988" w:type="dxa"/>
            <w:vMerge/>
          </w:tcPr>
          <w:p w14:paraId="76CB86DD" w14:textId="77777777" w:rsidR="002C526F" w:rsidRPr="005208DC" w:rsidRDefault="002C526F" w:rsidP="00857902">
            <w:pPr>
              <w:jc w:val="both"/>
              <w:rPr>
                <w:rFonts w:ascii="Times New Roman" w:hAnsi="Times New Roman" w:cs="Times New Roman"/>
                <w:b/>
                <w:bCs/>
                <w:color w:val="0D0D0D" w:themeColor="text1" w:themeTint="F2"/>
                <w:lang w:val="sq-AL"/>
              </w:rPr>
            </w:pPr>
          </w:p>
        </w:tc>
        <w:tc>
          <w:tcPr>
            <w:tcW w:w="5757" w:type="dxa"/>
          </w:tcPr>
          <w:p w14:paraId="7901D15B"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Përcaktimi i standardeve për pajisjet TIK në shkolla</w:t>
            </w:r>
          </w:p>
        </w:tc>
        <w:tc>
          <w:tcPr>
            <w:tcW w:w="1620" w:type="dxa"/>
          </w:tcPr>
          <w:p w14:paraId="55C980AD"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1,382,114</w:t>
            </w:r>
          </w:p>
        </w:tc>
        <w:tc>
          <w:tcPr>
            <w:tcW w:w="1336" w:type="dxa"/>
          </w:tcPr>
          <w:p w14:paraId="2E5A46FD" w14:textId="77777777" w:rsidR="002C526F" w:rsidRPr="005208DC" w:rsidRDefault="002C526F" w:rsidP="00857902">
            <w:pPr>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Buxheti i Shtetit</w:t>
            </w:r>
          </w:p>
        </w:tc>
      </w:tr>
      <w:tr w:rsidR="005208DC" w:rsidRPr="005208DC" w14:paraId="71D5F00C" w14:textId="77777777" w:rsidTr="00020EB1">
        <w:trPr>
          <w:trHeight w:val="694"/>
        </w:trPr>
        <w:tc>
          <w:tcPr>
            <w:tcW w:w="988" w:type="dxa"/>
            <w:vMerge/>
          </w:tcPr>
          <w:p w14:paraId="474FA4A0" w14:textId="77777777" w:rsidR="002C526F" w:rsidRPr="005208DC" w:rsidRDefault="002C526F" w:rsidP="00857902">
            <w:pPr>
              <w:jc w:val="both"/>
              <w:rPr>
                <w:rFonts w:ascii="Times New Roman" w:hAnsi="Times New Roman" w:cs="Times New Roman"/>
                <w:b/>
                <w:bCs/>
                <w:color w:val="0D0D0D" w:themeColor="text1" w:themeTint="F2"/>
                <w:lang w:val="sq-AL"/>
              </w:rPr>
            </w:pPr>
          </w:p>
        </w:tc>
        <w:tc>
          <w:tcPr>
            <w:tcW w:w="5757" w:type="dxa"/>
          </w:tcPr>
          <w:p w14:paraId="556B5DD9" w14:textId="77777777" w:rsidR="002C526F" w:rsidRPr="005208DC" w:rsidRDefault="002C526F" w:rsidP="00857902">
            <w:pPr>
              <w:jc w:val="both"/>
              <w:rPr>
                <w:rFonts w:ascii="Times New Roman" w:hAnsi="Times New Roman" w:cs="Times New Roman"/>
                <w:color w:val="0D0D0D" w:themeColor="text1" w:themeTint="F2"/>
                <w:lang w:val="sq-AL"/>
              </w:rPr>
            </w:pPr>
            <w:r w:rsidRPr="005208DC">
              <w:rPr>
                <w:rFonts w:ascii="Times New Roman" w:hAnsi="Times New Roman" w:cs="Times New Roman"/>
                <w:color w:val="0D0D0D" w:themeColor="text1" w:themeTint="F2"/>
                <w:lang w:val="sq-AL"/>
              </w:rPr>
              <w:t>Mirëmbajtja teknike e pajisjeve TIK përmes klubeve studentore dhe strukturës lokale arsimore</w:t>
            </w:r>
          </w:p>
        </w:tc>
        <w:tc>
          <w:tcPr>
            <w:tcW w:w="1620" w:type="dxa"/>
          </w:tcPr>
          <w:p w14:paraId="12FC31DD" w14:textId="77777777" w:rsidR="002C526F" w:rsidRPr="005208DC" w:rsidRDefault="002C526F" w:rsidP="00857902">
            <w:pPr>
              <w:jc w:val="both"/>
              <w:rPr>
                <w:rFonts w:ascii="Times New Roman" w:hAnsi="Times New Roman" w:cs="Times New Roman"/>
                <w:color w:val="0D0D0D" w:themeColor="text1" w:themeTint="F2"/>
                <w:lang w:val="sq-AL"/>
              </w:rPr>
            </w:pPr>
          </w:p>
        </w:tc>
        <w:tc>
          <w:tcPr>
            <w:tcW w:w="1336" w:type="dxa"/>
          </w:tcPr>
          <w:p w14:paraId="7011B191" w14:textId="77777777" w:rsidR="002C526F" w:rsidRPr="005208DC" w:rsidRDefault="002C526F" w:rsidP="00857902">
            <w:pPr>
              <w:jc w:val="both"/>
              <w:rPr>
                <w:rFonts w:ascii="Times New Roman" w:hAnsi="Times New Roman" w:cs="Times New Roman"/>
                <w:color w:val="0D0D0D" w:themeColor="text1" w:themeTint="F2"/>
                <w:lang w:val="sq-AL"/>
              </w:rPr>
            </w:pPr>
          </w:p>
        </w:tc>
      </w:tr>
    </w:tbl>
    <w:p w14:paraId="7E64F051" w14:textId="77777777" w:rsidR="002C526F" w:rsidRPr="005208DC" w:rsidRDefault="002C526F" w:rsidP="00857902">
      <w:pPr>
        <w:snapToGrid w:val="0"/>
        <w:rPr>
          <w:rFonts w:asciiTheme="majorBidi" w:hAnsiTheme="majorBidi" w:cstheme="majorBidi"/>
          <w:color w:val="0D0D0D" w:themeColor="text1" w:themeTint="F2"/>
          <w:lang w:val="sq-AL"/>
        </w:rPr>
      </w:pPr>
    </w:p>
    <w:p w14:paraId="263C2A0E" w14:textId="32A64849" w:rsidR="00F30712" w:rsidRPr="005208DC" w:rsidRDefault="00B2062A" w:rsidP="00F957E8">
      <w:pPr>
        <w:pStyle w:val="Heading6"/>
        <w:numPr>
          <w:ilvl w:val="0"/>
          <w:numId w:val="101"/>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përfundimet sociale si punësimi, ulja e varfërisë, barazia gjinore dhe aksesi në kujdesin shëndetësor</w:t>
      </w:r>
    </w:p>
    <w:p w14:paraId="051C3041" w14:textId="051E87A2" w:rsidR="002C526F" w:rsidRPr="005208DC" w:rsidRDefault="002C526F"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Masa konsiderohet neutrale ndaj gjinisë. Barazia gjinore do të respektohet gjatë gjithë zbatimit të masës.</w:t>
      </w:r>
    </w:p>
    <w:p w14:paraId="2573D447" w14:textId="77777777" w:rsidR="002C526F" w:rsidRPr="005208DC" w:rsidRDefault="002C526F" w:rsidP="00857902">
      <w:pPr>
        <w:snapToGrid w:val="0"/>
        <w:rPr>
          <w:rFonts w:asciiTheme="majorBidi" w:hAnsiTheme="majorBidi" w:cstheme="majorBidi"/>
          <w:color w:val="0D0D0D" w:themeColor="text1" w:themeTint="F2"/>
          <w:lang w:val="sq-AL"/>
        </w:rPr>
      </w:pPr>
    </w:p>
    <w:p w14:paraId="48F36588" w14:textId="0B194E79" w:rsidR="00F30712" w:rsidRPr="005208DC" w:rsidRDefault="00B2062A" w:rsidP="00F957E8">
      <w:pPr>
        <w:pStyle w:val="Heading6"/>
        <w:numPr>
          <w:ilvl w:val="0"/>
          <w:numId w:val="101"/>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Ndikimi i pritshëm në mjedis dhe ndryshimi i klimës</w:t>
      </w:r>
    </w:p>
    <w:p w14:paraId="1B438A4C" w14:textId="05C83C77" w:rsidR="002C526F" w:rsidRPr="005208DC" w:rsidRDefault="002C526F"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Masa nuk pritet të ketë ndikim në mjedis.</w:t>
      </w:r>
    </w:p>
    <w:p w14:paraId="091D5915" w14:textId="77777777" w:rsidR="002C526F" w:rsidRPr="005208DC" w:rsidRDefault="002C526F" w:rsidP="00857902">
      <w:pPr>
        <w:snapToGrid w:val="0"/>
        <w:rPr>
          <w:rFonts w:asciiTheme="majorBidi" w:hAnsiTheme="majorBidi" w:cstheme="majorBidi"/>
          <w:color w:val="0D0D0D" w:themeColor="text1" w:themeTint="F2"/>
          <w:lang w:val="sq-AL"/>
        </w:rPr>
      </w:pPr>
    </w:p>
    <w:p w14:paraId="0AF2F043" w14:textId="31498786" w:rsidR="00F30712" w:rsidRPr="005208DC" w:rsidRDefault="00B2062A" w:rsidP="00F957E8">
      <w:pPr>
        <w:pStyle w:val="Heading6"/>
        <w:numPr>
          <w:ilvl w:val="0"/>
          <w:numId w:val="101"/>
        </w:num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Rreziqet e mundshme</w:t>
      </w:r>
    </w:p>
    <w:tbl>
      <w:tblPr>
        <w:tblStyle w:val="TableGrid2"/>
        <w:tblW w:w="0" w:type="auto"/>
        <w:tblLook w:val="04A0" w:firstRow="1" w:lastRow="0" w:firstColumn="1" w:lastColumn="0" w:noHBand="0" w:noVBand="1"/>
      </w:tblPr>
      <w:tblGrid>
        <w:gridCol w:w="3816"/>
        <w:gridCol w:w="1558"/>
        <w:gridCol w:w="4233"/>
      </w:tblGrid>
      <w:tr w:rsidR="005208DC" w:rsidRPr="005208DC" w14:paraId="6A954B22" w14:textId="77777777" w:rsidTr="002B2B60">
        <w:tc>
          <w:tcPr>
            <w:tcW w:w="3816" w:type="dxa"/>
          </w:tcPr>
          <w:p w14:paraId="46B1275E" w14:textId="48043D4C" w:rsidR="00947108"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Rreziku</w:t>
            </w:r>
          </w:p>
        </w:tc>
        <w:tc>
          <w:tcPr>
            <w:tcW w:w="1558" w:type="dxa"/>
          </w:tcPr>
          <w:p w14:paraId="154026E7" w14:textId="2AF79016" w:rsidR="00947108"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Mundësia</w:t>
            </w:r>
            <w:r w:rsidR="00947108" w:rsidRPr="005208DC">
              <w:rPr>
                <w:rFonts w:asciiTheme="majorBidi" w:hAnsiTheme="majorBidi" w:cstheme="majorBidi"/>
                <w:color w:val="0D0D0D" w:themeColor="text1" w:themeTint="F2"/>
                <w:lang w:val="sq-AL"/>
              </w:rPr>
              <w:t xml:space="preserve"> (</w:t>
            </w:r>
            <w:r w:rsidRPr="005208DC">
              <w:rPr>
                <w:rFonts w:asciiTheme="majorBidi" w:hAnsiTheme="majorBidi" w:cstheme="majorBidi"/>
                <w:color w:val="0D0D0D" w:themeColor="text1" w:themeTint="F2"/>
                <w:lang w:val="sq-AL"/>
              </w:rPr>
              <w:t>e ulët, e lartë</w:t>
            </w:r>
            <w:r w:rsidR="00947108" w:rsidRPr="005208DC">
              <w:rPr>
                <w:rFonts w:asciiTheme="majorBidi" w:hAnsiTheme="majorBidi" w:cstheme="majorBidi"/>
                <w:color w:val="0D0D0D" w:themeColor="text1" w:themeTint="F2"/>
                <w:lang w:val="sq-AL"/>
              </w:rPr>
              <w:t>)</w:t>
            </w:r>
          </w:p>
        </w:tc>
        <w:tc>
          <w:tcPr>
            <w:tcW w:w="4233" w:type="dxa"/>
          </w:tcPr>
          <w:p w14:paraId="59213905" w14:textId="66A1FF43" w:rsidR="00947108" w:rsidRPr="005208DC" w:rsidRDefault="00B2062A" w:rsidP="00857902">
            <w:pPr>
              <w:snapToGrid w:val="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Veprimi zbutës i parashikuar</w:t>
            </w:r>
          </w:p>
        </w:tc>
      </w:tr>
      <w:tr w:rsidR="005208DC" w:rsidRPr="005208DC" w14:paraId="685D5353" w14:textId="77777777" w:rsidTr="002B2B60">
        <w:tc>
          <w:tcPr>
            <w:tcW w:w="3816" w:type="dxa"/>
          </w:tcPr>
          <w:p w14:paraId="7C703AC7" w14:textId="741E7EC6" w:rsidR="002C526F" w:rsidRPr="005208DC" w:rsidRDefault="002C526F" w:rsidP="00857902">
            <w:pPr>
              <w:snapToGrid w:val="0"/>
              <w:jc w:val="both"/>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Mungesa e mësuesve të trajnuar me profilin përkatës të TIK-ut për arsimin fillor (për klasën e parë, të dytë, të tretë, të katërt, të pestë)</w:t>
            </w:r>
          </w:p>
        </w:tc>
        <w:tc>
          <w:tcPr>
            <w:tcW w:w="1558" w:type="dxa"/>
          </w:tcPr>
          <w:p w14:paraId="788BE5EA" w14:textId="50F25DFA" w:rsidR="002C526F" w:rsidRPr="005208DC" w:rsidRDefault="002C526F"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I mesëm</w:t>
            </w:r>
          </w:p>
        </w:tc>
        <w:tc>
          <w:tcPr>
            <w:tcW w:w="4233" w:type="dxa"/>
          </w:tcPr>
          <w:p w14:paraId="2A004B81" w14:textId="7D0C16F5" w:rsidR="002C526F" w:rsidRPr="005208DC" w:rsidRDefault="002C526F"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Më shumë studentë të TIK-ut që diplomohen në profilin e mësimdhënies. Bashkëpunim me Institucionet e Arsimit të Lartë. Plani i veprimit për trajnimin e mësuesve të TIK-ut.</w:t>
            </w:r>
          </w:p>
        </w:tc>
      </w:tr>
      <w:tr w:rsidR="005208DC" w:rsidRPr="005208DC" w14:paraId="3F1628C4" w14:textId="77777777" w:rsidTr="002B2B60">
        <w:tc>
          <w:tcPr>
            <w:tcW w:w="3816" w:type="dxa"/>
          </w:tcPr>
          <w:p w14:paraId="5F529195" w14:textId="53D9BEB9" w:rsidR="002C526F" w:rsidRPr="005208DC" w:rsidRDefault="002C526F" w:rsidP="00857902">
            <w:pPr>
              <w:snapToGrid w:val="0"/>
              <w:jc w:val="both"/>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Vështirësi buxhetore në pajisjen e të gjitha shkollave me akses në rrjetin e internetit</w:t>
            </w:r>
          </w:p>
        </w:tc>
        <w:tc>
          <w:tcPr>
            <w:tcW w:w="1558" w:type="dxa"/>
          </w:tcPr>
          <w:p w14:paraId="7DA7F9AF" w14:textId="637693A6" w:rsidR="002C526F" w:rsidRPr="005208DC" w:rsidRDefault="002C526F"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I Ulët</w:t>
            </w:r>
          </w:p>
        </w:tc>
        <w:tc>
          <w:tcPr>
            <w:tcW w:w="4233" w:type="dxa"/>
          </w:tcPr>
          <w:p w14:paraId="3022B8BE" w14:textId="570B3C57" w:rsidR="002C526F" w:rsidRPr="005208DC" w:rsidRDefault="002C526F" w:rsidP="00857902">
            <w:pPr>
              <w:snapToGrid w:val="0"/>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Bashkëpunim me AKSHI-n dhe pushtetin vendor përgjegjës për administrimin e shkollës</w:t>
            </w:r>
          </w:p>
        </w:tc>
      </w:tr>
    </w:tbl>
    <w:p w14:paraId="53BAF761" w14:textId="77777777" w:rsidR="00947108" w:rsidRPr="005208DC" w:rsidRDefault="00947108" w:rsidP="00857902">
      <w:pPr>
        <w:snapToGrid w:val="0"/>
        <w:rPr>
          <w:rFonts w:asciiTheme="majorBidi" w:hAnsiTheme="majorBidi" w:cstheme="majorBidi"/>
          <w:color w:val="0D0D0D" w:themeColor="text1" w:themeTint="F2"/>
          <w:lang w:val="sq-AL"/>
        </w:rPr>
      </w:pPr>
    </w:p>
    <w:p w14:paraId="7C241C51" w14:textId="77777777" w:rsidR="0030742B" w:rsidRPr="005208DC" w:rsidRDefault="0030742B" w:rsidP="00857902">
      <w:pPr>
        <w:rPr>
          <w:rFonts w:asciiTheme="majorBidi" w:hAnsiTheme="majorBidi" w:cstheme="majorBidi"/>
          <w:color w:val="0D0D0D" w:themeColor="text1" w:themeTint="F2"/>
          <w:lang w:val="sq-AL"/>
        </w:rPr>
      </w:pPr>
    </w:p>
    <w:p w14:paraId="22CCF4AA" w14:textId="1E21396D" w:rsidR="00C21F03" w:rsidRPr="005208DC" w:rsidRDefault="002C526F" w:rsidP="00857902">
      <w:pPr>
        <w:pStyle w:val="Heading3"/>
        <w:numPr>
          <w:ilvl w:val="2"/>
          <w:numId w:val="1"/>
        </w:numPr>
        <w:snapToGrid w:val="0"/>
        <w:rPr>
          <w:rFonts w:asciiTheme="majorBidi" w:hAnsiTheme="majorBidi" w:cstheme="majorBidi"/>
          <w:b/>
          <w:color w:val="0D0D0D" w:themeColor="text1" w:themeTint="F2"/>
          <w:sz w:val="24"/>
          <w:szCs w:val="24"/>
          <w:lang w:val="sq-AL"/>
        </w:rPr>
      </w:pPr>
      <w:bookmarkStart w:id="85" w:name="_Toc92721154"/>
      <w:r w:rsidRPr="005208DC">
        <w:rPr>
          <w:rFonts w:asciiTheme="majorBidi" w:hAnsiTheme="majorBidi" w:cstheme="majorBidi"/>
          <w:b/>
          <w:color w:val="0D0D0D" w:themeColor="text1" w:themeTint="F2"/>
          <w:sz w:val="24"/>
          <w:szCs w:val="24"/>
          <w:lang w:val="sq-AL"/>
        </w:rPr>
        <w:t>Punësimi dhe tregjet e punës</w:t>
      </w:r>
      <w:bookmarkEnd w:id="85"/>
    </w:p>
    <w:p w14:paraId="4B0EC407" w14:textId="77777777" w:rsidR="008A08C2" w:rsidRPr="005208DC" w:rsidRDefault="008A08C2" w:rsidP="00857902">
      <w:pPr>
        <w:rPr>
          <w:rFonts w:asciiTheme="majorBidi" w:hAnsiTheme="majorBidi" w:cstheme="majorBidi"/>
          <w:color w:val="0D0D0D" w:themeColor="text1" w:themeTint="F2"/>
          <w:lang w:val="sq-AL"/>
        </w:rPr>
      </w:pPr>
    </w:p>
    <w:p w14:paraId="20409126" w14:textId="77777777" w:rsidR="00134993" w:rsidRPr="005208DC" w:rsidRDefault="00134993" w:rsidP="00857902">
      <w:pPr>
        <w:rPr>
          <w:rFonts w:asciiTheme="majorBidi" w:hAnsiTheme="majorBidi" w:cstheme="majorBidi"/>
          <w:color w:val="0D0D0D" w:themeColor="text1" w:themeTint="F2"/>
          <w:lang w:val="sq-AL"/>
        </w:rPr>
      </w:pPr>
    </w:p>
    <w:p w14:paraId="05F0CF27" w14:textId="5F0E23A5" w:rsidR="00C21F03" w:rsidRPr="005208DC" w:rsidRDefault="002C526F" w:rsidP="00857902">
      <w:pPr>
        <w:pStyle w:val="Heading3"/>
        <w:numPr>
          <w:ilvl w:val="2"/>
          <w:numId w:val="1"/>
        </w:numPr>
        <w:snapToGrid w:val="0"/>
        <w:rPr>
          <w:rFonts w:asciiTheme="majorBidi" w:hAnsiTheme="majorBidi" w:cstheme="majorBidi"/>
          <w:b/>
          <w:color w:val="0D0D0D" w:themeColor="text1" w:themeTint="F2"/>
          <w:sz w:val="24"/>
          <w:szCs w:val="24"/>
          <w:lang w:val="sq-AL"/>
        </w:rPr>
      </w:pPr>
      <w:bookmarkStart w:id="86" w:name="_Toc92721155"/>
      <w:r w:rsidRPr="005208DC">
        <w:rPr>
          <w:rFonts w:asciiTheme="majorBidi" w:hAnsiTheme="majorBidi" w:cstheme="majorBidi"/>
          <w:b/>
          <w:color w:val="0D0D0D" w:themeColor="text1" w:themeTint="F2"/>
          <w:sz w:val="24"/>
          <w:szCs w:val="24"/>
          <w:lang w:val="sq-AL"/>
        </w:rPr>
        <w:t>Mbrojtja dhe përfshirja sociale</w:t>
      </w:r>
      <w:bookmarkEnd w:id="86"/>
    </w:p>
    <w:p w14:paraId="0ED1C7B6" w14:textId="77777777" w:rsidR="008A08C2" w:rsidRPr="005208DC" w:rsidRDefault="008A08C2" w:rsidP="00857902">
      <w:pPr>
        <w:rPr>
          <w:rFonts w:asciiTheme="majorBidi" w:hAnsiTheme="majorBidi" w:cstheme="majorBidi"/>
          <w:color w:val="0D0D0D" w:themeColor="text1" w:themeTint="F2"/>
          <w:lang w:val="sq-AL"/>
        </w:rPr>
      </w:pPr>
    </w:p>
    <w:p w14:paraId="680D1D4B" w14:textId="77777777" w:rsidR="00134993" w:rsidRPr="005208DC" w:rsidRDefault="00134993" w:rsidP="00857902">
      <w:pPr>
        <w:rPr>
          <w:rFonts w:asciiTheme="majorBidi" w:hAnsiTheme="majorBidi" w:cstheme="majorBidi"/>
          <w:color w:val="0D0D0D" w:themeColor="text1" w:themeTint="F2"/>
          <w:lang w:val="sq-AL"/>
        </w:rPr>
      </w:pPr>
    </w:p>
    <w:p w14:paraId="75205504" w14:textId="000992A1" w:rsidR="00C21F03" w:rsidRPr="005208DC" w:rsidRDefault="002C526F" w:rsidP="00857902">
      <w:pPr>
        <w:pStyle w:val="Heading3"/>
        <w:numPr>
          <w:ilvl w:val="2"/>
          <w:numId w:val="1"/>
        </w:numPr>
        <w:snapToGrid w:val="0"/>
        <w:rPr>
          <w:rFonts w:asciiTheme="majorBidi" w:hAnsiTheme="majorBidi" w:cstheme="majorBidi"/>
          <w:b/>
          <w:color w:val="0D0D0D" w:themeColor="text1" w:themeTint="F2"/>
          <w:sz w:val="24"/>
          <w:szCs w:val="24"/>
          <w:lang w:val="sq-AL"/>
        </w:rPr>
      </w:pPr>
      <w:bookmarkStart w:id="87" w:name="_Toc92721156"/>
      <w:r w:rsidRPr="005208DC">
        <w:rPr>
          <w:rFonts w:asciiTheme="majorBidi" w:hAnsiTheme="majorBidi" w:cstheme="majorBidi"/>
          <w:b/>
          <w:color w:val="0D0D0D" w:themeColor="text1" w:themeTint="F2"/>
          <w:sz w:val="24"/>
          <w:szCs w:val="24"/>
          <w:lang w:val="sq-AL"/>
        </w:rPr>
        <w:t>Shëndetësia</w:t>
      </w:r>
      <w:bookmarkEnd w:id="87"/>
    </w:p>
    <w:p w14:paraId="6CA4817B" w14:textId="77777777" w:rsidR="00C21F03" w:rsidRPr="005208DC" w:rsidRDefault="00C21F03" w:rsidP="00857902">
      <w:pPr>
        <w:rPr>
          <w:rFonts w:asciiTheme="majorBidi" w:hAnsiTheme="majorBidi" w:cstheme="majorBidi"/>
          <w:color w:val="0D0D0D" w:themeColor="text1" w:themeTint="F2"/>
          <w:lang w:val="sq-AL"/>
        </w:rPr>
      </w:pPr>
    </w:p>
    <w:bookmarkEnd w:id="73"/>
    <w:bookmarkEnd w:id="74"/>
    <w:p w14:paraId="7DF31FA3" w14:textId="77777777" w:rsidR="000F7E5A" w:rsidRPr="005208DC" w:rsidRDefault="000F7E5A" w:rsidP="00857902">
      <w:pPr>
        <w:snapToGrid w:val="0"/>
        <w:rPr>
          <w:rFonts w:asciiTheme="majorBidi" w:hAnsiTheme="majorBidi" w:cstheme="majorBidi"/>
          <w:color w:val="0D0D0D" w:themeColor="text1" w:themeTint="F2"/>
          <w:lang w:val="sq-AL"/>
        </w:rPr>
      </w:pPr>
    </w:p>
    <w:p w14:paraId="7311A553" w14:textId="57AB84BB" w:rsidR="000F7E5A" w:rsidRPr="005208DC" w:rsidRDefault="005E44FE" w:rsidP="00857902">
      <w:pPr>
        <w:pStyle w:val="Heading2"/>
        <w:numPr>
          <w:ilvl w:val="1"/>
          <w:numId w:val="1"/>
        </w:numPr>
        <w:snapToGrid w:val="0"/>
        <w:rPr>
          <w:rFonts w:asciiTheme="majorBidi" w:hAnsiTheme="majorBidi" w:cstheme="majorBidi"/>
          <w:b/>
          <w:color w:val="0D0D0D" w:themeColor="text1" w:themeTint="F2"/>
          <w:lang w:val="sq-AL"/>
        </w:rPr>
      </w:pPr>
      <w:bookmarkStart w:id="88" w:name="_Toc92721157"/>
      <w:r w:rsidRPr="005208DC">
        <w:rPr>
          <w:rFonts w:asciiTheme="majorBidi" w:hAnsiTheme="majorBidi" w:cstheme="majorBidi"/>
          <w:b/>
          <w:color w:val="0D0D0D" w:themeColor="text1" w:themeTint="F2"/>
          <w:lang w:val="sq-AL"/>
        </w:rPr>
        <w:t>Përmbledhje e m</w:t>
      </w:r>
      <w:r w:rsidR="00B2062A" w:rsidRPr="005208DC">
        <w:rPr>
          <w:rFonts w:asciiTheme="majorBidi" w:hAnsiTheme="majorBidi" w:cstheme="majorBidi"/>
          <w:b/>
          <w:color w:val="0D0D0D" w:themeColor="text1" w:themeTint="F2"/>
          <w:lang w:val="sq-AL"/>
        </w:rPr>
        <w:t>asa</w:t>
      </w:r>
      <w:r w:rsidRPr="005208DC">
        <w:rPr>
          <w:rFonts w:asciiTheme="majorBidi" w:hAnsiTheme="majorBidi" w:cstheme="majorBidi"/>
          <w:b/>
          <w:color w:val="0D0D0D" w:themeColor="text1" w:themeTint="F2"/>
          <w:lang w:val="sq-AL"/>
        </w:rPr>
        <w:t>ve të</w:t>
      </w:r>
      <w:r w:rsidR="00B2062A" w:rsidRPr="005208DC">
        <w:rPr>
          <w:rFonts w:asciiTheme="majorBidi" w:hAnsiTheme="majorBidi" w:cstheme="majorBidi"/>
          <w:b/>
          <w:color w:val="0D0D0D" w:themeColor="text1" w:themeTint="F2"/>
          <w:lang w:val="sq-AL"/>
        </w:rPr>
        <w:t xml:space="preserve"> reformës</w:t>
      </w:r>
      <w:bookmarkEnd w:id="88"/>
    </w:p>
    <w:tbl>
      <w:tblPr>
        <w:tblStyle w:val="TableGrid"/>
        <w:tblW w:w="0" w:type="auto"/>
        <w:tblLook w:val="04A0" w:firstRow="1" w:lastRow="0" w:firstColumn="1" w:lastColumn="0" w:noHBand="0" w:noVBand="1"/>
      </w:tblPr>
      <w:tblGrid>
        <w:gridCol w:w="10343"/>
      </w:tblGrid>
      <w:tr w:rsidR="005208DC" w:rsidRPr="005208DC" w14:paraId="44E5FA94" w14:textId="77777777" w:rsidTr="007905B3">
        <w:tc>
          <w:tcPr>
            <w:tcW w:w="10343" w:type="dxa"/>
          </w:tcPr>
          <w:p w14:paraId="1CC7AF06" w14:textId="77777777" w:rsidR="003276FB" w:rsidRPr="005208DC" w:rsidRDefault="003276FB" w:rsidP="00857902">
            <w:pPr>
              <w:pStyle w:val="ListParagraph"/>
              <w:numPr>
                <w:ilvl w:val="0"/>
                <w:numId w:val="22"/>
              </w:numPr>
              <w:snapToGrid w:val="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Reformat që trajtojnë tre sfidat kyçe</w:t>
            </w:r>
          </w:p>
          <w:p w14:paraId="33922E88" w14:textId="77777777" w:rsidR="003276FB" w:rsidRPr="005208DC" w:rsidRDefault="003276FB" w:rsidP="00857902">
            <w:pPr>
              <w:pStyle w:val="ListParagraph"/>
              <w:snapToGrid w:val="0"/>
              <w:ind w:left="720" w:firstLine="0"/>
              <w:rPr>
                <w:rFonts w:asciiTheme="majorBidi" w:hAnsiTheme="majorBidi" w:cstheme="majorBidi"/>
                <w:color w:val="0D0D0D" w:themeColor="text1" w:themeTint="F2"/>
                <w:sz w:val="24"/>
                <w:szCs w:val="24"/>
                <w:lang w:val="sq-AL"/>
              </w:rPr>
            </w:pPr>
          </w:p>
          <w:p w14:paraId="0A0FD779" w14:textId="77777777" w:rsidR="003276FB" w:rsidRPr="005208DC" w:rsidRDefault="003276FB" w:rsidP="00857902">
            <w:pPr>
              <w:pStyle w:val="ListParagraph"/>
              <w:snapToGrid w:val="0"/>
              <w:ind w:left="72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Sfida Kyçe #1</w:t>
            </w:r>
          </w:p>
          <w:p w14:paraId="1CC9FC0D" w14:textId="77777777" w:rsidR="003276FB" w:rsidRPr="005208DC" w:rsidRDefault="003276FB" w:rsidP="00857902">
            <w:pPr>
              <w:pStyle w:val="ListParagraph"/>
              <w:snapToGrid w:val="0"/>
              <w:ind w:left="108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Reforma 01: Rritja e cilësisë dhe aksesit në AFP</w:t>
            </w:r>
          </w:p>
          <w:p w14:paraId="0BD72FF4" w14:textId="77777777" w:rsidR="003276FB" w:rsidRPr="005208DC" w:rsidRDefault="003276FB" w:rsidP="00857902">
            <w:pPr>
              <w:pStyle w:val="ListParagraph"/>
              <w:snapToGrid w:val="0"/>
              <w:ind w:left="108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Reforma 02: Përmirësimi i punesueshmerise te punëkërkuesve te papune me te cenuar veçanërisht ata te prekur nga COVID-19, përmes PNP-ve te reja dhe te rishikuara dhe shërbimeve të punësimit</w:t>
            </w:r>
          </w:p>
          <w:p w14:paraId="59576414" w14:textId="77777777" w:rsidR="003276FB" w:rsidRPr="005208DC" w:rsidRDefault="003276FB" w:rsidP="00857902">
            <w:pPr>
              <w:pStyle w:val="ListParagraph"/>
              <w:snapToGrid w:val="0"/>
              <w:ind w:left="108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Reforma 03: Përmirësimi i kapaciteteve institucionale, financiare dhe njerëzore për kërkim dhe inovacion</w:t>
            </w:r>
          </w:p>
          <w:p w14:paraId="08A73533" w14:textId="77777777" w:rsidR="003276FB" w:rsidRPr="005208DC" w:rsidRDefault="003276FB" w:rsidP="00857902">
            <w:pPr>
              <w:pStyle w:val="ListParagraph"/>
              <w:snapToGrid w:val="0"/>
              <w:ind w:left="720"/>
              <w:rPr>
                <w:rFonts w:asciiTheme="majorBidi" w:hAnsiTheme="majorBidi" w:cstheme="majorBidi"/>
                <w:color w:val="0D0D0D" w:themeColor="text1" w:themeTint="F2"/>
                <w:sz w:val="24"/>
                <w:szCs w:val="24"/>
                <w:lang w:val="sq-AL"/>
              </w:rPr>
            </w:pPr>
          </w:p>
          <w:p w14:paraId="11B0A884" w14:textId="77777777" w:rsidR="003276FB" w:rsidRPr="005208DC" w:rsidRDefault="003276FB" w:rsidP="00857902">
            <w:pPr>
              <w:pStyle w:val="ListParagraph"/>
              <w:snapToGrid w:val="0"/>
              <w:ind w:left="72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Sfida Kyçe #2</w:t>
            </w:r>
          </w:p>
          <w:p w14:paraId="413D9244" w14:textId="77777777" w:rsidR="003276FB" w:rsidRPr="005208DC" w:rsidRDefault="003276FB" w:rsidP="00857902">
            <w:pPr>
              <w:pStyle w:val="ListParagraph"/>
              <w:snapToGrid w:val="0"/>
              <w:ind w:left="108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 xml:space="preserve">Reforma 04: </w:t>
            </w:r>
            <w:r w:rsidRPr="005208DC">
              <w:rPr>
                <w:rFonts w:ascii="Times New Roman" w:hAnsi="Times New Roman"/>
                <w:color w:val="0D0D0D" w:themeColor="text1" w:themeTint="F2"/>
                <w:sz w:val="24"/>
                <w:szCs w:val="24"/>
                <w:lang w:val="sq-AL"/>
              </w:rPr>
              <w:t>Rritja e mbulimit dhe përshtatshmërisë së mbrojtjes sociale dhe sigurimeve shëndetësore për të ulur përqindjen e popullsisë së rrezikuar nga varfëria</w:t>
            </w:r>
          </w:p>
          <w:p w14:paraId="72210B06" w14:textId="77777777" w:rsidR="003276FB" w:rsidRPr="005208DC" w:rsidRDefault="003276FB" w:rsidP="00857902">
            <w:pPr>
              <w:pStyle w:val="ListParagraph"/>
              <w:snapToGrid w:val="0"/>
              <w:ind w:left="108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Reforma 05: Rritja e aksesit në kujdesin shëndetësor</w:t>
            </w:r>
          </w:p>
          <w:p w14:paraId="78B0DA97" w14:textId="77777777" w:rsidR="003276FB" w:rsidRPr="005208DC" w:rsidRDefault="003276FB" w:rsidP="00857902">
            <w:pPr>
              <w:pStyle w:val="ListParagraph"/>
              <w:snapToGrid w:val="0"/>
              <w:ind w:left="720"/>
              <w:rPr>
                <w:rFonts w:asciiTheme="majorBidi" w:hAnsiTheme="majorBidi" w:cstheme="majorBidi"/>
                <w:color w:val="0D0D0D" w:themeColor="text1" w:themeTint="F2"/>
                <w:sz w:val="24"/>
                <w:szCs w:val="24"/>
                <w:lang w:val="sq-AL"/>
              </w:rPr>
            </w:pPr>
          </w:p>
          <w:p w14:paraId="33BEC4F9" w14:textId="77777777" w:rsidR="003276FB" w:rsidRPr="005208DC" w:rsidRDefault="003276FB" w:rsidP="00857902">
            <w:pPr>
              <w:pStyle w:val="ListParagraph"/>
              <w:snapToGrid w:val="0"/>
              <w:ind w:left="72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Sfida Kyçe #3</w:t>
            </w:r>
          </w:p>
          <w:p w14:paraId="38975083" w14:textId="77777777" w:rsidR="003276FB" w:rsidRPr="005208DC" w:rsidRDefault="003276FB" w:rsidP="00857902">
            <w:pPr>
              <w:pStyle w:val="ListParagraph"/>
              <w:snapToGrid w:val="0"/>
              <w:ind w:left="108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Reforma 06: Fuqizimi i luftës kundër informalitetit</w:t>
            </w:r>
          </w:p>
          <w:p w14:paraId="1FF87314" w14:textId="77777777" w:rsidR="003276FB" w:rsidRPr="005208DC" w:rsidRDefault="003276FB" w:rsidP="00857902">
            <w:pPr>
              <w:pStyle w:val="ListParagraph"/>
              <w:snapToGrid w:val="0"/>
              <w:ind w:left="108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Reforma 07: Zhvillimi i kuadrit ligjor për të mbështetur start-up inovative</w:t>
            </w:r>
          </w:p>
          <w:p w14:paraId="196396AB" w14:textId="77777777" w:rsidR="003276FB" w:rsidRPr="005208DC" w:rsidRDefault="003276FB" w:rsidP="00857902">
            <w:pPr>
              <w:pStyle w:val="ListParagraph"/>
              <w:snapToGrid w:val="0"/>
              <w:ind w:left="108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Reforma 08: Masat mbështetëse për NMVM</w:t>
            </w:r>
          </w:p>
          <w:p w14:paraId="06BE12DA" w14:textId="5BE0BB32" w:rsidR="003276FB" w:rsidRPr="005208DC" w:rsidRDefault="003276FB" w:rsidP="00857902">
            <w:pPr>
              <w:pStyle w:val="ListParagraph"/>
              <w:snapToGrid w:val="0"/>
              <w:ind w:left="108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 xml:space="preserve">Reforma 09: </w:t>
            </w:r>
            <w:r w:rsidRPr="005208DC">
              <w:rPr>
                <w:rFonts w:ascii="Times New Roman" w:hAnsi="Times New Roman"/>
                <w:color w:val="0D0D0D" w:themeColor="text1" w:themeTint="F2"/>
                <w:sz w:val="24"/>
                <w:szCs w:val="24"/>
                <w:lang w:val="sq-AL"/>
              </w:rPr>
              <w:t>Modernizimi i instrumenteve të pagesave me vlerë të vogël</w:t>
            </w:r>
          </w:p>
        </w:tc>
      </w:tr>
      <w:tr w:rsidR="005208DC" w:rsidRPr="005208DC" w14:paraId="18180724" w14:textId="77777777" w:rsidTr="007905B3">
        <w:tc>
          <w:tcPr>
            <w:tcW w:w="10343" w:type="dxa"/>
          </w:tcPr>
          <w:p w14:paraId="45CAE13F" w14:textId="77777777" w:rsidR="003276FB" w:rsidRPr="005208DC" w:rsidRDefault="003276FB" w:rsidP="00857902">
            <w:pPr>
              <w:pStyle w:val="ListParagraph"/>
              <w:numPr>
                <w:ilvl w:val="0"/>
                <w:numId w:val="22"/>
              </w:numPr>
              <w:snapToGrid w:val="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Reformat që trajtojnë sfida të tjera</w:t>
            </w:r>
          </w:p>
          <w:p w14:paraId="133013CB" w14:textId="77777777" w:rsidR="003276FB" w:rsidRPr="005208DC" w:rsidRDefault="003276FB" w:rsidP="00857902">
            <w:pPr>
              <w:pStyle w:val="ListParagraph"/>
              <w:snapToGrid w:val="0"/>
              <w:ind w:left="720" w:firstLine="0"/>
              <w:rPr>
                <w:rFonts w:asciiTheme="majorBidi" w:hAnsiTheme="majorBidi" w:cstheme="majorBidi"/>
                <w:color w:val="0D0D0D" w:themeColor="text1" w:themeTint="F2"/>
                <w:sz w:val="24"/>
                <w:szCs w:val="24"/>
                <w:lang w:val="sq-AL"/>
              </w:rPr>
            </w:pPr>
          </w:p>
          <w:p w14:paraId="3674076C" w14:textId="77777777" w:rsidR="003276FB" w:rsidRPr="005208DC" w:rsidRDefault="003276FB" w:rsidP="00857902">
            <w:pPr>
              <w:pStyle w:val="ListParagraph"/>
              <w:snapToGrid w:val="0"/>
              <w:ind w:left="72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Menaxhimi i Financave Publike</w:t>
            </w:r>
          </w:p>
          <w:p w14:paraId="1C4D8850" w14:textId="77777777" w:rsidR="003276FB" w:rsidRPr="005208DC" w:rsidRDefault="003276FB" w:rsidP="00857902">
            <w:pPr>
              <w:pStyle w:val="ListParagraph"/>
              <w:snapToGrid w:val="0"/>
              <w:ind w:left="108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Reforma 10: Investimet strategjike publike</w:t>
            </w:r>
          </w:p>
          <w:p w14:paraId="657322E0" w14:textId="77777777" w:rsidR="003276FB" w:rsidRPr="005208DC" w:rsidRDefault="003276FB" w:rsidP="00857902">
            <w:pPr>
              <w:pStyle w:val="ListParagraph"/>
              <w:snapToGrid w:val="0"/>
              <w:ind w:left="720"/>
              <w:rPr>
                <w:rFonts w:asciiTheme="majorBidi" w:hAnsiTheme="majorBidi" w:cstheme="majorBidi"/>
                <w:color w:val="0D0D0D" w:themeColor="text1" w:themeTint="F2"/>
                <w:sz w:val="24"/>
                <w:szCs w:val="24"/>
                <w:lang w:val="sq-AL"/>
              </w:rPr>
            </w:pPr>
          </w:p>
          <w:p w14:paraId="0D0DE5F6" w14:textId="77777777" w:rsidR="003276FB" w:rsidRPr="005208DC" w:rsidRDefault="003276FB" w:rsidP="00857902">
            <w:pPr>
              <w:pStyle w:val="ListParagraph"/>
              <w:snapToGrid w:val="0"/>
              <w:ind w:left="72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Transformimi dixhital</w:t>
            </w:r>
          </w:p>
          <w:p w14:paraId="693BC822" w14:textId="77777777" w:rsidR="003276FB" w:rsidRPr="005208DC" w:rsidRDefault="003276FB" w:rsidP="00857902">
            <w:pPr>
              <w:pStyle w:val="ListParagraph"/>
              <w:snapToGrid w:val="0"/>
              <w:ind w:left="108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Reforma 11: Zhvillimi i infrastrukturës broadband për ekonominë digjitale</w:t>
            </w:r>
          </w:p>
          <w:p w14:paraId="3579C247" w14:textId="77777777" w:rsidR="003276FB" w:rsidRPr="005208DC" w:rsidRDefault="003276FB" w:rsidP="00857902">
            <w:pPr>
              <w:pStyle w:val="ListParagraph"/>
              <w:snapToGrid w:val="0"/>
              <w:ind w:left="720"/>
              <w:rPr>
                <w:rFonts w:asciiTheme="majorBidi" w:hAnsiTheme="majorBidi" w:cstheme="majorBidi"/>
                <w:color w:val="0D0D0D" w:themeColor="text1" w:themeTint="F2"/>
                <w:sz w:val="24"/>
                <w:szCs w:val="24"/>
                <w:lang w:val="sq-AL"/>
              </w:rPr>
            </w:pPr>
          </w:p>
          <w:p w14:paraId="1B1EF649" w14:textId="77777777" w:rsidR="003276FB" w:rsidRPr="005208DC" w:rsidRDefault="003276FB" w:rsidP="00857902">
            <w:pPr>
              <w:pStyle w:val="ListParagraph"/>
              <w:snapToGrid w:val="0"/>
              <w:ind w:left="72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Integrimi Ekonomik</w:t>
            </w:r>
          </w:p>
          <w:p w14:paraId="0DDB15DB" w14:textId="77777777" w:rsidR="003276FB" w:rsidRPr="005208DC" w:rsidRDefault="003276FB" w:rsidP="00857902">
            <w:pPr>
              <w:pStyle w:val="ListParagraph"/>
              <w:snapToGrid w:val="0"/>
              <w:ind w:left="108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Reforma 12: Thellimi i integrimit ekonomik</w:t>
            </w:r>
          </w:p>
          <w:p w14:paraId="28E2230A" w14:textId="77777777" w:rsidR="003276FB" w:rsidRPr="005208DC" w:rsidRDefault="003276FB" w:rsidP="00857902">
            <w:pPr>
              <w:pStyle w:val="ListParagraph"/>
              <w:snapToGrid w:val="0"/>
              <w:ind w:left="720"/>
              <w:rPr>
                <w:rFonts w:asciiTheme="majorBidi" w:hAnsiTheme="majorBidi" w:cstheme="majorBidi"/>
                <w:color w:val="0D0D0D" w:themeColor="text1" w:themeTint="F2"/>
                <w:sz w:val="24"/>
                <w:szCs w:val="24"/>
                <w:lang w:val="sq-AL"/>
              </w:rPr>
            </w:pPr>
          </w:p>
          <w:p w14:paraId="0666FE1E" w14:textId="77777777" w:rsidR="003276FB" w:rsidRPr="005208DC" w:rsidRDefault="003276FB" w:rsidP="00857902">
            <w:pPr>
              <w:pStyle w:val="ListParagraph"/>
              <w:snapToGrid w:val="0"/>
              <w:ind w:left="72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Energjia</w:t>
            </w:r>
          </w:p>
          <w:p w14:paraId="382F8351" w14:textId="77777777" w:rsidR="003276FB" w:rsidRPr="005208DC" w:rsidRDefault="003276FB" w:rsidP="00857902">
            <w:pPr>
              <w:pStyle w:val="ListParagraph"/>
              <w:snapToGrid w:val="0"/>
              <w:ind w:left="108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Reforma 13: Liberalizimi i tregut të energjisë</w:t>
            </w:r>
          </w:p>
          <w:p w14:paraId="11CD79AB" w14:textId="77777777" w:rsidR="003276FB" w:rsidRPr="005208DC" w:rsidRDefault="003276FB" w:rsidP="00857902">
            <w:pPr>
              <w:pStyle w:val="ListParagraph"/>
              <w:snapToGrid w:val="0"/>
              <w:ind w:left="108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Reforma 14: Diversifikimi i burimeve të energjisë përmes promovimit të burimeve të riperteritshme të energjisë dhe përmirësimit të eficencës energjetike</w:t>
            </w:r>
          </w:p>
          <w:p w14:paraId="12C1544A" w14:textId="77777777" w:rsidR="003276FB" w:rsidRPr="005208DC" w:rsidRDefault="003276FB" w:rsidP="00857902">
            <w:pPr>
              <w:pStyle w:val="ListParagraph"/>
              <w:snapToGrid w:val="0"/>
              <w:ind w:left="720"/>
              <w:rPr>
                <w:rFonts w:asciiTheme="majorBidi" w:hAnsiTheme="majorBidi" w:cstheme="majorBidi"/>
                <w:color w:val="0D0D0D" w:themeColor="text1" w:themeTint="F2"/>
                <w:sz w:val="24"/>
                <w:szCs w:val="24"/>
                <w:lang w:val="sq-AL"/>
              </w:rPr>
            </w:pPr>
          </w:p>
          <w:p w14:paraId="1DCB5315" w14:textId="77777777" w:rsidR="003276FB" w:rsidRPr="005208DC" w:rsidRDefault="003276FB" w:rsidP="00857902">
            <w:pPr>
              <w:pStyle w:val="ListParagraph"/>
              <w:snapToGrid w:val="0"/>
              <w:ind w:left="72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Transporti</w:t>
            </w:r>
          </w:p>
          <w:p w14:paraId="1C3F08F3" w14:textId="77777777" w:rsidR="003276FB" w:rsidRPr="005208DC" w:rsidRDefault="003276FB" w:rsidP="00857902">
            <w:pPr>
              <w:pStyle w:val="ListParagraph"/>
              <w:snapToGrid w:val="0"/>
              <w:ind w:left="108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Reforma 15: Rehabilitimi dhe ndërtimi i segmentit hekurudhor Durrës-TIA-Tiranë</w:t>
            </w:r>
          </w:p>
          <w:p w14:paraId="39470E39" w14:textId="77777777" w:rsidR="003276FB" w:rsidRPr="005208DC" w:rsidRDefault="003276FB" w:rsidP="00857902">
            <w:pPr>
              <w:pStyle w:val="ListParagraph"/>
              <w:snapToGrid w:val="0"/>
              <w:ind w:left="720"/>
              <w:rPr>
                <w:rFonts w:asciiTheme="majorBidi" w:hAnsiTheme="majorBidi" w:cstheme="majorBidi"/>
                <w:color w:val="0D0D0D" w:themeColor="text1" w:themeTint="F2"/>
                <w:sz w:val="24"/>
                <w:szCs w:val="24"/>
                <w:lang w:val="sq-AL"/>
              </w:rPr>
            </w:pPr>
          </w:p>
          <w:p w14:paraId="75F9602B" w14:textId="77777777" w:rsidR="003276FB" w:rsidRPr="005208DC" w:rsidRDefault="003276FB" w:rsidP="00857902">
            <w:pPr>
              <w:pStyle w:val="ListParagraph"/>
              <w:snapToGrid w:val="0"/>
              <w:ind w:left="72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Bujqësia, industria dhe shërbimet</w:t>
            </w:r>
          </w:p>
          <w:p w14:paraId="7AEB4C0D" w14:textId="77777777" w:rsidR="003276FB" w:rsidRPr="005208DC" w:rsidRDefault="003276FB" w:rsidP="00857902">
            <w:pPr>
              <w:pStyle w:val="ListParagraph"/>
              <w:snapToGrid w:val="0"/>
              <w:ind w:left="108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Reforma 16: Marina më të mira dhe qeverisje dhe shërbime detare</w:t>
            </w:r>
          </w:p>
          <w:p w14:paraId="2FD1876F" w14:textId="77777777" w:rsidR="003276FB" w:rsidRPr="005208DC" w:rsidRDefault="003276FB" w:rsidP="00857902">
            <w:pPr>
              <w:pStyle w:val="ListParagraph"/>
              <w:snapToGrid w:val="0"/>
              <w:ind w:left="720"/>
              <w:rPr>
                <w:rFonts w:asciiTheme="majorBidi" w:hAnsiTheme="majorBidi" w:cstheme="majorBidi"/>
                <w:color w:val="0D0D0D" w:themeColor="text1" w:themeTint="F2"/>
                <w:sz w:val="24"/>
                <w:szCs w:val="24"/>
                <w:lang w:val="sq-AL"/>
              </w:rPr>
            </w:pPr>
          </w:p>
          <w:p w14:paraId="144578C8" w14:textId="77777777" w:rsidR="003276FB" w:rsidRPr="005208DC" w:rsidRDefault="003276FB" w:rsidP="00857902">
            <w:pPr>
              <w:pStyle w:val="ListParagraph"/>
              <w:snapToGrid w:val="0"/>
              <w:ind w:left="72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Arsimimi dhe aftësitë</w:t>
            </w:r>
          </w:p>
          <w:p w14:paraId="483740C3" w14:textId="77777777" w:rsidR="003276FB" w:rsidRPr="005208DC" w:rsidRDefault="003276FB" w:rsidP="00857902">
            <w:pPr>
              <w:pStyle w:val="ListParagraph"/>
              <w:snapToGrid w:val="0"/>
              <w:ind w:left="108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Reforma 17: Mbështetja e zbatimit të reformës kurrikulare para universitare dhe trajnimit të mësuesve</w:t>
            </w:r>
          </w:p>
          <w:p w14:paraId="0ABC43D9" w14:textId="77777777" w:rsidR="003276FB" w:rsidRPr="005208DC" w:rsidRDefault="003276FB" w:rsidP="00857902">
            <w:pPr>
              <w:pStyle w:val="ListParagraph"/>
              <w:snapToGrid w:val="0"/>
              <w:ind w:left="108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Reforma 18: Gjithë përfshirja dhe barazia në arsim</w:t>
            </w:r>
          </w:p>
          <w:p w14:paraId="7383887D" w14:textId="77777777" w:rsidR="003276FB" w:rsidRPr="005208DC" w:rsidRDefault="003276FB" w:rsidP="00857902">
            <w:pPr>
              <w:pStyle w:val="ListParagraph"/>
              <w:snapToGrid w:val="0"/>
              <w:ind w:left="720" w:firstLine="0"/>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Reforma 19: Zhvillimi dhe fuqizimi i kompetencës digjitale</w:t>
            </w:r>
          </w:p>
        </w:tc>
      </w:tr>
    </w:tbl>
    <w:p w14:paraId="7326804E" w14:textId="77777777" w:rsidR="005C59A6" w:rsidRPr="005208DC" w:rsidRDefault="005C59A6" w:rsidP="00857902">
      <w:pPr>
        <w:snapToGrid w:val="0"/>
        <w:rPr>
          <w:rFonts w:asciiTheme="majorBidi" w:hAnsiTheme="majorBidi" w:cstheme="majorBidi"/>
          <w:color w:val="0D0D0D" w:themeColor="text1" w:themeTint="F2"/>
          <w:lang w:val="sq-AL"/>
        </w:rPr>
      </w:pPr>
    </w:p>
    <w:p w14:paraId="1D05408D" w14:textId="77777777" w:rsidR="00B05C9D" w:rsidRPr="005208DC" w:rsidRDefault="00B05C9D" w:rsidP="00857902">
      <w:pPr>
        <w:pStyle w:val="Heading1"/>
        <w:numPr>
          <w:ilvl w:val="0"/>
          <w:numId w:val="1"/>
        </w:numPr>
        <w:snapToGrid w:val="0"/>
        <w:rPr>
          <w:rFonts w:asciiTheme="majorBidi" w:hAnsiTheme="majorBidi" w:cstheme="majorBidi"/>
          <w:color w:val="0D0D0D" w:themeColor="text1" w:themeTint="F2"/>
          <w:lang w:val="sq-AL"/>
        </w:rPr>
        <w:sectPr w:rsidR="00B05C9D" w:rsidRPr="005208DC" w:rsidSect="00F27C55">
          <w:pgSz w:w="11900" w:h="16840"/>
          <w:pgMar w:top="720" w:right="720" w:bottom="720" w:left="720" w:header="567" w:footer="567" w:gutter="0"/>
          <w:cols w:space="708"/>
          <w:titlePg/>
          <w:docGrid w:linePitch="360"/>
        </w:sectPr>
      </w:pPr>
      <w:bookmarkStart w:id="89" w:name="_Reform_Measure_02:"/>
      <w:bookmarkStart w:id="90" w:name="_Reform_measure_03:"/>
      <w:bookmarkStart w:id="91" w:name="_Reform_measure_04:"/>
      <w:bookmarkStart w:id="92" w:name="_Reform_measure_11:"/>
      <w:bookmarkStart w:id="93" w:name="_Reform_measure_12:"/>
      <w:bookmarkStart w:id="94" w:name="_Toc484076194"/>
      <w:bookmarkStart w:id="95" w:name="_Toc62805604"/>
      <w:bookmarkEnd w:id="89"/>
      <w:bookmarkEnd w:id="90"/>
      <w:bookmarkEnd w:id="91"/>
      <w:bookmarkEnd w:id="92"/>
      <w:bookmarkEnd w:id="93"/>
    </w:p>
    <w:p w14:paraId="1C6A6863" w14:textId="61CEC9E1" w:rsidR="00DF1828" w:rsidRPr="005208DC" w:rsidRDefault="00C07622" w:rsidP="00857902">
      <w:pPr>
        <w:pStyle w:val="Heading1"/>
        <w:numPr>
          <w:ilvl w:val="0"/>
          <w:numId w:val="1"/>
        </w:numPr>
        <w:snapToGrid w:val="0"/>
        <w:rPr>
          <w:rFonts w:asciiTheme="majorBidi" w:hAnsiTheme="majorBidi" w:cstheme="majorBidi"/>
          <w:color w:val="0D0D0D" w:themeColor="text1" w:themeTint="F2"/>
          <w:lang w:val="sq-AL"/>
        </w:rPr>
      </w:pPr>
      <w:bookmarkStart w:id="96" w:name="_Toc92721158"/>
      <w:r w:rsidRPr="005208DC">
        <w:rPr>
          <w:rFonts w:asciiTheme="majorBidi" w:hAnsiTheme="majorBidi" w:cstheme="majorBidi"/>
          <w:color w:val="0D0D0D" w:themeColor="text1" w:themeTint="F2"/>
          <w:lang w:val="sq-AL"/>
        </w:rPr>
        <w:t>KOSTIMI DHE FINANCIMI I REFORMAVE STRUKTURORE</w:t>
      </w:r>
      <w:bookmarkEnd w:id="94"/>
      <w:bookmarkEnd w:id="95"/>
      <w:bookmarkEnd w:id="96"/>
    </w:p>
    <w:p w14:paraId="39334DFF" w14:textId="77777777" w:rsidR="00DF1828" w:rsidRPr="005208DC" w:rsidRDefault="00DF1828" w:rsidP="00857902">
      <w:pPr>
        <w:snapToGrid w:val="0"/>
        <w:rPr>
          <w:rFonts w:asciiTheme="majorBidi" w:hAnsiTheme="majorBidi" w:cstheme="majorBidi"/>
          <w:color w:val="0D0D0D" w:themeColor="text1" w:themeTint="F2"/>
          <w:lang w:val="sq-AL"/>
        </w:rPr>
      </w:pPr>
    </w:p>
    <w:p w14:paraId="1F718FCA" w14:textId="5A8579D0" w:rsidR="00171FFE" w:rsidRPr="005208DC" w:rsidRDefault="00171FFE" w:rsidP="00171FFE">
      <w:pPr>
        <w:snapToGrid w:val="0"/>
        <w:jc w:val="both"/>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Shpenzimet e pritshme në buxhetin e shtetit përfshijnë fonde për reformat kryesore strukturore për periudhën afatmesme në vazhdim. Shpenzimet buxhetore janë shpërndarë në reformat strukturore të përfshira në ERP 2022-2024. Detajet e implikimeve buxhetore të reformave gjenden në tabelën 10a dhe tabelën 10b të shtojcës 1. Shpenzimet e parashikuara gjithashtu përfshijnë shpenzime për reformat kryesore strukturore në periudhën vijuese.</w:t>
      </w:r>
    </w:p>
    <w:p w14:paraId="38A8A1DA" w14:textId="1C2979AF" w:rsidR="005F45D2" w:rsidRPr="005208DC" w:rsidRDefault="005F45D2" w:rsidP="00857902">
      <w:pPr>
        <w:snapToGrid w:val="0"/>
        <w:jc w:val="both"/>
        <w:rPr>
          <w:rFonts w:asciiTheme="majorBidi" w:hAnsiTheme="majorBidi" w:cstheme="majorBidi"/>
          <w:color w:val="0D0D0D" w:themeColor="text1" w:themeTint="F2"/>
          <w:lang w:val="sq-AL"/>
        </w:rPr>
      </w:pPr>
    </w:p>
    <w:p w14:paraId="4FE15409" w14:textId="77777777" w:rsidR="00EB1E05" w:rsidRPr="005208DC" w:rsidRDefault="00EB1E05" w:rsidP="00857902">
      <w:pPr>
        <w:snapToGrid w:val="0"/>
        <w:rPr>
          <w:rFonts w:asciiTheme="majorBidi" w:hAnsiTheme="majorBidi" w:cstheme="majorBidi"/>
          <w:color w:val="0D0D0D" w:themeColor="text1" w:themeTint="F2"/>
          <w:lang w:val="sq-AL"/>
        </w:rPr>
        <w:sectPr w:rsidR="00EB1E05" w:rsidRPr="005208DC" w:rsidSect="00806ED4">
          <w:pgSz w:w="11900" w:h="16840"/>
          <w:pgMar w:top="720" w:right="720" w:bottom="720" w:left="720" w:header="567" w:footer="567" w:gutter="0"/>
          <w:cols w:space="708"/>
          <w:docGrid w:linePitch="360"/>
        </w:sectPr>
      </w:pPr>
    </w:p>
    <w:p w14:paraId="49E7E4A0" w14:textId="3C198414" w:rsidR="00DF1828" w:rsidRPr="005208DC" w:rsidRDefault="00C07622" w:rsidP="00857902">
      <w:pPr>
        <w:pStyle w:val="Heading1"/>
        <w:numPr>
          <w:ilvl w:val="0"/>
          <w:numId w:val="1"/>
        </w:numPr>
        <w:snapToGrid w:val="0"/>
        <w:rPr>
          <w:rFonts w:asciiTheme="majorBidi" w:hAnsiTheme="majorBidi" w:cstheme="majorBidi"/>
          <w:color w:val="0D0D0D" w:themeColor="text1" w:themeTint="F2"/>
          <w:lang w:val="sq-AL"/>
        </w:rPr>
      </w:pPr>
      <w:bookmarkStart w:id="97" w:name="_Toc484076195"/>
      <w:bookmarkStart w:id="98" w:name="_Toc62805605"/>
      <w:bookmarkStart w:id="99" w:name="_Toc92721159"/>
      <w:r w:rsidRPr="005208DC">
        <w:rPr>
          <w:rFonts w:asciiTheme="majorBidi" w:hAnsiTheme="majorBidi" w:cstheme="majorBidi"/>
          <w:color w:val="0D0D0D" w:themeColor="text1" w:themeTint="F2"/>
          <w:lang w:val="sq-AL"/>
        </w:rPr>
        <w:t xml:space="preserve">ÇËSHTJET </w:t>
      </w:r>
      <w:r w:rsidR="00DF1828" w:rsidRPr="005208DC">
        <w:rPr>
          <w:rFonts w:asciiTheme="majorBidi" w:hAnsiTheme="majorBidi" w:cstheme="majorBidi"/>
          <w:color w:val="0D0D0D" w:themeColor="text1" w:themeTint="F2"/>
          <w:lang w:val="sq-AL"/>
        </w:rPr>
        <w:t>INSTITU</w:t>
      </w:r>
      <w:r w:rsidRPr="005208DC">
        <w:rPr>
          <w:rFonts w:asciiTheme="majorBidi" w:hAnsiTheme="majorBidi" w:cstheme="majorBidi"/>
          <w:color w:val="0D0D0D" w:themeColor="text1" w:themeTint="F2"/>
          <w:lang w:val="sq-AL"/>
        </w:rPr>
        <w:t>C</w:t>
      </w:r>
      <w:r w:rsidR="00DF1828" w:rsidRPr="005208DC">
        <w:rPr>
          <w:rFonts w:asciiTheme="majorBidi" w:hAnsiTheme="majorBidi" w:cstheme="majorBidi"/>
          <w:color w:val="0D0D0D" w:themeColor="text1" w:themeTint="F2"/>
          <w:lang w:val="sq-AL"/>
        </w:rPr>
        <w:t>IONAL</w:t>
      </w:r>
      <w:r w:rsidRPr="005208DC">
        <w:rPr>
          <w:rFonts w:asciiTheme="majorBidi" w:hAnsiTheme="majorBidi" w:cstheme="majorBidi"/>
          <w:color w:val="0D0D0D" w:themeColor="text1" w:themeTint="F2"/>
          <w:lang w:val="sq-AL"/>
        </w:rPr>
        <w:t>E DHE PËRFSHIRJA E GRUPEVE TË INTERESIT</w:t>
      </w:r>
      <w:bookmarkEnd w:id="97"/>
      <w:bookmarkEnd w:id="98"/>
      <w:bookmarkEnd w:id="99"/>
    </w:p>
    <w:p w14:paraId="7A2638D4" w14:textId="77777777" w:rsidR="00C22835" w:rsidRPr="005208DC" w:rsidRDefault="00C22835" w:rsidP="00857902">
      <w:pPr>
        <w:snapToGrid w:val="0"/>
        <w:jc w:val="both"/>
        <w:rPr>
          <w:rFonts w:asciiTheme="majorBidi" w:hAnsiTheme="majorBidi" w:cstheme="majorBidi"/>
          <w:color w:val="0D0D0D" w:themeColor="text1" w:themeTint="F2"/>
          <w:lang w:val="sq-AL"/>
        </w:rPr>
      </w:pPr>
    </w:p>
    <w:p w14:paraId="444E384F" w14:textId="645AC61C" w:rsidR="00171FFE" w:rsidRPr="005208DC" w:rsidRDefault="00171FFE" w:rsidP="00857902">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Cikli i Programit të Reformave Ekonomike 2022-2024 nisi zyrtarisht më 24 qershor 2021 nga Komisioni Evropian.</w:t>
      </w:r>
    </w:p>
    <w:p w14:paraId="59664ABE" w14:textId="77777777" w:rsidR="00171FFE" w:rsidRPr="005208DC" w:rsidRDefault="00171FFE" w:rsidP="00857902">
      <w:pPr>
        <w:snapToGrid w:val="0"/>
        <w:jc w:val="both"/>
        <w:rPr>
          <w:rFonts w:asciiTheme="majorBidi" w:hAnsiTheme="majorBidi" w:cstheme="majorBidi"/>
          <w:color w:val="0D0D0D" w:themeColor="text1" w:themeTint="F2"/>
          <w:lang w:val="sq-AL"/>
        </w:rPr>
      </w:pPr>
    </w:p>
    <w:p w14:paraId="096F1A75" w14:textId="0A3E00EE" w:rsidR="00171FFE" w:rsidRPr="005208DC" w:rsidRDefault="00171FFE" w:rsidP="00171FFE">
      <w:pPr>
        <w:snapToGrid w:val="0"/>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Përgatitja e ERP 2022-2024 u bashkërendua nga Ministria e Financave dhe Ekonomisë në bashkëpunim të ngushtë me Ministrinë e Infrastrukturës dhe Energjisë, Ministrinë e Bujqësisë dhe Zhvillimit Rural, Ministrinë e Arsimit dhe Sportit, Ministrinë e Turizmit dhe Mjedisit, Bankën e Shqipërisë, Drejtorinë e Përgjithshme të Tatimeve dhe INSTAT.</w:t>
      </w:r>
    </w:p>
    <w:p w14:paraId="07B6650F" w14:textId="77777777" w:rsidR="00171FFE" w:rsidRPr="005208DC" w:rsidRDefault="00171FFE" w:rsidP="00171FFE">
      <w:pPr>
        <w:snapToGrid w:val="0"/>
        <w:jc w:val="both"/>
        <w:rPr>
          <w:rFonts w:asciiTheme="majorBidi" w:hAnsiTheme="majorBidi" w:cstheme="majorBidi"/>
          <w:color w:val="0D0D0D" w:themeColor="text1" w:themeTint="F2"/>
          <w:lang w:val="sq-AL"/>
        </w:rPr>
      </w:pPr>
    </w:p>
    <w:p w14:paraId="7B4FA592" w14:textId="1B3094FF" w:rsidR="00171FFE" w:rsidRPr="005208DC" w:rsidRDefault="00171FFE" w:rsidP="00171FFE">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Urdhri i Kryeministrit nr. 107, dt. 6.8.2019 përcakton kornizën për koordinimin e procesit të ERP në nivelin kombëtar dhe ngarkon Ministrin e Financave dhe Ekonomisë me funksionin e Koordinatorit Kombëtar të ERP për Shqipërinë. Gjithashtu, urdhri parashikon krijimin e grupit të nivelit të lartë ndërministror dhe sekretariatit teknik ndërinstitucional për të koordinuar procesin. Koordinimi institucional është përmirësuar në disa mënyra. Një shkallë më e lartë e pronësisë dhe përgjegjësisë institucionale ndaj reformave të propozuara është më e qartë, kryesisht si rezultat i përcaktimit të detyrave, funksioneve dhe përgjegjësive të secilit institucion raportues, bazuar në dispozitat e urdhrit.</w:t>
      </w:r>
    </w:p>
    <w:p w14:paraId="31D0B143" w14:textId="77777777" w:rsidR="00171FFE" w:rsidRPr="005208DC" w:rsidRDefault="00171FFE" w:rsidP="00171FFE">
      <w:pPr>
        <w:snapToGrid w:val="0"/>
        <w:jc w:val="both"/>
        <w:rPr>
          <w:rFonts w:ascii="Times New Roman" w:hAnsi="Times New Roman"/>
          <w:color w:val="0D0D0D" w:themeColor="text1" w:themeTint="F2"/>
          <w:lang w:val="sq-AL"/>
        </w:rPr>
      </w:pPr>
    </w:p>
    <w:p w14:paraId="2E2D1AC7" w14:textId="720AF63D" w:rsidR="00171FFE" w:rsidRPr="005208DC" w:rsidRDefault="00171FFE" w:rsidP="00171FFE">
      <w:pPr>
        <w:snapToGrid w:val="0"/>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Draft ERP 2022-2024 u publikua ne faqen zyrtare të Ministrisë së Financave dhe Ekonomisë për konsultim të gjerë nga grupet e ndryshme të interesit, nga data 22 dhjetor 2021 deri më 31 janar 2022.</w:t>
      </w:r>
    </w:p>
    <w:p w14:paraId="5C6A389E" w14:textId="77777777" w:rsidR="00171FFE" w:rsidRPr="005208DC" w:rsidRDefault="00171FFE" w:rsidP="00171FFE">
      <w:pPr>
        <w:snapToGrid w:val="0"/>
        <w:jc w:val="both"/>
        <w:rPr>
          <w:rFonts w:ascii="Times New Roman" w:hAnsi="Times New Roman"/>
          <w:color w:val="0D0D0D" w:themeColor="text1" w:themeTint="F2"/>
          <w:lang w:val="sq-AL"/>
        </w:rPr>
      </w:pPr>
    </w:p>
    <w:p w14:paraId="29957121" w14:textId="2CB21C18" w:rsidR="00171FFE" w:rsidRPr="005208DC" w:rsidRDefault="00171FFE" w:rsidP="00171FFE">
      <w:pPr>
        <w:snapToGrid w:val="0"/>
        <w:jc w:val="both"/>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Programi i Reformave Ekonomike 2022-2024 dërgohet për miratim nga Këshilli i Ministrave dhe më pas i transmetohet Komisionit Evropian.</w:t>
      </w:r>
    </w:p>
    <w:p w14:paraId="20A98E18" w14:textId="77777777" w:rsidR="00171FFE" w:rsidRPr="005208DC" w:rsidRDefault="00171FFE" w:rsidP="00171FFE">
      <w:pPr>
        <w:jc w:val="both"/>
        <w:rPr>
          <w:rFonts w:ascii="Times New Roman" w:hAnsi="Times New Roman"/>
          <w:color w:val="0D0D0D" w:themeColor="text1" w:themeTint="F2"/>
          <w:lang w:val="sq-AL"/>
        </w:rPr>
      </w:pPr>
    </w:p>
    <w:p w14:paraId="3F6A8CD2" w14:textId="77777777" w:rsidR="00171FFE" w:rsidRPr="005208DC" w:rsidRDefault="00171FFE" w:rsidP="00857902">
      <w:pPr>
        <w:snapToGrid w:val="0"/>
        <w:jc w:val="both"/>
        <w:rPr>
          <w:rFonts w:asciiTheme="majorBidi" w:hAnsiTheme="majorBidi" w:cstheme="majorBidi"/>
          <w:color w:val="0D0D0D" w:themeColor="text1" w:themeTint="F2"/>
          <w:lang w:val="sq-AL"/>
        </w:rPr>
      </w:pPr>
    </w:p>
    <w:p w14:paraId="4C4CC13A" w14:textId="77777777" w:rsidR="00EB1E05" w:rsidRPr="005208DC" w:rsidRDefault="00EB1E05" w:rsidP="00857902">
      <w:pPr>
        <w:snapToGrid w:val="0"/>
        <w:jc w:val="both"/>
        <w:rPr>
          <w:rFonts w:asciiTheme="majorBidi" w:hAnsiTheme="majorBidi" w:cstheme="majorBidi"/>
          <w:color w:val="0D0D0D" w:themeColor="text1" w:themeTint="F2"/>
          <w:lang w:val="sq-AL"/>
        </w:rPr>
      </w:pPr>
    </w:p>
    <w:p w14:paraId="67408D6C" w14:textId="77777777" w:rsidR="00EB1E05" w:rsidRPr="005208DC" w:rsidRDefault="00EB1E05" w:rsidP="00857902">
      <w:pPr>
        <w:snapToGrid w:val="0"/>
        <w:jc w:val="both"/>
        <w:rPr>
          <w:rFonts w:asciiTheme="majorBidi" w:hAnsiTheme="majorBidi" w:cstheme="majorBidi"/>
          <w:color w:val="0D0D0D" w:themeColor="text1" w:themeTint="F2"/>
          <w:lang w:val="sq-AL"/>
        </w:rPr>
        <w:sectPr w:rsidR="00EB1E05" w:rsidRPr="005208DC" w:rsidSect="00806ED4">
          <w:pgSz w:w="11900" w:h="16840"/>
          <w:pgMar w:top="720" w:right="720" w:bottom="720" w:left="720" w:header="567" w:footer="567" w:gutter="0"/>
          <w:cols w:space="708"/>
          <w:docGrid w:linePitch="360"/>
        </w:sectPr>
      </w:pPr>
    </w:p>
    <w:p w14:paraId="3E10C9FE" w14:textId="752028B7" w:rsidR="00DF1828" w:rsidRPr="005208DC" w:rsidRDefault="00C07622" w:rsidP="00857902">
      <w:pPr>
        <w:pStyle w:val="Heading1"/>
        <w:snapToGrid w:val="0"/>
        <w:ind w:left="0"/>
        <w:rPr>
          <w:rFonts w:asciiTheme="majorBidi" w:hAnsiTheme="majorBidi" w:cstheme="majorBidi"/>
          <w:color w:val="0D0D0D" w:themeColor="text1" w:themeTint="F2"/>
          <w:sz w:val="22"/>
          <w:szCs w:val="22"/>
          <w:lang w:val="sq-AL"/>
        </w:rPr>
      </w:pPr>
      <w:bookmarkStart w:id="100" w:name="_Toc484076196"/>
      <w:bookmarkStart w:id="101" w:name="_Toc62805606"/>
      <w:bookmarkStart w:id="102" w:name="_Toc92721160"/>
      <w:r w:rsidRPr="005208DC">
        <w:rPr>
          <w:rFonts w:asciiTheme="majorBidi" w:hAnsiTheme="majorBidi" w:cstheme="majorBidi"/>
          <w:color w:val="0D0D0D" w:themeColor="text1" w:themeTint="F2"/>
          <w:sz w:val="22"/>
          <w:szCs w:val="22"/>
          <w:lang w:val="sq-AL"/>
        </w:rPr>
        <w:t>SHTOJCA</w:t>
      </w:r>
      <w:r w:rsidR="000B0C45" w:rsidRPr="005208DC">
        <w:rPr>
          <w:rFonts w:asciiTheme="majorBidi" w:hAnsiTheme="majorBidi" w:cstheme="majorBidi"/>
          <w:color w:val="0D0D0D" w:themeColor="text1" w:themeTint="F2"/>
          <w:sz w:val="22"/>
          <w:szCs w:val="22"/>
          <w:lang w:val="sq-AL"/>
        </w:rPr>
        <w:t xml:space="preserve"> </w:t>
      </w:r>
      <w:r w:rsidR="00DF1828" w:rsidRPr="005208DC">
        <w:rPr>
          <w:rFonts w:asciiTheme="majorBidi" w:hAnsiTheme="majorBidi" w:cstheme="majorBidi"/>
          <w:color w:val="0D0D0D" w:themeColor="text1" w:themeTint="F2"/>
          <w:sz w:val="22"/>
          <w:szCs w:val="22"/>
          <w:lang w:val="sq-AL"/>
        </w:rPr>
        <w:t>I</w:t>
      </w:r>
      <w:bookmarkEnd w:id="100"/>
      <w:bookmarkEnd w:id="101"/>
      <w:bookmarkEnd w:id="102"/>
    </w:p>
    <w:p w14:paraId="4ADCDE27" w14:textId="77777777" w:rsidR="00951413" w:rsidRPr="005208DC" w:rsidRDefault="00951413" w:rsidP="00857902">
      <w:pPr>
        <w:snapToGrid w:val="0"/>
        <w:rPr>
          <w:rFonts w:asciiTheme="majorBidi" w:hAnsiTheme="majorBidi" w:cstheme="majorBidi"/>
          <w:color w:val="0D0D0D" w:themeColor="text1" w:themeTint="F2"/>
          <w:sz w:val="22"/>
          <w:szCs w:val="22"/>
          <w:lang w:val="sq-AL"/>
        </w:rPr>
      </w:pPr>
    </w:p>
    <w:p w14:paraId="51E5AE39" w14:textId="0ED22FFC" w:rsidR="004A71FE" w:rsidRPr="005208DC" w:rsidRDefault="004D1F24" w:rsidP="00857902">
      <w:pPr>
        <w:pStyle w:val="Heading2"/>
        <w:ind w:left="0"/>
        <w:rPr>
          <w:rFonts w:asciiTheme="majorBidi" w:hAnsiTheme="majorBidi" w:cstheme="majorBidi"/>
          <w:color w:val="0D0D0D" w:themeColor="text1" w:themeTint="F2"/>
          <w:sz w:val="22"/>
          <w:szCs w:val="22"/>
          <w:lang w:val="sq-AL"/>
        </w:rPr>
      </w:pPr>
      <w:bookmarkStart w:id="103" w:name="_Toc92721161"/>
      <w:r w:rsidRPr="005208DC">
        <w:rPr>
          <w:rFonts w:asciiTheme="majorBidi" w:hAnsiTheme="majorBidi" w:cstheme="majorBidi"/>
          <w:color w:val="0D0D0D" w:themeColor="text1" w:themeTint="F2"/>
          <w:sz w:val="22"/>
          <w:szCs w:val="22"/>
          <w:lang w:val="sq-AL"/>
        </w:rPr>
        <w:t>Tabela</w:t>
      </w:r>
      <w:r w:rsidR="000B0C45" w:rsidRPr="005208DC">
        <w:rPr>
          <w:rFonts w:asciiTheme="majorBidi" w:hAnsiTheme="majorBidi" w:cstheme="majorBidi"/>
          <w:color w:val="0D0D0D" w:themeColor="text1" w:themeTint="F2"/>
          <w:sz w:val="22"/>
          <w:szCs w:val="22"/>
          <w:lang w:val="sq-AL"/>
        </w:rPr>
        <w:t xml:space="preserve"> </w:t>
      </w:r>
      <w:r w:rsidR="00366A0A" w:rsidRPr="005208DC">
        <w:rPr>
          <w:rFonts w:asciiTheme="majorBidi" w:hAnsiTheme="majorBidi" w:cstheme="majorBidi"/>
          <w:color w:val="0D0D0D" w:themeColor="text1" w:themeTint="F2"/>
          <w:sz w:val="22"/>
          <w:szCs w:val="22"/>
          <w:lang w:val="sq-AL"/>
        </w:rPr>
        <w:t>9a:</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Tabela e treguesve socialë</w:t>
      </w:r>
      <w:bookmarkEnd w:id="103"/>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3"/>
        <w:gridCol w:w="1114"/>
        <w:gridCol w:w="965"/>
        <w:gridCol w:w="965"/>
        <w:gridCol w:w="965"/>
        <w:gridCol w:w="965"/>
        <w:gridCol w:w="1129"/>
      </w:tblGrid>
      <w:tr w:rsidR="005208DC" w:rsidRPr="005208DC" w14:paraId="39CB3AD0" w14:textId="77777777" w:rsidTr="00A96D39">
        <w:trPr>
          <w:trHeight w:val="315"/>
        </w:trPr>
        <w:tc>
          <w:tcPr>
            <w:tcW w:w="3673" w:type="dxa"/>
            <w:shd w:val="clear" w:color="auto" w:fill="auto"/>
            <w:noWrap/>
            <w:vAlign w:val="bottom"/>
            <w:hideMark/>
          </w:tcPr>
          <w:p w14:paraId="79109488"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1114" w:type="dxa"/>
            <w:shd w:val="clear" w:color="auto" w:fill="auto"/>
            <w:noWrap/>
            <w:vAlign w:val="center"/>
            <w:hideMark/>
          </w:tcPr>
          <w:p w14:paraId="0C1F28AF" w14:textId="77777777" w:rsidR="002D3C56" w:rsidRPr="005208DC" w:rsidRDefault="002D3C56" w:rsidP="00A96D39">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Burimi i të dhënave</w:t>
            </w:r>
          </w:p>
        </w:tc>
        <w:tc>
          <w:tcPr>
            <w:tcW w:w="965" w:type="dxa"/>
            <w:shd w:val="clear" w:color="auto" w:fill="auto"/>
            <w:noWrap/>
            <w:vAlign w:val="center"/>
            <w:hideMark/>
          </w:tcPr>
          <w:p w14:paraId="22687E0B" w14:textId="77777777" w:rsidR="002D3C56" w:rsidRPr="005208DC" w:rsidRDefault="002D3C56" w:rsidP="00A96D39">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2017</w:t>
            </w:r>
          </w:p>
        </w:tc>
        <w:tc>
          <w:tcPr>
            <w:tcW w:w="965" w:type="dxa"/>
            <w:shd w:val="clear" w:color="auto" w:fill="auto"/>
            <w:noWrap/>
            <w:vAlign w:val="center"/>
            <w:hideMark/>
          </w:tcPr>
          <w:p w14:paraId="1DB835E1" w14:textId="77777777" w:rsidR="002D3C56" w:rsidRPr="005208DC" w:rsidRDefault="002D3C56" w:rsidP="00A96D39">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2018</w:t>
            </w:r>
          </w:p>
        </w:tc>
        <w:tc>
          <w:tcPr>
            <w:tcW w:w="965" w:type="dxa"/>
            <w:shd w:val="clear" w:color="auto" w:fill="auto"/>
            <w:noWrap/>
            <w:vAlign w:val="center"/>
            <w:hideMark/>
          </w:tcPr>
          <w:p w14:paraId="3EF7AFF6" w14:textId="77777777" w:rsidR="002D3C56" w:rsidRPr="005208DC" w:rsidRDefault="002D3C56" w:rsidP="00A96D39">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2019</w:t>
            </w:r>
          </w:p>
        </w:tc>
        <w:tc>
          <w:tcPr>
            <w:tcW w:w="965" w:type="dxa"/>
            <w:shd w:val="clear" w:color="auto" w:fill="auto"/>
            <w:noWrap/>
            <w:vAlign w:val="center"/>
            <w:hideMark/>
          </w:tcPr>
          <w:p w14:paraId="3F264530" w14:textId="77777777" w:rsidR="002D3C56" w:rsidRPr="005208DC" w:rsidRDefault="002D3C56" w:rsidP="00A96D39">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2020</w:t>
            </w:r>
          </w:p>
        </w:tc>
        <w:tc>
          <w:tcPr>
            <w:tcW w:w="1129" w:type="dxa"/>
            <w:shd w:val="clear" w:color="auto" w:fill="auto"/>
            <w:noWrap/>
            <w:vAlign w:val="center"/>
            <w:hideMark/>
          </w:tcPr>
          <w:p w14:paraId="3A390D97" w14:textId="77777777" w:rsidR="002D3C56" w:rsidRPr="005208DC" w:rsidRDefault="002D3C56" w:rsidP="00A96D39">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2021 (Q2)</w:t>
            </w:r>
          </w:p>
        </w:tc>
      </w:tr>
      <w:tr w:rsidR="005208DC" w:rsidRPr="005208DC" w14:paraId="3379D93F" w14:textId="77777777" w:rsidTr="00A96D39">
        <w:trPr>
          <w:trHeight w:val="315"/>
        </w:trPr>
        <w:tc>
          <w:tcPr>
            <w:tcW w:w="9776" w:type="dxa"/>
            <w:gridSpan w:val="7"/>
            <w:shd w:val="clear" w:color="auto" w:fill="auto"/>
            <w:noWrap/>
            <w:vAlign w:val="bottom"/>
          </w:tcPr>
          <w:p w14:paraId="449C190D" w14:textId="77777777" w:rsidR="002D3C56" w:rsidRPr="005208DC" w:rsidRDefault="002D3C56" w:rsidP="00A96D39">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b/>
                <w:bCs/>
                <w:color w:val="0D0D0D" w:themeColor="text1" w:themeTint="F2"/>
                <w:sz w:val="22"/>
                <w:szCs w:val="22"/>
                <w:lang w:val="sq-AL" w:eastAsia="sq-AL" w:bidi="he-IL"/>
              </w:rPr>
              <w:t>Shanse të barabarta</w:t>
            </w:r>
          </w:p>
        </w:tc>
      </w:tr>
      <w:tr w:rsidR="005208DC" w:rsidRPr="005208DC" w14:paraId="6ECB936E" w14:textId="77777777" w:rsidTr="00A96D39">
        <w:trPr>
          <w:trHeight w:val="300"/>
        </w:trPr>
        <w:tc>
          <w:tcPr>
            <w:tcW w:w="3673" w:type="dxa"/>
            <w:shd w:val="clear" w:color="auto" w:fill="auto"/>
            <w:noWrap/>
            <w:vAlign w:val="bottom"/>
            <w:hideMark/>
          </w:tcPr>
          <w:p w14:paraId="6490115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 Pjesëmarrja e të rriturve në mësim gjatë 12 muajve të fundit, mosha 25-64 vjeç</w:t>
            </w:r>
          </w:p>
        </w:tc>
        <w:tc>
          <w:tcPr>
            <w:tcW w:w="1114" w:type="dxa"/>
            <w:shd w:val="clear" w:color="auto" w:fill="auto"/>
            <w:noWrap/>
            <w:vAlign w:val="bottom"/>
            <w:hideMark/>
          </w:tcPr>
          <w:p w14:paraId="05F60D1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INSTAT, LFS</w:t>
            </w:r>
            <w:r w:rsidRPr="005208DC">
              <w:rPr>
                <w:rStyle w:val="FootnoteReference"/>
                <w:rFonts w:asciiTheme="majorBidi" w:eastAsia="Times New Roman" w:hAnsiTheme="majorBidi" w:cstheme="majorBidi"/>
                <w:color w:val="0D0D0D" w:themeColor="text1" w:themeTint="F2"/>
                <w:sz w:val="22"/>
                <w:szCs w:val="22"/>
                <w:lang w:val="sq-AL" w:eastAsia="sq-AL" w:bidi="he-IL"/>
              </w:rPr>
              <w:footnoteReference w:id="14"/>
            </w:r>
          </w:p>
        </w:tc>
        <w:tc>
          <w:tcPr>
            <w:tcW w:w="965" w:type="dxa"/>
            <w:shd w:val="clear" w:color="auto" w:fill="auto"/>
            <w:noWrap/>
            <w:vAlign w:val="bottom"/>
            <w:hideMark/>
          </w:tcPr>
          <w:p w14:paraId="4B605CE8"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0.9</w:t>
            </w:r>
          </w:p>
        </w:tc>
        <w:tc>
          <w:tcPr>
            <w:tcW w:w="965" w:type="dxa"/>
            <w:shd w:val="clear" w:color="auto" w:fill="auto"/>
            <w:noWrap/>
            <w:vAlign w:val="bottom"/>
            <w:hideMark/>
          </w:tcPr>
          <w:p w14:paraId="4AD9034D"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0.9</w:t>
            </w:r>
          </w:p>
        </w:tc>
        <w:tc>
          <w:tcPr>
            <w:tcW w:w="965" w:type="dxa"/>
            <w:shd w:val="clear" w:color="auto" w:fill="auto"/>
            <w:noWrap/>
            <w:vAlign w:val="bottom"/>
            <w:hideMark/>
          </w:tcPr>
          <w:p w14:paraId="026084B5"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0.8</w:t>
            </w:r>
          </w:p>
        </w:tc>
        <w:tc>
          <w:tcPr>
            <w:tcW w:w="965" w:type="dxa"/>
            <w:shd w:val="clear" w:color="auto" w:fill="auto"/>
            <w:noWrap/>
            <w:vAlign w:val="bottom"/>
            <w:hideMark/>
          </w:tcPr>
          <w:p w14:paraId="4BCFBE2A"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0.7</w:t>
            </w:r>
          </w:p>
        </w:tc>
        <w:tc>
          <w:tcPr>
            <w:tcW w:w="1129" w:type="dxa"/>
            <w:shd w:val="clear" w:color="auto" w:fill="auto"/>
            <w:noWrap/>
            <w:vAlign w:val="bottom"/>
            <w:hideMark/>
          </w:tcPr>
          <w:p w14:paraId="7BBF23C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0.9</w:t>
            </w:r>
          </w:p>
        </w:tc>
      </w:tr>
      <w:tr w:rsidR="005208DC" w:rsidRPr="005208DC" w14:paraId="1D47F24E" w14:textId="77777777" w:rsidTr="00A96D39">
        <w:trPr>
          <w:trHeight w:val="300"/>
        </w:trPr>
        <w:tc>
          <w:tcPr>
            <w:tcW w:w="3673" w:type="dxa"/>
            <w:shd w:val="clear" w:color="auto" w:fill="auto"/>
            <w:noWrap/>
            <w:vAlign w:val="bottom"/>
            <w:hideMark/>
          </w:tcPr>
          <w:p w14:paraId="12E3C798"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 Përqindja e larguesve të hershëm nga arsimi dhe trajnimi, mosha 18-24</w:t>
            </w:r>
          </w:p>
        </w:tc>
        <w:tc>
          <w:tcPr>
            <w:tcW w:w="1114" w:type="dxa"/>
            <w:shd w:val="clear" w:color="auto" w:fill="auto"/>
            <w:noWrap/>
            <w:vAlign w:val="bottom"/>
            <w:hideMark/>
          </w:tcPr>
          <w:p w14:paraId="476CC399"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INSTAT, LFS</w:t>
            </w:r>
            <w:r w:rsidRPr="005208DC">
              <w:rPr>
                <w:rStyle w:val="FootnoteReference"/>
                <w:rFonts w:asciiTheme="majorBidi" w:eastAsia="Times New Roman" w:hAnsiTheme="majorBidi" w:cstheme="majorBidi"/>
                <w:color w:val="0D0D0D" w:themeColor="text1" w:themeTint="F2"/>
                <w:sz w:val="22"/>
                <w:szCs w:val="22"/>
                <w:lang w:val="sq-AL" w:eastAsia="sq-AL" w:bidi="he-IL"/>
              </w:rPr>
              <w:footnoteReference w:id="15"/>
            </w:r>
          </w:p>
        </w:tc>
        <w:tc>
          <w:tcPr>
            <w:tcW w:w="965" w:type="dxa"/>
            <w:shd w:val="clear" w:color="auto" w:fill="auto"/>
            <w:noWrap/>
            <w:vAlign w:val="bottom"/>
            <w:hideMark/>
          </w:tcPr>
          <w:p w14:paraId="329892F5"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19.6</w:t>
            </w:r>
          </w:p>
        </w:tc>
        <w:tc>
          <w:tcPr>
            <w:tcW w:w="965" w:type="dxa"/>
            <w:shd w:val="clear" w:color="auto" w:fill="auto"/>
            <w:noWrap/>
            <w:vAlign w:val="bottom"/>
            <w:hideMark/>
          </w:tcPr>
          <w:p w14:paraId="224A9AB2"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17.4</w:t>
            </w:r>
          </w:p>
        </w:tc>
        <w:tc>
          <w:tcPr>
            <w:tcW w:w="965" w:type="dxa"/>
            <w:shd w:val="clear" w:color="auto" w:fill="auto"/>
            <w:noWrap/>
            <w:vAlign w:val="bottom"/>
            <w:hideMark/>
          </w:tcPr>
          <w:p w14:paraId="231D6267"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16.3</w:t>
            </w:r>
          </w:p>
        </w:tc>
        <w:tc>
          <w:tcPr>
            <w:tcW w:w="965" w:type="dxa"/>
            <w:shd w:val="clear" w:color="auto" w:fill="auto"/>
            <w:noWrap/>
            <w:vAlign w:val="bottom"/>
            <w:hideMark/>
          </w:tcPr>
          <w:p w14:paraId="3954C4B0"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15.6</w:t>
            </w:r>
          </w:p>
        </w:tc>
        <w:tc>
          <w:tcPr>
            <w:tcW w:w="1129" w:type="dxa"/>
            <w:shd w:val="clear" w:color="auto" w:fill="auto"/>
            <w:noWrap/>
            <w:vAlign w:val="bottom"/>
            <w:hideMark/>
          </w:tcPr>
          <w:p w14:paraId="040A616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5FEC8F4E" w14:textId="77777777" w:rsidTr="00A96D39">
        <w:trPr>
          <w:trHeight w:val="300"/>
        </w:trPr>
        <w:tc>
          <w:tcPr>
            <w:tcW w:w="3673" w:type="dxa"/>
            <w:shd w:val="clear" w:color="auto" w:fill="auto"/>
            <w:noWrap/>
            <w:vAlign w:val="bottom"/>
            <w:hideMark/>
          </w:tcPr>
          <w:p w14:paraId="6C276928"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3. Pjesa e popullsisë me aftësi të përgjithshme bazë dixhitale ose më lart, mosha 16-74</w:t>
            </w:r>
          </w:p>
        </w:tc>
        <w:tc>
          <w:tcPr>
            <w:tcW w:w="1114" w:type="dxa"/>
            <w:shd w:val="clear" w:color="auto" w:fill="auto"/>
            <w:noWrap/>
            <w:vAlign w:val="bottom"/>
            <w:hideMark/>
          </w:tcPr>
          <w:p w14:paraId="3EFA2708"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965" w:type="dxa"/>
            <w:shd w:val="clear" w:color="auto" w:fill="auto"/>
            <w:noWrap/>
            <w:vAlign w:val="bottom"/>
            <w:hideMark/>
          </w:tcPr>
          <w:p w14:paraId="1DB82F5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965" w:type="dxa"/>
            <w:shd w:val="clear" w:color="auto" w:fill="auto"/>
            <w:noWrap/>
            <w:vAlign w:val="bottom"/>
            <w:hideMark/>
          </w:tcPr>
          <w:p w14:paraId="3DFD7A8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965" w:type="dxa"/>
            <w:shd w:val="clear" w:color="auto" w:fill="auto"/>
            <w:noWrap/>
            <w:vAlign w:val="bottom"/>
            <w:hideMark/>
          </w:tcPr>
          <w:p w14:paraId="4053011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965" w:type="dxa"/>
            <w:shd w:val="clear" w:color="auto" w:fill="auto"/>
            <w:noWrap/>
            <w:vAlign w:val="bottom"/>
            <w:hideMark/>
          </w:tcPr>
          <w:p w14:paraId="4B5D739F"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1129" w:type="dxa"/>
            <w:shd w:val="clear" w:color="auto" w:fill="auto"/>
            <w:noWrap/>
            <w:vAlign w:val="bottom"/>
            <w:hideMark/>
          </w:tcPr>
          <w:p w14:paraId="5B29714D"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64EE8EF3" w14:textId="77777777" w:rsidTr="00A96D39">
        <w:trPr>
          <w:trHeight w:val="300"/>
        </w:trPr>
        <w:tc>
          <w:tcPr>
            <w:tcW w:w="3673" w:type="dxa"/>
            <w:shd w:val="clear" w:color="auto" w:fill="auto"/>
            <w:noWrap/>
            <w:vAlign w:val="bottom"/>
            <w:hideMark/>
          </w:tcPr>
          <w:p w14:paraId="1142989A"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4. Të rinjtë as në punësim, as në arsim apo trajnim (norma NEET), mosha 15-29</w:t>
            </w:r>
          </w:p>
        </w:tc>
        <w:tc>
          <w:tcPr>
            <w:tcW w:w="1114" w:type="dxa"/>
            <w:shd w:val="clear" w:color="auto" w:fill="auto"/>
            <w:noWrap/>
            <w:vAlign w:val="bottom"/>
            <w:hideMark/>
          </w:tcPr>
          <w:p w14:paraId="42E509B0"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INSTAT, LFS</w:t>
            </w:r>
            <w:r w:rsidRPr="005208DC">
              <w:rPr>
                <w:rStyle w:val="FootnoteReference"/>
                <w:rFonts w:asciiTheme="majorBidi" w:eastAsia="Times New Roman" w:hAnsiTheme="majorBidi" w:cstheme="majorBidi"/>
                <w:color w:val="0D0D0D" w:themeColor="text1" w:themeTint="F2"/>
                <w:sz w:val="22"/>
                <w:szCs w:val="22"/>
                <w:lang w:val="sq-AL" w:eastAsia="sq-AL" w:bidi="he-IL"/>
              </w:rPr>
              <w:footnoteReference w:id="16"/>
            </w:r>
          </w:p>
        </w:tc>
        <w:tc>
          <w:tcPr>
            <w:tcW w:w="965" w:type="dxa"/>
            <w:shd w:val="clear" w:color="auto" w:fill="auto"/>
            <w:noWrap/>
            <w:vAlign w:val="bottom"/>
            <w:hideMark/>
          </w:tcPr>
          <w:p w14:paraId="67B17230"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29.7</w:t>
            </w:r>
          </w:p>
        </w:tc>
        <w:tc>
          <w:tcPr>
            <w:tcW w:w="965" w:type="dxa"/>
            <w:shd w:val="clear" w:color="auto" w:fill="auto"/>
            <w:noWrap/>
            <w:vAlign w:val="bottom"/>
            <w:hideMark/>
          </w:tcPr>
          <w:p w14:paraId="1D767FB2"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28.6</w:t>
            </w:r>
          </w:p>
        </w:tc>
        <w:tc>
          <w:tcPr>
            <w:tcW w:w="965" w:type="dxa"/>
            <w:shd w:val="clear" w:color="auto" w:fill="auto"/>
            <w:noWrap/>
            <w:vAlign w:val="bottom"/>
            <w:hideMark/>
          </w:tcPr>
          <w:p w14:paraId="660D847D"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26.6</w:t>
            </w:r>
          </w:p>
        </w:tc>
        <w:tc>
          <w:tcPr>
            <w:tcW w:w="965" w:type="dxa"/>
            <w:shd w:val="clear" w:color="auto" w:fill="auto"/>
            <w:noWrap/>
            <w:vAlign w:val="bottom"/>
            <w:hideMark/>
          </w:tcPr>
          <w:p w14:paraId="2FA08B6C"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27.9</w:t>
            </w:r>
          </w:p>
        </w:tc>
        <w:tc>
          <w:tcPr>
            <w:tcW w:w="1129" w:type="dxa"/>
            <w:shd w:val="clear" w:color="auto" w:fill="auto"/>
            <w:noWrap/>
            <w:vAlign w:val="bottom"/>
            <w:hideMark/>
          </w:tcPr>
          <w:p w14:paraId="3D118A2C"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25.9</w:t>
            </w:r>
          </w:p>
        </w:tc>
      </w:tr>
      <w:tr w:rsidR="005208DC" w:rsidRPr="005208DC" w14:paraId="784DA769" w14:textId="77777777" w:rsidTr="00A96D39">
        <w:trPr>
          <w:trHeight w:val="300"/>
        </w:trPr>
        <w:tc>
          <w:tcPr>
            <w:tcW w:w="3673" w:type="dxa"/>
            <w:shd w:val="clear" w:color="auto" w:fill="auto"/>
            <w:noWrap/>
            <w:vAlign w:val="bottom"/>
            <w:hideMark/>
          </w:tcPr>
          <w:p w14:paraId="2EEEFFB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5. Hendeku gjinor në shkallën e punësimit, mosha 20-64 vjeç</w:t>
            </w:r>
          </w:p>
        </w:tc>
        <w:tc>
          <w:tcPr>
            <w:tcW w:w="1114" w:type="dxa"/>
            <w:shd w:val="clear" w:color="auto" w:fill="auto"/>
            <w:noWrap/>
            <w:vAlign w:val="bottom"/>
            <w:hideMark/>
          </w:tcPr>
          <w:p w14:paraId="21D581A7"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INSTAT, LFS</w:t>
            </w:r>
          </w:p>
        </w:tc>
        <w:tc>
          <w:tcPr>
            <w:tcW w:w="965" w:type="dxa"/>
            <w:shd w:val="clear" w:color="auto" w:fill="auto"/>
            <w:noWrap/>
            <w:vAlign w:val="bottom"/>
            <w:hideMark/>
          </w:tcPr>
          <w:p w14:paraId="16DB998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16.5</w:t>
            </w:r>
          </w:p>
        </w:tc>
        <w:tc>
          <w:tcPr>
            <w:tcW w:w="965" w:type="dxa"/>
            <w:shd w:val="clear" w:color="auto" w:fill="auto"/>
            <w:noWrap/>
            <w:vAlign w:val="bottom"/>
            <w:hideMark/>
          </w:tcPr>
          <w:p w14:paraId="019E33F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16.5</w:t>
            </w:r>
          </w:p>
        </w:tc>
        <w:tc>
          <w:tcPr>
            <w:tcW w:w="965" w:type="dxa"/>
            <w:shd w:val="clear" w:color="auto" w:fill="auto"/>
            <w:noWrap/>
            <w:vAlign w:val="bottom"/>
            <w:hideMark/>
          </w:tcPr>
          <w:p w14:paraId="2D3CC66D"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15</w:t>
            </w:r>
          </w:p>
        </w:tc>
        <w:tc>
          <w:tcPr>
            <w:tcW w:w="965" w:type="dxa"/>
            <w:shd w:val="clear" w:color="auto" w:fill="auto"/>
            <w:noWrap/>
            <w:vAlign w:val="bottom"/>
            <w:hideMark/>
          </w:tcPr>
          <w:p w14:paraId="0F951DD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15.2</w:t>
            </w:r>
          </w:p>
        </w:tc>
        <w:tc>
          <w:tcPr>
            <w:tcW w:w="1129" w:type="dxa"/>
            <w:shd w:val="clear" w:color="auto" w:fill="auto"/>
            <w:noWrap/>
            <w:vAlign w:val="bottom"/>
            <w:hideMark/>
          </w:tcPr>
          <w:p w14:paraId="66A58E3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16.2</w:t>
            </w:r>
          </w:p>
        </w:tc>
      </w:tr>
      <w:tr w:rsidR="005208DC" w:rsidRPr="005208DC" w14:paraId="72D4C041" w14:textId="77777777" w:rsidTr="00A96D39">
        <w:trPr>
          <w:trHeight w:val="315"/>
        </w:trPr>
        <w:tc>
          <w:tcPr>
            <w:tcW w:w="3673" w:type="dxa"/>
            <w:shd w:val="clear" w:color="auto" w:fill="auto"/>
            <w:noWrap/>
            <w:vAlign w:val="bottom"/>
            <w:hideMark/>
          </w:tcPr>
          <w:p w14:paraId="561C5DF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6. Raporti i pjesës së kuintilit të të ardhurave - S80/S20</w:t>
            </w:r>
          </w:p>
          <w:p w14:paraId="194E4352"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1114" w:type="dxa"/>
            <w:shd w:val="clear" w:color="auto" w:fill="auto"/>
            <w:noWrap/>
            <w:vAlign w:val="bottom"/>
            <w:hideMark/>
          </w:tcPr>
          <w:p w14:paraId="6A797229"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EU-SILC</w:t>
            </w:r>
          </w:p>
        </w:tc>
        <w:tc>
          <w:tcPr>
            <w:tcW w:w="965" w:type="dxa"/>
            <w:shd w:val="clear" w:color="auto" w:fill="auto"/>
            <w:noWrap/>
            <w:vAlign w:val="bottom"/>
            <w:hideMark/>
          </w:tcPr>
          <w:p w14:paraId="501D72C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7.5</w:t>
            </w:r>
          </w:p>
        </w:tc>
        <w:tc>
          <w:tcPr>
            <w:tcW w:w="965" w:type="dxa"/>
            <w:shd w:val="clear" w:color="auto" w:fill="auto"/>
            <w:noWrap/>
            <w:vAlign w:val="bottom"/>
            <w:hideMark/>
          </w:tcPr>
          <w:p w14:paraId="14C8F4A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7</w:t>
            </w:r>
          </w:p>
        </w:tc>
        <w:tc>
          <w:tcPr>
            <w:tcW w:w="965" w:type="dxa"/>
            <w:shd w:val="clear" w:color="auto" w:fill="auto"/>
            <w:noWrap/>
            <w:vAlign w:val="bottom"/>
            <w:hideMark/>
          </w:tcPr>
          <w:p w14:paraId="7C5E01D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6.4</w:t>
            </w:r>
          </w:p>
        </w:tc>
        <w:tc>
          <w:tcPr>
            <w:tcW w:w="965" w:type="dxa"/>
            <w:shd w:val="clear" w:color="auto" w:fill="auto"/>
            <w:noWrap/>
            <w:vAlign w:val="bottom"/>
            <w:hideMark/>
          </w:tcPr>
          <w:p w14:paraId="3D79227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1129" w:type="dxa"/>
            <w:shd w:val="clear" w:color="auto" w:fill="auto"/>
            <w:noWrap/>
            <w:vAlign w:val="bottom"/>
            <w:hideMark/>
          </w:tcPr>
          <w:p w14:paraId="6B2B2FC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4A7EACBF" w14:textId="77777777" w:rsidTr="00A96D39">
        <w:trPr>
          <w:trHeight w:val="315"/>
        </w:trPr>
        <w:tc>
          <w:tcPr>
            <w:tcW w:w="9776" w:type="dxa"/>
            <w:gridSpan w:val="7"/>
            <w:shd w:val="clear" w:color="auto" w:fill="auto"/>
            <w:noWrap/>
            <w:vAlign w:val="bottom"/>
          </w:tcPr>
          <w:p w14:paraId="66E06B3B" w14:textId="77777777" w:rsidR="002D3C56" w:rsidRPr="005208DC" w:rsidRDefault="002D3C56" w:rsidP="00A96D39">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b/>
                <w:bCs/>
                <w:color w:val="0D0D0D" w:themeColor="text1" w:themeTint="F2"/>
                <w:sz w:val="22"/>
                <w:szCs w:val="22"/>
                <w:lang w:val="sq-AL" w:eastAsia="sq-AL" w:bidi="he-IL"/>
              </w:rPr>
              <w:t>Kushtet e punës</w:t>
            </w:r>
          </w:p>
        </w:tc>
      </w:tr>
      <w:tr w:rsidR="005208DC" w:rsidRPr="005208DC" w14:paraId="2CA0DCE7" w14:textId="77777777" w:rsidTr="00A96D39">
        <w:trPr>
          <w:trHeight w:val="300"/>
        </w:trPr>
        <w:tc>
          <w:tcPr>
            <w:tcW w:w="3673" w:type="dxa"/>
            <w:shd w:val="clear" w:color="auto" w:fill="auto"/>
            <w:noWrap/>
            <w:vAlign w:val="bottom"/>
            <w:hideMark/>
          </w:tcPr>
          <w:p w14:paraId="78B5EDF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7. Niveli i punësimit, mosha 20-64</w:t>
            </w:r>
          </w:p>
        </w:tc>
        <w:tc>
          <w:tcPr>
            <w:tcW w:w="1114" w:type="dxa"/>
            <w:shd w:val="clear" w:color="auto" w:fill="auto"/>
            <w:noWrap/>
            <w:vAlign w:val="bottom"/>
            <w:hideMark/>
          </w:tcPr>
          <w:p w14:paraId="7676B049"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INSTAT, LFS</w:t>
            </w:r>
            <w:r w:rsidRPr="005208DC">
              <w:rPr>
                <w:rStyle w:val="FootnoteReference"/>
                <w:rFonts w:asciiTheme="majorBidi" w:eastAsia="Times New Roman" w:hAnsiTheme="majorBidi" w:cstheme="majorBidi"/>
                <w:color w:val="0D0D0D" w:themeColor="text1" w:themeTint="F2"/>
                <w:sz w:val="22"/>
                <w:szCs w:val="22"/>
                <w:lang w:val="sq-AL" w:eastAsia="sq-AL" w:bidi="he-IL"/>
              </w:rPr>
              <w:footnoteReference w:id="17"/>
            </w:r>
          </w:p>
        </w:tc>
        <w:tc>
          <w:tcPr>
            <w:tcW w:w="965" w:type="dxa"/>
            <w:shd w:val="clear" w:color="auto" w:fill="auto"/>
            <w:noWrap/>
            <w:vAlign w:val="bottom"/>
            <w:hideMark/>
          </w:tcPr>
          <w:p w14:paraId="4255CA18"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63.9</w:t>
            </w:r>
          </w:p>
        </w:tc>
        <w:tc>
          <w:tcPr>
            <w:tcW w:w="965" w:type="dxa"/>
            <w:shd w:val="clear" w:color="auto" w:fill="auto"/>
            <w:noWrap/>
            <w:vAlign w:val="bottom"/>
            <w:hideMark/>
          </w:tcPr>
          <w:p w14:paraId="7036D202"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65.6</w:t>
            </w:r>
          </w:p>
        </w:tc>
        <w:tc>
          <w:tcPr>
            <w:tcW w:w="965" w:type="dxa"/>
            <w:shd w:val="clear" w:color="auto" w:fill="auto"/>
            <w:noWrap/>
            <w:vAlign w:val="bottom"/>
            <w:hideMark/>
          </w:tcPr>
          <w:p w14:paraId="0223880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67.1</w:t>
            </w:r>
          </w:p>
        </w:tc>
        <w:tc>
          <w:tcPr>
            <w:tcW w:w="965" w:type="dxa"/>
            <w:shd w:val="clear" w:color="auto" w:fill="auto"/>
            <w:noWrap/>
            <w:vAlign w:val="bottom"/>
            <w:hideMark/>
          </w:tcPr>
          <w:p w14:paraId="2825F3DF"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66.3</w:t>
            </w:r>
          </w:p>
        </w:tc>
        <w:tc>
          <w:tcPr>
            <w:tcW w:w="1129" w:type="dxa"/>
            <w:shd w:val="clear" w:color="auto" w:fill="auto"/>
            <w:noWrap/>
            <w:vAlign w:val="bottom"/>
            <w:hideMark/>
          </w:tcPr>
          <w:p w14:paraId="53097380"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66.2</w:t>
            </w:r>
          </w:p>
        </w:tc>
      </w:tr>
      <w:tr w:rsidR="005208DC" w:rsidRPr="005208DC" w14:paraId="0CAFC2CA" w14:textId="77777777" w:rsidTr="00A96D39">
        <w:trPr>
          <w:trHeight w:val="300"/>
        </w:trPr>
        <w:tc>
          <w:tcPr>
            <w:tcW w:w="3673" w:type="dxa"/>
            <w:shd w:val="clear" w:color="auto" w:fill="auto"/>
            <w:noWrap/>
            <w:vAlign w:val="bottom"/>
            <w:hideMark/>
          </w:tcPr>
          <w:p w14:paraId="324756DF"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8. Niveli i papunësisë, mosha 15-74</w:t>
            </w:r>
          </w:p>
        </w:tc>
        <w:tc>
          <w:tcPr>
            <w:tcW w:w="1114" w:type="dxa"/>
            <w:shd w:val="clear" w:color="auto" w:fill="auto"/>
            <w:noWrap/>
            <w:vAlign w:val="bottom"/>
            <w:hideMark/>
          </w:tcPr>
          <w:p w14:paraId="75DC716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INSTAT, LFS</w:t>
            </w:r>
            <w:r w:rsidRPr="005208DC">
              <w:rPr>
                <w:rStyle w:val="FootnoteReference"/>
                <w:rFonts w:asciiTheme="majorBidi" w:eastAsia="Times New Roman" w:hAnsiTheme="majorBidi" w:cstheme="majorBidi"/>
                <w:color w:val="0D0D0D" w:themeColor="text1" w:themeTint="F2"/>
                <w:sz w:val="22"/>
                <w:szCs w:val="22"/>
                <w:lang w:val="sq-AL" w:eastAsia="sq-AL" w:bidi="he-IL"/>
              </w:rPr>
              <w:footnoteReference w:id="18"/>
            </w:r>
          </w:p>
        </w:tc>
        <w:tc>
          <w:tcPr>
            <w:tcW w:w="965" w:type="dxa"/>
            <w:shd w:val="clear" w:color="auto" w:fill="auto"/>
            <w:noWrap/>
            <w:vAlign w:val="bottom"/>
            <w:hideMark/>
          </w:tcPr>
          <w:p w14:paraId="24F6F50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13.7</w:t>
            </w:r>
          </w:p>
        </w:tc>
        <w:tc>
          <w:tcPr>
            <w:tcW w:w="965" w:type="dxa"/>
            <w:shd w:val="clear" w:color="auto" w:fill="auto"/>
            <w:noWrap/>
            <w:vAlign w:val="bottom"/>
            <w:hideMark/>
          </w:tcPr>
          <w:p w14:paraId="3121DB97"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12.3</w:t>
            </w:r>
          </w:p>
        </w:tc>
        <w:tc>
          <w:tcPr>
            <w:tcW w:w="965" w:type="dxa"/>
            <w:shd w:val="clear" w:color="auto" w:fill="auto"/>
            <w:noWrap/>
            <w:vAlign w:val="bottom"/>
            <w:hideMark/>
          </w:tcPr>
          <w:p w14:paraId="7AF1FA7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11.5</w:t>
            </w:r>
          </w:p>
        </w:tc>
        <w:tc>
          <w:tcPr>
            <w:tcW w:w="965" w:type="dxa"/>
            <w:shd w:val="clear" w:color="auto" w:fill="auto"/>
            <w:noWrap/>
            <w:vAlign w:val="bottom"/>
            <w:hideMark/>
          </w:tcPr>
          <w:p w14:paraId="30233D97"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11.7</w:t>
            </w:r>
          </w:p>
        </w:tc>
        <w:tc>
          <w:tcPr>
            <w:tcW w:w="1129" w:type="dxa"/>
            <w:shd w:val="clear" w:color="000000" w:fill="FFFFFF"/>
            <w:noWrap/>
            <w:vAlign w:val="bottom"/>
            <w:hideMark/>
          </w:tcPr>
          <w:p w14:paraId="52FE9BE7"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11.7</w:t>
            </w:r>
          </w:p>
        </w:tc>
      </w:tr>
      <w:tr w:rsidR="005208DC" w:rsidRPr="005208DC" w14:paraId="4480E126" w14:textId="77777777" w:rsidTr="00A96D39">
        <w:trPr>
          <w:trHeight w:val="300"/>
        </w:trPr>
        <w:tc>
          <w:tcPr>
            <w:tcW w:w="3673" w:type="dxa"/>
            <w:shd w:val="clear" w:color="auto" w:fill="auto"/>
            <w:noWrap/>
            <w:vAlign w:val="bottom"/>
            <w:hideMark/>
          </w:tcPr>
          <w:p w14:paraId="4DD0790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9. Niveli i papunësisë afatgjatë, mosha 15-74</w:t>
            </w:r>
          </w:p>
        </w:tc>
        <w:tc>
          <w:tcPr>
            <w:tcW w:w="1114" w:type="dxa"/>
            <w:shd w:val="clear" w:color="auto" w:fill="auto"/>
            <w:noWrap/>
            <w:vAlign w:val="bottom"/>
            <w:hideMark/>
          </w:tcPr>
          <w:p w14:paraId="51BEE8FD"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INSTAT, LFS</w:t>
            </w:r>
            <w:r w:rsidRPr="005208DC">
              <w:rPr>
                <w:rStyle w:val="FootnoteReference"/>
                <w:rFonts w:asciiTheme="majorBidi" w:eastAsia="Times New Roman" w:hAnsiTheme="majorBidi" w:cstheme="majorBidi"/>
                <w:color w:val="0D0D0D" w:themeColor="text1" w:themeTint="F2"/>
                <w:sz w:val="22"/>
                <w:szCs w:val="22"/>
                <w:lang w:val="sq-AL" w:eastAsia="sq-AL" w:bidi="he-IL"/>
              </w:rPr>
              <w:footnoteReference w:id="19"/>
            </w:r>
          </w:p>
        </w:tc>
        <w:tc>
          <w:tcPr>
            <w:tcW w:w="965" w:type="dxa"/>
            <w:shd w:val="clear" w:color="auto" w:fill="auto"/>
            <w:noWrap/>
            <w:vAlign w:val="bottom"/>
            <w:hideMark/>
          </w:tcPr>
          <w:p w14:paraId="23FD12A5"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8.9</w:t>
            </w:r>
          </w:p>
        </w:tc>
        <w:tc>
          <w:tcPr>
            <w:tcW w:w="965" w:type="dxa"/>
            <w:shd w:val="clear" w:color="auto" w:fill="auto"/>
            <w:noWrap/>
            <w:vAlign w:val="bottom"/>
            <w:hideMark/>
          </w:tcPr>
          <w:p w14:paraId="3EC10A8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8.3</w:t>
            </w:r>
          </w:p>
        </w:tc>
        <w:tc>
          <w:tcPr>
            <w:tcW w:w="965" w:type="dxa"/>
            <w:shd w:val="clear" w:color="auto" w:fill="auto"/>
            <w:noWrap/>
            <w:vAlign w:val="bottom"/>
            <w:hideMark/>
          </w:tcPr>
          <w:p w14:paraId="0EBD949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7.3</w:t>
            </w:r>
          </w:p>
        </w:tc>
        <w:tc>
          <w:tcPr>
            <w:tcW w:w="965" w:type="dxa"/>
            <w:shd w:val="clear" w:color="auto" w:fill="auto"/>
            <w:noWrap/>
            <w:vAlign w:val="bottom"/>
            <w:hideMark/>
          </w:tcPr>
          <w:p w14:paraId="19F94902"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7.0</w:t>
            </w:r>
          </w:p>
        </w:tc>
        <w:tc>
          <w:tcPr>
            <w:tcW w:w="1129" w:type="dxa"/>
            <w:shd w:val="clear" w:color="auto" w:fill="auto"/>
            <w:noWrap/>
            <w:vAlign w:val="bottom"/>
          </w:tcPr>
          <w:p w14:paraId="0B728C6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8.0</w:t>
            </w:r>
          </w:p>
        </w:tc>
      </w:tr>
      <w:tr w:rsidR="005208DC" w:rsidRPr="005208DC" w14:paraId="4DF697DB" w14:textId="77777777" w:rsidTr="00A96D39">
        <w:trPr>
          <w:trHeight w:val="315"/>
        </w:trPr>
        <w:tc>
          <w:tcPr>
            <w:tcW w:w="3673" w:type="dxa"/>
            <w:shd w:val="clear" w:color="auto" w:fill="auto"/>
            <w:noWrap/>
            <w:vAlign w:val="bottom"/>
            <w:hideMark/>
          </w:tcPr>
          <w:p w14:paraId="1F4A3C35"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10. Të ardhurat bruto të disponueshme të familjeve në terma realë, për frymë</w:t>
            </w:r>
          </w:p>
        </w:tc>
        <w:tc>
          <w:tcPr>
            <w:tcW w:w="1114" w:type="dxa"/>
            <w:shd w:val="clear" w:color="auto" w:fill="auto"/>
            <w:noWrap/>
            <w:vAlign w:val="bottom"/>
            <w:hideMark/>
          </w:tcPr>
          <w:p w14:paraId="7DF4891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EU-SILC</w:t>
            </w:r>
          </w:p>
        </w:tc>
        <w:tc>
          <w:tcPr>
            <w:tcW w:w="965" w:type="dxa"/>
            <w:shd w:val="clear" w:color="auto" w:fill="auto"/>
            <w:noWrap/>
            <w:vAlign w:val="bottom"/>
            <w:hideMark/>
          </w:tcPr>
          <w:p w14:paraId="293BBD9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4370</w:t>
            </w:r>
          </w:p>
        </w:tc>
        <w:tc>
          <w:tcPr>
            <w:tcW w:w="965" w:type="dxa"/>
            <w:shd w:val="clear" w:color="auto" w:fill="auto"/>
            <w:noWrap/>
            <w:vAlign w:val="bottom"/>
            <w:hideMark/>
          </w:tcPr>
          <w:p w14:paraId="73E48D3C"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4688</w:t>
            </w:r>
          </w:p>
        </w:tc>
        <w:tc>
          <w:tcPr>
            <w:tcW w:w="965" w:type="dxa"/>
            <w:shd w:val="clear" w:color="auto" w:fill="auto"/>
            <w:noWrap/>
            <w:vAlign w:val="bottom"/>
            <w:hideMark/>
          </w:tcPr>
          <w:p w14:paraId="220B390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4992</w:t>
            </w:r>
          </w:p>
        </w:tc>
        <w:tc>
          <w:tcPr>
            <w:tcW w:w="965" w:type="dxa"/>
            <w:shd w:val="clear" w:color="auto" w:fill="auto"/>
            <w:noWrap/>
            <w:vAlign w:val="bottom"/>
            <w:hideMark/>
          </w:tcPr>
          <w:p w14:paraId="23976955"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1129" w:type="dxa"/>
            <w:shd w:val="clear" w:color="auto" w:fill="auto"/>
            <w:noWrap/>
            <w:vAlign w:val="bottom"/>
            <w:hideMark/>
          </w:tcPr>
          <w:p w14:paraId="02B0A6A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302CB439" w14:textId="77777777" w:rsidTr="00A96D39">
        <w:trPr>
          <w:trHeight w:val="315"/>
        </w:trPr>
        <w:tc>
          <w:tcPr>
            <w:tcW w:w="9776" w:type="dxa"/>
            <w:gridSpan w:val="7"/>
            <w:shd w:val="clear" w:color="auto" w:fill="auto"/>
            <w:noWrap/>
            <w:vAlign w:val="bottom"/>
          </w:tcPr>
          <w:p w14:paraId="082C8D13" w14:textId="77777777" w:rsidR="002D3C56" w:rsidRPr="005208DC" w:rsidRDefault="002D3C56" w:rsidP="00A96D39">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b/>
                <w:bCs/>
                <w:color w:val="0D0D0D" w:themeColor="text1" w:themeTint="F2"/>
                <w:sz w:val="22"/>
                <w:szCs w:val="22"/>
                <w:lang w:val="sq-AL" w:eastAsia="sq-AL" w:bidi="he-IL"/>
              </w:rPr>
              <w:t>Social protection and inclusion</w:t>
            </w:r>
          </w:p>
        </w:tc>
      </w:tr>
      <w:tr w:rsidR="005208DC" w:rsidRPr="005208DC" w14:paraId="01A2989F" w14:textId="77777777" w:rsidTr="00A96D39">
        <w:trPr>
          <w:trHeight w:val="300"/>
        </w:trPr>
        <w:tc>
          <w:tcPr>
            <w:tcW w:w="3673" w:type="dxa"/>
            <w:shd w:val="clear" w:color="auto" w:fill="auto"/>
            <w:noWrap/>
            <w:vAlign w:val="bottom"/>
            <w:hideMark/>
          </w:tcPr>
          <w:p w14:paraId="3E0AA987"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11. Shkalla e rrezikut nga varfëria ose e përjashtimit social (AROPE)</w:t>
            </w:r>
          </w:p>
        </w:tc>
        <w:tc>
          <w:tcPr>
            <w:tcW w:w="1114" w:type="dxa"/>
            <w:shd w:val="clear" w:color="auto" w:fill="auto"/>
            <w:noWrap/>
            <w:vAlign w:val="bottom"/>
            <w:hideMark/>
          </w:tcPr>
          <w:p w14:paraId="3A166A13"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EU-SILC</w:t>
            </w:r>
          </w:p>
        </w:tc>
        <w:tc>
          <w:tcPr>
            <w:tcW w:w="965" w:type="dxa"/>
            <w:shd w:val="clear" w:color="auto" w:fill="auto"/>
            <w:noWrap/>
            <w:vAlign w:val="bottom"/>
            <w:hideMark/>
          </w:tcPr>
          <w:p w14:paraId="08F0201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51.8</w:t>
            </w:r>
          </w:p>
        </w:tc>
        <w:tc>
          <w:tcPr>
            <w:tcW w:w="965" w:type="dxa"/>
            <w:shd w:val="clear" w:color="auto" w:fill="auto"/>
            <w:noWrap/>
            <w:vAlign w:val="bottom"/>
            <w:hideMark/>
          </w:tcPr>
          <w:p w14:paraId="7F0AD263"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49</w:t>
            </w:r>
          </w:p>
        </w:tc>
        <w:tc>
          <w:tcPr>
            <w:tcW w:w="965" w:type="dxa"/>
            <w:shd w:val="clear" w:color="auto" w:fill="auto"/>
            <w:noWrap/>
            <w:vAlign w:val="bottom"/>
            <w:hideMark/>
          </w:tcPr>
          <w:p w14:paraId="5D36123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46.2</w:t>
            </w:r>
          </w:p>
        </w:tc>
        <w:tc>
          <w:tcPr>
            <w:tcW w:w="965" w:type="dxa"/>
            <w:shd w:val="clear" w:color="auto" w:fill="auto"/>
            <w:noWrap/>
            <w:vAlign w:val="bottom"/>
            <w:hideMark/>
          </w:tcPr>
          <w:p w14:paraId="7E663B6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1129" w:type="dxa"/>
            <w:shd w:val="clear" w:color="auto" w:fill="auto"/>
            <w:noWrap/>
            <w:vAlign w:val="bottom"/>
            <w:hideMark/>
          </w:tcPr>
          <w:p w14:paraId="33027DD8"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0DE9BB53" w14:textId="77777777" w:rsidTr="00A96D39">
        <w:trPr>
          <w:trHeight w:val="300"/>
        </w:trPr>
        <w:tc>
          <w:tcPr>
            <w:tcW w:w="3673" w:type="dxa"/>
            <w:shd w:val="clear" w:color="auto" w:fill="auto"/>
            <w:noWrap/>
            <w:vAlign w:val="bottom"/>
            <w:hideMark/>
          </w:tcPr>
          <w:p w14:paraId="55C5B45F"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12. Shkalla e rrezikut nga varfëria ose e përjashtimit social (AROPE) për fëmijët (0-17)</w:t>
            </w:r>
          </w:p>
        </w:tc>
        <w:tc>
          <w:tcPr>
            <w:tcW w:w="1114" w:type="dxa"/>
            <w:shd w:val="clear" w:color="auto" w:fill="auto"/>
            <w:noWrap/>
            <w:vAlign w:val="bottom"/>
            <w:hideMark/>
          </w:tcPr>
          <w:p w14:paraId="1CA58B97"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EU-SILC</w:t>
            </w:r>
          </w:p>
        </w:tc>
        <w:tc>
          <w:tcPr>
            <w:tcW w:w="965" w:type="dxa"/>
            <w:shd w:val="clear" w:color="auto" w:fill="auto"/>
            <w:noWrap/>
            <w:vAlign w:val="bottom"/>
            <w:hideMark/>
          </w:tcPr>
          <w:p w14:paraId="15E8CE17"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54.8</w:t>
            </w:r>
          </w:p>
        </w:tc>
        <w:tc>
          <w:tcPr>
            <w:tcW w:w="965" w:type="dxa"/>
            <w:shd w:val="clear" w:color="auto" w:fill="auto"/>
            <w:noWrap/>
            <w:vAlign w:val="bottom"/>
            <w:hideMark/>
          </w:tcPr>
          <w:p w14:paraId="1F36FE9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52.4</w:t>
            </w:r>
          </w:p>
        </w:tc>
        <w:tc>
          <w:tcPr>
            <w:tcW w:w="965" w:type="dxa"/>
            <w:shd w:val="clear" w:color="auto" w:fill="auto"/>
            <w:noWrap/>
            <w:vAlign w:val="bottom"/>
            <w:hideMark/>
          </w:tcPr>
          <w:p w14:paraId="1BD24745"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49.4</w:t>
            </w:r>
          </w:p>
        </w:tc>
        <w:tc>
          <w:tcPr>
            <w:tcW w:w="965" w:type="dxa"/>
            <w:shd w:val="clear" w:color="auto" w:fill="auto"/>
            <w:noWrap/>
            <w:vAlign w:val="bottom"/>
            <w:hideMark/>
          </w:tcPr>
          <w:p w14:paraId="6D04D610"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1129" w:type="dxa"/>
            <w:shd w:val="clear" w:color="auto" w:fill="auto"/>
            <w:noWrap/>
            <w:vAlign w:val="bottom"/>
            <w:hideMark/>
          </w:tcPr>
          <w:p w14:paraId="6D952643"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47ADD39D" w14:textId="77777777" w:rsidTr="00A96D39">
        <w:trPr>
          <w:trHeight w:val="300"/>
        </w:trPr>
        <w:tc>
          <w:tcPr>
            <w:tcW w:w="3673" w:type="dxa"/>
            <w:shd w:val="clear" w:color="auto" w:fill="auto"/>
            <w:noWrap/>
            <w:vAlign w:val="bottom"/>
            <w:hideMark/>
          </w:tcPr>
          <w:p w14:paraId="5AC410AE"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13. Ndikimi i transfertave sociale (përveç pensioneve) në uljen e varfërisë</w:t>
            </w:r>
          </w:p>
        </w:tc>
        <w:tc>
          <w:tcPr>
            <w:tcW w:w="1114" w:type="dxa"/>
            <w:shd w:val="clear" w:color="auto" w:fill="auto"/>
            <w:noWrap/>
            <w:vAlign w:val="bottom"/>
            <w:hideMark/>
          </w:tcPr>
          <w:p w14:paraId="2EC0BF8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EU-SILC</w:t>
            </w:r>
          </w:p>
        </w:tc>
        <w:tc>
          <w:tcPr>
            <w:tcW w:w="965" w:type="dxa"/>
            <w:shd w:val="clear" w:color="auto" w:fill="auto"/>
            <w:noWrap/>
            <w:vAlign w:val="bottom"/>
            <w:hideMark/>
          </w:tcPr>
          <w:p w14:paraId="3380492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27.1</w:t>
            </w:r>
          </w:p>
        </w:tc>
        <w:tc>
          <w:tcPr>
            <w:tcW w:w="965" w:type="dxa"/>
            <w:shd w:val="clear" w:color="auto" w:fill="auto"/>
            <w:noWrap/>
            <w:vAlign w:val="bottom"/>
            <w:hideMark/>
          </w:tcPr>
          <w:p w14:paraId="5B823B79"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26.3</w:t>
            </w:r>
          </w:p>
        </w:tc>
        <w:tc>
          <w:tcPr>
            <w:tcW w:w="965" w:type="dxa"/>
            <w:shd w:val="clear" w:color="auto" w:fill="auto"/>
            <w:noWrap/>
            <w:vAlign w:val="bottom"/>
            <w:hideMark/>
          </w:tcPr>
          <w:p w14:paraId="2E306B8C"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26.1</w:t>
            </w:r>
          </w:p>
        </w:tc>
        <w:tc>
          <w:tcPr>
            <w:tcW w:w="965" w:type="dxa"/>
            <w:shd w:val="clear" w:color="auto" w:fill="auto"/>
            <w:noWrap/>
            <w:vAlign w:val="bottom"/>
            <w:hideMark/>
          </w:tcPr>
          <w:p w14:paraId="129AA47E"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1129" w:type="dxa"/>
            <w:shd w:val="clear" w:color="auto" w:fill="auto"/>
            <w:noWrap/>
            <w:vAlign w:val="bottom"/>
            <w:hideMark/>
          </w:tcPr>
          <w:p w14:paraId="51A525F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683A5415" w14:textId="77777777" w:rsidTr="00A96D39">
        <w:trPr>
          <w:trHeight w:val="300"/>
        </w:trPr>
        <w:tc>
          <w:tcPr>
            <w:tcW w:w="3673" w:type="dxa"/>
            <w:shd w:val="clear" w:color="auto" w:fill="auto"/>
            <w:noWrap/>
            <w:vAlign w:val="bottom"/>
            <w:hideMark/>
          </w:tcPr>
          <w:p w14:paraId="729BFCEF"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14. Hendeku i punësimit të aftësisë së kufizuar, mosha 20-64</w:t>
            </w:r>
          </w:p>
        </w:tc>
        <w:tc>
          <w:tcPr>
            <w:tcW w:w="1114" w:type="dxa"/>
            <w:shd w:val="clear" w:color="auto" w:fill="auto"/>
            <w:noWrap/>
            <w:vAlign w:val="bottom"/>
            <w:hideMark/>
          </w:tcPr>
          <w:p w14:paraId="654340ED"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965" w:type="dxa"/>
            <w:shd w:val="clear" w:color="auto" w:fill="auto"/>
            <w:noWrap/>
            <w:vAlign w:val="bottom"/>
            <w:hideMark/>
          </w:tcPr>
          <w:p w14:paraId="601EB7B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965" w:type="dxa"/>
            <w:shd w:val="clear" w:color="auto" w:fill="auto"/>
            <w:noWrap/>
            <w:vAlign w:val="bottom"/>
            <w:hideMark/>
          </w:tcPr>
          <w:p w14:paraId="157AA560"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965" w:type="dxa"/>
            <w:shd w:val="clear" w:color="auto" w:fill="auto"/>
            <w:noWrap/>
            <w:vAlign w:val="bottom"/>
            <w:hideMark/>
          </w:tcPr>
          <w:p w14:paraId="1D2708B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965" w:type="dxa"/>
            <w:shd w:val="clear" w:color="auto" w:fill="auto"/>
            <w:noWrap/>
            <w:vAlign w:val="bottom"/>
            <w:hideMark/>
          </w:tcPr>
          <w:p w14:paraId="7D859709"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1129" w:type="dxa"/>
            <w:shd w:val="clear" w:color="auto" w:fill="auto"/>
            <w:noWrap/>
            <w:vAlign w:val="bottom"/>
            <w:hideMark/>
          </w:tcPr>
          <w:p w14:paraId="09003693"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47065F25" w14:textId="77777777" w:rsidTr="00A96D39">
        <w:trPr>
          <w:trHeight w:val="300"/>
        </w:trPr>
        <w:tc>
          <w:tcPr>
            <w:tcW w:w="3673" w:type="dxa"/>
            <w:shd w:val="clear" w:color="auto" w:fill="auto"/>
            <w:noWrap/>
            <w:vAlign w:val="bottom"/>
            <w:hideMark/>
          </w:tcPr>
          <w:p w14:paraId="20B889B0"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15. Shkalla e mbingarkesës së kostos së banesave</w:t>
            </w:r>
          </w:p>
        </w:tc>
        <w:tc>
          <w:tcPr>
            <w:tcW w:w="1114" w:type="dxa"/>
            <w:shd w:val="clear" w:color="auto" w:fill="auto"/>
            <w:noWrap/>
            <w:vAlign w:val="bottom"/>
            <w:hideMark/>
          </w:tcPr>
          <w:p w14:paraId="6286F988"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EU-SILC</w:t>
            </w:r>
          </w:p>
        </w:tc>
        <w:tc>
          <w:tcPr>
            <w:tcW w:w="965" w:type="dxa"/>
            <w:shd w:val="clear" w:color="auto" w:fill="auto"/>
            <w:noWrap/>
            <w:vAlign w:val="bottom"/>
            <w:hideMark/>
          </w:tcPr>
          <w:p w14:paraId="6F1FB30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9.2</w:t>
            </w:r>
          </w:p>
        </w:tc>
        <w:tc>
          <w:tcPr>
            <w:tcW w:w="965" w:type="dxa"/>
            <w:shd w:val="clear" w:color="auto" w:fill="auto"/>
            <w:noWrap/>
            <w:vAlign w:val="bottom"/>
            <w:hideMark/>
          </w:tcPr>
          <w:p w14:paraId="2E238DC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6</w:t>
            </w:r>
          </w:p>
        </w:tc>
        <w:tc>
          <w:tcPr>
            <w:tcW w:w="965" w:type="dxa"/>
            <w:shd w:val="clear" w:color="auto" w:fill="auto"/>
            <w:noWrap/>
            <w:vAlign w:val="bottom"/>
            <w:hideMark/>
          </w:tcPr>
          <w:p w14:paraId="2502BF5F"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5.5</w:t>
            </w:r>
          </w:p>
        </w:tc>
        <w:tc>
          <w:tcPr>
            <w:tcW w:w="965" w:type="dxa"/>
            <w:shd w:val="clear" w:color="auto" w:fill="auto"/>
            <w:noWrap/>
            <w:vAlign w:val="bottom"/>
            <w:hideMark/>
          </w:tcPr>
          <w:p w14:paraId="75745C33"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1129" w:type="dxa"/>
            <w:shd w:val="clear" w:color="auto" w:fill="auto"/>
            <w:noWrap/>
            <w:vAlign w:val="bottom"/>
            <w:hideMark/>
          </w:tcPr>
          <w:p w14:paraId="0C0215AE"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06AC755E" w14:textId="77777777" w:rsidTr="00A96D39">
        <w:trPr>
          <w:trHeight w:val="300"/>
        </w:trPr>
        <w:tc>
          <w:tcPr>
            <w:tcW w:w="3673" w:type="dxa"/>
            <w:shd w:val="clear" w:color="auto" w:fill="auto"/>
            <w:noWrap/>
            <w:vAlign w:val="bottom"/>
            <w:hideMark/>
          </w:tcPr>
          <w:p w14:paraId="5A7CEB5A"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16. Fëmijët e moshës më pak se 3 vjeç në kujdesin zyrtar të fëmijëve</w:t>
            </w:r>
          </w:p>
        </w:tc>
        <w:tc>
          <w:tcPr>
            <w:tcW w:w="1114" w:type="dxa"/>
            <w:shd w:val="clear" w:color="auto" w:fill="auto"/>
            <w:noWrap/>
            <w:vAlign w:val="bottom"/>
            <w:hideMark/>
          </w:tcPr>
          <w:p w14:paraId="055DBE88"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965" w:type="dxa"/>
            <w:shd w:val="clear" w:color="auto" w:fill="auto"/>
            <w:noWrap/>
            <w:vAlign w:val="bottom"/>
            <w:hideMark/>
          </w:tcPr>
          <w:p w14:paraId="78630AE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965" w:type="dxa"/>
            <w:shd w:val="clear" w:color="auto" w:fill="auto"/>
            <w:noWrap/>
            <w:vAlign w:val="bottom"/>
            <w:hideMark/>
          </w:tcPr>
          <w:p w14:paraId="0AA6DD53"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965" w:type="dxa"/>
            <w:shd w:val="clear" w:color="auto" w:fill="auto"/>
            <w:noWrap/>
            <w:vAlign w:val="bottom"/>
            <w:hideMark/>
          </w:tcPr>
          <w:p w14:paraId="3E8567AF"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965" w:type="dxa"/>
            <w:shd w:val="clear" w:color="auto" w:fill="auto"/>
            <w:noWrap/>
            <w:vAlign w:val="bottom"/>
            <w:hideMark/>
          </w:tcPr>
          <w:p w14:paraId="1EE776B3"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1129" w:type="dxa"/>
            <w:shd w:val="clear" w:color="auto" w:fill="auto"/>
            <w:noWrap/>
            <w:vAlign w:val="bottom"/>
            <w:hideMark/>
          </w:tcPr>
          <w:p w14:paraId="30C16780"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55DBF2AE" w14:textId="77777777" w:rsidTr="00A96D39">
        <w:trPr>
          <w:trHeight w:val="315"/>
        </w:trPr>
        <w:tc>
          <w:tcPr>
            <w:tcW w:w="3673" w:type="dxa"/>
            <w:shd w:val="clear" w:color="auto" w:fill="auto"/>
            <w:noWrap/>
            <w:vAlign w:val="bottom"/>
            <w:hideMark/>
          </w:tcPr>
          <w:p w14:paraId="211F3ECA"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17. Vetë-raportuar nevojat e paplotësuara për kujdes mjekësor</w:t>
            </w:r>
          </w:p>
        </w:tc>
        <w:tc>
          <w:tcPr>
            <w:tcW w:w="1114" w:type="dxa"/>
            <w:shd w:val="clear" w:color="auto" w:fill="auto"/>
            <w:noWrap/>
            <w:vAlign w:val="bottom"/>
            <w:hideMark/>
          </w:tcPr>
          <w:p w14:paraId="46B8823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EU-SILC</w:t>
            </w:r>
          </w:p>
        </w:tc>
        <w:tc>
          <w:tcPr>
            <w:tcW w:w="965" w:type="dxa"/>
            <w:shd w:val="clear" w:color="auto" w:fill="auto"/>
            <w:noWrap/>
            <w:vAlign w:val="bottom"/>
            <w:hideMark/>
          </w:tcPr>
          <w:p w14:paraId="2F68E9C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19</w:t>
            </w:r>
          </w:p>
        </w:tc>
        <w:tc>
          <w:tcPr>
            <w:tcW w:w="965" w:type="dxa"/>
            <w:shd w:val="clear" w:color="auto" w:fill="auto"/>
            <w:noWrap/>
            <w:vAlign w:val="bottom"/>
            <w:hideMark/>
          </w:tcPr>
          <w:p w14:paraId="66DD30B0"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21.5</w:t>
            </w:r>
          </w:p>
        </w:tc>
        <w:tc>
          <w:tcPr>
            <w:tcW w:w="965" w:type="dxa"/>
            <w:shd w:val="clear" w:color="auto" w:fill="auto"/>
            <w:noWrap/>
            <w:vAlign w:val="bottom"/>
            <w:hideMark/>
          </w:tcPr>
          <w:p w14:paraId="4EA1AF05"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21.2</w:t>
            </w:r>
          </w:p>
        </w:tc>
        <w:tc>
          <w:tcPr>
            <w:tcW w:w="965" w:type="dxa"/>
            <w:shd w:val="clear" w:color="auto" w:fill="auto"/>
            <w:noWrap/>
            <w:vAlign w:val="bottom"/>
            <w:hideMark/>
          </w:tcPr>
          <w:p w14:paraId="2BC43FEA"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1129" w:type="dxa"/>
            <w:shd w:val="clear" w:color="auto" w:fill="auto"/>
            <w:noWrap/>
            <w:vAlign w:val="bottom"/>
            <w:hideMark/>
          </w:tcPr>
          <w:p w14:paraId="22D4B978"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bl>
    <w:p w14:paraId="18C28261" w14:textId="77777777" w:rsidR="002D3C56" w:rsidRPr="005208DC" w:rsidRDefault="002D3C56" w:rsidP="00857902">
      <w:pPr>
        <w:snapToGrid w:val="0"/>
        <w:rPr>
          <w:rFonts w:asciiTheme="majorBidi" w:hAnsiTheme="majorBidi" w:cstheme="majorBidi"/>
          <w:color w:val="0D0D0D" w:themeColor="text1" w:themeTint="F2"/>
          <w:sz w:val="22"/>
          <w:szCs w:val="22"/>
          <w:lang w:val="sq-AL"/>
        </w:rPr>
      </w:pPr>
    </w:p>
    <w:p w14:paraId="73598F3B" w14:textId="13659D05" w:rsidR="004A71FE" w:rsidRPr="005208DC" w:rsidRDefault="004D1F24" w:rsidP="002D3C56">
      <w:pPr>
        <w:pStyle w:val="Heading2"/>
        <w:ind w:left="0"/>
        <w:rPr>
          <w:rFonts w:asciiTheme="majorBidi" w:hAnsiTheme="majorBidi" w:cstheme="majorBidi"/>
          <w:color w:val="0D0D0D" w:themeColor="text1" w:themeTint="F2"/>
          <w:sz w:val="22"/>
          <w:szCs w:val="22"/>
          <w:lang w:val="sq-AL"/>
        </w:rPr>
      </w:pPr>
      <w:bookmarkStart w:id="104" w:name="_Toc92721162"/>
      <w:r w:rsidRPr="005208DC">
        <w:rPr>
          <w:rFonts w:asciiTheme="majorBidi" w:hAnsiTheme="majorBidi" w:cstheme="majorBidi"/>
          <w:color w:val="0D0D0D" w:themeColor="text1" w:themeTint="F2"/>
          <w:sz w:val="22"/>
          <w:szCs w:val="22"/>
          <w:lang w:val="sq-AL"/>
        </w:rPr>
        <w:t>Tabela</w:t>
      </w:r>
      <w:r w:rsidR="000B0C45" w:rsidRPr="005208DC">
        <w:rPr>
          <w:rFonts w:asciiTheme="majorBidi" w:hAnsiTheme="majorBidi" w:cstheme="majorBidi"/>
          <w:color w:val="0D0D0D" w:themeColor="text1" w:themeTint="F2"/>
          <w:sz w:val="22"/>
          <w:szCs w:val="22"/>
          <w:lang w:val="sq-AL"/>
        </w:rPr>
        <w:t xml:space="preserve"> </w:t>
      </w:r>
      <w:r w:rsidR="00835FA3" w:rsidRPr="005208DC">
        <w:rPr>
          <w:rFonts w:asciiTheme="majorBidi" w:hAnsiTheme="majorBidi" w:cstheme="majorBidi"/>
          <w:color w:val="0D0D0D" w:themeColor="text1" w:themeTint="F2"/>
          <w:sz w:val="22"/>
          <w:szCs w:val="22"/>
          <w:lang w:val="sq-AL"/>
        </w:rPr>
        <w:t>9b:</w:t>
      </w:r>
      <w:r w:rsidR="000B0C45" w:rsidRPr="005208DC">
        <w:rPr>
          <w:rFonts w:asciiTheme="majorBidi" w:hAnsiTheme="majorBidi" w:cstheme="majorBidi"/>
          <w:color w:val="0D0D0D" w:themeColor="text1" w:themeTint="F2"/>
          <w:sz w:val="22"/>
          <w:szCs w:val="22"/>
          <w:lang w:val="sq-AL"/>
        </w:rPr>
        <w:t xml:space="preserve"> </w:t>
      </w:r>
      <w:r w:rsidR="00B2062A" w:rsidRPr="005208DC">
        <w:rPr>
          <w:rFonts w:asciiTheme="majorBidi" w:hAnsiTheme="majorBidi" w:cstheme="majorBidi"/>
          <w:color w:val="0D0D0D" w:themeColor="text1" w:themeTint="F2"/>
          <w:sz w:val="22"/>
          <w:szCs w:val="22"/>
          <w:lang w:val="sq-AL"/>
        </w:rPr>
        <w:t>Tregues</w:t>
      </w:r>
      <w:r w:rsidR="002D3C56" w:rsidRPr="005208DC">
        <w:rPr>
          <w:rFonts w:asciiTheme="majorBidi" w:hAnsiTheme="majorBidi" w:cstheme="majorBidi"/>
          <w:color w:val="0D0D0D" w:themeColor="text1" w:themeTint="F2"/>
          <w:sz w:val="22"/>
          <w:szCs w:val="22"/>
          <w:lang w:val="sq-AL"/>
        </w:rPr>
        <w:t xml:space="preserve"> të tjerë</w:t>
      </w:r>
      <w:bookmarkEnd w:id="104"/>
    </w:p>
    <w:tbl>
      <w:tblPr>
        <w:tblW w:w="10593" w:type="dxa"/>
        <w:tblLayout w:type="fixed"/>
        <w:tblLook w:val="04A0" w:firstRow="1" w:lastRow="0" w:firstColumn="1" w:lastColumn="0" w:noHBand="0" w:noVBand="1"/>
      </w:tblPr>
      <w:tblGrid>
        <w:gridCol w:w="3676"/>
        <w:gridCol w:w="1134"/>
        <w:gridCol w:w="963"/>
        <w:gridCol w:w="964"/>
        <w:gridCol w:w="964"/>
        <w:gridCol w:w="964"/>
        <w:gridCol w:w="964"/>
        <w:gridCol w:w="964"/>
      </w:tblGrid>
      <w:tr w:rsidR="005208DC" w:rsidRPr="005208DC" w14:paraId="1C318014" w14:textId="77777777" w:rsidTr="00A96D39">
        <w:trPr>
          <w:trHeight w:val="315"/>
        </w:trPr>
        <w:tc>
          <w:tcPr>
            <w:tcW w:w="3676" w:type="dxa"/>
            <w:tcBorders>
              <w:top w:val="single" w:sz="8" w:space="0" w:color="auto"/>
              <w:left w:val="single" w:sz="8" w:space="0" w:color="auto"/>
              <w:bottom w:val="nil"/>
              <w:right w:val="single" w:sz="4" w:space="0" w:color="auto"/>
            </w:tcBorders>
            <w:shd w:val="clear" w:color="auto" w:fill="auto"/>
            <w:noWrap/>
            <w:vAlign w:val="bottom"/>
            <w:hideMark/>
          </w:tcPr>
          <w:p w14:paraId="26A2F1DF"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1134" w:type="dxa"/>
            <w:tcBorders>
              <w:top w:val="single" w:sz="8" w:space="0" w:color="auto"/>
              <w:left w:val="nil"/>
              <w:bottom w:val="nil"/>
              <w:right w:val="single" w:sz="4" w:space="0" w:color="auto"/>
            </w:tcBorders>
            <w:shd w:val="clear" w:color="auto" w:fill="auto"/>
            <w:noWrap/>
            <w:vAlign w:val="bottom"/>
            <w:hideMark/>
          </w:tcPr>
          <w:p w14:paraId="5425AD49"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Burimi i të dhënave</w:t>
            </w:r>
          </w:p>
        </w:tc>
        <w:tc>
          <w:tcPr>
            <w:tcW w:w="963" w:type="dxa"/>
            <w:tcBorders>
              <w:top w:val="single" w:sz="8" w:space="0" w:color="auto"/>
              <w:left w:val="nil"/>
              <w:bottom w:val="nil"/>
              <w:right w:val="single" w:sz="4" w:space="0" w:color="auto"/>
            </w:tcBorders>
            <w:shd w:val="clear" w:color="auto" w:fill="auto"/>
            <w:noWrap/>
            <w:vAlign w:val="bottom"/>
            <w:hideMark/>
          </w:tcPr>
          <w:p w14:paraId="4475A8FA" w14:textId="77777777" w:rsidR="002D3C56" w:rsidRPr="005208DC" w:rsidRDefault="002D3C56" w:rsidP="00A96D39">
            <w:pPr>
              <w:jc w:val="right"/>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2017</w:t>
            </w:r>
          </w:p>
        </w:tc>
        <w:tc>
          <w:tcPr>
            <w:tcW w:w="964" w:type="dxa"/>
            <w:tcBorders>
              <w:top w:val="single" w:sz="8" w:space="0" w:color="auto"/>
              <w:left w:val="nil"/>
              <w:bottom w:val="nil"/>
              <w:right w:val="single" w:sz="4" w:space="0" w:color="auto"/>
            </w:tcBorders>
            <w:shd w:val="clear" w:color="auto" w:fill="auto"/>
            <w:noWrap/>
            <w:vAlign w:val="bottom"/>
            <w:hideMark/>
          </w:tcPr>
          <w:p w14:paraId="70E06864" w14:textId="77777777" w:rsidR="002D3C56" w:rsidRPr="005208DC" w:rsidRDefault="002D3C56" w:rsidP="00A96D39">
            <w:pPr>
              <w:jc w:val="right"/>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2018</w:t>
            </w:r>
          </w:p>
        </w:tc>
        <w:tc>
          <w:tcPr>
            <w:tcW w:w="964" w:type="dxa"/>
            <w:tcBorders>
              <w:top w:val="single" w:sz="8" w:space="0" w:color="auto"/>
              <w:left w:val="nil"/>
              <w:bottom w:val="nil"/>
              <w:right w:val="single" w:sz="4" w:space="0" w:color="auto"/>
            </w:tcBorders>
            <w:shd w:val="clear" w:color="auto" w:fill="auto"/>
            <w:noWrap/>
            <w:vAlign w:val="bottom"/>
            <w:hideMark/>
          </w:tcPr>
          <w:p w14:paraId="6C11C1E8" w14:textId="77777777" w:rsidR="002D3C56" w:rsidRPr="005208DC" w:rsidRDefault="002D3C56" w:rsidP="00A96D39">
            <w:pPr>
              <w:jc w:val="right"/>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2019</w:t>
            </w:r>
          </w:p>
        </w:tc>
        <w:tc>
          <w:tcPr>
            <w:tcW w:w="964" w:type="dxa"/>
            <w:tcBorders>
              <w:top w:val="single" w:sz="8" w:space="0" w:color="auto"/>
              <w:left w:val="nil"/>
              <w:bottom w:val="nil"/>
              <w:right w:val="single" w:sz="4" w:space="0" w:color="auto"/>
            </w:tcBorders>
            <w:shd w:val="clear" w:color="auto" w:fill="auto"/>
            <w:noWrap/>
            <w:vAlign w:val="bottom"/>
            <w:hideMark/>
          </w:tcPr>
          <w:p w14:paraId="0048CB9C" w14:textId="77777777" w:rsidR="002D3C56" w:rsidRPr="005208DC" w:rsidRDefault="002D3C56" w:rsidP="00A96D39">
            <w:pPr>
              <w:jc w:val="right"/>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2020</w:t>
            </w:r>
          </w:p>
        </w:tc>
        <w:tc>
          <w:tcPr>
            <w:tcW w:w="964" w:type="dxa"/>
            <w:tcBorders>
              <w:top w:val="single" w:sz="8" w:space="0" w:color="auto"/>
              <w:left w:val="nil"/>
              <w:bottom w:val="nil"/>
              <w:right w:val="single" w:sz="8" w:space="0" w:color="auto"/>
            </w:tcBorders>
            <w:shd w:val="clear" w:color="auto" w:fill="auto"/>
            <w:noWrap/>
            <w:vAlign w:val="bottom"/>
            <w:hideMark/>
          </w:tcPr>
          <w:p w14:paraId="03B7C990" w14:textId="77777777" w:rsidR="002D3C56" w:rsidRPr="005208DC" w:rsidRDefault="002D3C56" w:rsidP="00A96D39">
            <w:pPr>
              <w:jc w:val="right"/>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2021 Q1</w:t>
            </w:r>
          </w:p>
        </w:tc>
        <w:tc>
          <w:tcPr>
            <w:tcW w:w="964" w:type="dxa"/>
            <w:tcBorders>
              <w:top w:val="single" w:sz="8" w:space="0" w:color="auto"/>
              <w:left w:val="nil"/>
              <w:bottom w:val="nil"/>
              <w:right w:val="single" w:sz="8" w:space="0" w:color="auto"/>
            </w:tcBorders>
            <w:vAlign w:val="bottom"/>
          </w:tcPr>
          <w:p w14:paraId="3CBC3B08" w14:textId="77777777" w:rsidR="002D3C56" w:rsidRPr="005208DC" w:rsidRDefault="002D3C56" w:rsidP="00A96D39">
            <w:pPr>
              <w:jc w:val="right"/>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2021 Q2</w:t>
            </w:r>
          </w:p>
        </w:tc>
      </w:tr>
      <w:tr w:rsidR="005208DC" w:rsidRPr="005208DC" w14:paraId="76D3C495" w14:textId="77777777" w:rsidTr="00A96D39">
        <w:trPr>
          <w:trHeight w:val="315"/>
        </w:trPr>
        <w:tc>
          <w:tcPr>
            <w:tcW w:w="10593"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20B4E9E" w14:textId="77777777" w:rsidR="002D3C56" w:rsidRPr="005208DC" w:rsidRDefault="002D3C56" w:rsidP="00A96D39">
            <w:pPr>
              <w:jc w:val="center"/>
              <w:rPr>
                <w:rFonts w:asciiTheme="majorBidi" w:eastAsia="Times New Roman" w:hAnsiTheme="majorBidi" w:cstheme="majorBidi"/>
                <w:b/>
                <w:bCs/>
                <w:color w:val="0D0D0D" w:themeColor="text1" w:themeTint="F2"/>
                <w:sz w:val="22"/>
                <w:szCs w:val="22"/>
                <w:lang w:val="sq-AL" w:eastAsia="sq-AL" w:bidi="he-IL"/>
              </w:rPr>
            </w:pPr>
            <w:r w:rsidRPr="005208DC">
              <w:rPr>
                <w:rFonts w:asciiTheme="majorBidi" w:eastAsia="Times New Roman" w:hAnsiTheme="majorBidi" w:cstheme="majorBidi"/>
                <w:b/>
                <w:bCs/>
                <w:color w:val="0D0D0D" w:themeColor="text1" w:themeTint="F2"/>
                <w:sz w:val="22"/>
                <w:szCs w:val="22"/>
                <w:lang w:val="sq-AL" w:eastAsia="sq-AL" w:bidi="he-IL"/>
              </w:rPr>
              <w:t>Tregues të tjerë social dhe shëndetësor</w:t>
            </w:r>
          </w:p>
        </w:tc>
      </w:tr>
      <w:tr w:rsidR="005208DC" w:rsidRPr="005208DC" w14:paraId="38E277FA" w14:textId="77777777" w:rsidTr="00A96D39">
        <w:trPr>
          <w:trHeight w:val="300"/>
        </w:trPr>
        <w:tc>
          <w:tcPr>
            <w:tcW w:w="3676" w:type="dxa"/>
            <w:tcBorders>
              <w:top w:val="nil"/>
              <w:left w:val="single" w:sz="8" w:space="0" w:color="auto"/>
              <w:bottom w:val="single" w:sz="4" w:space="0" w:color="auto"/>
              <w:right w:val="single" w:sz="4" w:space="0" w:color="auto"/>
            </w:tcBorders>
            <w:shd w:val="clear" w:color="auto" w:fill="auto"/>
            <w:noWrap/>
            <w:vAlign w:val="bottom"/>
            <w:hideMark/>
          </w:tcPr>
          <w:p w14:paraId="35298962"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 Shpenzimet publike për mbrojtjen sociale në % të PBB-së</w:t>
            </w:r>
          </w:p>
        </w:tc>
        <w:tc>
          <w:tcPr>
            <w:tcW w:w="1134" w:type="dxa"/>
            <w:tcBorders>
              <w:top w:val="nil"/>
              <w:left w:val="nil"/>
              <w:bottom w:val="single" w:sz="4" w:space="0" w:color="auto"/>
              <w:right w:val="single" w:sz="4" w:space="0" w:color="auto"/>
            </w:tcBorders>
            <w:shd w:val="clear" w:color="auto" w:fill="auto"/>
            <w:noWrap/>
            <w:vAlign w:val="bottom"/>
            <w:hideMark/>
          </w:tcPr>
          <w:p w14:paraId="158834D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MFE, INSTAT</w:t>
            </w:r>
          </w:p>
        </w:tc>
        <w:tc>
          <w:tcPr>
            <w:tcW w:w="963" w:type="dxa"/>
            <w:tcBorders>
              <w:top w:val="nil"/>
              <w:left w:val="nil"/>
              <w:bottom w:val="single" w:sz="4" w:space="0" w:color="auto"/>
              <w:right w:val="single" w:sz="4" w:space="0" w:color="auto"/>
            </w:tcBorders>
            <w:shd w:val="clear" w:color="auto" w:fill="auto"/>
            <w:noWrap/>
            <w:vAlign w:val="bottom"/>
            <w:hideMark/>
          </w:tcPr>
          <w:p w14:paraId="255F02F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9.29</w:t>
            </w:r>
          </w:p>
        </w:tc>
        <w:tc>
          <w:tcPr>
            <w:tcW w:w="964" w:type="dxa"/>
            <w:tcBorders>
              <w:top w:val="nil"/>
              <w:left w:val="nil"/>
              <w:bottom w:val="single" w:sz="4" w:space="0" w:color="auto"/>
              <w:right w:val="single" w:sz="4" w:space="0" w:color="auto"/>
            </w:tcBorders>
            <w:shd w:val="clear" w:color="auto" w:fill="auto"/>
            <w:noWrap/>
            <w:vAlign w:val="bottom"/>
            <w:hideMark/>
          </w:tcPr>
          <w:p w14:paraId="490119FD"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9.23</w:t>
            </w:r>
          </w:p>
        </w:tc>
        <w:tc>
          <w:tcPr>
            <w:tcW w:w="964" w:type="dxa"/>
            <w:tcBorders>
              <w:top w:val="nil"/>
              <w:left w:val="nil"/>
              <w:bottom w:val="single" w:sz="4" w:space="0" w:color="auto"/>
              <w:right w:val="single" w:sz="4" w:space="0" w:color="auto"/>
            </w:tcBorders>
            <w:shd w:val="clear" w:color="auto" w:fill="auto"/>
            <w:noWrap/>
            <w:vAlign w:val="bottom"/>
            <w:hideMark/>
          </w:tcPr>
          <w:p w14:paraId="4A4EE67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9.40</w:t>
            </w:r>
          </w:p>
        </w:tc>
        <w:tc>
          <w:tcPr>
            <w:tcW w:w="964" w:type="dxa"/>
            <w:tcBorders>
              <w:top w:val="nil"/>
              <w:left w:val="nil"/>
              <w:bottom w:val="single" w:sz="4" w:space="0" w:color="auto"/>
              <w:right w:val="single" w:sz="4" w:space="0" w:color="auto"/>
            </w:tcBorders>
            <w:shd w:val="clear" w:color="auto" w:fill="auto"/>
            <w:noWrap/>
            <w:vAlign w:val="bottom"/>
            <w:hideMark/>
          </w:tcPr>
          <w:p w14:paraId="4FEC17C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10.99</w:t>
            </w:r>
          </w:p>
        </w:tc>
        <w:tc>
          <w:tcPr>
            <w:tcW w:w="964" w:type="dxa"/>
            <w:tcBorders>
              <w:top w:val="nil"/>
              <w:left w:val="nil"/>
              <w:bottom w:val="single" w:sz="4" w:space="0" w:color="auto"/>
              <w:right w:val="single" w:sz="8" w:space="0" w:color="auto"/>
            </w:tcBorders>
            <w:shd w:val="clear" w:color="auto" w:fill="auto"/>
            <w:noWrap/>
            <w:vAlign w:val="bottom"/>
            <w:hideMark/>
          </w:tcPr>
          <w:p w14:paraId="2F582D9E"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8" w:space="0" w:color="auto"/>
            </w:tcBorders>
          </w:tcPr>
          <w:p w14:paraId="64DACC7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4F87613C" w14:textId="77777777" w:rsidTr="00A96D39">
        <w:trPr>
          <w:trHeight w:val="300"/>
        </w:trPr>
        <w:tc>
          <w:tcPr>
            <w:tcW w:w="3676" w:type="dxa"/>
            <w:tcBorders>
              <w:top w:val="nil"/>
              <w:left w:val="single" w:sz="8" w:space="0" w:color="auto"/>
              <w:bottom w:val="single" w:sz="4" w:space="0" w:color="auto"/>
              <w:right w:val="single" w:sz="4" w:space="0" w:color="auto"/>
            </w:tcBorders>
            <w:shd w:val="clear" w:color="auto" w:fill="auto"/>
            <w:noWrap/>
            <w:vAlign w:val="bottom"/>
            <w:hideMark/>
          </w:tcPr>
          <w:p w14:paraId="632172A2"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 Shpenzimet publike të kujdesit shëndetësor në % të PBB-së</w:t>
            </w:r>
          </w:p>
        </w:tc>
        <w:tc>
          <w:tcPr>
            <w:tcW w:w="1134" w:type="dxa"/>
            <w:tcBorders>
              <w:top w:val="nil"/>
              <w:left w:val="nil"/>
              <w:bottom w:val="single" w:sz="4" w:space="0" w:color="auto"/>
              <w:right w:val="single" w:sz="4" w:space="0" w:color="auto"/>
            </w:tcBorders>
            <w:shd w:val="clear" w:color="auto" w:fill="auto"/>
            <w:noWrap/>
            <w:vAlign w:val="bottom"/>
            <w:hideMark/>
          </w:tcPr>
          <w:p w14:paraId="15378F4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MFE, INSTAT</w:t>
            </w:r>
          </w:p>
        </w:tc>
        <w:tc>
          <w:tcPr>
            <w:tcW w:w="963" w:type="dxa"/>
            <w:tcBorders>
              <w:top w:val="nil"/>
              <w:left w:val="nil"/>
              <w:bottom w:val="single" w:sz="4" w:space="0" w:color="auto"/>
              <w:right w:val="single" w:sz="4" w:space="0" w:color="auto"/>
            </w:tcBorders>
            <w:shd w:val="clear" w:color="auto" w:fill="auto"/>
            <w:noWrap/>
            <w:vAlign w:val="bottom"/>
            <w:hideMark/>
          </w:tcPr>
          <w:p w14:paraId="0F7FD21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2.92</w:t>
            </w:r>
          </w:p>
        </w:tc>
        <w:tc>
          <w:tcPr>
            <w:tcW w:w="964" w:type="dxa"/>
            <w:tcBorders>
              <w:top w:val="nil"/>
              <w:left w:val="nil"/>
              <w:bottom w:val="single" w:sz="4" w:space="0" w:color="auto"/>
              <w:right w:val="single" w:sz="4" w:space="0" w:color="auto"/>
            </w:tcBorders>
            <w:shd w:val="clear" w:color="auto" w:fill="auto"/>
            <w:noWrap/>
            <w:vAlign w:val="bottom"/>
            <w:hideMark/>
          </w:tcPr>
          <w:p w14:paraId="35AB5A2E"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2.99</w:t>
            </w:r>
          </w:p>
        </w:tc>
        <w:tc>
          <w:tcPr>
            <w:tcW w:w="964" w:type="dxa"/>
            <w:tcBorders>
              <w:top w:val="nil"/>
              <w:left w:val="nil"/>
              <w:bottom w:val="single" w:sz="4" w:space="0" w:color="auto"/>
              <w:right w:val="single" w:sz="4" w:space="0" w:color="auto"/>
            </w:tcBorders>
            <w:shd w:val="clear" w:color="auto" w:fill="auto"/>
            <w:noWrap/>
            <w:vAlign w:val="bottom"/>
            <w:hideMark/>
          </w:tcPr>
          <w:p w14:paraId="09AF556E"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3.03</w:t>
            </w:r>
          </w:p>
        </w:tc>
        <w:tc>
          <w:tcPr>
            <w:tcW w:w="964" w:type="dxa"/>
            <w:tcBorders>
              <w:top w:val="nil"/>
              <w:left w:val="nil"/>
              <w:bottom w:val="single" w:sz="4" w:space="0" w:color="auto"/>
              <w:right w:val="single" w:sz="4" w:space="0" w:color="auto"/>
            </w:tcBorders>
            <w:shd w:val="clear" w:color="auto" w:fill="auto"/>
            <w:noWrap/>
            <w:vAlign w:val="bottom"/>
            <w:hideMark/>
          </w:tcPr>
          <w:p w14:paraId="266D11B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3.19</w:t>
            </w:r>
          </w:p>
        </w:tc>
        <w:tc>
          <w:tcPr>
            <w:tcW w:w="964" w:type="dxa"/>
            <w:tcBorders>
              <w:top w:val="nil"/>
              <w:left w:val="nil"/>
              <w:bottom w:val="single" w:sz="4" w:space="0" w:color="auto"/>
              <w:right w:val="single" w:sz="8" w:space="0" w:color="auto"/>
            </w:tcBorders>
            <w:shd w:val="clear" w:color="auto" w:fill="auto"/>
            <w:noWrap/>
            <w:vAlign w:val="bottom"/>
            <w:hideMark/>
          </w:tcPr>
          <w:p w14:paraId="414D4829"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8" w:space="0" w:color="auto"/>
            </w:tcBorders>
          </w:tcPr>
          <w:p w14:paraId="4CD62CF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4A8C2A33" w14:textId="77777777" w:rsidTr="00A96D39">
        <w:trPr>
          <w:trHeight w:val="300"/>
        </w:trPr>
        <w:tc>
          <w:tcPr>
            <w:tcW w:w="3676" w:type="dxa"/>
            <w:tcBorders>
              <w:top w:val="nil"/>
              <w:left w:val="single" w:sz="8" w:space="0" w:color="auto"/>
              <w:bottom w:val="single" w:sz="4" w:space="0" w:color="auto"/>
              <w:right w:val="single" w:sz="4" w:space="0" w:color="auto"/>
            </w:tcBorders>
            <w:shd w:val="clear" w:color="auto" w:fill="auto"/>
            <w:noWrap/>
            <w:vAlign w:val="bottom"/>
            <w:hideMark/>
          </w:tcPr>
          <w:p w14:paraId="17AA1769"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3. Pagesat nga xhepi i familjeve si % e shpenzimeve totale shëndetësore</w:t>
            </w:r>
          </w:p>
        </w:tc>
        <w:tc>
          <w:tcPr>
            <w:tcW w:w="1134" w:type="dxa"/>
            <w:tcBorders>
              <w:top w:val="nil"/>
              <w:left w:val="nil"/>
              <w:bottom w:val="single" w:sz="4" w:space="0" w:color="auto"/>
              <w:right w:val="single" w:sz="4" w:space="0" w:color="auto"/>
            </w:tcBorders>
            <w:shd w:val="clear" w:color="auto" w:fill="auto"/>
            <w:noWrap/>
            <w:vAlign w:val="bottom"/>
            <w:hideMark/>
          </w:tcPr>
          <w:p w14:paraId="7350DE19"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3" w:type="dxa"/>
            <w:tcBorders>
              <w:top w:val="nil"/>
              <w:left w:val="nil"/>
              <w:bottom w:val="single" w:sz="4" w:space="0" w:color="auto"/>
              <w:right w:val="single" w:sz="4" w:space="0" w:color="auto"/>
            </w:tcBorders>
            <w:shd w:val="clear" w:color="auto" w:fill="auto"/>
            <w:noWrap/>
            <w:vAlign w:val="bottom"/>
            <w:hideMark/>
          </w:tcPr>
          <w:p w14:paraId="006565D0"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4" w:space="0" w:color="auto"/>
            </w:tcBorders>
            <w:shd w:val="clear" w:color="auto" w:fill="auto"/>
            <w:noWrap/>
            <w:vAlign w:val="bottom"/>
            <w:hideMark/>
          </w:tcPr>
          <w:p w14:paraId="4CFF926F"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4" w:space="0" w:color="auto"/>
            </w:tcBorders>
            <w:shd w:val="clear" w:color="auto" w:fill="auto"/>
            <w:noWrap/>
            <w:vAlign w:val="bottom"/>
            <w:hideMark/>
          </w:tcPr>
          <w:p w14:paraId="03A19D2C"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4" w:space="0" w:color="auto"/>
            </w:tcBorders>
            <w:shd w:val="clear" w:color="auto" w:fill="auto"/>
            <w:noWrap/>
            <w:vAlign w:val="bottom"/>
            <w:hideMark/>
          </w:tcPr>
          <w:p w14:paraId="6A17519C"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8" w:space="0" w:color="auto"/>
            </w:tcBorders>
            <w:shd w:val="clear" w:color="auto" w:fill="auto"/>
            <w:noWrap/>
            <w:vAlign w:val="bottom"/>
            <w:hideMark/>
          </w:tcPr>
          <w:p w14:paraId="1BA2C975"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8" w:space="0" w:color="auto"/>
            </w:tcBorders>
          </w:tcPr>
          <w:p w14:paraId="4F1743AD"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651BB701" w14:textId="77777777" w:rsidTr="00A96D39">
        <w:trPr>
          <w:trHeight w:val="300"/>
        </w:trPr>
        <w:tc>
          <w:tcPr>
            <w:tcW w:w="3676" w:type="dxa"/>
            <w:tcBorders>
              <w:top w:val="nil"/>
              <w:left w:val="single" w:sz="8" w:space="0" w:color="auto"/>
              <w:bottom w:val="single" w:sz="4" w:space="0" w:color="auto"/>
              <w:right w:val="single" w:sz="4" w:space="0" w:color="auto"/>
            </w:tcBorders>
            <w:shd w:val="clear" w:color="auto" w:fill="auto"/>
            <w:noWrap/>
            <w:vAlign w:val="bottom"/>
            <w:hideMark/>
          </w:tcPr>
          <w:p w14:paraId="7E3BC502"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4. Përqindja e popullsisë që nuk mbulohet nga sigurimet shëndetësore</w:t>
            </w:r>
          </w:p>
        </w:tc>
        <w:tc>
          <w:tcPr>
            <w:tcW w:w="1134" w:type="dxa"/>
            <w:tcBorders>
              <w:top w:val="nil"/>
              <w:left w:val="nil"/>
              <w:bottom w:val="single" w:sz="4" w:space="0" w:color="auto"/>
              <w:right w:val="single" w:sz="4" w:space="0" w:color="auto"/>
            </w:tcBorders>
            <w:shd w:val="clear" w:color="auto" w:fill="auto"/>
            <w:noWrap/>
            <w:vAlign w:val="bottom"/>
            <w:hideMark/>
          </w:tcPr>
          <w:p w14:paraId="5601DFCD"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3" w:type="dxa"/>
            <w:tcBorders>
              <w:top w:val="nil"/>
              <w:left w:val="nil"/>
              <w:bottom w:val="single" w:sz="4" w:space="0" w:color="auto"/>
              <w:right w:val="single" w:sz="4" w:space="0" w:color="auto"/>
            </w:tcBorders>
            <w:shd w:val="clear" w:color="auto" w:fill="auto"/>
            <w:noWrap/>
            <w:vAlign w:val="bottom"/>
            <w:hideMark/>
          </w:tcPr>
          <w:p w14:paraId="20F3A1E7"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4" w:space="0" w:color="auto"/>
            </w:tcBorders>
            <w:shd w:val="clear" w:color="auto" w:fill="auto"/>
            <w:noWrap/>
            <w:vAlign w:val="bottom"/>
            <w:hideMark/>
          </w:tcPr>
          <w:p w14:paraId="3D96DA02"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4" w:space="0" w:color="auto"/>
            </w:tcBorders>
            <w:shd w:val="clear" w:color="auto" w:fill="auto"/>
            <w:noWrap/>
            <w:vAlign w:val="bottom"/>
            <w:hideMark/>
          </w:tcPr>
          <w:p w14:paraId="5F36565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4" w:space="0" w:color="auto"/>
            </w:tcBorders>
            <w:shd w:val="clear" w:color="auto" w:fill="auto"/>
            <w:noWrap/>
            <w:vAlign w:val="bottom"/>
            <w:hideMark/>
          </w:tcPr>
          <w:p w14:paraId="429A483A"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8" w:space="0" w:color="auto"/>
            </w:tcBorders>
            <w:shd w:val="clear" w:color="auto" w:fill="auto"/>
            <w:noWrap/>
            <w:vAlign w:val="bottom"/>
            <w:hideMark/>
          </w:tcPr>
          <w:p w14:paraId="33D1BB0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8" w:space="0" w:color="auto"/>
            </w:tcBorders>
          </w:tcPr>
          <w:p w14:paraId="0FFFD85A"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56727872" w14:textId="77777777" w:rsidTr="00A96D39">
        <w:trPr>
          <w:trHeight w:val="300"/>
        </w:trPr>
        <w:tc>
          <w:tcPr>
            <w:tcW w:w="3676" w:type="dxa"/>
            <w:tcBorders>
              <w:top w:val="nil"/>
              <w:left w:val="single" w:sz="8" w:space="0" w:color="auto"/>
              <w:bottom w:val="single" w:sz="4" w:space="0" w:color="auto"/>
              <w:right w:val="single" w:sz="4" w:space="0" w:color="auto"/>
            </w:tcBorders>
            <w:shd w:val="clear" w:color="auto" w:fill="auto"/>
            <w:noWrap/>
            <w:vAlign w:val="bottom"/>
            <w:hideMark/>
          </w:tcPr>
          <w:p w14:paraId="7348980C"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5. Raporti i mjekëve për 1000 banorë</w:t>
            </w:r>
          </w:p>
        </w:tc>
        <w:tc>
          <w:tcPr>
            <w:tcW w:w="1134" w:type="dxa"/>
            <w:tcBorders>
              <w:top w:val="nil"/>
              <w:left w:val="nil"/>
              <w:bottom w:val="single" w:sz="4" w:space="0" w:color="auto"/>
              <w:right w:val="single" w:sz="4" w:space="0" w:color="auto"/>
            </w:tcBorders>
            <w:shd w:val="clear" w:color="auto" w:fill="auto"/>
            <w:noWrap/>
            <w:vAlign w:val="bottom"/>
            <w:hideMark/>
          </w:tcPr>
          <w:p w14:paraId="42FDF9C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3" w:type="dxa"/>
            <w:tcBorders>
              <w:top w:val="nil"/>
              <w:left w:val="nil"/>
              <w:bottom w:val="single" w:sz="4" w:space="0" w:color="auto"/>
              <w:right w:val="single" w:sz="4" w:space="0" w:color="auto"/>
            </w:tcBorders>
            <w:shd w:val="clear" w:color="auto" w:fill="auto"/>
            <w:noWrap/>
            <w:vAlign w:val="bottom"/>
            <w:hideMark/>
          </w:tcPr>
          <w:p w14:paraId="2463ECAF"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4" w:space="0" w:color="auto"/>
            </w:tcBorders>
            <w:shd w:val="clear" w:color="auto" w:fill="auto"/>
            <w:noWrap/>
            <w:vAlign w:val="bottom"/>
            <w:hideMark/>
          </w:tcPr>
          <w:p w14:paraId="287BC18E"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4" w:space="0" w:color="auto"/>
            </w:tcBorders>
            <w:shd w:val="clear" w:color="auto" w:fill="auto"/>
            <w:noWrap/>
            <w:vAlign w:val="bottom"/>
            <w:hideMark/>
          </w:tcPr>
          <w:p w14:paraId="2EBD1F1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4" w:space="0" w:color="auto"/>
            </w:tcBorders>
            <w:shd w:val="clear" w:color="auto" w:fill="auto"/>
            <w:noWrap/>
            <w:vAlign w:val="bottom"/>
            <w:hideMark/>
          </w:tcPr>
          <w:p w14:paraId="285F235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8" w:space="0" w:color="auto"/>
            </w:tcBorders>
            <w:shd w:val="clear" w:color="auto" w:fill="auto"/>
            <w:noWrap/>
            <w:vAlign w:val="bottom"/>
            <w:hideMark/>
          </w:tcPr>
          <w:p w14:paraId="64DB2328"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8" w:space="0" w:color="auto"/>
            </w:tcBorders>
          </w:tcPr>
          <w:p w14:paraId="45E0A6F9"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3889C76C" w14:textId="77777777" w:rsidTr="00A96D39">
        <w:trPr>
          <w:trHeight w:val="315"/>
        </w:trPr>
        <w:tc>
          <w:tcPr>
            <w:tcW w:w="3676" w:type="dxa"/>
            <w:tcBorders>
              <w:top w:val="nil"/>
              <w:left w:val="single" w:sz="8" w:space="0" w:color="auto"/>
              <w:bottom w:val="nil"/>
              <w:right w:val="single" w:sz="4" w:space="0" w:color="auto"/>
            </w:tcBorders>
            <w:shd w:val="clear" w:color="auto" w:fill="auto"/>
            <w:noWrap/>
            <w:vAlign w:val="bottom"/>
            <w:hideMark/>
          </w:tcPr>
          <w:p w14:paraId="00838D07"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6. Raporti i infermierëve për 1000 banorë</w:t>
            </w:r>
          </w:p>
        </w:tc>
        <w:tc>
          <w:tcPr>
            <w:tcW w:w="1134" w:type="dxa"/>
            <w:tcBorders>
              <w:top w:val="nil"/>
              <w:left w:val="nil"/>
              <w:bottom w:val="nil"/>
              <w:right w:val="single" w:sz="4" w:space="0" w:color="auto"/>
            </w:tcBorders>
            <w:shd w:val="clear" w:color="auto" w:fill="auto"/>
            <w:noWrap/>
            <w:vAlign w:val="bottom"/>
            <w:hideMark/>
          </w:tcPr>
          <w:p w14:paraId="51C5F05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3" w:type="dxa"/>
            <w:tcBorders>
              <w:top w:val="nil"/>
              <w:left w:val="nil"/>
              <w:bottom w:val="nil"/>
              <w:right w:val="single" w:sz="4" w:space="0" w:color="auto"/>
            </w:tcBorders>
            <w:shd w:val="clear" w:color="auto" w:fill="auto"/>
            <w:noWrap/>
            <w:vAlign w:val="bottom"/>
            <w:hideMark/>
          </w:tcPr>
          <w:p w14:paraId="31A1957E"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nil"/>
              <w:right w:val="single" w:sz="4" w:space="0" w:color="auto"/>
            </w:tcBorders>
            <w:shd w:val="clear" w:color="auto" w:fill="auto"/>
            <w:noWrap/>
            <w:vAlign w:val="bottom"/>
            <w:hideMark/>
          </w:tcPr>
          <w:p w14:paraId="1EF0D2F3"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nil"/>
              <w:right w:val="single" w:sz="4" w:space="0" w:color="auto"/>
            </w:tcBorders>
            <w:shd w:val="clear" w:color="auto" w:fill="auto"/>
            <w:noWrap/>
            <w:vAlign w:val="bottom"/>
            <w:hideMark/>
          </w:tcPr>
          <w:p w14:paraId="17D97565"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nil"/>
              <w:right w:val="single" w:sz="4" w:space="0" w:color="auto"/>
            </w:tcBorders>
            <w:shd w:val="clear" w:color="auto" w:fill="auto"/>
            <w:noWrap/>
            <w:vAlign w:val="bottom"/>
            <w:hideMark/>
          </w:tcPr>
          <w:p w14:paraId="0C795140"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nil"/>
              <w:right w:val="single" w:sz="8" w:space="0" w:color="auto"/>
            </w:tcBorders>
            <w:shd w:val="clear" w:color="auto" w:fill="auto"/>
            <w:noWrap/>
            <w:vAlign w:val="bottom"/>
            <w:hideMark/>
          </w:tcPr>
          <w:p w14:paraId="252EC883"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nil"/>
              <w:right w:val="single" w:sz="8" w:space="0" w:color="auto"/>
            </w:tcBorders>
          </w:tcPr>
          <w:p w14:paraId="0ECF0F47"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58609634" w14:textId="77777777" w:rsidTr="00A96D39">
        <w:trPr>
          <w:trHeight w:val="315"/>
        </w:trPr>
        <w:tc>
          <w:tcPr>
            <w:tcW w:w="10593"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8B44FA8" w14:textId="77777777" w:rsidR="002D3C56" w:rsidRPr="005208DC" w:rsidRDefault="002D3C56" w:rsidP="00A96D39">
            <w:pPr>
              <w:jc w:val="center"/>
              <w:rPr>
                <w:rFonts w:asciiTheme="majorBidi" w:eastAsia="Times New Roman" w:hAnsiTheme="majorBidi" w:cstheme="majorBidi"/>
                <w:b/>
                <w:bCs/>
                <w:color w:val="0D0D0D" w:themeColor="text1" w:themeTint="F2"/>
                <w:sz w:val="22"/>
                <w:szCs w:val="22"/>
                <w:lang w:val="sq-AL" w:eastAsia="sq-AL" w:bidi="he-IL"/>
              </w:rPr>
            </w:pPr>
            <w:r w:rsidRPr="005208DC">
              <w:rPr>
                <w:rFonts w:asciiTheme="majorBidi" w:eastAsia="Times New Roman" w:hAnsiTheme="majorBidi" w:cstheme="majorBidi"/>
                <w:b/>
                <w:bCs/>
                <w:color w:val="0D0D0D" w:themeColor="text1" w:themeTint="F2"/>
                <w:sz w:val="22"/>
                <w:szCs w:val="22"/>
                <w:lang w:val="sq-AL" w:eastAsia="sq-AL" w:bidi="he-IL"/>
              </w:rPr>
              <w:t>Mjedisi</w:t>
            </w:r>
          </w:p>
        </w:tc>
      </w:tr>
      <w:tr w:rsidR="005208DC" w:rsidRPr="005208DC" w14:paraId="2872ECAD" w14:textId="77777777" w:rsidTr="00A96D39">
        <w:trPr>
          <w:trHeight w:val="300"/>
        </w:trPr>
        <w:tc>
          <w:tcPr>
            <w:tcW w:w="3676" w:type="dxa"/>
            <w:tcBorders>
              <w:top w:val="nil"/>
              <w:left w:val="single" w:sz="8" w:space="0" w:color="auto"/>
              <w:bottom w:val="single" w:sz="4" w:space="0" w:color="auto"/>
              <w:right w:val="single" w:sz="4" w:space="0" w:color="auto"/>
            </w:tcBorders>
            <w:shd w:val="clear" w:color="auto" w:fill="auto"/>
            <w:noWrap/>
            <w:vAlign w:val="bottom"/>
            <w:hideMark/>
          </w:tcPr>
          <w:p w14:paraId="0C6F2F3F"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7. Të ardhurat totale nga taksat mjedisore si pjesë e të ardhurave totale nga taksat dhe kontributet sociale</w:t>
            </w:r>
          </w:p>
        </w:tc>
        <w:tc>
          <w:tcPr>
            <w:tcW w:w="1134" w:type="dxa"/>
            <w:tcBorders>
              <w:top w:val="nil"/>
              <w:left w:val="nil"/>
              <w:bottom w:val="single" w:sz="4" w:space="0" w:color="auto"/>
              <w:right w:val="single" w:sz="4" w:space="0" w:color="auto"/>
            </w:tcBorders>
            <w:shd w:val="clear" w:color="auto" w:fill="auto"/>
            <w:noWrap/>
            <w:vAlign w:val="bottom"/>
            <w:hideMark/>
          </w:tcPr>
          <w:p w14:paraId="20743C03"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3" w:type="dxa"/>
            <w:tcBorders>
              <w:top w:val="nil"/>
              <w:left w:val="nil"/>
              <w:bottom w:val="single" w:sz="4" w:space="0" w:color="auto"/>
              <w:right w:val="single" w:sz="4" w:space="0" w:color="auto"/>
            </w:tcBorders>
            <w:shd w:val="clear" w:color="auto" w:fill="auto"/>
            <w:noWrap/>
            <w:vAlign w:val="bottom"/>
            <w:hideMark/>
          </w:tcPr>
          <w:p w14:paraId="262EF47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4" w:space="0" w:color="auto"/>
            </w:tcBorders>
            <w:shd w:val="clear" w:color="auto" w:fill="auto"/>
            <w:noWrap/>
            <w:vAlign w:val="bottom"/>
            <w:hideMark/>
          </w:tcPr>
          <w:p w14:paraId="7264531D"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4" w:space="0" w:color="auto"/>
            </w:tcBorders>
            <w:shd w:val="clear" w:color="auto" w:fill="auto"/>
            <w:noWrap/>
            <w:vAlign w:val="bottom"/>
            <w:hideMark/>
          </w:tcPr>
          <w:p w14:paraId="0DD564FE"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4" w:space="0" w:color="auto"/>
            </w:tcBorders>
            <w:shd w:val="clear" w:color="auto" w:fill="auto"/>
            <w:noWrap/>
            <w:vAlign w:val="bottom"/>
            <w:hideMark/>
          </w:tcPr>
          <w:p w14:paraId="4E9015A7"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8" w:space="0" w:color="auto"/>
            </w:tcBorders>
            <w:shd w:val="clear" w:color="auto" w:fill="auto"/>
            <w:noWrap/>
            <w:vAlign w:val="bottom"/>
            <w:hideMark/>
          </w:tcPr>
          <w:p w14:paraId="089B760C"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8" w:space="0" w:color="auto"/>
            </w:tcBorders>
          </w:tcPr>
          <w:p w14:paraId="4F0C5DAF"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68713798" w14:textId="77777777" w:rsidTr="00A96D39">
        <w:trPr>
          <w:trHeight w:val="300"/>
        </w:trPr>
        <w:tc>
          <w:tcPr>
            <w:tcW w:w="3676" w:type="dxa"/>
            <w:tcBorders>
              <w:top w:val="nil"/>
              <w:left w:val="single" w:sz="8" w:space="0" w:color="auto"/>
              <w:bottom w:val="single" w:sz="4" w:space="0" w:color="auto"/>
              <w:right w:val="single" w:sz="4" w:space="0" w:color="auto"/>
            </w:tcBorders>
            <w:shd w:val="clear" w:color="auto" w:fill="auto"/>
            <w:noWrap/>
            <w:vAlign w:val="bottom"/>
            <w:hideMark/>
          </w:tcPr>
          <w:p w14:paraId="5BEE641D"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8. Emetimet e gazeve serrë për frymë</w:t>
            </w:r>
          </w:p>
        </w:tc>
        <w:tc>
          <w:tcPr>
            <w:tcW w:w="1134" w:type="dxa"/>
            <w:tcBorders>
              <w:top w:val="nil"/>
              <w:left w:val="nil"/>
              <w:bottom w:val="single" w:sz="4" w:space="0" w:color="auto"/>
              <w:right w:val="single" w:sz="4" w:space="0" w:color="auto"/>
            </w:tcBorders>
            <w:shd w:val="clear" w:color="auto" w:fill="auto"/>
            <w:noWrap/>
            <w:vAlign w:val="bottom"/>
            <w:hideMark/>
          </w:tcPr>
          <w:p w14:paraId="6383A05F"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3" w:type="dxa"/>
            <w:tcBorders>
              <w:top w:val="nil"/>
              <w:left w:val="nil"/>
              <w:bottom w:val="single" w:sz="4" w:space="0" w:color="auto"/>
              <w:right w:val="single" w:sz="4" w:space="0" w:color="auto"/>
            </w:tcBorders>
            <w:shd w:val="clear" w:color="auto" w:fill="auto"/>
            <w:noWrap/>
            <w:vAlign w:val="bottom"/>
            <w:hideMark/>
          </w:tcPr>
          <w:p w14:paraId="4BAC55AC"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4" w:space="0" w:color="auto"/>
            </w:tcBorders>
            <w:shd w:val="clear" w:color="auto" w:fill="auto"/>
            <w:noWrap/>
            <w:vAlign w:val="bottom"/>
            <w:hideMark/>
          </w:tcPr>
          <w:p w14:paraId="2D5F764F"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4" w:space="0" w:color="auto"/>
            </w:tcBorders>
            <w:shd w:val="clear" w:color="auto" w:fill="auto"/>
            <w:noWrap/>
            <w:vAlign w:val="bottom"/>
            <w:hideMark/>
          </w:tcPr>
          <w:p w14:paraId="424A91D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4" w:space="0" w:color="auto"/>
            </w:tcBorders>
            <w:shd w:val="clear" w:color="auto" w:fill="auto"/>
            <w:noWrap/>
            <w:vAlign w:val="bottom"/>
            <w:hideMark/>
          </w:tcPr>
          <w:p w14:paraId="41C9901D"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8" w:space="0" w:color="auto"/>
            </w:tcBorders>
            <w:shd w:val="clear" w:color="auto" w:fill="auto"/>
            <w:noWrap/>
            <w:vAlign w:val="bottom"/>
            <w:hideMark/>
          </w:tcPr>
          <w:p w14:paraId="6CAA8C6A"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8" w:space="0" w:color="auto"/>
            </w:tcBorders>
          </w:tcPr>
          <w:p w14:paraId="65D99D37"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3CF97C26" w14:textId="77777777" w:rsidTr="00A96D39">
        <w:trPr>
          <w:trHeight w:val="315"/>
        </w:trPr>
        <w:tc>
          <w:tcPr>
            <w:tcW w:w="3676" w:type="dxa"/>
            <w:tcBorders>
              <w:top w:val="nil"/>
              <w:left w:val="single" w:sz="8" w:space="0" w:color="auto"/>
              <w:bottom w:val="nil"/>
              <w:right w:val="single" w:sz="4" w:space="0" w:color="auto"/>
            </w:tcBorders>
            <w:shd w:val="clear" w:color="auto" w:fill="auto"/>
            <w:noWrap/>
            <w:vAlign w:val="bottom"/>
            <w:hideMark/>
          </w:tcPr>
          <w:p w14:paraId="5A6EC2A5"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9. Gjenerimi i mbetjeve duke përjashtuar mbetjet kryesore minerale</w:t>
            </w:r>
          </w:p>
        </w:tc>
        <w:tc>
          <w:tcPr>
            <w:tcW w:w="1134" w:type="dxa"/>
            <w:tcBorders>
              <w:top w:val="nil"/>
              <w:left w:val="nil"/>
              <w:bottom w:val="nil"/>
              <w:right w:val="single" w:sz="4" w:space="0" w:color="auto"/>
            </w:tcBorders>
            <w:shd w:val="clear" w:color="auto" w:fill="auto"/>
            <w:noWrap/>
            <w:vAlign w:val="bottom"/>
            <w:hideMark/>
          </w:tcPr>
          <w:p w14:paraId="662E1A8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3" w:type="dxa"/>
            <w:tcBorders>
              <w:top w:val="nil"/>
              <w:left w:val="nil"/>
              <w:bottom w:val="nil"/>
              <w:right w:val="single" w:sz="4" w:space="0" w:color="auto"/>
            </w:tcBorders>
            <w:shd w:val="clear" w:color="auto" w:fill="auto"/>
            <w:noWrap/>
            <w:vAlign w:val="bottom"/>
            <w:hideMark/>
          </w:tcPr>
          <w:p w14:paraId="11BC2D59"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nil"/>
              <w:right w:val="single" w:sz="4" w:space="0" w:color="auto"/>
            </w:tcBorders>
            <w:shd w:val="clear" w:color="auto" w:fill="auto"/>
            <w:noWrap/>
            <w:vAlign w:val="bottom"/>
            <w:hideMark/>
          </w:tcPr>
          <w:p w14:paraId="7B24585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nil"/>
              <w:right w:val="single" w:sz="4" w:space="0" w:color="auto"/>
            </w:tcBorders>
            <w:shd w:val="clear" w:color="auto" w:fill="auto"/>
            <w:noWrap/>
            <w:vAlign w:val="bottom"/>
            <w:hideMark/>
          </w:tcPr>
          <w:p w14:paraId="3C5D02FA"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nil"/>
              <w:right w:val="single" w:sz="4" w:space="0" w:color="auto"/>
            </w:tcBorders>
            <w:shd w:val="clear" w:color="auto" w:fill="auto"/>
            <w:noWrap/>
            <w:vAlign w:val="bottom"/>
            <w:hideMark/>
          </w:tcPr>
          <w:p w14:paraId="57480BD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nil"/>
              <w:right w:val="single" w:sz="8" w:space="0" w:color="auto"/>
            </w:tcBorders>
            <w:shd w:val="clear" w:color="auto" w:fill="auto"/>
            <w:noWrap/>
            <w:vAlign w:val="bottom"/>
            <w:hideMark/>
          </w:tcPr>
          <w:p w14:paraId="01FBC500"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nil"/>
              <w:right w:val="single" w:sz="8" w:space="0" w:color="auto"/>
            </w:tcBorders>
          </w:tcPr>
          <w:p w14:paraId="32C14ED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44969643" w14:textId="77777777" w:rsidTr="00A96D39">
        <w:trPr>
          <w:trHeight w:val="315"/>
        </w:trPr>
        <w:tc>
          <w:tcPr>
            <w:tcW w:w="10593"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A1C8E94" w14:textId="77777777" w:rsidR="002D3C56" w:rsidRPr="005208DC" w:rsidRDefault="002D3C56" w:rsidP="00A96D39">
            <w:pPr>
              <w:jc w:val="center"/>
              <w:rPr>
                <w:rFonts w:asciiTheme="majorBidi" w:eastAsia="Times New Roman" w:hAnsiTheme="majorBidi" w:cstheme="majorBidi"/>
                <w:b/>
                <w:bCs/>
                <w:color w:val="0D0D0D" w:themeColor="text1" w:themeTint="F2"/>
                <w:sz w:val="22"/>
                <w:szCs w:val="22"/>
                <w:lang w:val="sq-AL" w:eastAsia="sq-AL" w:bidi="he-IL"/>
              </w:rPr>
            </w:pPr>
            <w:r w:rsidRPr="005208DC">
              <w:rPr>
                <w:rFonts w:asciiTheme="majorBidi" w:eastAsia="Times New Roman" w:hAnsiTheme="majorBidi" w:cstheme="majorBidi"/>
                <w:b/>
                <w:bCs/>
                <w:color w:val="0D0D0D" w:themeColor="text1" w:themeTint="F2"/>
                <w:sz w:val="22"/>
                <w:szCs w:val="22"/>
                <w:lang w:val="sq-AL" w:eastAsia="sq-AL" w:bidi="he-IL"/>
              </w:rPr>
              <w:t>Ekonomia dixhitale</w:t>
            </w:r>
          </w:p>
        </w:tc>
      </w:tr>
      <w:tr w:rsidR="005208DC" w:rsidRPr="005208DC" w14:paraId="5C020AC5" w14:textId="77777777" w:rsidTr="00A96D39">
        <w:trPr>
          <w:trHeight w:val="300"/>
        </w:trPr>
        <w:tc>
          <w:tcPr>
            <w:tcW w:w="3676" w:type="dxa"/>
            <w:tcBorders>
              <w:top w:val="nil"/>
              <w:left w:val="single" w:sz="8" w:space="0" w:color="auto"/>
              <w:bottom w:val="single" w:sz="4" w:space="0" w:color="auto"/>
              <w:right w:val="single" w:sz="4" w:space="0" w:color="auto"/>
            </w:tcBorders>
            <w:shd w:val="clear" w:color="auto" w:fill="auto"/>
            <w:noWrap/>
            <w:vAlign w:val="bottom"/>
            <w:hideMark/>
          </w:tcPr>
          <w:p w14:paraId="600F61A7"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10. Përqindja e familjeve me akses me brez të gjerë (të lëvizshme dhe fikse)</w:t>
            </w:r>
          </w:p>
        </w:tc>
        <w:tc>
          <w:tcPr>
            <w:tcW w:w="1134" w:type="dxa"/>
            <w:tcBorders>
              <w:top w:val="nil"/>
              <w:left w:val="nil"/>
              <w:bottom w:val="single" w:sz="4" w:space="0" w:color="auto"/>
              <w:right w:val="single" w:sz="4" w:space="0" w:color="auto"/>
            </w:tcBorders>
            <w:shd w:val="clear" w:color="auto" w:fill="auto"/>
            <w:noWrap/>
            <w:vAlign w:val="bottom"/>
            <w:hideMark/>
          </w:tcPr>
          <w:p w14:paraId="4922314A"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Anketa e përdorimit të TIK nga familjet dhe individët</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14:paraId="3FC9B3C2"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NA</w:t>
            </w:r>
          </w:p>
        </w:tc>
        <w:tc>
          <w:tcPr>
            <w:tcW w:w="964" w:type="dxa"/>
            <w:tcBorders>
              <w:top w:val="nil"/>
              <w:left w:val="nil"/>
              <w:bottom w:val="single" w:sz="4" w:space="0" w:color="auto"/>
              <w:right w:val="single" w:sz="4" w:space="0" w:color="auto"/>
            </w:tcBorders>
            <w:shd w:val="clear" w:color="auto" w:fill="auto"/>
            <w:noWrap/>
            <w:vAlign w:val="bottom"/>
            <w:hideMark/>
          </w:tcPr>
          <w:p w14:paraId="3801E51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83.6</w:t>
            </w:r>
          </w:p>
        </w:tc>
        <w:tc>
          <w:tcPr>
            <w:tcW w:w="964" w:type="dxa"/>
            <w:tcBorders>
              <w:top w:val="nil"/>
              <w:left w:val="nil"/>
              <w:bottom w:val="single" w:sz="4" w:space="0" w:color="auto"/>
              <w:right w:val="single" w:sz="4" w:space="0" w:color="auto"/>
            </w:tcBorders>
            <w:shd w:val="clear" w:color="auto" w:fill="auto"/>
            <w:noWrap/>
            <w:vAlign w:val="bottom"/>
            <w:hideMark/>
          </w:tcPr>
          <w:p w14:paraId="3BBE14AC"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85.45</w:t>
            </w:r>
          </w:p>
        </w:tc>
        <w:tc>
          <w:tcPr>
            <w:tcW w:w="964" w:type="dxa"/>
            <w:tcBorders>
              <w:top w:val="nil"/>
              <w:left w:val="nil"/>
              <w:bottom w:val="single" w:sz="4" w:space="0" w:color="auto"/>
              <w:right w:val="single" w:sz="4" w:space="0" w:color="auto"/>
            </w:tcBorders>
            <w:shd w:val="clear" w:color="auto" w:fill="auto"/>
            <w:noWrap/>
            <w:vAlign w:val="bottom"/>
            <w:hideMark/>
          </w:tcPr>
          <w:p w14:paraId="062BCD40"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87.2</w:t>
            </w:r>
            <w:r w:rsidRPr="005208DC">
              <w:rPr>
                <w:rStyle w:val="FootnoteReference"/>
                <w:rFonts w:asciiTheme="majorBidi" w:hAnsiTheme="majorBidi" w:cstheme="majorBidi"/>
                <w:color w:val="0D0D0D" w:themeColor="text1" w:themeTint="F2"/>
                <w:sz w:val="22"/>
                <w:szCs w:val="22"/>
                <w:lang w:val="sq-AL"/>
              </w:rPr>
              <w:footnoteReference w:id="20"/>
            </w:r>
          </w:p>
        </w:tc>
        <w:tc>
          <w:tcPr>
            <w:tcW w:w="964" w:type="dxa"/>
            <w:tcBorders>
              <w:top w:val="nil"/>
              <w:left w:val="nil"/>
              <w:bottom w:val="single" w:sz="4" w:space="0" w:color="auto"/>
              <w:right w:val="single" w:sz="4" w:space="0" w:color="auto"/>
            </w:tcBorders>
            <w:shd w:val="clear" w:color="auto" w:fill="auto"/>
            <w:noWrap/>
            <w:vAlign w:val="bottom"/>
            <w:hideMark/>
          </w:tcPr>
          <w:p w14:paraId="596DBDA8"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0</w:t>
            </w:r>
          </w:p>
        </w:tc>
        <w:tc>
          <w:tcPr>
            <w:tcW w:w="964" w:type="dxa"/>
            <w:tcBorders>
              <w:top w:val="nil"/>
              <w:left w:val="nil"/>
              <w:bottom w:val="single" w:sz="4" w:space="0" w:color="auto"/>
              <w:right w:val="single" w:sz="8" w:space="0" w:color="auto"/>
            </w:tcBorders>
          </w:tcPr>
          <w:p w14:paraId="6211B2B7"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3D88FD55" w14:textId="77777777" w:rsidTr="00A96D39">
        <w:trPr>
          <w:trHeight w:val="315"/>
        </w:trPr>
        <w:tc>
          <w:tcPr>
            <w:tcW w:w="3676" w:type="dxa"/>
            <w:tcBorders>
              <w:top w:val="nil"/>
              <w:left w:val="single" w:sz="8" w:space="0" w:color="auto"/>
              <w:bottom w:val="nil"/>
              <w:right w:val="single" w:sz="4" w:space="0" w:color="auto"/>
            </w:tcBorders>
            <w:shd w:val="clear" w:color="auto" w:fill="auto"/>
            <w:noWrap/>
            <w:vAlign w:val="bottom"/>
            <w:hideMark/>
          </w:tcPr>
          <w:p w14:paraId="5563FDCF"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11. Pjesa e popullsisë totale që përdor internetin [NB: popullsia 16-74]</w:t>
            </w:r>
          </w:p>
        </w:tc>
        <w:tc>
          <w:tcPr>
            <w:tcW w:w="1134" w:type="dxa"/>
            <w:tcBorders>
              <w:top w:val="nil"/>
              <w:left w:val="nil"/>
              <w:bottom w:val="nil"/>
              <w:right w:val="single" w:sz="4" w:space="0" w:color="auto"/>
            </w:tcBorders>
            <w:shd w:val="clear" w:color="auto" w:fill="auto"/>
            <w:noWrap/>
            <w:vAlign w:val="bottom"/>
            <w:hideMark/>
          </w:tcPr>
          <w:p w14:paraId="780CCAA8"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Anketa e përdorimit të TIK nga familjet dhe individët</w:t>
            </w:r>
          </w:p>
        </w:tc>
        <w:tc>
          <w:tcPr>
            <w:tcW w:w="963" w:type="dxa"/>
            <w:tcBorders>
              <w:top w:val="nil"/>
              <w:left w:val="nil"/>
              <w:bottom w:val="nil"/>
              <w:right w:val="single" w:sz="4" w:space="0" w:color="auto"/>
            </w:tcBorders>
            <w:shd w:val="clear" w:color="auto" w:fill="auto"/>
            <w:noWrap/>
            <w:vAlign w:val="bottom"/>
            <w:hideMark/>
          </w:tcPr>
          <w:p w14:paraId="1DC794C8"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NA</w:t>
            </w:r>
          </w:p>
        </w:tc>
        <w:tc>
          <w:tcPr>
            <w:tcW w:w="964" w:type="dxa"/>
            <w:tcBorders>
              <w:top w:val="nil"/>
              <w:left w:val="nil"/>
              <w:bottom w:val="nil"/>
              <w:right w:val="single" w:sz="4" w:space="0" w:color="auto"/>
            </w:tcBorders>
            <w:shd w:val="clear" w:color="auto" w:fill="auto"/>
            <w:noWrap/>
            <w:vAlign w:val="bottom"/>
            <w:hideMark/>
          </w:tcPr>
          <w:p w14:paraId="0CA378FA"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62.6</w:t>
            </w:r>
          </w:p>
        </w:tc>
        <w:tc>
          <w:tcPr>
            <w:tcW w:w="964" w:type="dxa"/>
            <w:tcBorders>
              <w:top w:val="nil"/>
              <w:left w:val="nil"/>
              <w:bottom w:val="nil"/>
              <w:right w:val="single" w:sz="4" w:space="0" w:color="auto"/>
            </w:tcBorders>
            <w:shd w:val="clear" w:color="auto" w:fill="auto"/>
            <w:noWrap/>
            <w:vAlign w:val="bottom"/>
            <w:hideMark/>
          </w:tcPr>
          <w:p w14:paraId="7664CAC3"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68.6</w:t>
            </w:r>
          </w:p>
        </w:tc>
        <w:tc>
          <w:tcPr>
            <w:tcW w:w="964" w:type="dxa"/>
            <w:tcBorders>
              <w:top w:val="nil"/>
              <w:left w:val="nil"/>
              <w:bottom w:val="nil"/>
              <w:right w:val="single" w:sz="4" w:space="0" w:color="auto"/>
            </w:tcBorders>
            <w:shd w:val="clear" w:color="auto" w:fill="auto"/>
            <w:noWrap/>
            <w:vAlign w:val="bottom"/>
            <w:hideMark/>
          </w:tcPr>
          <w:p w14:paraId="13C380AC"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72.2</w:t>
            </w:r>
          </w:p>
        </w:tc>
        <w:tc>
          <w:tcPr>
            <w:tcW w:w="964" w:type="dxa"/>
            <w:tcBorders>
              <w:top w:val="nil"/>
              <w:left w:val="nil"/>
              <w:bottom w:val="nil"/>
              <w:right w:val="single" w:sz="8" w:space="0" w:color="auto"/>
            </w:tcBorders>
            <w:shd w:val="clear" w:color="auto" w:fill="auto"/>
            <w:noWrap/>
            <w:vAlign w:val="bottom"/>
            <w:hideMark/>
          </w:tcPr>
          <w:p w14:paraId="4E2BF44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0</w:t>
            </w:r>
          </w:p>
        </w:tc>
        <w:tc>
          <w:tcPr>
            <w:tcW w:w="964" w:type="dxa"/>
            <w:tcBorders>
              <w:top w:val="nil"/>
              <w:left w:val="nil"/>
              <w:bottom w:val="nil"/>
              <w:right w:val="single" w:sz="8" w:space="0" w:color="auto"/>
            </w:tcBorders>
          </w:tcPr>
          <w:p w14:paraId="0746ADDF"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75CD6A7D" w14:textId="77777777" w:rsidTr="00A96D39">
        <w:trPr>
          <w:trHeight w:val="315"/>
        </w:trPr>
        <w:tc>
          <w:tcPr>
            <w:tcW w:w="10593"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B6B7DFF" w14:textId="77777777" w:rsidR="002D3C56" w:rsidRPr="005208DC" w:rsidRDefault="002D3C56" w:rsidP="00A96D39">
            <w:pPr>
              <w:jc w:val="center"/>
              <w:rPr>
                <w:rFonts w:asciiTheme="majorBidi" w:eastAsia="Times New Roman" w:hAnsiTheme="majorBidi" w:cstheme="majorBidi"/>
                <w:b/>
                <w:bCs/>
                <w:color w:val="0D0D0D" w:themeColor="text1" w:themeTint="F2"/>
                <w:sz w:val="22"/>
                <w:szCs w:val="22"/>
                <w:lang w:val="sq-AL" w:eastAsia="sq-AL" w:bidi="he-IL"/>
              </w:rPr>
            </w:pPr>
            <w:r w:rsidRPr="005208DC">
              <w:rPr>
                <w:rFonts w:asciiTheme="majorBidi" w:eastAsia="Times New Roman" w:hAnsiTheme="majorBidi" w:cstheme="majorBidi"/>
                <w:b/>
                <w:bCs/>
                <w:color w:val="0D0D0D" w:themeColor="text1" w:themeTint="F2"/>
                <w:sz w:val="22"/>
                <w:szCs w:val="22"/>
                <w:lang w:val="sq-AL" w:eastAsia="sq-AL" w:bidi="he-IL"/>
              </w:rPr>
              <w:t>Energjia</w:t>
            </w:r>
          </w:p>
        </w:tc>
      </w:tr>
      <w:tr w:rsidR="005208DC" w:rsidRPr="005208DC" w14:paraId="4A598761" w14:textId="77777777" w:rsidTr="00A96D39">
        <w:trPr>
          <w:trHeight w:val="300"/>
        </w:trPr>
        <w:tc>
          <w:tcPr>
            <w:tcW w:w="3676" w:type="dxa"/>
            <w:tcBorders>
              <w:top w:val="nil"/>
              <w:left w:val="single" w:sz="8" w:space="0" w:color="auto"/>
              <w:bottom w:val="single" w:sz="4" w:space="0" w:color="auto"/>
              <w:right w:val="single" w:sz="4" w:space="0" w:color="auto"/>
            </w:tcBorders>
            <w:shd w:val="clear" w:color="auto" w:fill="auto"/>
            <w:noWrap/>
            <w:vAlign w:val="bottom"/>
            <w:hideMark/>
          </w:tcPr>
          <w:p w14:paraId="647B28D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12. Varësia nga importet e energjisë (%)</w:t>
            </w:r>
          </w:p>
        </w:tc>
        <w:tc>
          <w:tcPr>
            <w:tcW w:w="1134" w:type="dxa"/>
            <w:tcBorders>
              <w:top w:val="nil"/>
              <w:left w:val="nil"/>
              <w:bottom w:val="single" w:sz="4" w:space="0" w:color="auto"/>
              <w:right w:val="single" w:sz="4" w:space="0" w:color="auto"/>
            </w:tcBorders>
            <w:shd w:val="clear" w:color="auto" w:fill="auto"/>
            <w:noWrap/>
            <w:hideMark/>
          </w:tcPr>
          <w:p w14:paraId="63DB45AE"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INSTAT (Të dhënat administrative nga AKBN)</w:t>
            </w:r>
          </w:p>
        </w:tc>
        <w:tc>
          <w:tcPr>
            <w:tcW w:w="963" w:type="dxa"/>
            <w:tcBorders>
              <w:top w:val="nil"/>
              <w:left w:val="nil"/>
              <w:bottom w:val="single" w:sz="4" w:space="0" w:color="auto"/>
              <w:right w:val="single" w:sz="4" w:space="0" w:color="auto"/>
            </w:tcBorders>
            <w:shd w:val="clear" w:color="auto" w:fill="auto"/>
            <w:noWrap/>
            <w:vAlign w:val="bottom"/>
            <w:hideMark/>
          </w:tcPr>
          <w:p w14:paraId="6E0D022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38.23</w:t>
            </w:r>
          </w:p>
        </w:tc>
        <w:tc>
          <w:tcPr>
            <w:tcW w:w="964" w:type="dxa"/>
            <w:tcBorders>
              <w:top w:val="nil"/>
              <w:left w:val="nil"/>
              <w:bottom w:val="single" w:sz="4" w:space="0" w:color="auto"/>
              <w:right w:val="single" w:sz="4" w:space="0" w:color="auto"/>
            </w:tcBorders>
            <w:shd w:val="clear" w:color="auto" w:fill="auto"/>
            <w:noWrap/>
            <w:vAlign w:val="bottom"/>
            <w:hideMark/>
          </w:tcPr>
          <w:p w14:paraId="04192349"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21.14</w:t>
            </w:r>
          </w:p>
        </w:tc>
        <w:tc>
          <w:tcPr>
            <w:tcW w:w="964" w:type="dxa"/>
            <w:tcBorders>
              <w:top w:val="nil"/>
              <w:left w:val="nil"/>
              <w:bottom w:val="single" w:sz="4" w:space="0" w:color="auto"/>
              <w:right w:val="single" w:sz="4" w:space="0" w:color="auto"/>
            </w:tcBorders>
            <w:shd w:val="clear" w:color="auto" w:fill="auto"/>
            <w:noWrap/>
            <w:vAlign w:val="bottom"/>
            <w:hideMark/>
          </w:tcPr>
          <w:p w14:paraId="536B5E2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31.55</w:t>
            </w:r>
          </w:p>
        </w:tc>
        <w:tc>
          <w:tcPr>
            <w:tcW w:w="964" w:type="dxa"/>
            <w:tcBorders>
              <w:top w:val="nil"/>
              <w:left w:val="nil"/>
              <w:bottom w:val="single" w:sz="4" w:space="0" w:color="auto"/>
              <w:right w:val="single" w:sz="4" w:space="0" w:color="auto"/>
            </w:tcBorders>
            <w:shd w:val="clear" w:color="auto" w:fill="auto"/>
            <w:noWrap/>
            <w:vAlign w:val="bottom"/>
            <w:hideMark/>
          </w:tcPr>
          <w:p w14:paraId="590774E0"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0</w:t>
            </w:r>
          </w:p>
        </w:tc>
        <w:tc>
          <w:tcPr>
            <w:tcW w:w="964" w:type="dxa"/>
            <w:tcBorders>
              <w:top w:val="nil"/>
              <w:left w:val="nil"/>
              <w:bottom w:val="single" w:sz="4" w:space="0" w:color="auto"/>
              <w:right w:val="single" w:sz="8" w:space="0" w:color="auto"/>
            </w:tcBorders>
            <w:shd w:val="clear" w:color="auto" w:fill="auto"/>
            <w:noWrap/>
            <w:vAlign w:val="bottom"/>
            <w:hideMark/>
          </w:tcPr>
          <w:p w14:paraId="0E1BA180"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 xml:space="preserve"> </w:t>
            </w:r>
          </w:p>
        </w:tc>
        <w:tc>
          <w:tcPr>
            <w:tcW w:w="964" w:type="dxa"/>
            <w:tcBorders>
              <w:top w:val="nil"/>
              <w:left w:val="nil"/>
              <w:bottom w:val="single" w:sz="4" w:space="0" w:color="auto"/>
              <w:right w:val="single" w:sz="8" w:space="0" w:color="auto"/>
            </w:tcBorders>
          </w:tcPr>
          <w:p w14:paraId="550F6319"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55C43E2D" w14:textId="77777777" w:rsidTr="00A96D39">
        <w:trPr>
          <w:trHeight w:val="300"/>
        </w:trPr>
        <w:tc>
          <w:tcPr>
            <w:tcW w:w="3676" w:type="dxa"/>
            <w:tcBorders>
              <w:top w:val="nil"/>
              <w:left w:val="single" w:sz="8" w:space="0" w:color="auto"/>
              <w:bottom w:val="single" w:sz="4" w:space="0" w:color="auto"/>
              <w:right w:val="single" w:sz="4" w:space="0" w:color="auto"/>
            </w:tcBorders>
            <w:shd w:val="clear" w:color="auto" w:fill="auto"/>
            <w:noWrap/>
            <w:vAlign w:val="bottom"/>
            <w:hideMark/>
          </w:tcPr>
          <w:p w14:paraId="67AB712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13. Intensiteti i energjisë: Kilogram ekuivalent nafte (KGOE) për mijë euro</w:t>
            </w:r>
          </w:p>
        </w:tc>
        <w:tc>
          <w:tcPr>
            <w:tcW w:w="1134" w:type="dxa"/>
            <w:tcBorders>
              <w:top w:val="nil"/>
              <w:left w:val="nil"/>
              <w:bottom w:val="single" w:sz="4" w:space="0" w:color="auto"/>
              <w:right w:val="single" w:sz="4" w:space="0" w:color="auto"/>
            </w:tcBorders>
            <w:shd w:val="clear" w:color="auto" w:fill="auto"/>
            <w:noWrap/>
            <w:hideMark/>
          </w:tcPr>
          <w:p w14:paraId="3720A1A3"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INSTAT (Të dhënat administrative nga AKBN)</w:t>
            </w:r>
          </w:p>
        </w:tc>
        <w:tc>
          <w:tcPr>
            <w:tcW w:w="963" w:type="dxa"/>
            <w:tcBorders>
              <w:top w:val="nil"/>
              <w:left w:val="nil"/>
              <w:bottom w:val="single" w:sz="4" w:space="0" w:color="auto"/>
              <w:right w:val="single" w:sz="4" w:space="0" w:color="auto"/>
            </w:tcBorders>
            <w:shd w:val="clear" w:color="auto" w:fill="auto"/>
            <w:noWrap/>
            <w:vAlign w:val="bottom"/>
            <w:hideMark/>
          </w:tcPr>
          <w:p w14:paraId="79E5B417"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N/A</w:t>
            </w:r>
          </w:p>
        </w:tc>
        <w:tc>
          <w:tcPr>
            <w:tcW w:w="964" w:type="dxa"/>
            <w:tcBorders>
              <w:top w:val="nil"/>
              <w:left w:val="nil"/>
              <w:bottom w:val="single" w:sz="4" w:space="0" w:color="auto"/>
              <w:right w:val="single" w:sz="4" w:space="0" w:color="auto"/>
            </w:tcBorders>
            <w:shd w:val="clear" w:color="auto" w:fill="auto"/>
            <w:noWrap/>
            <w:vAlign w:val="bottom"/>
            <w:hideMark/>
          </w:tcPr>
          <w:p w14:paraId="7C3ADA4D"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N/A</w:t>
            </w:r>
          </w:p>
        </w:tc>
        <w:tc>
          <w:tcPr>
            <w:tcW w:w="964" w:type="dxa"/>
            <w:tcBorders>
              <w:top w:val="nil"/>
              <w:left w:val="nil"/>
              <w:bottom w:val="single" w:sz="4" w:space="0" w:color="auto"/>
              <w:right w:val="single" w:sz="4" w:space="0" w:color="auto"/>
            </w:tcBorders>
            <w:shd w:val="clear" w:color="auto" w:fill="auto"/>
            <w:noWrap/>
            <w:vAlign w:val="bottom"/>
            <w:hideMark/>
          </w:tcPr>
          <w:p w14:paraId="78D5B73A"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N/A</w:t>
            </w:r>
          </w:p>
        </w:tc>
        <w:tc>
          <w:tcPr>
            <w:tcW w:w="964" w:type="dxa"/>
            <w:tcBorders>
              <w:top w:val="nil"/>
              <w:left w:val="nil"/>
              <w:bottom w:val="single" w:sz="4" w:space="0" w:color="auto"/>
              <w:right w:val="single" w:sz="4" w:space="0" w:color="auto"/>
            </w:tcBorders>
            <w:shd w:val="clear" w:color="auto" w:fill="auto"/>
            <w:noWrap/>
            <w:vAlign w:val="bottom"/>
            <w:hideMark/>
          </w:tcPr>
          <w:p w14:paraId="39E324A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N/A</w:t>
            </w:r>
          </w:p>
        </w:tc>
        <w:tc>
          <w:tcPr>
            <w:tcW w:w="964" w:type="dxa"/>
            <w:tcBorders>
              <w:top w:val="nil"/>
              <w:left w:val="nil"/>
              <w:bottom w:val="single" w:sz="4" w:space="0" w:color="auto"/>
              <w:right w:val="single" w:sz="8" w:space="0" w:color="auto"/>
            </w:tcBorders>
            <w:shd w:val="clear" w:color="auto" w:fill="auto"/>
            <w:noWrap/>
            <w:vAlign w:val="center"/>
            <w:hideMark/>
          </w:tcPr>
          <w:p w14:paraId="5A01185E"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0</w:t>
            </w:r>
          </w:p>
        </w:tc>
        <w:tc>
          <w:tcPr>
            <w:tcW w:w="964" w:type="dxa"/>
            <w:tcBorders>
              <w:top w:val="nil"/>
              <w:left w:val="nil"/>
              <w:bottom w:val="single" w:sz="4" w:space="0" w:color="auto"/>
              <w:right w:val="single" w:sz="8" w:space="0" w:color="auto"/>
            </w:tcBorders>
          </w:tcPr>
          <w:p w14:paraId="7710ACD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0418AB97" w14:textId="77777777" w:rsidTr="00A96D39">
        <w:trPr>
          <w:trHeight w:val="315"/>
        </w:trPr>
        <w:tc>
          <w:tcPr>
            <w:tcW w:w="3676" w:type="dxa"/>
            <w:tcBorders>
              <w:top w:val="nil"/>
              <w:left w:val="single" w:sz="8" w:space="0" w:color="auto"/>
              <w:bottom w:val="nil"/>
              <w:right w:val="single" w:sz="4" w:space="0" w:color="auto"/>
            </w:tcBorders>
            <w:shd w:val="clear" w:color="auto" w:fill="auto"/>
            <w:noWrap/>
            <w:vAlign w:val="bottom"/>
            <w:hideMark/>
          </w:tcPr>
          <w:p w14:paraId="64921E7C"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14. Pjesa e burimeve të rinovueshme të energjisë (BRE) në konsumin final të energjisë (%)</w:t>
            </w:r>
          </w:p>
        </w:tc>
        <w:tc>
          <w:tcPr>
            <w:tcW w:w="1134" w:type="dxa"/>
            <w:tcBorders>
              <w:top w:val="nil"/>
              <w:left w:val="nil"/>
              <w:bottom w:val="nil"/>
              <w:right w:val="single" w:sz="4" w:space="0" w:color="auto"/>
            </w:tcBorders>
            <w:shd w:val="clear" w:color="auto" w:fill="auto"/>
            <w:noWrap/>
            <w:hideMark/>
          </w:tcPr>
          <w:p w14:paraId="54A86897"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INSTAT (Të dhënat administrative nga AKBN)</w:t>
            </w:r>
          </w:p>
        </w:tc>
        <w:tc>
          <w:tcPr>
            <w:tcW w:w="963" w:type="dxa"/>
            <w:tcBorders>
              <w:top w:val="nil"/>
              <w:left w:val="nil"/>
              <w:bottom w:val="nil"/>
              <w:right w:val="single" w:sz="4" w:space="0" w:color="auto"/>
            </w:tcBorders>
            <w:shd w:val="clear" w:color="auto" w:fill="auto"/>
            <w:noWrap/>
            <w:vAlign w:val="bottom"/>
            <w:hideMark/>
          </w:tcPr>
          <w:p w14:paraId="5BC1581F"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34.46</w:t>
            </w:r>
          </w:p>
        </w:tc>
        <w:tc>
          <w:tcPr>
            <w:tcW w:w="964" w:type="dxa"/>
            <w:tcBorders>
              <w:top w:val="nil"/>
              <w:left w:val="nil"/>
              <w:bottom w:val="nil"/>
              <w:right w:val="single" w:sz="4" w:space="0" w:color="auto"/>
            </w:tcBorders>
            <w:shd w:val="clear" w:color="auto" w:fill="auto"/>
            <w:noWrap/>
            <w:vAlign w:val="bottom"/>
            <w:hideMark/>
          </w:tcPr>
          <w:p w14:paraId="235E935A"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34.86</w:t>
            </w:r>
          </w:p>
        </w:tc>
        <w:tc>
          <w:tcPr>
            <w:tcW w:w="964" w:type="dxa"/>
            <w:tcBorders>
              <w:top w:val="nil"/>
              <w:left w:val="nil"/>
              <w:bottom w:val="nil"/>
              <w:right w:val="single" w:sz="4" w:space="0" w:color="auto"/>
            </w:tcBorders>
            <w:shd w:val="clear" w:color="auto" w:fill="auto"/>
            <w:noWrap/>
            <w:vAlign w:val="bottom"/>
            <w:hideMark/>
          </w:tcPr>
          <w:p w14:paraId="7E47A15C"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30.58</w:t>
            </w:r>
          </w:p>
        </w:tc>
        <w:tc>
          <w:tcPr>
            <w:tcW w:w="964" w:type="dxa"/>
            <w:tcBorders>
              <w:top w:val="nil"/>
              <w:left w:val="nil"/>
              <w:bottom w:val="nil"/>
              <w:right w:val="single" w:sz="4" w:space="0" w:color="auto"/>
            </w:tcBorders>
            <w:shd w:val="clear" w:color="auto" w:fill="auto"/>
            <w:noWrap/>
            <w:vAlign w:val="bottom"/>
            <w:hideMark/>
          </w:tcPr>
          <w:p w14:paraId="1D063312"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33.53</w:t>
            </w:r>
          </w:p>
        </w:tc>
        <w:tc>
          <w:tcPr>
            <w:tcW w:w="964" w:type="dxa"/>
            <w:tcBorders>
              <w:top w:val="nil"/>
              <w:left w:val="nil"/>
              <w:bottom w:val="nil"/>
              <w:right w:val="single" w:sz="8" w:space="0" w:color="auto"/>
            </w:tcBorders>
            <w:shd w:val="clear" w:color="auto" w:fill="auto"/>
            <w:noWrap/>
            <w:vAlign w:val="bottom"/>
            <w:hideMark/>
          </w:tcPr>
          <w:p w14:paraId="11E1FBB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 xml:space="preserve"> </w:t>
            </w:r>
          </w:p>
        </w:tc>
        <w:tc>
          <w:tcPr>
            <w:tcW w:w="964" w:type="dxa"/>
            <w:tcBorders>
              <w:top w:val="nil"/>
              <w:left w:val="nil"/>
              <w:bottom w:val="nil"/>
              <w:right w:val="single" w:sz="8" w:space="0" w:color="auto"/>
            </w:tcBorders>
          </w:tcPr>
          <w:p w14:paraId="2581EAC7"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35C84F4A" w14:textId="77777777" w:rsidTr="00A96D39">
        <w:trPr>
          <w:trHeight w:val="315"/>
        </w:trPr>
        <w:tc>
          <w:tcPr>
            <w:tcW w:w="10593"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17B646C" w14:textId="77777777" w:rsidR="002D3C56" w:rsidRPr="005208DC" w:rsidRDefault="002D3C56" w:rsidP="00A96D39">
            <w:pPr>
              <w:jc w:val="center"/>
              <w:rPr>
                <w:rFonts w:asciiTheme="majorBidi" w:eastAsia="Times New Roman" w:hAnsiTheme="majorBidi" w:cstheme="majorBidi"/>
                <w:b/>
                <w:bCs/>
                <w:color w:val="0D0D0D" w:themeColor="text1" w:themeTint="F2"/>
                <w:sz w:val="22"/>
                <w:szCs w:val="22"/>
                <w:lang w:val="sq-AL" w:eastAsia="sq-AL" w:bidi="he-IL"/>
              </w:rPr>
            </w:pPr>
            <w:r w:rsidRPr="005208DC">
              <w:rPr>
                <w:rFonts w:asciiTheme="majorBidi" w:eastAsia="Times New Roman" w:hAnsiTheme="majorBidi" w:cstheme="majorBidi"/>
                <w:b/>
                <w:bCs/>
                <w:color w:val="0D0D0D" w:themeColor="text1" w:themeTint="F2"/>
                <w:sz w:val="22"/>
                <w:szCs w:val="22"/>
                <w:lang w:val="sq-AL" w:eastAsia="sq-AL" w:bidi="he-IL"/>
              </w:rPr>
              <w:t>Transporti</w:t>
            </w:r>
          </w:p>
        </w:tc>
      </w:tr>
      <w:tr w:rsidR="005208DC" w:rsidRPr="005208DC" w14:paraId="2B4D177B" w14:textId="77777777" w:rsidTr="00A96D39">
        <w:trPr>
          <w:trHeight w:val="300"/>
        </w:trPr>
        <w:tc>
          <w:tcPr>
            <w:tcW w:w="3676" w:type="dxa"/>
            <w:tcBorders>
              <w:top w:val="nil"/>
              <w:left w:val="single" w:sz="8" w:space="0" w:color="auto"/>
              <w:bottom w:val="single" w:sz="4" w:space="0" w:color="auto"/>
              <w:right w:val="single" w:sz="4" w:space="0" w:color="auto"/>
            </w:tcBorders>
            <w:shd w:val="clear" w:color="auto" w:fill="auto"/>
            <w:noWrap/>
            <w:vAlign w:val="bottom"/>
            <w:hideMark/>
          </w:tcPr>
          <w:p w14:paraId="60968B5E"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15. Dendësia e rrjetit hekurudhor (metra linjë për km2 sipërfaqe)</w:t>
            </w:r>
          </w:p>
        </w:tc>
        <w:tc>
          <w:tcPr>
            <w:tcW w:w="1134" w:type="dxa"/>
            <w:tcBorders>
              <w:top w:val="nil"/>
              <w:left w:val="nil"/>
              <w:bottom w:val="single" w:sz="4" w:space="0" w:color="auto"/>
              <w:right w:val="single" w:sz="4" w:space="0" w:color="auto"/>
            </w:tcBorders>
            <w:shd w:val="clear" w:color="auto" w:fill="auto"/>
            <w:noWrap/>
            <w:vAlign w:val="bottom"/>
            <w:hideMark/>
          </w:tcPr>
          <w:p w14:paraId="0A6D8BEA" w14:textId="77777777" w:rsidR="002D3C56" w:rsidRPr="005208DC" w:rsidRDefault="002D3C56" w:rsidP="00A96D39">
            <w:pPr>
              <w:rPr>
                <w:rFonts w:asciiTheme="majorBidi" w:hAnsiTheme="majorBidi" w:cstheme="majorBidi"/>
                <w:color w:val="0D0D0D" w:themeColor="text1" w:themeTint="F2"/>
                <w:sz w:val="22"/>
                <w:szCs w:val="22"/>
                <w:lang w:val="sq-AL" w:eastAsia="sq-AL"/>
              </w:rPr>
            </w:pPr>
            <w:r w:rsidRPr="005208DC">
              <w:rPr>
                <w:rFonts w:asciiTheme="majorBidi" w:hAnsiTheme="majorBidi" w:cstheme="majorBidi"/>
                <w:color w:val="0D0D0D" w:themeColor="text1" w:themeTint="F2"/>
                <w:sz w:val="22"/>
                <w:szCs w:val="22"/>
                <w:lang w:val="sq-AL"/>
              </w:rPr>
              <w:t>MIE, llogaritjet e INSTAT</w:t>
            </w:r>
          </w:p>
        </w:tc>
        <w:tc>
          <w:tcPr>
            <w:tcW w:w="963" w:type="dxa"/>
            <w:tcBorders>
              <w:top w:val="nil"/>
              <w:left w:val="nil"/>
              <w:bottom w:val="single" w:sz="4" w:space="0" w:color="auto"/>
              <w:right w:val="single" w:sz="4" w:space="0" w:color="auto"/>
            </w:tcBorders>
            <w:shd w:val="clear" w:color="auto" w:fill="auto"/>
            <w:noWrap/>
            <w:vAlign w:val="bottom"/>
            <w:hideMark/>
          </w:tcPr>
          <w:p w14:paraId="279D3FAA"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11.62</w:t>
            </w:r>
          </w:p>
        </w:tc>
        <w:tc>
          <w:tcPr>
            <w:tcW w:w="964" w:type="dxa"/>
            <w:tcBorders>
              <w:top w:val="nil"/>
              <w:left w:val="nil"/>
              <w:bottom w:val="single" w:sz="4" w:space="0" w:color="auto"/>
              <w:right w:val="single" w:sz="4" w:space="0" w:color="auto"/>
            </w:tcBorders>
            <w:shd w:val="clear" w:color="auto" w:fill="auto"/>
            <w:noWrap/>
            <w:vAlign w:val="bottom"/>
            <w:hideMark/>
          </w:tcPr>
          <w:p w14:paraId="56A02450"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11.62</w:t>
            </w:r>
          </w:p>
        </w:tc>
        <w:tc>
          <w:tcPr>
            <w:tcW w:w="964" w:type="dxa"/>
            <w:tcBorders>
              <w:top w:val="nil"/>
              <w:left w:val="nil"/>
              <w:bottom w:val="single" w:sz="4" w:space="0" w:color="auto"/>
              <w:right w:val="single" w:sz="4" w:space="0" w:color="auto"/>
            </w:tcBorders>
            <w:shd w:val="clear" w:color="auto" w:fill="auto"/>
            <w:noWrap/>
            <w:vAlign w:val="bottom"/>
            <w:hideMark/>
          </w:tcPr>
          <w:p w14:paraId="589DFCCF"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5.88</w:t>
            </w:r>
          </w:p>
        </w:tc>
        <w:tc>
          <w:tcPr>
            <w:tcW w:w="964" w:type="dxa"/>
            <w:tcBorders>
              <w:top w:val="nil"/>
              <w:left w:val="nil"/>
              <w:bottom w:val="single" w:sz="4" w:space="0" w:color="auto"/>
              <w:right w:val="single" w:sz="4" w:space="0" w:color="auto"/>
            </w:tcBorders>
            <w:shd w:val="clear" w:color="auto" w:fill="auto"/>
            <w:noWrap/>
            <w:vAlign w:val="bottom"/>
            <w:hideMark/>
          </w:tcPr>
          <w:p w14:paraId="3FF872AE"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7.79</w:t>
            </w:r>
          </w:p>
        </w:tc>
        <w:tc>
          <w:tcPr>
            <w:tcW w:w="964" w:type="dxa"/>
            <w:tcBorders>
              <w:top w:val="nil"/>
              <w:left w:val="nil"/>
              <w:bottom w:val="single" w:sz="4" w:space="0" w:color="auto"/>
              <w:right w:val="single" w:sz="8" w:space="0" w:color="auto"/>
            </w:tcBorders>
            <w:shd w:val="clear" w:color="auto" w:fill="auto"/>
            <w:noWrap/>
            <w:vAlign w:val="bottom"/>
            <w:hideMark/>
          </w:tcPr>
          <w:p w14:paraId="3954631D"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8" w:space="0" w:color="auto"/>
            </w:tcBorders>
          </w:tcPr>
          <w:p w14:paraId="756B2A92"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6F5992AF" w14:textId="77777777" w:rsidTr="00A96D39">
        <w:trPr>
          <w:trHeight w:val="315"/>
        </w:trPr>
        <w:tc>
          <w:tcPr>
            <w:tcW w:w="3676" w:type="dxa"/>
            <w:tcBorders>
              <w:top w:val="nil"/>
              <w:left w:val="single" w:sz="8" w:space="0" w:color="auto"/>
              <w:bottom w:val="nil"/>
              <w:right w:val="single" w:sz="4" w:space="0" w:color="auto"/>
            </w:tcBorders>
            <w:shd w:val="clear" w:color="auto" w:fill="auto"/>
            <w:noWrap/>
            <w:vAlign w:val="bottom"/>
            <w:hideMark/>
          </w:tcPr>
          <w:p w14:paraId="478A87A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16. Shkalla e motorizimit (makina pasagjerësh për 1000 banorë)</w:t>
            </w:r>
          </w:p>
        </w:tc>
        <w:tc>
          <w:tcPr>
            <w:tcW w:w="1134" w:type="dxa"/>
            <w:tcBorders>
              <w:top w:val="nil"/>
              <w:left w:val="nil"/>
              <w:bottom w:val="nil"/>
              <w:right w:val="single" w:sz="4" w:space="0" w:color="auto"/>
            </w:tcBorders>
            <w:shd w:val="clear" w:color="auto" w:fill="auto"/>
            <w:noWrap/>
            <w:vAlign w:val="bottom"/>
            <w:hideMark/>
          </w:tcPr>
          <w:p w14:paraId="2882CD7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MIE, llogaritjet e INSTAT</w:t>
            </w:r>
          </w:p>
        </w:tc>
        <w:tc>
          <w:tcPr>
            <w:tcW w:w="963" w:type="dxa"/>
            <w:tcBorders>
              <w:top w:val="nil"/>
              <w:left w:val="nil"/>
              <w:bottom w:val="nil"/>
              <w:right w:val="single" w:sz="4" w:space="0" w:color="auto"/>
            </w:tcBorders>
            <w:shd w:val="clear" w:color="auto" w:fill="auto"/>
            <w:noWrap/>
            <w:vAlign w:val="center"/>
            <w:hideMark/>
          </w:tcPr>
          <w:p w14:paraId="3D10FFC2"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146.9</w:t>
            </w:r>
          </w:p>
        </w:tc>
        <w:tc>
          <w:tcPr>
            <w:tcW w:w="964" w:type="dxa"/>
            <w:tcBorders>
              <w:top w:val="nil"/>
              <w:left w:val="nil"/>
              <w:bottom w:val="nil"/>
              <w:right w:val="single" w:sz="4" w:space="0" w:color="auto"/>
            </w:tcBorders>
            <w:shd w:val="clear" w:color="auto" w:fill="auto"/>
            <w:noWrap/>
            <w:vAlign w:val="center"/>
            <w:hideMark/>
          </w:tcPr>
          <w:p w14:paraId="503091CA"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160.5</w:t>
            </w:r>
          </w:p>
        </w:tc>
        <w:tc>
          <w:tcPr>
            <w:tcW w:w="964" w:type="dxa"/>
            <w:tcBorders>
              <w:top w:val="nil"/>
              <w:left w:val="nil"/>
              <w:bottom w:val="nil"/>
              <w:right w:val="single" w:sz="4" w:space="0" w:color="auto"/>
            </w:tcBorders>
            <w:shd w:val="clear" w:color="auto" w:fill="auto"/>
            <w:noWrap/>
            <w:vAlign w:val="center"/>
            <w:hideMark/>
          </w:tcPr>
          <w:p w14:paraId="7255C3D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175.0</w:t>
            </w:r>
          </w:p>
        </w:tc>
        <w:tc>
          <w:tcPr>
            <w:tcW w:w="964" w:type="dxa"/>
            <w:tcBorders>
              <w:top w:val="nil"/>
              <w:left w:val="nil"/>
              <w:bottom w:val="nil"/>
              <w:right w:val="single" w:sz="4" w:space="0" w:color="auto"/>
            </w:tcBorders>
            <w:shd w:val="clear" w:color="auto" w:fill="auto"/>
            <w:noWrap/>
            <w:vAlign w:val="center"/>
            <w:hideMark/>
          </w:tcPr>
          <w:p w14:paraId="5F4686DD"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191.8</w:t>
            </w:r>
          </w:p>
        </w:tc>
        <w:tc>
          <w:tcPr>
            <w:tcW w:w="964" w:type="dxa"/>
            <w:tcBorders>
              <w:top w:val="nil"/>
              <w:left w:val="nil"/>
              <w:bottom w:val="nil"/>
              <w:right w:val="single" w:sz="8" w:space="0" w:color="auto"/>
            </w:tcBorders>
            <w:shd w:val="clear" w:color="auto" w:fill="auto"/>
            <w:noWrap/>
            <w:vAlign w:val="bottom"/>
            <w:hideMark/>
          </w:tcPr>
          <w:p w14:paraId="2FB0A70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964" w:type="dxa"/>
            <w:tcBorders>
              <w:top w:val="nil"/>
              <w:left w:val="nil"/>
              <w:bottom w:val="nil"/>
              <w:right w:val="single" w:sz="8" w:space="0" w:color="auto"/>
            </w:tcBorders>
          </w:tcPr>
          <w:p w14:paraId="270469BF"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45ECE740" w14:textId="77777777" w:rsidTr="00A96D39">
        <w:trPr>
          <w:trHeight w:val="315"/>
        </w:trPr>
        <w:tc>
          <w:tcPr>
            <w:tcW w:w="10593"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A5D3CA8" w14:textId="77777777" w:rsidR="002D3C56" w:rsidRPr="005208DC" w:rsidRDefault="002D3C56" w:rsidP="00A96D39">
            <w:pPr>
              <w:jc w:val="center"/>
              <w:rPr>
                <w:rFonts w:asciiTheme="majorBidi" w:eastAsia="Times New Roman" w:hAnsiTheme="majorBidi" w:cstheme="majorBidi"/>
                <w:b/>
                <w:bCs/>
                <w:color w:val="0D0D0D" w:themeColor="text1" w:themeTint="F2"/>
                <w:sz w:val="22"/>
                <w:szCs w:val="22"/>
                <w:lang w:val="sq-AL" w:eastAsia="sq-AL" w:bidi="he-IL"/>
              </w:rPr>
            </w:pPr>
            <w:r w:rsidRPr="005208DC">
              <w:rPr>
                <w:rFonts w:asciiTheme="majorBidi" w:eastAsia="Times New Roman" w:hAnsiTheme="majorBidi" w:cstheme="majorBidi"/>
                <w:b/>
                <w:bCs/>
                <w:color w:val="0D0D0D" w:themeColor="text1" w:themeTint="F2"/>
                <w:sz w:val="22"/>
                <w:szCs w:val="22"/>
                <w:lang w:val="sq-AL" w:eastAsia="sq-AL" w:bidi="he-IL"/>
              </w:rPr>
              <w:t>Bujqësia</w:t>
            </w:r>
          </w:p>
        </w:tc>
      </w:tr>
      <w:tr w:rsidR="005208DC" w:rsidRPr="005208DC" w14:paraId="6DF7AC1D" w14:textId="77777777" w:rsidTr="00A96D39">
        <w:trPr>
          <w:trHeight w:val="300"/>
        </w:trPr>
        <w:tc>
          <w:tcPr>
            <w:tcW w:w="3676" w:type="dxa"/>
            <w:tcBorders>
              <w:top w:val="nil"/>
              <w:left w:val="single" w:sz="8" w:space="0" w:color="auto"/>
              <w:bottom w:val="single" w:sz="4" w:space="0" w:color="auto"/>
              <w:right w:val="single" w:sz="4" w:space="0" w:color="auto"/>
            </w:tcBorders>
            <w:shd w:val="clear" w:color="auto" w:fill="auto"/>
            <w:noWrap/>
            <w:vAlign w:val="bottom"/>
            <w:hideMark/>
          </w:tcPr>
          <w:p w14:paraId="2C706382"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17. Pjesa e vlerës së shtuar bruto (Bujqësia, Pylltaria dhe Peshkimi)</w:t>
            </w:r>
          </w:p>
        </w:tc>
        <w:tc>
          <w:tcPr>
            <w:tcW w:w="1134" w:type="dxa"/>
            <w:tcBorders>
              <w:top w:val="nil"/>
              <w:left w:val="nil"/>
              <w:bottom w:val="single" w:sz="4" w:space="0" w:color="auto"/>
              <w:right w:val="single" w:sz="4" w:space="0" w:color="auto"/>
            </w:tcBorders>
            <w:shd w:val="clear" w:color="auto" w:fill="auto"/>
            <w:noWrap/>
            <w:vAlign w:val="bottom"/>
            <w:hideMark/>
          </w:tcPr>
          <w:p w14:paraId="6EA64339"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w:t>
            </w:r>
            <w:r w:rsidRPr="005208DC">
              <w:rPr>
                <w:rStyle w:val="FootnoteReference"/>
                <w:rFonts w:asciiTheme="majorBidi" w:eastAsia="Times New Roman" w:hAnsiTheme="majorBidi" w:cstheme="majorBidi"/>
                <w:color w:val="0D0D0D" w:themeColor="text1" w:themeTint="F2"/>
                <w:sz w:val="22"/>
                <w:szCs w:val="22"/>
                <w:lang w:val="sq-AL" w:eastAsia="sq-AL" w:bidi="he-IL"/>
              </w:rPr>
              <w:footnoteReference w:id="21"/>
            </w:r>
          </w:p>
        </w:tc>
        <w:tc>
          <w:tcPr>
            <w:tcW w:w="963" w:type="dxa"/>
            <w:tcBorders>
              <w:top w:val="nil"/>
              <w:left w:val="nil"/>
              <w:bottom w:val="single" w:sz="4" w:space="0" w:color="auto"/>
              <w:right w:val="single" w:sz="4" w:space="0" w:color="auto"/>
            </w:tcBorders>
            <w:shd w:val="clear" w:color="auto" w:fill="auto"/>
            <w:noWrap/>
            <w:vAlign w:val="center"/>
            <w:hideMark/>
          </w:tcPr>
          <w:p w14:paraId="7B6DC91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21.8</w:t>
            </w:r>
          </w:p>
        </w:tc>
        <w:tc>
          <w:tcPr>
            <w:tcW w:w="964" w:type="dxa"/>
            <w:tcBorders>
              <w:top w:val="nil"/>
              <w:left w:val="nil"/>
              <w:bottom w:val="single" w:sz="4" w:space="0" w:color="auto"/>
              <w:right w:val="single" w:sz="4" w:space="0" w:color="auto"/>
            </w:tcBorders>
            <w:shd w:val="clear" w:color="auto" w:fill="auto"/>
            <w:noWrap/>
            <w:vAlign w:val="center"/>
            <w:hideMark/>
          </w:tcPr>
          <w:p w14:paraId="3DC90420"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21.1</w:t>
            </w:r>
          </w:p>
        </w:tc>
        <w:tc>
          <w:tcPr>
            <w:tcW w:w="964" w:type="dxa"/>
            <w:tcBorders>
              <w:top w:val="nil"/>
              <w:left w:val="nil"/>
              <w:bottom w:val="single" w:sz="4" w:space="0" w:color="auto"/>
              <w:right w:val="single" w:sz="4" w:space="0" w:color="auto"/>
            </w:tcBorders>
            <w:shd w:val="clear" w:color="auto" w:fill="auto"/>
            <w:noWrap/>
            <w:vAlign w:val="center"/>
            <w:hideMark/>
          </w:tcPr>
          <w:p w14:paraId="63B0081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21.0</w:t>
            </w:r>
          </w:p>
        </w:tc>
        <w:tc>
          <w:tcPr>
            <w:tcW w:w="964" w:type="dxa"/>
            <w:tcBorders>
              <w:top w:val="nil"/>
              <w:left w:val="nil"/>
              <w:bottom w:val="single" w:sz="4" w:space="0" w:color="auto"/>
              <w:right w:val="single" w:sz="4" w:space="0" w:color="auto"/>
            </w:tcBorders>
            <w:shd w:val="clear" w:color="auto" w:fill="auto"/>
            <w:noWrap/>
            <w:vAlign w:val="center"/>
            <w:hideMark/>
          </w:tcPr>
          <w:p w14:paraId="7332D9E7"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21.8</w:t>
            </w:r>
          </w:p>
        </w:tc>
        <w:tc>
          <w:tcPr>
            <w:tcW w:w="964" w:type="dxa"/>
            <w:tcBorders>
              <w:top w:val="nil"/>
              <w:left w:val="nil"/>
              <w:bottom w:val="single" w:sz="4" w:space="0" w:color="auto"/>
              <w:right w:val="single" w:sz="8" w:space="0" w:color="auto"/>
            </w:tcBorders>
            <w:shd w:val="clear" w:color="auto" w:fill="auto"/>
            <w:noWrap/>
            <w:vAlign w:val="center"/>
            <w:hideMark/>
          </w:tcPr>
          <w:p w14:paraId="00DE6FAE"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23.2</w:t>
            </w:r>
          </w:p>
        </w:tc>
        <w:tc>
          <w:tcPr>
            <w:tcW w:w="964" w:type="dxa"/>
            <w:tcBorders>
              <w:top w:val="nil"/>
              <w:left w:val="nil"/>
              <w:bottom w:val="single" w:sz="4" w:space="0" w:color="auto"/>
              <w:right w:val="single" w:sz="8" w:space="0" w:color="auto"/>
            </w:tcBorders>
            <w:vAlign w:val="center"/>
          </w:tcPr>
          <w:p w14:paraId="706F03F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25.9</w:t>
            </w:r>
          </w:p>
        </w:tc>
      </w:tr>
      <w:tr w:rsidR="005208DC" w:rsidRPr="005208DC" w14:paraId="45218117" w14:textId="77777777" w:rsidTr="00A96D39">
        <w:trPr>
          <w:trHeight w:val="300"/>
        </w:trPr>
        <w:tc>
          <w:tcPr>
            <w:tcW w:w="3676" w:type="dxa"/>
            <w:tcBorders>
              <w:top w:val="nil"/>
              <w:left w:val="single" w:sz="8" w:space="0" w:color="auto"/>
              <w:bottom w:val="single" w:sz="4" w:space="0" w:color="auto"/>
              <w:right w:val="single" w:sz="4" w:space="0" w:color="auto"/>
            </w:tcBorders>
            <w:shd w:val="clear" w:color="auto" w:fill="auto"/>
            <w:noWrap/>
            <w:vAlign w:val="bottom"/>
            <w:hideMark/>
          </w:tcPr>
          <w:p w14:paraId="5192BF4F"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18. Pjesa e punësimit (Bujqësia, Pylltaria dhe Peshkimi)</w:t>
            </w:r>
          </w:p>
        </w:tc>
        <w:tc>
          <w:tcPr>
            <w:tcW w:w="1134" w:type="dxa"/>
            <w:tcBorders>
              <w:top w:val="nil"/>
              <w:left w:val="nil"/>
              <w:bottom w:val="single" w:sz="4" w:space="0" w:color="auto"/>
              <w:right w:val="single" w:sz="4" w:space="0" w:color="auto"/>
            </w:tcBorders>
            <w:shd w:val="clear" w:color="auto" w:fill="auto"/>
            <w:noWrap/>
            <w:vAlign w:val="bottom"/>
            <w:hideMark/>
          </w:tcPr>
          <w:p w14:paraId="05C20D6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w:t>
            </w:r>
            <w:r w:rsidRPr="005208DC">
              <w:rPr>
                <w:rStyle w:val="FootnoteReference"/>
                <w:rFonts w:asciiTheme="majorBidi" w:eastAsia="Times New Roman" w:hAnsiTheme="majorBidi" w:cstheme="majorBidi"/>
                <w:color w:val="0D0D0D" w:themeColor="text1" w:themeTint="F2"/>
                <w:sz w:val="22"/>
                <w:szCs w:val="22"/>
                <w:lang w:val="sq-AL" w:eastAsia="sq-AL" w:bidi="he-IL"/>
              </w:rPr>
              <w:footnoteReference w:id="22"/>
            </w:r>
          </w:p>
        </w:tc>
        <w:tc>
          <w:tcPr>
            <w:tcW w:w="963" w:type="dxa"/>
            <w:tcBorders>
              <w:top w:val="nil"/>
              <w:left w:val="nil"/>
              <w:bottom w:val="single" w:sz="4" w:space="0" w:color="auto"/>
              <w:right w:val="single" w:sz="4" w:space="0" w:color="auto"/>
            </w:tcBorders>
            <w:shd w:val="clear" w:color="auto" w:fill="auto"/>
            <w:noWrap/>
            <w:vAlign w:val="center"/>
            <w:hideMark/>
          </w:tcPr>
          <w:p w14:paraId="0088B16A"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38.2</w:t>
            </w:r>
          </w:p>
        </w:tc>
        <w:tc>
          <w:tcPr>
            <w:tcW w:w="964" w:type="dxa"/>
            <w:tcBorders>
              <w:top w:val="nil"/>
              <w:left w:val="nil"/>
              <w:bottom w:val="single" w:sz="4" w:space="0" w:color="auto"/>
              <w:right w:val="single" w:sz="4" w:space="0" w:color="auto"/>
            </w:tcBorders>
            <w:shd w:val="clear" w:color="auto" w:fill="auto"/>
            <w:noWrap/>
            <w:vAlign w:val="center"/>
            <w:hideMark/>
          </w:tcPr>
          <w:p w14:paraId="170ADB32"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37.4</w:t>
            </w:r>
          </w:p>
        </w:tc>
        <w:tc>
          <w:tcPr>
            <w:tcW w:w="964" w:type="dxa"/>
            <w:tcBorders>
              <w:top w:val="nil"/>
              <w:left w:val="nil"/>
              <w:bottom w:val="single" w:sz="4" w:space="0" w:color="auto"/>
              <w:right w:val="single" w:sz="4" w:space="0" w:color="auto"/>
            </w:tcBorders>
            <w:shd w:val="clear" w:color="auto" w:fill="auto"/>
            <w:noWrap/>
            <w:vAlign w:val="center"/>
            <w:hideMark/>
          </w:tcPr>
          <w:p w14:paraId="1687BCAC"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36.4</w:t>
            </w:r>
          </w:p>
        </w:tc>
        <w:tc>
          <w:tcPr>
            <w:tcW w:w="964" w:type="dxa"/>
            <w:tcBorders>
              <w:top w:val="nil"/>
              <w:left w:val="nil"/>
              <w:bottom w:val="single" w:sz="4" w:space="0" w:color="auto"/>
              <w:right w:val="single" w:sz="4" w:space="0" w:color="auto"/>
            </w:tcBorders>
            <w:shd w:val="clear" w:color="auto" w:fill="auto"/>
            <w:noWrap/>
            <w:vAlign w:val="center"/>
            <w:hideMark/>
          </w:tcPr>
          <w:p w14:paraId="705DD79A"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36.1</w:t>
            </w:r>
          </w:p>
        </w:tc>
        <w:tc>
          <w:tcPr>
            <w:tcW w:w="964" w:type="dxa"/>
            <w:tcBorders>
              <w:top w:val="nil"/>
              <w:left w:val="nil"/>
              <w:bottom w:val="single" w:sz="4" w:space="0" w:color="auto"/>
              <w:right w:val="single" w:sz="8" w:space="0" w:color="auto"/>
            </w:tcBorders>
            <w:shd w:val="clear" w:color="auto" w:fill="auto"/>
            <w:noWrap/>
            <w:vAlign w:val="center"/>
            <w:hideMark/>
          </w:tcPr>
          <w:p w14:paraId="5B253195"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33.9</w:t>
            </w:r>
          </w:p>
        </w:tc>
        <w:tc>
          <w:tcPr>
            <w:tcW w:w="964" w:type="dxa"/>
            <w:tcBorders>
              <w:top w:val="nil"/>
              <w:left w:val="nil"/>
              <w:bottom w:val="single" w:sz="4" w:space="0" w:color="auto"/>
              <w:right w:val="single" w:sz="8" w:space="0" w:color="auto"/>
            </w:tcBorders>
            <w:vAlign w:val="center"/>
          </w:tcPr>
          <w:p w14:paraId="3CEC0250"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33.6</w:t>
            </w:r>
          </w:p>
        </w:tc>
      </w:tr>
      <w:tr w:rsidR="005208DC" w:rsidRPr="005208DC" w14:paraId="021B8918" w14:textId="77777777" w:rsidTr="00A96D39">
        <w:trPr>
          <w:trHeight w:val="315"/>
        </w:trPr>
        <w:tc>
          <w:tcPr>
            <w:tcW w:w="3676" w:type="dxa"/>
            <w:tcBorders>
              <w:top w:val="nil"/>
              <w:left w:val="single" w:sz="8" w:space="0" w:color="auto"/>
              <w:bottom w:val="nil"/>
              <w:right w:val="single" w:sz="4" w:space="0" w:color="auto"/>
            </w:tcBorders>
            <w:shd w:val="clear" w:color="auto" w:fill="auto"/>
            <w:noWrap/>
            <w:vAlign w:val="bottom"/>
            <w:hideMark/>
          </w:tcPr>
          <w:p w14:paraId="31623AE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19. Sipërfaqja bujqësore e shfrytëzuar (% e sipërfaqes totale të tokës)</w:t>
            </w:r>
            <w:r w:rsidRPr="005208DC">
              <w:rPr>
                <w:rStyle w:val="FootnoteReference"/>
                <w:rFonts w:asciiTheme="majorBidi" w:eastAsia="Times New Roman" w:hAnsiTheme="majorBidi" w:cstheme="majorBidi"/>
                <w:color w:val="0D0D0D" w:themeColor="text1" w:themeTint="F2"/>
                <w:sz w:val="22"/>
                <w:szCs w:val="22"/>
                <w:lang w:val="sq-AL" w:eastAsia="sq-AL" w:bidi="he-IL"/>
              </w:rPr>
              <w:footnoteReference w:id="23"/>
            </w:r>
          </w:p>
        </w:tc>
        <w:tc>
          <w:tcPr>
            <w:tcW w:w="1134" w:type="dxa"/>
            <w:tcBorders>
              <w:top w:val="nil"/>
              <w:left w:val="nil"/>
              <w:bottom w:val="nil"/>
              <w:right w:val="single" w:sz="4" w:space="0" w:color="auto"/>
            </w:tcBorders>
            <w:shd w:val="clear" w:color="auto" w:fill="auto"/>
            <w:noWrap/>
            <w:vAlign w:val="bottom"/>
            <w:hideMark/>
          </w:tcPr>
          <w:p w14:paraId="2079965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3" w:type="dxa"/>
            <w:tcBorders>
              <w:top w:val="nil"/>
              <w:left w:val="nil"/>
              <w:bottom w:val="nil"/>
              <w:right w:val="single" w:sz="4" w:space="0" w:color="auto"/>
            </w:tcBorders>
            <w:shd w:val="clear" w:color="auto" w:fill="auto"/>
            <w:noWrap/>
            <w:vAlign w:val="bottom"/>
          </w:tcPr>
          <w:p w14:paraId="73886D53"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964" w:type="dxa"/>
            <w:tcBorders>
              <w:top w:val="nil"/>
              <w:left w:val="nil"/>
              <w:bottom w:val="nil"/>
              <w:right w:val="single" w:sz="4" w:space="0" w:color="auto"/>
            </w:tcBorders>
            <w:shd w:val="clear" w:color="auto" w:fill="auto"/>
            <w:noWrap/>
            <w:vAlign w:val="bottom"/>
          </w:tcPr>
          <w:p w14:paraId="53D7096E"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964" w:type="dxa"/>
            <w:tcBorders>
              <w:top w:val="nil"/>
              <w:left w:val="nil"/>
              <w:bottom w:val="nil"/>
              <w:right w:val="single" w:sz="4" w:space="0" w:color="auto"/>
            </w:tcBorders>
            <w:shd w:val="clear" w:color="auto" w:fill="auto"/>
            <w:noWrap/>
            <w:vAlign w:val="bottom"/>
          </w:tcPr>
          <w:p w14:paraId="7B919999"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964" w:type="dxa"/>
            <w:tcBorders>
              <w:top w:val="nil"/>
              <w:left w:val="nil"/>
              <w:bottom w:val="nil"/>
              <w:right w:val="single" w:sz="4" w:space="0" w:color="auto"/>
            </w:tcBorders>
            <w:shd w:val="clear" w:color="auto" w:fill="auto"/>
            <w:noWrap/>
            <w:vAlign w:val="bottom"/>
          </w:tcPr>
          <w:p w14:paraId="1BBE7E37"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964" w:type="dxa"/>
            <w:tcBorders>
              <w:top w:val="nil"/>
              <w:left w:val="nil"/>
              <w:bottom w:val="nil"/>
              <w:right w:val="single" w:sz="8" w:space="0" w:color="auto"/>
            </w:tcBorders>
            <w:shd w:val="clear" w:color="auto" w:fill="auto"/>
            <w:noWrap/>
            <w:vAlign w:val="bottom"/>
          </w:tcPr>
          <w:p w14:paraId="75FCD2BA"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c>
          <w:tcPr>
            <w:tcW w:w="964" w:type="dxa"/>
            <w:tcBorders>
              <w:top w:val="nil"/>
              <w:left w:val="nil"/>
              <w:bottom w:val="nil"/>
              <w:right w:val="single" w:sz="8" w:space="0" w:color="auto"/>
            </w:tcBorders>
          </w:tcPr>
          <w:p w14:paraId="7F2D2619"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0BD81631" w14:textId="77777777" w:rsidTr="00A96D39">
        <w:trPr>
          <w:trHeight w:val="315"/>
        </w:trPr>
        <w:tc>
          <w:tcPr>
            <w:tcW w:w="10593"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5670281" w14:textId="77777777" w:rsidR="002D3C56" w:rsidRPr="005208DC" w:rsidRDefault="002D3C56" w:rsidP="00A96D39">
            <w:pPr>
              <w:jc w:val="center"/>
              <w:rPr>
                <w:rFonts w:asciiTheme="majorBidi" w:eastAsia="Times New Roman" w:hAnsiTheme="majorBidi" w:cstheme="majorBidi"/>
                <w:b/>
                <w:bCs/>
                <w:color w:val="0D0D0D" w:themeColor="text1" w:themeTint="F2"/>
                <w:sz w:val="22"/>
                <w:szCs w:val="22"/>
                <w:lang w:val="sq-AL" w:eastAsia="sq-AL" w:bidi="he-IL"/>
              </w:rPr>
            </w:pPr>
            <w:r w:rsidRPr="005208DC">
              <w:rPr>
                <w:rFonts w:asciiTheme="majorBidi" w:eastAsia="Times New Roman" w:hAnsiTheme="majorBidi" w:cstheme="majorBidi"/>
                <w:b/>
                <w:bCs/>
                <w:color w:val="0D0D0D" w:themeColor="text1" w:themeTint="F2"/>
                <w:sz w:val="22"/>
                <w:szCs w:val="22"/>
                <w:lang w:val="sq-AL" w:eastAsia="sq-AL" w:bidi="he-IL"/>
              </w:rPr>
              <w:t>Industria (përjashtuar ndërtimi)</w:t>
            </w:r>
          </w:p>
        </w:tc>
      </w:tr>
      <w:tr w:rsidR="005208DC" w:rsidRPr="005208DC" w14:paraId="26A1D19D" w14:textId="77777777" w:rsidTr="00A96D39">
        <w:trPr>
          <w:trHeight w:val="300"/>
        </w:trPr>
        <w:tc>
          <w:tcPr>
            <w:tcW w:w="3676" w:type="dxa"/>
            <w:tcBorders>
              <w:top w:val="nil"/>
              <w:left w:val="single" w:sz="8" w:space="0" w:color="auto"/>
              <w:bottom w:val="single" w:sz="4" w:space="0" w:color="auto"/>
              <w:right w:val="single" w:sz="4" w:space="0" w:color="auto"/>
            </w:tcBorders>
            <w:shd w:val="clear" w:color="auto" w:fill="auto"/>
            <w:noWrap/>
            <w:vAlign w:val="bottom"/>
            <w:hideMark/>
          </w:tcPr>
          <w:p w14:paraId="7BD7FBA3"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20. Pjesa e vlerës së shtuar bruto</w:t>
            </w:r>
          </w:p>
        </w:tc>
        <w:tc>
          <w:tcPr>
            <w:tcW w:w="1134" w:type="dxa"/>
            <w:tcBorders>
              <w:top w:val="nil"/>
              <w:left w:val="nil"/>
              <w:bottom w:val="single" w:sz="4" w:space="0" w:color="auto"/>
              <w:right w:val="single" w:sz="4" w:space="0" w:color="auto"/>
            </w:tcBorders>
            <w:shd w:val="clear" w:color="auto" w:fill="auto"/>
            <w:noWrap/>
            <w:vAlign w:val="bottom"/>
            <w:hideMark/>
          </w:tcPr>
          <w:p w14:paraId="27DD920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w:t>
            </w:r>
            <w:r w:rsidRPr="005208DC">
              <w:rPr>
                <w:rStyle w:val="FootnoteReference"/>
                <w:rFonts w:asciiTheme="majorBidi" w:eastAsia="Times New Roman" w:hAnsiTheme="majorBidi" w:cstheme="majorBidi"/>
                <w:color w:val="0D0D0D" w:themeColor="text1" w:themeTint="F2"/>
                <w:sz w:val="22"/>
                <w:szCs w:val="22"/>
                <w:lang w:val="sq-AL" w:eastAsia="sq-AL" w:bidi="he-IL"/>
              </w:rPr>
              <w:footnoteReference w:id="24"/>
            </w:r>
          </w:p>
        </w:tc>
        <w:tc>
          <w:tcPr>
            <w:tcW w:w="963" w:type="dxa"/>
            <w:tcBorders>
              <w:top w:val="nil"/>
              <w:left w:val="nil"/>
              <w:bottom w:val="single" w:sz="4" w:space="0" w:color="auto"/>
              <w:right w:val="single" w:sz="4" w:space="0" w:color="auto"/>
            </w:tcBorders>
            <w:shd w:val="clear" w:color="auto" w:fill="auto"/>
            <w:noWrap/>
            <w:vAlign w:val="center"/>
            <w:hideMark/>
          </w:tcPr>
          <w:p w14:paraId="7A36F88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12.8</w:t>
            </w:r>
          </w:p>
        </w:tc>
        <w:tc>
          <w:tcPr>
            <w:tcW w:w="964" w:type="dxa"/>
            <w:tcBorders>
              <w:top w:val="nil"/>
              <w:left w:val="nil"/>
              <w:bottom w:val="single" w:sz="4" w:space="0" w:color="auto"/>
              <w:right w:val="single" w:sz="4" w:space="0" w:color="auto"/>
            </w:tcBorders>
            <w:shd w:val="clear" w:color="auto" w:fill="auto"/>
            <w:noWrap/>
            <w:vAlign w:val="center"/>
            <w:hideMark/>
          </w:tcPr>
          <w:p w14:paraId="29E8DD1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14.1</w:t>
            </w:r>
          </w:p>
        </w:tc>
        <w:tc>
          <w:tcPr>
            <w:tcW w:w="964" w:type="dxa"/>
            <w:tcBorders>
              <w:top w:val="nil"/>
              <w:left w:val="nil"/>
              <w:bottom w:val="single" w:sz="4" w:space="0" w:color="auto"/>
              <w:right w:val="single" w:sz="4" w:space="0" w:color="auto"/>
            </w:tcBorders>
            <w:shd w:val="clear" w:color="auto" w:fill="auto"/>
            <w:noWrap/>
            <w:vAlign w:val="center"/>
            <w:hideMark/>
          </w:tcPr>
          <w:p w14:paraId="657655A7"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13.8</w:t>
            </w:r>
          </w:p>
        </w:tc>
        <w:tc>
          <w:tcPr>
            <w:tcW w:w="964" w:type="dxa"/>
            <w:tcBorders>
              <w:top w:val="nil"/>
              <w:left w:val="nil"/>
              <w:bottom w:val="single" w:sz="4" w:space="0" w:color="auto"/>
              <w:right w:val="single" w:sz="4" w:space="0" w:color="auto"/>
            </w:tcBorders>
            <w:shd w:val="clear" w:color="auto" w:fill="auto"/>
            <w:noWrap/>
            <w:vAlign w:val="center"/>
            <w:hideMark/>
          </w:tcPr>
          <w:p w14:paraId="07C0DE82"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12.5</w:t>
            </w:r>
          </w:p>
        </w:tc>
        <w:tc>
          <w:tcPr>
            <w:tcW w:w="964" w:type="dxa"/>
            <w:tcBorders>
              <w:top w:val="nil"/>
              <w:left w:val="nil"/>
              <w:bottom w:val="single" w:sz="4" w:space="0" w:color="auto"/>
              <w:right w:val="single" w:sz="8" w:space="0" w:color="auto"/>
            </w:tcBorders>
            <w:shd w:val="clear" w:color="auto" w:fill="auto"/>
            <w:noWrap/>
            <w:vAlign w:val="center"/>
            <w:hideMark/>
          </w:tcPr>
          <w:p w14:paraId="0D24D7DA"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14.7</w:t>
            </w:r>
          </w:p>
        </w:tc>
        <w:tc>
          <w:tcPr>
            <w:tcW w:w="964" w:type="dxa"/>
            <w:tcBorders>
              <w:top w:val="nil"/>
              <w:left w:val="nil"/>
              <w:bottom w:val="single" w:sz="4" w:space="0" w:color="auto"/>
              <w:right w:val="single" w:sz="8" w:space="0" w:color="auto"/>
            </w:tcBorders>
            <w:vAlign w:val="center"/>
          </w:tcPr>
          <w:p w14:paraId="597989A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13.8</w:t>
            </w:r>
          </w:p>
        </w:tc>
      </w:tr>
      <w:tr w:rsidR="005208DC" w:rsidRPr="005208DC" w14:paraId="2DCD84B1" w14:textId="77777777" w:rsidTr="00A96D39">
        <w:trPr>
          <w:trHeight w:val="315"/>
        </w:trPr>
        <w:tc>
          <w:tcPr>
            <w:tcW w:w="3676" w:type="dxa"/>
            <w:tcBorders>
              <w:top w:val="nil"/>
              <w:left w:val="single" w:sz="8" w:space="0" w:color="auto"/>
              <w:bottom w:val="nil"/>
              <w:right w:val="single" w:sz="4" w:space="0" w:color="auto"/>
            </w:tcBorders>
            <w:shd w:val="clear" w:color="auto" w:fill="auto"/>
            <w:noWrap/>
            <w:vAlign w:val="bottom"/>
            <w:hideMark/>
          </w:tcPr>
          <w:p w14:paraId="28F32BA2"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21. Kontributi në punësim (% e punësimit total)</w:t>
            </w:r>
          </w:p>
        </w:tc>
        <w:tc>
          <w:tcPr>
            <w:tcW w:w="1134" w:type="dxa"/>
            <w:tcBorders>
              <w:top w:val="nil"/>
              <w:left w:val="nil"/>
              <w:bottom w:val="nil"/>
              <w:right w:val="single" w:sz="4" w:space="0" w:color="auto"/>
            </w:tcBorders>
            <w:shd w:val="clear" w:color="auto" w:fill="auto"/>
            <w:noWrap/>
            <w:vAlign w:val="bottom"/>
            <w:hideMark/>
          </w:tcPr>
          <w:p w14:paraId="13DDB727"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w:t>
            </w:r>
            <w:r w:rsidRPr="005208DC">
              <w:rPr>
                <w:rStyle w:val="FootnoteReference"/>
                <w:rFonts w:asciiTheme="majorBidi" w:eastAsia="Times New Roman" w:hAnsiTheme="majorBidi" w:cstheme="majorBidi"/>
                <w:color w:val="0D0D0D" w:themeColor="text1" w:themeTint="F2"/>
                <w:sz w:val="22"/>
                <w:szCs w:val="22"/>
                <w:lang w:val="sq-AL" w:eastAsia="sq-AL" w:bidi="he-IL"/>
              </w:rPr>
              <w:footnoteReference w:id="25"/>
            </w:r>
          </w:p>
        </w:tc>
        <w:tc>
          <w:tcPr>
            <w:tcW w:w="963" w:type="dxa"/>
            <w:tcBorders>
              <w:top w:val="nil"/>
              <w:left w:val="nil"/>
              <w:bottom w:val="nil"/>
              <w:right w:val="single" w:sz="4" w:space="0" w:color="auto"/>
            </w:tcBorders>
            <w:shd w:val="clear" w:color="auto" w:fill="auto"/>
            <w:noWrap/>
            <w:vAlign w:val="center"/>
            <w:hideMark/>
          </w:tcPr>
          <w:p w14:paraId="3BC809B7"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12.5</w:t>
            </w:r>
          </w:p>
        </w:tc>
        <w:tc>
          <w:tcPr>
            <w:tcW w:w="964" w:type="dxa"/>
            <w:tcBorders>
              <w:top w:val="nil"/>
              <w:left w:val="nil"/>
              <w:bottom w:val="nil"/>
              <w:right w:val="single" w:sz="4" w:space="0" w:color="auto"/>
            </w:tcBorders>
            <w:shd w:val="clear" w:color="auto" w:fill="auto"/>
            <w:noWrap/>
            <w:vAlign w:val="center"/>
            <w:hideMark/>
          </w:tcPr>
          <w:p w14:paraId="0429945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12.7</w:t>
            </w:r>
          </w:p>
        </w:tc>
        <w:tc>
          <w:tcPr>
            <w:tcW w:w="964" w:type="dxa"/>
            <w:tcBorders>
              <w:top w:val="nil"/>
              <w:left w:val="nil"/>
              <w:bottom w:val="nil"/>
              <w:right w:val="single" w:sz="4" w:space="0" w:color="auto"/>
            </w:tcBorders>
            <w:shd w:val="clear" w:color="auto" w:fill="auto"/>
            <w:noWrap/>
            <w:vAlign w:val="center"/>
            <w:hideMark/>
          </w:tcPr>
          <w:p w14:paraId="4A2B8AF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13.1</w:t>
            </w:r>
          </w:p>
        </w:tc>
        <w:tc>
          <w:tcPr>
            <w:tcW w:w="964" w:type="dxa"/>
            <w:tcBorders>
              <w:top w:val="nil"/>
              <w:left w:val="nil"/>
              <w:bottom w:val="nil"/>
              <w:right w:val="single" w:sz="4" w:space="0" w:color="auto"/>
            </w:tcBorders>
            <w:shd w:val="clear" w:color="auto" w:fill="auto"/>
            <w:noWrap/>
            <w:vAlign w:val="center"/>
            <w:hideMark/>
          </w:tcPr>
          <w:p w14:paraId="037E1D2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13.5</w:t>
            </w:r>
          </w:p>
        </w:tc>
        <w:tc>
          <w:tcPr>
            <w:tcW w:w="964" w:type="dxa"/>
            <w:tcBorders>
              <w:top w:val="nil"/>
              <w:left w:val="nil"/>
              <w:bottom w:val="nil"/>
              <w:right w:val="single" w:sz="8" w:space="0" w:color="auto"/>
            </w:tcBorders>
            <w:shd w:val="clear" w:color="auto" w:fill="auto"/>
            <w:noWrap/>
            <w:vAlign w:val="center"/>
            <w:hideMark/>
          </w:tcPr>
          <w:p w14:paraId="18309C89"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13.3</w:t>
            </w:r>
          </w:p>
        </w:tc>
        <w:tc>
          <w:tcPr>
            <w:tcW w:w="964" w:type="dxa"/>
            <w:tcBorders>
              <w:top w:val="nil"/>
              <w:left w:val="nil"/>
              <w:bottom w:val="nil"/>
              <w:right w:val="single" w:sz="8" w:space="0" w:color="auto"/>
            </w:tcBorders>
            <w:vAlign w:val="center"/>
          </w:tcPr>
          <w:p w14:paraId="1BF1FEED"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13.4</w:t>
            </w:r>
          </w:p>
        </w:tc>
      </w:tr>
      <w:tr w:rsidR="005208DC" w:rsidRPr="005208DC" w14:paraId="7DAFF7E7" w14:textId="77777777" w:rsidTr="00A96D39">
        <w:trPr>
          <w:trHeight w:val="315"/>
        </w:trPr>
        <w:tc>
          <w:tcPr>
            <w:tcW w:w="10593"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06855CA" w14:textId="77777777" w:rsidR="002D3C56" w:rsidRPr="005208DC" w:rsidRDefault="002D3C56" w:rsidP="00A96D39">
            <w:pPr>
              <w:jc w:val="center"/>
              <w:rPr>
                <w:rFonts w:asciiTheme="majorBidi" w:eastAsia="Times New Roman" w:hAnsiTheme="majorBidi" w:cstheme="majorBidi"/>
                <w:b/>
                <w:bCs/>
                <w:color w:val="0D0D0D" w:themeColor="text1" w:themeTint="F2"/>
                <w:sz w:val="22"/>
                <w:szCs w:val="22"/>
                <w:lang w:val="sq-AL" w:eastAsia="sq-AL" w:bidi="he-IL"/>
              </w:rPr>
            </w:pPr>
            <w:r w:rsidRPr="005208DC">
              <w:rPr>
                <w:rFonts w:asciiTheme="majorBidi" w:eastAsia="Times New Roman" w:hAnsiTheme="majorBidi" w:cstheme="majorBidi"/>
                <w:b/>
                <w:bCs/>
                <w:color w:val="0D0D0D" w:themeColor="text1" w:themeTint="F2"/>
                <w:sz w:val="22"/>
                <w:szCs w:val="22"/>
                <w:lang w:val="sq-AL" w:eastAsia="sq-AL" w:bidi="he-IL"/>
              </w:rPr>
              <w:t>Shërbimet</w:t>
            </w:r>
          </w:p>
        </w:tc>
      </w:tr>
      <w:tr w:rsidR="005208DC" w:rsidRPr="005208DC" w14:paraId="3AF1DE16" w14:textId="77777777" w:rsidTr="00A96D39">
        <w:trPr>
          <w:trHeight w:val="300"/>
        </w:trPr>
        <w:tc>
          <w:tcPr>
            <w:tcW w:w="3676" w:type="dxa"/>
            <w:tcBorders>
              <w:top w:val="nil"/>
              <w:left w:val="single" w:sz="8" w:space="0" w:color="auto"/>
              <w:bottom w:val="single" w:sz="4" w:space="0" w:color="auto"/>
              <w:right w:val="single" w:sz="4" w:space="0" w:color="auto"/>
            </w:tcBorders>
            <w:shd w:val="clear" w:color="auto" w:fill="auto"/>
            <w:noWrap/>
            <w:vAlign w:val="bottom"/>
            <w:hideMark/>
          </w:tcPr>
          <w:p w14:paraId="62C64AB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22. Pjesa e vlerës së shtuar bruto</w:t>
            </w:r>
          </w:p>
        </w:tc>
        <w:tc>
          <w:tcPr>
            <w:tcW w:w="1134" w:type="dxa"/>
            <w:tcBorders>
              <w:top w:val="nil"/>
              <w:left w:val="nil"/>
              <w:bottom w:val="single" w:sz="4" w:space="0" w:color="auto"/>
              <w:right w:val="single" w:sz="4" w:space="0" w:color="auto"/>
            </w:tcBorders>
            <w:shd w:val="clear" w:color="auto" w:fill="auto"/>
            <w:noWrap/>
            <w:vAlign w:val="bottom"/>
            <w:hideMark/>
          </w:tcPr>
          <w:p w14:paraId="6C2DE4D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w:t>
            </w:r>
            <w:r w:rsidRPr="005208DC">
              <w:rPr>
                <w:rStyle w:val="FootnoteReference"/>
                <w:rFonts w:asciiTheme="majorBidi" w:eastAsia="Times New Roman" w:hAnsiTheme="majorBidi" w:cstheme="majorBidi"/>
                <w:color w:val="0D0D0D" w:themeColor="text1" w:themeTint="F2"/>
                <w:sz w:val="22"/>
                <w:szCs w:val="22"/>
                <w:lang w:val="sq-AL" w:eastAsia="sq-AL" w:bidi="he-IL"/>
              </w:rPr>
              <w:footnoteReference w:id="26"/>
            </w:r>
          </w:p>
        </w:tc>
        <w:tc>
          <w:tcPr>
            <w:tcW w:w="963" w:type="dxa"/>
            <w:tcBorders>
              <w:top w:val="nil"/>
              <w:left w:val="nil"/>
              <w:bottom w:val="single" w:sz="4" w:space="0" w:color="auto"/>
              <w:right w:val="single" w:sz="4" w:space="0" w:color="auto"/>
            </w:tcBorders>
            <w:shd w:val="clear" w:color="auto" w:fill="auto"/>
            <w:noWrap/>
            <w:vAlign w:val="center"/>
            <w:hideMark/>
          </w:tcPr>
          <w:p w14:paraId="37B0DE1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54.9</w:t>
            </w:r>
          </w:p>
        </w:tc>
        <w:tc>
          <w:tcPr>
            <w:tcW w:w="964" w:type="dxa"/>
            <w:tcBorders>
              <w:top w:val="nil"/>
              <w:left w:val="nil"/>
              <w:bottom w:val="single" w:sz="4" w:space="0" w:color="auto"/>
              <w:right w:val="single" w:sz="4" w:space="0" w:color="auto"/>
            </w:tcBorders>
            <w:shd w:val="clear" w:color="auto" w:fill="auto"/>
            <w:noWrap/>
            <w:vAlign w:val="center"/>
            <w:hideMark/>
          </w:tcPr>
          <w:p w14:paraId="1744745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54.6</w:t>
            </w:r>
          </w:p>
        </w:tc>
        <w:tc>
          <w:tcPr>
            <w:tcW w:w="964" w:type="dxa"/>
            <w:tcBorders>
              <w:top w:val="nil"/>
              <w:left w:val="nil"/>
              <w:bottom w:val="single" w:sz="4" w:space="0" w:color="auto"/>
              <w:right w:val="single" w:sz="4" w:space="0" w:color="auto"/>
            </w:tcBorders>
            <w:shd w:val="clear" w:color="auto" w:fill="auto"/>
            <w:noWrap/>
            <w:vAlign w:val="center"/>
            <w:hideMark/>
          </w:tcPr>
          <w:p w14:paraId="382F131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55.4</w:t>
            </w:r>
          </w:p>
        </w:tc>
        <w:tc>
          <w:tcPr>
            <w:tcW w:w="964" w:type="dxa"/>
            <w:tcBorders>
              <w:top w:val="nil"/>
              <w:left w:val="nil"/>
              <w:bottom w:val="single" w:sz="4" w:space="0" w:color="auto"/>
              <w:right w:val="single" w:sz="4" w:space="0" w:color="auto"/>
            </w:tcBorders>
            <w:shd w:val="clear" w:color="auto" w:fill="auto"/>
            <w:noWrap/>
            <w:vAlign w:val="center"/>
            <w:hideMark/>
          </w:tcPr>
          <w:p w14:paraId="00FCB7D2"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55.2</w:t>
            </w:r>
          </w:p>
        </w:tc>
        <w:tc>
          <w:tcPr>
            <w:tcW w:w="964" w:type="dxa"/>
            <w:tcBorders>
              <w:top w:val="nil"/>
              <w:left w:val="nil"/>
              <w:bottom w:val="single" w:sz="4" w:space="0" w:color="auto"/>
              <w:right w:val="single" w:sz="8" w:space="0" w:color="auto"/>
            </w:tcBorders>
            <w:shd w:val="clear" w:color="auto" w:fill="auto"/>
            <w:noWrap/>
            <w:vAlign w:val="center"/>
            <w:hideMark/>
          </w:tcPr>
          <w:p w14:paraId="7A24B1ED"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53.8</w:t>
            </w:r>
          </w:p>
        </w:tc>
        <w:tc>
          <w:tcPr>
            <w:tcW w:w="964" w:type="dxa"/>
            <w:tcBorders>
              <w:top w:val="nil"/>
              <w:left w:val="nil"/>
              <w:bottom w:val="single" w:sz="4" w:space="0" w:color="auto"/>
              <w:right w:val="single" w:sz="8" w:space="0" w:color="auto"/>
            </w:tcBorders>
            <w:vAlign w:val="center"/>
          </w:tcPr>
          <w:p w14:paraId="6CCACB9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49.1</w:t>
            </w:r>
          </w:p>
        </w:tc>
      </w:tr>
      <w:tr w:rsidR="005208DC" w:rsidRPr="005208DC" w14:paraId="7E224DA6" w14:textId="77777777" w:rsidTr="00A96D39">
        <w:trPr>
          <w:trHeight w:val="315"/>
        </w:trPr>
        <w:tc>
          <w:tcPr>
            <w:tcW w:w="3676" w:type="dxa"/>
            <w:tcBorders>
              <w:top w:val="nil"/>
              <w:left w:val="single" w:sz="8" w:space="0" w:color="auto"/>
              <w:bottom w:val="nil"/>
              <w:right w:val="single" w:sz="4" w:space="0" w:color="auto"/>
            </w:tcBorders>
            <w:shd w:val="clear" w:color="auto" w:fill="auto"/>
            <w:noWrap/>
            <w:vAlign w:val="bottom"/>
            <w:hideMark/>
          </w:tcPr>
          <w:p w14:paraId="6BE1D7A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23. Kontributi në punësim (% e punësimit Totali)</w:t>
            </w:r>
          </w:p>
        </w:tc>
        <w:tc>
          <w:tcPr>
            <w:tcW w:w="1134" w:type="dxa"/>
            <w:tcBorders>
              <w:top w:val="nil"/>
              <w:left w:val="nil"/>
              <w:bottom w:val="nil"/>
              <w:right w:val="single" w:sz="4" w:space="0" w:color="auto"/>
            </w:tcBorders>
            <w:shd w:val="clear" w:color="auto" w:fill="auto"/>
            <w:noWrap/>
            <w:vAlign w:val="bottom"/>
            <w:hideMark/>
          </w:tcPr>
          <w:p w14:paraId="521BA79E"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w:t>
            </w:r>
            <w:r w:rsidRPr="005208DC">
              <w:rPr>
                <w:rStyle w:val="FootnoteReference"/>
                <w:rFonts w:asciiTheme="majorBidi" w:eastAsia="Times New Roman" w:hAnsiTheme="majorBidi" w:cstheme="majorBidi"/>
                <w:color w:val="0D0D0D" w:themeColor="text1" w:themeTint="F2"/>
                <w:sz w:val="22"/>
                <w:szCs w:val="22"/>
                <w:lang w:val="sq-AL" w:eastAsia="sq-AL" w:bidi="he-IL"/>
              </w:rPr>
              <w:footnoteReference w:id="27"/>
            </w:r>
          </w:p>
        </w:tc>
        <w:tc>
          <w:tcPr>
            <w:tcW w:w="963" w:type="dxa"/>
            <w:tcBorders>
              <w:top w:val="nil"/>
              <w:left w:val="nil"/>
              <w:bottom w:val="nil"/>
              <w:right w:val="single" w:sz="4" w:space="0" w:color="auto"/>
            </w:tcBorders>
            <w:shd w:val="clear" w:color="auto" w:fill="auto"/>
            <w:noWrap/>
            <w:vAlign w:val="center"/>
            <w:hideMark/>
          </w:tcPr>
          <w:p w14:paraId="09FA32D7"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42.4</w:t>
            </w:r>
          </w:p>
        </w:tc>
        <w:tc>
          <w:tcPr>
            <w:tcW w:w="964" w:type="dxa"/>
            <w:tcBorders>
              <w:top w:val="nil"/>
              <w:left w:val="nil"/>
              <w:bottom w:val="nil"/>
              <w:right w:val="single" w:sz="4" w:space="0" w:color="auto"/>
            </w:tcBorders>
            <w:shd w:val="clear" w:color="auto" w:fill="auto"/>
            <w:noWrap/>
            <w:vAlign w:val="center"/>
            <w:hideMark/>
          </w:tcPr>
          <w:p w14:paraId="5E7D1ECC"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42.9</w:t>
            </w:r>
          </w:p>
        </w:tc>
        <w:tc>
          <w:tcPr>
            <w:tcW w:w="964" w:type="dxa"/>
            <w:tcBorders>
              <w:top w:val="nil"/>
              <w:left w:val="nil"/>
              <w:bottom w:val="nil"/>
              <w:right w:val="single" w:sz="4" w:space="0" w:color="auto"/>
            </w:tcBorders>
            <w:shd w:val="clear" w:color="auto" w:fill="auto"/>
            <w:noWrap/>
            <w:vAlign w:val="center"/>
            <w:hideMark/>
          </w:tcPr>
          <w:p w14:paraId="011356E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43.5</w:t>
            </w:r>
          </w:p>
        </w:tc>
        <w:tc>
          <w:tcPr>
            <w:tcW w:w="964" w:type="dxa"/>
            <w:tcBorders>
              <w:top w:val="nil"/>
              <w:left w:val="nil"/>
              <w:bottom w:val="nil"/>
              <w:right w:val="single" w:sz="4" w:space="0" w:color="auto"/>
            </w:tcBorders>
            <w:shd w:val="clear" w:color="auto" w:fill="auto"/>
            <w:noWrap/>
            <w:vAlign w:val="center"/>
            <w:hideMark/>
          </w:tcPr>
          <w:p w14:paraId="5DF9606A"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43.4</w:t>
            </w:r>
          </w:p>
        </w:tc>
        <w:tc>
          <w:tcPr>
            <w:tcW w:w="964" w:type="dxa"/>
            <w:tcBorders>
              <w:top w:val="nil"/>
              <w:left w:val="nil"/>
              <w:bottom w:val="nil"/>
              <w:right w:val="single" w:sz="8" w:space="0" w:color="auto"/>
            </w:tcBorders>
            <w:shd w:val="clear" w:color="auto" w:fill="auto"/>
            <w:noWrap/>
            <w:vAlign w:val="center"/>
            <w:hideMark/>
          </w:tcPr>
          <w:p w14:paraId="42F4987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44.6</w:t>
            </w:r>
          </w:p>
        </w:tc>
        <w:tc>
          <w:tcPr>
            <w:tcW w:w="964" w:type="dxa"/>
            <w:tcBorders>
              <w:top w:val="nil"/>
              <w:left w:val="nil"/>
              <w:bottom w:val="nil"/>
              <w:right w:val="single" w:sz="8" w:space="0" w:color="auto"/>
            </w:tcBorders>
            <w:vAlign w:val="center"/>
          </w:tcPr>
          <w:p w14:paraId="3C896632"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44.6</w:t>
            </w:r>
          </w:p>
        </w:tc>
      </w:tr>
      <w:tr w:rsidR="005208DC" w:rsidRPr="005208DC" w14:paraId="647FF244" w14:textId="77777777" w:rsidTr="00A96D39">
        <w:trPr>
          <w:trHeight w:val="315"/>
        </w:trPr>
        <w:tc>
          <w:tcPr>
            <w:tcW w:w="10593"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509D012" w14:textId="77777777" w:rsidR="002D3C56" w:rsidRPr="005208DC" w:rsidRDefault="002D3C56" w:rsidP="00A96D39">
            <w:pPr>
              <w:jc w:val="center"/>
              <w:rPr>
                <w:rFonts w:asciiTheme="majorBidi" w:eastAsia="Times New Roman" w:hAnsiTheme="majorBidi" w:cstheme="majorBidi"/>
                <w:b/>
                <w:bCs/>
                <w:color w:val="0D0D0D" w:themeColor="text1" w:themeTint="F2"/>
                <w:sz w:val="22"/>
                <w:szCs w:val="22"/>
                <w:lang w:val="sq-AL" w:eastAsia="sq-AL" w:bidi="he-IL"/>
              </w:rPr>
            </w:pPr>
            <w:r w:rsidRPr="005208DC">
              <w:rPr>
                <w:rFonts w:asciiTheme="majorBidi" w:eastAsia="Times New Roman" w:hAnsiTheme="majorBidi" w:cstheme="majorBidi"/>
                <w:b/>
                <w:bCs/>
                <w:color w:val="0D0D0D" w:themeColor="text1" w:themeTint="F2"/>
                <w:sz w:val="22"/>
                <w:szCs w:val="22"/>
                <w:lang w:val="sq-AL" w:eastAsia="sq-AL" w:bidi="he-IL"/>
              </w:rPr>
              <w:t>Mjedisi i biznesit</w:t>
            </w:r>
          </w:p>
        </w:tc>
      </w:tr>
      <w:tr w:rsidR="005208DC" w:rsidRPr="005208DC" w14:paraId="21304EC0" w14:textId="77777777" w:rsidTr="00A96D39">
        <w:trPr>
          <w:trHeight w:val="300"/>
        </w:trPr>
        <w:tc>
          <w:tcPr>
            <w:tcW w:w="3676" w:type="dxa"/>
            <w:tcBorders>
              <w:top w:val="nil"/>
              <w:left w:val="single" w:sz="8" w:space="0" w:color="auto"/>
              <w:bottom w:val="single" w:sz="4" w:space="0" w:color="auto"/>
              <w:right w:val="single" w:sz="4" w:space="0" w:color="auto"/>
            </w:tcBorders>
            <w:shd w:val="clear" w:color="auto" w:fill="auto"/>
            <w:noWrap/>
            <w:vAlign w:val="bottom"/>
            <w:hideMark/>
          </w:tcPr>
          <w:p w14:paraId="1B7E0F98"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24. Renditja në Indeksin e Konkurrueshmërisë Globale (Burimi: Forumi Ekonomik Botëror)</w:t>
            </w:r>
          </w:p>
        </w:tc>
        <w:tc>
          <w:tcPr>
            <w:tcW w:w="1134" w:type="dxa"/>
            <w:tcBorders>
              <w:top w:val="nil"/>
              <w:left w:val="nil"/>
              <w:bottom w:val="single" w:sz="4" w:space="0" w:color="auto"/>
              <w:right w:val="single" w:sz="4" w:space="0" w:color="auto"/>
            </w:tcBorders>
            <w:shd w:val="clear" w:color="auto" w:fill="auto"/>
            <w:noWrap/>
            <w:vAlign w:val="bottom"/>
            <w:hideMark/>
          </w:tcPr>
          <w:p w14:paraId="4E28FB7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3" w:type="dxa"/>
            <w:tcBorders>
              <w:top w:val="nil"/>
              <w:left w:val="nil"/>
              <w:bottom w:val="single" w:sz="4" w:space="0" w:color="auto"/>
              <w:right w:val="single" w:sz="4" w:space="0" w:color="auto"/>
            </w:tcBorders>
            <w:shd w:val="clear" w:color="auto" w:fill="auto"/>
            <w:noWrap/>
            <w:vAlign w:val="bottom"/>
            <w:hideMark/>
          </w:tcPr>
          <w:p w14:paraId="15447F8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4" w:space="0" w:color="auto"/>
            </w:tcBorders>
            <w:shd w:val="clear" w:color="auto" w:fill="auto"/>
            <w:noWrap/>
            <w:vAlign w:val="bottom"/>
            <w:hideMark/>
          </w:tcPr>
          <w:p w14:paraId="7FDDB383"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4" w:space="0" w:color="auto"/>
            </w:tcBorders>
            <w:shd w:val="clear" w:color="auto" w:fill="auto"/>
            <w:noWrap/>
            <w:vAlign w:val="bottom"/>
            <w:hideMark/>
          </w:tcPr>
          <w:p w14:paraId="773C9562"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4" w:space="0" w:color="auto"/>
            </w:tcBorders>
            <w:shd w:val="clear" w:color="auto" w:fill="auto"/>
            <w:noWrap/>
            <w:vAlign w:val="bottom"/>
            <w:hideMark/>
          </w:tcPr>
          <w:p w14:paraId="6A3BC6E9"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8" w:space="0" w:color="auto"/>
            </w:tcBorders>
            <w:shd w:val="clear" w:color="auto" w:fill="auto"/>
            <w:noWrap/>
            <w:vAlign w:val="bottom"/>
            <w:hideMark/>
          </w:tcPr>
          <w:p w14:paraId="124AD1A8"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8" w:space="0" w:color="auto"/>
            </w:tcBorders>
          </w:tcPr>
          <w:p w14:paraId="5B59DAE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5CE8A125" w14:textId="77777777" w:rsidTr="00A96D39">
        <w:trPr>
          <w:trHeight w:val="315"/>
        </w:trPr>
        <w:tc>
          <w:tcPr>
            <w:tcW w:w="3676" w:type="dxa"/>
            <w:tcBorders>
              <w:top w:val="nil"/>
              <w:left w:val="single" w:sz="8" w:space="0" w:color="auto"/>
              <w:bottom w:val="nil"/>
              <w:right w:val="single" w:sz="4" w:space="0" w:color="auto"/>
            </w:tcBorders>
            <w:shd w:val="clear" w:color="auto" w:fill="auto"/>
            <w:noWrap/>
            <w:vAlign w:val="bottom"/>
            <w:hideMark/>
          </w:tcPr>
          <w:p w14:paraId="5549EC5F"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25. Pjesa e vlerësuar e ekonomisë informale në PBB (si % e PBB-së) (Burimi: FMN)</w:t>
            </w:r>
          </w:p>
        </w:tc>
        <w:tc>
          <w:tcPr>
            <w:tcW w:w="1134" w:type="dxa"/>
            <w:tcBorders>
              <w:top w:val="nil"/>
              <w:left w:val="nil"/>
              <w:bottom w:val="nil"/>
              <w:right w:val="single" w:sz="4" w:space="0" w:color="auto"/>
            </w:tcBorders>
            <w:shd w:val="clear" w:color="auto" w:fill="auto"/>
            <w:noWrap/>
            <w:vAlign w:val="bottom"/>
            <w:hideMark/>
          </w:tcPr>
          <w:p w14:paraId="0FFDE370"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3" w:type="dxa"/>
            <w:tcBorders>
              <w:top w:val="nil"/>
              <w:left w:val="nil"/>
              <w:bottom w:val="nil"/>
              <w:right w:val="single" w:sz="4" w:space="0" w:color="auto"/>
            </w:tcBorders>
            <w:shd w:val="clear" w:color="auto" w:fill="auto"/>
            <w:noWrap/>
            <w:vAlign w:val="bottom"/>
            <w:hideMark/>
          </w:tcPr>
          <w:p w14:paraId="1A0AFAE2"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nil"/>
              <w:right w:val="single" w:sz="4" w:space="0" w:color="auto"/>
            </w:tcBorders>
            <w:shd w:val="clear" w:color="auto" w:fill="auto"/>
            <w:noWrap/>
            <w:vAlign w:val="bottom"/>
            <w:hideMark/>
          </w:tcPr>
          <w:p w14:paraId="3247769C"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nil"/>
              <w:right w:val="single" w:sz="4" w:space="0" w:color="auto"/>
            </w:tcBorders>
            <w:shd w:val="clear" w:color="auto" w:fill="auto"/>
            <w:noWrap/>
            <w:vAlign w:val="bottom"/>
            <w:hideMark/>
          </w:tcPr>
          <w:p w14:paraId="7A9E159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nil"/>
              <w:right w:val="single" w:sz="4" w:space="0" w:color="auto"/>
            </w:tcBorders>
            <w:shd w:val="clear" w:color="auto" w:fill="auto"/>
            <w:noWrap/>
            <w:vAlign w:val="bottom"/>
            <w:hideMark/>
          </w:tcPr>
          <w:p w14:paraId="1DAF104F"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nil"/>
              <w:right w:val="single" w:sz="8" w:space="0" w:color="auto"/>
            </w:tcBorders>
            <w:shd w:val="clear" w:color="auto" w:fill="auto"/>
            <w:noWrap/>
            <w:vAlign w:val="bottom"/>
            <w:hideMark/>
          </w:tcPr>
          <w:p w14:paraId="6011611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nil"/>
              <w:right w:val="single" w:sz="8" w:space="0" w:color="auto"/>
            </w:tcBorders>
          </w:tcPr>
          <w:p w14:paraId="15C5B620"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7FB46E61" w14:textId="77777777" w:rsidTr="00A96D39">
        <w:trPr>
          <w:trHeight w:val="315"/>
        </w:trPr>
        <w:tc>
          <w:tcPr>
            <w:tcW w:w="10593"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37AF922" w14:textId="77777777" w:rsidR="002D3C56" w:rsidRPr="005208DC" w:rsidRDefault="002D3C56" w:rsidP="00A96D39">
            <w:pPr>
              <w:jc w:val="center"/>
              <w:rPr>
                <w:rFonts w:asciiTheme="majorBidi" w:eastAsia="Times New Roman" w:hAnsiTheme="majorBidi" w:cstheme="majorBidi"/>
                <w:b/>
                <w:bCs/>
                <w:color w:val="0D0D0D" w:themeColor="text1" w:themeTint="F2"/>
                <w:sz w:val="22"/>
                <w:szCs w:val="22"/>
                <w:lang w:val="sq-AL" w:eastAsia="sq-AL" w:bidi="he-IL"/>
              </w:rPr>
            </w:pPr>
            <w:r w:rsidRPr="005208DC">
              <w:rPr>
                <w:rFonts w:asciiTheme="majorBidi" w:eastAsia="Times New Roman" w:hAnsiTheme="majorBidi" w:cstheme="majorBidi"/>
                <w:b/>
                <w:bCs/>
                <w:color w:val="0D0D0D" w:themeColor="text1" w:themeTint="F2"/>
                <w:sz w:val="22"/>
                <w:szCs w:val="22"/>
                <w:lang w:val="sq-AL" w:eastAsia="sq-AL" w:bidi="he-IL"/>
              </w:rPr>
              <w:t>Kërkim, zhvillim dhe inovacion</w:t>
            </w:r>
          </w:p>
        </w:tc>
      </w:tr>
      <w:tr w:rsidR="005208DC" w:rsidRPr="005208DC" w14:paraId="6BE0D716" w14:textId="77777777" w:rsidTr="00A96D39">
        <w:trPr>
          <w:trHeight w:val="300"/>
        </w:trPr>
        <w:tc>
          <w:tcPr>
            <w:tcW w:w="3676" w:type="dxa"/>
            <w:tcBorders>
              <w:top w:val="nil"/>
              <w:left w:val="single" w:sz="8" w:space="0" w:color="auto"/>
              <w:bottom w:val="single" w:sz="4" w:space="0" w:color="auto"/>
              <w:right w:val="single" w:sz="4" w:space="0" w:color="auto"/>
            </w:tcBorders>
            <w:shd w:val="clear" w:color="auto" w:fill="auto"/>
            <w:noWrap/>
            <w:vAlign w:val="bottom"/>
            <w:hideMark/>
          </w:tcPr>
          <w:p w14:paraId="47FB880F"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26. Intensiteti i K&amp;Zh i PBB-së (shpenzimet për R&amp;D si % e PBB-së)</w:t>
            </w:r>
          </w:p>
        </w:tc>
        <w:tc>
          <w:tcPr>
            <w:tcW w:w="1134" w:type="dxa"/>
            <w:tcBorders>
              <w:top w:val="nil"/>
              <w:left w:val="nil"/>
              <w:bottom w:val="single" w:sz="4" w:space="0" w:color="auto"/>
              <w:right w:val="single" w:sz="4" w:space="0" w:color="auto"/>
            </w:tcBorders>
            <w:shd w:val="clear" w:color="auto" w:fill="auto"/>
            <w:noWrap/>
            <w:vAlign w:val="bottom"/>
            <w:hideMark/>
          </w:tcPr>
          <w:p w14:paraId="179F750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3" w:type="dxa"/>
            <w:tcBorders>
              <w:top w:val="nil"/>
              <w:left w:val="nil"/>
              <w:bottom w:val="single" w:sz="4" w:space="0" w:color="auto"/>
              <w:right w:val="single" w:sz="4" w:space="0" w:color="auto"/>
            </w:tcBorders>
            <w:shd w:val="clear" w:color="auto" w:fill="auto"/>
            <w:noWrap/>
            <w:vAlign w:val="bottom"/>
            <w:hideMark/>
          </w:tcPr>
          <w:p w14:paraId="5B585AC3"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4" w:space="0" w:color="auto"/>
            </w:tcBorders>
            <w:shd w:val="clear" w:color="auto" w:fill="auto"/>
            <w:noWrap/>
            <w:vAlign w:val="bottom"/>
            <w:hideMark/>
          </w:tcPr>
          <w:p w14:paraId="679EDBE8"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4" w:space="0" w:color="auto"/>
            </w:tcBorders>
            <w:shd w:val="clear" w:color="auto" w:fill="auto"/>
            <w:noWrap/>
            <w:vAlign w:val="bottom"/>
            <w:hideMark/>
          </w:tcPr>
          <w:p w14:paraId="546730CA"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4" w:space="0" w:color="auto"/>
            </w:tcBorders>
            <w:shd w:val="clear" w:color="auto" w:fill="auto"/>
            <w:noWrap/>
            <w:vAlign w:val="bottom"/>
            <w:hideMark/>
          </w:tcPr>
          <w:p w14:paraId="15C7A999"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8" w:space="0" w:color="auto"/>
            </w:tcBorders>
            <w:shd w:val="clear" w:color="auto" w:fill="auto"/>
            <w:noWrap/>
            <w:vAlign w:val="bottom"/>
            <w:hideMark/>
          </w:tcPr>
          <w:p w14:paraId="27C221DC"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single" w:sz="4" w:space="0" w:color="auto"/>
              <w:right w:val="single" w:sz="8" w:space="0" w:color="auto"/>
            </w:tcBorders>
          </w:tcPr>
          <w:p w14:paraId="5D99AF2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1A7FDA37" w14:textId="77777777" w:rsidTr="00A96D39">
        <w:trPr>
          <w:trHeight w:val="315"/>
        </w:trPr>
        <w:tc>
          <w:tcPr>
            <w:tcW w:w="3676" w:type="dxa"/>
            <w:tcBorders>
              <w:top w:val="nil"/>
              <w:left w:val="single" w:sz="8" w:space="0" w:color="auto"/>
              <w:bottom w:val="nil"/>
              <w:right w:val="single" w:sz="4" w:space="0" w:color="auto"/>
            </w:tcBorders>
            <w:shd w:val="clear" w:color="auto" w:fill="auto"/>
            <w:noWrap/>
            <w:vAlign w:val="bottom"/>
            <w:hideMark/>
          </w:tcPr>
          <w:p w14:paraId="2BA84D1F"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27. Shpenzimet për K&amp;Zh – EUR për banor</w:t>
            </w:r>
          </w:p>
        </w:tc>
        <w:tc>
          <w:tcPr>
            <w:tcW w:w="1134" w:type="dxa"/>
            <w:tcBorders>
              <w:top w:val="nil"/>
              <w:left w:val="nil"/>
              <w:bottom w:val="nil"/>
              <w:right w:val="single" w:sz="4" w:space="0" w:color="auto"/>
            </w:tcBorders>
            <w:shd w:val="clear" w:color="auto" w:fill="auto"/>
            <w:noWrap/>
            <w:vAlign w:val="bottom"/>
            <w:hideMark/>
          </w:tcPr>
          <w:p w14:paraId="72A367EA"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3" w:type="dxa"/>
            <w:tcBorders>
              <w:top w:val="nil"/>
              <w:left w:val="nil"/>
              <w:bottom w:val="nil"/>
              <w:right w:val="single" w:sz="4" w:space="0" w:color="auto"/>
            </w:tcBorders>
            <w:shd w:val="clear" w:color="auto" w:fill="auto"/>
            <w:noWrap/>
            <w:vAlign w:val="bottom"/>
            <w:hideMark/>
          </w:tcPr>
          <w:p w14:paraId="01D66B0E"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nil"/>
              <w:right w:val="single" w:sz="4" w:space="0" w:color="auto"/>
            </w:tcBorders>
            <w:shd w:val="clear" w:color="auto" w:fill="auto"/>
            <w:noWrap/>
            <w:vAlign w:val="bottom"/>
            <w:hideMark/>
          </w:tcPr>
          <w:p w14:paraId="19D5B30F"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nil"/>
              <w:right w:val="single" w:sz="4" w:space="0" w:color="auto"/>
            </w:tcBorders>
            <w:shd w:val="clear" w:color="auto" w:fill="auto"/>
            <w:noWrap/>
            <w:vAlign w:val="bottom"/>
            <w:hideMark/>
          </w:tcPr>
          <w:p w14:paraId="3642F80E"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nil"/>
              <w:right w:val="single" w:sz="4" w:space="0" w:color="auto"/>
            </w:tcBorders>
            <w:shd w:val="clear" w:color="auto" w:fill="auto"/>
            <w:noWrap/>
            <w:vAlign w:val="bottom"/>
            <w:hideMark/>
          </w:tcPr>
          <w:p w14:paraId="4233050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nil"/>
              <w:right w:val="single" w:sz="8" w:space="0" w:color="auto"/>
            </w:tcBorders>
            <w:shd w:val="clear" w:color="auto" w:fill="auto"/>
            <w:noWrap/>
            <w:vAlign w:val="bottom"/>
            <w:hideMark/>
          </w:tcPr>
          <w:p w14:paraId="3A53E1FD"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xml:space="preserve"> </w:t>
            </w:r>
          </w:p>
        </w:tc>
        <w:tc>
          <w:tcPr>
            <w:tcW w:w="964" w:type="dxa"/>
            <w:tcBorders>
              <w:top w:val="nil"/>
              <w:left w:val="nil"/>
              <w:bottom w:val="nil"/>
              <w:right w:val="single" w:sz="8" w:space="0" w:color="auto"/>
            </w:tcBorders>
          </w:tcPr>
          <w:p w14:paraId="3F116C98"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p>
        </w:tc>
      </w:tr>
      <w:tr w:rsidR="005208DC" w:rsidRPr="005208DC" w14:paraId="652A78CE" w14:textId="77777777" w:rsidTr="00A96D39">
        <w:trPr>
          <w:trHeight w:val="315"/>
        </w:trPr>
        <w:tc>
          <w:tcPr>
            <w:tcW w:w="10593"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5E31F09" w14:textId="77777777" w:rsidR="002D3C56" w:rsidRPr="005208DC" w:rsidRDefault="002D3C56" w:rsidP="00A96D39">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b/>
                <w:bCs/>
                <w:color w:val="0D0D0D" w:themeColor="text1" w:themeTint="F2"/>
                <w:sz w:val="22"/>
                <w:szCs w:val="22"/>
                <w:lang w:val="sq-AL" w:eastAsia="sq-AL" w:bidi="he-IL"/>
              </w:rPr>
              <w:t>Tregti</w:t>
            </w:r>
          </w:p>
        </w:tc>
      </w:tr>
      <w:tr w:rsidR="005208DC" w:rsidRPr="005208DC" w14:paraId="39176177" w14:textId="77777777" w:rsidTr="00A96D39">
        <w:trPr>
          <w:trHeight w:val="300"/>
        </w:trPr>
        <w:tc>
          <w:tcPr>
            <w:tcW w:w="3676" w:type="dxa"/>
            <w:tcBorders>
              <w:top w:val="nil"/>
              <w:left w:val="single" w:sz="8" w:space="0" w:color="auto"/>
              <w:bottom w:val="single" w:sz="4" w:space="0" w:color="auto"/>
              <w:right w:val="single" w:sz="4" w:space="0" w:color="auto"/>
            </w:tcBorders>
            <w:shd w:val="clear" w:color="auto" w:fill="auto"/>
            <w:noWrap/>
            <w:vAlign w:val="bottom"/>
            <w:hideMark/>
          </w:tcPr>
          <w:p w14:paraId="29695D3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28. Eksporti i mallrave dhe shërbimeve (si % e PBB-së)</w:t>
            </w:r>
          </w:p>
        </w:tc>
        <w:tc>
          <w:tcPr>
            <w:tcW w:w="1134" w:type="dxa"/>
            <w:tcBorders>
              <w:top w:val="nil"/>
              <w:left w:val="nil"/>
              <w:bottom w:val="single" w:sz="4" w:space="0" w:color="auto"/>
              <w:right w:val="single" w:sz="4" w:space="0" w:color="auto"/>
            </w:tcBorders>
            <w:shd w:val="clear" w:color="auto" w:fill="auto"/>
            <w:noWrap/>
            <w:vAlign w:val="bottom"/>
            <w:hideMark/>
          </w:tcPr>
          <w:p w14:paraId="4A28D8EC"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Llogaritë kombëtare, INSTAT</w:t>
            </w:r>
          </w:p>
        </w:tc>
        <w:tc>
          <w:tcPr>
            <w:tcW w:w="963" w:type="dxa"/>
            <w:tcBorders>
              <w:top w:val="nil"/>
              <w:left w:val="nil"/>
              <w:bottom w:val="single" w:sz="4" w:space="0" w:color="auto"/>
              <w:right w:val="single" w:sz="4" w:space="0" w:color="auto"/>
            </w:tcBorders>
            <w:shd w:val="clear" w:color="auto" w:fill="auto"/>
            <w:noWrap/>
            <w:vAlign w:val="center"/>
            <w:hideMark/>
          </w:tcPr>
          <w:p w14:paraId="1C16B173"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31.6</w:t>
            </w:r>
          </w:p>
        </w:tc>
        <w:tc>
          <w:tcPr>
            <w:tcW w:w="964" w:type="dxa"/>
            <w:tcBorders>
              <w:top w:val="nil"/>
              <w:left w:val="nil"/>
              <w:bottom w:val="single" w:sz="4" w:space="0" w:color="auto"/>
              <w:right w:val="single" w:sz="4" w:space="0" w:color="auto"/>
            </w:tcBorders>
            <w:shd w:val="clear" w:color="auto" w:fill="auto"/>
            <w:noWrap/>
            <w:vAlign w:val="center"/>
            <w:hideMark/>
          </w:tcPr>
          <w:p w14:paraId="2DA248D8"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31.6</w:t>
            </w:r>
          </w:p>
        </w:tc>
        <w:tc>
          <w:tcPr>
            <w:tcW w:w="964" w:type="dxa"/>
            <w:tcBorders>
              <w:top w:val="nil"/>
              <w:left w:val="nil"/>
              <w:bottom w:val="single" w:sz="4" w:space="0" w:color="auto"/>
              <w:right w:val="single" w:sz="4" w:space="0" w:color="auto"/>
            </w:tcBorders>
            <w:shd w:val="clear" w:color="auto" w:fill="auto"/>
            <w:noWrap/>
            <w:vAlign w:val="center"/>
            <w:hideMark/>
          </w:tcPr>
          <w:p w14:paraId="45D1458F"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31.3</w:t>
            </w:r>
          </w:p>
        </w:tc>
        <w:tc>
          <w:tcPr>
            <w:tcW w:w="964" w:type="dxa"/>
            <w:tcBorders>
              <w:top w:val="nil"/>
              <w:left w:val="nil"/>
              <w:bottom w:val="single" w:sz="4" w:space="0" w:color="auto"/>
              <w:right w:val="single" w:sz="4" w:space="0" w:color="auto"/>
            </w:tcBorders>
            <w:shd w:val="clear" w:color="auto" w:fill="auto"/>
            <w:noWrap/>
            <w:vAlign w:val="center"/>
            <w:hideMark/>
          </w:tcPr>
          <w:p w14:paraId="0866568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23.1</w:t>
            </w:r>
          </w:p>
        </w:tc>
        <w:tc>
          <w:tcPr>
            <w:tcW w:w="964" w:type="dxa"/>
            <w:tcBorders>
              <w:top w:val="nil"/>
              <w:left w:val="nil"/>
              <w:bottom w:val="single" w:sz="4" w:space="0" w:color="auto"/>
              <w:right w:val="single" w:sz="8" w:space="0" w:color="auto"/>
            </w:tcBorders>
            <w:shd w:val="clear" w:color="auto" w:fill="auto"/>
            <w:noWrap/>
            <w:vAlign w:val="center"/>
            <w:hideMark/>
          </w:tcPr>
          <w:p w14:paraId="5912D2EF"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26.0</w:t>
            </w:r>
          </w:p>
        </w:tc>
        <w:tc>
          <w:tcPr>
            <w:tcW w:w="964" w:type="dxa"/>
            <w:tcBorders>
              <w:top w:val="nil"/>
              <w:left w:val="nil"/>
              <w:bottom w:val="single" w:sz="4" w:space="0" w:color="auto"/>
              <w:right w:val="single" w:sz="8" w:space="0" w:color="auto"/>
            </w:tcBorders>
            <w:vAlign w:val="center"/>
          </w:tcPr>
          <w:p w14:paraId="4232FCC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30.1</w:t>
            </w:r>
          </w:p>
        </w:tc>
      </w:tr>
      <w:tr w:rsidR="005208DC" w:rsidRPr="005208DC" w14:paraId="7EC6D234" w14:textId="77777777" w:rsidTr="00A96D39">
        <w:trPr>
          <w:trHeight w:val="300"/>
        </w:trPr>
        <w:tc>
          <w:tcPr>
            <w:tcW w:w="3676" w:type="dxa"/>
            <w:tcBorders>
              <w:top w:val="nil"/>
              <w:left w:val="single" w:sz="8" w:space="0" w:color="auto"/>
              <w:bottom w:val="single" w:sz="4" w:space="0" w:color="auto"/>
              <w:right w:val="single" w:sz="4" w:space="0" w:color="auto"/>
            </w:tcBorders>
            <w:shd w:val="clear" w:color="auto" w:fill="auto"/>
            <w:noWrap/>
            <w:vAlign w:val="bottom"/>
            <w:hideMark/>
          </w:tcPr>
          <w:p w14:paraId="5102D48B"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29. Importi i mallrave dhe shërbimeve (si % e PBB-së)</w:t>
            </w:r>
          </w:p>
        </w:tc>
        <w:tc>
          <w:tcPr>
            <w:tcW w:w="1134" w:type="dxa"/>
            <w:tcBorders>
              <w:top w:val="nil"/>
              <w:left w:val="nil"/>
              <w:bottom w:val="single" w:sz="4" w:space="0" w:color="auto"/>
              <w:right w:val="single" w:sz="4" w:space="0" w:color="auto"/>
            </w:tcBorders>
            <w:shd w:val="clear" w:color="auto" w:fill="auto"/>
            <w:noWrap/>
            <w:vAlign w:val="bottom"/>
            <w:hideMark/>
          </w:tcPr>
          <w:p w14:paraId="74A0A8D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Llogaritë kombëtare, INSTAT</w:t>
            </w:r>
          </w:p>
        </w:tc>
        <w:tc>
          <w:tcPr>
            <w:tcW w:w="963" w:type="dxa"/>
            <w:tcBorders>
              <w:top w:val="nil"/>
              <w:left w:val="nil"/>
              <w:bottom w:val="single" w:sz="4" w:space="0" w:color="auto"/>
              <w:right w:val="single" w:sz="4" w:space="0" w:color="auto"/>
            </w:tcBorders>
            <w:shd w:val="clear" w:color="auto" w:fill="auto"/>
            <w:noWrap/>
            <w:vAlign w:val="center"/>
            <w:hideMark/>
          </w:tcPr>
          <w:p w14:paraId="52794F5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46.6</w:t>
            </w:r>
          </w:p>
        </w:tc>
        <w:tc>
          <w:tcPr>
            <w:tcW w:w="964" w:type="dxa"/>
            <w:tcBorders>
              <w:top w:val="nil"/>
              <w:left w:val="nil"/>
              <w:bottom w:val="single" w:sz="4" w:space="0" w:color="auto"/>
              <w:right w:val="single" w:sz="4" w:space="0" w:color="auto"/>
            </w:tcBorders>
            <w:shd w:val="clear" w:color="auto" w:fill="auto"/>
            <w:noWrap/>
            <w:vAlign w:val="center"/>
            <w:hideMark/>
          </w:tcPr>
          <w:p w14:paraId="12E5885C"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45.2</w:t>
            </w:r>
          </w:p>
        </w:tc>
        <w:tc>
          <w:tcPr>
            <w:tcW w:w="964" w:type="dxa"/>
            <w:tcBorders>
              <w:top w:val="nil"/>
              <w:left w:val="nil"/>
              <w:bottom w:val="single" w:sz="4" w:space="0" w:color="auto"/>
              <w:right w:val="single" w:sz="4" w:space="0" w:color="auto"/>
            </w:tcBorders>
            <w:shd w:val="clear" w:color="auto" w:fill="auto"/>
            <w:noWrap/>
            <w:vAlign w:val="center"/>
            <w:hideMark/>
          </w:tcPr>
          <w:p w14:paraId="0AACFD67"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45.0</w:t>
            </w:r>
          </w:p>
        </w:tc>
        <w:tc>
          <w:tcPr>
            <w:tcW w:w="964" w:type="dxa"/>
            <w:tcBorders>
              <w:top w:val="nil"/>
              <w:left w:val="nil"/>
              <w:bottom w:val="single" w:sz="4" w:space="0" w:color="auto"/>
              <w:right w:val="single" w:sz="4" w:space="0" w:color="auto"/>
            </w:tcBorders>
            <w:shd w:val="clear" w:color="auto" w:fill="auto"/>
            <w:noWrap/>
            <w:vAlign w:val="center"/>
            <w:hideMark/>
          </w:tcPr>
          <w:p w14:paraId="298212F0"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37.9</w:t>
            </w:r>
          </w:p>
        </w:tc>
        <w:tc>
          <w:tcPr>
            <w:tcW w:w="964" w:type="dxa"/>
            <w:tcBorders>
              <w:top w:val="nil"/>
              <w:left w:val="nil"/>
              <w:bottom w:val="single" w:sz="4" w:space="0" w:color="auto"/>
              <w:right w:val="single" w:sz="8" w:space="0" w:color="auto"/>
            </w:tcBorders>
            <w:shd w:val="clear" w:color="auto" w:fill="auto"/>
            <w:noWrap/>
            <w:vAlign w:val="center"/>
            <w:hideMark/>
          </w:tcPr>
          <w:p w14:paraId="7E1D55B4"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40.7</w:t>
            </w:r>
          </w:p>
        </w:tc>
        <w:tc>
          <w:tcPr>
            <w:tcW w:w="964" w:type="dxa"/>
            <w:tcBorders>
              <w:top w:val="nil"/>
              <w:left w:val="nil"/>
              <w:bottom w:val="single" w:sz="4" w:space="0" w:color="auto"/>
              <w:right w:val="single" w:sz="8" w:space="0" w:color="auto"/>
            </w:tcBorders>
            <w:vAlign w:val="center"/>
          </w:tcPr>
          <w:p w14:paraId="466DD66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40.5</w:t>
            </w:r>
          </w:p>
        </w:tc>
      </w:tr>
      <w:tr w:rsidR="005208DC" w:rsidRPr="005208DC" w14:paraId="1F2FE929" w14:textId="77777777" w:rsidTr="00A96D39">
        <w:trPr>
          <w:trHeight w:val="315"/>
        </w:trPr>
        <w:tc>
          <w:tcPr>
            <w:tcW w:w="3676" w:type="dxa"/>
            <w:tcBorders>
              <w:top w:val="nil"/>
              <w:left w:val="single" w:sz="8" w:space="0" w:color="auto"/>
              <w:bottom w:val="single" w:sz="4" w:space="0" w:color="auto"/>
              <w:right w:val="single" w:sz="4" w:space="0" w:color="auto"/>
            </w:tcBorders>
            <w:shd w:val="clear" w:color="auto" w:fill="auto"/>
            <w:noWrap/>
            <w:vAlign w:val="bottom"/>
            <w:hideMark/>
          </w:tcPr>
          <w:p w14:paraId="2C7B1C36"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30. Bilanci tregtar (si % e PBB-së)</w:t>
            </w:r>
          </w:p>
        </w:tc>
        <w:tc>
          <w:tcPr>
            <w:tcW w:w="1134" w:type="dxa"/>
            <w:tcBorders>
              <w:top w:val="nil"/>
              <w:left w:val="nil"/>
              <w:bottom w:val="single" w:sz="4" w:space="0" w:color="auto"/>
              <w:right w:val="single" w:sz="4" w:space="0" w:color="auto"/>
            </w:tcBorders>
            <w:shd w:val="clear" w:color="auto" w:fill="auto"/>
            <w:noWrap/>
            <w:vAlign w:val="bottom"/>
            <w:hideMark/>
          </w:tcPr>
          <w:p w14:paraId="09F61F42"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Llogaritë kombëtare, INSTAT</w:t>
            </w:r>
          </w:p>
        </w:tc>
        <w:tc>
          <w:tcPr>
            <w:tcW w:w="963" w:type="dxa"/>
            <w:tcBorders>
              <w:top w:val="nil"/>
              <w:left w:val="nil"/>
              <w:bottom w:val="single" w:sz="4" w:space="0" w:color="auto"/>
              <w:right w:val="single" w:sz="4" w:space="0" w:color="auto"/>
            </w:tcBorders>
            <w:shd w:val="clear" w:color="auto" w:fill="auto"/>
            <w:noWrap/>
            <w:vAlign w:val="center"/>
            <w:hideMark/>
          </w:tcPr>
          <w:p w14:paraId="4219E012"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15.0</w:t>
            </w:r>
          </w:p>
        </w:tc>
        <w:tc>
          <w:tcPr>
            <w:tcW w:w="964" w:type="dxa"/>
            <w:tcBorders>
              <w:top w:val="nil"/>
              <w:left w:val="nil"/>
              <w:bottom w:val="single" w:sz="4" w:space="0" w:color="auto"/>
              <w:right w:val="single" w:sz="4" w:space="0" w:color="auto"/>
            </w:tcBorders>
            <w:shd w:val="clear" w:color="auto" w:fill="auto"/>
            <w:noWrap/>
            <w:vAlign w:val="center"/>
            <w:hideMark/>
          </w:tcPr>
          <w:p w14:paraId="75B5FC1C"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13.6</w:t>
            </w:r>
          </w:p>
        </w:tc>
        <w:tc>
          <w:tcPr>
            <w:tcW w:w="964" w:type="dxa"/>
            <w:tcBorders>
              <w:top w:val="nil"/>
              <w:left w:val="nil"/>
              <w:bottom w:val="single" w:sz="4" w:space="0" w:color="auto"/>
              <w:right w:val="single" w:sz="4" w:space="0" w:color="auto"/>
            </w:tcBorders>
            <w:shd w:val="clear" w:color="auto" w:fill="auto"/>
            <w:noWrap/>
            <w:vAlign w:val="center"/>
            <w:hideMark/>
          </w:tcPr>
          <w:p w14:paraId="6195BBC0"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13.7</w:t>
            </w:r>
          </w:p>
        </w:tc>
        <w:tc>
          <w:tcPr>
            <w:tcW w:w="964" w:type="dxa"/>
            <w:tcBorders>
              <w:top w:val="nil"/>
              <w:left w:val="nil"/>
              <w:bottom w:val="single" w:sz="4" w:space="0" w:color="auto"/>
              <w:right w:val="single" w:sz="4" w:space="0" w:color="auto"/>
            </w:tcBorders>
            <w:shd w:val="clear" w:color="auto" w:fill="auto"/>
            <w:noWrap/>
            <w:vAlign w:val="center"/>
            <w:hideMark/>
          </w:tcPr>
          <w:p w14:paraId="48509F13"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14.8</w:t>
            </w:r>
          </w:p>
        </w:tc>
        <w:tc>
          <w:tcPr>
            <w:tcW w:w="964" w:type="dxa"/>
            <w:tcBorders>
              <w:top w:val="nil"/>
              <w:left w:val="nil"/>
              <w:bottom w:val="single" w:sz="4" w:space="0" w:color="auto"/>
              <w:right w:val="single" w:sz="8" w:space="0" w:color="auto"/>
            </w:tcBorders>
            <w:shd w:val="clear" w:color="auto" w:fill="auto"/>
            <w:noWrap/>
            <w:vAlign w:val="center"/>
            <w:hideMark/>
          </w:tcPr>
          <w:p w14:paraId="57F36C13"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14.7</w:t>
            </w:r>
          </w:p>
        </w:tc>
        <w:tc>
          <w:tcPr>
            <w:tcW w:w="964" w:type="dxa"/>
            <w:tcBorders>
              <w:top w:val="nil"/>
              <w:left w:val="nil"/>
              <w:bottom w:val="single" w:sz="4" w:space="0" w:color="auto"/>
              <w:right w:val="single" w:sz="8" w:space="0" w:color="auto"/>
            </w:tcBorders>
            <w:vAlign w:val="center"/>
          </w:tcPr>
          <w:p w14:paraId="3085FC61" w14:textId="77777777" w:rsidR="002D3C56" w:rsidRPr="005208DC" w:rsidRDefault="002D3C56" w:rsidP="00A96D39">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10.4</w:t>
            </w:r>
          </w:p>
        </w:tc>
      </w:tr>
    </w:tbl>
    <w:p w14:paraId="66445795"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p>
    <w:p w14:paraId="354F359E" w14:textId="2DDD72E6" w:rsidR="00E06E0F" w:rsidRPr="005208DC" w:rsidRDefault="004D1F24" w:rsidP="00857902">
      <w:pPr>
        <w:pStyle w:val="Heading2"/>
        <w:ind w:left="0"/>
        <w:rPr>
          <w:rFonts w:asciiTheme="majorBidi" w:hAnsiTheme="majorBidi" w:cstheme="majorBidi"/>
          <w:color w:val="0D0D0D" w:themeColor="text1" w:themeTint="F2"/>
          <w:sz w:val="22"/>
          <w:szCs w:val="22"/>
          <w:lang w:val="sq-AL"/>
        </w:rPr>
      </w:pPr>
      <w:bookmarkStart w:id="105" w:name="_Toc92721163"/>
      <w:r w:rsidRPr="005208DC">
        <w:rPr>
          <w:rFonts w:asciiTheme="majorBidi" w:hAnsiTheme="majorBidi" w:cstheme="majorBidi"/>
          <w:color w:val="0D0D0D" w:themeColor="text1" w:themeTint="F2"/>
          <w:sz w:val="22"/>
          <w:szCs w:val="22"/>
          <w:lang w:val="sq-AL"/>
        </w:rPr>
        <w:t>Tabela</w:t>
      </w:r>
      <w:r w:rsidR="000B0C45" w:rsidRPr="005208DC">
        <w:rPr>
          <w:rFonts w:asciiTheme="majorBidi" w:hAnsiTheme="majorBidi" w:cstheme="majorBidi"/>
          <w:color w:val="0D0D0D" w:themeColor="text1" w:themeTint="F2"/>
          <w:sz w:val="22"/>
          <w:szCs w:val="22"/>
          <w:lang w:val="sq-AL"/>
        </w:rPr>
        <w:t xml:space="preserve"> </w:t>
      </w:r>
      <w:r w:rsidR="00E06E0F" w:rsidRPr="005208DC">
        <w:rPr>
          <w:rFonts w:asciiTheme="majorBidi" w:hAnsiTheme="majorBidi" w:cstheme="majorBidi"/>
          <w:color w:val="0D0D0D" w:themeColor="text1" w:themeTint="F2"/>
          <w:sz w:val="22"/>
          <w:szCs w:val="22"/>
          <w:lang w:val="sq-AL"/>
        </w:rPr>
        <w:t>10a:</w:t>
      </w:r>
      <w:r w:rsidR="000B0C45" w:rsidRPr="005208DC">
        <w:rPr>
          <w:rFonts w:asciiTheme="majorBidi" w:hAnsiTheme="majorBidi" w:cstheme="majorBidi"/>
          <w:color w:val="0D0D0D" w:themeColor="text1" w:themeTint="F2"/>
          <w:sz w:val="22"/>
          <w:szCs w:val="22"/>
          <w:lang w:val="sq-AL"/>
        </w:rPr>
        <w:t xml:space="preserve"> </w:t>
      </w:r>
      <w:r w:rsidR="005E44FE" w:rsidRPr="005208DC">
        <w:rPr>
          <w:rFonts w:asciiTheme="majorBidi" w:hAnsiTheme="majorBidi" w:cstheme="majorBidi"/>
          <w:color w:val="0D0D0D" w:themeColor="text1" w:themeTint="F2"/>
          <w:sz w:val="22"/>
          <w:szCs w:val="22"/>
          <w:lang w:val="sq-AL"/>
        </w:rPr>
        <w:t xml:space="preserve">Kostimi i masave të reformave strukturore </w:t>
      </w:r>
      <w:r w:rsidR="00E06E0F" w:rsidRPr="005208DC">
        <w:rPr>
          <w:rFonts w:asciiTheme="majorBidi" w:hAnsiTheme="majorBidi" w:cstheme="majorBidi"/>
          <w:color w:val="0D0D0D" w:themeColor="text1" w:themeTint="F2"/>
          <w:sz w:val="22"/>
          <w:szCs w:val="22"/>
          <w:lang w:val="sq-AL"/>
        </w:rPr>
        <w:t>(</w:t>
      </w:r>
      <w:r w:rsidR="005E44FE" w:rsidRPr="005208DC">
        <w:rPr>
          <w:rFonts w:asciiTheme="majorBidi" w:hAnsiTheme="majorBidi" w:cstheme="majorBidi"/>
          <w:color w:val="0D0D0D" w:themeColor="text1" w:themeTint="F2"/>
          <w:sz w:val="22"/>
          <w:szCs w:val="22"/>
          <w:lang w:val="sq-AL"/>
        </w:rPr>
        <w:t>në</w:t>
      </w:r>
      <w:r w:rsidR="000B0C45" w:rsidRPr="005208DC">
        <w:rPr>
          <w:rFonts w:asciiTheme="majorBidi" w:hAnsiTheme="majorBidi" w:cstheme="majorBidi"/>
          <w:color w:val="0D0D0D" w:themeColor="text1" w:themeTint="F2"/>
          <w:sz w:val="22"/>
          <w:szCs w:val="22"/>
          <w:lang w:val="sq-AL"/>
        </w:rPr>
        <w:t xml:space="preserve"> </w:t>
      </w:r>
      <w:r w:rsidR="00E06E0F" w:rsidRPr="005208DC">
        <w:rPr>
          <w:rFonts w:asciiTheme="majorBidi" w:hAnsiTheme="majorBidi" w:cstheme="majorBidi"/>
          <w:color w:val="0D0D0D" w:themeColor="text1" w:themeTint="F2"/>
          <w:sz w:val="22"/>
          <w:szCs w:val="22"/>
          <w:lang w:val="sq-AL"/>
        </w:rPr>
        <w:t>EUR)</w:t>
      </w:r>
      <w:bookmarkEnd w:id="105"/>
    </w:p>
    <w:p w14:paraId="76B5E065" w14:textId="26F89C99" w:rsidR="00297C3D" w:rsidRPr="005208DC" w:rsidRDefault="00B2062A" w:rsidP="00857902">
      <w:pPr>
        <w:pStyle w:val="Heading3"/>
        <w:rPr>
          <w:rFonts w:asciiTheme="majorBidi" w:hAnsiTheme="majorBidi" w:cstheme="majorBidi"/>
          <w:b/>
          <w:bCs/>
          <w:color w:val="0D0D0D" w:themeColor="text1" w:themeTint="F2"/>
          <w:sz w:val="22"/>
          <w:szCs w:val="22"/>
          <w:lang w:val="sq-AL"/>
        </w:rPr>
      </w:pPr>
      <w:bookmarkStart w:id="106" w:name="_Toc92721164"/>
      <w:r w:rsidRPr="005208DC">
        <w:rPr>
          <w:rFonts w:asciiTheme="majorBidi" w:hAnsiTheme="majorBidi" w:cstheme="majorBidi"/>
          <w:b/>
          <w:bCs/>
          <w:color w:val="0D0D0D" w:themeColor="text1" w:themeTint="F2"/>
          <w:sz w:val="22"/>
          <w:szCs w:val="22"/>
          <w:lang w:val="sq-AL"/>
        </w:rPr>
        <w:t>Sfida</w:t>
      </w:r>
      <w:r w:rsidR="005E44FE" w:rsidRPr="005208DC">
        <w:rPr>
          <w:rFonts w:asciiTheme="majorBidi" w:hAnsiTheme="majorBidi" w:cstheme="majorBidi"/>
          <w:b/>
          <w:bCs/>
          <w:color w:val="0D0D0D" w:themeColor="text1" w:themeTint="F2"/>
          <w:sz w:val="22"/>
          <w:szCs w:val="22"/>
          <w:lang w:val="sq-AL"/>
        </w:rPr>
        <w:t>t</w:t>
      </w:r>
      <w:r w:rsidRPr="005208DC">
        <w:rPr>
          <w:rFonts w:asciiTheme="majorBidi" w:hAnsiTheme="majorBidi" w:cstheme="majorBidi"/>
          <w:b/>
          <w:bCs/>
          <w:color w:val="0D0D0D" w:themeColor="text1" w:themeTint="F2"/>
          <w:sz w:val="22"/>
          <w:szCs w:val="22"/>
          <w:lang w:val="sq-AL"/>
        </w:rPr>
        <w:t xml:space="preserve"> Kyçe</w:t>
      </w:r>
      <w:bookmarkEnd w:id="106"/>
    </w:p>
    <w:p w14:paraId="435D81D7" w14:textId="76E46A50" w:rsidR="00E06E0F" w:rsidRPr="005208DC" w:rsidRDefault="00B2062A" w:rsidP="00857902">
      <w:pPr>
        <w:pStyle w:val="Heading4"/>
        <w:ind w:left="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Sfida Kyçe</w:t>
      </w:r>
      <w:r w:rsidR="000B0C45" w:rsidRPr="005208DC">
        <w:rPr>
          <w:rFonts w:asciiTheme="majorBidi" w:hAnsiTheme="majorBidi" w:cstheme="majorBidi"/>
          <w:color w:val="0D0D0D" w:themeColor="text1" w:themeTint="F2"/>
          <w:lang w:val="sq-AL"/>
        </w:rPr>
        <w:t xml:space="preserve"> </w:t>
      </w:r>
      <w:r w:rsidR="00E06E0F" w:rsidRPr="005208DC">
        <w:rPr>
          <w:rFonts w:asciiTheme="majorBidi" w:hAnsiTheme="majorBidi" w:cstheme="majorBidi"/>
          <w:color w:val="0D0D0D" w:themeColor="text1" w:themeTint="F2"/>
          <w:lang w:val="sq-AL"/>
        </w:rPr>
        <w:t>#1</w:t>
      </w:r>
    </w:p>
    <w:tbl>
      <w:tblPr>
        <w:tblStyle w:val="TableGrid"/>
        <w:tblW w:w="10201" w:type="dxa"/>
        <w:tblLook w:val="04A0" w:firstRow="1" w:lastRow="0" w:firstColumn="1" w:lastColumn="0" w:noHBand="0" w:noVBand="1"/>
      </w:tblPr>
      <w:tblGrid>
        <w:gridCol w:w="817"/>
        <w:gridCol w:w="1683"/>
        <w:gridCol w:w="1684"/>
        <w:gridCol w:w="1684"/>
        <w:gridCol w:w="1684"/>
        <w:gridCol w:w="2649"/>
      </w:tblGrid>
      <w:tr w:rsidR="005208DC" w:rsidRPr="005208DC" w14:paraId="58921681" w14:textId="77777777" w:rsidTr="00F51BF1">
        <w:tc>
          <w:tcPr>
            <w:tcW w:w="10201" w:type="dxa"/>
            <w:gridSpan w:val="6"/>
            <w:shd w:val="clear" w:color="auto" w:fill="E5DFEC" w:themeFill="accent4" w:themeFillTint="33"/>
          </w:tcPr>
          <w:p w14:paraId="754AFB28" w14:textId="3B7B5323" w:rsidR="00E06E0F" w:rsidRPr="005208DC" w:rsidRDefault="00B2062A" w:rsidP="00857902">
            <w:pPr>
              <w:snapToGrid w:val="0"/>
              <w:rPr>
                <w:rFonts w:asciiTheme="majorBidi" w:hAnsiTheme="majorBidi" w:cstheme="majorBidi"/>
                <w:b/>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01:</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color w:val="0D0D0D" w:themeColor="text1" w:themeTint="F2"/>
                <w:sz w:val="22"/>
                <w:szCs w:val="22"/>
                <w:lang w:val="sq-AL"/>
              </w:rPr>
              <w:t>Rritja e cilësisë dhe aksesit në AFP</w:t>
            </w:r>
          </w:p>
        </w:tc>
      </w:tr>
      <w:tr w:rsidR="005208DC" w:rsidRPr="005208DC" w14:paraId="4A272BB1" w14:textId="77777777" w:rsidTr="00F51BF1">
        <w:tc>
          <w:tcPr>
            <w:tcW w:w="817" w:type="dxa"/>
          </w:tcPr>
          <w:p w14:paraId="77763F22" w14:textId="5F29EDF1"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683" w:type="dxa"/>
          </w:tcPr>
          <w:p w14:paraId="0E60E740" w14:textId="2F0E55D6"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Rrogat</w:t>
            </w:r>
          </w:p>
        </w:tc>
        <w:tc>
          <w:tcPr>
            <w:tcW w:w="1684" w:type="dxa"/>
          </w:tcPr>
          <w:p w14:paraId="36944B4E" w14:textId="34818E07"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Mallra dhe shërbime</w:t>
            </w:r>
          </w:p>
        </w:tc>
        <w:tc>
          <w:tcPr>
            <w:tcW w:w="1684" w:type="dxa"/>
          </w:tcPr>
          <w:p w14:paraId="7219CCFE" w14:textId="2E706035"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Subvencione &amp; transferta</w:t>
            </w:r>
          </w:p>
        </w:tc>
        <w:tc>
          <w:tcPr>
            <w:tcW w:w="1684" w:type="dxa"/>
          </w:tcPr>
          <w:p w14:paraId="62DA2E6C" w14:textId="47F561FF"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Shpenzime kapitale</w:t>
            </w:r>
          </w:p>
        </w:tc>
        <w:tc>
          <w:tcPr>
            <w:tcW w:w="2649" w:type="dxa"/>
          </w:tcPr>
          <w:p w14:paraId="6733D2B4" w14:textId="4D3552BB"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287C2668" w14:textId="77777777" w:rsidTr="00F51BF1">
        <w:tc>
          <w:tcPr>
            <w:tcW w:w="817" w:type="dxa"/>
          </w:tcPr>
          <w:p w14:paraId="5BC3F925"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683" w:type="dxa"/>
          </w:tcPr>
          <w:p w14:paraId="0839E41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84" w:type="dxa"/>
          </w:tcPr>
          <w:p w14:paraId="2FF05CE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84" w:type="dxa"/>
          </w:tcPr>
          <w:p w14:paraId="3328471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84" w:type="dxa"/>
            <w:vAlign w:val="center"/>
          </w:tcPr>
          <w:p w14:paraId="2B3BC99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2649" w:type="dxa"/>
            <w:vAlign w:val="center"/>
          </w:tcPr>
          <w:p w14:paraId="2FB0B0D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r w:rsidR="005208DC" w:rsidRPr="005208DC" w14:paraId="5640E5DC" w14:textId="77777777" w:rsidTr="00F51BF1">
        <w:tc>
          <w:tcPr>
            <w:tcW w:w="817" w:type="dxa"/>
          </w:tcPr>
          <w:p w14:paraId="3DDA2D83"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683" w:type="dxa"/>
          </w:tcPr>
          <w:p w14:paraId="7610CA3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84" w:type="dxa"/>
          </w:tcPr>
          <w:p w14:paraId="7D2B633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84" w:type="dxa"/>
          </w:tcPr>
          <w:p w14:paraId="048A4C4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84" w:type="dxa"/>
          </w:tcPr>
          <w:p w14:paraId="489C75F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2649" w:type="dxa"/>
          </w:tcPr>
          <w:p w14:paraId="356747F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r w:rsidR="005208DC" w:rsidRPr="005208DC" w14:paraId="64599A7B" w14:textId="77777777" w:rsidTr="00F51BF1">
        <w:tc>
          <w:tcPr>
            <w:tcW w:w="817" w:type="dxa"/>
          </w:tcPr>
          <w:p w14:paraId="12BF10ED"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683" w:type="dxa"/>
          </w:tcPr>
          <w:p w14:paraId="46F90C1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84" w:type="dxa"/>
          </w:tcPr>
          <w:p w14:paraId="5B50DC5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84" w:type="dxa"/>
          </w:tcPr>
          <w:p w14:paraId="4820D7B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84" w:type="dxa"/>
          </w:tcPr>
          <w:p w14:paraId="2F0105A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2649" w:type="dxa"/>
          </w:tcPr>
          <w:p w14:paraId="55421CD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bl>
    <w:p w14:paraId="5C883EDE" w14:textId="77777777" w:rsidR="00E06E0F" w:rsidRPr="005208DC" w:rsidRDefault="00E06E0F" w:rsidP="00857902">
      <w:pPr>
        <w:rPr>
          <w:rFonts w:asciiTheme="majorBidi" w:hAnsiTheme="majorBidi" w:cstheme="majorBidi"/>
          <w:color w:val="0D0D0D" w:themeColor="text1" w:themeTint="F2"/>
          <w:sz w:val="22"/>
          <w:szCs w:val="22"/>
          <w:lang w:val="sq-AL"/>
        </w:rPr>
      </w:pPr>
    </w:p>
    <w:tbl>
      <w:tblPr>
        <w:tblStyle w:val="TableGrid"/>
        <w:tblW w:w="10201" w:type="dxa"/>
        <w:tblLook w:val="04A0" w:firstRow="1" w:lastRow="0" w:firstColumn="1" w:lastColumn="0" w:noHBand="0" w:noVBand="1"/>
      </w:tblPr>
      <w:tblGrid>
        <w:gridCol w:w="817"/>
        <w:gridCol w:w="1683"/>
        <w:gridCol w:w="1684"/>
        <w:gridCol w:w="1684"/>
        <w:gridCol w:w="1684"/>
        <w:gridCol w:w="2649"/>
      </w:tblGrid>
      <w:tr w:rsidR="005208DC" w:rsidRPr="005208DC" w14:paraId="53ED6BBE" w14:textId="77777777" w:rsidTr="00F51BF1">
        <w:tc>
          <w:tcPr>
            <w:tcW w:w="10201" w:type="dxa"/>
            <w:gridSpan w:val="6"/>
            <w:shd w:val="clear" w:color="auto" w:fill="E5DFEC" w:themeFill="accent4" w:themeFillTint="33"/>
          </w:tcPr>
          <w:p w14:paraId="71E0B0D9" w14:textId="09FA1BFF" w:rsidR="00E06E0F" w:rsidRPr="005208DC" w:rsidRDefault="00B2062A" w:rsidP="00857902">
            <w:pPr>
              <w:snapToGrid w:val="0"/>
              <w:rPr>
                <w:rFonts w:asciiTheme="majorBidi" w:hAnsiTheme="majorBidi" w:cstheme="majorBidi"/>
                <w:b/>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02:</w:t>
            </w:r>
            <w:r w:rsidR="000B0C45" w:rsidRPr="005208DC">
              <w:rPr>
                <w:rFonts w:asciiTheme="majorBidi" w:hAnsiTheme="majorBidi" w:cstheme="majorBidi"/>
                <w:b/>
                <w:color w:val="0D0D0D" w:themeColor="text1" w:themeTint="F2"/>
                <w:sz w:val="22"/>
                <w:szCs w:val="22"/>
                <w:lang w:val="sq-AL"/>
              </w:rPr>
              <w:t xml:space="preserve"> </w:t>
            </w:r>
            <w:r w:rsidR="007F2542" w:rsidRPr="005208DC">
              <w:rPr>
                <w:rFonts w:asciiTheme="majorBidi" w:hAnsiTheme="majorBidi" w:cstheme="majorBidi"/>
                <w:b/>
                <w:color w:val="0D0D0D" w:themeColor="text1" w:themeTint="F2"/>
                <w:sz w:val="22"/>
                <w:szCs w:val="22"/>
                <w:lang w:val="sq-AL"/>
              </w:rPr>
              <w:t>Përmirësimi i punësueshmërisë së punëkërkuesve të papunë më vulnerabël, veçanërisht atyre të prekur nga COVID-19, përmes PNP-ve dhe shërbimeve të punësimit të reja dhe të rishikuara</w:t>
            </w:r>
          </w:p>
        </w:tc>
      </w:tr>
      <w:tr w:rsidR="005208DC" w:rsidRPr="005208DC" w14:paraId="18886BB5" w14:textId="77777777" w:rsidTr="00F51BF1">
        <w:tc>
          <w:tcPr>
            <w:tcW w:w="817" w:type="dxa"/>
          </w:tcPr>
          <w:p w14:paraId="564B3C0D" w14:textId="7F8A0AC9"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683" w:type="dxa"/>
          </w:tcPr>
          <w:p w14:paraId="1F4BAB5F" w14:textId="17EE2BB9"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Rrogat</w:t>
            </w:r>
          </w:p>
        </w:tc>
        <w:tc>
          <w:tcPr>
            <w:tcW w:w="1684" w:type="dxa"/>
          </w:tcPr>
          <w:p w14:paraId="34FA1D86" w14:textId="0F5B2E9E"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Mallra dhe shërbime</w:t>
            </w:r>
          </w:p>
        </w:tc>
        <w:tc>
          <w:tcPr>
            <w:tcW w:w="1684" w:type="dxa"/>
          </w:tcPr>
          <w:p w14:paraId="7A4B787D" w14:textId="62B69977"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Subvencione &amp; transferta</w:t>
            </w:r>
          </w:p>
        </w:tc>
        <w:tc>
          <w:tcPr>
            <w:tcW w:w="1684" w:type="dxa"/>
          </w:tcPr>
          <w:p w14:paraId="3C5A594F" w14:textId="0800AEBC"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Shpenzime kapitale</w:t>
            </w:r>
          </w:p>
        </w:tc>
        <w:tc>
          <w:tcPr>
            <w:tcW w:w="2649" w:type="dxa"/>
          </w:tcPr>
          <w:p w14:paraId="7120F5F3" w14:textId="5606DE66"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3E247AB9" w14:textId="77777777" w:rsidTr="00F51BF1">
        <w:tc>
          <w:tcPr>
            <w:tcW w:w="817" w:type="dxa"/>
          </w:tcPr>
          <w:p w14:paraId="4498BF1E" w14:textId="77777777" w:rsidR="007F2542" w:rsidRPr="005208DC" w:rsidRDefault="007F2542" w:rsidP="007F254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683" w:type="dxa"/>
          </w:tcPr>
          <w:p w14:paraId="32E8BCDD" w14:textId="41A78745" w:rsidR="007F2542" w:rsidRPr="005208DC" w:rsidRDefault="007F2542" w:rsidP="007F254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4858942.1</w:t>
            </w:r>
          </w:p>
        </w:tc>
        <w:tc>
          <w:tcPr>
            <w:tcW w:w="1684" w:type="dxa"/>
          </w:tcPr>
          <w:p w14:paraId="25A23165" w14:textId="54EAC7BE" w:rsidR="007F2542" w:rsidRPr="005208DC" w:rsidRDefault="007F2542" w:rsidP="007F254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1404958.6</w:t>
            </w:r>
          </w:p>
        </w:tc>
        <w:tc>
          <w:tcPr>
            <w:tcW w:w="1684" w:type="dxa"/>
          </w:tcPr>
          <w:p w14:paraId="5A4DB1A1" w14:textId="14F46097" w:rsidR="007F2542" w:rsidRPr="005208DC" w:rsidRDefault="007F2542" w:rsidP="007F254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11666677.6</w:t>
            </w:r>
          </w:p>
        </w:tc>
        <w:tc>
          <w:tcPr>
            <w:tcW w:w="1684" w:type="dxa"/>
            <w:vAlign w:val="center"/>
          </w:tcPr>
          <w:p w14:paraId="71A44155" w14:textId="36067CF4" w:rsidR="007F2542" w:rsidRPr="005208DC" w:rsidRDefault="007F2542" w:rsidP="007F254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669421.4</w:t>
            </w:r>
          </w:p>
        </w:tc>
        <w:tc>
          <w:tcPr>
            <w:tcW w:w="2649" w:type="dxa"/>
            <w:vAlign w:val="center"/>
          </w:tcPr>
          <w:p w14:paraId="456B3D89" w14:textId="0ABCDAFF" w:rsidR="007F2542" w:rsidRPr="005208DC" w:rsidRDefault="007F2542" w:rsidP="007F254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18600000</w:t>
            </w:r>
          </w:p>
        </w:tc>
      </w:tr>
      <w:tr w:rsidR="005208DC" w:rsidRPr="005208DC" w14:paraId="4900E665" w14:textId="77777777" w:rsidTr="00F51BF1">
        <w:tc>
          <w:tcPr>
            <w:tcW w:w="817" w:type="dxa"/>
          </w:tcPr>
          <w:p w14:paraId="1884EFC3" w14:textId="77777777" w:rsidR="007F2542" w:rsidRPr="005208DC" w:rsidRDefault="007F2542" w:rsidP="007F254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683" w:type="dxa"/>
          </w:tcPr>
          <w:p w14:paraId="3EEEDC8A" w14:textId="0DA4C947" w:rsidR="007F2542" w:rsidRPr="005208DC" w:rsidRDefault="007F2542" w:rsidP="007F254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4858942.1</w:t>
            </w:r>
          </w:p>
        </w:tc>
        <w:tc>
          <w:tcPr>
            <w:tcW w:w="1684" w:type="dxa"/>
          </w:tcPr>
          <w:p w14:paraId="6C8F65A8" w14:textId="40ACC472" w:rsidR="007F2542" w:rsidRPr="005208DC" w:rsidRDefault="007F2542" w:rsidP="007F254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1404958.6</w:t>
            </w:r>
          </w:p>
        </w:tc>
        <w:tc>
          <w:tcPr>
            <w:tcW w:w="1684" w:type="dxa"/>
          </w:tcPr>
          <w:p w14:paraId="543BE1D4" w14:textId="73A56A7E" w:rsidR="007F2542" w:rsidRPr="005208DC" w:rsidRDefault="007F2542" w:rsidP="007F254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11666677.6</w:t>
            </w:r>
          </w:p>
        </w:tc>
        <w:tc>
          <w:tcPr>
            <w:tcW w:w="1684" w:type="dxa"/>
          </w:tcPr>
          <w:p w14:paraId="18536F57" w14:textId="33B0FB2C" w:rsidR="007F2542" w:rsidRPr="005208DC" w:rsidRDefault="007F2542" w:rsidP="007F254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669421.4</w:t>
            </w:r>
          </w:p>
        </w:tc>
        <w:tc>
          <w:tcPr>
            <w:tcW w:w="2649" w:type="dxa"/>
          </w:tcPr>
          <w:p w14:paraId="53E3109B" w14:textId="55809044" w:rsidR="007F2542" w:rsidRPr="005208DC" w:rsidRDefault="007F2542" w:rsidP="007F254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18600000</w:t>
            </w:r>
          </w:p>
        </w:tc>
      </w:tr>
      <w:tr w:rsidR="005208DC" w:rsidRPr="005208DC" w14:paraId="1240E238" w14:textId="77777777" w:rsidTr="00F51BF1">
        <w:tc>
          <w:tcPr>
            <w:tcW w:w="817" w:type="dxa"/>
          </w:tcPr>
          <w:p w14:paraId="42939399" w14:textId="77777777" w:rsidR="007F2542" w:rsidRPr="005208DC" w:rsidRDefault="007F2542" w:rsidP="007F254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683" w:type="dxa"/>
          </w:tcPr>
          <w:p w14:paraId="3292256E" w14:textId="5D3CD5A3" w:rsidR="007F2542" w:rsidRPr="005208DC" w:rsidRDefault="007F2542" w:rsidP="007F254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4858942.1</w:t>
            </w:r>
          </w:p>
        </w:tc>
        <w:tc>
          <w:tcPr>
            <w:tcW w:w="1684" w:type="dxa"/>
          </w:tcPr>
          <w:p w14:paraId="2BB2C66D" w14:textId="0AEB3E75" w:rsidR="007F2542" w:rsidRPr="005208DC" w:rsidRDefault="007F2542" w:rsidP="007F254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1404958.6</w:t>
            </w:r>
          </w:p>
        </w:tc>
        <w:tc>
          <w:tcPr>
            <w:tcW w:w="1684" w:type="dxa"/>
          </w:tcPr>
          <w:p w14:paraId="047318CC" w14:textId="741EBAB3" w:rsidR="007F2542" w:rsidRPr="005208DC" w:rsidRDefault="007F2542" w:rsidP="007F254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9762958.6</w:t>
            </w:r>
          </w:p>
        </w:tc>
        <w:tc>
          <w:tcPr>
            <w:tcW w:w="1684" w:type="dxa"/>
          </w:tcPr>
          <w:p w14:paraId="4E8AEB61" w14:textId="00F5B558" w:rsidR="007F2542" w:rsidRPr="005208DC" w:rsidRDefault="007F2542" w:rsidP="007F254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669421.4</w:t>
            </w:r>
          </w:p>
        </w:tc>
        <w:tc>
          <w:tcPr>
            <w:tcW w:w="2649" w:type="dxa"/>
          </w:tcPr>
          <w:p w14:paraId="4274B497" w14:textId="7C33ED0F" w:rsidR="007F2542" w:rsidRPr="005208DC" w:rsidRDefault="007F2542" w:rsidP="007F254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18600000</w:t>
            </w:r>
          </w:p>
        </w:tc>
      </w:tr>
    </w:tbl>
    <w:p w14:paraId="5E333E42" w14:textId="77777777" w:rsidR="00E06E0F" w:rsidRPr="005208DC" w:rsidRDefault="00E06E0F" w:rsidP="00857902">
      <w:pPr>
        <w:rPr>
          <w:rFonts w:asciiTheme="majorBidi" w:hAnsiTheme="majorBidi" w:cstheme="majorBidi"/>
          <w:color w:val="0D0D0D" w:themeColor="text1" w:themeTint="F2"/>
          <w:sz w:val="22"/>
          <w:szCs w:val="22"/>
          <w:lang w:val="sq-AL"/>
        </w:rPr>
      </w:pPr>
    </w:p>
    <w:tbl>
      <w:tblPr>
        <w:tblStyle w:val="TableGrid"/>
        <w:tblW w:w="10201" w:type="dxa"/>
        <w:tblLook w:val="04A0" w:firstRow="1" w:lastRow="0" w:firstColumn="1" w:lastColumn="0" w:noHBand="0" w:noVBand="1"/>
      </w:tblPr>
      <w:tblGrid>
        <w:gridCol w:w="817"/>
        <w:gridCol w:w="1683"/>
        <w:gridCol w:w="1684"/>
        <w:gridCol w:w="1684"/>
        <w:gridCol w:w="1684"/>
        <w:gridCol w:w="2649"/>
      </w:tblGrid>
      <w:tr w:rsidR="005208DC" w:rsidRPr="005208DC" w14:paraId="5F255E9B" w14:textId="77777777" w:rsidTr="00F51BF1">
        <w:tc>
          <w:tcPr>
            <w:tcW w:w="10201" w:type="dxa"/>
            <w:gridSpan w:val="6"/>
            <w:shd w:val="clear" w:color="auto" w:fill="E5DFEC" w:themeFill="accent4" w:themeFillTint="33"/>
          </w:tcPr>
          <w:p w14:paraId="6EE8417E" w14:textId="069406F2" w:rsidR="00E06E0F" w:rsidRPr="005208DC" w:rsidRDefault="00B2062A" w:rsidP="00857902">
            <w:pPr>
              <w:snapToGrid w:val="0"/>
              <w:rPr>
                <w:rFonts w:asciiTheme="majorBidi" w:hAnsiTheme="majorBidi" w:cstheme="majorBidi"/>
                <w:b/>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03:</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color w:val="0D0D0D" w:themeColor="text1" w:themeTint="F2"/>
                <w:sz w:val="22"/>
                <w:szCs w:val="22"/>
                <w:lang w:val="sq-AL"/>
              </w:rPr>
              <w:t>Përmirësimi i kapaciteteve institucionale, financiare dhe njerëzore për kërkim dhe inovacion</w:t>
            </w:r>
          </w:p>
        </w:tc>
      </w:tr>
      <w:tr w:rsidR="005208DC" w:rsidRPr="005208DC" w14:paraId="11D3AF4A" w14:textId="77777777" w:rsidTr="00F51BF1">
        <w:tc>
          <w:tcPr>
            <w:tcW w:w="817" w:type="dxa"/>
          </w:tcPr>
          <w:p w14:paraId="37AB4670" w14:textId="61546DF1"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683" w:type="dxa"/>
          </w:tcPr>
          <w:p w14:paraId="40BA0044" w14:textId="2D860B48"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Rrogat</w:t>
            </w:r>
          </w:p>
        </w:tc>
        <w:tc>
          <w:tcPr>
            <w:tcW w:w="1684" w:type="dxa"/>
          </w:tcPr>
          <w:p w14:paraId="3AA918C7" w14:textId="12825AE6"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Mallra dhe shërbime</w:t>
            </w:r>
          </w:p>
        </w:tc>
        <w:tc>
          <w:tcPr>
            <w:tcW w:w="1684" w:type="dxa"/>
          </w:tcPr>
          <w:p w14:paraId="04286F9A" w14:textId="7C70A1F7"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Subvencione &amp; transferta</w:t>
            </w:r>
          </w:p>
        </w:tc>
        <w:tc>
          <w:tcPr>
            <w:tcW w:w="1684" w:type="dxa"/>
          </w:tcPr>
          <w:p w14:paraId="1E4E0A3D" w14:textId="2341D3F1"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Shpenzime kapitale</w:t>
            </w:r>
          </w:p>
        </w:tc>
        <w:tc>
          <w:tcPr>
            <w:tcW w:w="2649" w:type="dxa"/>
          </w:tcPr>
          <w:p w14:paraId="32EB8ED7" w14:textId="60001366"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10BCC3BF" w14:textId="77777777" w:rsidTr="00F51BF1">
        <w:tc>
          <w:tcPr>
            <w:tcW w:w="817" w:type="dxa"/>
          </w:tcPr>
          <w:p w14:paraId="00F873EB"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683" w:type="dxa"/>
          </w:tcPr>
          <w:p w14:paraId="56839D2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84" w:type="dxa"/>
          </w:tcPr>
          <w:p w14:paraId="1231473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84" w:type="dxa"/>
          </w:tcPr>
          <w:p w14:paraId="078546E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84" w:type="dxa"/>
            <w:vAlign w:val="center"/>
          </w:tcPr>
          <w:p w14:paraId="1EFD911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2649" w:type="dxa"/>
            <w:vAlign w:val="center"/>
          </w:tcPr>
          <w:p w14:paraId="00B3E74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r w:rsidR="005208DC" w:rsidRPr="005208DC" w14:paraId="4B987646" w14:textId="77777777" w:rsidTr="00F51BF1">
        <w:tc>
          <w:tcPr>
            <w:tcW w:w="817" w:type="dxa"/>
          </w:tcPr>
          <w:p w14:paraId="34AE4344"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683" w:type="dxa"/>
          </w:tcPr>
          <w:p w14:paraId="1C57549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84" w:type="dxa"/>
          </w:tcPr>
          <w:p w14:paraId="5D56097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84" w:type="dxa"/>
          </w:tcPr>
          <w:p w14:paraId="48B667D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84" w:type="dxa"/>
          </w:tcPr>
          <w:p w14:paraId="18BBB06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2649" w:type="dxa"/>
          </w:tcPr>
          <w:p w14:paraId="736A2EF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r w:rsidR="005208DC" w:rsidRPr="005208DC" w14:paraId="290D3973" w14:textId="77777777" w:rsidTr="00F51BF1">
        <w:tc>
          <w:tcPr>
            <w:tcW w:w="817" w:type="dxa"/>
          </w:tcPr>
          <w:p w14:paraId="32FE2C47"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683" w:type="dxa"/>
          </w:tcPr>
          <w:p w14:paraId="5BF5794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84" w:type="dxa"/>
          </w:tcPr>
          <w:p w14:paraId="7339AE2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84" w:type="dxa"/>
          </w:tcPr>
          <w:p w14:paraId="06DB959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84" w:type="dxa"/>
          </w:tcPr>
          <w:p w14:paraId="31079AC0" w14:textId="77777777" w:rsidR="00E06E0F" w:rsidRPr="005208DC" w:rsidRDefault="00E06E0F" w:rsidP="00E93E8A">
            <w:pPr>
              <w:snapToGrid w:val="0"/>
              <w:jc w:val="right"/>
              <w:rPr>
                <w:rFonts w:asciiTheme="majorBidi" w:hAnsiTheme="majorBidi" w:cstheme="majorBidi"/>
                <w:color w:val="0D0D0D" w:themeColor="text1" w:themeTint="F2"/>
                <w:sz w:val="22"/>
                <w:szCs w:val="22"/>
              </w:rPr>
            </w:pPr>
          </w:p>
        </w:tc>
        <w:tc>
          <w:tcPr>
            <w:tcW w:w="2649" w:type="dxa"/>
          </w:tcPr>
          <w:p w14:paraId="0BC8951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bl>
    <w:p w14:paraId="7B61C84A" w14:textId="77777777" w:rsidR="00E06E0F" w:rsidRPr="005208DC" w:rsidRDefault="00E06E0F" w:rsidP="00857902">
      <w:pPr>
        <w:rPr>
          <w:rFonts w:asciiTheme="majorBidi" w:hAnsiTheme="majorBidi" w:cstheme="majorBidi"/>
          <w:color w:val="0D0D0D" w:themeColor="text1" w:themeTint="F2"/>
          <w:sz w:val="22"/>
          <w:szCs w:val="22"/>
          <w:lang w:val="sq-AL"/>
        </w:rPr>
      </w:pPr>
    </w:p>
    <w:p w14:paraId="714DC514" w14:textId="39E20A6B" w:rsidR="00E06E0F" w:rsidRPr="005208DC" w:rsidRDefault="00B2062A" w:rsidP="00857902">
      <w:pPr>
        <w:pStyle w:val="Heading4"/>
        <w:ind w:left="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Sfida Kyçe</w:t>
      </w:r>
      <w:r w:rsidR="000B0C45" w:rsidRPr="005208DC">
        <w:rPr>
          <w:rFonts w:asciiTheme="majorBidi" w:hAnsiTheme="majorBidi" w:cstheme="majorBidi"/>
          <w:color w:val="0D0D0D" w:themeColor="text1" w:themeTint="F2"/>
          <w:lang w:val="sq-AL"/>
        </w:rPr>
        <w:t xml:space="preserve"> </w:t>
      </w:r>
      <w:r w:rsidR="00E06E0F" w:rsidRPr="005208DC">
        <w:rPr>
          <w:rFonts w:asciiTheme="majorBidi" w:hAnsiTheme="majorBidi" w:cstheme="majorBidi"/>
          <w:color w:val="0D0D0D" w:themeColor="text1" w:themeTint="F2"/>
          <w:lang w:val="sq-AL"/>
        </w:rPr>
        <w:t>#2</w:t>
      </w:r>
    </w:p>
    <w:tbl>
      <w:tblPr>
        <w:tblStyle w:val="TableGrid"/>
        <w:tblW w:w="10201" w:type="dxa"/>
        <w:tblLook w:val="04A0" w:firstRow="1" w:lastRow="0" w:firstColumn="1" w:lastColumn="0" w:noHBand="0" w:noVBand="1"/>
      </w:tblPr>
      <w:tblGrid>
        <w:gridCol w:w="807"/>
        <w:gridCol w:w="1740"/>
        <w:gridCol w:w="1559"/>
        <w:gridCol w:w="1701"/>
        <w:gridCol w:w="1701"/>
        <w:gridCol w:w="2693"/>
      </w:tblGrid>
      <w:tr w:rsidR="005208DC" w:rsidRPr="005208DC" w14:paraId="2760CA59" w14:textId="77777777" w:rsidTr="00F51BF1">
        <w:tc>
          <w:tcPr>
            <w:tcW w:w="10201" w:type="dxa"/>
            <w:gridSpan w:val="6"/>
            <w:shd w:val="clear" w:color="auto" w:fill="E5DFEC" w:themeFill="accent4" w:themeFillTint="33"/>
          </w:tcPr>
          <w:p w14:paraId="4F8E7664" w14:textId="1E714509" w:rsidR="00E06E0F" w:rsidRPr="005208DC" w:rsidRDefault="00B2062A" w:rsidP="00857902">
            <w:pPr>
              <w:snapToGrid w:val="0"/>
              <w:rPr>
                <w:rFonts w:asciiTheme="majorBidi" w:hAnsiTheme="majorBidi" w:cstheme="majorBidi"/>
                <w:b/>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04:</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bCs/>
                <w:color w:val="0D0D0D" w:themeColor="text1" w:themeTint="F2"/>
                <w:sz w:val="22"/>
                <w:szCs w:val="22"/>
                <w:lang w:val="sq-AL"/>
              </w:rPr>
              <w:t>Rritja e mbulimit dhe përshtatshmërisë së mbrojtjes sociale dhe sigurimeve shëndetësore për të ulur përqindjen e popullsisë së rrezikuar nga varfëria</w:t>
            </w:r>
          </w:p>
        </w:tc>
      </w:tr>
      <w:tr w:rsidR="005208DC" w:rsidRPr="005208DC" w14:paraId="1D617503" w14:textId="77777777" w:rsidTr="00F51BF1">
        <w:tc>
          <w:tcPr>
            <w:tcW w:w="807" w:type="dxa"/>
          </w:tcPr>
          <w:p w14:paraId="473F8103" w14:textId="53B99958"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740" w:type="dxa"/>
          </w:tcPr>
          <w:p w14:paraId="6A453145" w14:textId="5D78AC65"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Rrogat</w:t>
            </w:r>
          </w:p>
        </w:tc>
        <w:tc>
          <w:tcPr>
            <w:tcW w:w="1559" w:type="dxa"/>
          </w:tcPr>
          <w:p w14:paraId="7B801475" w14:textId="681519CA"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Mallra dhe shërbime</w:t>
            </w:r>
          </w:p>
        </w:tc>
        <w:tc>
          <w:tcPr>
            <w:tcW w:w="1701" w:type="dxa"/>
          </w:tcPr>
          <w:p w14:paraId="7B9DB806" w14:textId="604A82E7"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Subvencione &amp; transferta</w:t>
            </w:r>
          </w:p>
        </w:tc>
        <w:tc>
          <w:tcPr>
            <w:tcW w:w="1701" w:type="dxa"/>
          </w:tcPr>
          <w:p w14:paraId="6CA9B131" w14:textId="735EA702"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Shpenzime kapitale</w:t>
            </w:r>
          </w:p>
        </w:tc>
        <w:tc>
          <w:tcPr>
            <w:tcW w:w="2693" w:type="dxa"/>
          </w:tcPr>
          <w:p w14:paraId="44FF9E1C" w14:textId="3CFC62B1"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0C107994" w14:textId="77777777" w:rsidTr="00F51BF1">
        <w:tc>
          <w:tcPr>
            <w:tcW w:w="807" w:type="dxa"/>
          </w:tcPr>
          <w:p w14:paraId="3ED2A997"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2021</w:t>
            </w:r>
          </w:p>
        </w:tc>
        <w:tc>
          <w:tcPr>
            <w:tcW w:w="1740" w:type="dxa"/>
          </w:tcPr>
          <w:p w14:paraId="32C0D3D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559" w:type="dxa"/>
          </w:tcPr>
          <w:p w14:paraId="2A8C55C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701" w:type="dxa"/>
          </w:tcPr>
          <w:p w14:paraId="64C33EE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209,584,879</w:t>
            </w:r>
          </w:p>
        </w:tc>
        <w:tc>
          <w:tcPr>
            <w:tcW w:w="1701" w:type="dxa"/>
            <w:vAlign w:val="bottom"/>
          </w:tcPr>
          <w:p w14:paraId="31512A0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2693" w:type="dxa"/>
          </w:tcPr>
          <w:p w14:paraId="11C6A0B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209,584,879</w:t>
            </w:r>
          </w:p>
        </w:tc>
      </w:tr>
      <w:tr w:rsidR="005208DC" w:rsidRPr="005208DC" w14:paraId="19DA281C" w14:textId="77777777" w:rsidTr="00F51BF1">
        <w:tc>
          <w:tcPr>
            <w:tcW w:w="807" w:type="dxa"/>
          </w:tcPr>
          <w:p w14:paraId="6F14E839"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740" w:type="dxa"/>
          </w:tcPr>
          <w:p w14:paraId="101DBB2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559" w:type="dxa"/>
          </w:tcPr>
          <w:p w14:paraId="5FA1CF7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701" w:type="dxa"/>
          </w:tcPr>
          <w:p w14:paraId="5DA0CB3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216,679,174</w:t>
            </w:r>
          </w:p>
        </w:tc>
        <w:tc>
          <w:tcPr>
            <w:tcW w:w="1701" w:type="dxa"/>
            <w:vAlign w:val="bottom"/>
          </w:tcPr>
          <w:p w14:paraId="7CA0E5A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2693" w:type="dxa"/>
          </w:tcPr>
          <w:p w14:paraId="43972E5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216,679,174</w:t>
            </w:r>
          </w:p>
        </w:tc>
      </w:tr>
      <w:tr w:rsidR="005208DC" w:rsidRPr="005208DC" w14:paraId="5EBA0F58" w14:textId="77777777" w:rsidTr="00F51BF1">
        <w:tc>
          <w:tcPr>
            <w:tcW w:w="807" w:type="dxa"/>
          </w:tcPr>
          <w:p w14:paraId="614185D9"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740" w:type="dxa"/>
          </w:tcPr>
          <w:p w14:paraId="29B8C13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559" w:type="dxa"/>
          </w:tcPr>
          <w:p w14:paraId="2FD8CCE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701" w:type="dxa"/>
          </w:tcPr>
          <w:p w14:paraId="2B39415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216,499,794</w:t>
            </w:r>
          </w:p>
        </w:tc>
        <w:tc>
          <w:tcPr>
            <w:tcW w:w="1701" w:type="dxa"/>
            <w:vAlign w:val="bottom"/>
          </w:tcPr>
          <w:p w14:paraId="4E8C5968" w14:textId="77777777" w:rsidR="00E06E0F" w:rsidRPr="005208DC" w:rsidRDefault="00E06E0F" w:rsidP="00857902">
            <w:pPr>
              <w:snapToGrid w:val="0"/>
              <w:jc w:val="right"/>
              <w:rPr>
                <w:rFonts w:asciiTheme="majorBidi" w:eastAsia="Open Sans Light" w:hAnsiTheme="majorBidi" w:cstheme="majorBidi"/>
                <w:color w:val="0D0D0D" w:themeColor="text1" w:themeTint="F2"/>
                <w:sz w:val="22"/>
                <w:szCs w:val="22"/>
                <w:lang w:val="sq-AL"/>
              </w:rPr>
            </w:pPr>
            <w:r w:rsidRPr="005208DC">
              <w:rPr>
                <w:rFonts w:asciiTheme="majorBidi" w:eastAsia="Open Sans Light" w:hAnsiTheme="majorBidi" w:cstheme="majorBidi"/>
                <w:color w:val="0D0D0D" w:themeColor="text1" w:themeTint="F2"/>
                <w:sz w:val="22"/>
                <w:szCs w:val="22"/>
                <w:lang w:val="sq-AL"/>
              </w:rPr>
              <w:t>0</w:t>
            </w:r>
          </w:p>
        </w:tc>
        <w:tc>
          <w:tcPr>
            <w:tcW w:w="2693" w:type="dxa"/>
          </w:tcPr>
          <w:p w14:paraId="794ECA7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216,499,794</w:t>
            </w:r>
          </w:p>
        </w:tc>
      </w:tr>
    </w:tbl>
    <w:p w14:paraId="22EB9430" w14:textId="77777777" w:rsidR="00E06E0F" w:rsidRPr="005208DC" w:rsidRDefault="00E06E0F" w:rsidP="00857902">
      <w:pPr>
        <w:rPr>
          <w:rFonts w:asciiTheme="majorBidi" w:hAnsiTheme="majorBidi" w:cstheme="majorBidi"/>
          <w:color w:val="0D0D0D" w:themeColor="text1" w:themeTint="F2"/>
          <w:sz w:val="22"/>
          <w:szCs w:val="22"/>
          <w:lang w:val="sq-AL"/>
        </w:rPr>
      </w:pPr>
    </w:p>
    <w:tbl>
      <w:tblPr>
        <w:tblStyle w:val="TableGrid"/>
        <w:tblW w:w="10201" w:type="dxa"/>
        <w:tblLook w:val="04A0" w:firstRow="1" w:lastRow="0" w:firstColumn="1" w:lastColumn="0" w:noHBand="0" w:noVBand="1"/>
      </w:tblPr>
      <w:tblGrid>
        <w:gridCol w:w="817"/>
        <w:gridCol w:w="1683"/>
        <w:gridCol w:w="1684"/>
        <w:gridCol w:w="1684"/>
        <w:gridCol w:w="1684"/>
        <w:gridCol w:w="2649"/>
      </w:tblGrid>
      <w:tr w:rsidR="005208DC" w:rsidRPr="005208DC" w14:paraId="2B206C4A" w14:textId="77777777" w:rsidTr="00F51BF1">
        <w:tc>
          <w:tcPr>
            <w:tcW w:w="10201" w:type="dxa"/>
            <w:gridSpan w:val="6"/>
            <w:shd w:val="clear" w:color="auto" w:fill="E5DFEC" w:themeFill="accent4" w:themeFillTint="33"/>
          </w:tcPr>
          <w:p w14:paraId="42A0BA86" w14:textId="53884CB1" w:rsidR="00E06E0F" w:rsidRPr="005208DC" w:rsidRDefault="00B2062A" w:rsidP="00857902">
            <w:pPr>
              <w:snapToGrid w:val="0"/>
              <w:rPr>
                <w:rFonts w:asciiTheme="majorBidi" w:hAnsiTheme="majorBidi" w:cstheme="majorBidi"/>
                <w:b/>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05:</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color w:val="0D0D0D" w:themeColor="text1" w:themeTint="F2"/>
                <w:sz w:val="22"/>
                <w:szCs w:val="22"/>
                <w:lang w:val="sq-AL"/>
              </w:rPr>
              <w:t>Rritja e aksesit në kujdesin shëndetësor</w:t>
            </w:r>
          </w:p>
        </w:tc>
      </w:tr>
      <w:tr w:rsidR="005208DC" w:rsidRPr="005208DC" w14:paraId="503B6227" w14:textId="77777777" w:rsidTr="00F51BF1">
        <w:tc>
          <w:tcPr>
            <w:tcW w:w="817" w:type="dxa"/>
          </w:tcPr>
          <w:p w14:paraId="15E722E9" w14:textId="3B5D3498"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683" w:type="dxa"/>
          </w:tcPr>
          <w:p w14:paraId="5F32F7D2" w14:textId="6C8B32C3"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Rrogat</w:t>
            </w:r>
          </w:p>
        </w:tc>
        <w:tc>
          <w:tcPr>
            <w:tcW w:w="1684" w:type="dxa"/>
          </w:tcPr>
          <w:p w14:paraId="415A0F73" w14:textId="568CBBC7"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Mallra dhe shërbime</w:t>
            </w:r>
          </w:p>
        </w:tc>
        <w:tc>
          <w:tcPr>
            <w:tcW w:w="1684" w:type="dxa"/>
          </w:tcPr>
          <w:p w14:paraId="370F98A7" w14:textId="21B18F78"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Subvencione &amp; transferta</w:t>
            </w:r>
          </w:p>
        </w:tc>
        <w:tc>
          <w:tcPr>
            <w:tcW w:w="1684" w:type="dxa"/>
          </w:tcPr>
          <w:p w14:paraId="6C600B64" w14:textId="76A465E5"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Shpenzime kapitale</w:t>
            </w:r>
          </w:p>
        </w:tc>
        <w:tc>
          <w:tcPr>
            <w:tcW w:w="2649" w:type="dxa"/>
          </w:tcPr>
          <w:p w14:paraId="3BA1FB88" w14:textId="23629CED"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3EC2CBEB" w14:textId="77777777" w:rsidTr="00F51BF1">
        <w:tc>
          <w:tcPr>
            <w:tcW w:w="817" w:type="dxa"/>
          </w:tcPr>
          <w:p w14:paraId="11315287"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683" w:type="dxa"/>
          </w:tcPr>
          <w:p w14:paraId="2C37CF2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84" w:type="dxa"/>
          </w:tcPr>
          <w:p w14:paraId="7412B0E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84" w:type="dxa"/>
          </w:tcPr>
          <w:p w14:paraId="0C1A8949" w14:textId="77777777" w:rsidR="00E06E0F" w:rsidRPr="005208DC" w:rsidRDefault="00E06E0F" w:rsidP="00857902">
            <w:pPr>
              <w:snapToGrid w:val="0"/>
              <w:jc w:val="right"/>
              <w:rPr>
                <w:rFonts w:asciiTheme="majorBidi" w:hAnsiTheme="majorBidi" w:cstheme="majorBidi"/>
                <w:color w:val="0D0D0D" w:themeColor="text1" w:themeTint="F2"/>
                <w:sz w:val="22"/>
                <w:szCs w:val="22"/>
              </w:rPr>
            </w:pPr>
          </w:p>
        </w:tc>
        <w:tc>
          <w:tcPr>
            <w:tcW w:w="1684" w:type="dxa"/>
            <w:vAlign w:val="center"/>
          </w:tcPr>
          <w:p w14:paraId="71115B8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2649" w:type="dxa"/>
            <w:vAlign w:val="center"/>
          </w:tcPr>
          <w:p w14:paraId="41F0679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r w:rsidR="005208DC" w:rsidRPr="005208DC" w14:paraId="22BE9576" w14:textId="77777777" w:rsidTr="00F51BF1">
        <w:tc>
          <w:tcPr>
            <w:tcW w:w="817" w:type="dxa"/>
          </w:tcPr>
          <w:p w14:paraId="5215DBD3"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683" w:type="dxa"/>
          </w:tcPr>
          <w:p w14:paraId="2B9F053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84" w:type="dxa"/>
          </w:tcPr>
          <w:p w14:paraId="0E99025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84" w:type="dxa"/>
          </w:tcPr>
          <w:p w14:paraId="1EFB0C1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84" w:type="dxa"/>
          </w:tcPr>
          <w:p w14:paraId="200B6AF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2649" w:type="dxa"/>
          </w:tcPr>
          <w:p w14:paraId="7113E17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r w:rsidR="005208DC" w:rsidRPr="005208DC" w14:paraId="50DB94AE" w14:textId="77777777" w:rsidTr="00F51BF1">
        <w:tc>
          <w:tcPr>
            <w:tcW w:w="817" w:type="dxa"/>
          </w:tcPr>
          <w:p w14:paraId="04789EEC"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683" w:type="dxa"/>
          </w:tcPr>
          <w:p w14:paraId="2275690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84" w:type="dxa"/>
          </w:tcPr>
          <w:p w14:paraId="0D4BDCB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84" w:type="dxa"/>
          </w:tcPr>
          <w:p w14:paraId="325FD6F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84" w:type="dxa"/>
          </w:tcPr>
          <w:p w14:paraId="21C5895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2649" w:type="dxa"/>
          </w:tcPr>
          <w:p w14:paraId="32325B0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bl>
    <w:p w14:paraId="12E3AF54" w14:textId="77777777" w:rsidR="00E06E0F" w:rsidRPr="005208DC" w:rsidRDefault="00E06E0F" w:rsidP="00857902">
      <w:pPr>
        <w:rPr>
          <w:rFonts w:asciiTheme="majorBidi" w:hAnsiTheme="majorBidi" w:cstheme="majorBidi"/>
          <w:color w:val="0D0D0D" w:themeColor="text1" w:themeTint="F2"/>
          <w:sz w:val="22"/>
          <w:szCs w:val="22"/>
          <w:lang w:val="sq-AL"/>
        </w:rPr>
      </w:pPr>
    </w:p>
    <w:p w14:paraId="43C9F45E" w14:textId="0913A006" w:rsidR="00E06E0F" w:rsidRPr="005208DC" w:rsidRDefault="00B2062A" w:rsidP="00857902">
      <w:pPr>
        <w:pStyle w:val="Heading4"/>
        <w:ind w:left="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Sfida Kyçe</w:t>
      </w:r>
      <w:r w:rsidR="000B0C45" w:rsidRPr="005208DC">
        <w:rPr>
          <w:rFonts w:asciiTheme="majorBidi" w:hAnsiTheme="majorBidi" w:cstheme="majorBidi"/>
          <w:color w:val="0D0D0D" w:themeColor="text1" w:themeTint="F2"/>
          <w:lang w:val="sq-AL"/>
        </w:rPr>
        <w:t xml:space="preserve"> </w:t>
      </w:r>
      <w:r w:rsidR="00E06E0F" w:rsidRPr="005208DC">
        <w:rPr>
          <w:rFonts w:asciiTheme="majorBidi" w:hAnsiTheme="majorBidi" w:cstheme="majorBidi"/>
          <w:color w:val="0D0D0D" w:themeColor="text1" w:themeTint="F2"/>
          <w:lang w:val="sq-AL"/>
        </w:rPr>
        <w:t>#3</w:t>
      </w:r>
    </w:p>
    <w:tbl>
      <w:tblPr>
        <w:tblStyle w:val="TableGrid"/>
        <w:tblW w:w="10201" w:type="dxa"/>
        <w:tblLook w:val="04A0" w:firstRow="1" w:lastRow="0" w:firstColumn="1" w:lastColumn="0" w:noHBand="0" w:noVBand="1"/>
      </w:tblPr>
      <w:tblGrid>
        <w:gridCol w:w="817"/>
        <w:gridCol w:w="1876"/>
        <w:gridCol w:w="1877"/>
        <w:gridCol w:w="1877"/>
        <w:gridCol w:w="1877"/>
        <w:gridCol w:w="1877"/>
      </w:tblGrid>
      <w:tr w:rsidR="005208DC" w:rsidRPr="005208DC" w14:paraId="54CDA431" w14:textId="77777777" w:rsidTr="00F51BF1">
        <w:tc>
          <w:tcPr>
            <w:tcW w:w="10201" w:type="dxa"/>
            <w:gridSpan w:val="6"/>
            <w:shd w:val="clear" w:color="auto" w:fill="E5DFEC" w:themeFill="accent4" w:themeFillTint="33"/>
          </w:tcPr>
          <w:p w14:paraId="35B0A599" w14:textId="426C5619" w:rsidR="00E06E0F" w:rsidRPr="005208DC" w:rsidRDefault="00B2062A" w:rsidP="00857902">
            <w:pPr>
              <w:snapToGrid w:val="0"/>
              <w:rPr>
                <w:rFonts w:asciiTheme="majorBidi" w:hAnsiTheme="majorBidi" w:cstheme="majorBidi"/>
                <w:b/>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06:</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color w:val="0D0D0D" w:themeColor="text1" w:themeTint="F2"/>
                <w:sz w:val="22"/>
                <w:szCs w:val="22"/>
                <w:lang w:val="sq-AL"/>
              </w:rPr>
              <w:t>Fuqizimi i luftës kundër informalitetit</w:t>
            </w:r>
          </w:p>
        </w:tc>
      </w:tr>
      <w:tr w:rsidR="005208DC" w:rsidRPr="005208DC" w14:paraId="28D21866" w14:textId="77777777" w:rsidTr="00BC0346">
        <w:tc>
          <w:tcPr>
            <w:tcW w:w="817" w:type="dxa"/>
          </w:tcPr>
          <w:p w14:paraId="7020BBD2" w14:textId="791F1A9E"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876" w:type="dxa"/>
          </w:tcPr>
          <w:p w14:paraId="32D26731" w14:textId="07E47C32"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Rrogat</w:t>
            </w:r>
          </w:p>
        </w:tc>
        <w:tc>
          <w:tcPr>
            <w:tcW w:w="1877" w:type="dxa"/>
          </w:tcPr>
          <w:p w14:paraId="4CCD9F09" w14:textId="32097219"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Mallra dhe shërbime</w:t>
            </w:r>
          </w:p>
        </w:tc>
        <w:tc>
          <w:tcPr>
            <w:tcW w:w="1877" w:type="dxa"/>
          </w:tcPr>
          <w:p w14:paraId="075B0D1E" w14:textId="42925706"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Subvencione &amp; transferta</w:t>
            </w:r>
          </w:p>
        </w:tc>
        <w:tc>
          <w:tcPr>
            <w:tcW w:w="1877" w:type="dxa"/>
          </w:tcPr>
          <w:p w14:paraId="4B12DA24" w14:textId="5F087044"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Shpenzime kapitale</w:t>
            </w:r>
          </w:p>
        </w:tc>
        <w:tc>
          <w:tcPr>
            <w:tcW w:w="1877" w:type="dxa"/>
          </w:tcPr>
          <w:p w14:paraId="2D47714B" w14:textId="21B35EAD"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5FC28D48" w14:textId="77777777" w:rsidTr="00BC0346">
        <w:tc>
          <w:tcPr>
            <w:tcW w:w="817" w:type="dxa"/>
          </w:tcPr>
          <w:p w14:paraId="1EFEC5D7"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876" w:type="dxa"/>
            <w:vAlign w:val="center"/>
          </w:tcPr>
          <w:p w14:paraId="2EF89935"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vAlign w:val="center"/>
          </w:tcPr>
          <w:p w14:paraId="121A4067"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vAlign w:val="center"/>
          </w:tcPr>
          <w:p w14:paraId="14256119"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vAlign w:val="center"/>
          </w:tcPr>
          <w:p w14:paraId="790ABFF7"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vAlign w:val="center"/>
          </w:tcPr>
          <w:p w14:paraId="2C73564D"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r>
      <w:tr w:rsidR="005208DC" w:rsidRPr="005208DC" w14:paraId="2CA82EF2" w14:textId="77777777" w:rsidTr="00BC0346">
        <w:tc>
          <w:tcPr>
            <w:tcW w:w="817" w:type="dxa"/>
          </w:tcPr>
          <w:p w14:paraId="45B2DDAB"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876" w:type="dxa"/>
            <w:vAlign w:val="center"/>
          </w:tcPr>
          <w:p w14:paraId="79EED324"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vAlign w:val="center"/>
          </w:tcPr>
          <w:p w14:paraId="5A270D1A"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vAlign w:val="center"/>
          </w:tcPr>
          <w:p w14:paraId="272E968F"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vAlign w:val="center"/>
          </w:tcPr>
          <w:p w14:paraId="4152A5F2"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vAlign w:val="center"/>
          </w:tcPr>
          <w:p w14:paraId="1AB4FF05"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r>
      <w:tr w:rsidR="005208DC" w:rsidRPr="005208DC" w14:paraId="02406243" w14:textId="77777777" w:rsidTr="00BC0346">
        <w:tc>
          <w:tcPr>
            <w:tcW w:w="817" w:type="dxa"/>
          </w:tcPr>
          <w:p w14:paraId="4B1DC25F"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876" w:type="dxa"/>
            <w:vAlign w:val="center"/>
          </w:tcPr>
          <w:p w14:paraId="4FB682CA"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vAlign w:val="center"/>
          </w:tcPr>
          <w:p w14:paraId="27C455C7"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vAlign w:val="center"/>
          </w:tcPr>
          <w:p w14:paraId="321B7754"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vAlign w:val="center"/>
          </w:tcPr>
          <w:p w14:paraId="62BDA8A8"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vAlign w:val="center"/>
          </w:tcPr>
          <w:p w14:paraId="20FC1863"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r>
    </w:tbl>
    <w:p w14:paraId="7B066513" w14:textId="77777777" w:rsidR="00E06E0F" w:rsidRPr="005208DC" w:rsidRDefault="00E06E0F" w:rsidP="00857902">
      <w:pPr>
        <w:rPr>
          <w:rFonts w:asciiTheme="majorBidi" w:hAnsiTheme="majorBidi" w:cstheme="majorBidi"/>
          <w:color w:val="0D0D0D" w:themeColor="text1" w:themeTint="F2"/>
          <w:sz w:val="22"/>
          <w:szCs w:val="22"/>
          <w:lang w:val="sq-AL"/>
        </w:rPr>
      </w:pPr>
    </w:p>
    <w:tbl>
      <w:tblPr>
        <w:tblStyle w:val="TableGrid"/>
        <w:tblW w:w="10201" w:type="dxa"/>
        <w:tblLook w:val="04A0" w:firstRow="1" w:lastRow="0" w:firstColumn="1" w:lastColumn="0" w:noHBand="0" w:noVBand="1"/>
      </w:tblPr>
      <w:tblGrid>
        <w:gridCol w:w="817"/>
        <w:gridCol w:w="1876"/>
        <w:gridCol w:w="1877"/>
        <w:gridCol w:w="1877"/>
        <w:gridCol w:w="1877"/>
        <w:gridCol w:w="1877"/>
      </w:tblGrid>
      <w:tr w:rsidR="005208DC" w:rsidRPr="005208DC" w14:paraId="75431A9E" w14:textId="77777777" w:rsidTr="00F51BF1">
        <w:tc>
          <w:tcPr>
            <w:tcW w:w="10201" w:type="dxa"/>
            <w:gridSpan w:val="6"/>
            <w:shd w:val="clear" w:color="auto" w:fill="E5DFEC" w:themeFill="accent4" w:themeFillTint="33"/>
          </w:tcPr>
          <w:p w14:paraId="3F6087B6" w14:textId="135564DE" w:rsidR="00E06E0F" w:rsidRPr="005208DC" w:rsidRDefault="00B2062A" w:rsidP="00857902">
            <w:pPr>
              <w:snapToGrid w:val="0"/>
              <w:rPr>
                <w:rFonts w:asciiTheme="majorBidi" w:hAnsiTheme="majorBidi" w:cstheme="majorBidi"/>
                <w:b/>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07:</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color w:val="0D0D0D" w:themeColor="text1" w:themeTint="F2"/>
                <w:sz w:val="22"/>
                <w:szCs w:val="22"/>
                <w:lang w:val="sq-AL"/>
              </w:rPr>
              <w:t>Zhvillimi i kuadrit ligjor për të mbështetur start-up inovative</w:t>
            </w:r>
          </w:p>
        </w:tc>
      </w:tr>
      <w:tr w:rsidR="005208DC" w:rsidRPr="005208DC" w14:paraId="0573ADAD" w14:textId="77777777" w:rsidTr="00BC0346">
        <w:tc>
          <w:tcPr>
            <w:tcW w:w="817" w:type="dxa"/>
          </w:tcPr>
          <w:p w14:paraId="2A6126DF" w14:textId="5D5DCFA8"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876" w:type="dxa"/>
          </w:tcPr>
          <w:p w14:paraId="6C1CFC12" w14:textId="58A9979E"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Rrogat</w:t>
            </w:r>
          </w:p>
        </w:tc>
        <w:tc>
          <w:tcPr>
            <w:tcW w:w="1877" w:type="dxa"/>
          </w:tcPr>
          <w:p w14:paraId="2EFF2E2F" w14:textId="3562002B"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Mallra dhe shërbime</w:t>
            </w:r>
          </w:p>
        </w:tc>
        <w:tc>
          <w:tcPr>
            <w:tcW w:w="1877" w:type="dxa"/>
          </w:tcPr>
          <w:p w14:paraId="0E9B8D6E" w14:textId="34346364"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Subvencione &amp; transferta</w:t>
            </w:r>
          </w:p>
        </w:tc>
        <w:tc>
          <w:tcPr>
            <w:tcW w:w="1877" w:type="dxa"/>
          </w:tcPr>
          <w:p w14:paraId="008D6BF6" w14:textId="48883E6F"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Shpenzime kapitale</w:t>
            </w:r>
          </w:p>
        </w:tc>
        <w:tc>
          <w:tcPr>
            <w:tcW w:w="1877" w:type="dxa"/>
          </w:tcPr>
          <w:p w14:paraId="4C737C48" w14:textId="37D732EE"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5556D5D2" w14:textId="77777777" w:rsidTr="00BC0346">
        <w:tc>
          <w:tcPr>
            <w:tcW w:w="817" w:type="dxa"/>
          </w:tcPr>
          <w:p w14:paraId="41DA8AC8"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876" w:type="dxa"/>
          </w:tcPr>
          <w:p w14:paraId="780AF8B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123,559</w:t>
            </w:r>
          </w:p>
        </w:tc>
        <w:tc>
          <w:tcPr>
            <w:tcW w:w="1877" w:type="dxa"/>
          </w:tcPr>
          <w:p w14:paraId="57F3769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3218719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240,307</w:t>
            </w:r>
          </w:p>
        </w:tc>
        <w:tc>
          <w:tcPr>
            <w:tcW w:w="1877" w:type="dxa"/>
            <w:vAlign w:val="center"/>
          </w:tcPr>
          <w:p w14:paraId="6ECB852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vAlign w:val="center"/>
          </w:tcPr>
          <w:p w14:paraId="10C0F3D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363,866</w:t>
            </w:r>
          </w:p>
        </w:tc>
      </w:tr>
      <w:tr w:rsidR="005208DC" w:rsidRPr="005208DC" w14:paraId="7305E731" w14:textId="77777777" w:rsidTr="00BC0346">
        <w:tc>
          <w:tcPr>
            <w:tcW w:w="817" w:type="dxa"/>
          </w:tcPr>
          <w:p w14:paraId="7F55AFE7"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876" w:type="dxa"/>
          </w:tcPr>
          <w:p w14:paraId="154A303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123,559</w:t>
            </w:r>
          </w:p>
        </w:tc>
        <w:tc>
          <w:tcPr>
            <w:tcW w:w="1877" w:type="dxa"/>
          </w:tcPr>
          <w:p w14:paraId="5A28C58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692FEA6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2,537,256</w:t>
            </w:r>
          </w:p>
        </w:tc>
        <w:tc>
          <w:tcPr>
            <w:tcW w:w="1877" w:type="dxa"/>
          </w:tcPr>
          <w:p w14:paraId="6E4010A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2ACC19C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2,660,815</w:t>
            </w:r>
          </w:p>
        </w:tc>
      </w:tr>
      <w:tr w:rsidR="005208DC" w:rsidRPr="005208DC" w14:paraId="1D82CE5A" w14:textId="77777777" w:rsidTr="00BC0346">
        <w:tc>
          <w:tcPr>
            <w:tcW w:w="817" w:type="dxa"/>
          </w:tcPr>
          <w:p w14:paraId="44834553"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876" w:type="dxa"/>
          </w:tcPr>
          <w:p w14:paraId="7B076B2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123,559</w:t>
            </w:r>
          </w:p>
        </w:tc>
        <w:tc>
          <w:tcPr>
            <w:tcW w:w="1877" w:type="dxa"/>
          </w:tcPr>
          <w:p w14:paraId="66A7780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41B3DCD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2,537,256</w:t>
            </w:r>
          </w:p>
        </w:tc>
        <w:tc>
          <w:tcPr>
            <w:tcW w:w="1877" w:type="dxa"/>
          </w:tcPr>
          <w:p w14:paraId="2C2BDE1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29F4558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2,660,815</w:t>
            </w:r>
          </w:p>
        </w:tc>
      </w:tr>
    </w:tbl>
    <w:p w14:paraId="3E331B27" w14:textId="77777777" w:rsidR="00E06E0F" w:rsidRPr="005208DC" w:rsidRDefault="00E06E0F" w:rsidP="00857902">
      <w:pPr>
        <w:rPr>
          <w:rFonts w:asciiTheme="majorBidi" w:hAnsiTheme="majorBidi" w:cstheme="majorBidi"/>
          <w:color w:val="0D0D0D" w:themeColor="text1" w:themeTint="F2"/>
          <w:sz w:val="22"/>
          <w:szCs w:val="22"/>
          <w:lang w:val="sq-AL"/>
        </w:rPr>
      </w:pPr>
    </w:p>
    <w:tbl>
      <w:tblPr>
        <w:tblStyle w:val="TableGrid"/>
        <w:tblW w:w="10201" w:type="dxa"/>
        <w:tblLook w:val="04A0" w:firstRow="1" w:lastRow="0" w:firstColumn="1" w:lastColumn="0" w:noHBand="0" w:noVBand="1"/>
      </w:tblPr>
      <w:tblGrid>
        <w:gridCol w:w="817"/>
        <w:gridCol w:w="1876"/>
        <w:gridCol w:w="1877"/>
        <w:gridCol w:w="1877"/>
        <w:gridCol w:w="1877"/>
        <w:gridCol w:w="1877"/>
      </w:tblGrid>
      <w:tr w:rsidR="005208DC" w:rsidRPr="005208DC" w14:paraId="6B4AB2CE" w14:textId="77777777" w:rsidTr="00F51BF1">
        <w:tc>
          <w:tcPr>
            <w:tcW w:w="10201" w:type="dxa"/>
            <w:gridSpan w:val="6"/>
            <w:shd w:val="clear" w:color="auto" w:fill="E5DFEC" w:themeFill="accent4" w:themeFillTint="33"/>
          </w:tcPr>
          <w:p w14:paraId="49A57372" w14:textId="6099129F" w:rsidR="00E06E0F" w:rsidRPr="005208DC" w:rsidRDefault="00B2062A" w:rsidP="00857902">
            <w:pPr>
              <w:snapToGrid w:val="0"/>
              <w:rPr>
                <w:rFonts w:asciiTheme="majorBidi" w:hAnsiTheme="majorBidi" w:cstheme="majorBidi"/>
                <w:b/>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08:</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iCs/>
                <w:color w:val="0D0D0D" w:themeColor="text1" w:themeTint="F2"/>
                <w:sz w:val="22"/>
                <w:szCs w:val="22"/>
                <w:lang w:val="sq-AL"/>
              </w:rPr>
              <w:t>Masat mbështetëse për NMVM</w:t>
            </w:r>
          </w:p>
        </w:tc>
      </w:tr>
      <w:tr w:rsidR="005208DC" w:rsidRPr="005208DC" w14:paraId="3044872B" w14:textId="77777777" w:rsidTr="00BC0346">
        <w:tc>
          <w:tcPr>
            <w:tcW w:w="817" w:type="dxa"/>
          </w:tcPr>
          <w:p w14:paraId="2BBA733C" w14:textId="1EC74CE7"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876" w:type="dxa"/>
          </w:tcPr>
          <w:p w14:paraId="2AE39BF1" w14:textId="5F1E6349"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Rrogat</w:t>
            </w:r>
          </w:p>
        </w:tc>
        <w:tc>
          <w:tcPr>
            <w:tcW w:w="1877" w:type="dxa"/>
          </w:tcPr>
          <w:p w14:paraId="78E2298A" w14:textId="11998687"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Mallra dhe shërbime</w:t>
            </w:r>
          </w:p>
        </w:tc>
        <w:tc>
          <w:tcPr>
            <w:tcW w:w="1877" w:type="dxa"/>
          </w:tcPr>
          <w:p w14:paraId="17608DCB" w14:textId="1C217F53"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Subvencione &amp; transferta</w:t>
            </w:r>
          </w:p>
        </w:tc>
        <w:tc>
          <w:tcPr>
            <w:tcW w:w="1877" w:type="dxa"/>
          </w:tcPr>
          <w:p w14:paraId="6E2C658E" w14:textId="1DB3D0AB"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Shpenzime kapitale</w:t>
            </w:r>
          </w:p>
        </w:tc>
        <w:tc>
          <w:tcPr>
            <w:tcW w:w="1877" w:type="dxa"/>
          </w:tcPr>
          <w:p w14:paraId="3840FD5C" w14:textId="32B82E19"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02657B6B" w14:textId="77777777" w:rsidTr="00BC0346">
        <w:tc>
          <w:tcPr>
            <w:tcW w:w="817" w:type="dxa"/>
          </w:tcPr>
          <w:p w14:paraId="500240CE"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876" w:type="dxa"/>
          </w:tcPr>
          <w:p w14:paraId="017D03E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33,096</w:t>
            </w:r>
          </w:p>
        </w:tc>
        <w:tc>
          <w:tcPr>
            <w:tcW w:w="1877" w:type="dxa"/>
          </w:tcPr>
          <w:p w14:paraId="340C031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51,471</w:t>
            </w:r>
          </w:p>
        </w:tc>
        <w:tc>
          <w:tcPr>
            <w:tcW w:w="1877" w:type="dxa"/>
          </w:tcPr>
          <w:p w14:paraId="4BE0914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2,219,057</w:t>
            </w:r>
          </w:p>
        </w:tc>
        <w:tc>
          <w:tcPr>
            <w:tcW w:w="1877" w:type="dxa"/>
            <w:vAlign w:val="center"/>
          </w:tcPr>
          <w:p w14:paraId="013348E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vAlign w:val="center"/>
          </w:tcPr>
          <w:p w14:paraId="27805C6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2,303,624</w:t>
            </w:r>
          </w:p>
        </w:tc>
      </w:tr>
      <w:tr w:rsidR="005208DC" w:rsidRPr="005208DC" w14:paraId="79CD5693" w14:textId="77777777" w:rsidTr="00BC0346">
        <w:tc>
          <w:tcPr>
            <w:tcW w:w="817" w:type="dxa"/>
          </w:tcPr>
          <w:p w14:paraId="0A3C65FE"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876" w:type="dxa"/>
          </w:tcPr>
          <w:p w14:paraId="4A21804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33,096</w:t>
            </w:r>
          </w:p>
        </w:tc>
        <w:tc>
          <w:tcPr>
            <w:tcW w:w="1877" w:type="dxa"/>
          </w:tcPr>
          <w:p w14:paraId="02420E9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51,471</w:t>
            </w:r>
          </w:p>
        </w:tc>
        <w:tc>
          <w:tcPr>
            <w:tcW w:w="1877" w:type="dxa"/>
          </w:tcPr>
          <w:p w14:paraId="3B35922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2,333,813</w:t>
            </w:r>
          </w:p>
        </w:tc>
        <w:tc>
          <w:tcPr>
            <w:tcW w:w="1877" w:type="dxa"/>
          </w:tcPr>
          <w:p w14:paraId="113525A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3EF28B0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2,418,380</w:t>
            </w:r>
          </w:p>
        </w:tc>
      </w:tr>
      <w:tr w:rsidR="005208DC" w:rsidRPr="005208DC" w14:paraId="6C7F5ED2" w14:textId="77777777" w:rsidTr="00BC0346">
        <w:tc>
          <w:tcPr>
            <w:tcW w:w="817" w:type="dxa"/>
          </w:tcPr>
          <w:p w14:paraId="557F31F9"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876" w:type="dxa"/>
          </w:tcPr>
          <w:p w14:paraId="0BACFEF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33,096</w:t>
            </w:r>
          </w:p>
        </w:tc>
        <w:tc>
          <w:tcPr>
            <w:tcW w:w="1877" w:type="dxa"/>
          </w:tcPr>
          <w:p w14:paraId="06BD231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51,471</w:t>
            </w:r>
          </w:p>
        </w:tc>
        <w:tc>
          <w:tcPr>
            <w:tcW w:w="1877" w:type="dxa"/>
          </w:tcPr>
          <w:p w14:paraId="20F8046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123,473</w:t>
            </w:r>
          </w:p>
        </w:tc>
        <w:tc>
          <w:tcPr>
            <w:tcW w:w="1877" w:type="dxa"/>
          </w:tcPr>
          <w:p w14:paraId="65CD64C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139F976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208,040</w:t>
            </w:r>
          </w:p>
        </w:tc>
      </w:tr>
    </w:tbl>
    <w:p w14:paraId="6D657E6B" w14:textId="77777777" w:rsidR="00E06E0F" w:rsidRPr="005208DC" w:rsidRDefault="00E06E0F" w:rsidP="00857902">
      <w:pPr>
        <w:rPr>
          <w:rFonts w:asciiTheme="majorBidi" w:hAnsiTheme="majorBidi" w:cstheme="majorBidi"/>
          <w:color w:val="0D0D0D" w:themeColor="text1" w:themeTint="F2"/>
          <w:sz w:val="22"/>
          <w:szCs w:val="22"/>
          <w:lang w:val="sq-AL"/>
        </w:rPr>
      </w:pPr>
    </w:p>
    <w:tbl>
      <w:tblPr>
        <w:tblStyle w:val="TableGrid"/>
        <w:tblW w:w="10201" w:type="dxa"/>
        <w:tblLook w:val="04A0" w:firstRow="1" w:lastRow="0" w:firstColumn="1" w:lastColumn="0" w:noHBand="0" w:noVBand="1"/>
      </w:tblPr>
      <w:tblGrid>
        <w:gridCol w:w="817"/>
        <w:gridCol w:w="1876"/>
        <w:gridCol w:w="1877"/>
        <w:gridCol w:w="1877"/>
        <w:gridCol w:w="1877"/>
        <w:gridCol w:w="1877"/>
      </w:tblGrid>
      <w:tr w:rsidR="005208DC" w:rsidRPr="005208DC" w14:paraId="18ECDA8C" w14:textId="77777777" w:rsidTr="00F51BF1">
        <w:tc>
          <w:tcPr>
            <w:tcW w:w="10201" w:type="dxa"/>
            <w:gridSpan w:val="6"/>
            <w:shd w:val="clear" w:color="auto" w:fill="E5DFEC" w:themeFill="accent4" w:themeFillTint="33"/>
          </w:tcPr>
          <w:p w14:paraId="69AFD0DF" w14:textId="285DB6A3" w:rsidR="00E06E0F" w:rsidRPr="005208DC" w:rsidRDefault="00B2062A" w:rsidP="00857902">
            <w:pPr>
              <w:snapToGrid w:val="0"/>
              <w:rPr>
                <w:rFonts w:asciiTheme="majorBidi" w:hAnsiTheme="majorBidi" w:cstheme="majorBidi"/>
                <w:b/>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09:</w:t>
            </w:r>
            <w:r w:rsidR="000B0C45" w:rsidRPr="005208DC">
              <w:rPr>
                <w:rFonts w:asciiTheme="majorBidi" w:hAnsiTheme="majorBidi" w:cstheme="majorBidi"/>
                <w:b/>
                <w:color w:val="0D0D0D" w:themeColor="text1" w:themeTint="F2"/>
                <w:sz w:val="22"/>
                <w:szCs w:val="22"/>
                <w:lang w:val="sq-AL"/>
              </w:rPr>
              <w:t xml:space="preserve"> </w:t>
            </w:r>
            <w:r w:rsidR="009D1DD3" w:rsidRPr="005208DC">
              <w:rPr>
                <w:rFonts w:asciiTheme="majorBidi" w:hAnsiTheme="majorBidi" w:cstheme="majorBidi"/>
                <w:b/>
                <w:color w:val="0D0D0D" w:themeColor="text1" w:themeTint="F2"/>
                <w:sz w:val="22"/>
                <w:szCs w:val="22"/>
                <w:lang w:val="sq-AL"/>
              </w:rPr>
              <w:t>Modernizimi i instrumenteve të pagesave me vlerë të vogël</w:t>
            </w:r>
          </w:p>
        </w:tc>
      </w:tr>
      <w:tr w:rsidR="005208DC" w:rsidRPr="005208DC" w14:paraId="08FAA957" w14:textId="77777777" w:rsidTr="00BC0346">
        <w:tc>
          <w:tcPr>
            <w:tcW w:w="817" w:type="dxa"/>
          </w:tcPr>
          <w:p w14:paraId="5188F70A" w14:textId="03000C55"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876" w:type="dxa"/>
          </w:tcPr>
          <w:p w14:paraId="0E7A0DBB" w14:textId="78F51254"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Rrogat</w:t>
            </w:r>
          </w:p>
        </w:tc>
        <w:tc>
          <w:tcPr>
            <w:tcW w:w="1877" w:type="dxa"/>
          </w:tcPr>
          <w:p w14:paraId="7B6D8344" w14:textId="7BACF9F4"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Mallra dhe shërbime</w:t>
            </w:r>
          </w:p>
        </w:tc>
        <w:tc>
          <w:tcPr>
            <w:tcW w:w="1877" w:type="dxa"/>
          </w:tcPr>
          <w:p w14:paraId="3351BAB8" w14:textId="44CCAF04"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Subvencione &amp; transferta</w:t>
            </w:r>
          </w:p>
        </w:tc>
        <w:tc>
          <w:tcPr>
            <w:tcW w:w="1877" w:type="dxa"/>
          </w:tcPr>
          <w:p w14:paraId="6174F7CA" w14:textId="6D39BE11"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Shpenzime kapitale</w:t>
            </w:r>
          </w:p>
        </w:tc>
        <w:tc>
          <w:tcPr>
            <w:tcW w:w="1877" w:type="dxa"/>
          </w:tcPr>
          <w:p w14:paraId="5F52DD24" w14:textId="032BDE80"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4AD6BCCB" w14:textId="77777777" w:rsidTr="00BC0346">
        <w:tc>
          <w:tcPr>
            <w:tcW w:w="817" w:type="dxa"/>
          </w:tcPr>
          <w:p w14:paraId="133F1A5E" w14:textId="77777777" w:rsidR="00BC0346" w:rsidRPr="005208DC" w:rsidRDefault="00BC0346"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876" w:type="dxa"/>
          </w:tcPr>
          <w:p w14:paraId="76E33E9E" w14:textId="77777777" w:rsidR="00BC0346" w:rsidRPr="005208DC" w:rsidRDefault="00BC0346" w:rsidP="00857902">
            <w:pPr>
              <w:snapToGrid w:val="0"/>
              <w:jc w:val="right"/>
              <w:rPr>
                <w:rFonts w:asciiTheme="majorBidi" w:hAnsiTheme="majorBidi" w:cstheme="majorBidi"/>
                <w:color w:val="0D0D0D" w:themeColor="text1" w:themeTint="F2"/>
                <w:sz w:val="22"/>
                <w:szCs w:val="22"/>
                <w:lang w:val="sq-AL"/>
              </w:rPr>
            </w:pPr>
          </w:p>
        </w:tc>
        <w:tc>
          <w:tcPr>
            <w:tcW w:w="1877" w:type="dxa"/>
          </w:tcPr>
          <w:p w14:paraId="06E635A1" w14:textId="77777777" w:rsidR="00BC0346" w:rsidRPr="005208DC" w:rsidRDefault="00BC0346" w:rsidP="00857902">
            <w:pPr>
              <w:snapToGrid w:val="0"/>
              <w:jc w:val="right"/>
              <w:rPr>
                <w:rFonts w:asciiTheme="majorBidi" w:hAnsiTheme="majorBidi" w:cstheme="majorBidi"/>
                <w:color w:val="0D0D0D" w:themeColor="text1" w:themeTint="F2"/>
                <w:sz w:val="22"/>
                <w:szCs w:val="22"/>
                <w:lang w:val="sq-AL"/>
              </w:rPr>
            </w:pPr>
          </w:p>
        </w:tc>
        <w:tc>
          <w:tcPr>
            <w:tcW w:w="1877" w:type="dxa"/>
          </w:tcPr>
          <w:p w14:paraId="48A40946" w14:textId="77777777" w:rsidR="00BC0346" w:rsidRPr="005208DC" w:rsidRDefault="00BC0346" w:rsidP="00857902">
            <w:pPr>
              <w:snapToGrid w:val="0"/>
              <w:jc w:val="right"/>
              <w:rPr>
                <w:rFonts w:asciiTheme="majorBidi" w:hAnsiTheme="majorBidi" w:cstheme="majorBidi"/>
                <w:color w:val="0D0D0D" w:themeColor="text1" w:themeTint="F2"/>
                <w:sz w:val="22"/>
                <w:szCs w:val="22"/>
                <w:lang w:val="sq-AL"/>
              </w:rPr>
            </w:pPr>
          </w:p>
        </w:tc>
        <w:tc>
          <w:tcPr>
            <w:tcW w:w="1877" w:type="dxa"/>
            <w:vAlign w:val="center"/>
          </w:tcPr>
          <w:p w14:paraId="5804AD93" w14:textId="7A4CEDC0" w:rsidR="00BC0346" w:rsidRPr="005208DC" w:rsidRDefault="00BC0346" w:rsidP="00857902">
            <w:pPr>
              <w:snapToGrid w:val="0"/>
              <w:jc w:val="right"/>
              <w:rPr>
                <w:rFonts w:asciiTheme="majorBidi" w:hAnsiTheme="majorBidi" w:cstheme="majorBidi"/>
                <w:color w:val="0D0D0D" w:themeColor="text1" w:themeTint="F2"/>
                <w:sz w:val="22"/>
                <w:szCs w:val="22"/>
                <w:lang w:val="sq-AL"/>
              </w:rPr>
            </w:pPr>
            <w:r w:rsidRPr="005208DC">
              <w:rPr>
                <w:rFonts w:ascii="Times New Roman" w:hAnsi="Times New Roman"/>
                <w:color w:val="0D0D0D" w:themeColor="text1" w:themeTint="F2"/>
                <w:lang w:val="sq-AL"/>
              </w:rPr>
              <w:t>3,000,000</w:t>
            </w:r>
            <w:r w:rsidRPr="005208DC">
              <w:rPr>
                <w:rStyle w:val="FootnoteReference"/>
                <w:rFonts w:ascii="Times New Roman" w:hAnsi="Times New Roman"/>
                <w:color w:val="0D0D0D" w:themeColor="text1" w:themeTint="F2"/>
                <w:lang w:val="sq-AL"/>
              </w:rPr>
              <w:footnoteReference w:id="28"/>
            </w:r>
          </w:p>
        </w:tc>
        <w:tc>
          <w:tcPr>
            <w:tcW w:w="1877" w:type="dxa"/>
            <w:vAlign w:val="center"/>
          </w:tcPr>
          <w:p w14:paraId="4683D6DD" w14:textId="501AD279" w:rsidR="00BC0346" w:rsidRPr="005208DC" w:rsidRDefault="00BC0346"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lang w:val="sq-AL"/>
              </w:rPr>
              <w:t>3,000,000</w:t>
            </w:r>
          </w:p>
        </w:tc>
      </w:tr>
      <w:tr w:rsidR="005208DC" w:rsidRPr="005208DC" w14:paraId="0B806C65" w14:textId="77777777" w:rsidTr="00BC0346">
        <w:tc>
          <w:tcPr>
            <w:tcW w:w="817" w:type="dxa"/>
          </w:tcPr>
          <w:p w14:paraId="2B158FCA"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876" w:type="dxa"/>
          </w:tcPr>
          <w:p w14:paraId="7539FC4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7" w:type="dxa"/>
          </w:tcPr>
          <w:p w14:paraId="4C8FAC4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7" w:type="dxa"/>
          </w:tcPr>
          <w:p w14:paraId="3ED0BEB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7" w:type="dxa"/>
          </w:tcPr>
          <w:p w14:paraId="6932332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7" w:type="dxa"/>
          </w:tcPr>
          <w:p w14:paraId="45E2090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r w:rsidR="005208DC" w:rsidRPr="005208DC" w14:paraId="5CA69876" w14:textId="77777777" w:rsidTr="00BC0346">
        <w:tc>
          <w:tcPr>
            <w:tcW w:w="817" w:type="dxa"/>
          </w:tcPr>
          <w:p w14:paraId="58CB09ED"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876" w:type="dxa"/>
          </w:tcPr>
          <w:p w14:paraId="00489B8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7" w:type="dxa"/>
          </w:tcPr>
          <w:p w14:paraId="7C830FA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7" w:type="dxa"/>
          </w:tcPr>
          <w:p w14:paraId="4AFCB82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7" w:type="dxa"/>
          </w:tcPr>
          <w:p w14:paraId="5C30F49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7" w:type="dxa"/>
          </w:tcPr>
          <w:p w14:paraId="5D24824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bl>
    <w:p w14:paraId="7E33C952" w14:textId="77777777" w:rsidR="00E06E0F" w:rsidRPr="005208DC" w:rsidRDefault="00E06E0F" w:rsidP="00857902">
      <w:pPr>
        <w:pBdr>
          <w:bottom w:val="single" w:sz="12" w:space="1" w:color="auto"/>
        </w:pBdr>
        <w:snapToGrid w:val="0"/>
        <w:rPr>
          <w:rFonts w:asciiTheme="majorBidi" w:eastAsia="Arial Narrow" w:hAnsiTheme="majorBidi" w:cstheme="majorBidi"/>
          <w:bCs/>
          <w:color w:val="0D0D0D" w:themeColor="text1" w:themeTint="F2"/>
          <w:sz w:val="22"/>
          <w:szCs w:val="22"/>
          <w:lang w:val="sq-AL"/>
        </w:rPr>
      </w:pPr>
    </w:p>
    <w:p w14:paraId="23BF428E" w14:textId="77777777" w:rsidR="00E06E0F" w:rsidRPr="005208DC" w:rsidRDefault="00E06E0F" w:rsidP="00857902">
      <w:pPr>
        <w:snapToGrid w:val="0"/>
        <w:rPr>
          <w:rFonts w:asciiTheme="majorBidi" w:eastAsia="Arial Narrow" w:hAnsiTheme="majorBidi" w:cstheme="majorBidi"/>
          <w:bCs/>
          <w:color w:val="0D0D0D" w:themeColor="text1" w:themeTint="F2"/>
          <w:sz w:val="22"/>
          <w:szCs w:val="22"/>
          <w:lang w:val="sq-AL"/>
        </w:rPr>
      </w:pPr>
    </w:p>
    <w:p w14:paraId="7B690D7C" w14:textId="4EA9CD6F" w:rsidR="00E06E0F" w:rsidRPr="005208DC" w:rsidRDefault="0089011F" w:rsidP="00857902">
      <w:pPr>
        <w:pStyle w:val="Heading3"/>
        <w:rPr>
          <w:rFonts w:asciiTheme="majorBidi" w:hAnsiTheme="majorBidi" w:cstheme="majorBidi"/>
          <w:b/>
          <w:bCs/>
          <w:color w:val="0D0D0D" w:themeColor="text1" w:themeTint="F2"/>
          <w:sz w:val="22"/>
          <w:szCs w:val="22"/>
          <w:lang w:val="sq-AL"/>
        </w:rPr>
      </w:pPr>
      <w:bookmarkStart w:id="107" w:name="_Toc92721165"/>
      <w:r w:rsidRPr="005208DC">
        <w:rPr>
          <w:rFonts w:asciiTheme="majorBidi" w:hAnsiTheme="majorBidi" w:cstheme="majorBidi"/>
          <w:b/>
          <w:bCs/>
          <w:color w:val="0D0D0D" w:themeColor="text1" w:themeTint="F2"/>
          <w:sz w:val="22"/>
          <w:szCs w:val="22"/>
          <w:lang w:val="sq-AL"/>
        </w:rPr>
        <w:t>Fushat e tjera</w:t>
      </w:r>
      <w:bookmarkEnd w:id="107"/>
    </w:p>
    <w:tbl>
      <w:tblPr>
        <w:tblStyle w:val="TableGrid"/>
        <w:tblW w:w="10201" w:type="dxa"/>
        <w:tblLook w:val="04A0" w:firstRow="1" w:lastRow="0" w:firstColumn="1" w:lastColumn="0" w:noHBand="0" w:noVBand="1"/>
      </w:tblPr>
      <w:tblGrid>
        <w:gridCol w:w="817"/>
        <w:gridCol w:w="1876"/>
        <w:gridCol w:w="1877"/>
        <w:gridCol w:w="1877"/>
        <w:gridCol w:w="1877"/>
        <w:gridCol w:w="1877"/>
      </w:tblGrid>
      <w:tr w:rsidR="005208DC" w:rsidRPr="005208DC" w14:paraId="4CC49ECB" w14:textId="77777777" w:rsidTr="00F51BF1">
        <w:tc>
          <w:tcPr>
            <w:tcW w:w="10201" w:type="dxa"/>
            <w:gridSpan w:val="6"/>
            <w:shd w:val="clear" w:color="auto" w:fill="E5DFEC" w:themeFill="accent4" w:themeFillTint="33"/>
          </w:tcPr>
          <w:p w14:paraId="08374E54" w14:textId="173E4EF6" w:rsidR="00E06E0F" w:rsidRPr="005208DC" w:rsidRDefault="00B2062A" w:rsidP="00857902">
            <w:pPr>
              <w:snapToGrid w:val="0"/>
              <w:rPr>
                <w:rFonts w:asciiTheme="majorBidi" w:hAnsiTheme="majorBidi" w:cstheme="majorBidi"/>
                <w:b/>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10:</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color w:val="0D0D0D" w:themeColor="text1" w:themeTint="F2"/>
                <w:sz w:val="22"/>
                <w:szCs w:val="22"/>
                <w:lang w:val="sq-AL"/>
              </w:rPr>
              <w:t>Investimet strategjike publike</w:t>
            </w:r>
          </w:p>
        </w:tc>
      </w:tr>
      <w:tr w:rsidR="005208DC" w:rsidRPr="005208DC" w14:paraId="4F75E079" w14:textId="77777777" w:rsidTr="00BC0346">
        <w:tc>
          <w:tcPr>
            <w:tcW w:w="817" w:type="dxa"/>
          </w:tcPr>
          <w:p w14:paraId="2E0CA704" w14:textId="129B4833"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876" w:type="dxa"/>
          </w:tcPr>
          <w:p w14:paraId="3670130E" w14:textId="123F5DAF"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Rrogat</w:t>
            </w:r>
          </w:p>
        </w:tc>
        <w:tc>
          <w:tcPr>
            <w:tcW w:w="1877" w:type="dxa"/>
          </w:tcPr>
          <w:p w14:paraId="0497C852" w14:textId="6AD75C5F"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Mallra dhe shërbime</w:t>
            </w:r>
          </w:p>
        </w:tc>
        <w:tc>
          <w:tcPr>
            <w:tcW w:w="1877" w:type="dxa"/>
          </w:tcPr>
          <w:p w14:paraId="4DECA929" w14:textId="7EA31476"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One-time</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Costs</w:t>
            </w:r>
          </w:p>
        </w:tc>
        <w:tc>
          <w:tcPr>
            <w:tcW w:w="1877" w:type="dxa"/>
          </w:tcPr>
          <w:p w14:paraId="0B226CA7" w14:textId="6392CB81"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Shpenzime kapitale</w:t>
            </w:r>
          </w:p>
        </w:tc>
        <w:tc>
          <w:tcPr>
            <w:tcW w:w="1877" w:type="dxa"/>
          </w:tcPr>
          <w:p w14:paraId="42AF0594" w14:textId="32875EE0"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33A262C9" w14:textId="77777777" w:rsidTr="00BC0346">
        <w:trPr>
          <w:trHeight w:val="359"/>
        </w:trPr>
        <w:tc>
          <w:tcPr>
            <w:tcW w:w="817" w:type="dxa"/>
          </w:tcPr>
          <w:p w14:paraId="78315666"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876" w:type="dxa"/>
          </w:tcPr>
          <w:p w14:paraId="17CC7C18" w14:textId="77777777" w:rsidR="00E06E0F" w:rsidRPr="005208DC" w:rsidRDefault="00E06E0F" w:rsidP="00857902">
            <w:pPr>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48566</w:t>
            </w:r>
          </w:p>
        </w:tc>
        <w:tc>
          <w:tcPr>
            <w:tcW w:w="1877" w:type="dxa"/>
          </w:tcPr>
          <w:p w14:paraId="1AC1741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16189</w:t>
            </w:r>
          </w:p>
        </w:tc>
        <w:tc>
          <w:tcPr>
            <w:tcW w:w="1877" w:type="dxa"/>
          </w:tcPr>
          <w:p w14:paraId="0A8E97B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812431</w:t>
            </w:r>
          </w:p>
        </w:tc>
        <w:tc>
          <w:tcPr>
            <w:tcW w:w="1877" w:type="dxa"/>
            <w:vAlign w:val="center"/>
          </w:tcPr>
          <w:p w14:paraId="1B5F957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vAlign w:val="center"/>
          </w:tcPr>
          <w:p w14:paraId="3CF5900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877186</w:t>
            </w:r>
          </w:p>
        </w:tc>
      </w:tr>
      <w:tr w:rsidR="005208DC" w:rsidRPr="005208DC" w14:paraId="58D140F9" w14:textId="77777777" w:rsidTr="00BC0346">
        <w:tc>
          <w:tcPr>
            <w:tcW w:w="817" w:type="dxa"/>
          </w:tcPr>
          <w:p w14:paraId="77B48C7D"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876" w:type="dxa"/>
          </w:tcPr>
          <w:p w14:paraId="647E7E9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48566</w:t>
            </w:r>
          </w:p>
        </w:tc>
        <w:tc>
          <w:tcPr>
            <w:tcW w:w="1877" w:type="dxa"/>
          </w:tcPr>
          <w:p w14:paraId="63CB1EF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16189</w:t>
            </w:r>
          </w:p>
        </w:tc>
        <w:tc>
          <w:tcPr>
            <w:tcW w:w="1877" w:type="dxa"/>
          </w:tcPr>
          <w:p w14:paraId="0270388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812431</w:t>
            </w:r>
          </w:p>
        </w:tc>
        <w:tc>
          <w:tcPr>
            <w:tcW w:w="1877" w:type="dxa"/>
            <w:vAlign w:val="center"/>
          </w:tcPr>
          <w:p w14:paraId="26359FD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vAlign w:val="center"/>
          </w:tcPr>
          <w:p w14:paraId="724193D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877186</w:t>
            </w:r>
          </w:p>
        </w:tc>
      </w:tr>
      <w:tr w:rsidR="005208DC" w:rsidRPr="005208DC" w14:paraId="08F5E071" w14:textId="77777777" w:rsidTr="00BC0346">
        <w:tc>
          <w:tcPr>
            <w:tcW w:w="817" w:type="dxa"/>
          </w:tcPr>
          <w:p w14:paraId="6EB66E31"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876" w:type="dxa"/>
          </w:tcPr>
          <w:p w14:paraId="67AE308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7" w:type="dxa"/>
          </w:tcPr>
          <w:p w14:paraId="2089A10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7" w:type="dxa"/>
          </w:tcPr>
          <w:p w14:paraId="5AF2B95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7" w:type="dxa"/>
          </w:tcPr>
          <w:p w14:paraId="2CBE3DB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7" w:type="dxa"/>
          </w:tcPr>
          <w:p w14:paraId="195264E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bl>
    <w:p w14:paraId="5BAFFF74" w14:textId="77777777" w:rsidR="00E06E0F" w:rsidRPr="005208DC" w:rsidRDefault="00E06E0F" w:rsidP="00857902">
      <w:pPr>
        <w:snapToGrid w:val="0"/>
        <w:rPr>
          <w:rFonts w:asciiTheme="majorBidi" w:eastAsia="Arial Narrow" w:hAnsiTheme="majorBidi" w:cstheme="majorBidi"/>
          <w:bCs/>
          <w:color w:val="0D0D0D" w:themeColor="text1" w:themeTint="F2"/>
          <w:sz w:val="22"/>
          <w:szCs w:val="22"/>
          <w:lang w:val="sq-AL"/>
        </w:rPr>
      </w:pPr>
    </w:p>
    <w:tbl>
      <w:tblPr>
        <w:tblStyle w:val="TableGrid"/>
        <w:tblW w:w="10201" w:type="dxa"/>
        <w:tblLook w:val="04A0" w:firstRow="1" w:lastRow="0" w:firstColumn="1" w:lastColumn="0" w:noHBand="0" w:noVBand="1"/>
      </w:tblPr>
      <w:tblGrid>
        <w:gridCol w:w="817"/>
        <w:gridCol w:w="1876"/>
        <w:gridCol w:w="1877"/>
        <w:gridCol w:w="1877"/>
        <w:gridCol w:w="1877"/>
        <w:gridCol w:w="1877"/>
      </w:tblGrid>
      <w:tr w:rsidR="005208DC" w:rsidRPr="005208DC" w14:paraId="21563E5B" w14:textId="77777777" w:rsidTr="00F51BF1">
        <w:tc>
          <w:tcPr>
            <w:tcW w:w="10201" w:type="dxa"/>
            <w:gridSpan w:val="6"/>
            <w:shd w:val="clear" w:color="auto" w:fill="E5DFEC" w:themeFill="accent4" w:themeFillTint="33"/>
          </w:tcPr>
          <w:p w14:paraId="09E7EC05" w14:textId="0D215514" w:rsidR="00E06E0F" w:rsidRPr="005208DC" w:rsidRDefault="00B2062A" w:rsidP="00857902">
            <w:pPr>
              <w:snapToGrid w:val="0"/>
              <w:rPr>
                <w:rFonts w:asciiTheme="majorBidi" w:hAnsiTheme="majorBidi" w:cstheme="majorBidi"/>
                <w:b/>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11:</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color w:val="0D0D0D" w:themeColor="text1" w:themeTint="F2"/>
                <w:sz w:val="22"/>
                <w:szCs w:val="22"/>
                <w:lang w:val="sq-AL"/>
              </w:rPr>
              <w:t>Zhvillimi i infrastrukturës broadband për ekonominë digjitale</w:t>
            </w:r>
          </w:p>
        </w:tc>
      </w:tr>
      <w:tr w:rsidR="005208DC" w:rsidRPr="005208DC" w14:paraId="49B5494E" w14:textId="77777777" w:rsidTr="00BC0346">
        <w:tc>
          <w:tcPr>
            <w:tcW w:w="817" w:type="dxa"/>
          </w:tcPr>
          <w:p w14:paraId="04A2E7ED" w14:textId="7171770E"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876" w:type="dxa"/>
          </w:tcPr>
          <w:p w14:paraId="78A831C8" w14:textId="3DDB219E"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Rrogat</w:t>
            </w:r>
          </w:p>
        </w:tc>
        <w:tc>
          <w:tcPr>
            <w:tcW w:w="1877" w:type="dxa"/>
          </w:tcPr>
          <w:p w14:paraId="678AB8D2" w14:textId="0368B822"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Mallra dhe shërbime</w:t>
            </w:r>
          </w:p>
        </w:tc>
        <w:tc>
          <w:tcPr>
            <w:tcW w:w="1877" w:type="dxa"/>
          </w:tcPr>
          <w:p w14:paraId="4FE1312C" w14:textId="21EC71CC"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Subvencione &amp; transferta</w:t>
            </w:r>
          </w:p>
        </w:tc>
        <w:tc>
          <w:tcPr>
            <w:tcW w:w="1877" w:type="dxa"/>
          </w:tcPr>
          <w:p w14:paraId="0D283982" w14:textId="427BE527"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Shpenzime kapitale</w:t>
            </w:r>
          </w:p>
        </w:tc>
        <w:tc>
          <w:tcPr>
            <w:tcW w:w="1877" w:type="dxa"/>
          </w:tcPr>
          <w:p w14:paraId="5B32DF81" w14:textId="1DBF19F0"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5A6D93F3" w14:textId="77777777" w:rsidTr="00BC0346">
        <w:tc>
          <w:tcPr>
            <w:tcW w:w="817" w:type="dxa"/>
          </w:tcPr>
          <w:p w14:paraId="4ACA0F53"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876" w:type="dxa"/>
          </w:tcPr>
          <w:p w14:paraId="44BAC2C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tcPr>
          <w:p w14:paraId="4BCE83F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1113333</w:t>
            </w:r>
          </w:p>
        </w:tc>
        <w:tc>
          <w:tcPr>
            <w:tcW w:w="1877" w:type="dxa"/>
          </w:tcPr>
          <w:p w14:paraId="4CAA4FE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tcPr>
          <w:p w14:paraId="3CC77C2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tcPr>
          <w:p w14:paraId="4BF3937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1113333</w:t>
            </w:r>
          </w:p>
        </w:tc>
      </w:tr>
      <w:tr w:rsidR="005208DC" w:rsidRPr="005208DC" w14:paraId="724925E8" w14:textId="77777777" w:rsidTr="00BC0346">
        <w:tc>
          <w:tcPr>
            <w:tcW w:w="817" w:type="dxa"/>
          </w:tcPr>
          <w:p w14:paraId="38D1A8F2"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876" w:type="dxa"/>
          </w:tcPr>
          <w:p w14:paraId="5E4B135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tcPr>
          <w:p w14:paraId="01310E9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933333</w:t>
            </w:r>
          </w:p>
        </w:tc>
        <w:tc>
          <w:tcPr>
            <w:tcW w:w="1877" w:type="dxa"/>
          </w:tcPr>
          <w:p w14:paraId="5209ED4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tcPr>
          <w:p w14:paraId="61E1AE7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2.500.000</w:t>
            </w:r>
          </w:p>
        </w:tc>
        <w:tc>
          <w:tcPr>
            <w:tcW w:w="1877" w:type="dxa"/>
          </w:tcPr>
          <w:p w14:paraId="29EFDEF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3433333</w:t>
            </w:r>
          </w:p>
        </w:tc>
      </w:tr>
      <w:tr w:rsidR="005208DC" w:rsidRPr="005208DC" w14:paraId="18A883E0" w14:textId="77777777" w:rsidTr="00BC0346">
        <w:tc>
          <w:tcPr>
            <w:tcW w:w="817" w:type="dxa"/>
          </w:tcPr>
          <w:p w14:paraId="7B402B5D"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876" w:type="dxa"/>
          </w:tcPr>
          <w:p w14:paraId="67CC992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tcPr>
          <w:p w14:paraId="2F1D401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33333</w:t>
            </w:r>
          </w:p>
        </w:tc>
        <w:tc>
          <w:tcPr>
            <w:tcW w:w="1877" w:type="dxa"/>
          </w:tcPr>
          <w:p w14:paraId="102FBB8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tcPr>
          <w:p w14:paraId="1239B40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2.500.000</w:t>
            </w:r>
          </w:p>
        </w:tc>
        <w:tc>
          <w:tcPr>
            <w:tcW w:w="1877" w:type="dxa"/>
          </w:tcPr>
          <w:p w14:paraId="4ABB90A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2533333</w:t>
            </w:r>
          </w:p>
        </w:tc>
      </w:tr>
    </w:tbl>
    <w:p w14:paraId="13D7E6DE" w14:textId="77777777" w:rsidR="00E06E0F" w:rsidRPr="005208DC" w:rsidRDefault="00E06E0F" w:rsidP="00857902">
      <w:pPr>
        <w:snapToGrid w:val="0"/>
        <w:rPr>
          <w:rFonts w:asciiTheme="majorBidi" w:eastAsia="Arial Narrow" w:hAnsiTheme="majorBidi" w:cstheme="majorBidi"/>
          <w:bCs/>
          <w:color w:val="0D0D0D" w:themeColor="text1" w:themeTint="F2"/>
          <w:sz w:val="22"/>
          <w:szCs w:val="22"/>
          <w:lang w:val="sq-AL"/>
        </w:rPr>
      </w:pPr>
    </w:p>
    <w:tbl>
      <w:tblPr>
        <w:tblStyle w:val="TableGrid"/>
        <w:tblW w:w="10201" w:type="dxa"/>
        <w:tblLook w:val="04A0" w:firstRow="1" w:lastRow="0" w:firstColumn="1" w:lastColumn="0" w:noHBand="0" w:noVBand="1"/>
      </w:tblPr>
      <w:tblGrid>
        <w:gridCol w:w="1271"/>
        <w:gridCol w:w="1786"/>
        <w:gridCol w:w="1786"/>
        <w:gridCol w:w="1786"/>
        <w:gridCol w:w="1786"/>
        <w:gridCol w:w="1786"/>
      </w:tblGrid>
      <w:tr w:rsidR="005208DC" w:rsidRPr="005208DC" w14:paraId="2EA6E4AA" w14:textId="77777777" w:rsidTr="00F51BF1">
        <w:tc>
          <w:tcPr>
            <w:tcW w:w="10201" w:type="dxa"/>
            <w:gridSpan w:val="6"/>
            <w:shd w:val="clear" w:color="auto" w:fill="E5DFEC" w:themeFill="accent4" w:themeFillTint="33"/>
          </w:tcPr>
          <w:p w14:paraId="5CC098DB" w14:textId="11C763E6" w:rsidR="00E06E0F" w:rsidRPr="005208DC" w:rsidRDefault="00B2062A"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12:</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bCs/>
                <w:color w:val="0D0D0D" w:themeColor="text1" w:themeTint="F2"/>
                <w:sz w:val="22"/>
                <w:szCs w:val="22"/>
                <w:lang w:val="sq-AL"/>
              </w:rPr>
              <w:t>Thellimi i integrimit ekonomik</w:t>
            </w:r>
          </w:p>
          <w:p w14:paraId="63B4EAF7" w14:textId="5AFB2A37" w:rsidR="00E06E0F" w:rsidRPr="005208DC" w:rsidRDefault="00E06E0F" w:rsidP="00857902">
            <w:pPr>
              <w:snapToGrid w:val="0"/>
              <w:rPr>
                <w:rFonts w:asciiTheme="majorBidi" w:hAnsiTheme="majorBidi" w:cstheme="majorBidi"/>
                <w:b/>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Implementation</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of</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cross-border</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project</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National</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Single</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Window</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and</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NCTS</w:t>
            </w:r>
          </w:p>
        </w:tc>
      </w:tr>
      <w:tr w:rsidR="005208DC" w:rsidRPr="005208DC" w14:paraId="47C88127" w14:textId="77777777" w:rsidTr="00BC0346">
        <w:tc>
          <w:tcPr>
            <w:tcW w:w="1271" w:type="dxa"/>
          </w:tcPr>
          <w:p w14:paraId="539F2CEA" w14:textId="4AE86753"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786" w:type="dxa"/>
          </w:tcPr>
          <w:p w14:paraId="1C8B0113" w14:textId="5CC8D312"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Rrogat</w:t>
            </w:r>
          </w:p>
        </w:tc>
        <w:tc>
          <w:tcPr>
            <w:tcW w:w="1786" w:type="dxa"/>
          </w:tcPr>
          <w:p w14:paraId="1BB4F73E" w14:textId="595FF2FD"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Mallra dhe shërbime</w:t>
            </w:r>
          </w:p>
        </w:tc>
        <w:tc>
          <w:tcPr>
            <w:tcW w:w="1786" w:type="dxa"/>
          </w:tcPr>
          <w:p w14:paraId="087DC7FD" w14:textId="6B7AE480"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Subvencione &amp; transferta</w:t>
            </w:r>
          </w:p>
        </w:tc>
        <w:tc>
          <w:tcPr>
            <w:tcW w:w="1786" w:type="dxa"/>
          </w:tcPr>
          <w:p w14:paraId="5C6DECCE" w14:textId="3F6A6094"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Shpenzime kapitale</w:t>
            </w:r>
          </w:p>
        </w:tc>
        <w:tc>
          <w:tcPr>
            <w:tcW w:w="1786" w:type="dxa"/>
          </w:tcPr>
          <w:p w14:paraId="00228803" w14:textId="50C59DEF"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5B808DAD" w14:textId="77777777" w:rsidTr="00F51BF1">
        <w:tc>
          <w:tcPr>
            <w:tcW w:w="10201" w:type="dxa"/>
            <w:gridSpan w:val="6"/>
          </w:tcPr>
          <w:p w14:paraId="720F997F" w14:textId="33DBB179"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Implementation</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of</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National</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Single</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Window</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and</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NCTS</w:t>
            </w:r>
          </w:p>
        </w:tc>
      </w:tr>
      <w:tr w:rsidR="005208DC" w:rsidRPr="005208DC" w14:paraId="08909FDB" w14:textId="77777777" w:rsidTr="00BC0346">
        <w:tc>
          <w:tcPr>
            <w:tcW w:w="1271" w:type="dxa"/>
          </w:tcPr>
          <w:p w14:paraId="6DC81F74"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2022-2024</w:t>
            </w:r>
          </w:p>
        </w:tc>
        <w:tc>
          <w:tcPr>
            <w:tcW w:w="8930" w:type="dxa"/>
            <w:gridSpan w:val="5"/>
          </w:tcPr>
          <w:p w14:paraId="316B9DC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5,593,750</w:t>
            </w:r>
          </w:p>
        </w:tc>
      </w:tr>
    </w:tbl>
    <w:p w14:paraId="2F514FC1" w14:textId="77777777" w:rsidR="00E06E0F" w:rsidRPr="005208DC" w:rsidRDefault="00E06E0F" w:rsidP="00857902">
      <w:pPr>
        <w:snapToGrid w:val="0"/>
        <w:rPr>
          <w:rFonts w:asciiTheme="majorBidi" w:eastAsia="Arial Narrow" w:hAnsiTheme="majorBidi" w:cstheme="majorBidi"/>
          <w:bCs/>
          <w:color w:val="0D0D0D" w:themeColor="text1" w:themeTint="F2"/>
          <w:sz w:val="22"/>
          <w:szCs w:val="22"/>
          <w:lang w:val="sq-AL"/>
        </w:rPr>
      </w:pPr>
    </w:p>
    <w:tbl>
      <w:tblPr>
        <w:tblStyle w:val="TableGrid"/>
        <w:tblW w:w="10201" w:type="dxa"/>
        <w:tblLook w:val="04A0" w:firstRow="1" w:lastRow="0" w:firstColumn="1" w:lastColumn="0" w:noHBand="0" w:noVBand="1"/>
      </w:tblPr>
      <w:tblGrid>
        <w:gridCol w:w="817"/>
        <w:gridCol w:w="1876"/>
        <w:gridCol w:w="1877"/>
        <w:gridCol w:w="1877"/>
        <w:gridCol w:w="1877"/>
        <w:gridCol w:w="1877"/>
      </w:tblGrid>
      <w:tr w:rsidR="005208DC" w:rsidRPr="005208DC" w14:paraId="48E05BAE" w14:textId="77777777" w:rsidTr="00F51BF1">
        <w:tc>
          <w:tcPr>
            <w:tcW w:w="10201" w:type="dxa"/>
            <w:gridSpan w:val="6"/>
            <w:shd w:val="clear" w:color="auto" w:fill="E5DFEC" w:themeFill="accent4" w:themeFillTint="33"/>
          </w:tcPr>
          <w:p w14:paraId="5D6D659F" w14:textId="327D9631" w:rsidR="00E06E0F" w:rsidRPr="005208DC" w:rsidRDefault="00B2062A" w:rsidP="00857902">
            <w:pPr>
              <w:snapToGrid w:val="0"/>
              <w:rPr>
                <w:rFonts w:asciiTheme="majorBidi" w:hAnsiTheme="majorBidi" w:cstheme="majorBidi"/>
                <w:b/>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13:</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color w:val="0D0D0D" w:themeColor="text1" w:themeTint="F2"/>
                <w:sz w:val="22"/>
                <w:szCs w:val="22"/>
                <w:lang w:val="sq-AL"/>
              </w:rPr>
              <w:t>Liberalizimi i tregut të energjisë</w:t>
            </w:r>
          </w:p>
        </w:tc>
      </w:tr>
      <w:tr w:rsidR="005208DC" w:rsidRPr="005208DC" w14:paraId="1C726E51" w14:textId="77777777" w:rsidTr="00BC0346">
        <w:tc>
          <w:tcPr>
            <w:tcW w:w="817" w:type="dxa"/>
          </w:tcPr>
          <w:p w14:paraId="6229F0A9" w14:textId="7306D712"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876" w:type="dxa"/>
          </w:tcPr>
          <w:p w14:paraId="7E02640C" w14:textId="49769C7A"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Rrogat</w:t>
            </w:r>
          </w:p>
        </w:tc>
        <w:tc>
          <w:tcPr>
            <w:tcW w:w="1877" w:type="dxa"/>
          </w:tcPr>
          <w:p w14:paraId="3CC52CB3" w14:textId="17CD366E"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Mallra dhe shërbime</w:t>
            </w:r>
          </w:p>
        </w:tc>
        <w:tc>
          <w:tcPr>
            <w:tcW w:w="1877" w:type="dxa"/>
          </w:tcPr>
          <w:p w14:paraId="7350B11B" w14:textId="74FC5677"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Subvencione &amp; transferta</w:t>
            </w:r>
          </w:p>
        </w:tc>
        <w:tc>
          <w:tcPr>
            <w:tcW w:w="1877" w:type="dxa"/>
          </w:tcPr>
          <w:p w14:paraId="79A75017" w14:textId="1B89AB4A"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Shpenzime kapitale</w:t>
            </w:r>
          </w:p>
        </w:tc>
        <w:tc>
          <w:tcPr>
            <w:tcW w:w="1877" w:type="dxa"/>
          </w:tcPr>
          <w:p w14:paraId="22B88927" w14:textId="266F45F6"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5A5196D0" w14:textId="77777777" w:rsidTr="00BC0346">
        <w:tc>
          <w:tcPr>
            <w:tcW w:w="817" w:type="dxa"/>
          </w:tcPr>
          <w:p w14:paraId="6CFEE866"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876" w:type="dxa"/>
          </w:tcPr>
          <w:p w14:paraId="0A267C2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0174C73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780A8E6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4805B29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1DA1915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r>
      <w:tr w:rsidR="005208DC" w:rsidRPr="005208DC" w14:paraId="55689F38" w14:textId="77777777" w:rsidTr="00BC0346">
        <w:tc>
          <w:tcPr>
            <w:tcW w:w="817" w:type="dxa"/>
          </w:tcPr>
          <w:p w14:paraId="07138C19"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876" w:type="dxa"/>
          </w:tcPr>
          <w:p w14:paraId="13F2491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50EABF1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58B09C2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0A629D9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0444908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r>
      <w:tr w:rsidR="005208DC" w:rsidRPr="005208DC" w14:paraId="092F46CD" w14:textId="77777777" w:rsidTr="00BC0346">
        <w:tc>
          <w:tcPr>
            <w:tcW w:w="817" w:type="dxa"/>
          </w:tcPr>
          <w:p w14:paraId="29B118F0"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876" w:type="dxa"/>
          </w:tcPr>
          <w:p w14:paraId="0A1670C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19F04D1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32CB49C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3BDADF0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56AB6AD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r>
    </w:tbl>
    <w:p w14:paraId="75BBE7E2" w14:textId="77777777" w:rsidR="00E06E0F" w:rsidRPr="005208DC" w:rsidRDefault="00E06E0F" w:rsidP="00857902">
      <w:pPr>
        <w:snapToGrid w:val="0"/>
        <w:rPr>
          <w:rFonts w:asciiTheme="majorBidi" w:eastAsia="Arial Narrow" w:hAnsiTheme="majorBidi" w:cstheme="majorBidi"/>
          <w:bCs/>
          <w:color w:val="0D0D0D" w:themeColor="text1" w:themeTint="F2"/>
          <w:sz w:val="22"/>
          <w:szCs w:val="22"/>
          <w:lang w:val="sq-AL"/>
        </w:rPr>
      </w:pPr>
    </w:p>
    <w:tbl>
      <w:tblPr>
        <w:tblStyle w:val="TableGrid"/>
        <w:tblW w:w="10201" w:type="dxa"/>
        <w:tblLook w:val="04A0" w:firstRow="1" w:lastRow="0" w:firstColumn="1" w:lastColumn="0" w:noHBand="0" w:noVBand="1"/>
      </w:tblPr>
      <w:tblGrid>
        <w:gridCol w:w="817"/>
        <w:gridCol w:w="1876"/>
        <w:gridCol w:w="1877"/>
        <w:gridCol w:w="1877"/>
        <w:gridCol w:w="1877"/>
        <w:gridCol w:w="1877"/>
      </w:tblGrid>
      <w:tr w:rsidR="005208DC" w:rsidRPr="005208DC" w14:paraId="70B10354" w14:textId="77777777" w:rsidTr="00F51BF1">
        <w:tc>
          <w:tcPr>
            <w:tcW w:w="10201" w:type="dxa"/>
            <w:gridSpan w:val="6"/>
            <w:shd w:val="clear" w:color="auto" w:fill="E5DFEC" w:themeFill="accent4" w:themeFillTint="33"/>
          </w:tcPr>
          <w:p w14:paraId="44BBB8E5" w14:textId="749486AC" w:rsidR="00E06E0F" w:rsidRPr="005208DC" w:rsidRDefault="00B2062A" w:rsidP="00857902">
            <w:pPr>
              <w:snapToGrid w:val="0"/>
              <w:rPr>
                <w:rFonts w:asciiTheme="majorBidi" w:hAnsiTheme="majorBidi" w:cstheme="majorBidi"/>
                <w:b/>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14:</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color w:val="0D0D0D" w:themeColor="text1" w:themeTint="F2"/>
                <w:sz w:val="22"/>
                <w:szCs w:val="22"/>
                <w:lang w:val="sq-AL"/>
              </w:rPr>
              <w:t>Diversifikimi i burimeve të energjisë përmes promovimit të burimeve të riperteritshme të energjisë dhe përmirësimit të eficencës energjetike</w:t>
            </w:r>
          </w:p>
        </w:tc>
      </w:tr>
      <w:tr w:rsidR="005208DC" w:rsidRPr="005208DC" w14:paraId="41701EA4" w14:textId="77777777" w:rsidTr="00BC0346">
        <w:tc>
          <w:tcPr>
            <w:tcW w:w="817" w:type="dxa"/>
          </w:tcPr>
          <w:p w14:paraId="51D99B0F" w14:textId="08493BE2"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876" w:type="dxa"/>
          </w:tcPr>
          <w:p w14:paraId="241E7DDF" w14:textId="3A782D03"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Rrogat</w:t>
            </w:r>
          </w:p>
        </w:tc>
        <w:tc>
          <w:tcPr>
            <w:tcW w:w="1877" w:type="dxa"/>
          </w:tcPr>
          <w:p w14:paraId="40CF8B4F" w14:textId="46F6991B"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Mallra dhe shërbime</w:t>
            </w:r>
          </w:p>
        </w:tc>
        <w:tc>
          <w:tcPr>
            <w:tcW w:w="1877" w:type="dxa"/>
          </w:tcPr>
          <w:p w14:paraId="7520317C" w14:textId="560B57D6"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Subvencione &amp; transferta</w:t>
            </w:r>
          </w:p>
        </w:tc>
        <w:tc>
          <w:tcPr>
            <w:tcW w:w="1877" w:type="dxa"/>
          </w:tcPr>
          <w:p w14:paraId="6F174F71" w14:textId="513C89AA"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Shpenzime kapitale</w:t>
            </w:r>
          </w:p>
        </w:tc>
        <w:tc>
          <w:tcPr>
            <w:tcW w:w="1877" w:type="dxa"/>
          </w:tcPr>
          <w:p w14:paraId="6C4F8361" w14:textId="27103F4E"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15451F8D" w14:textId="77777777" w:rsidTr="00BC0346">
        <w:tc>
          <w:tcPr>
            <w:tcW w:w="817" w:type="dxa"/>
          </w:tcPr>
          <w:p w14:paraId="055463E8"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876" w:type="dxa"/>
          </w:tcPr>
          <w:p w14:paraId="1189651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5EF80AD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6CC4614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44D58B3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4F4B428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r>
      <w:tr w:rsidR="005208DC" w:rsidRPr="005208DC" w14:paraId="37F0371E" w14:textId="77777777" w:rsidTr="00BC0346">
        <w:tc>
          <w:tcPr>
            <w:tcW w:w="817" w:type="dxa"/>
          </w:tcPr>
          <w:p w14:paraId="17D80F29"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876" w:type="dxa"/>
          </w:tcPr>
          <w:p w14:paraId="56CA4E7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2A3027E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1476D2F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2D88C4C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72F18E6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r>
      <w:tr w:rsidR="005208DC" w:rsidRPr="005208DC" w14:paraId="7E44D4AD" w14:textId="77777777" w:rsidTr="00BC0346">
        <w:tc>
          <w:tcPr>
            <w:tcW w:w="817" w:type="dxa"/>
          </w:tcPr>
          <w:p w14:paraId="157F5AEF"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876" w:type="dxa"/>
          </w:tcPr>
          <w:p w14:paraId="51D03EE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3D0A8AC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587A99C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72697A6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877" w:type="dxa"/>
          </w:tcPr>
          <w:p w14:paraId="538A5DF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r>
    </w:tbl>
    <w:p w14:paraId="319FF745" w14:textId="77777777" w:rsidR="00E06E0F" w:rsidRPr="005208DC" w:rsidRDefault="00E06E0F" w:rsidP="00857902">
      <w:pPr>
        <w:snapToGrid w:val="0"/>
        <w:rPr>
          <w:rFonts w:asciiTheme="majorBidi" w:eastAsia="Arial Narrow" w:hAnsiTheme="majorBidi" w:cstheme="majorBidi"/>
          <w:bCs/>
          <w:color w:val="0D0D0D" w:themeColor="text1" w:themeTint="F2"/>
          <w:sz w:val="22"/>
          <w:szCs w:val="22"/>
          <w:lang w:val="sq-AL"/>
        </w:rPr>
      </w:pPr>
    </w:p>
    <w:tbl>
      <w:tblPr>
        <w:tblStyle w:val="TableGrid"/>
        <w:tblW w:w="0" w:type="auto"/>
        <w:tblLook w:val="04A0" w:firstRow="1" w:lastRow="0" w:firstColumn="1" w:lastColumn="0" w:noHBand="0" w:noVBand="1"/>
      </w:tblPr>
      <w:tblGrid>
        <w:gridCol w:w="817"/>
        <w:gridCol w:w="1876"/>
        <w:gridCol w:w="1877"/>
        <w:gridCol w:w="1877"/>
        <w:gridCol w:w="1877"/>
        <w:gridCol w:w="1877"/>
      </w:tblGrid>
      <w:tr w:rsidR="005208DC" w:rsidRPr="005208DC" w14:paraId="3BEC7DBF" w14:textId="77777777" w:rsidTr="00F51BF1">
        <w:tc>
          <w:tcPr>
            <w:tcW w:w="10201" w:type="dxa"/>
            <w:gridSpan w:val="6"/>
            <w:shd w:val="clear" w:color="auto" w:fill="E5DFEC" w:themeFill="accent4" w:themeFillTint="33"/>
          </w:tcPr>
          <w:p w14:paraId="60DDE6CF" w14:textId="1F538A6A" w:rsidR="00E06E0F" w:rsidRPr="005208DC" w:rsidRDefault="00B2062A" w:rsidP="00857902">
            <w:pPr>
              <w:snapToGrid w:val="0"/>
              <w:rPr>
                <w:rFonts w:asciiTheme="majorBidi" w:hAnsiTheme="majorBidi" w:cstheme="majorBidi"/>
                <w:b/>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15:</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color w:val="0D0D0D" w:themeColor="text1" w:themeTint="F2"/>
                <w:sz w:val="22"/>
                <w:szCs w:val="22"/>
                <w:lang w:val="sq-AL"/>
              </w:rPr>
              <w:t>Rehabilitimi dhe ndërtimi i segmentit hekurudhor Durrës-TIA-Tiranë</w:t>
            </w:r>
          </w:p>
        </w:tc>
      </w:tr>
      <w:tr w:rsidR="005208DC" w:rsidRPr="005208DC" w14:paraId="182FAADD" w14:textId="77777777" w:rsidTr="00BC0346">
        <w:tc>
          <w:tcPr>
            <w:tcW w:w="817" w:type="dxa"/>
            <w:shd w:val="clear" w:color="auto" w:fill="auto"/>
          </w:tcPr>
          <w:p w14:paraId="7AA0ED76" w14:textId="7C121A64"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876" w:type="dxa"/>
            <w:shd w:val="clear" w:color="auto" w:fill="auto"/>
          </w:tcPr>
          <w:p w14:paraId="0AC2C959" w14:textId="1B99BBE1"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Rrogat</w:t>
            </w:r>
            <w:r w:rsidR="00E06E0F" w:rsidRPr="005208DC">
              <w:rPr>
                <w:rStyle w:val="FootnoteReference"/>
                <w:rFonts w:asciiTheme="majorBidi" w:hAnsiTheme="majorBidi" w:cstheme="majorBidi"/>
                <w:color w:val="0D0D0D" w:themeColor="text1" w:themeTint="F2"/>
                <w:sz w:val="22"/>
                <w:szCs w:val="22"/>
                <w:lang w:val="sq-AL"/>
              </w:rPr>
              <w:footnoteReference w:id="29"/>
            </w:r>
          </w:p>
        </w:tc>
        <w:tc>
          <w:tcPr>
            <w:tcW w:w="1877" w:type="dxa"/>
            <w:shd w:val="clear" w:color="auto" w:fill="auto"/>
          </w:tcPr>
          <w:p w14:paraId="6DB30A03" w14:textId="60E557F3"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Mallra dhe shërbime</w:t>
            </w:r>
          </w:p>
        </w:tc>
        <w:tc>
          <w:tcPr>
            <w:tcW w:w="1877" w:type="dxa"/>
            <w:shd w:val="clear" w:color="auto" w:fill="auto"/>
          </w:tcPr>
          <w:p w14:paraId="0893F527" w14:textId="7C25778C"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Subvencione &amp; transferta</w:t>
            </w:r>
          </w:p>
        </w:tc>
        <w:tc>
          <w:tcPr>
            <w:tcW w:w="1877" w:type="dxa"/>
            <w:shd w:val="clear" w:color="auto" w:fill="auto"/>
          </w:tcPr>
          <w:p w14:paraId="2F30878D" w14:textId="58B27B64"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Shpenzime kapitale</w:t>
            </w:r>
          </w:p>
        </w:tc>
        <w:tc>
          <w:tcPr>
            <w:tcW w:w="1877" w:type="dxa"/>
            <w:shd w:val="clear" w:color="auto" w:fill="auto"/>
          </w:tcPr>
          <w:p w14:paraId="73CCF068" w14:textId="3FD5AA84"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44DE6912" w14:textId="77777777" w:rsidTr="00BC0346">
        <w:tc>
          <w:tcPr>
            <w:tcW w:w="817" w:type="dxa"/>
            <w:shd w:val="clear" w:color="auto" w:fill="auto"/>
          </w:tcPr>
          <w:p w14:paraId="77BA951B"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876" w:type="dxa"/>
            <w:shd w:val="clear" w:color="auto" w:fill="auto"/>
          </w:tcPr>
          <w:p w14:paraId="4BF72F2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7" w:type="dxa"/>
            <w:shd w:val="clear" w:color="auto" w:fill="auto"/>
          </w:tcPr>
          <w:p w14:paraId="64D9FA0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69.8</w:t>
            </w:r>
          </w:p>
        </w:tc>
        <w:tc>
          <w:tcPr>
            <w:tcW w:w="1877" w:type="dxa"/>
            <w:shd w:val="clear" w:color="auto" w:fill="auto"/>
          </w:tcPr>
          <w:p w14:paraId="19591A1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3.72</w:t>
            </w:r>
          </w:p>
        </w:tc>
        <w:tc>
          <w:tcPr>
            <w:tcW w:w="1877" w:type="dxa"/>
            <w:shd w:val="clear" w:color="auto" w:fill="auto"/>
          </w:tcPr>
          <w:p w14:paraId="0A498A8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6.06</w:t>
            </w:r>
          </w:p>
        </w:tc>
        <w:tc>
          <w:tcPr>
            <w:tcW w:w="1877" w:type="dxa"/>
            <w:shd w:val="clear" w:color="auto" w:fill="auto"/>
          </w:tcPr>
          <w:p w14:paraId="4254A8D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79.58</w:t>
            </w:r>
          </w:p>
        </w:tc>
      </w:tr>
      <w:tr w:rsidR="005208DC" w:rsidRPr="005208DC" w14:paraId="65D90ADE" w14:textId="77777777" w:rsidTr="00BC0346">
        <w:tc>
          <w:tcPr>
            <w:tcW w:w="817" w:type="dxa"/>
            <w:shd w:val="clear" w:color="auto" w:fill="auto"/>
          </w:tcPr>
          <w:p w14:paraId="2371A205"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876" w:type="dxa"/>
            <w:shd w:val="clear" w:color="auto" w:fill="auto"/>
          </w:tcPr>
          <w:p w14:paraId="5961626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7" w:type="dxa"/>
            <w:shd w:val="clear" w:color="auto" w:fill="auto"/>
          </w:tcPr>
          <w:p w14:paraId="0809A37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shd w:val="clear" w:color="auto" w:fill="auto"/>
          </w:tcPr>
          <w:p w14:paraId="74D040E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0.87</w:t>
            </w:r>
          </w:p>
        </w:tc>
        <w:tc>
          <w:tcPr>
            <w:tcW w:w="1877" w:type="dxa"/>
            <w:shd w:val="clear" w:color="auto" w:fill="auto"/>
          </w:tcPr>
          <w:p w14:paraId="7457AF3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5.0</w:t>
            </w:r>
          </w:p>
        </w:tc>
        <w:tc>
          <w:tcPr>
            <w:tcW w:w="1877" w:type="dxa"/>
            <w:shd w:val="clear" w:color="auto" w:fill="auto"/>
          </w:tcPr>
          <w:p w14:paraId="62EAD42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5.87</w:t>
            </w:r>
          </w:p>
        </w:tc>
      </w:tr>
      <w:tr w:rsidR="005208DC" w:rsidRPr="005208DC" w14:paraId="458CE9A3" w14:textId="77777777" w:rsidTr="00BC0346">
        <w:tc>
          <w:tcPr>
            <w:tcW w:w="817" w:type="dxa"/>
            <w:shd w:val="clear" w:color="auto" w:fill="auto"/>
          </w:tcPr>
          <w:p w14:paraId="5282E3C7"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876" w:type="dxa"/>
            <w:shd w:val="clear" w:color="auto" w:fill="auto"/>
          </w:tcPr>
          <w:p w14:paraId="0269302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7" w:type="dxa"/>
            <w:shd w:val="clear" w:color="auto" w:fill="auto"/>
          </w:tcPr>
          <w:p w14:paraId="1869CA8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shd w:val="clear" w:color="auto" w:fill="auto"/>
          </w:tcPr>
          <w:p w14:paraId="2D8B358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shd w:val="clear" w:color="auto" w:fill="auto"/>
          </w:tcPr>
          <w:p w14:paraId="5092158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5.0</w:t>
            </w:r>
          </w:p>
        </w:tc>
        <w:tc>
          <w:tcPr>
            <w:tcW w:w="1877" w:type="dxa"/>
            <w:shd w:val="clear" w:color="auto" w:fill="auto"/>
          </w:tcPr>
          <w:p w14:paraId="0F5185F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5</w:t>
            </w:r>
          </w:p>
        </w:tc>
      </w:tr>
    </w:tbl>
    <w:p w14:paraId="49EBDFB1" w14:textId="77777777" w:rsidR="00E06E0F" w:rsidRPr="005208DC" w:rsidRDefault="00E06E0F" w:rsidP="00857902">
      <w:pPr>
        <w:snapToGrid w:val="0"/>
        <w:rPr>
          <w:rFonts w:asciiTheme="majorBidi" w:eastAsia="Arial Narrow" w:hAnsiTheme="majorBidi" w:cstheme="majorBidi"/>
          <w:bCs/>
          <w:color w:val="0D0D0D" w:themeColor="text1" w:themeTint="F2"/>
          <w:sz w:val="22"/>
          <w:szCs w:val="22"/>
          <w:lang w:val="sq-AL"/>
        </w:rPr>
      </w:pPr>
    </w:p>
    <w:tbl>
      <w:tblPr>
        <w:tblStyle w:val="TableGrid"/>
        <w:tblW w:w="0" w:type="auto"/>
        <w:tblLook w:val="04A0" w:firstRow="1" w:lastRow="0" w:firstColumn="1" w:lastColumn="0" w:noHBand="0" w:noVBand="1"/>
      </w:tblPr>
      <w:tblGrid>
        <w:gridCol w:w="817"/>
        <w:gridCol w:w="1876"/>
        <w:gridCol w:w="1877"/>
        <w:gridCol w:w="1877"/>
        <w:gridCol w:w="1877"/>
        <w:gridCol w:w="1877"/>
      </w:tblGrid>
      <w:tr w:rsidR="005208DC" w:rsidRPr="005208DC" w14:paraId="5E66F9E8" w14:textId="77777777" w:rsidTr="00F51BF1">
        <w:tc>
          <w:tcPr>
            <w:tcW w:w="10201" w:type="dxa"/>
            <w:gridSpan w:val="6"/>
            <w:shd w:val="clear" w:color="auto" w:fill="E5DFEC" w:themeFill="accent4" w:themeFillTint="33"/>
          </w:tcPr>
          <w:p w14:paraId="78F15C18" w14:textId="119A5049" w:rsidR="00E06E0F" w:rsidRPr="005208DC" w:rsidRDefault="00B2062A" w:rsidP="00857902">
            <w:pPr>
              <w:snapToGrid w:val="0"/>
              <w:rPr>
                <w:rFonts w:asciiTheme="majorBidi" w:hAnsiTheme="majorBidi" w:cstheme="majorBidi"/>
                <w:b/>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16:</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color w:val="0D0D0D" w:themeColor="text1" w:themeTint="F2"/>
                <w:sz w:val="22"/>
                <w:szCs w:val="22"/>
                <w:lang w:val="sq-AL"/>
              </w:rPr>
              <w:t>Marina më të mira dhe qeverisje dhe shërbime detare</w:t>
            </w:r>
          </w:p>
        </w:tc>
      </w:tr>
      <w:tr w:rsidR="005208DC" w:rsidRPr="005208DC" w14:paraId="0E346D46" w14:textId="77777777" w:rsidTr="00BC0346">
        <w:tc>
          <w:tcPr>
            <w:tcW w:w="817" w:type="dxa"/>
            <w:shd w:val="clear" w:color="auto" w:fill="auto"/>
          </w:tcPr>
          <w:p w14:paraId="2F8E166B" w14:textId="47F6F658"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876" w:type="dxa"/>
            <w:shd w:val="clear" w:color="auto" w:fill="auto"/>
          </w:tcPr>
          <w:p w14:paraId="78FED83D" w14:textId="0FEFB223"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Rrogat</w:t>
            </w:r>
          </w:p>
        </w:tc>
        <w:tc>
          <w:tcPr>
            <w:tcW w:w="1877" w:type="dxa"/>
            <w:shd w:val="clear" w:color="auto" w:fill="auto"/>
          </w:tcPr>
          <w:p w14:paraId="63BAA667" w14:textId="1A5B5393"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Mallra dhe shërbime</w:t>
            </w:r>
          </w:p>
        </w:tc>
        <w:tc>
          <w:tcPr>
            <w:tcW w:w="1877" w:type="dxa"/>
            <w:shd w:val="clear" w:color="auto" w:fill="auto"/>
          </w:tcPr>
          <w:p w14:paraId="0A8E9C35" w14:textId="6D872EA1"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Subvencione &amp; transferta</w:t>
            </w:r>
          </w:p>
        </w:tc>
        <w:tc>
          <w:tcPr>
            <w:tcW w:w="1877" w:type="dxa"/>
            <w:shd w:val="clear" w:color="auto" w:fill="auto"/>
          </w:tcPr>
          <w:p w14:paraId="1C0B481E" w14:textId="4658381A"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Shpenzime kapitale</w:t>
            </w:r>
          </w:p>
        </w:tc>
        <w:tc>
          <w:tcPr>
            <w:tcW w:w="1877" w:type="dxa"/>
            <w:shd w:val="clear" w:color="auto" w:fill="auto"/>
          </w:tcPr>
          <w:p w14:paraId="77DA567A" w14:textId="001960F7"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19496DA0" w14:textId="77777777" w:rsidTr="00BC0346">
        <w:tc>
          <w:tcPr>
            <w:tcW w:w="817" w:type="dxa"/>
            <w:shd w:val="clear" w:color="auto" w:fill="auto"/>
          </w:tcPr>
          <w:p w14:paraId="0C50E016"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876" w:type="dxa"/>
            <w:shd w:val="clear" w:color="auto" w:fill="auto"/>
          </w:tcPr>
          <w:p w14:paraId="15B174A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shd w:val="clear" w:color="auto" w:fill="auto"/>
          </w:tcPr>
          <w:p w14:paraId="53D5CBA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shd w:val="clear" w:color="auto" w:fill="auto"/>
          </w:tcPr>
          <w:p w14:paraId="4BF3292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shd w:val="clear" w:color="auto" w:fill="auto"/>
          </w:tcPr>
          <w:p w14:paraId="4A7E825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shd w:val="clear" w:color="auto" w:fill="auto"/>
          </w:tcPr>
          <w:p w14:paraId="725A9D1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r>
      <w:tr w:rsidR="005208DC" w:rsidRPr="005208DC" w14:paraId="3A498D98" w14:textId="77777777" w:rsidTr="00BC0346">
        <w:tc>
          <w:tcPr>
            <w:tcW w:w="817" w:type="dxa"/>
            <w:shd w:val="clear" w:color="auto" w:fill="auto"/>
          </w:tcPr>
          <w:p w14:paraId="30FF46C0"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876" w:type="dxa"/>
            <w:shd w:val="clear" w:color="auto" w:fill="auto"/>
          </w:tcPr>
          <w:p w14:paraId="4C4A135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shd w:val="clear" w:color="auto" w:fill="auto"/>
          </w:tcPr>
          <w:p w14:paraId="50D5819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shd w:val="clear" w:color="auto" w:fill="auto"/>
          </w:tcPr>
          <w:p w14:paraId="29D88D0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shd w:val="clear" w:color="auto" w:fill="auto"/>
          </w:tcPr>
          <w:p w14:paraId="73A6972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shd w:val="clear" w:color="auto" w:fill="auto"/>
          </w:tcPr>
          <w:p w14:paraId="5901EF6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r>
      <w:tr w:rsidR="005208DC" w:rsidRPr="005208DC" w14:paraId="6F26BF3B" w14:textId="77777777" w:rsidTr="00BC0346">
        <w:tc>
          <w:tcPr>
            <w:tcW w:w="817" w:type="dxa"/>
            <w:shd w:val="clear" w:color="auto" w:fill="auto"/>
          </w:tcPr>
          <w:p w14:paraId="32C9D7E3"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876" w:type="dxa"/>
            <w:shd w:val="clear" w:color="auto" w:fill="auto"/>
          </w:tcPr>
          <w:p w14:paraId="046BE6E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shd w:val="clear" w:color="auto" w:fill="auto"/>
          </w:tcPr>
          <w:p w14:paraId="3A84D6D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shd w:val="clear" w:color="auto" w:fill="auto"/>
          </w:tcPr>
          <w:p w14:paraId="1532200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shd w:val="clear" w:color="auto" w:fill="auto"/>
          </w:tcPr>
          <w:p w14:paraId="3F02F83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shd w:val="clear" w:color="auto" w:fill="auto"/>
          </w:tcPr>
          <w:p w14:paraId="6FFA449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r>
    </w:tbl>
    <w:p w14:paraId="3C831ADE" w14:textId="77777777" w:rsidR="00E06E0F" w:rsidRPr="005208DC" w:rsidRDefault="00E06E0F" w:rsidP="00857902">
      <w:pPr>
        <w:snapToGrid w:val="0"/>
        <w:rPr>
          <w:rFonts w:asciiTheme="majorBidi" w:eastAsia="Arial Narrow" w:hAnsiTheme="majorBidi" w:cstheme="majorBidi"/>
          <w:bCs/>
          <w:color w:val="0D0D0D" w:themeColor="text1" w:themeTint="F2"/>
          <w:sz w:val="22"/>
          <w:szCs w:val="22"/>
          <w:lang w:val="sq-AL"/>
        </w:rPr>
      </w:pPr>
    </w:p>
    <w:tbl>
      <w:tblPr>
        <w:tblStyle w:val="TableGrid"/>
        <w:tblW w:w="10201" w:type="dxa"/>
        <w:tblLook w:val="04A0" w:firstRow="1" w:lastRow="0" w:firstColumn="1" w:lastColumn="0" w:noHBand="0" w:noVBand="1"/>
      </w:tblPr>
      <w:tblGrid>
        <w:gridCol w:w="817"/>
        <w:gridCol w:w="1876"/>
        <w:gridCol w:w="1877"/>
        <w:gridCol w:w="1877"/>
        <w:gridCol w:w="1877"/>
        <w:gridCol w:w="1877"/>
      </w:tblGrid>
      <w:tr w:rsidR="005208DC" w:rsidRPr="005208DC" w14:paraId="05286C16" w14:textId="77777777" w:rsidTr="00F51BF1">
        <w:tc>
          <w:tcPr>
            <w:tcW w:w="10201" w:type="dxa"/>
            <w:gridSpan w:val="6"/>
            <w:shd w:val="clear" w:color="auto" w:fill="E5DFEC" w:themeFill="accent4" w:themeFillTint="33"/>
          </w:tcPr>
          <w:p w14:paraId="0CAA87CD" w14:textId="07DB69C7" w:rsidR="00E06E0F" w:rsidRPr="005208DC" w:rsidRDefault="00B2062A" w:rsidP="00857902">
            <w:pPr>
              <w:snapToGrid w:val="0"/>
              <w:rPr>
                <w:rFonts w:asciiTheme="majorBidi" w:hAnsiTheme="majorBidi" w:cstheme="majorBidi"/>
                <w:b/>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17:</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color w:val="0D0D0D" w:themeColor="text1" w:themeTint="F2"/>
                <w:sz w:val="22"/>
                <w:szCs w:val="22"/>
                <w:lang w:val="sq-AL"/>
              </w:rPr>
              <w:t>Mbështetja e zbatimit të reformës kurrikulare para universitare dhe trajnimit të mësuesve</w:t>
            </w:r>
          </w:p>
        </w:tc>
      </w:tr>
      <w:tr w:rsidR="005208DC" w:rsidRPr="005208DC" w14:paraId="2398DA5D" w14:textId="77777777" w:rsidTr="00BC0346">
        <w:tc>
          <w:tcPr>
            <w:tcW w:w="817" w:type="dxa"/>
          </w:tcPr>
          <w:p w14:paraId="7AC74CB3" w14:textId="30371977"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876" w:type="dxa"/>
          </w:tcPr>
          <w:p w14:paraId="4AD65E85" w14:textId="62B74EBF"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Rrogat</w:t>
            </w:r>
          </w:p>
        </w:tc>
        <w:tc>
          <w:tcPr>
            <w:tcW w:w="1877" w:type="dxa"/>
          </w:tcPr>
          <w:p w14:paraId="1CF4F8F3" w14:textId="29520730"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Mallra dhe shërbime</w:t>
            </w:r>
          </w:p>
        </w:tc>
        <w:tc>
          <w:tcPr>
            <w:tcW w:w="1877" w:type="dxa"/>
          </w:tcPr>
          <w:p w14:paraId="7CFF3394" w14:textId="146F64D0"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Subvencione &amp; transferta</w:t>
            </w:r>
          </w:p>
        </w:tc>
        <w:tc>
          <w:tcPr>
            <w:tcW w:w="1877" w:type="dxa"/>
          </w:tcPr>
          <w:p w14:paraId="656AA289" w14:textId="0EAAB9A5"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Shpenzime kapitale</w:t>
            </w:r>
          </w:p>
        </w:tc>
        <w:tc>
          <w:tcPr>
            <w:tcW w:w="1877" w:type="dxa"/>
          </w:tcPr>
          <w:p w14:paraId="46EA3FA8" w14:textId="4F7379E5"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6A7D3A7C" w14:textId="77777777" w:rsidTr="00BC0346">
        <w:tc>
          <w:tcPr>
            <w:tcW w:w="817" w:type="dxa"/>
          </w:tcPr>
          <w:p w14:paraId="39FDDC74"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876" w:type="dxa"/>
            <w:vAlign w:val="center"/>
          </w:tcPr>
          <w:p w14:paraId="5AFF309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160,000.0</w:t>
            </w:r>
          </w:p>
        </w:tc>
        <w:tc>
          <w:tcPr>
            <w:tcW w:w="1877" w:type="dxa"/>
            <w:vAlign w:val="center"/>
          </w:tcPr>
          <w:p w14:paraId="0AF82AF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6,851.1</w:t>
            </w:r>
          </w:p>
        </w:tc>
        <w:tc>
          <w:tcPr>
            <w:tcW w:w="1877" w:type="dxa"/>
            <w:vAlign w:val="center"/>
          </w:tcPr>
          <w:p w14:paraId="6D95D15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30,000.0</w:t>
            </w:r>
          </w:p>
        </w:tc>
        <w:tc>
          <w:tcPr>
            <w:tcW w:w="1877" w:type="dxa"/>
            <w:vAlign w:val="center"/>
          </w:tcPr>
          <w:p w14:paraId="278E22D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vAlign w:val="center"/>
          </w:tcPr>
          <w:p w14:paraId="12DAAF2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196,851.10</w:t>
            </w:r>
          </w:p>
        </w:tc>
      </w:tr>
      <w:tr w:rsidR="005208DC" w:rsidRPr="005208DC" w14:paraId="7316154B" w14:textId="77777777" w:rsidTr="00BC0346">
        <w:tc>
          <w:tcPr>
            <w:tcW w:w="817" w:type="dxa"/>
          </w:tcPr>
          <w:p w14:paraId="61399B69"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876" w:type="dxa"/>
            <w:vAlign w:val="center"/>
          </w:tcPr>
          <w:p w14:paraId="7A0BE85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320,000.0</w:t>
            </w:r>
          </w:p>
        </w:tc>
        <w:tc>
          <w:tcPr>
            <w:tcW w:w="1877" w:type="dxa"/>
            <w:vAlign w:val="center"/>
          </w:tcPr>
          <w:p w14:paraId="35DDC36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3,936.0</w:t>
            </w:r>
          </w:p>
        </w:tc>
        <w:tc>
          <w:tcPr>
            <w:tcW w:w="1877" w:type="dxa"/>
            <w:vAlign w:val="center"/>
          </w:tcPr>
          <w:p w14:paraId="179DFFE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60,000.0</w:t>
            </w:r>
          </w:p>
        </w:tc>
        <w:tc>
          <w:tcPr>
            <w:tcW w:w="1877" w:type="dxa"/>
            <w:vAlign w:val="center"/>
          </w:tcPr>
          <w:p w14:paraId="236E8D8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vAlign w:val="center"/>
          </w:tcPr>
          <w:p w14:paraId="6337E9E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383,936.00</w:t>
            </w:r>
          </w:p>
        </w:tc>
      </w:tr>
      <w:tr w:rsidR="005208DC" w:rsidRPr="005208DC" w14:paraId="1C0D3C2A" w14:textId="77777777" w:rsidTr="00BC0346">
        <w:tc>
          <w:tcPr>
            <w:tcW w:w="817" w:type="dxa"/>
          </w:tcPr>
          <w:p w14:paraId="313BC32D"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876" w:type="dxa"/>
            <w:vAlign w:val="center"/>
          </w:tcPr>
          <w:p w14:paraId="5CBB629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450,000.0</w:t>
            </w:r>
          </w:p>
        </w:tc>
        <w:tc>
          <w:tcPr>
            <w:tcW w:w="1877" w:type="dxa"/>
            <w:vAlign w:val="center"/>
          </w:tcPr>
          <w:p w14:paraId="1BC26BD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1,722.0</w:t>
            </w:r>
          </w:p>
        </w:tc>
        <w:tc>
          <w:tcPr>
            <w:tcW w:w="1877" w:type="dxa"/>
            <w:vAlign w:val="center"/>
          </w:tcPr>
          <w:p w14:paraId="0CAFCBE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90,000.0</w:t>
            </w:r>
          </w:p>
        </w:tc>
        <w:tc>
          <w:tcPr>
            <w:tcW w:w="1877" w:type="dxa"/>
            <w:vAlign w:val="center"/>
          </w:tcPr>
          <w:p w14:paraId="4F2F457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877" w:type="dxa"/>
            <w:vAlign w:val="center"/>
          </w:tcPr>
          <w:p w14:paraId="63890EE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541,722.00</w:t>
            </w:r>
          </w:p>
        </w:tc>
      </w:tr>
    </w:tbl>
    <w:p w14:paraId="42C9C9FC" w14:textId="77777777" w:rsidR="00E06E0F" w:rsidRPr="005208DC" w:rsidRDefault="00E06E0F" w:rsidP="00857902">
      <w:pPr>
        <w:snapToGrid w:val="0"/>
        <w:rPr>
          <w:rFonts w:asciiTheme="majorBidi" w:eastAsia="Arial Narrow" w:hAnsiTheme="majorBidi" w:cstheme="majorBidi"/>
          <w:bCs/>
          <w:color w:val="0D0D0D" w:themeColor="text1" w:themeTint="F2"/>
          <w:sz w:val="22"/>
          <w:szCs w:val="22"/>
          <w:lang w:val="sq-AL"/>
        </w:rPr>
      </w:pPr>
    </w:p>
    <w:tbl>
      <w:tblPr>
        <w:tblStyle w:val="TableGrid"/>
        <w:tblW w:w="10201" w:type="dxa"/>
        <w:tblLook w:val="04A0" w:firstRow="1" w:lastRow="0" w:firstColumn="1" w:lastColumn="0" w:noHBand="0" w:noVBand="1"/>
      </w:tblPr>
      <w:tblGrid>
        <w:gridCol w:w="817"/>
        <w:gridCol w:w="1876"/>
        <w:gridCol w:w="1877"/>
        <w:gridCol w:w="1877"/>
        <w:gridCol w:w="1877"/>
        <w:gridCol w:w="1877"/>
      </w:tblGrid>
      <w:tr w:rsidR="005208DC" w:rsidRPr="005208DC" w14:paraId="60756393" w14:textId="77777777" w:rsidTr="00F51BF1">
        <w:tc>
          <w:tcPr>
            <w:tcW w:w="10201" w:type="dxa"/>
            <w:gridSpan w:val="6"/>
            <w:shd w:val="clear" w:color="auto" w:fill="E5DFEC" w:themeFill="accent4" w:themeFillTint="33"/>
          </w:tcPr>
          <w:p w14:paraId="5256A143" w14:textId="3BD7015C" w:rsidR="00E06E0F" w:rsidRPr="005208DC" w:rsidRDefault="00B2062A" w:rsidP="00857902">
            <w:pPr>
              <w:snapToGrid w:val="0"/>
              <w:rPr>
                <w:rFonts w:asciiTheme="majorBidi" w:hAnsiTheme="majorBidi" w:cstheme="majorBidi"/>
                <w:b/>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18:</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color w:val="0D0D0D" w:themeColor="text1" w:themeTint="F2"/>
                <w:sz w:val="22"/>
                <w:szCs w:val="22"/>
                <w:lang w:val="sq-AL" w:eastAsia="sq-AL"/>
              </w:rPr>
              <w:t>Gjithë përfshirja dhe barazia në arsim</w:t>
            </w:r>
          </w:p>
        </w:tc>
      </w:tr>
      <w:tr w:rsidR="005208DC" w:rsidRPr="005208DC" w14:paraId="5389B576" w14:textId="77777777" w:rsidTr="00BC0346">
        <w:tc>
          <w:tcPr>
            <w:tcW w:w="817" w:type="dxa"/>
          </w:tcPr>
          <w:p w14:paraId="1279EF3F" w14:textId="32EF57D3"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876" w:type="dxa"/>
          </w:tcPr>
          <w:p w14:paraId="6ADC0C7D" w14:textId="2BF49AD8"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Rrogat</w:t>
            </w:r>
          </w:p>
        </w:tc>
        <w:tc>
          <w:tcPr>
            <w:tcW w:w="1877" w:type="dxa"/>
          </w:tcPr>
          <w:p w14:paraId="16D817FD" w14:textId="22778BC8"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Mallra dhe shërbime</w:t>
            </w:r>
          </w:p>
        </w:tc>
        <w:tc>
          <w:tcPr>
            <w:tcW w:w="1877" w:type="dxa"/>
          </w:tcPr>
          <w:p w14:paraId="7B1D130F" w14:textId="62254F82"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Subvencione &amp; transferta</w:t>
            </w:r>
          </w:p>
        </w:tc>
        <w:tc>
          <w:tcPr>
            <w:tcW w:w="1877" w:type="dxa"/>
          </w:tcPr>
          <w:p w14:paraId="25711199" w14:textId="1F15CB6B"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Shpenzime kapitale</w:t>
            </w:r>
          </w:p>
        </w:tc>
        <w:tc>
          <w:tcPr>
            <w:tcW w:w="1877" w:type="dxa"/>
          </w:tcPr>
          <w:p w14:paraId="7DBCEAD4" w14:textId="63C2ADE3"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455E3688" w14:textId="77777777" w:rsidTr="00BC0346">
        <w:tc>
          <w:tcPr>
            <w:tcW w:w="817" w:type="dxa"/>
          </w:tcPr>
          <w:p w14:paraId="65033FD0"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876" w:type="dxa"/>
            <w:vAlign w:val="center"/>
          </w:tcPr>
          <w:p w14:paraId="48B4077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7" w:type="dxa"/>
            <w:vAlign w:val="center"/>
          </w:tcPr>
          <w:p w14:paraId="3D90736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eastAsia="sq-AL"/>
              </w:rPr>
              <w:t>171,353.0</w:t>
            </w:r>
          </w:p>
        </w:tc>
        <w:tc>
          <w:tcPr>
            <w:tcW w:w="1877" w:type="dxa"/>
            <w:vAlign w:val="center"/>
          </w:tcPr>
          <w:p w14:paraId="69A8B95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7" w:type="dxa"/>
            <w:vAlign w:val="center"/>
          </w:tcPr>
          <w:p w14:paraId="08DC41C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eastAsia="sq-AL"/>
              </w:rPr>
              <w:t>0</w:t>
            </w:r>
          </w:p>
        </w:tc>
        <w:tc>
          <w:tcPr>
            <w:tcW w:w="1877" w:type="dxa"/>
            <w:vAlign w:val="center"/>
          </w:tcPr>
          <w:p w14:paraId="04D39DE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eastAsia="sq-AL"/>
              </w:rPr>
              <w:t>171,353.0</w:t>
            </w:r>
          </w:p>
        </w:tc>
      </w:tr>
      <w:tr w:rsidR="005208DC" w:rsidRPr="005208DC" w14:paraId="2AE452C5" w14:textId="77777777" w:rsidTr="00BC0346">
        <w:tc>
          <w:tcPr>
            <w:tcW w:w="817" w:type="dxa"/>
          </w:tcPr>
          <w:p w14:paraId="4A5EEA67"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876" w:type="dxa"/>
            <w:vAlign w:val="center"/>
          </w:tcPr>
          <w:p w14:paraId="365359F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7" w:type="dxa"/>
            <w:vAlign w:val="center"/>
          </w:tcPr>
          <w:p w14:paraId="36AE5B4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eastAsia="sq-AL"/>
              </w:rPr>
              <w:t>176,493.0</w:t>
            </w:r>
          </w:p>
        </w:tc>
        <w:tc>
          <w:tcPr>
            <w:tcW w:w="1877" w:type="dxa"/>
            <w:vAlign w:val="center"/>
          </w:tcPr>
          <w:p w14:paraId="59F1704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7" w:type="dxa"/>
            <w:vAlign w:val="center"/>
          </w:tcPr>
          <w:p w14:paraId="1E6CABA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eastAsia="sq-AL"/>
              </w:rPr>
              <w:t>0</w:t>
            </w:r>
          </w:p>
        </w:tc>
        <w:tc>
          <w:tcPr>
            <w:tcW w:w="1877" w:type="dxa"/>
            <w:vAlign w:val="center"/>
          </w:tcPr>
          <w:p w14:paraId="4A0131E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eastAsia="sq-AL"/>
              </w:rPr>
              <w:t>176,493.0</w:t>
            </w:r>
          </w:p>
        </w:tc>
      </w:tr>
      <w:tr w:rsidR="005208DC" w:rsidRPr="005208DC" w14:paraId="1757DFD0" w14:textId="77777777" w:rsidTr="00BC0346">
        <w:tc>
          <w:tcPr>
            <w:tcW w:w="817" w:type="dxa"/>
          </w:tcPr>
          <w:p w14:paraId="14481FF8"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876" w:type="dxa"/>
            <w:vAlign w:val="center"/>
          </w:tcPr>
          <w:p w14:paraId="2DFF1CC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7" w:type="dxa"/>
            <w:vAlign w:val="center"/>
          </w:tcPr>
          <w:p w14:paraId="2EFEB94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eastAsia="sq-AL"/>
              </w:rPr>
              <w:t>181,788.0</w:t>
            </w:r>
          </w:p>
        </w:tc>
        <w:tc>
          <w:tcPr>
            <w:tcW w:w="1877" w:type="dxa"/>
            <w:vAlign w:val="center"/>
          </w:tcPr>
          <w:p w14:paraId="7D17D11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7" w:type="dxa"/>
            <w:vAlign w:val="center"/>
          </w:tcPr>
          <w:p w14:paraId="15BCF41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eastAsia="sq-AL"/>
              </w:rPr>
              <w:t>0</w:t>
            </w:r>
          </w:p>
        </w:tc>
        <w:tc>
          <w:tcPr>
            <w:tcW w:w="1877" w:type="dxa"/>
            <w:vAlign w:val="center"/>
          </w:tcPr>
          <w:p w14:paraId="0CEDBC2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eastAsia="sq-AL"/>
              </w:rPr>
              <w:t>181,788.0</w:t>
            </w:r>
          </w:p>
        </w:tc>
      </w:tr>
    </w:tbl>
    <w:p w14:paraId="2131F885" w14:textId="77777777" w:rsidR="00E06E0F" w:rsidRPr="005208DC" w:rsidRDefault="00E06E0F" w:rsidP="00857902">
      <w:pPr>
        <w:snapToGrid w:val="0"/>
        <w:rPr>
          <w:rFonts w:asciiTheme="majorBidi" w:eastAsia="Arial Narrow" w:hAnsiTheme="majorBidi" w:cstheme="majorBidi"/>
          <w:bCs/>
          <w:color w:val="0D0D0D" w:themeColor="text1" w:themeTint="F2"/>
          <w:sz w:val="22"/>
          <w:szCs w:val="22"/>
          <w:lang w:val="sq-AL"/>
        </w:rPr>
      </w:pPr>
    </w:p>
    <w:tbl>
      <w:tblPr>
        <w:tblStyle w:val="TableGrid"/>
        <w:tblW w:w="10201" w:type="dxa"/>
        <w:tblLook w:val="04A0" w:firstRow="1" w:lastRow="0" w:firstColumn="1" w:lastColumn="0" w:noHBand="0" w:noVBand="1"/>
      </w:tblPr>
      <w:tblGrid>
        <w:gridCol w:w="817"/>
        <w:gridCol w:w="1876"/>
        <w:gridCol w:w="1877"/>
        <w:gridCol w:w="1877"/>
        <w:gridCol w:w="1877"/>
        <w:gridCol w:w="1877"/>
      </w:tblGrid>
      <w:tr w:rsidR="005208DC" w:rsidRPr="005208DC" w14:paraId="4BDA7FED" w14:textId="77777777" w:rsidTr="00F51BF1">
        <w:tc>
          <w:tcPr>
            <w:tcW w:w="10201" w:type="dxa"/>
            <w:gridSpan w:val="6"/>
            <w:shd w:val="clear" w:color="auto" w:fill="E5DFEC" w:themeFill="accent4" w:themeFillTint="33"/>
          </w:tcPr>
          <w:p w14:paraId="1517C483" w14:textId="515074D4" w:rsidR="00E06E0F" w:rsidRPr="005208DC" w:rsidRDefault="00B2062A" w:rsidP="00857902">
            <w:pPr>
              <w:snapToGrid w:val="0"/>
              <w:rPr>
                <w:rFonts w:asciiTheme="majorBidi" w:hAnsiTheme="majorBidi" w:cstheme="majorBidi"/>
                <w:b/>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19:</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color w:val="0D0D0D" w:themeColor="text1" w:themeTint="F2"/>
                <w:sz w:val="22"/>
                <w:szCs w:val="22"/>
                <w:lang w:val="sq-AL" w:eastAsia="sq-AL"/>
              </w:rPr>
              <w:t>Zhvillimi dhe fuqizimi i kompetencës digjitale</w:t>
            </w:r>
          </w:p>
        </w:tc>
      </w:tr>
      <w:tr w:rsidR="005208DC" w:rsidRPr="005208DC" w14:paraId="7F31422E" w14:textId="77777777" w:rsidTr="00BC0346">
        <w:tc>
          <w:tcPr>
            <w:tcW w:w="817" w:type="dxa"/>
          </w:tcPr>
          <w:p w14:paraId="186A72A1" w14:textId="2C521090"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876" w:type="dxa"/>
          </w:tcPr>
          <w:p w14:paraId="46BC418F" w14:textId="2D89C1E9"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Rrogat</w:t>
            </w:r>
          </w:p>
        </w:tc>
        <w:tc>
          <w:tcPr>
            <w:tcW w:w="1877" w:type="dxa"/>
          </w:tcPr>
          <w:p w14:paraId="3F2BF832" w14:textId="56A3BCDE"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Mallra dhe shërbime</w:t>
            </w:r>
          </w:p>
        </w:tc>
        <w:tc>
          <w:tcPr>
            <w:tcW w:w="1877" w:type="dxa"/>
          </w:tcPr>
          <w:p w14:paraId="14DD6990" w14:textId="51F85895"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Subvencione &amp; transferta</w:t>
            </w:r>
          </w:p>
        </w:tc>
        <w:tc>
          <w:tcPr>
            <w:tcW w:w="1877" w:type="dxa"/>
          </w:tcPr>
          <w:p w14:paraId="0D277329" w14:textId="3130A02C"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Shpenzime kapitale</w:t>
            </w:r>
          </w:p>
        </w:tc>
        <w:tc>
          <w:tcPr>
            <w:tcW w:w="1877" w:type="dxa"/>
          </w:tcPr>
          <w:p w14:paraId="3D79A810" w14:textId="14CD8D29" w:rsidR="00E06E0F" w:rsidRPr="005208DC" w:rsidRDefault="005E44FE"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71858A9F" w14:textId="77777777" w:rsidTr="00BC0346">
        <w:tc>
          <w:tcPr>
            <w:tcW w:w="817" w:type="dxa"/>
          </w:tcPr>
          <w:p w14:paraId="1FC4CCC8"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876" w:type="dxa"/>
            <w:vAlign w:val="center"/>
          </w:tcPr>
          <w:p w14:paraId="5BF0E80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7" w:type="dxa"/>
            <w:vAlign w:val="center"/>
          </w:tcPr>
          <w:p w14:paraId="44031AE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3,124.2</w:t>
            </w:r>
          </w:p>
        </w:tc>
        <w:tc>
          <w:tcPr>
            <w:tcW w:w="1877" w:type="dxa"/>
            <w:vAlign w:val="center"/>
          </w:tcPr>
          <w:p w14:paraId="462CFEF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7" w:type="dxa"/>
            <w:vAlign w:val="center"/>
          </w:tcPr>
          <w:p w14:paraId="473F2AA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170,000</w:t>
            </w:r>
          </w:p>
        </w:tc>
        <w:tc>
          <w:tcPr>
            <w:tcW w:w="1877" w:type="dxa"/>
            <w:vAlign w:val="center"/>
          </w:tcPr>
          <w:p w14:paraId="5D53C3A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173,124.2</w:t>
            </w:r>
          </w:p>
        </w:tc>
      </w:tr>
      <w:tr w:rsidR="005208DC" w:rsidRPr="005208DC" w14:paraId="2741FF0A" w14:textId="77777777" w:rsidTr="00BC0346">
        <w:tc>
          <w:tcPr>
            <w:tcW w:w="817" w:type="dxa"/>
          </w:tcPr>
          <w:p w14:paraId="2B23F55E"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876" w:type="dxa"/>
            <w:vAlign w:val="center"/>
          </w:tcPr>
          <w:p w14:paraId="1D88D78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7" w:type="dxa"/>
            <w:vAlign w:val="center"/>
          </w:tcPr>
          <w:p w14:paraId="25C0978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6,814.2</w:t>
            </w:r>
          </w:p>
        </w:tc>
        <w:tc>
          <w:tcPr>
            <w:tcW w:w="1877" w:type="dxa"/>
            <w:vAlign w:val="center"/>
          </w:tcPr>
          <w:p w14:paraId="6882E9B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7" w:type="dxa"/>
            <w:vAlign w:val="center"/>
          </w:tcPr>
          <w:p w14:paraId="014C139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170,000</w:t>
            </w:r>
          </w:p>
        </w:tc>
        <w:tc>
          <w:tcPr>
            <w:tcW w:w="1877" w:type="dxa"/>
            <w:vAlign w:val="center"/>
          </w:tcPr>
          <w:p w14:paraId="5E98CEC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176,814.2</w:t>
            </w:r>
          </w:p>
        </w:tc>
      </w:tr>
      <w:tr w:rsidR="005208DC" w:rsidRPr="005208DC" w14:paraId="22F236A4" w14:textId="77777777" w:rsidTr="00BC0346">
        <w:tc>
          <w:tcPr>
            <w:tcW w:w="817" w:type="dxa"/>
          </w:tcPr>
          <w:p w14:paraId="29E1F7E7"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876" w:type="dxa"/>
            <w:vAlign w:val="center"/>
          </w:tcPr>
          <w:p w14:paraId="5CF0278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7" w:type="dxa"/>
            <w:vAlign w:val="center"/>
          </w:tcPr>
          <w:p w14:paraId="0428E18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10,885.5</w:t>
            </w:r>
          </w:p>
        </w:tc>
        <w:tc>
          <w:tcPr>
            <w:tcW w:w="1877" w:type="dxa"/>
            <w:vAlign w:val="center"/>
          </w:tcPr>
          <w:p w14:paraId="2F61959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7" w:type="dxa"/>
            <w:vAlign w:val="center"/>
          </w:tcPr>
          <w:p w14:paraId="4DB4CAF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170,000</w:t>
            </w:r>
          </w:p>
        </w:tc>
        <w:tc>
          <w:tcPr>
            <w:tcW w:w="1877" w:type="dxa"/>
            <w:vAlign w:val="center"/>
          </w:tcPr>
          <w:p w14:paraId="2BDB9BB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180,885.5</w:t>
            </w:r>
          </w:p>
        </w:tc>
      </w:tr>
    </w:tbl>
    <w:p w14:paraId="41270606" w14:textId="77777777" w:rsidR="00E06E0F" w:rsidRPr="005208DC" w:rsidRDefault="00E06E0F" w:rsidP="00857902">
      <w:pPr>
        <w:snapToGrid w:val="0"/>
        <w:rPr>
          <w:rFonts w:asciiTheme="majorBidi" w:eastAsia="Arial Narrow" w:hAnsiTheme="majorBidi" w:cstheme="majorBidi"/>
          <w:bCs/>
          <w:color w:val="0D0D0D" w:themeColor="text1" w:themeTint="F2"/>
          <w:sz w:val="22"/>
          <w:szCs w:val="22"/>
          <w:lang w:val="sq-AL"/>
        </w:rPr>
      </w:pPr>
    </w:p>
    <w:p w14:paraId="619173FF" w14:textId="77777777" w:rsidR="00E06E0F" w:rsidRPr="005208DC" w:rsidRDefault="00E06E0F" w:rsidP="00857902">
      <w:pPr>
        <w:snapToGrid w:val="0"/>
        <w:rPr>
          <w:rFonts w:asciiTheme="majorBidi" w:eastAsia="Arial Narrow" w:hAnsiTheme="majorBidi" w:cstheme="majorBidi"/>
          <w:bCs/>
          <w:color w:val="0D0D0D" w:themeColor="text1" w:themeTint="F2"/>
          <w:sz w:val="22"/>
          <w:szCs w:val="22"/>
          <w:lang w:val="sq-AL"/>
        </w:rPr>
      </w:pPr>
    </w:p>
    <w:p w14:paraId="14B53190" w14:textId="1DA36D91" w:rsidR="00E06E0F" w:rsidRPr="005208DC" w:rsidRDefault="004D1F24" w:rsidP="00857902">
      <w:pPr>
        <w:pStyle w:val="Heading2"/>
        <w:ind w:left="0"/>
        <w:rPr>
          <w:rFonts w:asciiTheme="majorBidi" w:hAnsiTheme="majorBidi" w:cstheme="majorBidi"/>
          <w:color w:val="0D0D0D" w:themeColor="text1" w:themeTint="F2"/>
          <w:sz w:val="22"/>
          <w:szCs w:val="22"/>
          <w:lang w:val="sq-AL"/>
        </w:rPr>
      </w:pPr>
      <w:bookmarkStart w:id="108" w:name="_Toc92721166"/>
      <w:r w:rsidRPr="005208DC">
        <w:rPr>
          <w:rFonts w:asciiTheme="majorBidi" w:hAnsiTheme="majorBidi" w:cstheme="majorBidi"/>
          <w:color w:val="0D0D0D" w:themeColor="text1" w:themeTint="F2"/>
          <w:sz w:val="22"/>
          <w:szCs w:val="22"/>
          <w:lang w:val="sq-AL"/>
        </w:rPr>
        <w:t>Tabela</w:t>
      </w:r>
      <w:r w:rsidR="000B0C45" w:rsidRPr="005208DC">
        <w:rPr>
          <w:rFonts w:asciiTheme="majorBidi" w:hAnsiTheme="majorBidi" w:cstheme="majorBidi"/>
          <w:color w:val="0D0D0D" w:themeColor="text1" w:themeTint="F2"/>
          <w:sz w:val="22"/>
          <w:szCs w:val="22"/>
          <w:lang w:val="sq-AL"/>
        </w:rPr>
        <w:t xml:space="preserve"> </w:t>
      </w:r>
      <w:r w:rsidR="00E06E0F" w:rsidRPr="005208DC">
        <w:rPr>
          <w:rFonts w:asciiTheme="majorBidi" w:hAnsiTheme="majorBidi" w:cstheme="majorBidi"/>
          <w:color w:val="0D0D0D" w:themeColor="text1" w:themeTint="F2"/>
          <w:sz w:val="22"/>
          <w:szCs w:val="22"/>
          <w:lang w:val="sq-AL"/>
        </w:rPr>
        <w:t>10b:</w:t>
      </w:r>
      <w:r w:rsidR="000B0C45" w:rsidRPr="005208DC">
        <w:rPr>
          <w:rFonts w:asciiTheme="majorBidi" w:hAnsiTheme="majorBidi" w:cstheme="majorBidi"/>
          <w:color w:val="0D0D0D" w:themeColor="text1" w:themeTint="F2"/>
          <w:sz w:val="22"/>
          <w:szCs w:val="22"/>
          <w:lang w:val="sq-AL"/>
        </w:rPr>
        <w:t xml:space="preserve"> </w:t>
      </w:r>
      <w:r w:rsidR="00E06E0F" w:rsidRPr="005208DC">
        <w:rPr>
          <w:rFonts w:asciiTheme="majorBidi" w:hAnsiTheme="majorBidi" w:cstheme="majorBidi"/>
          <w:color w:val="0D0D0D" w:themeColor="text1" w:themeTint="F2"/>
          <w:sz w:val="22"/>
          <w:szCs w:val="22"/>
          <w:lang w:val="sq-AL"/>
        </w:rPr>
        <w:t>Financi</w:t>
      </w:r>
      <w:r w:rsidR="005E44FE" w:rsidRPr="005208DC">
        <w:rPr>
          <w:rFonts w:asciiTheme="majorBidi" w:hAnsiTheme="majorBidi" w:cstheme="majorBidi"/>
          <w:color w:val="0D0D0D" w:themeColor="text1" w:themeTint="F2"/>
          <w:sz w:val="22"/>
          <w:szCs w:val="22"/>
          <w:lang w:val="sq-AL"/>
        </w:rPr>
        <w:t>mi i masave të reformave strukturore</w:t>
      </w:r>
      <w:bookmarkEnd w:id="108"/>
    </w:p>
    <w:p w14:paraId="5FCB0314" w14:textId="47D780F7" w:rsidR="00E64BBA" w:rsidRPr="005208DC" w:rsidRDefault="00B2062A" w:rsidP="00857902">
      <w:pPr>
        <w:pStyle w:val="Heading3"/>
        <w:ind w:left="0"/>
        <w:rPr>
          <w:rFonts w:asciiTheme="majorBidi" w:hAnsiTheme="majorBidi" w:cstheme="majorBidi"/>
          <w:b/>
          <w:bCs/>
          <w:color w:val="0D0D0D" w:themeColor="text1" w:themeTint="F2"/>
          <w:sz w:val="22"/>
          <w:szCs w:val="22"/>
          <w:lang w:val="sq-AL"/>
        </w:rPr>
      </w:pPr>
      <w:bookmarkStart w:id="109" w:name="_Toc92721167"/>
      <w:r w:rsidRPr="005208DC">
        <w:rPr>
          <w:rFonts w:asciiTheme="majorBidi" w:hAnsiTheme="majorBidi" w:cstheme="majorBidi"/>
          <w:b/>
          <w:bCs/>
          <w:color w:val="0D0D0D" w:themeColor="text1" w:themeTint="F2"/>
          <w:sz w:val="22"/>
          <w:szCs w:val="22"/>
          <w:lang w:val="sq-AL"/>
        </w:rPr>
        <w:t>Sfida</w:t>
      </w:r>
      <w:r w:rsidR="005E44FE" w:rsidRPr="005208DC">
        <w:rPr>
          <w:rFonts w:asciiTheme="majorBidi" w:hAnsiTheme="majorBidi" w:cstheme="majorBidi"/>
          <w:b/>
          <w:bCs/>
          <w:color w:val="0D0D0D" w:themeColor="text1" w:themeTint="F2"/>
          <w:sz w:val="22"/>
          <w:szCs w:val="22"/>
          <w:lang w:val="sq-AL"/>
        </w:rPr>
        <w:t>t</w:t>
      </w:r>
      <w:r w:rsidRPr="005208DC">
        <w:rPr>
          <w:rFonts w:asciiTheme="majorBidi" w:hAnsiTheme="majorBidi" w:cstheme="majorBidi"/>
          <w:b/>
          <w:bCs/>
          <w:color w:val="0D0D0D" w:themeColor="text1" w:themeTint="F2"/>
          <w:sz w:val="22"/>
          <w:szCs w:val="22"/>
          <w:lang w:val="sq-AL"/>
        </w:rPr>
        <w:t xml:space="preserve"> Kyçe</w:t>
      </w:r>
      <w:bookmarkEnd w:id="109"/>
    </w:p>
    <w:p w14:paraId="25B2E2DF" w14:textId="4D429489" w:rsidR="00E06E0F" w:rsidRPr="005208DC" w:rsidRDefault="00B2062A" w:rsidP="00857902">
      <w:pPr>
        <w:pStyle w:val="Heading4"/>
        <w:ind w:left="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Sfida Kyçe</w:t>
      </w:r>
      <w:r w:rsidR="000B0C45" w:rsidRPr="005208DC">
        <w:rPr>
          <w:rFonts w:asciiTheme="majorBidi" w:hAnsiTheme="majorBidi" w:cstheme="majorBidi"/>
          <w:color w:val="0D0D0D" w:themeColor="text1" w:themeTint="F2"/>
          <w:lang w:val="sq-AL"/>
        </w:rPr>
        <w:t xml:space="preserve"> </w:t>
      </w:r>
      <w:r w:rsidR="00E06E0F" w:rsidRPr="005208DC">
        <w:rPr>
          <w:rFonts w:asciiTheme="majorBidi" w:hAnsiTheme="majorBidi" w:cstheme="majorBidi"/>
          <w:color w:val="0D0D0D" w:themeColor="text1" w:themeTint="F2"/>
          <w:lang w:val="sq-AL"/>
        </w:rPr>
        <w:t>#1</w:t>
      </w:r>
    </w:p>
    <w:tbl>
      <w:tblPr>
        <w:tblStyle w:val="TableGrid"/>
        <w:tblW w:w="10201" w:type="dxa"/>
        <w:tblLook w:val="04A0" w:firstRow="1" w:lastRow="0" w:firstColumn="1" w:lastColumn="0" w:noHBand="0" w:noVBand="1"/>
      </w:tblPr>
      <w:tblGrid>
        <w:gridCol w:w="1045"/>
        <w:gridCol w:w="1061"/>
        <w:gridCol w:w="1062"/>
        <w:gridCol w:w="1145"/>
        <w:gridCol w:w="1057"/>
        <w:gridCol w:w="1066"/>
        <w:gridCol w:w="1133"/>
        <w:gridCol w:w="1046"/>
        <w:gridCol w:w="1586"/>
      </w:tblGrid>
      <w:tr w:rsidR="005208DC" w:rsidRPr="005208DC" w14:paraId="20CF0977" w14:textId="77777777" w:rsidTr="00F51BF1">
        <w:tc>
          <w:tcPr>
            <w:tcW w:w="10201" w:type="dxa"/>
            <w:gridSpan w:val="9"/>
            <w:shd w:val="clear" w:color="auto" w:fill="E5DFEC" w:themeFill="accent4" w:themeFillTint="33"/>
          </w:tcPr>
          <w:p w14:paraId="5AB65B07" w14:textId="441DA646" w:rsidR="00E06E0F" w:rsidRPr="005208DC" w:rsidRDefault="00B2062A"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01:</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color w:val="0D0D0D" w:themeColor="text1" w:themeTint="F2"/>
                <w:sz w:val="22"/>
                <w:szCs w:val="22"/>
                <w:lang w:val="sq-AL"/>
              </w:rPr>
              <w:t>Rritja e cilësisë dhe aksesit në AFP</w:t>
            </w:r>
          </w:p>
        </w:tc>
      </w:tr>
      <w:tr w:rsidR="005208DC" w:rsidRPr="005208DC" w14:paraId="450FD07A" w14:textId="77777777" w:rsidTr="00F51BF1">
        <w:tc>
          <w:tcPr>
            <w:tcW w:w="1070" w:type="dxa"/>
          </w:tcPr>
          <w:p w14:paraId="41AADF9D" w14:textId="61757A63"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070" w:type="dxa"/>
          </w:tcPr>
          <w:p w14:paraId="53516B84" w14:textId="4841B14C"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qendror</w:t>
            </w:r>
          </w:p>
        </w:tc>
        <w:tc>
          <w:tcPr>
            <w:tcW w:w="1071" w:type="dxa"/>
          </w:tcPr>
          <w:p w14:paraId="75968CDA" w14:textId="1A6ACAB9" w:rsidR="00E06E0F" w:rsidRPr="005208DC" w:rsidRDefault="004D1F24"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vendor</w:t>
            </w:r>
          </w:p>
        </w:tc>
        <w:tc>
          <w:tcPr>
            <w:tcW w:w="1070" w:type="dxa"/>
          </w:tcPr>
          <w:p w14:paraId="2BA68899" w14:textId="677324BE"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 xml:space="preserve">Burime të tjera </w:t>
            </w:r>
            <w:r w:rsidR="004D1F24" w:rsidRPr="005208DC">
              <w:rPr>
                <w:rFonts w:asciiTheme="majorBidi" w:hAnsiTheme="majorBidi" w:cstheme="majorBidi"/>
                <w:color w:val="0D0D0D" w:themeColor="text1" w:themeTint="F2"/>
                <w:sz w:val="22"/>
                <w:szCs w:val="22"/>
                <w:lang w:val="sq-AL"/>
              </w:rPr>
              <w:t>kombëtare</w:t>
            </w:r>
            <w:r w:rsidRPr="005208DC">
              <w:rPr>
                <w:rFonts w:asciiTheme="majorBidi" w:hAnsiTheme="majorBidi" w:cstheme="majorBidi"/>
                <w:color w:val="0D0D0D" w:themeColor="text1" w:themeTint="F2"/>
                <w:sz w:val="22"/>
                <w:szCs w:val="22"/>
                <w:lang w:val="sq-AL"/>
              </w:rPr>
              <w:t xml:space="preserve"> të financave publike</w:t>
            </w:r>
          </w:p>
        </w:tc>
        <w:tc>
          <w:tcPr>
            <w:tcW w:w="1071" w:type="dxa"/>
          </w:tcPr>
          <w:p w14:paraId="2ED323BC" w14:textId="16F7087C"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Fondet IPA</w:t>
            </w:r>
          </w:p>
        </w:tc>
        <w:tc>
          <w:tcPr>
            <w:tcW w:w="1070" w:type="dxa"/>
          </w:tcPr>
          <w:p w14:paraId="750EA814" w14:textId="652F244E"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Dhurime të tjera</w:t>
            </w:r>
          </w:p>
        </w:tc>
        <w:tc>
          <w:tcPr>
            <w:tcW w:w="1071" w:type="dxa"/>
          </w:tcPr>
          <w:p w14:paraId="4E52FDBA" w14:textId="244F412C"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Hua projektesh</w:t>
            </w:r>
          </w:p>
        </w:tc>
        <w:tc>
          <w:tcPr>
            <w:tcW w:w="1070" w:type="dxa"/>
          </w:tcPr>
          <w:p w14:paraId="60DCA927"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TBD</w:t>
            </w:r>
          </w:p>
        </w:tc>
        <w:tc>
          <w:tcPr>
            <w:tcW w:w="1638" w:type="dxa"/>
          </w:tcPr>
          <w:p w14:paraId="0C521C2E" w14:textId="07E4AB27"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10B95789" w14:textId="77777777" w:rsidTr="00F51BF1">
        <w:trPr>
          <w:trHeight w:val="323"/>
        </w:trPr>
        <w:tc>
          <w:tcPr>
            <w:tcW w:w="1070" w:type="dxa"/>
          </w:tcPr>
          <w:p w14:paraId="0ABDA1E7"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070" w:type="dxa"/>
          </w:tcPr>
          <w:p w14:paraId="27F8DCA2" w14:textId="77777777" w:rsidR="00E06E0F" w:rsidRPr="005208DC" w:rsidRDefault="00E06E0F" w:rsidP="00857902">
            <w:pPr>
              <w:jc w:val="right"/>
              <w:rPr>
                <w:rFonts w:asciiTheme="majorBidi" w:hAnsiTheme="majorBidi" w:cstheme="majorBidi"/>
                <w:color w:val="0D0D0D" w:themeColor="text1" w:themeTint="F2"/>
                <w:sz w:val="22"/>
                <w:szCs w:val="22"/>
                <w:lang w:val="sq-AL"/>
              </w:rPr>
            </w:pPr>
          </w:p>
        </w:tc>
        <w:tc>
          <w:tcPr>
            <w:tcW w:w="1071" w:type="dxa"/>
          </w:tcPr>
          <w:p w14:paraId="1134F1C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372CC26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4B2AB21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3FFF4A4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3FD0DCB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shd w:val="clear" w:color="auto" w:fill="808080" w:themeFill="background1" w:themeFillShade="80"/>
          </w:tcPr>
          <w:p w14:paraId="4AB0DD7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38" w:type="dxa"/>
          </w:tcPr>
          <w:p w14:paraId="7E2C9E1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r w:rsidR="005208DC" w:rsidRPr="005208DC" w14:paraId="63CBF263" w14:textId="77777777" w:rsidTr="00F51BF1">
        <w:tc>
          <w:tcPr>
            <w:tcW w:w="1070" w:type="dxa"/>
          </w:tcPr>
          <w:p w14:paraId="315FD665"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070" w:type="dxa"/>
          </w:tcPr>
          <w:p w14:paraId="44B0C04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4BCE1B1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3CF3433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5B673FD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230A172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5526A4B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46898B6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38" w:type="dxa"/>
          </w:tcPr>
          <w:p w14:paraId="25B675A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r w:rsidR="005208DC" w:rsidRPr="005208DC" w14:paraId="08C1130D" w14:textId="77777777" w:rsidTr="00F51BF1">
        <w:tc>
          <w:tcPr>
            <w:tcW w:w="1070" w:type="dxa"/>
          </w:tcPr>
          <w:p w14:paraId="221EA9B1"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070" w:type="dxa"/>
          </w:tcPr>
          <w:p w14:paraId="0D60AA1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506A167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10EB979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39241C1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395708E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5AFC8E1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25E4910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38" w:type="dxa"/>
          </w:tcPr>
          <w:p w14:paraId="4C9B9C1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bl>
    <w:p w14:paraId="72049FA1"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p>
    <w:tbl>
      <w:tblPr>
        <w:tblStyle w:val="TableGrid"/>
        <w:tblW w:w="10201" w:type="dxa"/>
        <w:tblLook w:val="04A0" w:firstRow="1" w:lastRow="0" w:firstColumn="1" w:lastColumn="0" w:noHBand="0" w:noVBand="1"/>
      </w:tblPr>
      <w:tblGrid>
        <w:gridCol w:w="892"/>
        <w:gridCol w:w="1033"/>
        <w:gridCol w:w="1261"/>
        <w:gridCol w:w="1145"/>
        <w:gridCol w:w="1262"/>
        <w:gridCol w:w="1006"/>
        <w:gridCol w:w="1133"/>
        <w:gridCol w:w="892"/>
        <w:gridCol w:w="1577"/>
      </w:tblGrid>
      <w:tr w:rsidR="005208DC" w:rsidRPr="005208DC" w14:paraId="075CD206" w14:textId="77777777" w:rsidTr="00F51BF1">
        <w:tc>
          <w:tcPr>
            <w:tcW w:w="10201" w:type="dxa"/>
            <w:gridSpan w:val="9"/>
            <w:shd w:val="clear" w:color="auto" w:fill="E5DFEC" w:themeFill="accent4" w:themeFillTint="33"/>
          </w:tcPr>
          <w:p w14:paraId="366CCF63" w14:textId="3A8C263D" w:rsidR="00E06E0F" w:rsidRPr="005208DC" w:rsidRDefault="00B2062A"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02:</w:t>
            </w:r>
            <w:r w:rsidR="000B0C45" w:rsidRPr="005208DC">
              <w:rPr>
                <w:rFonts w:asciiTheme="majorBidi" w:hAnsiTheme="majorBidi" w:cstheme="majorBidi"/>
                <w:b/>
                <w:color w:val="0D0D0D" w:themeColor="text1" w:themeTint="F2"/>
                <w:sz w:val="22"/>
                <w:szCs w:val="22"/>
                <w:lang w:val="sq-AL"/>
              </w:rPr>
              <w:t xml:space="preserve"> </w:t>
            </w:r>
            <w:r w:rsidR="007F2542" w:rsidRPr="005208DC">
              <w:rPr>
                <w:rFonts w:asciiTheme="majorBidi" w:hAnsiTheme="majorBidi" w:cstheme="majorBidi"/>
                <w:b/>
                <w:color w:val="0D0D0D" w:themeColor="text1" w:themeTint="F2"/>
                <w:sz w:val="22"/>
                <w:szCs w:val="22"/>
                <w:lang w:val="sq-AL"/>
              </w:rPr>
              <w:t>Përmirësimi i punësueshmërisë së punëkërkuesve të papunë më vulnerabël, veçanërisht atyre të prekur nga COVID-19, përmes PNP-ve dhe shërbimeve të punësimit të reja dhe të rishikuara</w:t>
            </w:r>
          </w:p>
        </w:tc>
      </w:tr>
      <w:tr w:rsidR="005208DC" w:rsidRPr="005208DC" w14:paraId="4BA1E81B" w14:textId="77777777" w:rsidTr="00F51BF1">
        <w:tc>
          <w:tcPr>
            <w:tcW w:w="934" w:type="dxa"/>
          </w:tcPr>
          <w:p w14:paraId="0EF1E77B" w14:textId="5868D7A7"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042" w:type="dxa"/>
          </w:tcPr>
          <w:p w14:paraId="714A0F1B" w14:textId="2A226637"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qendror</w:t>
            </w:r>
          </w:p>
        </w:tc>
        <w:tc>
          <w:tcPr>
            <w:tcW w:w="1261" w:type="dxa"/>
          </w:tcPr>
          <w:p w14:paraId="41326C34" w14:textId="2768CFF6" w:rsidR="00E06E0F" w:rsidRPr="005208DC" w:rsidRDefault="004D1F24"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vendor</w:t>
            </w:r>
          </w:p>
        </w:tc>
        <w:tc>
          <w:tcPr>
            <w:tcW w:w="1023" w:type="dxa"/>
          </w:tcPr>
          <w:p w14:paraId="466DE839" w14:textId="0AE6D051"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 xml:space="preserve">Burime të tjera </w:t>
            </w:r>
            <w:r w:rsidR="004D1F24" w:rsidRPr="005208DC">
              <w:rPr>
                <w:rFonts w:asciiTheme="majorBidi" w:hAnsiTheme="majorBidi" w:cstheme="majorBidi"/>
                <w:color w:val="0D0D0D" w:themeColor="text1" w:themeTint="F2"/>
                <w:sz w:val="22"/>
                <w:szCs w:val="22"/>
                <w:lang w:val="sq-AL"/>
              </w:rPr>
              <w:t>kombëtare</w:t>
            </w:r>
            <w:r w:rsidRPr="005208DC">
              <w:rPr>
                <w:rFonts w:asciiTheme="majorBidi" w:hAnsiTheme="majorBidi" w:cstheme="majorBidi"/>
                <w:color w:val="0D0D0D" w:themeColor="text1" w:themeTint="F2"/>
                <w:sz w:val="22"/>
                <w:szCs w:val="22"/>
                <w:lang w:val="sq-AL"/>
              </w:rPr>
              <w:t xml:space="preserve"> të financave publike</w:t>
            </w:r>
          </w:p>
        </w:tc>
        <w:tc>
          <w:tcPr>
            <w:tcW w:w="1340" w:type="dxa"/>
          </w:tcPr>
          <w:p w14:paraId="0172AAAD" w14:textId="212E1B85"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Fondet IPA</w:t>
            </w:r>
          </w:p>
        </w:tc>
        <w:tc>
          <w:tcPr>
            <w:tcW w:w="1007" w:type="dxa"/>
          </w:tcPr>
          <w:p w14:paraId="270A6BC4" w14:textId="3DF03722"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Dhurime të tjera</w:t>
            </w:r>
          </w:p>
        </w:tc>
        <w:tc>
          <w:tcPr>
            <w:tcW w:w="996" w:type="dxa"/>
          </w:tcPr>
          <w:p w14:paraId="55D50B87" w14:textId="1339A4E8"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Hua projektesh</w:t>
            </w:r>
          </w:p>
        </w:tc>
        <w:tc>
          <w:tcPr>
            <w:tcW w:w="935" w:type="dxa"/>
          </w:tcPr>
          <w:p w14:paraId="692830C4"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TBD</w:t>
            </w:r>
          </w:p>
        </w:tc>
        <w:tc>
          <w:tcPr>
            <w:tcW w:w="1663" w:type="dxa"/>
          </w:tcPr>
          <w:p w14:paraId="45E3B4F5" w14:textId="4964A399"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730412D8" w14:textId="77777777" w:rsidTr="00F51BF1">
        <w:tc>
          <w:tcPr>
            <w:tcW w:w="934" w:type="dxa"/>
          </w:tcPr>
          <w:p w14:paraId="1D522A21"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042" w:type="dxa"/>
          </w:tcPr>
          <w:p w14:paraId="7426F10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1114876</w:t>
            </w:r>
          </w:p>
        </w:tc>
        <w:tc>
          <w:tcPr>
            <w:tcW w:w="1261" w:type="dxa"/>
          </w:tcPr>
          <w:p w14:paraId="14FA815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17485123.9</w:t>
            </w:r>
          </w:p>
        </w:tc>
        <w:tc>
          <w:tcPr>
            <w:tcW w:w="1023" w:type="dxa"/>
          </w:tcPr>
          <w:p w14:paraId="6941167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340" w:type="dxa"/>
          </w:tcPr>
          <w:p w14:paraId="010792A0" w14:textId="3D7AA0F8"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TA</w:t>
            </w:r>
            <w:r w:rsidR="00F51BF1" w:rsidRPr="005208DC">
              <w:rPr>
                <w:rStyle w:val="FootnoteReference"/>
                <w:rFonts w:asciiTheme="majorBidi" w:hAnsiTheme="majorBidi" w:cstheme="majorBidi"/>
                <w:color w:val="0D0D0D" w:themeColor="text1" w:themeTint="F2"/>
                <w:sz w:val="22"/>
                <w:szCs w:val="22"/>
                <w:lang w:val="sq-AL"/>
              </w:rPr>
              <w:footnoteReference w:id="30"/>
            </w:r>
          </w:p>
        </w:tc>
        <w:tc>
          <w:tcPr>
            <w:tcW w:w="1007" w:type="dxa"/>
          </w:tcPr>
          <w:p w14:paraId="1A90AAD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106800</w:t>
            </w:r>
          </w:p>
        </w:tc>
        <w:tc>
          <w:tcPr>
            <w:tcW w:w="996" w:type="dxa"/>
          </w:tcPr>
          <w:p w14:paraId="3AF7B69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935" w:type="dxa"/>
            <w:shd w:val="clear" w:color="auto" w:fill="808080" w:themeFill="background1" w:themeFillShade="80"/>
          </w:tcPr>
          <w:p w14:paraId="4C2520E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63" w:type="dxa"/>
          </w:tcPr>
          <w:p w14:paraId="476B1B5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18600000</w:t>
            </w:r>
          </w:p>
        </w:tc>
      </w:tr>
      <w:tr w:rsidR="005208DC" w:rsidRPr="005208DC" w14:paraId="1ACE3E55" w14:textId="77777777" w:rsidTr="00F51BF1">
        <w:tc>
          <w:tcPr>
            <w:tcW w:w="934" w:type="dxa"/>
          </w:tcPr>
          <w:p w14:paraId="7E53E48C"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042" w:type="dxa"/>
          </w:tcPr>
          <w:p w14:paraId="7373C74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1114876</w:t>
            </w:r>
          </w:p>
        </w:tc>
        <w:tc>
          <w:tcPr>
            <w:tcW w:w="1261" w:type="dxa"/>
          </w:tcPr>
          <w:p w14:paraId="3BB0780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17485123.9</w:t>
            </w:r>
          </w:p>
        </w:tc>
        <w:tc>
          <w:tcPr>
            <w:tcW w:w="1023" w:type="dxa"/>
          </w:tcPr>
          <w:p w14:paraId="7BF8CBC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340" w:type="dxa"/>
          </w:tcPr>
          <w:p w14:paraId="12AD7B9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07" w:type="dxa"/>
          </w:tcPr>
          <w:p w14:paraId="246B06A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996" w:type="dxa"/>
          </w:tcPr>
          <w:p w14:paraId="38EA1FD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935" w:type="dxa"/>
          </w:tcPr>
          <w:p w14:paraId="08D51EC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63" w:type="dxa"/>
          </w:tcPr>
          <w:p w14:paraId="730B7D2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18600000</w:t>
            </w:r>
          </w:p>
        </w:tc>
      </w:tr>
      <w:tr w:rsidR="005208DC" w:rsidRPr="005208DC" w14:paraId="2935B8AC" w14:textId="77777777" w:rsidTr="00F51BF1">
        <w:tc>
          <w:tcPr>
            <w:tcW w:w="934" w:type="dxa"/>
          </w:tcPr>
          <w:p w14:paraId="7539F6A7"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042" w:type="dxa"/>
          </w:tcPr>
          <w:p w14:paraId="4BB8523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1114876</w:t>
            </w:r>
          </w:p>
        </w:tc>
        <w:tc>
          <w:tcPr>
            <w:tcW w:w="1261" w:type="dxa"/>
          </w:tcPr>
          <w:p w14:paraId="7936D10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17485123.9</w:t>
            </w:r>
          </w:p>
        </w:tc>
        <w:tc>
          <w:tcPr>
            <w:tcW w:w="1023" w:type="dxa"/>
          </w:tcPr>
          <w:p w14:paraId="46FE23E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340" w:type="dxa"/>
          </w:tcPr>
          <w:p w14:paraId="1EB53D6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07" w:type="dxa"/>
          </w:tcPr>
          <w:p w14:paraId="2A01470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996" w:type="dxa"/>
          </w:tcPr>
          <w:p w14:paraId="0E0E8A4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935" w:type="dxa"/>
          </w:tcPr>
          <w:p w14:paraId="5EDB51C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63" w:type="dxa"/>
          </w:tcPr>
          <w:p w14:paraId="1EDD41E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18600000</w:t>
            </w:r>
          </w:p>
        </w:tc>
      </w:tr>
    </w:tbl>
    <w:p w14:paraId="0CFA6718"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p>
    <w:tbl>
      <w:tblPr>
        <w:tblStyle w:val="TableGrid"/>
        <w:tblW w:w="10201" w:type="dxa"/>
        <w:tblLook w:val="04A0" w:firstRow="1" w:lastRow="0" w:firstColumn="1" w:lastColumn="0" w:noHBand="0" w:noVBand="1"/>
      </w:tblPr>
      <w:tblGrid>
        <w:gridCol w:w="1045"/>
        <w:gridCol w:w="1061"/>
        <w:gridCol w:w="1062"/>
        <w:gridCol w:w="1145"/>
        <w:gridCol w:w="1057"/>
        <w:gridCol w:w="1066"/>
        <w:gridCol w:w="1133"/>
        <w:gridCol w:w="1046"/>
        <w:gridCol w:w="1586"/>
      </w:tblGrid>
      <w:tr w:rsidR="005208DC" w:rsidRPr="005208DC" w14:paraId="42FC2A30" w14:textId="77777777" w:rsidTr="00F51BF1">
        <w:tc>
          <w:tcPr>
            <w:tcW w:w="10201" w:type="dxa"/>
            <w:gridSpan w:val="9"/>
            <w:shd w:val="clear" w:color="auto" w:fill="E5DFEC" w:themeFill="accent4" w:themeFillTint="33"/>
          </w:tcPr>
          <w:p w14:paraId="7D51B791" w14:textId="067EFA9D" w:rsidR="00E06E0F" w:rsidRPr="005208DC" w:rsidRDefault="00B2062A"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03:</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color w:val="0D0D0D" w:themeColor="text1" w:themeTint="F2"/>
                <w:sz w:val="22"/>
                <w:szCs w:val="22"/>
                <w:lang w:val="sq-AL"/>
              </w:rPr>
              <w:t>Përmirësimi i kapaciteteve institucionale, financiare dhe njerëzore për kërkim dhe inovacion</w:t>
            </w:r>
          </w:p>
        </w:tc>
      </w:tr>
      <w:tr w:rsidR="005208DC" w:rsidRPr="005208DC" w14:paraId="526386A3" w14:textId="77777777" w:rsidTr="00F51BF1">
        <w:tc>
          <w:tcPr>
            <w:tcW w:w="1070" w:type="dxa"/>
          </w:tcPr>
          <w:p w14:paraId="5EEB5EA9" w14:textId="503D06C3"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070" w:type="dxa"/>
          </w:tcPr>
          <w:p w14:paraId="069B5077" w14:textId="26C0C446"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qendror</w:t>
            </w:r>
          </w:p>
        </w:tc>
        <w:tc>
          <w:tcPr>
            <w:tcW w:w="1071" w:type="dxa"/>
          </w:tcPr>
          <w:p w14:paraId="0F6A9B42" w14:textId="1B867D50" w:rsidR="00E06E0F" w:rsidRPr="005208DC" w:rsidRDefault="004D1F24"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vendor</w:t>
            </w:r>
          </w:p>
        </w:tc>
        <w:tc>
          <w:tcPr>
            <w:tcW w:w="1070" w:type="dxa"/>
          </w:tcPr>
          <w:p w14:paraId="07D2E508" w14:textId="47E27330"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 xml:space="preserve">Burime të tjera </w:t>
            </w:r>
            <w:r w:rsidR="004D1F24" w:rsidRPr="005208DC">
              <w:rPr>
                <w:rFonts w:asciiTheme="majorBidi" w:hAnsiTheme="majorBidi" w:cstheme="majorBidi"/>
                <w:color w:val="0D0D0D" w:themeColor="text1" w:themeTint="F2"/>
                <w:sz w:val="22"/>
                <w:szCs w:val="22"/>
                <w:lang w:val="sq-AL"/>
              </w:rPr>
              <w:t>kombëtare</w:t>
            </w:r>
            <w:r w:rsidRPr="005208DC">
              <w:rPr>
                <w:rFonts w:asciiTheme="majorBidi" w:hAnsiTheme="majorBidi" w:cstheme="majorBidi"/>
                <w:color w:val="0D0D0D" w:themeColor="text1" w:themeTint="F2"/>
                <w:sz w:val="22"/>
                <w:szCs w:val="22"/>
                <w:lang w:val="sq-AL"/>
              </w:rPr>
              <w:t xml:space="preserve"> të financave publike</w:t>
            </w:r>
          </w:p>
        </w:tc>
        <w:tc>
          <w:tcPr>
            <w:tcW w:w="1071" w:type="dxa"/>
          </w:tcPr>
          <w:p w14:paraId="40A92445" w14:textId="0D46E84E"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Fondet IPA</w:t>
            </w:r>
          </w:p>
        </w:tc>
        <w:tc>
          <w:tcPr>
            <w:tcW w:w="1070" w:type="dxa"/>
          </w:tcPr>
          <w:p w14:paraId="33E14608" w14:textId="1EEED4A3"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Dhurime të tjera</w:t>
            </w:r>
          </w:p>
        </w:tc>
        <w:tc>
          <w:tcPr>
            <w:tcW w:w="1071" w:type="dxa"/>
          </w:tcPr>
          <w:p w14:paraId="64486803" w14:textId="091486E7"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Hua projektesh</w:t>
            </w:r>
          </w:p>
        </w:tc>
        <w:tc>
          <w:tcPr>
            <w:tcW w:w="1070" w:type="dxa"/>
          </w:tcPr>
          <w:p w14:paraId="48CB2364"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TBD</w:t>
            </w:r>
          </w:p>
        </w:tc>
        <w:tc>
          <w:tcPr>
            <w:tcW w:w="1638" w:type="dxa"/>
          </w:tcPr>
          <w:p w14:paraId="3419872D" w14:textId="5171365A"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188211EE" w14:textId="77777777" w:rsidTr="00F51BF1">
        <w:trPr>
          <w:trHeight w:val="323"/>
        </w:trPr>
        <w:tc>
          <w:tcPr>
            <w:tcW w:w="1070" w:type="dxa"/>
          </w:tcPr>
          <w:p w14:paraId="4F310B62"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070" w:type="dxa"/>
          </w:tcPr>
          <w:p w14:paraId="278E8538" w14:textId="77777777" w:rsidR="00E06E0F" w:rsidRPr="005208DC" w:rsidRDefault="00E06E0F" w:rsidP="00857902">
            <w:pPr>
              <w:jc w:val="right"/>
              <w:rPr>
                <w:rFonts w:asciiTheme="majorBidi" w:hAnsiTheme="majorBidi" w:cstheme="majorBidi"/>
                <w:color w:val="0D0D0D" w:themeColor="text1" w:themeTint="F2"/>
                <w:sz w:val="22"/>
                <w:szCs w:val="22"/>
                <w:lang w:val="sq-AL"/>
              </w:rPr>
            </w:pPr>
          </w:p>
        </w:tc>
        <w:tc>
          <w:tcPr>
            <w:tcW w:w="1071" w:type="dxa"/>
          </w:tcPr>
          <w:p w14:paraId="21998E4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1AF4514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29DFB51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0632FD1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6D2404A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shd w:val="clear" w:color="auto" w:fill="808080" w:themeFill="background1" w:themeFillShade="80"/>
          </w:tcPr>
          <w:p w14:paraId="19D2E4A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38" w:type="dxa"/>
          </w:tcPr>
          <w:p w14:paraId="4A9A322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r w:rsidR="005208DC" w:rsidRPr="005208DC" w14:paraId="3460BC18" w14:textId="77777777" w:rsidTr="00F51BF1">
        <w:tc>
          <w:tcPr>
            <w:tcW w:w="1070" w:type="dxa"/>
          </w:tcPr>
          <w:p w14:paraId="50F68731"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070" w:type="dxa"/>
          </w:tcPr>
          <w:p w14:paraId="1CAD315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3B4A24C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2671C82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76183C2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1AC9C3D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496C11F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51F9DCF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38" w:type="dxa"/>
          </w:tcPr>
          <w:p w14:paraId="799DC37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r w:rsidR="005208DC" w:rsidRPr="005208DC" w14:paraId="6DEA657E" w14:textId="77777777" w:rsidTr="00F51BF1">
        <w:tc>
          <w:tcPr>
            <w:tcW w:w="1070" w:type="dxa"/>
          </w:tcPr>
          <w:p w14:paraId="7E1CB4F7"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070" w:type="dxa"/>
          </w:tcPr>
          <w:p w14:paraId="2E57562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6791CC4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5F57522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33F88EF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61928FC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4EA26F2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488FFFC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38" w:type="dxa"/>
          </w:tcPr>
          <w:p w14:paraId="5754DE8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bl>
    <w:p w14:paraId="54447B4C"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p>
    <w:p w14:paraId="623AFB6F" w14:textId="29510B08" w:rsidR="00E06E0F" w:rsidRPr="005208DC" w:rsidRDefault="00B2062A" w:rsidP="00857902">
      <w:pPr>
        <w:pStyle w:val="Heading4"/>
        <w:ind w:left="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Sfida Kyçe</w:t>
      </w:r>
      <w:r w:rsidR="000B0C45" w:rsidRPr="005208DC">
        <w:rPr>
          <w:rFonts w:asciiTheme="majorBidi" w:hAnsiTheme="majorBidi" w:cstheme="majorBidi"/>
          <w:color w:val="0D0D0D" w:themeColor="text1" w:themeTint="F2"/>
          <w:lang w:val="sq-AL"/>
        </w:rPr>
        <w:t xml:space="preserve"> </w:t>
      </w:r>
      <w:r w:rsidR="00E06E0F" w:rsidRPr="005208DC">
        <w:rPr>
          <w:rFonts w:asciiTheme="majorBidi" w:hAnsiTheme="majorBidi" w:cstheme="majorBidi"/>
          <w:color w:val="0D0D0D" w:themeColor="text1" w:themeTint="F2"/>
          <w:lang w:val="sq-AL"/>
        </w:rPr>
        <w:t>#2</w:t>
      </w:r>
    </w:p>
    <w:tbl>
      <w:tblPr>
        <w:tblStyle w:val="TableGrid"/>
        <w:tblW w:w="10201" w:type="dxa"/>
        <w:tblLook w:val="04A0" w:firstRow="1" w:lastRow="0" w:firstColumn="1" w:lastColumn="0" w:noHBand="0" w:noVBand="1"/>
      </w:tblPr>
      <w:tblGrid>
        <w:gridCol w:w="877"/>
        <w:gridCol w:w="1316"/>
        <w:gridCol w:w="1003"/>
        <w:gridCol w:w="1145"/>
        <w:gridCol w:w="1096"/>
        <w:gridCol w:w="999"/>
        <w:gridCol w:w="1133"/>
        <w:gridCol w:w="877"/>
        <w:gridCol w:w="1755"/>
      </w:tblGrid>
      <w:tr w:rsidR="005208DC" w:rsidRPr="005208DC" w14:paraId="4678D44D" w14:textId="77777777" w:rsidTr="00F51BF1">
        <w:tc>
          <w:tcPr>
            <w:tcW w:w="10201" w:type="dxa"/>
            <w:gridSpan w:val="9"/>
            <w:shd w:val="clear" w:color="auto" w:fill="E5DFEC" w:themeFill="accent4" w:themeFillTint="33"/>
          </w:tcPr>
          <w:p w14:paraId="0BCCAF96" w14:textId="635B8858" w:rsidR="00E06E0F" w:rsidRPr="005208DC" w:rsidRDefault="00B2062A"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04:</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color w:val="0D0D0D" w:themeColor="text1" w:themeTint="F2"/>
                <w:sz w:val="22"/>
                <w:szCs w:val="22"/>
                <w:lang w:val="sq-AL"/>
              </w:rPr>
              <w:t>Rritja e mbulimit dhe përshtatshmërisë së mbrojtjes sociale dhe sigurimeve shëndetësore për të ulur përqindjen e popullsisë së rrezikuar nga varfëria</w:t>
            </w:r>
          </w:p>
        </w:tc>
      </w:tr>
      <w:tr w:rsidR="005208DC" w:rsidRPr="005208DC" w14:paraId="40558C24" w14:textId="77777777" w:rsidTr="00F51BF1">
        <w:tc>
          <w:tcPr>
            <w:tcW w:w="941" w:type="dxa"/>
          </w:tcPr>
          <w:p w14:paraId="24755A67" w14:textId="3F84641B"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316" w:type="dxa"/>
          </w:tcPr>
          <w:p w14:paraId="4519DF62" w14:textId="61F17A1A"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qendror</w:t>
            </w:r>
          </w:p>
        </w:tc>
        <w:tc>
          <w:tcPr>
            <w:tcW w:w="1029" w:type="dxa"/>
          </w:tcPr>
          <w:p w14:paraId="0C9B94C3" w14:textId="4BDD5DF8" w:rsidR="00E06E0F" w:rsidRPr="005208DC" w:rsidRDefault="004D1F24"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vendor</w:t>
            </w:r>
          </w:p>
        </w:tc>
        <w:tc>
          <w:tcPr>
            <w:tcW w:w="1025" w:type="dxa"/>
          </w:tcPr>
          <w:p w14:paraId="47A6AE5E" w14:textId="574A6440"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 xml:space="preserve">Burime të tjera </w:t>
            </w:r>
            <w:r w:rsidR="004D1F24" w:rsidRPr="005208DC">
              <w:rPr>
                <w:rFonts w:asciiTheme="majorBidi" w:hAnsiTheme="majorBidi" w:cstheme="majorBidi"/>
                <w:color w:val="0D0D0D" w:themeColor="text1" w:themeTint="F2"/>
                <w:sz w:val="22"/>
                <w:szCs w:val="22"/>
                <w:lang w:val="sq-AL"/>
              </w:rPr>
              <w:t>kombëtare</w:t>
            </w:r>
            <w:r w:rsidRPr="005208DC">
              <w:rPr>
                <w:rFonts w:asciiTheme="majorBidi" w:hAnsiTheme="majorBidi" w:cstheme="majorBidi"/>
                <w:color w:val="0D0D0D" w:themeColor="text1" w:themeTint="F2"/>
                <w:sz w:val="22"/>
                <w:szCs w:val="22"/>
                <w:lang w:val="sq-AL"/>
              </w:rPr>
              <w:t xml:space="preserve"> të financave publike</w:t>
            </w:r>
          </w:p>
        </w:tc>
        <w:tc>
          <w:tcPr>
            <w:tcW w:w="1096" w:type="dxa"/>
          </w:tcPr>
          <w:p w14:paraId="607C2875" w14:textId="7096FD42"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Fondet IPA</w:t>
            </w:r>
          </w:p>
        </w:tc>
        <w:tc>
          <w:tcPr>
            <w:tcW w:w="971" w:type="dxa"/>
          </w:tcPr>
          <w:p w14:paraId="16290851" w14:textId="4543AB41"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Dhurime të tjera</w:t>
            </w:r>
          </w:p>
        </w:tc>
        <w:tc>
          <w:tcPr>
            <w:tcW w:w="999" w:type="dxa"/>
          </w:tcPr>
          <w:p w14:paraId="3F30CFE9" w14:textId="43F5F082"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Hua projektesh</w:t>
            </w:r>
          </w:p>
        </w:tc>
        <w:tc>
          <w:tcPr>
            <w:tcW w:w="941" w:type="dxa"/>
          </w:tcPr>
          <w:p w14:paraId="4EA4F83B"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TBD</w:t>
            </w:r>
          </w:p>
        </w:tc>
        <w:tc>
          <w:tcPr>
            <w:tcW w:w="1883" w:type="dxa"/>
          </w:tcPr>
          <w:p w14:paraId="29D3E06D" w14:textId="2E96ADAA"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748F2380" w14:textId="77777777" w:rsidTr="00F51BF1">
        <w:trPr>
          <w:trHeight w:val="323"/>
        </w:trPr>
        <w:tc>
          <w:tcPr>
            <w:tcW w:w="941" w:type="dxa"/>
          </w:tcPr>
          <w:p w14:paraId="2CEE130D"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316" w:type="dxa"/>
          </w:tcPr>
          <w:p w14:paraId="445DA89F" w14:textId="77777777" w:rsidR="00E06E0F" w:rsidRPr="005208DC" w:rsidRDefault="00E06E0F" w:rsidP="00857902">
            <w:pPr>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208,584,879</w:t>
            </w:r>
          </w:p>
        </w:tc>
        <w:tc>
          <w:tcPr>
            <w:tcW w:w="1029" w:type="dxa"/>
          </w:tcPr>
          <w:p w14:paraId="581ABFD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25" w:type="dxa"/>
          </w:tcPr>
          <w:p w14:paraId="153F74E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96" w:type="dxa"/>
          </w:tcPr>
          <w:p w14:paraId="3E747FC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1,000,000</w:t>
            </w:r>
          </w:p>
        </w:tc>
        <w:tc>
          <w:tcPr>
            <w:tcW w:w="971" w:type="dxa"/>
          </w:tcPr>
          <w:p w14:paraId="1658036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999" w:type="dxa"/>
          </w:tcPr>
          <w:p w14:paraId="4986C8F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941" w:type="dxa"/>
            <w:shd w:val="clear" w:color="auto" w:fill="808080" w:themeFill="background1" w:themeFillShade="80"/>
          </w:tcPr>
          <w:p w14:paraId="52D8FAC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83" w:type="dxa"/>
          </w:tcPr>
          <w:p w14:paraId="6918B97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209,584,879</w:t>
            </w:r>
          </w:p>
        </w:tc>
      </w:tr>
      <w:tr w:rsidR="005208DC" w:rsidRPr="005208DC" w14:paraId="00596271" w14:textId="77777777" w:rsidTr="00F51BF1">
        <w:tc>
          <w:tcPr>
            <w:tcW w:w="941" w:type="dxa"/>
          </w:tcPr>
          <w:p w14:paraId="3251E494"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316" w:type="dxa"/>
          </w:tcPr>
          <w:p w14:paraId="0ABADE0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215,179,174</w:t>
            </w:r>
          </w:p>
        </w:tc>
        <w:tc>
          <w:tcPr>
            <w:tcW w:w="1029" w:type="dxa"/>
          </w:tcPr>
          <w:p w14:paraId="3DE396D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25" w:type="dxa"/>
          </w:tcPr>
          <w:p w14:paraId="5F1EA51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96" w:type="dxa"/>
          </w:tcPr>
          <w:p w14:paraId="35AFA41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1,500,000</w:t>
            </w:r>
          </w:p>
        </w:tc>
        <w:tc>
          <w:tcPr>
            <w:tcW w:w="971" w:type="dxa"/>
          </w:tcPr>
          <w:p w14:paraId="2E37E10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999" w:type="dxa"/>
          </w:tcPr>
          <w:p w14:paraId="30C1748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941" w:type="dxa"/>
          </w:tcPr>
          <w:p w14:paraId="089F6F5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83" w:type="dxa"/>
          </w:tcPr>
          <w:p w14:paraId="677EA3A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216,679,174</w:t>
            </w:r>
          </w:p>
        </w:tc>
      </w:tr>
      <w:tr w:rsidR="005208DC" w:rsidRPr="005208DC" w14:paraId="566E7BC7" w14:textId="77777777" w:rsidTr="00F51BF1">
        <w:tc>
          <w:tcPr>
            <w:tcW w:w="941" w:type="dxa"/>
          </w:tcPr>
          <w:p w14:paraId="00222694"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316" w:type="dxa"/>
          </w:tcPr>
          <w:p w14:paraId="392E9E9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216,499,794</w:t>
            </w:r>
          </w:p>
        </w:tc>
        <w:tc>
          <w:tcPr>
            <w:tcW w:w="1029" w:type="dxa"/>
          </w:tcPr>
          <w:p w14:paraId="4C879A4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25" w:type="dxa"/>
          </w:tcPr>
          <w:p w14:paraId="0936854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96" w:type="dxa"/>
          </w:tcPr>
          <w:p w14:paraId="0BA4262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971" w:type="dxa"/>
          </w:tcPr>
          <w:p w14:paraId="3358577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999" w:type="dxa"/>
          </w:tcPr>
          <w:p w14:paraId="5F20845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941" w:type="dxa"/>
          </w:tcPr>
          <w:p w14:paraId="7D82C19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83" w:type="dxa"/>
          </w:tcPr>
          <w:p w14:paraId="1C49CDF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216,499,794</w:t>
            </w:r>
          </w:p>
        </w:tc>
      </w:tr>
    </w:tbl>
    <w:p w14:paraId="678F6A57"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p>
    <w:tbl>
      <w:tblPr>
        <w:tblStyle w:val="TableGrid"/>
        <w:tblW w:w="10201" w:type="dxa"/>
        <w:tblLook w:val="04A0" w:firstRow="1" w:lastRow="0" w:firstColumn="1" w:lastColumn="0" w:noHBand="0" w:noVBand="1"/>
      </w:tblPr>
      <w:tblGrid>
        <w:gridCol w:w="877"/>
        <w:gridCol w:w="1316"/>
        <w:gridCol w:w="1003"/>
        <w:gridCol w:w="1145"/>
        <w:gridCol w:w="1096"/>
        <w:gridCol w:w="999"/>
        <w:gridCol w:w="1133"/>
        <w:gridCol w:w="877"/>
        <w:gridCol w:w="1755"/>
      </w:tblGrid>
      <w:tr w:rsidR="005208DC" w:rsidRPr="005208DC" w14:paraId="15DF2C60" w14:textId="77777777" w:rsidTr="00F51BF1">
        <w:tc>
          <w:tcPr>
            <w:tcW w:w="10201" w:type="dxa"/>
            <w:gridSpan w:val="9"/>
            <w:shd w:val="clear" w:color="auto" w:fill="E5DFEC" w:themeFill="accent4" w:themeFillTint="33"/>
          </w:tcPr>
          <w:p w14:paraId="03EF7EC6" w14:textId="7094B733" w:rsidR="00E06E0F" w:rsidRPr="005208DC" w:rsidRDefault="00B2062A"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05:</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color w:val="0D0D0D" w:themeColor="text1" w:themeTint="F2"/>
                <w:sz w:val="22"/>
                <w:szCs w:val="22"/>
                <w:lang w:val="sq-AL"/>
              </w:rPr>
              <w:t>Rritja e aksesit në kujdesin shëndetësor</w:t>
            </w:r>
          </w:p>
        </w:tc>
      </w:tr>
      <w:tr w:rsidR="005208DC" w:rsidRPr="005208DC" w14:paraId="69B436E9" w14:textId="77777777" w:rsidTr="00F51BF1">
        <w:tc>
          <w:tcPr>
            <w:tcW w:w="941" w:type="dxa"/>
          </w:tcPr>
          <w:p w14:paraId="2DB62C6D" w14:textId="2D075037"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316" w:type="dxa"/>
          </w:tcPr>
          <w:p w14:paraId="40D32B5D" w14:textId="21965F28"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qendror</w:t>
            </w:r>
          </w:p>
        </w:tc>
        <w:tc>
          <w:tcPr>
            <w:tcW w:w="1029" w:type="dxa"/>
          </w:tcPr>
          <w:p w14:paraId="0033597E" w14:textId="4CCE6145" w:rsidR="00E06E0F" w:rsidRPr="005208DC" w:rsidRDefault="004D1F24"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vendor</w:t>
            </w:r>
          </w:p>
        </w:tc>
        <w:tc>
          <w:tcPr>
            <w:tcW w:w="1025" w:type="dxa"/>
          </w:tcPr>
          <w:p w14:paraId="4CFCEDEC" w14:textId="5803377C"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 xml:space="preserve">Burime të tjera </w:t>
            </w:r>
            <w:r w:rsidR="004D1F24" w:rsidRPr="005208DC">
              <w:rPr>
                <w:rFonts w:asciiTheme="majorBidi" w:hAnsiTheme="majorBidi" w:cstheme="majorBidi"/>
                <w:color w:val="0D0D0D" w:themeColor="text1" w:themeTint="F2"/>
                <w:sz w:val="22"/>
                <w:szCs w:val="22"/>
                <w:lang w:val="sq-AL"/>
              </w:rPr>
              <w:t>kombëtare</w:t>
            </w:r>
            <w:r w:rsidRPr="005208DC">
              <w:rPr>
                <w:rFonts w:asciiTheme="majorBidi" w:hAnsiTheme="majorBidi" w:cstheme="majorBidi"/>
                <w:color w:val="0D0D0D" w:themeColor="text1" w:themeTint="F2"/>
                <w:sz w:val="22"/>
                <w:szCs w:val="22"/>
                <w:lang w:val="sq-AL"/>
              </w:rPr>
              <w:t xml:space="preserve"> të financave publike</w:t>
            </w:r>
          </w:p>
        </w:tc>
        <w:tc>
          <w:tcPr>
            <w:tcW w:w="1096" w:type="dxa"/>
          </w:tcPr>
          <w:p w14:paraId="1E404497" w14:textId="78AF452E"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Fondet IPA</w:t>
            </w:r>
          </w:p>
        </w:tc>
        <w:tc>
          <w:tcPr>
            <w:tcW w:w="971" w:type="dxa"/>
          </w:tcPr>
          <w:p w14:paraId="22940C28" w14:textId="38067E5C"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Dhurime të tjera</w:t>
            </w:r>
          </w:p>
        </w:tc>
        <w:tc>
          <w:tcPr>
            <w:tcW w:w="999" w:type="dxa"/>
          </w:tcPr>
          <w:p w14:paraId="24A30FF5" w14:textId="426A9B31"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Hua projektesh</w:t>
            </w:r>
          </w:p>
        </w:tc>
        <w:tc>
          <w:tcPr>
            <w:tcW w:w="941" w:type="dxa"/>
          </w:tcPr>
          <w:p w14:paraId="1EA7F10A"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TBD</w:t>
            </w:r>
          </w:p>
        </w:tc>
        <w:tc>
          <w:tcPr>
            <w:tcW w:w="1883" w:type="dxa"/>
          </w:tcPr>
          <w:p w14:paraId="2BD6C79A" w14:textId="0CBC4304"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5BC9AF1F" w14:textId="77777777" w:rsidTr="00F51BF1">
        <w:trPr>
          <w:trHeight w:val="323"/>
        </w:trPr>
        <w:tc>
          <w:tcPr>
            <w:tcW w:w="941" w:type="dxa"/>
          </w:tcPr>
          <w:p w14:paraId="41AB6BED"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316" w:type="dxa"/>
          </w:tcPr>
          <w:p w14:paraId="6858306C" w14:textId="77777777" w:rsidR="00E06E0F" w:rsidRPr="005208DC" w:rsidRDefault="00E06E0F" w:rsidP="00857902">
            <w:pPr>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208,584,879</w:t>
            </w:r>
          </w:p>
        </w:tc>
        <w:tc>
          <w:tcPr>
            <w:tcW w:w="1029" w:type="dxa"/>
          </w:tcPr>
          <w:p w14:paraId="1A468A7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25" w:type="dxa"/>
          </w:tcPr>
          <w:p w14:paraId="1F3A819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96" w:type="dxa"/>
          </w:tcPr>
          <w:p w14:paraId="22899A6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1,000,000</w:t>
            </w:r>
          </w:p>
        </w:tc>
        <w:tc>
          <w:tcPr>
            <w:tcW w:w="971" w:type="dxa"/>
          </w:tcPr>
          <w:p w14:paraId="13F6200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999" w:type="dxa"/>
          </w:tcPr>
          <w:p w14:paraId="6436F9D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941" w:type="dxa"/>
            <w:shd w:val="clear" w:color="auto" w:fill="808080" w:themeFill="background1" w:themeFillShade="80"/>
          </w:tcPr>
          <w:p w14:paraId="2C1AA1E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83" w:type="dxa"/>
          </w:tcPr>
          <w:p w14:paraId="14C16EF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209,584,879</w:t>
            </w:r>
          </w:p>
        </w:tc>
      </w:tr>
      <w:tr w:rsidR="005208DC" w:rsidRPr="005208DC" w14:paraId="5E7DA8BF" w14:textId="77777777" w:rsidTr="00F51BF1">
        <w:tc>
          <w:tcPr>
            <w:tcW w:w="941" w:type="dxa"/>
          </w:tcPr>
          <w:p w14:paraId="63503278"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316" w:type="dxa"/>
          </w:tcPr>
          <w:p w14:paraId="16AD094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215,179,174</w:t>
            </w:r>
          </w:p>
        </w:tc>
        <w:tc>
          <w:tcPr>
            <w:tcW w:w="1029" w:type="dxa"/>
          </w:tcPr>
          <w:p w14:paraId="0748A60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25" w:type="dxa"/>
          </w:tcPr>
          <w:p w14:paraId="09173DB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96" w:type="dxa"/>
          </w:tcPr>
          <w:p w14:paraId="5BA6FB5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1,500,000</w:t>
            </w:r>
          </w:p>
        </w:tc>
        <w:tc>
          <w:tcPr>
            <w:tcW w:w="971" w:type="dxa"/>
          </w:tcPr>
          <w:p w14:paraId="3004B6A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999" w:type="dxa"/>
          </w:tcPr>
          <w:p w14:paraId="3FE02F8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941" w:type="dxa"/>
          </w:tcPr>
          <w:p w14:paraId="168B7E5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83" w:type="dxa"/>
          </w:tcPr>
          <w:p w14:paraId="0079DF7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216,679,174</w:t>
            </w:r>
          </w:p>
        </w:tc>
      </w:tr>
      <w:tr w:rsidR="005208DC" w:rsidRPr="005208DC" w14:paraId="5DDA4D47" w14:textId="77777777" w:rsidTr="00F51BF1">
        <w:tc>
          <w:tcPr>
            <w:tcW w:w="941" w:type="dxa"/>
          </w:tcPr>
          <w:p w14:paraId="15BF9828"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316" w:type="dxa"/>
          </w:tcPr>
          <w:p w14:paraId="723D03A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216,499,794</w:t>
            </w:r>
          </w:p>
        </w:tc>
        <w:tc>
          <w:tcPr>
            <w:tcW w:w="1029" w:type="dxa"/>
          </w:tcPr>
          <w:p w14:paraId="29C1342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25" w:type="dxa"/>
          </w:tcPr>
          <w:p w14:paraId="73FB390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96" w:type="dxa"/>
          </w:tcPr>
          <w:p w14:paraId="07C882F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971" w:type="dxa"/>
          </w:tcPr>
          <w:p w14:paraId="3255E0A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999" w:type="dxa"/>
          </w:tcPr>
          <w:p w14:paraId="2399329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941" w:type="dxa"/>
          </w:tcPr>
          <w:p w14:paraId="47370B0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83" w:type="dxa"/>
          </w:tcPr>
          <w:p w14:paraId="25AFA1A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216,499,794</w:t>
            </w:r>
          </w:p>
        </w:tc>
      </w:tr>
    </w:tbl>
    <w:p w14:paraId="1AD3780F"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p>
    <w:p w14:paraId="3DB19411" w14:textId="7E9BBDC3" w:rsidR="00E06E0F" w:rsidRPr="005208DC" w:rsidRDefault="00B2062A" w:rsidP="00857902">
      <w:pPr>
        <w:pStyle w:val="Heading4"/>
        <w:ind w:left="0"/>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Sfida Kyçe</w:t>
      </w:r>
      <w:r w:rsidR="000B0C45" w:rsidRPr="005208DC">
        <w:rPr>
          <w:rFonts w:asciiTheme="majorBidi" w:hAnsiTheme="majorBidi" w:cstheme="majorBidi"/>
          <w:color w:val="0D0D0D" w:themeColor="text1" w:themeTint="F2"/>
          <w:lang w:val="sq-AL"/>
        </w:rPr>
        <w:t xml:space="preserve"> </w:t>
      </w:r>
      <w:r w:rsidR="00E06E0F" w:rsidRPr="005208DC">
        <w:rPr>
          <w:rFonts w:asciiTheme="majorBidi" w:hAnsiTheme="majorBidi" w:cstheme="majorBidi"/>
          <w:color w:val="0D0D0D" w:themeColor="text1" w:themeTint="F2"/>
          <w:lang w:val="sq-AL"/>
        </w:rPr>
        <w:t>#3</w:t>
      </w:r>
    </w:p>
    <w:tbl>
      <w:tblPr>
        <w:tblStyle w:val="TableGrid"/>
        <w:tblW w:w="10201" w:type="dxa"/>
        <w:tblLook w:val="04A0" w:firstRow="1" w:lastRow="0" w:firstColumn="1" w:lastColumn="0" w:noHBand="0" w:noVBand="1"/>
      </w:tblPr>
      <w:tblGrid>
        <w:gridCol w:w="1045"/>
        <w:gridCol w:w="1061"/>
        <w:gridCol w:w="1062"/>
        <w:gridCol w:w="1145"/>
        <w:gridCol w:w="1057"/>
        <w:gridCol w:w="1066"/>
        <w:gridCol w:w="1133"/>
        <w:gridCol w:w="1046"/>
        <w:gridCol w:w="1586"/>
      </w:tblGrid>
      <w:tr w:rsidR="005208DC" w:rsidRPr="005208DC" w14:paraId="2F2D109E" w14:textId="77777777" w:rsidTr="00F51BF1">
        <w:tc>
          <w:tcPr>
            <w:tcW w:w="10201" w:type="dxa"/>
            <w:gridSpan w:val="9"/>
            <w:shd w:val="clear" w:color="auto" w:fill="E5DFEC" w:themeFill="accent4" w:themeFillTint="33"/>
          </w:tcPr>
          <w:p w14:paraId="608A27FD" w14:textId="12D6578E" w:rsidR="00E06E0F" w:rsidRPr="005208DC" w:rsidRDefault="00B2062A"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06:</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color w:val="0D0D0D" w:themeColor="text1" w:themeTint="F2"/>
                <w:sz w:val="22"/>
                <w:szCs w:val="22"/>
                <w:lang w:val="sq-AL"/>
              </w:rPr>
              <w:t>Fuqizimi i luftës kundër informalitetit</w:t>
            </w:r>
          </w:p>
        </w:tc>
      </w:tr>
      <w:tr w:rsidR="005208DC" w:rsidRPr="005208DC" w14:paraId="606A4B49" w14:textId="77777777" w:rsidTr="00F51BF1">
        <w:tc>
          <w:tcPr>
            <w:tcW w:w="1070" w:type="dxa"/>
          </w:tcPr>
          <w:p w14:paraId="6EE352F7" w14:textId="04862F88"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070" w:type="dxa"/>
          </w:tcPr>
          <w:p w14:paraId="21F2B835" w14:textId="7F4E732A"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qendror</w:t>
            </w:r>
          </w:p>
        </w:tc>
        <w:tc>
          <w:tcPr>
            <w:tcW w:w="1071" w:type="dxa"/>
          </w:tcPr>
          <w:p w14:paraId="77918113" w14:textId="6CB9C217" w:rsidR="00E06E0F" w:rsidRPr="005208DC" w:rsidRDefault="004D1F24"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vendor</w:t>
            </w:r>
          </w:p>
        </w:tc>
        <w:tc>
          <w:tcPr>
            <w:tcW w:w="1070" w:type="dxa"/>
          </w:tcPr>
          <w:p w14:paraId="24119C1B" w14:textId="233A1933"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 xml:space="preserve">Burime të tjera </w:t>
            </w:r>
            <w:r w:rsidR="004D1F24" w:rsidRPr="005208DC">
              <w:rPr>
                <w:rFonts w:asciiTheme="majorBidi" w:hAnsiTheme="majorBidi" w:cstheme="majorBidi"/>
                <w:color w:val="0D0D0D" w:themeColor="text1" w:themeTint="F2"/>
                <w:sz w:val="22"/>
                <w:szCs w:val="22"/>
                <w:lang w:val="sq-AL"/>
              </w:rPr>
              <w:t>kombëtare</w:t>
            </w:r>
            <w:r w:rsidRPr="005208DC">
              <w:rPr>
                <w:rFonts w:asciiTheme="majorBidi" w:hAnsiTheme="majorBidi" w:cstheme="majorBidi"/>
                <w:color w:val="0D0D0D" w:themeColor="text1" w:themeTint="F2"/>
                <w:sz w:val="22"/>
                <w:szCs w:val="22"/>
                <w:lang w:val="sq-AL"/>
              </w:rPr>
              <w:t xml:space="preserve"> të financave publike</w:t>
            </w:r>
          </w:p>
        </w:tc>
        <w:tc>
          <w:tcPr>
            <w:tcW w:w="1071" w:type="dxa"/>
          </w:tcPr>
          <w:p w14:paraId="529E885B" w14:textId="0911D546"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Fondet IPA</w:t>
            </w:r>
          </w:p>
        </w:tc>
        <w:tc>
          <w:tcPr>
            <w:tcW w:w="1070" w:type="dxa"/>
          </w:tcPr>
          <w:p w14:paraId="26E1EF04" w14:textId="2EAE0833"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Dhurime të tjera</w:t>
            </w:r>
          </w:p>
        </w:tc>
        <w:tc>
          <w:tcPr>
            <w:tcW w:w="1071" w:type="dxa"/>
          </w:tcPr>
          <w:p w14:paraId="449B2BC5" w14:textId="6DEFBBC0"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Hua projektesh</w:t>
            </w:r>
          </w:p>
        </w:tc>
        <w:tc>
          <w:tcPr>
            <w:tcW w:w="1070" w:type="dxa"/>
          </w:tcPr>
          <w:p w14:paraId="0FEAEAB4"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TBD</w:t>
            </w:r>
          </w:p>
        </w:tc>
        <w:tc>
          <w:tcPr>
            <w:tcW w:w="1638" w:type="dxa"/>
          </w:tcPr>
          <w:p w14:paraId="423AAF77" w14:textId="6512D66C"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334B3DFA" w14:textId="77777777" w:rsidTr="00F51BF1">
        <w:tc>
          <w:tcPr>
            <w:tcW w:w="1070" w:type="dxa"/>
          </w:tcPr>
          <w:p w14:paraId="68D70E4D"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070" w:type="dxa"/>
            <w:vAlign w:val="center"/>
          </w:tcPr>
          <w:p w14:paraId="1D4C9790"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1" w:type="dxa"/>
            <w:vAlign w:val="center"/>
          </w:tcPr>
          <w:p w14:paraId="1E5F1EE5"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0" w:type="dxa"/>
            <w:vAlign w:val="center"/>
          </w:tcPr>
          <w:p w14:paraId="4230F7C8"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1" w:type="dxa"/>
            <w:vAlign w:val="center"/>
          </w:tcPr>
          <w:p w14:paraId="6B9E7D29"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0" w:type="dxa"/>
            <w:vAlign w:val="center"/>
          </w:tcPr>
          <w:p w14:paraId="3A346F01"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1" w:type="dxa"/>
            <w:vAlign w:val="center"/>
          </w:tcPr>
          <w:p w14:paraId="08933C6E"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0" w:type="dxa"/>
            <w:shd w:val="clear" w:color="auto" w:fill="808080" w:themeFill="background1" w:themeFillShade="80"/>
            <w:vAlign w:val="center"/>
          </w:tcPr>
          <w:p w14:paraId="1381EAE1"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638" w:type="dxa"/>
            <w:vAlign w:val="center"/>
          </w:tcPr>
          <w:p w14:paraId="7A1C85F0"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r>
      <w:tr w:rsidR="005208DC" w:rsidRPr="005208DC" w14:paraId="11523468" w14:textId="77777777" w:rsidTr="00F51BF1">
        <w:tc>
          <w:tcPr>
            <w:tcW w:w="1070" w:type="dxa"/>
          </w:tcPr>
          <w:p w14:paraId="689567F9"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070" w:type="dxa"/>
            <w:vAlign w:val="center"/>
          </w:tcPr>
          <w:p w14:paraId="46C2B896"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1" w:type="dxa"/>
            <w:vAlign w:val="center"/>
          </w:tcPr>
          <w:p w14:paraId="3730395F"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0" w:type="dxa"/>
            <w:vAlign w:val="center"/>
          </w:tcPr>
          <w:p w14:paraId="5015B40C"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1" w:type="dxa"/>
            <w:vAlign w:val="center"/>
          </w:tcPr>
          <w:p w14:paraId="6BA91596"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0" w:type="dxa"/>
            <w:vAlign w:val="center"/>
          </w:tcPr>
          <w:p w14:paraId="50AE048A"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1" w:type="dxa"/>
            <w:vAlign w:val="center"/>
          </w:tcPr>
          <w:p w14:paraId="3EF11573"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0" w:type="dxa"/>
            <w:vAlign w:val="center"/>
          </w:tcPr>
          <w:p w14:paraId="41D0A529"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638" w:type="dxa"/>
            <w:vAlign w:val="center"/>
          </w:tcPr>
          <w:p w14:paraId="7C5CDB33"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r>
      <w:tr w:rsidR="005208DC" w:rsidRPr="005208DC" w14:paraId="4D384C2A" w14:textId="77777777" w:rsidTr="00F51BF1">
        <w:tc>
          <w:tcPr>
            <w:tcW w:w="1070" w:type="dxa"/>
          </w:tcPr>
          <w:p w14:paraId="19B13D72"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070" w:type="dxa"/>
            <w:vAlign w:val="center"/>
          </w:tcPr>
          <w:p w14:paraId="3F8EF2B7"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1" w:type="dxa"/>
            <w:vAlign w:val="center"/>
          </w:tcPr>
          <w:p w14:paraId="6A022813"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0" w:type="dxa"/>
            <w:vAlign w:val="center"/>
          </w:tcPr>
          <w:p w14:paraId="6FC859AF"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1" w:type="dxa"/>
            <w:vAlign w:val="center"/>
          </w:tcPr>
          <w:p w14:paraId="74258748"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0" w:type="dxa"/>
            <w:vAlign w:val="center"/>
          </w:tcPr>
          <w:p w14:paraId="5EC3C6F9"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1" w:type="dxa"/>
            <w:vAlign w:val="center"/>
          </w:tcPr>
          <w:p w14:paraId="17B51501"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0" w:type="dxa"/>
            <w:vAlign w:val="center"/>
          </w:tcPr>
          <w:p w14:paraId="18F372F9"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638" w:type="dxa"/>
            <w:vAlign w:val="center"/>
          </w:tcPr>
          <w:p w14:paraId="4E8E895B"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r>
    </w:tbl>
    <w:p w14:paraId="03CEB483"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p>
    <w:tbl>
      <w:tblPr>
        <w:tblStyle w:val="TableGrid"/>
        <w:tblW w:w="10201" w:type="dxa"/>
        <w:tblLook w:val="04A0" w:firstRow="1" w:lastRow="0" w:firstColumn="1" w:lastColumn="0" w:noHBand="0" w:noVBand="1"/>
      </w:tblPr>
      <w:tblGrid>
        <w:gridCol w:w="1026"/>
        <w:gridCol w:w="1056"/>
        <w:gridCol w:w="1055"/>
        <w:gridCol w:w="1145"/>
        <w:gridCol w:w="1043"/>
        <w:gridCol w:w="1096"/>
        <w:gridCol w:w="1133"/>
        <w:gridCol w:w="1028"/>
        <w:gridCol w:w="1619"/>
      </w:tblGrid>
      <w:tr w:rsidR="005208DC" w:rsidRPr="005208DC" w14:paraId="282B20E0" w14:textId="77777777" w:rsidTr="00F51BF1">
        <w:tc>
          <w:tcPr>
            <w:tcW w:w="10201" w:type="dxa"/>
            <w:gridSpan w:val="9"/>
            <w:shd w:val="clear" w:color="auto" w:fill="E5DFEC" w:themeFill="accent4" w:themeFillTint="33"/>
          </w:tcPr>
          <w:p w14:paraId="2BEFC37B" w14:textId="22B0AC50" w:rsidR="00E06E0F" w:rsidRPr="005208DC" w:rsidRDefault="00B2062A"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07:</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bCs/>
                <w:color w:val="0D0D0D" w:themeColor="text1" w:themeTint="F2"/>
                <w:sz w:val="22"/>
                <w:szCs w:val="22"/>
                <w:lang w:val="sq-AL"/>
              </w:rPr>
              <w:t>Zhvillimi i kuadrit ligjor për të mbështetur start-up inovative</w:t>
            </w:r>
          </w:p>
        </w:tc>
      </w:tr>
      <w:tr w:rsidR="005208DC" w:rsidRPr="005208DC" w14:paraId="5E378791" w14:textId="77777777" w:rsidTr="00F51BF1">
        <w:tc>
          <w:tcPr>
            <w:tcW w:w="1058" w:type="dxa"/>
          </w:tcPr>
          <w:p w14:paraId="1998E707" w14:textId="10F63B39"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066" w:type="dxa"/>
          </w:tcPr>
          <w:p w14:paraId="19E3AD1F" w14:textId="7C31FA0F"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qendror</w:t>
            </w:r>
          </w:p>
        </w:tc>
        <w:tc>
          <w:tcPr>
            <w:tcW w:w="1067" w:type="dxa"/>
          </w:tcPr>
          <w:p w14:paraId="4E752CDE" w14:textId="20744333" w:rsidR="00E06E0F" w:rsidRPr="005208DC" w:rsidRDefault="004D1F24"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vendor</w:t>
            </w:r>
          </w:p>
        </w:tc>
        <w:tc>
          <w:tcPr>
            <w:tcW w:w="1066" w:type="dxa"/>
          </w:tcPr>
          <w:p w14:paraId="004719BE" w14:textId="2CBE5814"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 xml:space="preserve">Burime të tjera </w:t>
            </w:r>
            <w:r w:rsidR="004D1F24" w:rsidRPr="005208DC">
              <w:rPr>
                <w:rFonts w:asciiTheme="majorBidi" w:hAnsiTheme="majorBidi" w:cstheme="majorBidi"/>
                <w:color w:val="0D0D0D" w:themeColor="text1" w:themeTint="F2"/>
                <w:sz w:val="22"/>
                <w:szCs w:val="22"/>
                <w:lang w:val="sq-AL"/>
              </w:rPr>
              <w:t>kombëtare</w:t>
            </w:r>
            <w:r w:rsidRPr="005208DC">
              <w:rPr>
                <w:rFonts w:asciiTheme="majorBidi" w:hAnsiTheme="majorBidi" w:cstheme="majorBidi"/>
                <w:color w:val="0D0D0D" w:themeColor="text1" w:themeTint="F2"/>
                <w:sz w:val="22"/>
                <w:szCs w:val="22"/>
                <w:lang w:val="sq-AL"/>
              </w:rPr>
              <w:t xml:space="preserve"> të financave publike</w:t>
            </w:r>
          </w:p>
        </w:tc>
        <w:tc>
          <w:tcPr>
            <w:tcW w:w="1061" w:type="dxa"/>
          </w:tcPr>
          <w:p w14:paraId="42B34060" w14:textId="18CC39A5"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Fondet IPA</w:t>
            </w:r>
          </w:p>
        </w:tc>
        <w:tc>
          <w:tcPr>
            <w:tcW w:w="1096" w:type="dxa"/>
          </w:tcPr>
          <w:p w14:paraId="71B97F1C" w14:textId="14269458"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Dhurime të tjera</w:t>
            </w:r>
          </w:p>
        </w:tc>
        <w:tc>
          <w:tcPr>
            <w:tcW w:w="1065" w:type="dxa"/>
          </w:tcPr>
          <w:p w14:paraId="744E5466" w14:textId="7E0D5B98"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Hua projektesh</w:t>
            </w:r>
          </w:p>
        </w:tc>
        <w:tc>
          <w:tcPr>
            <w:tcW w:w="1059" w:type="dxa"/>
          </w:tcPr>
          <w:p w14:paraId="7C08B760"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TBD</w:t>
            </w:r>
          </w:p>
        </w:tc>
        <w:tc>
          <w:tcPr>
            <w:tcW w:w="1663" w:type="dxa"/>
          </w:tcPr>
          <w:p w14:paraId="756FD47C" w14:textId="3288EC44"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74B50F00" w14:textId="77777777" w:rsidTr="00F51BF1">
        <w:tc>
          <w:tcPr>
            <w:tcW w:w="1058" w:type="dxa"/>
          </w:tcPr>
          <w:p w14:paraId="13589C85"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066" w:type="dxa"/>
          </w:tcPr>
          <w:p w14:paraId="497961C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123,559</w:t>
            </w:r>
          </w:p>
        </w:tc>
        <w:tc>
          <w:tcPr>
            <w:tcW w:w="1067" w:type="dxa"/>
          </w:tcPr>
          <w:p w14:paraId="50A9B3E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066" w:type="dxa"/>
          </w:tcPr>
          <w:p w14:paraId="1966F11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061" w:type="dxa"/>
          </w:tcPr>
          <w:p w14:paraId="1D3AFEB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096" w:type="dxa"/>
          </w:tcPr>
          <w:p w14:paraId="7B4A1DF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240,307</w:t>
            </w:r>
          </w:p>
        </w:tc>
        <w:tc>
          <w:tcPr>
            <w:tcW w:w="1065" w:type="dxa"/>
          </w:tcPr>
          <w:p w14:paraId="656BD5F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59" w:type="dxa"/>
            <w:shd w:val="clear" w:color="auto" w:fill="808080" w:themeFill="background1" w:themeFillShade="80"/>
          </w:tcPr>
          <w:p w14:paraId="74FBFA6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63" w:type="dxa"/>
          </w:tcPr>
          <w:p w14:paraId="01C16E6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363,866</w:t>
            </w:r>
          </w:p>
        </w:tc>
      </w:tr>
      <w:tr w:rsidR="005208DC" w:rsidRPr="005208DC" w14:paraId="35CE74AF" w14:textId="77777777" w:rsidTr="00F51BF1">
        <w:tc>
          <w:tcPr>
            <w:tcW w:w="1058" w:type="dxa"/>
          </w:tcPr>
          <w:p w14:paraId="610D6BEF"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066" w:type="dxa"/>
          </w:tcPr>
          <w:p w14:paraId="5AF2A72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123,559</w:t>
            </w:r>
          </w:p>
        </w:tc>
        <w:tc>
          <w:tcPr>
            <w:tcW w:w="1067" w:type="dxa"/>
          </w:tcPr>
          <w:p w14:paraId="2A049D7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066" w:type="dxa"/>
          </w:tcPr>
          <w:p w14:paraId="0E1A1E4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061" w:type="dxa"/>
          </w:tcPr>
          <w:p w14:paraId="1B082BD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096" w:type="dxa"/>
          </w:tcPr>
          <w:p w14:paraId="23858FE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2,537,256</w:t>
            </w:r>
          </w:p>
        </w:tc>
        <w:tc>
          <w:tcPr>
            <w:tcW w:w="1065" w:type="dxa"/>
          </w:tcPr>
          <w:p w14:paraId="55ED388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59" w:type="dxa"/>
          </w:tcPr>
          <w:p w14:paraId="089E56B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63" w:type="dxa"/>
          </w:tcPr>
          <w:p w14:paraId="3D71120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2,660,815</w:t>
            </w:r>
          </w:p>
        </w:tc>
      </w:tr>
      <w:tr w:rsidR="005208DC" w:rsidRPr="005208DC" w14:paraId="24BAC0AE" w14:textId="77777777" w:rsidTr="00F51BF1">
        <w:tc>
          <w:tcPr>
            <w:tcW w:w="1058" w:type="dxa"/>
          </w:tcPr>
          <w:p w14:paraId="4C5F2FFF"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066" w:type="dxa"/>
          </w:tcPr>
          <w:p w14:paraId="7AC11BFB"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123,559</w:t>
            </w:r>
          </w:p>
        </w:tc>
        <w:tc>
          <w:tcPr>
            <w:tcW w:w="1067" w:type="dxa"/>
          </w:tcPr>
          <w:p w14:paraId="5D5B5DE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066" w:type="dxa"/>
          </w:tcPr>
          <w:p w14:paraId="152F1CC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061" w:type="dxa"/>
          </w:tcPr>
          <w:p w14:paraId="4B6EA87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096" w:type="dxa"/>
          </w:tcPr>
          <w:p w14:paraId="6F410E2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2,537,256</w:t>
            </w:r>
          </w:p>
        </w:tc>
        <w:tc>
          <w:tcPr>
            <w:tcW w:w="1065" w:type="dxa"/>
          </w:tcPr>
          <w:p w14:paraId="2DC9E2B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59" w:type="dxa"/>
          </w:tcPr>
          <w:p w14:paraId="350B3E7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63" w:type="dxa"/>
          </w:tcPr>
          <w:p w14:paraId="0B67B5E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2,660,815</w:t>
            </w:r>
          </w:p>
        </w:tc>
      </w:tr>
    </w:tbl>
    <w:p w14:paraId="2B7E918E"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p>
    <w:tbl>
      <w:tblPr>
        <w:tblStyle w:val="TableGrid"/>
        <w:tblW w:w="10201" w:type="dxa"/>
        <w:tblLook w:val="04A0" w:firstRow="1" w:lastRow="0" w:firstColumn="1" w:lastColumn="0" w:noHBand="0" w:noVBand="1"/>
      </w:tblPr>
      <w:tblGrid>
        <w:gridCol w:w="1026"/>
        <w:gridCol w:w="1056"/>
        <w:gridCol w:w="1055"/>
        <w:gridCol w:w="1145"/>
        <w:gridCol w:w="1043"/>
        <w:gridCol w:w="1096"/>
        <w:gridCol w:w="1133"/>
        <w:gridCol w:w="1028"/>
        <w:gridCol w:w="1619"/>
      </w:tblGrid>
      <w:tr w:rsidR="005208DC" w:rsidRPr="005208DC" w14:paraId="48CE3735" w14:textId="77777777" w:rsidTr="00F51BF1">
        <w:tc>
          <w:tcPr>
            <w:tcW w:w="10201" w:type="dxa"/>
            <w:gridSpan w:val="9"/>
            <w:shd w:val="clear" w:color="auto" w:fill="E5DFEC" w:themeFill="accent4" w:themeFillTint="33"/>
          </w:tcPr>
          <w:p w14:paraId="31A2ACDC" w14:textId="4B6B89EA" w:rsidR="00E06E0F" w:rsidRPr="005208DC" w:rsidRDefault="00B2062A"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08:</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bCs/>
                <w:iCs/>
                <w:color w:val="0D0D0D" w:themeColor="text1" w:themeTint="F2"/>
                <w:sz w:val="22"/>
                <w:szCs w:val="22"/>
                <w:lang w:val="sq-AL"/>
              </w:rPr>
              <w:t>Masat mbështetëse për NMVM</w:t>
            </w:r>
          </w:p>
        </w:tc>
      </w:tr>
      <w:tr w:rsidR="005208DC" w:rsidRPr="005208DC" w14:paraId="3FFF5E8F" w14:textId="77777777" w:rsidTr="00F51BF1">
        <w:tc>
          <w:tcPr>
            <w:tcW w:w="1058" w:type="dxa"/>
          </w:tcPr>
          <w:p w14:paraId="2A28CA71" w14:textId="379B047D"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066" w:type="dxa"/>
          </w:tcPr>
          <w:p w14:paraId="79EB10E3" w14:textId="1E862BB3"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qendror</w:t>
            </w:r>
          </w:p>
        </w:tc>
        <w:tc>
          <w:tcPr>
            <w:tcW w:w="1067" w:type="dxa"/>
          </w:tcPr>
          <w:p w14:paraId="49F3CB60" w14:textId="468DD086" w:rsidR="00E06E0F" w:rsidRPr="005208DC" w:rsidRDefault="004D1F24"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vendor</w:t>
            </w:r>
          </w:p>
        </w:tc>
        <w:tc>
          <w:tcPr>
            <w:tcW w:w="1066" w:type="dxa"/>
          </w:tcPr>
          <w:p w14:paraId="28CE05E8" w14:textId="162C9BC2"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 xml:space="preserve">Burime të tjera </w:t>
            </w:r>
            <w:r w:rsidR="004D1F24" w:rsidRPr="005208DC">
              <w:rPr>
                <w:rFonts w:asciiTheme="majorBidi" w:hAnsiTheme="majorBidi" w:cstheme="majorBidi"/>
                <w:color w:val="0D0D0D" w:themeColor="text1" w:themeTint="F2"/>
                <w:sz w:val="22"/>
                <w:szCs w:val="22"/>
                <w:lang w:val="sq-AL"/>
              </w:rPr>
              <w:t>kombëtare</w:t>
            </w:r>
            <w:r w:rsidRPr="005208DC">
              <w:rPr>
                <w:rFonts w:asciiTheme="majorBidi" w:hAnsiTheme="majorBidi" w:cstheme="majorBidi"/>
                <w:color w:val="0D0D0D" w:themeColor="text1" w:themeTint="F2"/>
                <w:sz w:val="22"/>
                <w:szCs w:val="22"/>
                <w:lang w:val="sq-AL"/>
              </w:rPr>
              <w:t xml:space="preserve"> të financave publike</w:t>
            </w:r>
          </w:p>
        </w:tc>
        <w:tc>
          <w:tcPr>
            <w:tcW w:w="1061" w:type="dxa"/>
          </w:tcPr>
          <w:p w14:paraId="02C55B91" w14:textId="4CC6E3BB"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Fondet IPA</w:t>
            </w:r>
          </w:p>
        </w:tc>
        <w:tc>
          <w:tcPr>
            <w:tcW w:w="1096" w:type="dxa"/>
          </w:tcPr>
          <w:p w14:paraId="68568BAF" w14:textId="06B9BB96"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Dhurime të tjera</w:t>
            </w:r>
          </w:p>
        </w:tc>
        <w:tc>
          <w:tcPr>
            <w:tcW w:w="1065" w:type="dxa"/>
          </w:tcPr>
          <w:p w14:paraId="5B39B9C0" w14:textId="7F186D26"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Hua projektesh</w:t>
            </w:r>
          </w:p>
        </w:tc>
        <w:tc>
          <w:tcPr>
            <w:tcW w:w="1059" w:type="dxa"/>
          </w:tcPr>
          <w:p w14:paraId="5097F149"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TBD</w:t>
            </w:r>
          </w:p>
        </w:tc>
        <w:tc>
          <w:tcPr>
            <w:tcW w:w="1663" w:type="dxa"/>
          </w:tcPr>
          <w:p w14:paraId="701064FE" w14:textId="316F8592"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496F978B" w14:textId="77777777" w:rsidTr="00F51BF1">
        <w:tc>
          <w:tcPr>
            <w:tcW w:w="1058" w:type="dxa"/>
          </w:tcPr>
          <w:p w14:paraId="42DB5836"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066" w:type="dxa"/>
          </w:tcPr>
          <w:p w14:paraId="73D3D54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84,567</w:t>
            </w:r>
          </w:p>
        </w:tc>
        <w:tc>
          <w:tcPr>
            <w:tcW w:w="1067" w:type="dxa"/>
          </w:tcPr>
          <w:p w14:paraId="20AAC1F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066" w:type="dxa"/>
          </w:tcPr>
          <w:p w14:paraId="51DFF63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061" w:type="dxa"/>
          </w:tcPr>
          <w:p w14:paraId="17F5CC3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096" w:type="dxa"/>
          </w:tcPr>
          <w:p w14:paraId="4BA815D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2,219,057</w:t>
            </w:r>
          </w:p>
        </w:tc>
        <w:tc>
          <w:tcPr>
            <w:tcW w:w="1065" w:type="dxa"/>
          </w:tcPr>
          <w:p w14:paraId="0A5B04B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59" w:type="dxa"/>
            <w:shd w:val="clear" w:color="auto" w:fill="808080" w:themeFill="background1" w:themeFillShade="80"/>
          </w:tcPr>
          <w:p w14:paraId="60CFD27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63" w:type="dxa"/>
          </w:tcPr>
          <w:p w14:paraId="1FCAFD9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2,303,624</w:t>
            </w:r>
          </w:p>
        </w:tc>
      </w:tr>
      <w:tr w:rsidR="005208DC" w:rsidRPr="005208DC" w14:paraId="1D71C899" w14:textId="77777777" w:rsidTr="00F51BF1">
        <w:tc>
          <w:tcPr>
            <w:tcW w:w="1058" w:type="dxa"/>
          </w:tcPr>
          <w:p w14:paraId="59159BD7"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066" w:type="dxa"/>
          </w:tcPr>
          <w:p w14:paraId="2D0879F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208,040</w:t>
            </w:r>
          </w:p>
        </w:tc>
        <w:tc>
          <w:tcPr>
            <w:tcW w:w="1067" w:type="dxa"/>
          </w:tcPr>
          <w:p w14:paraId="393C0A6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066" w:type="dxa"/>
          </w:tcPr>
          <w:p w14:paraId="4F677C5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061" w:type="dxa"/>
          </w:tcPr>
          <w:p w14:paraId="501AD40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096" w:type="dxa"/>
          </w:tcPr>
          <w:p w14:paraId="3045CF8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2,210,340</w:t>
            </w:r>
          </w:p>
        </w:tc>
        <w:tc>
          <w:tcPr>
            <w:tcW w:w="1065" w:type="dxa"/>
          </w:tcPr>
          <w:p w14:paraId="0136B7C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59" w:type="dxa"/>
          </w:tcPr>
          <w:p w14:paraId="2B35D37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63" w:type="dxa"/>
          </w:tcPr>
          <w:p w14:paraId="4AFE6B9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2,418,380</w:t>
            </w:r>
          </w:p>
        </w:tc>
      </w:tr>
      <w:tr w:rsidR="005208DC" w:rsidRPr="005208DC" w14:paraId="476D091A" w14:textId="77777777" w:rsidTr="00F51BF1">
        <w:tc>
          <w:tcPr>
            <w:tcW w:w="1058" w:type="dxa"/>
          </w:tcPr>
          <w:p w14:paraId="31295DD0"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066" w:type="dxa"/>
          </w:tcPr>
          <w:p w14:paraId="1B00D24D"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208,040</w:t>
            </w:r>
          </w:p>
        </w:tc>
        <w:tc>
          <w:tcPr>
            <w:tcW w:w="1067" w:type="dxa"/>
          </w:tcPr>
          <w:p w14:paraId="0990905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066" w:type="dxa"/>
          </w:tcPr>
          <w:p w14:paraId="09FF291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061" w:type="dxa"/>
          </w:tcPr>
          <w:p w14:paraId="1CD7062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096" w:type="dxa"/>
          </w:tcPr>
          <w:p w14:paraId="001400F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065" w:type="dxa"/>
          </w:tcPr>
          <w:p w14:paraId="1A76457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59" w:type="dxa"/>
          </w:tcPr>
          <w:p w14:paraId="4654E85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63" w:type="dxa"/>
          </w:tcPr>
          <w:p w14:paraId="4262128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208,040</w:t>
            </w:r>
          </w:p>
        </w:tc>
      </w:tr>
    </w:tbl>
    <w:p w14:paraId="3D02F84C"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p>
    <w:tbl>
      <w:tblPr>
        <w:tblStyle w:val="TableGrid"/>
        <w:tblW w:w="10201" w:type="dxa"/>
        <w:tblLook w:val="04A0" w:firstRow="1" w:lastRow="0" w:firstColumn="1" w:lastColumn="0" w:noHBand="0" w:noVBand="1"/>
      </w:tblPr>
      <w:tblGrid>
        <w:gridCol w:w="959"/>
        <w:gridCol w:w="1028"/>
        <w:gridCol w:w="1029"/>
        <w:gridCol w:w="1145"/>
        <w:gridCol w:w="1006"/>
        <w:gridCol w:w="1051"/>
        <w:gridCol w:w="1133"/>
        <w:gridCol w:w="1336"/>
        <w:gridCol w:w="1514"/>
      </w:tblGrid>
      <w:tr w:rsidR="005208DC" w:rsidRPr="005208DC" w14:paraId="2AD1A0B0" w14:textId="77777777" w:rsidTr="00F51BF1">
        <w:tc>
          <w:tcPr>
            <w:tcW w:w="10201" w:type="dxa"/>
            <w:gridSpan w:val="9"/>
            <w:shd w:val="clear" w:color="auto" w:fill="E5DFEC" w:themeFill="accent4" w:themeFillTint="33"/>
          </w:tcPr>
          <w:p w14:paraId="35FC4AE2" w14:textId="4D5D8086" w:rsidR="00E06E0F" w:rsidRPr="005208DC" w:rsidRDefault="00B2062A"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09:</w:t>
            </w:r>
            <w:r w:rsidR="000B0C45" w:rsidRPr="005208DC">
              <w:rPr>
                <w:rFonts w:asciiTheme="majorBidi" w:hAnsiTheme="majorBidi" w:cstheme="majorBidi"/>
                <w:b/>
                <w:color w:val="0D0D0D" w:themeColor="text1" w:themeTint="F2"/>
                <w:sz w:val="22"/>
                <w:szCs w:val="22"/>
                <w:lang w:val="sq-AL"/>
              </w:rPr>
              <w:t xml:space="preserve"> </w:t>
            </w:r>
            <w:r w:rsidR="009D1DD3" w:rsidRPr="005208DC">
              <w:rPr>
                <w:rFonts w:asciiTheme="majorBidi" w:hAnsiTheme="majorBidi" w:cstheme="majorBidi"/>
                <w:b/>
                <w:color w:val="0D0D0D" w:themeColor="text1" w:themeTint="F2"/>
                <w:sz w:val="22"/>
                <w:szCs w:val="22"/>
                <w:lang w:val="sq-AL"/>
              </w:rPr>
              <w:t>Modernizimi i instrumenteve të pagesave me vlerë të vogël</w:t>
            </w:r>
          </w:p>
        </w:tc>
      </w:tr>
      <w:tr w:rsidR="005208DC" w:rsidRPr="005208DC" w14:paraId="346D5B8F" w14:textId="77777777" w:rsidTr="00F51BF1">
        <w:tc>
          <w:tcPr>
            <w:tcW w:w="1070" w:type="dxa"/>
          </w:tcPr>
          <w:p w14:paraId="470E3895" w14:textId="3DB09E67"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070" w:type="dxa"/>
          </w:tcPr>
          <w:p w14:paraId="079D9243" w14:textId="7045B9BB"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qendror</w:t>
            </w:r>
          </w:p>
        </w:tc>
        <w:tc>
          <w:tcPr>
            <w:tcW w:w="1071" w:type="dxa"/>
          </w:tcPr>
          <w:p w14:paraId="4300B78E" w14:textId="2122A830" w:rsidR="00E06E0F" w:rsidRPr="005208DC" w:rsidRDefault="004D1F24"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vendor</w:t>
            </w:r>
          </w:p>
        </w:tc>
        <w:tc>
          <w:tcPr>
            <w:tcW w:w="1070" w:type="dxa"/>
          </w:tcPr>
          <w:p w14:paraId="0D8EAAAA" w14:textId="28950BE0"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 xml:space="preserve">Burime të tjera </w:t>
            </w:r>
            <w:r w:rsidR="004D1F24" w:rsidRPr="005208DC">
              <w:rPr>
                <w:rFonts w:asciiTheme="majorBidi" w:hAnsiTheme="majorBidi" w:cstheme="majorBidi"/>
                <w:color w:val="0D0D0D" w:themeColor="text1" w:themeTint="F2"/>
                <w:sz w:val="22"/>
                <w:szCs w:val="22"/>
                <w:lang w:val="sq-AL"/>
              </w:rPr>
              <w:t>kombëtare</w:t>
            </w:r>
            <w:r w:rsidRPr="005208DC">
              <w:rPr>
                <w:rFonts w:asciiTheme="majorBidi" w:hAnsiTheme="majorBidi" w:cstheme="majorBidi"/>
                <w:color w:val="0D0D0D" w:themeColor="text1" w:themeTint="F2"/>
                <w:sz w:val="22"/>
                <w:szCs w:val="22"/>
                <w:lang w:val="sq-AL"/>
              </w:rPr>
              <w:t xml:space="preserve"> të financave publike</w:t>
            </w:r>
          </w:p>
        </w:tc>
        <w:tc>
          <w:tcPr>
            <w:tcW w:w="1071" w:type="dxa"/>
          </w:tcPr>
          <w:p w14:paraId="3535FAB3" w14:textId="04FF3A0E"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Fondet IPA</w:t>
            </w:r>
          </w:p>
        </w:tc>
        <w:tc>
          <w:tcPr>
            <w:tcW w:w="1070" w:type="dxa"/>
          </w:tcPr>
          <w:p w14:paraId="72DF6EAE" w14:textId="1D3F141C"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Dhurime të tjera</w:t>
            </w:r>
          </w:p>
        </w:tc>
        <w:tc>
          <w:tcPr>
            <w:tcW w:w="1071" w:type="dxa"/>
          </w:tcPr>
          <w:p w14:paraId="00A5F842" w14:textId="5D43798A"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Hua projektesh</w:t>
            </w:r>
          </w:p>
        </w:tc>
        <w:tc>
          <w:tcPr>
            <w:tcW w:w="1070" w:type="dxa"/>
          </w:tcPr>
          <w:p w14:paraId="7A31B6F1"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TBD</w:t>
            </w:r>
          </w:p>
        </w:tc>
        <w:tc>
          <w:tcPr>
            <w:tcW w:w="1638" w:type="dxa"/>
          </w:tcPr>
          <w:p w14:paraId="604439E1" w14:textId="7F4B06DB"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73E3562A" w14:textId="77777777" w:rsidTr="00BC0346">
        <w:tc>
          <w:tcPr>
            <w:tcW w:w="1070" w:type="dxa"/>
          </w:tcPr>
          <w:p w14:paraId="625E4939" w14:textId="77777777" w:rsidR="00BC0346" w:rsidRPr="005208DC" w:rsidRDefault="00BC0346"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070" w:type="dxa"/>
          </w:tcPr>
          <w:p w14:paraId="562C0C76" w14:textId="77777777" w:rsidR="00BC0346" w:rsidRPr="005208DC" w:rsidRDefault="00BC0346" w:rsidP="00857902">
            <w:pPr>
              <w:snapToGrid w:val="0"/>
              <w:jc w:val="right"/>
              <w:rPr>
                <w:rFonts w:asciiTheme="majorBidi" w:hAnsiTheme="majorBidi" w:cstheme="majorBidi"/>
                <w:color w:val="0D0D0D" w:themeColor="text1" w:themeTint="F2"/>
                <w:sz w:val="22"/>
                <w:szCs w:val="22"/>
                <w:lang w:val="sq-AL"/>
              </w:rPr>
            </w:pPr>
          </w:p>
        </w:tc>
        <w:tc>
          <w:tcPr>
            <w:tcW w:w="1071" w:type="dxa"/>
          </w:tcPr>
          <w:p w14:paraId="72E6F543" w14:textId="77777777" w:rsidR="00BC0346" w:rsidRPr="005208DC" w:rsidRDefault="00BC0346" w:rsidP="00857902">
            <w:pPr>
              <w:snapToGrid w:val="0"/>
              <w:jc w:val="right"/>
              <w:rPr>
                <w:rFonts w:asciiTheme="majorBidi" w:hAnsiTheme="majorBidi" w:cstheme="majorBidi"/>
                <w:color w:val="0D0D0D" w:themeColor="text1" w:themeTint="F2"/>
                <w:sz w:val="22"/>
                <w:szCs w:val="22"/>
                <w:lang w:val="sq-AL"/>
              </w:rPr>
            </w:pPr>
          </w:p>
        </w:tc>
        <w:tc>
          <w:tcPr>
            <w:tcW w:w="1070" w:type="dxa"/>
          </w:tcPr>
          <w:p w14:paraId="215C08D9" w14:textId="77777777" w:rsidR="00BC0346" w:rsidRPr="005208DC" w:rsidRDefault="00BC0346" w:rsidP="00857902">
            <w:pPr>
              <w:snapToGrid w:val="0"/>
              <w:jc w:val="right"/>
              <w:rPr>
                <w:rFonts w:asciiTheme="majorBidi" w:hAnsiTheme="majorBidi" w:cstheme="majorBidi"/>
                <w:color w:val="0D0D0D" w:themeColor="text1" w:themeTint="F2"/>
                <w:sz w:val="22"/>
                <w:szCs w:val="22"/>
                <w:lang w:val="sq-AL"/>
              </w:rPr>
            </w:pPr>
          </w:p>
        </w:tc>
        <w:tc>
          <w:tcPr>
            <w:tcW w:w="1071" w:type="dxa"/>
          </w:tcPr>
          <w:p w14:paraId="62CC29E6" w14:textId="77777777" w:rsidR="00BC0346" w:rsidRPr="005208DC" w:rsidRDefault="00BC0346" w:rsidP="00857902">
            <w:pPr>
              <w:snapToGrid w:val="0"/>
              <w:jc w:val="right"/>
              <w:rPr>
                <w:rFonts w:asciiTheme="majorBidi" w:hAnsiTheme="majorBidi" w:cstheme="majorBidi"/>
                <w:color w:val="0D0D0D" w:themeColor="text1" w:themeTint="F2"/>
                <w:sz w:val="22"/>
                <w:szCs w:val="22"/>
                <w:lang w:val="sq-AL"/>
              </w:rPr>
            </w:pPr>
          </w:p>
        </w:tc>
        <w:tc>
          <w:tcPr>
            <w:tcW w:w="1070" w:type="dxa"/>
          </w:tcPr>
          <w:p w14:paraId="4D7037D1" w14:textId="77777777" w:rsidR="00BC0346" w:rsidRPr="005208DC" w:rsidRDefault="00BC0346" w:rsidP="00857902">
            <w:pPr>
              <w:snapToGrid w:val="0"/>
              <w:jc w:val="right"/>
              <w:rPr>
                <w:rFonts w:asciiTheme="majorBidi" w:hAnsiTheme="majorBidi" w:cstheme="majorBidi"/>
                <w:color w:val="0D0D0D" w:themeColor="text1" w:themeTint="F2"/>
                <w:sz w:val="22"/>
                <w:szCs w:val="22"/>
                <w:lang w:val="sq-AL"/>
              </w:rPr>
            </w:pPr>
          </w:p>
        </w:tc>
        <w:tc>
          <w:tcPr>
            <w:tcW w:w="1071" w:type="dxa"/>
          </w:tcPr>
          <w:p w14:paraId="651A2FE7" w14:textId="77777777" w:rsidR="00BC0346" w:rsidRPr="005208DC" w:rsidRDefault="00BC0346" w:rsidP="00857902">
            <w:pPr>
              <w:snapToGrid w:val="0"/>
              <w:jc w:val="right"/>
              <w:rPr>
                <w:rFonts w:asciiTheme="majorBidi" w:hAnsiTheme="majorBidi" w:cstheme="majorBidi"/>
                <w:color w:val="0D0D0D" w:themeColor="text1" w:themeTint="F2"/>
                <w:sz w:val="22"/>
                <w:szCs w:val="22"/>
                <w:lang w:val="sq-AL"/>
              </w:rPr>
            </w:pPr>
          </w:p>
        </w:tc>
        <w:tc>
          <w:tcPr>
            <w:tcW w:w="1070" w:type="dxa"/>
            <w:shd w:val="clear" w:color="auto" w:fill="auto"/>
          </w:tcPr>
          <w:p w14:paraId="38ACAF19" w14:textId="176E6AF0" w:rsidR="00BC0346" w:rsidRPr="005208DC" w:rsidRDefault="00BC0346"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lang w:val="sq-AL"/>
              </w:rPr>
              <w:t>3,000,000</w:t>
            </w:r>
            <w:r w:rsidRPr="005208DC">
              <w:rPr>
                <w:rStyle w:val="FootnoteReference"/>
                <w:rFonts w:asciiTheme="majorBidi" w:hAnsiTheme="majorBidi" w:cstheme="majorBidi"/>
                <w:color w:val="0D0D0D" w:themeColor="text1" w:themeTint="F2"/>
                <w:lang w:val="sq-AL"/>
              </w:rPr>
              <w:footnoteReference w:id="31"/>
            </w:r>
          </w:p>
        </w:tc>
        <w:tc>
          <w:tcPr>
            <w:tcW w:w="1638" w:type="dxa"/>
          </w:tcPr>
          <w:p w14:paraId="53C6276D" w14:textId="34680E6A" w:rsidR="00BC0346" w:rsidRPr="005208DC" w:rsidRDefault="00BC0346"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lang w:val="sq-AL"/>
              </w:rPr>
              <w:t>3,000,000</w:t>
            </w:r>
          </w:p>
        </w:tc>
      </w:tr>
      <w:tr w:rsidR="005208DC" w:rsidRPr="005208DC" w14:paraId="1F397439" w14:textId="77777777" w:rsidTr="00F51BF1">
        <w:tc>
          <w:tcPr>
            <w:tcW w:w="1070" w:type="dxa"/>
          </w:tcPr>
          <w:p w14:paraId="736D73BA"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070" w:type="dxa"/>
          </w:tcPr>
          <w:p w14:paraId="48FDAB1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469A842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30CD89D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582EC31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15003BF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4508C24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7C10FD7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38" w:type="dxa"/>
          </w:tcPr>
          <w:p w14:paraId="32D7E35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r w:rsidR="005208DC" w:rsidRPr="005208DC" w14:paraId="45C2E0A1" w14:textId="77777777" w:rsidTr="00F51BF1">
        <w:tc>
          <w:tcPr>
            <w:tcW w:w="1070" w:type="dxa"/>
          </w:tcPr>
          <w:p w14:paraId="7A2C6C98"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070" w:type="dxa"/>
          </w:tcPr>
          <w:p w14:paraId="154F04C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1376D5A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50EF4A9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070CBA4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0E5202B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7B3EFBA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3A49E37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38" w:type="dxa"/>
          </w:tcPr>
          <w:p w14:paraId="3FA8B20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bl>
    <w:p w14:paraId="603066C4" w14:textId="77777777" w:rsidR="00E06E0F" w:rsidRPr="005208DC" w:rsidRDefault="00E06E0F" w:rsidP="00857902">
      <w:pPr>
        <w:pBdr>
          <w:bottom w:val="single" w:sz="12" w:space="1" w:color="auto"/>
        </w:pBdr>
        <w:snapToGrid w:val="0"/>
        <w:rPr>
          <w:rFonts w:asciiTheme="majorBidi" w:hAnsiTheme="majorBidi" w:cstheme="majorBidi"/>
          <w:color w:val="0D0D0D" w:themeColor="text1" w:themeTint="F2"/>
          <w:sz w:val="22"/>
          <w:szCs w:val="22"/>
          <w:lang w:val="sq-AL"/>
        </w:rPr>
      </w:pPr>
    </w:p>
    <w:p w14:paraId="3BE344B8"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p>
    <w:p w14:paraId="18D026AE" w14:textId="656DDCA1" w:rsidR="00E06E0F" w:rsidRPr="005208DC" w:rsidRDefault="0089011F" w:rsidP="00857902">
      <w:pPr>
        <w:pStyle w:val="Heading3"/>
        <w:rPr>
          <w:rFonts w:asciiTheme="majorBidi" w:hAnsiTheme="majorBidi" w:cstheme="majorBidi"/>
          <w:b/>
          <w:bCs/>
          <w:color w:val="0D0D0D" w:themeColor="text1" w:themeTint="F2"/>
          <w:sz w:val="22"/>
          <w:szCs w:val="22"/>
          <w:lang w:val="sq-AL"/>
        </w:rPr>
      </w:pPr>
      <w:bookmarkStart w:id="110" w:name="_Toc92721168"/>
      <w:r w:rsidRPr="005208DC">
        <w:rPr>
          <w:rFonts w:asciiTheme="majorBidi" w:hAnsiTheme="majorBidi" w:cstheme="majorBidi"/>
          <w:b/>
          <w:bCs/>
          <w:color w:val="0D0D0D" w:themeColor="text1" w:themeTint="F2"/>
          <w:sz w:val="22"/>
          <w:szCs w:val="22"/>
          <w:lang w:val="sq-AL"/>
        </w:rPr>
        <w:t>Fushat e tjera</w:t>
      </w:r>
      <w:bookmarkEnd w:id="110"/>
    </w:p>
    <w:tbl>
      <w:tblPr>
        <w:tblStyle w:val="TableGrid"/>
        <w:tblW w:w="10201" w:type="dxa"/>
        <w:tblLook w:val="04A0" w:firstRow="1" w:lastRow="0" w:firstColumn="1" w:lastColumn="0" w:noHBand="0" w:noVBand="1"/>
      </w:tblPr>
      <w:tblGrid>
        <w:gridCol w:w="1043"/>
        <w:gridCol w:w="1060"/>
        <w:gridCol w:w="1060"/>
        <w:gridCol w:w="1145"/>
        <w:gridCol w:w="1062"/>
        <w:gridCol w:w="1065"/>
        <w:gridCol w:w="1133"/>
        <w:gridCol w:w="1042"/>
        <w:gridCol w:w="1591"/>
      </w:tblGrid>
      <w:tr w:rsidR="005208DC" w:rsidRPr="005208DC" w14:paraId="3CF18088" w14:textId="77777777" w:rsidTr="00F51BF1">
        <w:tc>
          <w:tcPr>
            <w:tcW w:w="10201" w:type="dxa"/>
            <w:gridSpan w:val="9"/>
            <w:shd w:val="clear" w:color="auto" w:fill="E5DFEC" w:themeFill="accent4" w:themeFillTint="33"/>
          </w:tcPr>
          <w:p w14:paraId="0468A0E7" w14:textId="36E50BE1" w:rsidR="00E06E0F" w:rsidRPr="005208DC" w:rsidRDefault="00B2062A"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10:</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color w:val="0D0D0D" w:themeColor="text1" w:themeTint="F2"/>
                <w:sz w:val="22"/>
                <w:szCs w:val="22"/>
                <w:lang w:val="sq-AL"/>
              </w:rPr>
              <w:t>Investimet strategjike publike</w:t>
            </w:r>
          </w:p>
        </w:tc>
      </w:tr>
      <w:tr w:rsidR="005208DC" w:rsidRPr="005208DC" w14:paraId="48302A69" w14:textId="77777777" w:rsidTr="00F51BF1">
        <w:tc>
          <w:tcPr>
            <w:tcW w:w="1070" w:type="dxa"/>
          </w:tcPr>
          <w:p w14:paraId="17DCA73E" w14:textId="5E15022E"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070" w:type="dxa"/>
          </w:tcPr>
          <w:p w14:paraId="0708B418" w14:textId="361F6BAC"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qendror</w:t>
            </w:r>
          </w:p>
        </w:tc>
        <w:tc>
          <w:tcPr>
            <w:tcW w:w="1071" w:type="dxa"/>
          </w:tcPr>
          <w:p w14:paraId="73F1A387" w14:textId="5C2E48C0" w:rsidR="00E06E0F" w:rsidRPr="005208DC" w:rsidRDefault="004D1F24"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vendor</w:t>
            </w:r>
          </w:p>
        </w:tc>
        <w:tc>
          <w:tcPr>
            <w:tcW w:w="1070" w:type="dxa"/>
          </w:tcPr>
          <w:p w14:paraId="181B75B2" w14:textId="77B6CBA5"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 xml:space="preserve">Burime të tjera </w:t>
            </w:r>
            <w:r w:rsidR="004D1F24" w:rsidRPr="005208DC">
              <w:rPr>
                <w:rFonts w:asciiTheme="majorBidi" w:hAnsiTheme="majorBidi" w:cstheme="majorBidi"/>
                <w:color w:val="0D0D0D" w:themeColor="text1" w:themeTint="F2"/>
                <w:sz w:val="22"/>
                <w:szCs w:val="22"/>
                <w:lang w:val="sq-AL"/>
              </w:rPr>
              <w:t>kombëtare</w:t>
            </w:r>
            <w:r w:rsidRPr="005208DC">
              <w:rPr>
                <w:rFonts w:asciiTheme="majorBidi" w:hAnsiTheme="majorBidi" w:cstheme="majorBidi"/>
                <w:color w:val="0D0D0D" w:themeColor="text1" w:themeTint="F2"/>
                <w:sz w:val="22"/>
                <w:szCs w:val="22"/>
                <w:lang w:val="sq-AL"/>
              </w:rPr>
              <w:t xml:space="preserve"> të financave publike</w:t>
            </w:r>
          </w:p>
        </w:tc>
        <w:tc>
          <w:tcPr>
            <w:tcW w:w="1071" w:type="dxa"/>
          </w:tcPr>
          <w:p w14:paraId="707EE6AF" w14:textId="40465FE7"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Fondet IPA</w:t>
            </w:r>
          </w:p>
        </w:tc>
        <w:tc>
          <w:tcPr>
            <w:tcW w:w="1070" w:type="dxa"/>
          </w:tcPr>
          <w:p w14:paraId="4F64AA2E" w14:textId="6A5D2B43"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Dhurime të tjera</w:t>
            </w:r>
          </w:p>
        </w:tc>
        <w:tc>
          <w:tcPr>
            <w:tcW w:w="1071" w:type="dxa"/>
          </w:tcPr>
          <w:p w14:paraId="63E1820C" w14:textId="41D8CCB5"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Hua projektesh</w:t>
            </w:r>
          </w:p>
        </w:tc>
        <w:tc>
          <w:tcPr>
            <w:tcW w:w="1070" w:type="dxa"/>
          </w:tcPr>
          <w:p w14:paraId="5D46F04E"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TBD</w:t>
            </w:r>
          </w:p>
        </w:tc>
        <w:tc>
          <w:tcPr>
            <w:tcW w:w="1638" w:type="dxa"/>
          </w:tcPr>
          <w:p w14:paraId="057DDA66" w14:textId="15700181"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39909A5F" w14:textId="77777777" w:rsidTr="00F51BF1">
        <w:tc>
          <w:tcPr>
            <w:tcW w:w="1070" w:type="dxa"/>
          </w:tcPr>
          <w:p w14:paraId="7AD7D030"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070" w:type="dxa"/>
          </w:tcPr>
          <w:p w14:paraId="445ABDA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64,755</w:t>
            </w:r>
          </w:p>
        </w:tc>
        <w:tc>
          <w:tcPr>
            <w:tcW w:w="1071" w:type="dxa"/>
          </w:tcPr>
          <w:p w14:paraId="682B294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070" w:type="dxa"/>
          </w:tcPr>
          <w:p w14:paraId="5ADA7E2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071" w:type="dxa"/>
          </w:tcPr>
          <w:p w14:paraId="0B275CD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812,431</w:t>
            </w:r>
          </w:p>
        </w:tc>
        <w:tc>
          <w:tcPr>
            <w:tcW w:w="1070" w:type="dxa"/>
          </w:tcPr>
          <w:p w14:paraId="00216B7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071" w:type="dxa"/>
          </w:tcPr>
          <w:p w14:paraId="1D237E8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070" w:type="dxa"/>
            <w:shd w:val="clear" w:color="auto" w:fill="808080" w:themeFill="background1" w:themeFillShade="80"/>
          </w:tcPr>
          <w:p w14:paraId="75B9EEE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638" w:type="dxa"/>
          </w:tcPr>
          <w:p w14:paraId="790E6DA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877,186</w:t>
            </w:r>
          </w:p>
        </w:tc>
      </w:tr>
      <w:tr w:rsidR="005208DC" w:rsidRPr="005208DC" w14:paraId="542B7528" w14:textId="77777777" w:rsidTr="00F51BF1">
        <w:trPr>
          <w:trHeight w:val="232"/>
        </w:trPr>
        <w:tc>
          <w:tcPr>
            <w:tcW w:w="1070" w:type="dxa"/>
          </w:tcPr>
          <w:p w14:paraId="7B7F031A"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070" w:type="dxa"/>
          </w:tcPr>
          <w:p w14:paraId="52A6FF6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64,755</w:t>
            </w:r>
          </w:p>
        </w:tc>
        <w:tc>
          <w:tcPr>
            <w:tcW w:w="1071" w:type="dxa"/>
          </w:tcPr>
          <w:p w14:paraId="6BA1993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070" w:type="dxa"/>
          </w:tcPr>
          <w:p w14:paraId="317EC72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071" w:type="dxa"/>
          </w:tcPr>
          <w:p w14:paraId="67AB727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812,431</w:t>
            </w:r>
          </w:p>
        </w:tc>
        <w:tc>
          <w:tcPr>
            <w:tcW w:w="1070" w:type="dxa"/>
          </w:tcPr>
          <w:p w14:paraId="37543C9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071" w:type="dxa"/>
          </w:tcPr>
          <w:p w14:paraId="35A6420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070" w:type="dxa"/>
          </w:tcPr>
          <w:p w14:paraId="463EFA9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N/A</w:t>
            </w:r>
          </w:p>
        </w:tc>
        <w:tc>
          <w:tcPr>
            <w:tcW w:w="1638" w:type="dxa"/>
          </w:tcPr>
          <w:p w14:paraId="791FCDE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877,186</w:t>
            </w:r>
          </w:p>
        </w:tc>
      </w:tr>
      <w:tr w:rsidR="005208DC" w:rsidRPr="005208DC" w14:paraId="27B3C39E" w14:textId="77777777" w:rsidTr="00F51BF1">
        <w:tc>
          <w:tcPr>
            <w:tcW w:w="1070" w:type="dxa"/>
          </w:tcPr>
          <w:p w14:paraId="223A4FC8"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070" w:type="dxa"/>
          </w:tcPr>
          <w:p w14:paraId="321373B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2F4BE97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0E48188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7EE0CF0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117301E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041DDEE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08FD1CC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38" w:type="dxa"/>
          </w:tcPr>
          <w:p w14:paraId="71460ED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bl>
    <w:p w14:paraId="36644DC1"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p>
    <w:tbl>
      <w:tblPr>
        <w:tblStyle w:val="TableGrid"/>
        <w:tblW w:w="10201" w:type="dxa"/>
        <w:tblLook w:val="04A0" w:firstRow="1" w:lastRow="0" w:firstColumn="1" w:lastColumn="0" w:noHBand="0" w:noVBand="1"/>
      </w:tblPr>
      <w:tblGrid>
        <w:gridCol w:w="1043"/>
        <w:gridCol w:w="1060"/>
        <w:gridCol w:w="1061"/>
        <w:gridCol w:w="1145"/>
        <w:gridCol w:w="1055"/>
        <w:gridCol w:w="1065"/>
        <w:gridCol w:w="1133"/>
        <w:gridCol w:w="1043"/>
        <w:gridCol w:w="1596"/>
      </w:tblGrid>
      <w:tr w:rsidR="005208DC" w:rsidRPr="005208DC" w14:paraId="603593D2" w14:textId="77777777" w:rsidTr="00F51BF1">
        <w:tc>
          <w:tcPr>
            <w:tcW w:w="10201" w:type="dxa"/>
            <w:gridSpan w:val="9"/>
            <w:shd w:val="clear" w:color="auto" w:fill="E5DFEC" w:themeFill="accent4" w:themeFillTint="33"/>
          </w:tcPr>
          <w:p w14:paraId="4107B849" w14:textId="681B7C7D" w:rsidR="00E06E0F" w:rsidRPr="005208DC" w:rsidRDefault="00B2062A"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11:</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color w:val="0D0D0D" w:themeColor="text1" w:themeTint="F2"/>
                <w:sz w:val="22"/>
                <w:szCs w:val="22"/>
                <w:lang w:val="sq-AL"/>
              </w:rPr>
              <w:t>Zhvillimi i infrastrukturës broadband për ekonominë digjital</w:t>
            </w:r>
          </w:p>
        </w:tc>
      </w:tr>
      <w:tr w:rsidR="005208DC" w:rsidRPr="005208DC" w14:paraId="4B5932CC" w14:textId="77777777" w:rsidTr="00F51BF1">
        <w:tc>
          <w:tcPr>
            <w:tcW w:w="1070" w:type="dxa"/>
          </w:tcPr>
          <w:p w14:paraId="0274CE30" w14:textId="4206E207"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070" w:type="dxa"/>
          </w:tcPr>
          <w:p w14:paraId="5616B452" w14:textId="3AA7F806"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qendror</w:t>
            </w:r>
          </w:p>
        </w:tc>
        <w:tc>
          <w:tcPr>
            <w:tcW w:w="1071" w:type="dxa"/>
          </w:tcPr>
          <w:p w14:paraId="40108010" w14:textId="6B7750B9" w:rsidR="00E06E0F" w:rsidRPr="005208DC" w:rsidRDefault="004D1F24"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vendor</w:t>
            </w:r>
          </w:p>
        </w:tc>
        <w:tc>
          <w:tcPr>
            <w:tcW w:w="1070" w:type="dxa"/>
          </w:tcPr>
          <w:p w14:paraId="540DC139" w14:textId="76602DDC"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 xml:space="preserve">Burime të tjera </w:t>
            </w:r>
            <w:r w:rsidR="004D1F24" w:rsidRPr="005208DC">
              <w:rPr>
                <w:rFonts w:asciiTheme="majorBidi" w:hAnsiTheme="majorBidi" w:cstheme="majorBidi"/>
                <w:color w:val="0D0D0D" w:themeColor="text1" w:themeTint="F2"/>
                <w:sz w:val="22"/>
                <w:szCs w:val="22"/>
                <w:lang w:val="sq-AL"/>
              </w:rPr>
              <w:t>kombëtare</w:t>
            </w:r>
            <w:r w:rsidRPr="005208DC">
              <w:rPr>
                <w:rFonts w:asciiTheme="majorBidi" w:hAnsiTheme="majorBidi" w:cstheme="majorBidi"/>
                <w:color w:val="0D0D0D" w:themeColor="text1" w:themeTint="F2"/>
                <w:sz w:val="22"/>
                <w:szCs w:val="22"/>
                <w:lang w:val="sq-AL"/>
              </w:rPr>
              <w:t xml:space="preserve"> të financave publike</w:t>
            </w:r>
          </w:p>
        </w:tc>
        <w:tc>
          <w:tcPr>
            <w:tcW w:w="1071" w:type="dxa"/>
          </w:tcPr>
          <w:p w14:paraId="2EBA98A0" w14:textId="50C3D530"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Fondet IPA</w:t>
            </w:r>
          </w:p>
        </w:tc>
        <w:tc>
          <w:tcPr>
            <w:tcW w:w="1070" w:type="dxa"/>
          </w:tcPr>
          <w:p w14:paraId="477E01B3" w14:textId="3D0AA061"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Dhurime të tjera</w:t>
            </w:r>
          </w:p>
        </w:tc>
        <w:tc>
          <w:tcPr>
            <w:tcW w:w="1071" w:type="dxa"/>
          </w:tcPr>
          <w:p w14:paraId="4814061F" w14:textId="5C56B228"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Hua projektesh</w:t>
            </w:r>
          </w:p>
        </w:tc>
        <w:tc>
          <w:tcPr>
            <w:tcW w:w="1070" w:type="dxa"/>
          </w:tcPr>
          <w:p w14:paraId="433BA1C9"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TBD</w:t>
            </w:r>
          </w:p>
        </w:tc>
        <w:tc>
          <w:tcPr>
            <w:tcW w:w="1638" w:type="dxa"/>
          </w:tcPr>
          <w:p w14:paraId="61BA83A5" w14:textId="7FB69CF1"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39D46857" w14:textId="77777777" w:rsidTr="00F51BF1">
        <w:tc>
          <w:tcPr>
            <w:tcW w:w="1070" w:type="dxa"/>
          </w:tcPr>
          <w:p w14:paraId="37FE9E7E"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070" w:type="dxa"/>
          </w:tcPr>
          <w:p w14:paraId="3E130E3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163333</w:t>
            </w:r>
          </w:p>
        </w:tc>
        <w:tc>
          <w:tcPr>
            <w:tcW w:w="1071" w:type="dxa"/>
          </w:tcPr>
          <w:p w14:paraId="7C14D73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0" w:type="dxa"/>
          </w:tcPr>
          <w:p w14:paraId="4690B87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1" w:type="dxa"/>
          </w:tcPr>
          <w:p w14:paraId="3901674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0" w:type="dxa"/>
          </w:tcPr>
          <w:p w14:paraId="05E4C60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950000</w:t>
            </w:r>
          </w:p>
        </w:tc>
        <w:tc>
          <w:tcPr>
            <w:tcW w:w="1071" w:type="dxa"/>
          </w:tcPr>
          <w:p w14:paraId="348E825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0" w:type="dxa"/>
            <w:shd w:val="clear" w:color="auto" w:fill="808080" w:themeFill="background1" w:themeFillShade="80"/>
          </w:tcPr>
          <w:p w14:paraId="5A2C18F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38" w:type="dxa"/>
          </w:tcPr>
          <w:p w14:paraId="68C71DF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1113333</w:t>
            </w:r>
          </w:p>
        </w:tc>
      </w:tr>
      <w:tr w:rsidR="005208DC" w:rsidRPr="005208DC" w14:paraId="5AA844E1" w14:textId="77777777" w:rsidTr="00F51BF1">
        <w:tc>
          <w:tcPr>
            <w:tcW w:w="1070" w:type="dxa"/>
          </w:tcPr>
          <w:p w14:paraId="24B39784"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070" w:type="dxa"/>
          </w:tcPr>
          <w:p w14:paraId="18C8687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133333</w:t>
            </w:r>
          </w:p>
        </w:tc>
        <w:tc>
          <w:tcPr>
            <w:tcW w:w="1071" w:type="dxa"/>
          </w:tcPr>
          <w:p w14:paraId="5B5D4C7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0" w:type="dxa"/>
          </w:tcPr>
          <w:p w14:paraId="254B4EE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1" w:type="dxa"/>
          </w:tcPr>
          <w:p w14:paraId="551E5C9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0" w:type="dxa"/>
          </w:tcPr>
          <w:p w14:paraId="08D3E06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3300000</w:t>
            </w:r>
          </w:p>
        </w:tc>
        <w:tc>
          <w:tcPr>
            <w:tcW w:w="1071" w:type="dxa"/>
          </w:tcPr>
          <w:p w14:paraId="4355BD4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0" w:type="dxa"/>
          </w:tcPr>
          <w:p w14:paraId="4B4BBE3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638" w:type="dxa"/>
          </w:tcPr>
          <w:p w14:paraId="33CD00E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3433333</w:t>
            </w:r>
          </w:p>
        </w:tc>
      </w:tr>
      <w:tr w:rsidR="005208DC" w:rsidRPr="005208DC" w14:paraId="45687C3D" w14:textId="77777777" w:rsidTr="00F51BF1">
        <w:tc>
          <w:tcPr>
            <w:tcW w:w="1070" w:type="dxa"/>
          </w:tcPr>
          <w:p w14:paraId="046756F7"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070" w:type="dxa"/>
          </w:tcPr>
          <w:p w14:paraId="0B7FF27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33333</w:t>
            </w:r>
          </w:p>
        </w:tc>
        <w:tc>
          <w:tcPr>
            <w:tcW w:w="1071" w:type="dxa"/>
          </w:tcPr>
          <w:p w14:paraId="468468B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0" w:type="dxa"/>
          </w:tcPr>
          <w:p w14:paraId="60B1E68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1" w:type="dxa"/>
          </w:tcPr>
          <w:p w14:paraId="23E5D62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0" w:type="dxa"/>
          </w:tcPr>
          <w:p w14:paraId="4354B15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2500000</w:t>
            </w:r>
          </w:p>
        </w:tc>
        <w:tc>
          <w:tcPr>
            <w:tcW w:w="1071" w:type="dxa"/>
          </w:tcPr>
          <w:p w14:paraId="2323378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0" w:type="dxa"/>
          </w:tcPr>
          <w:p w14:paraId="191644B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638" w:type="dxa"/>
          </w:tcPr>
          <w:p w14:paraId="0656A79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2533333</w:t>
            </w:r>
          </w:p>
        </w:tc>
      </w:tr>
    </w:tbl>
    <w:p w14:paraId="5472F9F7"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p>
    <w:tbl>
      <w:tblPr>
        <w:tblStyle w:val="TableGrid"/>
        <w:tblW w:w="10201" w:type="dxa"/>
        <w:tblLook w:val="04A0" w:firstRow="1" w:lastRow="0" w:firstColumn="1" w:lastColumn="0" w:noHBand="0" w:noVBand="1"/>
      </w:tblPr>
      <w:tblGrid>
        <w:gridCol w:w="1647"/>
        <w:gridCol w:w="945"/>
        <w:gridCol w:w="1005"/>
        <w:gridCol w:w="1145"/>
        <w:gridCol w:w="828"/>
        <w:gridCol w:w="1014"/>
        <w:gridCol w:w="1178"/>
        <w:gridCol w:w="750"/>
        <w:gridCol w:w="1689"/>
      </w:tblGrid>
      <w:tr w:rsidR="005208DC" w:rsidRPr="005208DC" w14:paraId="59ACE245" w14:textId="77777777" w:rsidTr="00F51BF1">
        <w:tc>
          <w:tcPr>
            <w:tcW w:w="10201" w:type="dxa"/>
            <w:gridSpan w:val="9"/>
            <w:shd w:val="clear" w:color="auto" w:fill="E5DFEC" w:themeFill="accent4" w:themeFillTint="33"/>
          </w:tcPr>
          <w:p w14:paraId="59EC4F59" w14:textId="5334F0ED" w:rsidR="00E06E0F" w:rsidRPr="005208DC" w:rsidRDefault="00B2062A"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12:</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bCs/>
                <w:color w:val="0D0D0D" w:themeColor="text1" w:themeTint="F2"/>
                <w:sz w:val="22"/>
                <w:szCs w:val="22"/>
                <w:lang w:val="sq-AL"/>
              </w:rPr>
              <w:t>Thellimi i integrimit ekonomik</w:t>
            </w:r>
          </w:p>
        </w:tc>
      </w:tr>
      <w:tr w:rsidR="005208DC" w:rsidRPr="005208DC" w14:paraId="3FE70FCF" w14:textId="77777777" w:rsidTr="00F51BF1">
        <w:tc>
          <w:tcPr>
            <w:tcW w:w="1736" w:type="dxa"/>
          </w:tcPr>
          <w:p w14:paraId="58716235" w14:textId="09CCBE6F"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948" w:type="dxa"/>
          </w:tcPr>
          <w:p w14:paraId="10D16FBC" w14:textId="0DD1742B"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qendror</w:t>
            </w:r>
          </w:p>
        </w:tc>
        <w:tc>
          <w:tcPr>
            <w:tcW w:w="1013" w:type="dxa"/>
          </w:tcPr>
          <w:p w14:paraId="4DB84907" w14:textId="2766FD92" w:rsidR="00E06E0F" w:rsidRPr="005208DC" w:rsidRDefault="004D1F24"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vendor</w:t>
            </w:r>
          </w:p>
        </w:tc>
        <w:tc>
          <w:tcPr>
            <w:tcW w:w="1002" w:type="dxa"/>
          </w:tcPr>
          <w:p w14:paraId="31D66131" w14:textId="5439DFD2"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 xml:space="preserve">Burime të tjera </w:t>
            </w:r>
            <w:r w:rsidR="004D1F24" w:rsidRPr="005208DC">
              <w:rPr>
                <w:rFonts w:asciiTheme="majorBidi" w:hAnsiTheme="majorBidi" w:cstheme="majorBidi"/>
                <w:color w:val="0D0D0D" w:themeColor="text1" w:themeTint="F2"/>
                <w:sz w:val="22"/>
                <w:szCs w:val="22"/>
                <w:lang w:val="sq-AL"/>
              </w:rPr>
              <w:t>kombëtare</w:t>
            </w:r>
            <w:r w:rsidRPr="005208DC">
              <w:rPr>
                <w:rFonts w:asciiTheme="majorBidi" w:hAnsiTheme="majorBidi" w:cstheme="majorBidi"/>
                <w:color w:val="0D0D0D" w:themeColor="text1" w:themeTint="F2"/>
                <w:sz w:val="22"/>
                <w:szCs w:val="22"/>
                <w:lang w:val="sq-AL"/>
              </w:rPr>
              <w:t xml:space="preserve"> të financave publike</w:t>
            </w:r>
          </w:p>
        </w:tc>
        <w:tc>
          <w:tcPr>
            <w:tcW w:w="803" w:type="dxa"/>
          </w:tcPr>
          <w:p w14:paraId="085B71DE" w14:textId="52B180B9"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Fondet IPA</w:t>
            </w:r>
          </w:p>
        </w:tc>
        <w:tc>
          <w:tcPr>
            <w:tcW w:w="1015" w:type="dxa"/>
          </w:tcPr>
          <w:p w14:paraId="372BF5B1" w14:textId="27E7C210"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Dhurime të tjera</w:t>
            </w:r>
          </w:p>
        </w:tc>
        <w:tc>
          <w:tcPr>
            <w:tcW w:w="1182" w:type="dxa"/>
          </w:tcPr>
          <w:p w14:paraId="2C7D48F1" w14:textId="0EE0ACC5"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Hua projektesh</w:t>
            </w:r>
          </w:p>
        </w:tc>
        <w:tc>
          <w:tcPr>
            <w:tcW w:w="759" w:type="dxa"/>
          </w:tcPr>
          <w:p w14:paraId="5D63FD85"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TBD</w:t>
            </w:r>
          </w:p>
        </w:tc>
        <w:tc>
          <w:tcPr>
            <w:tcW w:w="1743" w:type="dxa"/>
          </w:tcPr>
          <w:p w14:paraId="6001CB74" w14:textId="3FF8D896"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7236E88D" w14:textId="77777777" w:rsidTr="00F51BF1">
        <w:tc>
          <w:tcPr>
            <w:tcW w:w="10201" w:type="dxa"/>
            <w:gridSpan w:val="9"/>
          </w:tcPr>
          <w:p w14:paraId="1E565CE8" w14:textId="1C1EC184"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Implementation</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of</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National</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Single</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Window</w:t>
            </w:r>
            <w:r w:rsidRPr="005208DC">
              <w:rPr>
                <w:rStyle w:val="FootnoteReference"/>
                <w:rFonts w:asciiTheme="majorBidi" w:hAnsiTheme="majorBidi" w:cstheme="majorBidi"/>
                <w:color w:val="0D0D0D" w:themeColor="text1" w:themeTint="F2"/>
                <w:sz w:val="22"/>
                <w:szCs w:val="22"/>
                <w:lang w:val="sq-AL"/>
              </w:rPr>
              <w:footnoteReference w:id="32"/>
            </w:r>
          </w:p>
        </w:tc>
      </w:tr>
      <w:tr w:rsidR="005208DC" w:rsidRPr="005208DC" w14:paraId="2A9C15A6" w14:textId="77777777" w:rsidTr="00F51BF1">
        <w:tc>
          <w:tcPr>
            <w:tcW w:w="1736" w:type="dxa"/>
          </w:tcPr>
          <w:p w14:paraId="3F8452DF" w14:textId="764F3BA0"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2024</w:t>
            </w:r>
          </w:p>
        </w:tc>
        <w:tc>
          <w:tcPr>
            <w:tcW w:w="948" w:type="dxa"/>
          </w:tcPr>
          <w:p w14:paraId="526C1358"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13" w:type="dxa"/>
          </w:tcPr>
          <w:p w14:paraId="172F0B1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02" w:type="dxa"/>
          </w:tcPr>
          <w:p w14:paraId="02C9F97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803" w:type="dxa"/>
          </w:tcPr>
          <w:p w14:paraId="1974A20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15" w:type="dxa"/>
          </w:tcPr>
          <w:p w14:paraId="2A789ED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182" w:type="dxa"/>
          </w:tcPr>
          <w:p w14:paraId="7071923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3,562,500</w:t>
            </w:r>
          </w:p>
        </w:tc>
        <w:tc>
          <w:tcPr>
            <w:tcW w:w="759" w:type="dxa"/>
          </w:tcPr>
          <w:p w14:paraId="50031D1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743" w:type="dxa"/>
          </w:tcPr>
          <w:p w14:paraId="22802F1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3,562,500</w:t>
            </w:r>
          </w:p>
        </w:tc>
      </w:tr>
      <w:tr w:rsidR="005208DC" w:rsidRPr="005208DC" w14:paraId="672968E5" w14:textId="77777777" w:rsidTr="00F51BF1">
        <w:tc>
          <w:tcPr>
            <w:tcW w:w="10201" w:type="dxa"/>
            <w:gridSpan w:val="9"/>
          </w:tcPr>
          <w:p w14:paraId="40F737ED" w14:textId="1C39F14C"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Implementation</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of</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NCTS</w:t>
            </w:r>
            <w:r w:rsidRPr="005208DC">
              <w:rPr>
                <w:rStyle w:val="FootnoteReference"/>
                <w:rFonts w:asciiTheme="majorBidi" w:hAnsiTheme="majorBidi" w:cstheme="majorBidi"/>
                <w:color w:val="0D0D0D" w:themeColor="text1" w:themeTint="F2"/>
                <w:sz w:val="22"/>
                <w:szCs w:val="22"/>
                <w:lang w:val="sq-AL"/>
              </w:rPr>
              <w:footnoteReference w:id="33"/>
            </w:r>
          </w:p>
        </w:tc>
      </w:tr>
      <w:tr w:rsidR="005208DC" w:rsidRPr="005208DC" w14:paraId="683DA3A8" w14:textId="77777777" w:rsidTr="00F51BF1">
        <w:tc>
          <w:tcPr>
            <w:tcW w:w="1736" w:type="dxa"/>
          </w:tcPr>
          <w:p w14:paraId="3AAA0550" w14:textId="4010E866"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2024</w:t>
            </w:r>
          </w:p>
        </w:tc>
        <w:tc>
          <w:tcPr>
            <w:tcW w:w="948" w:type="dxa"/>
          </w:tcPr>
          <w:p w14:paraId="279AAC06"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13" w:type="dxa"/>
          </w:tcPr>
          <w:p w14:paraId="73C6337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02" w:type="dxa"/>
          </w:tcPr>
          <w:p w14:paraId="15B1AC3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803" w:type="dxa"/>
          </w:tcPr>
          <w:p w14:paraId="5C29364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15" w:type="dxa"/>
          </w:tcPr>
          <w:p w14:paraId="3413989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182" w:type="dxa"/>
          </w:tcPr>
          <w:p w14:paraId="6ED169B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1,812,500</w:t>
            </w:r>
          </w:p>
        </w:tc>
        <w:tc>
          <w:tcPr>
            <w:tcW w:w="759" w:type="dxa"/>
          </w:tcPr>
          <w:p w14:paraId="72D1664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743" w:type="dxa"/>
          </w:tcPr>
          <w:p w14:paraId="664E632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1,812,500</w:t>
            </w:r>
          </w:p>
        </w:tc>
      </w:tr>
      <w:tr w:rsidR="005208DC" w:rsidRPr="005208DC" w14:paraId="14E8F6D0" w14:textId="77777777" w:rsidTr="00F51BF1">
        <w:tc>
          <w:tcPr>
            <w:tcW w:w="10201" w:type="dxa"/>
            <w:gridSpan w:val="9"/>
          </w:tcPr>
          <w:p w14:paraId="1FBC467D" w14:textId="061A6809"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Implementation</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of</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Single</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Window</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and</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NCTS</w:t>
            </w:r>
            <w:r w:rsidRPr="005208DC">
              <w:rPr>
                <w:rStyle w:val="FootnoteReference"/>
                <w:rFonts w:asciiTheme="majorBidi" w:hAnsiTheme="majorBidi" w:cstheme="majorBidi"/>
                <w:color w:val="0D0D0D" w:themeColor="text1" w:themeTint="F2"/>
                <w:sz w:val="22"/>
                <w:szCs w:val="22"/>
                <w:lang w:val="sq-AL"/>
              </w:rPr>
              <w:footnoteReference w:id="34"/>
            </w:r>
          </w:p>
        </w:tc>
      </w:tr>
      <w:tr w:rsidR="005208DC" w:rsidRPr="005208DC" w14:paraId="57292960" w14:textId="77777777" w:rsidTr="00F51BF1">
        <w:tc>
          <w:tcPr>
            <w:tcW w:w="1736" w:type="dxa"/>
          </w:tcPr>
          <w:p w14:paraId="48515564" w14:textId="7D46EC5C"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2024</w:t>
            </w:r>
          </w:p>
        </w:tc>
        <w:tc>
          <w:tcPr>
            <w:tcW w:w="948" w:type="dxa"/>
          </w:tcPr>
          <w:p w14:paraId="7345B045"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13" w:type="dxa"/>
          </w:tcPr>
          <w:p w14:paraId="53884A3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02" w:type="dxa"/>
          </w:tcPr>
          <w:p w14:paraId="2E930ED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803" w:type="dxa"/>
          </w:tcPr>
          <w:p w14:paraId="5AAD548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15" w:type="dxa"/>
          </w:tcPr>
          <w:p w14:paraId="469093A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218,750</w:t>
            </w:r>
            <w:r w:rsidRPr="005208DC">
              <w:rPr>
                <w:rFonts w:asciiTheme="majorBidi" w:hAnsiTheme="majorBidi" w:cstheme="majorBidi"/>
                <w:color w:val="0D0D0D" w:themeColor="text1" w:themeTint="F2"/>
                <w:sz w:val="22"/>
                <w:szCs w:val="22"/>
                <w:lang w:val="sq-AL"/>
              </w:rPr>
              <w:t>‬</w:t>
            </w:r>
          </w:p>
        </w:tc>
        <w:tc>
          <w:tcPr>
            <w:tcW w:w="1182" w:type="dxa"/>
          </w:tcPr>
          <w:p w14:paraId="337CB0D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759" w:type="dxa"/>
          </w:tcPr>
          <w:p w14:paraId="51987BF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743" w:type="dxa"/>
          </w:tcPr>
          <w:p w14:paraId="61D8D9D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218,750</w:t>
            </w:r>
            <w:r w:rsidRPr="005208DC">
              <w:rPr>
                <w:rFonts w:asciiTheme="majorBidi" w:hAnsiTheme="majorBidi" w:cstheme="majorBidi"/>
                <w:color w:val="0D0D0D" w:themeColor="text1" w:themeTint="F2"/>
                <w:sz w:val="22"/>
                <w:szCs w:val="22"/>
                <w:lang w:val="sq-AL"/>
              </w:rPr>
              <w:t>‬</w:t>
            </w:r>
          </w:p>
        </w:tc>
      </w:tr>
    </w:tbl>
    <w:p w14:paraId="61252AC7"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p>
    <w:tbl>
      <w:tblPr>
        <w:tblStyle w:val="TableGrid"/>
        <w:tblW w:w="10201" w:type="dxa"/>
        <w:tblLook w:val="04A0" w:firstRow="1" w:lastRow="0" w:firstColumn="1" w:lastColumn="0" w:noHBand="0" w:noVBand="1"/>
      </w:tblPr>
      <w:tblGrid>
        <w:gridCol w:w="1045"/>
        <w:gridCol w:w="1061"/>
        <w:gridCol w:w="1062"/>
        <w:gridCol w:w="1145"/>
        <w:gridCol w:w="1057"/>
        <w:gridCol w:w="1066"/>
        <w:gridCol w:w="1133"/>
        <w:gridCol w:w="1046"/>
        <w:gridCol w:w="1586"/>
      </w:tblGrid>
      <w:tr w:rsidR="005208DC" w:rsidRPr="005208DC" w14:paraId="5FB12D53" w14:textId="77777777" w:rsidTr="00F51BF1">
        <w:tc>
          <w:tcPr>
            <w:tcW w:w="10201" w:type="dxa"/>
            <w:gridSpan w:val="9"/>
            <w:shd w:val="clear" w:color="auto" w:fill="E5DFEC" w:themeFill="accent4" w:themeFillTint="33"/>
          </w:tcPr>
          <w:p w14:paraId="69E70B80" w14:textId="74E88044" w:rsidR="00E06E0F" w:rsidRPr="005208DC" w:rsidRDefault="00B2062A"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13:</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color w:val="0D0D0D" w:themeColor="text1" w:themeTint="F2"/>
                <w:sz w:val="22"/>
                <w:szCs w:val="22"/>
                <w:lang w:val="sq-AL"/>
              </w:rPr>
              <w:t>Liberalizimi i tregut të energjisë</w:t>
            </w:r>
            <w:r w:rsidR="00E06E0F" w:rsidRPr="005208DC">
              <w:rPr>
                <w:rStyle w:val="FootnoteReference"/>
                <w:rFonts w:asciiTheme="majorBidi" w:hAnsiTheme="majorBidi" w:cstheme="majorBidi"/>
                <w:b/>
                <w:color w:val="0D0D0D" w:themeColor="text1" w:themeTint="F2"/>
                <w:sz w:val="22"/>
                <w:szCs w:val="22"/>
                <w:lang w:val="sq-AL"/>
              </w:rPr>
              <w:footnoteReference w:id="35"/>
            </w:r>
          </w:p>
        </w:tc>
      </w:tr>
      <w:tr w:rsidR="005208DC" w:rsidRPr="005208DC" w14:paraId="559028A2" w14:textId="77777777" w:rsidTr="00F51BF1">
        <w:tc>
          <w:tcPr>
            <w:tcW w:w="1070" w:type="dxa"/>
          </w:tcPr>
          <w:p w14:paraId="2B24C4B6" w14:textId="6950B1F9"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070" w:type="dxa"/>
          </w:tcPr>
          <w:p w14:paraId="3C9B41C0" w14:textId="531EF8C9"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qendror</w:t>
            </w:r>
          </w:p>
        </w:tc>
        <w:tc>
          <w:tcPr>
            <w:tcW w:w="1071" w:type="dxa"/>
          </w:tcPr>
          <w:p w14:paraId="2B362F1B" w14:textId="57DD39A1" w:rsidR="00E06E0F" w:rsidRPr="005208DC" w:rsidRDefault="004D1F24"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vendor</w:t>
            </w:r>
          </w:p>
        </w:tc>
        <w:tc>
          <w:tcPr>
            <w:tcW w:w="1070" w:type="dxa"/>
          </w:tcPr>
          <w:p w14:paraId="58B9D5CE" w14:textId="4C1131A6"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 xml:space="preserve">Burime të tjera </w:t>
            </w:r>
            <w:r w:rsidR="004D1F24" w:rsidRPr="005208DC">
              <w:rPr>
                <w:rFonts w:asciiTheme="majorBidi" w:hAnsiTheme="majorBidi" w:cstheme="majorBidi"/>
                <w:color w:val="0D0D0D" w:themeColor="text1" w:themeTint="F2"/>
                <w:sz w:val="22"/>
                <w:szCs w:val="22"/>
                <w:lang w:val="sq-AL"/>
              </w:rPr>
              <w:t>kombëtare</w:t>
            </w:r>
            <w:r w:rsidRPr="005208DC">
              <w:rPr>
                <w:rFonts w:asciiTheme="majorBidi" w:hAnsiTheme="majorBidi" w:cstheme="majorBidi"/>
                <w:color w:val="0D0D0D" w:themeColor="text1" w:themeTint="F2"/>
                <w:sz w:val="22"/>
                <w:szCs w:val="22"/>
                <w:lang w:val="sq-AL"/>
              </w:rPr>
              <w:t xml:space="preserve"> të financave publike</w:t>
            </w:r>
          </w:p>
        </w:tc>
        <w:tc>
          <w:tcPr>
            <w:tcW w:w="1071" w:type="dxa"/>
          </w:tcPr>
          <w:p w14:paraId="6C4C261C" w14:textId="7B4CD90F"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Fondet IPA</w:t>
            </w:r>
          </w:p>
        </w:tc>
        <w:tc>
          <w:tcPr>
            <w:tcW w:w="1070" w:type="dxa"/>
          </w:tcPr>
          <w:p w14:paraId="405EFE0D" w14:textId="5E6F2208"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Dhurime të tjera</w:t>
            </w:r>
          </w:p>
        </w:tc>
        <w:tc>
          <w:tcPr>
            <w:tcW w:w="1071" w:type="dxa"/>
          </w:tcPr>
          <w:p w14:paraId="1745188F" w14:textId="207A6A72"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Hua projektesh</w:t>
            </w:r>
          </w:p>
        </w:tc>
        <w:tc>
          <w:tcPr>
            <w:tcW w:w="1070" w:type="dxa"/>
          </w:tcPr>
          <w:p w14:paraId="50CBE5A3"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TBD</w:t>
            </w:r>
          </w:p>
        </w:tc>
        <w:tc>
          <w:tcPr>
            <w:tcW w:w="1638" w:type="dxa"/>
          </w:tcPr>
          <w:p w14:paraId="39358731" w14:textId="507FBC32"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6AEF6E6A" w14:textId="77777777" w:rsidTr="00F51BF1">
        <w:tc>
          <w:tcPr>
            <w:tcW w:w="1070" w:type="dxa"/>
          </w:tcPr>
          <w:p w14:paraId="1673B3C8"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070" w:type="dxa"/>
          </w:tcPr>
          <w:p w14:paraId="6FC4CCD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6BF2E4A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603B2D2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593FA0C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790714C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1FB5227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shd w:val="clear" w:color="auto" w:fill="808080" w:themeFill="background1" w:themeFillShade="80"/>
          </w:tcPr>
          <w:p w14:paraId="02F8C332"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p>
        </w:tc>
        <w:tc>
          <w:tcPr>
            <w:tcW w:w="1638" w:type="dxa"/>
          </w:tcPr>
          <w:p w14:paraId="1C6507F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r w:rsidR="005208DC" w:rsidRPr="005208DC" w14:paraId="43756BB0" w14:textId="77777777" w:rsidTr="00F51BF1">
        <w:tc>
          <w:tcPr>
            <w:tcW w:w="1070" w:type="dxa"/>
          </w:tcPr>
          <w:p w14:paraId="7E6BC79F"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070" w:type="dxa"/>
          </w:tcPr>
          <w:p w14:paraId="07D62D5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3E96A2A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33EA82B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46A45F3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2AE6CE6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7389091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6B2E1EE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38" w:type="dxa"/>
          </w:tcPr>
          <w:p w14:paraId="6365623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r w:rsidR="005208DC" w:rsidRPr="005208DC" w14:paraId="670C6520" w14:textId="77777777" w:rsidTr="00F51BF1">
        <w:tc>
          <w:tcPr>
            <w:tcW w:w="1070" w:type="dxa"/>
          </w:tcPr>
          <w:p w14:paraId="0AB11003"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070" w:type="dxa"/>
          </w:tcPr>
          <w:p w14:paraId="45C00B1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737686E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252287C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38BF2C1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190A550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tcPr>
          <w:p w14:paraId="3C6DBB8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tcPr>
          <w:p w14:paraId="58BEE6E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38" w:type="dxa"/>
          </w:tcPr>
          <w:p w14:paraId="2EAE129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bl>
    <w:p w14:paraId="61906BE4"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p>
    <w:tbl>
      <w:tblPr>
        <w:tblStyle w:val="TableGrid"/>
        <w:tblW w:w="10201" w:type="dxa"/>
        <w:tblLook w:val="04A0" w:firstRow="1" w:lastRow="0" w:firstColumn="1" w:lastColumn="0" w:noHBand="0" w:noVBand="1"/>
      </w:tblPr>
      <w:tblGrid>
        <w:gridCol w:w="819"/>
        <w:gridCol w:w="1412"/>
        <w:gridCol w:w="988"/>
        <w:gridCol w:w="1145"/>
        <w:gridCol w:w="868"/>
        <w:gridCol w:w="1271"/>
        <w:gridCol w:w="1133"/>
        <w:gridCol w:w="836"/>
        <w:gridCol w:w="1729"/>
      </w:tblGrid>
      <w:tr w:rsidR="005208DC" w:rsidRPr="005208DC" w14:paraId="0871980A" w14:textId="77777777" w:rsidTr="00F51BF1">
        <w:tc>
          <w:tcPr>
            <w:tcW w:w="10201" w:type="dxa"/>
            <w:gridSpan w:val="9"/>
            <w:shd w:val="clear" w:color="auto" w:fill="E5DFEC" w:themeFill="accent4" w:themeFillTint="33"/>
          </w:tcPr>
          <w:p w14:paraId="7C87FFE9" w14:textId="07BB0384" w:rsidR="00E06E0F" w:rsidRPr="005208DC" w:rsidRDefault="00B2062A"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14:</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color w:val="0D0D0D" w:themeColor="text1" w:themeTint="F2"/>
                <w:sz w:val="22"/>
                <w:szCs w:val="22"/>
                <w:lang w:val="sq-AL"/>
              </w:rPr>
              <w:t>Diversifikimi i burimeve të energjisë përmes promovimit të burimeve të riperteritshme të energjisë dhe përmirësimit të eficencës energjetike</w:t>
            </w:r>
          </w:p>
        </w:tc>
      </w:tr>
      <w:tr w:rsidR="005208DC" w:rsidRPr="005208DC" w14:paraId="1D97F641" w14:textId="77777777" w:rsidTr="00F51BF1">
        <w:tc>
          <w:tcPr>
            <w:tcW w:w="845" w:type="dxa"/>
          </w:tcPr>
          <w:p w14:paraId="08E27DFF" w14:textId="441C07AC"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488" w:type="dxa"/>
          </w:tcPr>
          <w:p w14:paraId="74084240" w14:textId="02955E83"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qendror</w:t>
            </w:r>
          </w:p>
        </w:tc>
        <w:tc>
          <w:tcPr>
            <w:tcW w:w="999" w:type="dxa"/>
          </w:tcPr>
          <w:p w14:paraId="7BE28E4D" w14:textId="4B0C1F74" w:rsidR="00E06E0F" w:rsidRPr="005208DC" w:rsidRDefault="004D1F24"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vendor</w:t>
            </w:r>
          </w:p>
        </w:tc>
        <w:tc>
          <w:tcPr>
            <w:tcW w:w="993" w:type="dxa"/>
          </w:tcPr>
          <w:p w14:paraId="3D7A2652" w14:textId="0C31BB0E"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 xml:space="preserve">Burime të tjera </w:t>
            </w:r>
            <w:r w:rsidR="004D1F24" w:rsidRPr="005208DC">
              <w:rPr>
                <w:rFonts w:asciiTheme="majorBidi" w:hAnsiTheme="majorBidi" w:cstheme="majorBidi"/>
                <w:color w:val="0D0D0D" w:themeColor="text1" w:themeTint="F2"/>
                <w:sz w:val="22"/>
                <w:szCs w:val="22"/>
                <w:lang w:val="sq-AL"/>
              </w:rPr>
              <w:t>kombëtare</w:t>
            </w:r>
            <w:r w:rsidRPr="005208DC">
              <w:rPr>
                <w:rFonts w:asciiTheme="majorBidi" w:hAnsiTheme="majorBidi" w:cstheme="majorBidi"/>
                <w:color w:val="0D0D0D" w:themeColor="text1" w:themeTint="F2"/>
                <w:sz w:val="22"/>
                <w:szCs w:val="22"/>
                <w:lang w:val="sq-AL"/>
              </w:rPr>
              <w:t xml:space="preserve"> të financave publike</w:t>
            </w:r>
          </w:p>
        </w:tc>
        <w:tc>
          <w:tcPr>
            <w:tcW w:w="874" w:type="dxa"/>
          </w:tcPr>
          <w:p w14:paraId="121CE57E" w14:textId="22873F98"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Fondet IPA</w:t>
            </w:r>
          </w:p>
        </w:tc>
        <w:tc>
          <w:tcPr>
            <w:tcW w:w="1312" w:type="dxa"/>
          </w:tcPr>
          <w:p w14:paraId="799CD41C" w14:textId="156A3EE3"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Dhurime të tjera</w:t>
            </w:r>
          </w:p>
        </w:tc>
        <w:tc>
          <w:tcPr>
            <w:tcW w:w="947" w:type="dxa"/>
          </w:tcPr>
          <w:p w14:paraId="10821F00" w14:textId="580CD31E"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Hua projektesh</w:t>
            </w:r>
          </w:p>
        </w:tc>
        <w:tc>
          <w:tcPr>
            <w:tcW w:w="864" w:type="dxa"/>
          </w:tcPr>
          <w:p w14:paraId="6AEBFAF8"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TBD</w:t>
            </w:r>
          </w:p>
        </w:tc>
        <w:tc>
          <w:tcPr>
            <w:tcW w:w="1879" w:type="dxa"/>
          </w:tcPr>
          <w:p w14:paraId="7A07F03B" w14:textId="3CF667C5"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7A5948D0" w14:textId="77777777" w:rsidTr="00F51BF1">
        <w:tc>
          <w:tcPr>
            <w:tcW w:w="845" w:type="dxa"/>
          </w:tcPr>
          <w:p w14:paraId="69CEE7F7"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488" w:type="dxa"/>
          </w:tcPr>
          <w:p w14:paraId="41A5CC1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999" w:type="dxa"/>
          </w:tcPr>
          <w:p w14:paraId="109374A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993" w:type="dxa"/>
          </w:tcPr>
          <w:p w14:paraId="03EE425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874" w:type="dxa"/>
          </w:tcPr>
          <w:p w14:paraId="6674EFF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312" w:type="dxa"/>
            <w:vAlign w:val="bottom"/>
          </w:tcPr>
          <w:p w14:paraId="2F27563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947" w:type="dxa"/>
          </w:tcPr>
          <w:p w14:paraId="132424C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864" w:type="dxa"/>
            <w:shd w:val="clear" w:color="auto" w:fill="808080" w:themeFill="background1" w:themeFillShade="80"/>
          </w:tcPr>
          <w:p w14:paraId="6CA385C3" w14:textId="77777777" w:rsidR="00E06E0F" w:rsidRPr="005208DC" w:rsidRDefault="00E06E0F" w:rsidP="00857902">
            <w:pPr>
              <w:snapToGrid w:val="0"/>
              <w:jc w:val="center"/>
              <w:rPr>
                <w:rFonts w:asciiTheme="majorBidi" w:hAnsiTheme="majorBidi" w:cstheme="majorBidi"/>
                <w:color w:val="0D0D0D" w:themeColor="text1" w:themeTint="F2"/>
                <w:sz w:val="22"/>
                <w:szCs w:val="22"/>
                <w:lang w:val="sq-AL"/>
              </w:rPr>
            </w:pPr>
          </w:p>
        </w:tc>
        <w:tc>
          <w:tcPr>
            <w:tcW w:w="1879" w:type="dxa"/>
          </w:tcPr>
          <w:p w14:paraId="584F6EC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r w:rsidR="005208DC" w:rsidRPr="005208DC" w14:paraId="5C206D0F" w14:textId="77777777" w:rsidTr="00F51BF1">
        <w:tc>
          <w:tcPr>
            <w:tcW w:w="845" w:type="dxa"/>
          </w:tcPr>
          <w:p w14:paraId="4E4B5E2E"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488" w:type="dxa"/>
          </w:tcPr>
          <w:p w14:paraId="3C68E60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999" w:type="dxa"/>
          </w:tcPr>
          <w:p w14:paraId="1F4E444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993" w:type="dxa"/>
          </w:tcPr>
          <w:p w14:paraId="189F5E6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874" w:type="dxa"/>
          </w:tcPr>
          <w:p w14:paraId="34F51E6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312" w:type="dxa"/>
            <w:vAlign w:val="bottom"/>
          </w:tcPr>
          <w:p w14:paraId="3A9C743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947" w:type="dxa"/>
          </w:tcPr>
          <w:p w14:paraId="1F2251A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864" w:type="dxa"/>
          </w:tcPr>
          <w:p w14:paraId="02A3ED1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9" w:type="dxa"/>
          </w:tcPr>
          <w:p w14:paraId="65CBF26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r w:rsidR="005208DC" w:rsidRPr="005208DC" w14:paraId="05D3B348" w14:textId="77777777" w:rsidTr="00F51BF1">
        <w:tc>
          <w:tcPr>
            <w:tcW w:w="845" w:type="dxa"/>
          </w:tcPr>
          <w:p w14:paraId="6304B608"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488" w:type="dxa"/>
          </w:tcPr>
          <w:p w14:paraId="46C84C1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999" w:type="dxa"/>
          </w:tcPr>
          <w:p w14:paraId="0D1BD98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993" w:type="dxa"/>
          </w:tcPr>
          <w:p w14:paraId="0074313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874" w:type="dxa"/>
          </w:tcPr>
          <w:p w14:paraId="048FB39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312" w:type="dxa"/>
            <w:vAlign w:val="bottom"/>
          </w:tcPr>
          <w:p w14:paraId="17E86CD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947" w:type="dxa"/>
          </w:tcPr>
          <w:p w14:paraId="4AA424B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864" w:type="dxa"/>
          </w:tcPr>
          <w:p w14:paraId="162077C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879" w:type="dxa"/>
          </w:tcPr>
          <w:p w14:paraId="76A07C7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bl>
    <w:p w14:paraId="259180BD"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p>
    <w:tbl>
      <w:tblPr>
        <w:tblStyle w:val="TableGrid"/>
        <w:tblW w:w="10201" w:type="dxa"/>
        <w:shd w:val="clear" w:color="auto" w:fill="E5DFEC" w:themeFill="accent4" w:themeFillTint="33"/>
        <w:tblLayout w:type="fixed"/>
        <w:tblLook w:val="04A0" w:firstRow="1" w:lastRow="0" w:firstColumn="1" w:lastColumn="0" w:noHBand="0" w:noVBand="1"/>
      </w:tblPr>
      <w:tblGrid>
        <w:gridCol w:w="1070"/>
        <w:gridCol w:w="1070"/>
        <w:gridCol w:w="1071"/>
        <w:gridCol w:w="1070"/>
        <w:gridCol w:w="1071"/>
        <w:gridCol w:w="1070"/>
        <w:gridCol w:w="1071"/>
        <w:gridCol w:w="1070"/>
        <w:gridCol w:w="1638"/>
      </w:tblGrid>
      <w:tr w:rsidR="005208DC" w:rsidRPr="005208DC" w14:paraId="7C91C7C0" w14:textId="77777777" w:rsidTr="00F51BF1">
        <w:tc>
          <w:tcPr>
            <w:tcW w:w="10201" w:type="dxa"/>
            <w:gridSpan w:val="9"/>
            <w:shd w:val="clear" w:color="auto" w:fill="E5DFEC" w:themeFill="accent4" w:themeFillTint="33"/>
          </w:tcPr>
          <w:p w14:paraId="5A04933F" w14:textId="217AC586" w:rsidR="00E06E0F" w:rsidRPr="005208DC" w:rsidRDefault="00B2062A"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15:</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color w:val="0D0D0D" w:themeColor="text1" w:themeTint="F2"/>
                <w:sz w:val="22"/>
                <w:szCs w:val="22"/>
                <w:lang w:val="sq-AL"/>
              </w:rPr>
              <w:t>Rehabilitimi dhe ndërtimi i segmentit hekurudhor Durrës-TIA-Tiranë</w:t>
            </w:r>
          </w:p>
        </w:tc>
      </w:tr>
      <w:tr w:rsidR="005208DC" w:rsidRPr="005208DC" w14:paraId="0C90A2DC" w14:textId="77777777" w:rsidTr="00F51BF1">
        <w:tc>
          <w:tcPr>
            <w:tcW w:w="1070" w:type="dxa"/>
            <w:shd w:val="clear" w:color="auto" w:fill="auto"/>
          </w:tcPr>
          <w:p w14:paraId="7FA91837" w14:textId="19894FC1"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070" w:type="dxa"/>
            <w:shd w:val="clear" w:color="auto" w:fill="auto"/>
          </w:tcPr>
          <w:p w14:paraId="151305C5" w14:textId="32808832"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qendror</w:t>
            </w:r>
          </w:p>
        </w:tc>
        <w:tc>
          <w:tcPr>
            <w:tcW w:w="1071" w:type="dxa"/>
            <w:shd w:val="clear" w:color="auto" w:fill="auto"/>
          </w:tcPr>
          <w:p w14:paraId="15D11FED" w14:textId="7567F18C" w:rsidR="00E06E0F" w:rsidRPr="005208DC" w:rsidRDefault="004D1F24"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vendor</w:t>
            </w:r>
          </w:p>
        </w:tc>
        <w:tc>
          <w:tcPr>
            <w:tcW w:w="1070" w:type="dxa"/>
            <w:shd w:val="clear" w:color="auto" w:fill="auto"/>
          </w:tcPr>
          <w:p w14:paraId="12C273E8" w14:textId="71B16BCD"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 xml:space="preserve">Burime të tjera </w:t>
            </w:r>
            <w:r w:rsidR="004D1F24" w:rsidRPr="005208DC">
              <w:rPr>
                <w:rFonts w:asciiTheme="majorBidi" w:hAnsiTheme="majorBidi" w:cstheme="majorBidi"/>
                <w:color w:val="0D0D0D" w:themeColor="text1" w:themeTint="F2"/>
                <w:sz w:val="22"/>
                <w:szCs w:val="22"/>
                <w:lang w:val="sq-AL"/>
              </w:rPr>
              <w:t>kombëtare</w:t>
            </w:r>
            <w:r w:rsidRPr="005208DC">
              <w:rPr>
                <w:rFonts w:asciiTheme="majorBidi" w:hAnsiTheme="majorBidi" w:cstheme="majorBidi"/>
                <w:color w:val="0D0D0D" w:themeColor="text1" w:themeTint="F2"/>
                <w:sz w:val="22"/>
                <w:szCs w:val="22"/>
                <w:lang w:val="sq-AL"/>
              </w:rPr>
              <w:t xml:space="preserve"> të financave publike</w:t>
            </w:r>
          </w:p>
        </w:tc>
        <w:tc>
          <w:tcPr>
            <w:tcW w:w="1071" w:type="dxa"/>
            <w:shd w:val="clear" w:color="auto" w:fill="auto"/>
          </w:tcPr>
          <w:p w14:paraId="48E55695" w14:textId="34164D9A"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Fondet IPA</w:t>
            </w:r>
          </w:p>
        </w:tc>
        <w:tc>
          <w:tcPr>
            <w:tcW w:w="1070" w:type="dxa"/>
            <w:shd w:val="clear" w:color="auto" w:fill="auto"/>
          </w:tcPr>
          <w:p w14:paraId="21378106" w14:textId="6D27F0D9"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Dhurime të tjera</w:t>
            </w:r>
          </w:p>
        </w:tc>
        <w:tc>
          <w:tcPr>
            <w:tcW w:w="1071" w:type="dxa"/>
            <w:shd w:val="clear" w:color="auto" w:fill="auto"/>
          </w:tcPr>
          <w:p w14:paraId="695D966C" w14:textId="0D7263E6"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Hua projektesh</w:t>
            </w:r>
          </w:p>
        </w:tc>
        <w:tc>
          <w:tcPr>
            <w:tcW w:w="1070" w:type="dxa"/>
            <w:shd w:val="clear" w:color="auto" w:fill="auto"/>
          </w:tcPr>
          <w:p w14:paraId="4660A5DE"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TBD</w:t>
            </w:r>
          </w:p>
        </w:tc>
        <w:tc>
          <w:tcPr>
            <w:tcW w:w="1638" w:type="dxa"/>
            <w:shd w:val="clear" w:color="auto" w:fill="auto"/>
          </w:tcPr>
          <w:p w14:paraId="04C8206D" w14:textId="60E98E4F"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3AAAE2A5" w14:textId="77777777" w:rsidTr="00F51BF1">
        <w:tc>
          <w:tcPr>
            <w:tcW w:w="1070" w:type="dxa"/>
            <w:shd w:val="clear" w:color="auto" w:fill="auto"/>
          </w:tcPr>
          <w:p w14:paraId="23C47A4F"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070" w:type="dxa"/>
            <w:shd w:val="clear" w:color="auto" w:fill="auto"/>
          </w:tcPr>
          <w:p w14:paraId="4394FEDE" w14:textId="4DB424AB"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6.06</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mn</w:t>
            </w:r>
          </w:p>
        </w:tc>
        <w:tc>
          <w:tcPr>
            <w:tcW w:w="1071" w:type="dxa"/>
            <w:shd w:val="clear" w:color="auto" w:fill="auto"/>
          </w:tcPr>
          <w:p w14:paraId="46026024" w14:textId="0B0EE914"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6.06</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mn</w:t>
            </w:r>
          </w:p>
        </w:tc>
        <w:tc>
          <w:tcPr>
            <w:tcW w:w="1070" w:type="dxa"/>
            <w:shd w:val="clear" w:color="auto" w:fill="auto"/>
          </w:tcPr>
          <w:p w14:paraId="642F289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1" w:type="dxa"/>
            <w:shd w:val="clear" w:color="auto" w:fill="auto"/>
          </w:tcPr>
          <w:p w14:paraId="0034BE5D" w14:textId="4B22AFC8"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26</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mn</w:t>
            </w:r>
          </w:p>
        </w:tc>
        <w:tc>
          <w:tcPr>
            <w:tcW w:w="1070" w:type="dxa"/>
            <w:shd w:val="clear" w:color="auto" w:fill="auto"/>
          </w:tcPr>
          <w:p w14:paraId="0277AE49" w14:textId="0164F280"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10.65</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mn</w:t>
            </w:r>
          </w:p>
        </w:tc>
        <w:tc>
          <w:tcPr>
            <w:tcW w:w="1071" w:type="dxa"/>
            <w:shd w:val="clear" w:color="auto" w:fill="auto"/>
          </w:tcPr>
          <w:p w14:paraId="4465D859" w14:textId="5CE85533"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36.87</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mn</w:t>
            </w:r>
          </w:p>
        </w:tc>
        <w:tc>
          <w:tcPr>
            <w:tcW w:w="1070" w:type="dxa"/>
            <w:shd w:val="clear" w:color="auto" w:fill="auto"/>
          </w:tcPr>
          <w:p w14:paraId="1229AE8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38" w:type="dxa"/>
            <w:shd w:val="clear" w:color="auto" w:fill="auto"/>
          </w:tcPr>
          <w:p w14:paraId="641953A6" w14:textId="644D8E2C"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79.58</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mn</w:t>
            </w:r>
          </w:p>
        </w:tc>
      </w:tr>
      <w:tr w:rsidR="005208DC" w:rsidRPr="005208DC" w14:paraId="5EAC64DF" w14:textId="77777777" w:rsidTr="00F51BF1">
        <w:tc>
          <w:tcPr>
            <w:tcW w:w="1070" w:type="dxa"/>
            <w:shd w:val="clear" w:color="auto" w:fill="auto"/>
          </w:tcPr>
          <w:p w14:paraId="48C59787"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070" w:type="dxa"/>
            <w:shd w:val="clear" w:color="auto" w:fill="auto"/>
          </w:tcPr>
          <w:p w14:paraId="5F52E9BC" w14:textId="4E48FB70"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5</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mn</w:t>
            </w:r>
          </w:p>
        </w:tc>
        <w:tc>
          <w:tcPr>
            <w:tcW w:w="1071" w:type="dxa"/>
            <w:shd w:val="clear" w:color="auto" w:fill="auto"/>
          </w:tcPr>
          <w:p w14:paraId="0ADDCD6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0" w:type="dxa"/>
            <w:shd w:val="clear" w:color="auto" w:fill="auto"/>
          </w:tcPr>
          <w:p w14:paraId="7A1CD44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1" w:type="dxa"/>
            <w:shd w:val="clear" w:color="auto" w:fill="auto"/>
          </w:tcPr>
          <w:p w14:paraId="3F08CA6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0" w:type="dxa"/>
            <w:shd w:val="clear" w:color="auto" w:fill="auto"/>
          </w:tcPr>
          <w:p w14:paraId="4F49181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870k</w:t>
            </w:r>
          </w:p>
        </w:tc>
        <w:tc>
          <w:tcPr>
            <w:tcW w:w="1071" w:type="dxa"/>
            <w:shd w:val="clear" w:color="auto" w:fill="auto"/>
          </w:tcPr>
          <w:p w14:paraId="422E52A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0" w:type="dxa"/>
            <w:shd w:val="clear" w:color="auto" w:fill="auto"/>
          </w:tcPr>
          <w:p w14:paraId="06255C7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38" w:type="dxa"/>
            <w:shd w:val="clear" w:color="auto" w:fill="auto"/>
          </w:tcPr>
          <w:p w14:paraId="6257D5A7" w14:textId="7819FEE2"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5.87</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mn</w:t>
            </w:r>
          </w:p>
        </w:tc>
      </w:tr>
      <w:tr w:rsidR="005208DC" w:rsidRPr="005208DC" w14:paraId="040156DB" w14:textId="77777777" w:rsidTr="00F51BF1">
        <w:tc>
          <w:tcPr>
            <w:tcW w:w="1070" w:type="dxa"/>
            <w:shd w:val="clear" w:color="auto" w:fill="auto"/>
          </w:tcPr>
          <w:p w14:paraId="16A6ACDC"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070" w:type="dxa"/>
            <w:shd w:val="clear" w:color="auto" w:fill="auto"/>
          </w:tcPr>
          <w:p w14:paraId="13423257" w14:textId="70A54333"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5</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mn</w:t>
            </w:r>
          </w:p>
        </w:tc>
        <w:tc>
          <w:tcPr>
            <w:tcW w:w="1071" w:type="dxa"/>
            <w:shd w:val="clear" w:color="auto" w:fill="auto"/>
          </w:tcPr>
          <w:p w14:paraId="6D91F2D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0" w:type="dxa"/>
            <w:shd w:val="clear" w:color="auto" w:fill="auto"/>
          </w:tcPr>
          <w:p w14:paraId="131E2E0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1" w:type="dxa"/>
            <w:shd w:val="clear" w:color="auto" w:fill="auto"/>
          </w:tcPr>
          <w:p w14:paraId="07D76E4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0" w:type="dxa"/>
            <w:shd w:val="clear" w:color="auto" w:fill="auto"/>
          </w:tcPr>
          <w:p w14:paraId="6EAE36B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1" w:type="dxa"/>
            <w:shd w:val="clear" w:color="auto" w:fill="auto"/>
          </w:tcPr>
          <w:p w14:paraId="2C75E8A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70" w:type="dxa"/>
            <w:shd w:val="clear" w:color="auto" w:fill="auto"/>
          </w:tcPr>
          <w:p w14:paraId="426BA80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38" w:type="dxa"/>
            <w:shd w:val="clear" w:color="auto" w:fill="auto"/>
          </w:tcPr>
          <w:p w14:paraId="371A38C9" w14:textId="7045089E"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5</w:t>
            </w:r>
            <w:r w:rsidR="000B0C45" w:rsidRPr="005208DC">
              <w:rPr>
                <w:rFonts w:asciiTheme="majorBidi" w:hAnsiTheme="majorBidi" w:cstheme="majorBidi"/>
                <w:color w:val="0D0D0D" w:themeColor="text1" w:themeTint="F2"/>
                <w:sz w:val="22"/>
                <w:szCs w:val="22"/>
                <w:lang w:val="sq-AL"/>
              </w:rPr>
              <w:t xml:space="preserve"> </w:t>
            </w:r>
            <w:r w:rsidRPr="005208DC">
              <w:rPr>
                <w:rFonts w:asciiTheme="majorBidi" w:hAnsiTheme="majorBidi" w:cstheme="majorBidi"/>
                <w:color w:val="0D0D0D" w:themeColor="text1" w:themeTint="F2"/>
                <w:sz w:val="22"/>
                <w:szCs w:val="22"/>
                <w:lang w:val="sq-AL"/>
              </w:rPr>
              <w:t>mn</w:t>
            </w:r>
          </w:p>
        </w:tc>
      </w:tr>
    </w:tbl>
    <w:p w14:paraId="426DCF3F"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p>
    <w:tbl>
      <w:tblPr>
        <w:tblStyle w:val="TableGrid"/>
        <w:tblW w:w="10201" w:type="dxa"/>
        <w:tblLook w:val="04A0" w:firstRow="1" w:lastRow="0" w:firstColumn="1" w:lastColumn="0" w:noHBand="0" w:noVBand="1"/>
      </w:tblPr>
      <w:tblGrid>
        <w:gridCol w:w="1045"/>
        <w:gridCol w:w="1061"/>
        <w:gridCol w:w="1062"/>
        <w:gridCol w:w="1145"/>
        <w:gridCol w:w="1057"/>
        <w:gridCol w:w="1066"/>
        <w:gridCol w:w="1133"/>
        <w:gridCol w:w="1046"/>
        <w:gridCol w:w="1586"/>
      </w:tblGrid>
      <w:tr w:rsidR="005208DC" w:rsidRPr="005208DC" w14:paraId="6E8CC01E" w14:textId="77777777" w:rsidTr="00F51BF1">
        <w:tc>
          <w:tcPr>
            <w:tcW w:w="10201" w:type="dxa"/>
            <w:gridSpan w:val="9"/>
            <w:shd w:val="clear" w:color="auto" w:fill="E5DFEC" w:themeFill="accent4" w:themeFillTint="33"/>
          </w:tcPr>
          <w:p w14:paraId="09B48CDD" w14:textId="7EABFCCE" w:rsidR="00E06E0F" w:rsidRPr="005208DC" w:rsidRDefault="00B2062A"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16:</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color w:val="0D0D0D" w:themeColor="text1" w:themeTint="F2"/>
                <w:sz w:val="22"/>
                <w:szCs w:val="22"/>
                <w:lang w:val="sq-AL"/>
              </w:rPr>
              <w:t>Marina më të mira dhe qeverisje dhe shërbime detare</w:t>
            </w:r>
          </w:p>
        </w:tc>
      </w:tr>
      <w:tr w:rsidR="005208DC" w:rsidRPr="005208DC" w14:paraId="64058DA1" w14:textId="77777777" w:rsidTr="00F51BF1">
        <w:tc>
          <w:tcPr>
            <w:tcW w:w="1070" w:type="dxa"/>
          </w:tcPr>
          <w:p w14:paraId="28B323D4" w14:textId="08A45DFE"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070" w:type="dxa"/>
          </w:tcPr>
          <w:p w14:paraId="7B724943" w14:textId="7838AA87"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qendror</w:t>
            </w:r>
          </w:p>
        </w:tc>
        <w:tc>
          <w:tcPr>
            <w:tcW w:w="1071" w:type="dxa"/>
          </w:tcPr>
          <w:p w14:paraId="6A7199F4" w14:textId="3A415602" w:rsidR="00E06E0F" w:rsidRPr="005208DC" w:rsidRDefault="004D1F24"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vendor</w:t>
            </w:r>
          </w:p>
        </w:tc>
        <w:tc>
          <w:tcPr>
            <w:tcW w:w="1070" w:type="dxa"/>
          </w:tcPr>
          <w:p w14:paraId="232C2758" w14:textId="08FB83C2"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 xml:space="preserve">Burime të tjera </w:t>
            </w:r>
            <w:r w:rsidR="004D1F24" w:rsidRPr="005208DC">
              <w:rPr>
                <w:rFonts w:asciiTheme="majorBidi" w:hAnsiTheme="majorBidi" w:cstheme="majorBidi"/>
                <w:color w:val="0D0D0D" w:themeColor="text1" w:themeTint="F2"/>
                <w:sz w:val="22"/>
                <w:szCs w:val="22"/>
                <w:lang w:val="sq-AL"/>
              </w:rPr>
              <w:t>kombëtare</w:t>
            </w:r>
            <w:r w:rsidRPr="005208DC">
              <w:rPr>
                <w:rFonts w:asciiTheme="majorBidi" w:hAnsiTheme="majorBidi" w:cstheme="majorBidi"/>
                <w:color w:val="0D0D0D" w:themeColor="text1" w:themeTint="F2"/>
                <w:sz w:val="22"/>
                <w:szCs w:val="22"/>
                <w:lang w:val="sq-AL"/>
              </w:rPr>
              <w:t xml:space="preserve"> të financave publike</w:t>
            </w:r>
          </w:p>
        </w:tc>
        <w:tc>
          <w:tcPr>
            <w:tcW w:w="1071" w:type="dxa"/>
          </w:tcPr>
          <w:p w14:paraId="6FEE1E8D" w14:textId="1985786E"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Fondet IPA</w:t>
            </w:r>
          </w:p>
        </w:tc>
        <w:tc>
          <w:tcPr>
            <w:tcW w:w="1070" w:type="dxa"/>
          </w:tcPr>
          <w:p w14:paraId="1D170149" w14:textId="7C1A9503"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Dhurime të tjera</w:t>
            </w:r>
          </w:p>
        </w:tc>
        <w:tc>
          <w:tcPr>
            <w:tcW w:w="1071" w:type="dxa"/>
          </w:tcPr>
          <w:p w14:paraId="1698FCF4" w14:textId="5DA9B9D9"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Hua projektesh</w:t>
            </w:r>
          </w:p>
        </w:tc>
        <w:tc>
          <w:tcPr>
            <w:tcW w:w="1070" w:type="dxa"/>
          </w:tcPr>
          <w:p w14:paraId="062CCF4C"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TBD</w:t>
            </w:r>
          </w:p>
        </w:tc>
        <w:tc>
          <w:tcPr>
            <w:tcW w:w="1638" w:type="dxa"/>
          </w:tcPr>
          <w:p w14:paraId="001941FF" w14:textId="17E825D9"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3ADEDB79" w14:textId="77777777" w:rsidTr="00F51BF1">
        <w:tc>
          <w:tcPr>
            <w:tcW w:w="1070" w:type="dxa"/>
          </w:tcPr>
          <w:p w14:paraId="441749F5"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070" w:type="dxa"/>
            <w:vAlign w:val="center"/>
          </w:tcPr>
          <w:p w14:paraId="4C7D15C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vAlign w:val="center"/>
          </w:tcPr>
          <w:p w14:paraId="75B8F14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vAlign w:val="center"/>
          </w:tcPr>
          <w:p w14:paraId="530CC19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vAlign w:val="center"/>
          </w:tcPr>
          <w:p w14:paraId="2B6B189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vAlign w:val="center"/>
          </w:tcPr>
          <w:p w14:paraId="469C34A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vAlign w:val="center"/>
          </w:tcPr>
          <w:p w14:paraId="719D8B1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shd w:val="clear" w:color="auto" w:fill="808080" w:themeFill="background1" w:themeFillShade="80"/>
            <w:vAlign w:val="center"/>
          </w:tcPr>
          <w:p w14:paraId="43ECEA2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38" w:type="dxa"/>
            <w:vAlign w:val="center"/>
          </w:tcPr>
          <w:p w14:paraId="72E0F33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r w:rsidR="005208DC" w:rsidRPr="005208DC" w14:paraId="53A6428F" w14:textId="77777777" w:rsidTr="00F51BF1">
        <w:tc>
          <w:tcPr>
            <w:tcW w:w="1070" w:type="dxa"/>
          </w:tcPr>
          <w:p w14:paraId="129672D2"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070" w:type="dxa"/>
            <w:vAlign w:val="center"/>
          </w:tcPr>
          <w:p w14:paraId="30BFAF2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vAlign w:val="center"/>
          </w:tcPr>
          <w:p w14:paraId="44AFC60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vAlign w:val="center"/>
          </w:tcPr>
          <w:p w14:paraId="264D10B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vAlign w:val="center"/>
          </w:tcPr>
          <w:p w14:paraId="75867D2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vAlign w:val="center"/>
          </w:tcPr>
          <w:p w14:paraId="437CA1C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vAlign w:val="center"/>
          </w:tcPr>
          <w:p w14:paraId="1F5824E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vAlign w:val="center"/>
          </w:tcPr>
          <w:p w14:paraId="138C1C7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38" w:type="dxa"/>
            <w:vAlign w:val="center"/>
          </w:tcPr>
          <w:p w14:paraId="012DC33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r w:rsidR="005208DC" w:rsidRPr="005208DC" w14:paraId="5947DDD3" w14:textId="77777777" w:rsidTr="00F51BF1">
        <w:tc>
          <w:tcPr>
            <w:tcW w:w="1070" w:type="dxa"/>
          </w:tcPr>
          <w:p w14:paraId="2C544949"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070" w:type="dxa"/>
            <w:vAlign w:val="center"/>
          </w:tcPr>
          <w:p w14:paraId="388C329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vAlign w:val="center"/>
          </w:tcPr>
          <w:p w14:paraId="757D7FC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vAlign w:val="center"/>
          </w:tcPr>
          <w:p w14:paraId="6A9AF21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vAlign w:val="center"/>
          </w:tcPr>
          <w:p w14:paraId="55465A9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vAlign w:val="center"/>
          </w:tcPr>
          <w:p w14:paraId="070EEEF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1" w:type="dxa"/>
            <w:vAlign w:val="center"/>
          </w:tcPr>
          <w:p w14:paraId="62F30AF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070" w:type="dxa"/>
            <w:vAlign w:val="center"/>
          </w:tcPr>
          <w:p w14:paraId="20F99D20"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c>
          <w:tcPr>
            <w:tcW w:w="1638" w:type="dxa"/>
            <w:vAlign w:val="center"/>
          </w:tcPr>
          <w:p w14:paraId="230D88D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p>
        </w:tc>
      </w:tr>
    </w:tbl>
    <w:p w14:paraId="3515BE32"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p>
    <w:tbl>
      <w:tblPr>
        <w:tblStyle w:val="TableGrid"/>
        <w:tblW w:w="10201" w:type="dxa"/>
        <w:tblLook w:val="04A0" w:firstRow="1" w:lastRow="0" w:firstColumn="1" w:lastColumn="0" w:noHBand="0" w:noVBand="1"/>
      </w:tblPr>
      <w:tblGrid>
        <w:gridCol w:w="1037"/>
        <w:gridCol w:w="1059"/>
        <w:gridCol w:w="1058"/>
        <w:gridCol w:w="1145"/>
        <w:gridCol w:w="1050"/>
        <w:gridCol w:w="1061"/>
        <w:gridCol w:w="1133"/>
        <w:gridCol w:w="1036"/>
        <w:gridCol w:w="1622"/>
      </w:tblGrid>
      <w:tr w:rsidR="005208DC" w:rsidRPr="005208DC" w14:paraId="72AB4B9D" w14:textId="77777777" w:rsidTr="00F51BF1">
        <w:tc>
          <w:tcPr>
            <w:tcW w:w="10201" w:type="dxa"/>
            <w:gridSpan w:val="9"/>
            <w:shd w:val="clear" w:color="auto" w:fill="E5DFEC" w:themeFill="accent4" w:themeFillTint="33"/>
          </w:tcPr>
          <w:p w14:paraId="1E2E5623" w14:textId="571101CB" w:rsidR="00E06E0F" w:rsidRPr="005208DC" w:rsidRDefault="00B2062A"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17:</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color w:val="0D0D0D" w:themeColor="text1" w:themeTint="F2"/>
                <w:sz w:val="22"/>
                <w:szCs w:val="22"/>
                <w:lang w:val="sq-AL"/>
              </w:rPr>
              <w:t>Mbështetja e zbatimit të reformës kurrikulare para universitare dhe trajnimit të mësuesve</w:t>
            </w:r>
          </w:p>
        </w:tc>
      </w:tr>
      <w:tr w:rsidR="005208DC" w:rsidRPr="005208DC" w14:paraId="19D89AB0" w14:textId="77777777" w:rsidTr="00F51BF1">
        <w:tc>
          <w:tcPr>
            <w:tcW w:w="1066" w:type="dxa"/>
          </w:tcPr>
          <w:p w14:paraId="3080AA24" w14:textId="0BDD80EF"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069" w:type="dxa"/>
          </w:tcPr>
          <w:p w14:paraId="530BF454" w14:textId="712CF6C5"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qendror</w:t>
            </w:r>
          </w:p>
        </w:tc>
        <w:tc>
          <w:tcPr>
            <w:tcW w:w="1069" w:type="dxa"/>
          </w:tcPr>
          <w:p w14:paraId="0CA91EC6" w14:textId="05F9049F" w:rsidR="00E06E0F" w:rsidRPr="005208DC" w:rsidRDefault="004D1F24"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vendor</w:t>
            </w:r>
          </w:p>
        </w:tc>
        <w:tc>
          <w:tcPr>
            <w:tcW w:w="1068" w:type="dxa"/>
          </w:tcPr>
          <w:p w14:paraId="4F0E46C1" w14:textId="27E3A1C5"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 xml:space="preserve">Burime të tjera </w:t>
            </w:r>
            <w:r w:rsidR="004D1F24" w:rsidRPr="005208DC">
              <w:rPr>
                <w:rFonts w:asciiTheme="majorBidi" w:hAnsiTheme="majorBidi" w:cstheme="majorBidi"/>
                <w:color w:val="0D0D0D" w:themeColor="text1" w:themeTint="F2"/>
                <w:sz w:val="22"/>
                <w:szCs w:val="22"/>
                <w:lang w:val="sq-AL"/>
              </w:rPr>
              <w:t>kombëtare</w:t>
            </w:r>
            <w:r w:rsidRPr="005208DC">
              <w:rPr>
                <w:rFonts w:asciiTheme="majorBidi" w:hAnsiTheme="majorBidi" w:cstheme="majorBidi"/>
                <w:color w:val="0D0D0D" w:themeColor="text1" w:themeTint="F2"/>
                <w:sz w:val="22"/>
                <w:szCs w:val="22"/>
                <w:lang w:val="sq-AL"/>
              </w:rPr>
              <w:t xml:space="preserve"> të financave publike</w:t>
            </w:r>
          </w:p>
        </w:tc>
        <w:tc>
          <w:tcPr>
            <w:tcW w:w="1067" w:type="dxa"/>
          </w:tcPr>
          <w:p w14:paraId="71BD361F" w14:textId="672E6D2C"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Fondet IPA</w:t>
            </w:r>
          </w:p>
        </w:tc>
        <w:tc>
          <w:tcPr>
            <w:tcW w:w="1066" w:type="dxa"/>
          </w:tcPr>
          <w:p w14:paraId="02D24591" w14:textId="289102B8"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Dhurime të tjera</w:t>
            </w:r>
          </w:p>
        </w:tc>
        <w:tc>
          <w:tcPr>
            <w:tcW w:w="1068" w:type="dxa"/>
          </w:tcPr>
          <w:p w14:paraId="57C37A5B" w14:textId="1835DF16"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Hua projektesh</w:t>
            </w:r>
          </w:p>
        </w:tc>
        <w:tc>
          <w:tcPr>
            <w:tcW w:w="1065" w:type="dxa"/>
          </w:tcPr>
          <w:p w14:paraId="0139D520"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TBD</w:t>
            </w:r>
          </w:p>
        </w:tc>
        <w:tc>
          <w:tcPr>
            <w:tcW w:w="1663" w:type="dxa"/>
          </w:tcPr>
          <w:p w14:paraId="22B1CB7F" w14:textId="73411AD1"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118F4D55" w14:textId="77777777" w:rsidTr="00F51BF1">
        <w:tc>
          <w:tcPr>
            <w:tcW w:w="1066" w:type="dxa"/>
          </w:tcPr>
          <w:p w14:paraId="25B2FEDC"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069" w:type="dxa"/>
            <w:vAlign w:val="center"/>
          </w:tcPr>
          <w:p w14:paraId="5EE8007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196,851</w:t>
            </w:r>
          </w:p>
        </w:tc>
        <w:tc>
          <w:tcPr>
            <w:tcW w:w="1069" w:type="dxa"/>
            <w:vAlign w:val="center"/>
          </w:tcPr>
          <w:p w14:paraId="0567DDA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68" w:type="dxa"/>
            <w:vAlign w:val="center"/>
          </w:tcPr>
          <w:p w14:paraId="7CAFBCE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67" w:type="dxa"/>
            <w:vAlign w:val="center"/>
          </w:tcPr>
          <w:p w14:paraId="7CEE538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66" w:type="dxa"/>
            <w:vAlign w:val="center"/>
          </w:tcPr>
          <w:p w14:paraId="5E06BCF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68" w:type="dxa"/>
            <w:vAlign w:val="center"/>
          </w:tcPr>
          <w:p w14:paraId="438BB9E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65" w:type="dxa"/>
            <w:shd w:val="clear" w:color="auto" w:fill="808080" w:themeFill="background1" w:themeFillShade="80"/>
            <w:vAlign w:val="center"/>
          </w:tcPr>
          <w:p w14:paraId="6268986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663" w:type="dxa"/>
            <w:vAlign w:val="center"/>
          </w:tcPr>
          <w:p w14:paraId="61ABA96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196,851.1</w:t>
            </w:r>
          </w:p>
        </w:tc>
      </w:tr>
      <w:tr w:rsidR="005208DC" w:rsidRPr="005208DC" w14:paraId="616DEB08" w14:textId="77777777" w:rsidTr="00F51BF1">
        <w:tc>
          <w:tcPr>
            <w:tcW w:w="1066" w:type="dxa"/>
          </w:tcPr>
          <w:p w14:paraId="41967917"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069" w:type="dxa"/>
            <w:vAlign w:val="center"/>
          </w:tcPr>
          <w:p w14:paraId="44B03E9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383,936</w:t>
            </w:r>
          </w:p>
        </w:tc>
        <w:tc>
          <w:tcPr>
            <w:tcW w:w="1069" w:type="dxa"/>
            <w:vAlign w:val="center"/>
          </w:tcPr>
          <w:p w14:paraId="385D515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68" w:type="dxa"/>
            <w:vAlign w:val="center"/>
          </w:tcPr>
          <w:p w14:paraId="6F072CF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67" w:type="dxa"/>
            <w:vAlign w:val="center"/>
          </w:tcPr>
          <w:p w14:paraId="01549A7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66" w:type="dxa"/>
            <w:vAlign w:val="center"/>
          </w:tcPr>
          <w:p w14:paraId="25B734A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68" w:type="dxa"/>
            <w:vAlign w:val="center"/>
          </w:tcPr>
          <w:p w14:paraId="006CC27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65" w:type="dxa"/>
            <w:vAlign w:val="center"/>
          </w:tcPr>
          <w:p w14:paraId="676C361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663" w:type="dxa"/>
            <w:vAlign w:val="center"/>
          </w:tcPr>
          <w:p w14:paraId="3D64DC8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383,936.0</w:t>
            </w:r>
          </w:p>
        </w:tc>
      </w:tr>
      <w:tr w:rsidR="005208DC" w:rsidRPr="005208DC" w14:paraId="7F352CE8" w14:textId="77777777" w:rsidTr="00F51BF1">
        <w:tc>
          <w:tcPr>
            <w:tcW w:w="1066" w:type="dxa"/>
          </w:tcPr>
          <w:p w14:paraId="50DE7BA1"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069" w:type="dxa"/>
            <w:vAlign w:val="center"/>
          </w:tcPr>
          <w:p w14:paraId="0239B4A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541,722</w:t>
            </w:r>
          </w:p>
        </w:tc>
        <w:tc>
          <w:tcPr>
            <w:tcW w:w="1069" w:type="dxa"/>
            <w:vAlign w:val="center"/>
          </w:tcPr>
          <w:p w14:paraId="7AD3D9A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68" w:type="dxa"/>
            <w:vAlign w:val="center"/>
          </w:tcPr>
          <w:p w14:paraId="2C51F95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67" w:type="dxa"/>
            <w:vAlign w:val="center"/>
          </w:tcPr>
          <w:p w14:paraId="5FD68FE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66" w:type="dxa"/>
            <w:vAlign w:val="center"/>
          </w:tcPr>
          <w:p w14:paraId="455CB92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68" w:type="dxa"/>
            <w:vAlign w:val="center"/>
          </w:tcPr>
          <w:p w14:paraId="113844F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065" w:type="dxa"/>
            <w:vAlign w:val="center"/>
          </w:tcPr>
          <w:p w14:paraId="36BAA73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0</w:t>
            </w:r>
          </w:p>
        </w:tc>
        <w:tc>
          <w:tcPr>
            <w:tcW w:w="1663" w:type="dxa"/>
            <w:vAlign w:val="center"/>
          </w:tcPr>
          <w:p w14:paraId="31AE1A5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541,722.0</w:t>
            </w:r>
          </w:p>
        </w:tc>
      </w:tr>
    </w:tbl>
    <w:p w14:paraId="3608AE0D"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p>
    <w:tbl>
      <w:tblPr>
        <w:tblStyle w:val="TableGrid"/>
        <w:tblW w:w="10201" w:type="dxa"/>
        <w:tblLook w:val="04A0" w:firstRow="1" w:lastRow="0" w:firstColumn="1" w:lastColumn="0" w:noHBand="0" w:noVBand="1"/>
      </w:tblPr>
      <w:tblGrid>
        <w:gridCol w:w="1027"/>
        <w:gridCol w:w="1096"/>
        <w:gridCol w:w="1056"/>
        <w:gridCol w:w="1145"/>
        <w:gridCol w:w="1043"/>
        <w:gridCol w:w="1057"/>
        <w:gridCol w:w="1133"/>
        <w:gridCol w:w="1027"/>
        <w:gridCol w:w="1617"/>
      </w:tblGrid>
      <w:tr w:rsidR="005208DC" w:rsidRPr="005208DC" w14:paraId="49AC5900" w14:textId="77777777" w:rsidTr="00F51BF1">
        <w:tc>
          <w:tcPr>
            <w:tcW w:w="10201" w:type="dxa"/>
            <w:gridSpan w:val="9"/>
            <w:shd w:val="clear" w:color="auto" w:fill="E5DFEC" w:themeFill="accent4" w:themeFillTint="33"/>
          </w:tcPr>
          <w:p w14:paraId="060A069D" w14:textId="59E49392" w:rsidR="00E06E0F" w:rsidRPr="005208DC" w:rsidRDefault="00B2062A"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18:</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color w:val="0D0D0D" w:themeColor="text1" w:themeTint="F2"/>
                <w:sz w:val="22"/>
                <w:szCs w:val="22"/>
                <w:lang w:val="sq-AL"/>
              </w:rPr>
              <w:t>Gjithë përfshirja dhe barazia në arsim</w:t>
            </w:r>
          </w:p>
        </w:tc>
      </w:tr>
      <w:tr w:rsidR="005208DC" w:rsidRPr="005208DC" w14:paraId="51F0E324" w14:textId="77777777" w:rsidTr="00F51BF1">
        <w:tc>
          <w:tcPr>
            <w:tcW w:w="1059" w:type="dxa"/>
          </w:tcPr>
          <w:p w14:paraId="73DF3608" w14:textId="0594C85A"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096" w:type="dxa"/>
          </w:tcPr>
          <w:p w14:paraId="5528B35C" w14:textId="61FAE63D"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qendror</w:t>
            </w:r>
          </w:p>
        </w:tc>
        <w:tc>
          <w:tcPr>
            <w:tcW w:w="1068" w:type="dxa"/>
          </w:tcPr>
          <w:p w14:paraId="1575C457" w14:textId="6531039C" w:rsidR="00E06E0F" w:rsidRPr="005208DC" w:rsidRDefault="004D1F24"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vendor</w:t>
            </w:r>
          </w:p>
        </w:tc>
        <w:tc>
          <w:tcPr>
            <w:tcW w:w="1066" w:type="dxa"/>
          </w:tcPr>
          <w:p w14:paraId="61F9F101" w14:textId="3FB61009"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 xml:space="preserve">Burime të tjera </w:t>
            </w:r>
            <w:r w:rsidR="004D1F24" w:rsidRPr="005208DC">
              <w:rPr>
                <w:rFonts w:asciiTheme="majorBidi" w:hAnsiTheme="majorBidi" w:cstheme="majorBidi"/>
                <w:color w:val="0D0D0D" w:themeColor="text1" w:themeTint="F2"/>
                <w:sz w:val="22"/>
                <w:szCs w:val="22"/>
                <w:lang w:val="sq-AL"/>
              </w:rPr>
              <w:t>kombëtare</w:t>
            </w:r>
            <w:r w:rsidRPr="005208DC">
              <w:rPr>
                <w:rFonts w:asciiTheme="majorBidi" w:hAnsiTheme="majorBidi" w:cstheme="majorBidi"/>
                <w:color w:val="0D0D0D" w:themeColor="text1" w:themeTint="F2"/>
                <w:sz w:val="22"/>
                <w:szCs w:val="22"/>
                <w:lang w:val="sq-AL"/>
              </w:rPr>
              <w:t xml:space="preserve"> të financave publike</w:t>
            </w:r>
          </w:p>
        </w:tc>
        <w:tc>
          <w:tcPr>
            <w:tcW w:w="1062" w:type="dxa"/>
          </w:tcPr>
          <w:p w14:paraId="4C9FA46E" w14:textId="761C36B4"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Fondet IPA</w:t>
            </w:r>
          </w:p>
        </w:tc>
        <w:tc>
          <w:tcPr>
            <w:tcW w:w="1062" w:type="dxa"/>
          </w:tcPr>
          <w:p w14:paraId="2373ED79" w14:textId="5B75A44F"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Dhurime të tjera</w:t>
            </w:r>
          </w:p>
        </w:tc>
        <w:tc>
          <w:tcPr>
            <w:tcW w:w="1065" w:type="dxa"/>
          </w:tcPr>
          <w:p w14:paraId="316A08CF" w14:textId="7AB7303E"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Hua projektesh</w:t>
            </w:r>
          </w:p>
        </w:tc>
        <w:tc>
          <w:tcPr>
            <w:tcW w:w="1060" w:type="dxa"/>
          </w:tcPr>
          <w:p w14:paraId="4BE0BC79"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TBD</w:t>
            </w:r>
          </w:p>
        </w:tc>
        <w:tc>
          <w:tcPr>
            <w:tcW w:w="1663" w:type="dxa"/>
          </w:tcPr>
          <w:p w14:paraId="07AB4E8B" w14:textId="0392AD22"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76D0AE63" w14:textId="77777777" w:rsidTr="00F51BF1">
        <w:tc>
          <w:tcPr>
            <w:tcW w:w="1059" w:type="dxa"/>
          </w:tcPr>
          <w:p w14:paraId="2146C235"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096" w:type="dxa"/>
            <w:vAlign w:val="center"/>
          </w:tcPr>
          <w:p w14:paraId="329534D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171,353.0</w:t>
            </w:r>
          </w:p>
        </w:tc>
        <w:tc>
          <w:tcPr>
            <w:tcW w:w="1068" w:type="dxa"/>
            <w:vAlign w:val="center"/>
          </w:tcPr>
          <w:p w14:paraId="2118B77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6" w:type="dxa"/>
            <w:vAlign w:val="center"/>
          </w:tcPr>
          <w:p w14:paraId="4C42C27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2" w:type="dxa"/>
            <w:vAlign w:val="center"/>
          </w:tcPr>
          <w:p w14:paraId="382A591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2" w:type="dxa"/>
            <w:vAlign w:val="center"/>
          </w:tcPr>
          <w:p w14:paraId="4BA7D03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5" w:type="dxa"/>
            <w:vAlign w:val="center"/>
          </w:tcPr>
          <w:p w14:paraId="7FEBD58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0" w:type="dxa"/>
            <w:shd w:val="clear" w:color="auto" w:fill="808080" w:themeFill="background1" w:themeFillShade="80"/>
            <w:vAlign w:val="center"/>
          </w:tcPr>
          <w:p w14:paraId="156B661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663" w:type="dxa"/>
            <w:vAlign w:val="center"/>
          </w:tcPr>
          <w:p w14:paraId="5437AC0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171,353.0</w:t>
            </w:r>
          </w:p>
        </w:tc>
      </w:tr>
      <w:tr w:rsidR="005208DC" w:rsidRPr="005208DC" w14:paraId="4CCA65F3" w14:textId="77777777" w:rsidTr="00F51BF1">
        <w:tc>
          <w:tcPr>
            <w:tcW w:w="1059" w:type="dxa"/>
          </w:tcPr>
          <w:p w14:paraId="3EBEFE3B"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096" w:type="dxa"/>
            <w:vAlign w:val="center"/>
          </w:tcPr>
          <w:p w14:paraId="402BF76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176,493.0</w:t>
            </w:r>
          </w:p>
        </w:tc>
        <w:tc>
          <w:tcPr>
            <w:tcW w:w="1068" w:type="dxa"/>
            <w:vAlign w:val="center"/>
          </w:tcPr>
          <w:p w14:paraId="71BFC9D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6" w:type="dxa"/>
            <w:vAlign w:val="center"/>
          </w:tcPr>
          <w:p w14:paraId="65AF349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2" w:type="dxa"/>
            <w:vAlign w:val="center"/>
          </w:tcPr>
          <w:p w14:paraId="0D82607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2" w:type="dxa"/>
            <w:vAlign w:val="center"/>
          </w:tcPr>
          <w:p w14:paraId="5DBAE77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5" w:type="dxa"/>
            <w:vAlign w:val="center"/>
          </w:tcPr>
          <w:p w14:paraId="664E388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0" w:type="dxa"/>
            <w:vAlign w:val="center"/>
          </w:tcPr>
          <w:p w14:paraId="61DADE9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663" w:type="dxa"/>
            <w:vAlign w:val="center"/>
          </w:tcPr>
          <w:p w14:paraId="249A415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176,493.0</w:t>
            </w:r>
          </w:p>
        </w:tc>
      </w:tr>
      <w:tr w:rsidR="005208DC" w:rsidRPr="005208DC" w14:paraId="00A847A1" w14:textId="77777777" w:rsidTr="00F51BF1">
        <w:tc>
          <w:tcPr>
            <w:tcW w:w="1059" w:type="dxa"/>
          </w:tcPr>
          <w:p w14:paraId="0BB5FAF7"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096" w:type="dxa"/>
            <w:vAlign w:val="center"/>
          </w:tcPr>
          <w:p w14:paraId="5F69877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181,788.0</w:t>
            </w:r>
          </w:p>
        </w:tc>
        <w:tc>
          <w:tcPr>
            <w:tcW w:w="1068" w:type="dxa"/>
            <w:vAlign w:val="center"/>
          </w:tcPr>
          <w:p w14:paraId="6E7F6AE6"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6" w:type="dxa"/>
            <w:vAlign w:val="center"/>
          </w:tcPr>
          <w:p w14:paraId="2934E50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2" w:type="dxa"/>
            <w:vAlign w:val="center"/>
          </w:tcPr>
          <w:p w14:paraId="6D421D1E"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2" w:type="dxa"/>
            <w:vAlign w:val="center"/>
          </w:tcPr>
          <w:p w14:paraId="1C640C3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5" w:type="dxa"/>
            <w:vAlign w:val="center"/>
          </w:tcPr>
          <w:p w14:paraId="4535B82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0" w:type="dxa"/>
            <w:vAlign w:val="center"/>
          </w:tcPr>
          <w:p w14:paraId="38E69B04"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663" w:type="dxa"/>
            <w:vAlign w:val="center"/>
          </w:tcPr>
          <w:p w14:paraId="01D5C30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181,788.0</w:t>
            </w:r>
          </w:p>
        </w:tc>
      </w:tr>
    </w:tbl>
    <w:p w14:paraId="52D09BAB"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p>
    <w:tbl>
      <w:tblPr>
        <w:tblStyle w:val="TableGrid"/>
        <w:tblW w:w="10201" w:type="dxa"/>
        <w:tblLook w:val="04A0" w:firstRow="1" w:lastRow="0" w:firstColumn="1" w:lastColumn="0" w:noHBand="0" w:noVBand="1"/>
      </w:tblPr>
      <w:tblGrid>
        <w:gridCol w:w="1027"/>
        <w:gridCol w:w="1096"/>
        <w:gridCol w:w="1056"/>
        <w:gridCol w:w="1145"/>
        <w:gridCol w:w="1043"/>
        <w:gridCol w:w="1057"/>
        <w:gridCol w:w="1133"/>
        <w:gridCol w:w="1027"/>
        <w:gridCol w:w="1617"/>
      </w:tblGrid>
      <w:tr w:rsidR="005208DC" w:rsidRPr="005208DC" w14:paraId="5D9EC372" w14:textId="77777777" w:rsidTr="00F51BF1">
        <w:tc>
          <w:tcPr>
            <w:tcW w:w="10201" w:type="dxa"/>
            <w:gridSpan w:val="9"/>
            <w:shd w:val="clear" w:color="auto" w:fill="E5DFEC" w:themeFill="accent4" w:themeFillTint="33"/>
          </w:tcPr>
          <w:p w14:paraId="27F0D817" w14:textId="2150DFE2" w:rsidR="00E06E0F" w:rsidRPr="005208DC" w:rsidRDefault="00B2062A"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0B0C45" w:rsidRPr="005208DC">
              <w:rPr>
                <w:rFonts w:asciiTheme="majorBidi" w:hAnsiTheme="majorBidi" w:cstheme="majorBidi"/>
                <w:b/>
                <w:color w:val="0D0D0D" w:themeColor="text1" w:themeTint="F2"/>
                <w:sz w:val="22"/>
                <w:szCs w:val="22"/>
                <w:lang w:val="sq-AL"/>
              </w:rPr>
              <w:t xml:space="preserve"> </w:t>
            </w:r>
            <w:r w:rsidR="00E06E0F" w:rsidRPr="005208DC">
              <w:rPr>
                <w:rFonts w:asciiTheme="majorBidi" w:hAnsiTheme="majorBidi" w:cstheme="majorBidi"/>
                <w:b/>
                <w:color w:val="0D0D0D" w:themeColor="text1" w:themeTint="F2"/>
                <w:sz w:val="22"/>
                <w:szCs w:val="22"/>
                <w:lang w:val="sq-AL"/>
              </w:rPr>
              <w:t>19:</w:t>
            </w:r>
            <w:r w:rsidR="000B0C45" w:rsidRPr="005208DC">
              <w:rPr>
                <w:rFonts w:asciiTheme="majorBidi" w:hAnsiTheme="majorBidi" w:cstheme="majorBidi"/>
                <w:b/>
                <w:color w:val="0D0D0D" w:themeColor="text1" w:themeTint="F2"/>
                <w:sz w:val="22"/>
                <w:szCs w:val="22"/>
                <w:lang w:val="sq-AL"/>
              </w:rPr>
              <w:t xml:space="preserve"> </w:t>
            </w:r>
            <w:r w:rsidR="00461CA0" w:rsidRPr="005208DC">
              <w:rPr>
                <w:rFonts w:asciiTheme="majorBidi" w:hAnsiTheme="majorBidi" w:cstheme="majorBidi"/>
                <w:b/>
                <w:color w:val="0D0D0D" w:themeColor="text1" w:themeTint="F2"/>
                <w:sz w:val="22"/>
                <w:szCs w:val="22"/>
                <w:lang w:val="sq-AL" w:eastAsia="sq-AL"/>
              </w:rPr>
              <w:t>Zhvillimi dhe fuqizimi i kompetencës digjitale</w:t>
            </w:r>
          </w:p>
        </w:tc>
      </w:tr>
      <w:tr w:rsidR="005208DC" w:rsidRPr="005208DC" w14:paraId="2AABBF49" w14:textId="77777777" w:rsidTr="00F51BF1">
        <w:tc>
          <w:tcPr>
            <w:tcW w:w="1059" w:type="dxa"/>
          </w:tcPr>
          <w:p w14:paraId="2EBCC521" w14:textId="4558A260"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Viti</w:t>
            </w:r>
          </w:p>
        </w:tc>
        <w:tc>
          <w:tcPr>
            <w:tcW w:w="1096" w:type="dxa"/>
          </w:tcPr>
          <w:p w14:paraId="1AE35F3A" w14:textId="7CE62700"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qendror</w:t>
            </w:r>
          </w:p>
        </w:tc>
        <w:tc>
          <w:tcPr>
            <w:tcW w:w="1068" w:type="dxa"/>
          </w:tcPr>
          <w:p w14:paraId="1FC8FE8D" w14:textId="3AC83B89" w:rsidR="00E06E0F" w:rsidRPr="005208DC" w:rsidRDefault="004D1F24"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Buxheti vendor</w:t>
            </w:r>
          </w:p>
        </w:tc>
        <w:tc>
          <w:tcPr>
            <w:tcW w:w="1066" w:type="dxa"/>
          </w:tcPr>
          <w:p w14:paraId="7CDA2FD3" w14:textId="68FE8CD1"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 xml:space="preserve">Burime të tjera </w:t>
            </w:r>
            <w:r w:rsidR="004D1F24" w:rsidRPr="005208DC">
              <w:rPr>
                <w:rFonts w:asciiTheme="majorBidi" w:hAnsiTheme="majorBidi" w:cstheme="majorBidi"/>
                <w:color w:val="0D0D0D" w:themeColor="text1" w:themeTint="F2"/>
                <w:sz w:val="22"/>
                <w:szCs w:val="22"/>
                <w:lang w:val="sq-AL"/>
              </w:rPr>
              <w:t>kombëtare</w:t>
            </w:r>
            <w:r w:rsidRPr="005208DC">
              <w:rPr>
                <w:rFonts w:asciiTheme="majorBidi" w:hAnsiTheme="majorBidi" w:cstheme="majorBidi"/>
                <w:color w:val="0D0D0D" w:themeColor="text1" w:themeTint="F2"/>
                <w:sz w:val="22"/>
                <w:szCs w:val="22"/>
                <w:lang w:val="sq-AL"/>
              </w:rPr>
              <w:t xml:space="preserve"> të financave publike</w:t>
            </w:r>
          </w:p>
        </w:tc>
        <w:tc>
          <w:tcPr>
            <w:tcW w:w="1062" w:type="dxa"/>
          </w:tcPr>
          <w:p w14:paraId="5969B23A" w14:textId="3E959724"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Fondet IPA</w:t>
            </w:r>
          </w:p>
        </w:tc>
        <w:tc>
          <w:tcPr>
            <w:tcW w:w="1062" w:type="dxa"/>
          </w:tcPr>
          <w:p w14:paraId="46E74F95" w14:textId="27096180"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Dhurime të tjera</w:t>
            </w:r>
          </w:p>
        </w:tc>
        <w:tc>
          <w:tcPr>
            <w:tcW w:w="1065" w:type="dxa"/>
          </w:tcPr>
          <w:p w14:paraId="32E4F247" w14:textId="28BECC1D"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Hua projektesh</w:t>
            </w:r>
          </w:p>
        </w:tc>
        <w:tc>
          <w:tcPr>
            <w:tcW w:w="1060" w:type="dxa"/>
          </w:tcPr>
          <w:p w14:paraId="142F5DE5"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TBD</w:t>
            </w:r>
          </w:p>
        </w:tc>
        <w:tc>
          <w:tcPr>
            <w:tcW w:w="1663" w:type="dxa"/>
          </w:tcPr>
          <w:p w14:paraId="7831D455" w14:textId="41BBF2C3" w:rsidR="00E06E0F" w:rsidRPr="005208DC" w:rsidRDefault="005E44FE"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Totali</w:t>
            </w:r>
          </w:p>
        </w:tc>
      </w:tr>
      <w:tr w:rsidR="005208DC" w:rsidRPr="005208DC" w14:paraId="03DFDFC8" w14:textId="77777777" w:rsidTr="00F51BF1">
        <w:tc>
          <w:tcPr>
            <w:tcW w:w="1059" w:type="dxa"/>
          </w:tcPr>
          <w:p w14:paraId="19D6177B"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2022</w:t>
            </w:r>
          </w:p>
        </w:tc>
        <w:tc>
          <w:tcPr>
            <w:tcW w:w="1096" w:type="dxa"/>
            <w:vAlign w:val="center"/>
          </w:tcPr>
          <w:p w14:paraId="454F99D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173,124.2</w:t>
            </w:r>
          </w:p>
        </w:tc>
        <w:tc>
          <w:tcPr>
            <w:tcW w:w="1068" w:type="dxa"/>
            <w:vAlign w:val="center"/>
          </w:tcPr>
          <w:p w14:paraId="19CE4E0A"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6" w:type="dxa"/>
            <w:vAlign w:val="center"/>
          </w:tcPr>
          <w:p w14:paraId="1A94833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2" w:type="dxa"/>
            <w:vAlign w:val="center"/>
          </w:tcPr>
          <w:p w14:paraId="4E79B30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2" w:type="dxa"/>
            <w:vAlign w:val="center"/>
          </w:tcPr>
          <w:p w14:paraId="2DD7327F"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5" w:type="dxa"/>
            <w:vAlign w:val="center"/>
          </w:tcPr>
          <w:p w14:paraId="33B9092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0" w:type="dxa"/>
            <w:shd w:val="clear" w:color="auto" w:fill="808080" w:themeFill="background1" w:themeFillShade="80"/>
            <w:vAlign w:val="center"/>
          </w:tcPr>
          <w:p w14:paraId="5CA00C68"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663" w:type="dxa"/>
            <w:vAlign w:val="center"/>
          </w:tcPr>
          <w:p w14:paraId="0308CE5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173,124.2</w:t>
            </w:r>
          </w:p>
        </w:tc>
      </w:tr>
      <w:tr w:rsidR="005208DC" w:rsidRPr="005208DC" w14:paraId="02B1EEC4" w14:textId="77777777" w:rsidTr="00F51BF1">
        <w:tc>
          <w:tcPr>
            <w:tcW w:w="1059" w:type="dxa"/>
          </w:tcPr>
          <w:p w14:paraId="3E98B3C8"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2023</w:t>
            </w:r>
          </w:p>
        </w:tc>
        <w:tc>
          <w:tcPr>
            <w:tcW w:w="1096" w:type="dxa"/>
            <w:vAlign w:val="center"/>
          </w:tcPr>
          <w:p w14:paraId="0335CC01"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176,814.2</w:t>
            </w:r>
          </w:p>
        </w:tc>
        <w:tc>
          <w:tcPr>
            <w:tcW w:w="1068" w:type="dxa"/>
            <w:vAlign w:val="center"/>
          </w:tcPr>
          <w:p w14:paraId="41DFEA1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6" w:type="dxa"/>
            <w:vAlign w:val="center"/>
          </w:tcPr>
          <w:p w14:paraId="4623BF1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2" w:type="dxa"/>
            <w:vAlign w:val="center"/>
          </w:tcPr>
          <w:p w14:paraId="646673D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2" w:type="dxa"/>
            <w:vAlign w:val="center"/>
          </w:tcPr>
          <w:p w14:paraId="49774943"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5" w:type="dxa"/>
            <w:vAlign w:val="center"/>
          </w:tcPr>
          <w:p w14:paraId="00426BB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0" w:type="dxa"/>
            <w:vAlign w:val="center"/>
          </w:tcPr>
          <w:p w14:paraId="0F2B96FD"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663" w:type="dxa"/>
            <w:vAlign w:val="center"/>
          </w:tcPr>
          <w:p w14:paraId="164C284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176,814.2</w:t>
            </w:r>
          </w:p>
        </w:tc>
      </w:tr>
      <w:tr w:rsidR="005208DC" w:rsidRPr="005208DC" w14:paraId="000D33AD" w14:textId="77777777" w:rsidTr="00F51BF1">
        <w:tc>
          <w:tcPr>
            <w:tcW w:w="1059" w:type="dxa"/>
          </w:tcPr>
          <w:p w14:paraId="7F2178FF"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2024</w:t>
            </w:r>
          </w:p>
        </w:tc>
        <w:tc>
          <w:tcPr>
            <w:tcW w:w="1096" w:type="dxa"/>
            <w:vAlign w:val="center"/>
          </w:tcPr>
          <w:p w14:paraId="422BCFF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180,885.5</w:t>
            </w:r>
          </w:p>
        </w:tc>
        <w:tc>
          <w:tcPr>
            <w:tcW w:w="1068" w:type="dxa"/>
            <w:vAlign w:val="center"/>
          </w:tcPr>
          <w:p w14:paraId="25D55CE5"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6" w:type="dxa"/>
            <w:vAlign w:val="center"/>
          </w:tcPr>
          <w:p w14:paraId="055978D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2" w:type="dxa"/>
            <w:vAlign w:val="center"/>
          </w:tcPr>
          <w:p w14:paraId="547D73B2"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2" w:type="dxa"/>
            <w:vAlign w:val="center"/>
          </w:tcPr>
          <w:p w14:paraId="6BCC5837"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5" w:type="dxa"/>
            <w:vAlign w:val="center"/>
          </w:tcPr>
          <w:p w14:paraId="19612D0B"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060" w:type="dxa"/>
            <w:vAlign w:val="center"/>
          </w:tcPr>
          <w:p w14:paraId="4009CA99"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0</w:t>
            </w:r>
          </w:p>
        </w:tc>
        <w:tc>
          <w:tcPr>
            <w:tcW w:w="1663" w:type="dxa"/>
            <w:vAlign w:val="center"/>
          </w:tcPr>
          <w:p w14:paraId="52AE33FC" w14:textId="77777777" w:rsidR="00E06E0F" w:rsidRPr="005208DC" w:rsidRDefault="00E06E0F" w:rsidP="00857902">
            <w:pPr>
              <w:snapToGrid w:val="0"/>
              <w:jc w:val="right"/>
              <w:rPr>
                <w:rFonts w:asciiTheme="majorBidi" w:hAnsiTheme="majorBidi" w:cstheme="majorBidi"/>
                <w:color w:val="0D0D0D" w:themeColor="text1" w:themeTint="F2"/>
                <w:sz w:val="22"/>
                <w:szCs w:val="22"/>
                <w:lang w:val="sq-AL"/>
              </w:rPr>
            </w:pPr>
            <w:r w:rsidRPr="005208DC">
              <w:rPr>
                <w:rFonts w:asciiTheme="majorBidi" w:eastAsia="Times New Roman" w:hAnsiTheme="majorBidi" w:cstheme="majorBidi"/>
                <w:color w:val="0D0D0D" w:themeColor="text1" w:themeTint="F2"/>
                <w:sz w:val="22"/>
                <w:szCs w:val="22"/>
                <w:lang w:val="sq-AL" w:eastAsia="sq-AL"/>
              </w:rPr>
              <w:t>180,885.5</w:t>
            </w:r>
          </w:p>
        </w:tc>
      </w:tr>
    </w:tbl>
    <w:p w14:paraId="15842142"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p>
    <w:p w14:paraId="086D2B0F" w14:textId="77777777" w:rsidR="004D1F24" w:rsidRPr="005208DC" w:rsidRDefault="004D1F24" w:rsidP="00857902">
      <w:pPr>
        <w:snapToGrid w:val="0"/>
        <w:rPr>
          <w:rFonts w:asciiTheme="majorBidi" w:hAnsiTheme="majorBidi" w:cstheme="majorBidi"/>
          <w:color w:val="0D0D0D" w:themeColor="text1" w:themeTint="F2"/>
          <w:sz w:val="22"/>
          <w:szCs w:val="22"/>
          <w:lang w:val="sq-AL"/>
        </w:rPr>
      </w:pPr>
    </w:p>
    <w:p w14:paraId="1BCC8B2A" w14:textId="7459466E" w:rsidR="00E06E0F" w:rsidRPr="005208DC" w:rsidRDefault="004D1F24" w:rsidP="00857902">
      <w:pPr>
        <w:pStyle w:val="Heading2"/>
        <w:ind w:left="0"/>
        <w:rPr>
          <w:rFonts w:asciiTheme="majorBidi" w:hAnsiTheme="majorBidi" w:cstheme="majorBidi"/>
          <w:color w:val="0D0D0D" w:themeColor="text1" w:themeTint="F2"/>
          <w:sz w:val="22"/>
          <w:szCs w:val="22"/>
          <w:lang w:val="sq-AL"/>
        </w:rPr>
      </w:pPr>
      <w:bookmarkStart w:id="111" w:name="_Toc92721169"/>
      <w:r w:rsidRPr="005208DC">
        <w:rPr>
          <w:rStyle w:val="Heading2Char"/>
          <w:rFonts w:asciiTheme="majorBidi" w:hAnsiTheme="majorBidi" w:cstheme="majorBidi"/>
          <w:color w:val="0D0D0D" w:themeColor="text1" w:themeTint="F2"/>
          <w:sz w:val="22"/>
          <w:szCs w:val="22"/>
          <w:lang w:val="sq-AL"/>
        </w:rPr>
        <w:t>Tabela</w:t>
      </w:r>
      <w:r w:rsidR="000B0C45" w:rsidRPr="005208DC">
        <w:rPr>
          <w:rStyle w:val="Heading2Char"/>
          <w:rFonts w:asciiTheme="majorBidi" w:hAnsiTheme="majorBidi" w:cstheme="majorBidi"/>
          <w:color w:val="0D0D0D" w:themeColor="text1" w:themeTint="F2"/>
          <w:sz w:val="22"/>
          <w:szCs w:val="22"/>
          <w:lang w:val="sq-AL"/>
        </w:rPr>
        <w:t xml:space="preserve"> </w:t>
      </w:r>
      <w:r w:rsidR="00E06E0F" w:rsidRPr="005208DC">
        <w:rPr>
          <w:rStyle w:val="Heading2Char"/>
          <w:rFonts w:asciiTheme="majorBidi" w:hAnsiTheme="majorBidi" w:cstheme="majorBidi"/>
          <w:color w:val="0D0D0D" w:themeColor="text1" w:themeTint="F2"/>
          <w:sz w:val="22"/>
          <w:szCs w:val="22"/>
          <w:lang w:val="sq-AL"/>
        </w:rPr>
        <w:t>11:</w:t>
      </w:r>
      <w:r w:rsidR="000B0C45" w:rsidRPr="005208DC">
        <w:rPr>
          <w:rStyle w:val="Heading2Char"/>
          <w:rFonts w:asciiTheme="majorBidi" w:hAnsiTheme="majorBidi" w:cstheme="majorBidi"/>
          <w:color w:val="0D0D0D" w:themeColor="text1" w:themeTint="F2"/>
          <w:sz w:val="22"/>
          <w:szCs w:val="22"/>
          <w:lang w:val="sq-AL"/>
        </w:rPr>
        <w:t xml:space="preserve"> </w:t>
      </w:r>
      <w:r w:rsidR="00E06E0F" w:rsidRPr="005208DC">
        <w:rPr>
          <w:rStyle w:val="Heading2Char"/>
          <w:rFonts w:asciiTheme="majorBidi" w:hAnsiTheme="majorBidi" w:cstheme="majorBidi"/>
          <w:color w:val="0D0D0D" w:themeColor="text1" w:themeTint="F2"/>
          <w:sz w:val="22"/>
          <w:szCs w:val="22"/>
          <w:lang w:val="sq-AL"/>
        </w:rPr>
        <w:t>R</w:t>
      </w:r>
      <w:r w:rsidR="005E44FE" w:rsidRPr="005208DC">
        <w:rPr>
          <w:rStyle w:val="Heading2Char"/>
          <w:rFonts w:asciiTheme="majorBidi" w:hAnsiTheme="majorBidi" w:cstheme="majorBidi"/>
          <w:color w:val="0D0D0D" w:themeColor="text1" w:themeTint="F2"/>
          <w:sz w:val="22"/>
          <w:szCs w:val="22"/>
          <w:lang w:val="sq-AL"/>
        </w:rPr>
        <w:t xml:space="preserve">aportimi mbi zbatimin e masave të reformave strukturore të </w:t>
      </w:r>
      <w:r w:rsidR="00E06E0F" w:rsidRPr="005208DC">
        <w:rPr>
          <w:rStyle w:val="Heading2Char"/>
          <w:rFonts w:asciiTheme="majorBidi" w:hAnsiTheme="majorBidi" w:cstheme="majorBidi"/>
          <w:color w:val="0D0D0D" w:themeColor="text1" w:themeTint="F2"/>
          <w:sz w:val="22"/>
          <w:szCs w:val="22"/>
          <w:lang w:val="sq-AL"/>
        </w:rPr>
        <w:t>ERP</w:t>
      </w:r>
      <w:r w:rsidR="000B0C45" w:rsidRPr="005208DC">
        <w:rPr>
          <w:rStyle w:val="Heading2Char"/>
          <w:rFonts w:asciiTheme="majorBidi" w:hAnsiTheme="majorBidi" w:cstheme="majorBidi"/>
          <w:color w:val="0D0D0D" w:themeColor="text1" w:themeTint="F2"/>
          <w:sz w:val="22"/>
          <w:szCs w:val="22"/>
          <w:lang w:val="sq-AL"/>
        </w:rPr>
        <w:t xml:space="preserve"> </w:t>
      </w:r>
      <w:r w:rsidR="00E06E0F" w:rsidRPr="005208DC">
        <w:rPr>
          <w:rStyle w:val="Heading2Char"/>
          <w:rFonts w:asciiTheme="majorBidi" w:hAnsiTheme="majorBidi" w:cstheme="majorBidi"/>
          <w:color w:val="0D0D0D" w:themeColor="text1" w:themeTint="F2"/>
          <w:sz w:val="22"/>
          <w:szCs w:val="22"/>
          <w:lang w:val="sq-AL"/>
        </w:rPr>
        <w:t>2021-2023</w:t>
      </w:r>
      <w:r w:rsidR="00E06E0F" w:rsidRPr="005208DC">
        <w:rPr>
          <w:rStyle w:val="FootnoteReference"/>
          <w:rFonts w:asciiTheme="majorBidi" w:hAnsiTheme="majorBidi" w:cstheme="majorBidi"/>
          <w:color w:val="0D0D0D" w:themeColor="text1" w:themeTint="F2"/>
          <w:sz w:val="22"/>
          <w:szCs w:val="22"/>
          <w:lang w:val="sq-AL"/>
        </w:rPr>
        <w:footnoteReference w:id="36"/>
      </w:r>
      <w:bookmarkEnd w:id="111"/>
    </w:p>
    <w:tbl>
      <w:tblPr>
        <w:tblStyle w:val="TableGrid"/>
        <w:tblW w:w="10485" w:type="dxa"/>
        <w:tblLook w:val="04A0" w:firstRow="1" w:lastRow="0" w:firstColumn="1" w:lastColumn="0" w:noHBand="0" w:noVBand="1"/>
      </w:tblPr>
      <w:tblGrid>
        <w:gridCol w:w="1723"/>
        <w:gridCol w:w="6777"/>
        <w:gridCol w:w="1985"/>
      </w:tblGrid>
      <w:tr w:rsidR="005208DC" w:rsidRPr="005208DC" w14:paraId="35566C03" w14:textId="77777777" w:rsidTr="007F2542">
        <w:tc>
          <w:tcPr>
            <w:tcW w:w="8500" w:type="dxa"/>
            <w:gridSpan w:val="2"/>
            <w:shd w:val="clear" w:color="auto" w:fill="E5DFEC" w:themeFill="accent4" w:themeFillTint="33"/>
          </w:tcPr>
          <w:p w14:paraId="6D0360CF" w14:textId="7F48B96E" w:rsidR="00E06E0F" w:rsidRPr="005208DC" w:rsidRDefault="00B2062A" w:rsidP="00857902">
            <w:pPr>
              <w:widowControl/>
              <w:rPr>
                <w:rFonts w:asciiTheme="majorBidi" w:hAnsiTheme="majorBidi" w:cstheme="majorBidi"/>
                <w:b/>
                <w:color w:val="0D0D0D" w:themeColor="text1" w:themeTint="F2"/>
                <w:sz w:val="22"/>
                <w:szCs w:val="22"/>
                <w:lang w:val="sq-AL"/>
              </w:rPr>
            </w:pPr>
            <w:r w:rsidRPr="005208DC">
              <w:rPr>
                <w:rFonts w:asciiTheme="majorBidi" w:hAnsiTheme="majorBidi" w:cstheme="majorBidi"/>
                <w:b/>
                <w:color w:val="0D0D0D" w:themeColor="text1" w:themeTint="F2"/>
                <w:sz w:val="22"/>
                <w:szCs w:val="22"/>
                <w:lang w:val="sq-AL"/>
              </w:rPr>
              <w:t>Masa e reformës</w:t>
            </w:r>
            <w:r w:rsidR="00E06E0F" w:rsidRPr="005208DC">
              <w:rPr>
                <w:rFonts w:asciiTheme="majorBidi" w:hAnsiTheme="majorBidi" w:cstheme="majorBidi"/>
                <w:b/>
                <w:color w:val="0D0D0D" w:themeColor="text1" w:themeTint="F2"/>
                <w:sz w:val="22"/>
                <w:szCs w:val="22"/>
                <w:lang w:val="sq-AL"/>
              </w:rPr>
              <w:t>:</w:t>
            </w:r>
            <w:r w:rsidR="000B0C45" w:rsidRPr="005208DC">
              <w:rPr>
                <w:rFonts w:asciiTheme="majorBidi" w:hAnsiTheme="majorBidi" w:cstheme="majorBidi"/>
                <w:color w:val="0D0D0D" w:themeColor="text1" w:themeTint="F2"/>
                <w:sz w:val="22"/>
                <w:szCs w:val="22"/>
                <w:lang w:val="sq-AL"/>
              </w:rPr>
              <w:t xml:space="preserve"> </w:t>
            </w:r>
            <w:r w:rsidR="009D3B25" w:rsidRPr="005208DC">
              <w:rPr>
                <w:rFonts w:asciiTheme="majorBidi" w:hAnsiTheme="majorBidi" w:cstheme="majorBidi"/>
                <w:color w:val="0D0D0D" w:themeColor="text1" w:themeTint="F2"/>
                <w:sz w:val="22"/>
                <w:szCs w:val="22"/>
                <w:lang w:val="sq-AL"/>
              </w:rPr>
              <w:t>…</w:t>
            </w:r>
          </w:p>
        </w:tc>
        <w:tc>
          <w:tcPr>
            <w:tcW w:w="1985" w:type="dxa"/>
            <w:shd w:val="clear" w:color="auto" w:fill="E5DFEC" w:themeFill="accent4" w:themeFillTint="33"/>
          </w:tcPr>
          <w:p w14:paraId="35A5D12D" w14:textId="524E4184" w:rsidR="00E06E0F" w:rsidRPr="005208DC" w:rsidRDefault="005E44FE" w:rsidP="00857902">
            <w:pPr>
              <w:widowControl/>
              <w:rPr>
                <w:rFonts w:asciiTheme="majorBidi" w:hAnsiTheme="majorBidi" w:cstheme="majorBidi"/>
                <w:color w:val="0D0D0D" w:themeColor="text1" w:themeTint="F2"/>
                <w:sz w:val="22"/>
                <w:szCs w:val="22"/>
                <w:lang w:val="sq-AL"/>
              </w:rPr>
            </w:pPr>
            <w:r w:rsidRPr="005208DC">
              <w:rPr>
                <w:rFonts w:asciiTheme="majorBidi" w:hAnsiTheme="majorBidi" w:cstheme="majorBidi"/>
                <w:b/>
                <w:bCs/>
                <w:color w:val="0D0D0D" w:themeColor="text1" w:themeTint="F2"/>
                <w:sz w:val="22"/>
                <w:szCs w:val="22"/>
                <w:lang w:val="sq-AL"/>
              </w:rPr>
              <w:t xml:space="preserve">Statusi i zbatimit të reformës </w:t>
            </w:r>
            <w:r w:rsidR="00E06E0F" w:rsidRPr="005208DC">
              <w:rPr>
                <w:rFonts w:asciiTheme="majorBidi" w:hAnsiTheme="majorBidi" w:cstheme="majorBidi"/>
                <w:b/>
                <w:bCs/>
                <w:color w:val="0D0D0D" w:themeColor="text1" w:themeTint="F2"/>
                <w:sz w:val="22"/>
                <w:szCs w:val="22"/>
                <w:lang w:val="sq-AL"/>
              </w:rPr>
              <w:t>(0-5)</w:t>
            </w:r>
          </w:p>
        </w:tc>
      </w:tr>
      <w:tr w:rsidR="005208DC" w:rsidRPr="005208DC" w14:paraId="308FF442" w14:textId="77777777" w:rsidTr="007F2542">
        <w:tc>
          <w:tcPr>
            <w:tcW w:w="1723" w:type="dxa"/>
            <w:vMerge w:val="restart"/>
          </w:tcPr>
          <w:p w14:paraId="4F7A7F90" w14:textId="1FCF74C1" w:rsidR="009D3B25" w:rsidRPr="005208DC" w:rsidRDefault="009D3B25" w:rsidP="00857902">
            <w:pPr>
              <w:widowControl/>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A</w:t>
            </w:r>
            <w:r w:rsidR="005E44FE" w:rsidRPr="005208DC">
              <w:rPr>
                <w:rFonts w:asciiTheme="majorBidi" w:hAnsiTheme="majorBidi" w:cstheme="majorBidi"/>
                <w:color w:val="0D0D0D" w:themeColor="text1" w:themeTint="F2"/>
                <w:sz w:val="22"/>
                <w:szCs w:val="22"/>
                <w:lang w:val="sq-AL"/>
              </w:rPr>
              <w:t>ktivit</w:t>
            </w:r>
            <w:r w:rsidRPr="005208DC">
              <w:rPr>
                <w:rFonts w:asciiTheme="majorBidi" w:hAnsiTheme="majorBidi" w:cstheme="majorBidi"/>
                <w:color w:val="0D0D0D" w:themeColor="text1" w:themeTint="F2"/>
                <w:sz w:val="22"/>
                <w:szCs w:val="22"/>
                <w:lang w:val="sq-AL"/>
              </w:rPr>
              <w:t>e</w:t>
            </w:r>
            <w:r w:rsidR="005E44FE" w:rsidRPr="005208DC">
              <w:rPr>
                <w:rFonts w:asciiTheme="majorBidi" w:hAnsiTheme="majorBidi" w:cstheme="majorBidi"/>
                <w:color w:val="0D0D0D" w:themeColor="text1" w:themeTint="F2"/>
                <w:sz w:val="22"/>
                <w:szCs w:val="22"/>
                <w:lang w:val="sq-AL"/>
              </w:rPr>
              <w:t>te të parashikuara për</w:t>
            </w:r>
            <w:r w:rsidRPr="005208DC">
              <w:rPr>
                <w:rFonts w:asciiTheme="majorBidi" w:hAnsiTheme="majorBidi" w:cstheme="majorBidi"/>
                <w:color w:val="0D0D0D" w:themeColor="text1" w:themeTint="F2"/>
                <w:sz w:val="22"/>
                <w:szCs w:val="22"/>
                <w:lang w:val="sq-AL"/>
              </w:rPr>
              <w:t xml:space="preserve"> 2021</w:t>
            </w:r>
          </w:p>
        </w:tc>
        <w:tc>
          <w:tcPr>
            <w:tcW w:w="6777" w:type="dxa"/>
          </w:tcPr>
          <w:p w14:paraId="78ACB1E0" w14:textId="5081E12E" w:rsidR="009D3B25" w:rsidRPr="005208DC" w:rsidRDefault="009D3B25" w:rsidP="00857902">
            <w:pPr>
              <w:rPr>
                <w:rFonts w:asciiTheme="majorBidi" w:eastAsia="Times New Roman" w:hAnsiTheme="majorBidi" w:cstheme="majorBidi"/>
                <w:color w:val="0D0D0D" w:themeColor="text1" w:themeTint="F2"/>
                <w:lang w:val="sq-AL" w:eastAsia="en-GB"/>
              </w:rPr>
            </w:pPr>
          </w:p>
        </w:tc>
        <w:tc>
          <w:tcPr>
            <w:tcW w:w="1985" w:type="dxa"/>
          </w:tcPr>
          <w:p w14:paraId="1430D60A" w14:textId="77777777" w:rsidR="009D3B25" w:rsidRPr="005208DC" w:rsidRDefault="009D3B25" w:rsidP="00857902">
            <w:pPr>
              <w:widowControl/>
              <w:rPr>
                <w:rFonts w:asciiTheme="majorBidi" w:hAnsiTheme="majorBidi" w:cstheme="majorBidi"/>
                <w:color w:val="0D0D0D" w:themeColor="text1" w:themeTint="F2"/>
                <w:sz w:val="22"/>
                <w:szCs w:val="22"/>
                <w:lang w:val="sq-AL"/>
              </w:rPr>
            </w:pPr>
          </w:p>
        </w:tc>
      </w:tr>
      <w:tr w:rsidR="005208DC" w:rsidRPr="005208DC" w14:paraId="17BDC00F" w14:textId="77777777" w:rsidTr="007F2542">
        <w:tc>
          <w:tcPr>
            <w:tcW w:w="1723" w:type="dxa"/>
            <w:vMerge/>
          </w:tcPr>
          <w:p w14:paraId="1D9A4B6A" w14:textId="77777777" w:rsidR="009D3B25" w:rsidRPr="005208DC" w:rsidRDefault="009D3B25" w:rsidP="00857902">
            <w:pPr>
              <w:rPr>
                <w:rFonts w:asciiTheme="majorBidi" w:hAnsiTheme="majorBidi" w:cstheme="majorBidi"/>
                <w:color w:val="0D0D0D" w:themeColor="text1" w:themeTint="F2"/>
                <w:sz w:val="22"/>
                <w:szCs w:val="22"/>
                <w:lang w:val="sq-AL"/>
              </w:rPr>
            </w:pPr>
          </w:p>
        </w:tc>
        <w:tc>
          <w:tcPr>
            <w:tcW w:w="6777" w:type="dxa"/>
          </w:tcPr>
          <w:p w14:paraId="434BE744" w14:textId="21A87E2D" w:rsidR="009D3B25" w:rsidRPr="005208DC" w:rsidRDefault="009D3B25" w:rsidP="00857902">
            <w:pPr>
              <w:pStyle w:val="ListParagraph"/>
              <w:ind w:left="33" w:firstLine="0"/>
              <w:rPr>
                <w:rFonts w:asciiTheme="majorBidi" w:eastAsia="Times New Roman" w:hAnsiTheme="majorBidi" w:cstheme="majorBidi"/>
                <w:color w:val="0D0D0D" w:themeColor="text1" w:themeTint="F2"/>
                <w:lang w:val="sq-AL" w:eastAsia="en-GB"/>
              </w:rPr>
            </w:pPr>
          </w:p>
        </w:tc>
        <w:tc>
          <w:tcPr>
            <w:tcW w:w="1985" w:type="dxa"/>
          </w:tcPr>
          <w:p w14:paraId="51F3F9AA" w14:textId="77777777" w:rsidR="009D3B25" w:rsidRPr="005208DC" w:rsidRDefault="009D3B25" w:rsidP="00857902">
            <w:pPr>
              <w:rPr>
                <w:rFonts w:asciiTheme="majorBidi" w:hAnsiTheme="majorBidi" w:cstheme="majorBidi"/>
                <w:color w:val="0D0D0D" w:themeColor="text1" w:themeTint="F2"/>
                <w:sz w:val="22"/>
                <w:szCs w:val="22"/>
                <w:lang w:val="sq-AL"/>
              </w:rPr>
            </w:pPr>
          </w:p>
        </w:tc>
      </w:tr>
      <w:tr w:rsidR="005208DC" w:rsidRPr="005208DC" w14:paraId="697D5F53" w14:textId="77777777" w:rsidTr="007F2542">
        <w:tc>
          <w:tcPr>
            <w:tcW w:w="1723" w:type="dxa"/>
            <w:vMerge/>
          </w:tcPr>
          <w:p w14:paraId="6B9A5529" w14:textId="77777777" w:rsidR="009D3B25" w:rsidRPr="005208DC" w:rsidRDefault="009D3B25" w:rsidP="00857902">
            <w:pPr>
              <w:rPr>
                <w:rFonts w:asciiTheme="majorBidi" w:hAnsiTheme="majorBidi" w:cstheme="majorBidi"/>
                <w:color w:val="0D0D0D" w:themeColor="text1" w:themeTint="F2"/>
                <w:sz w:val="22"/>
                <w:szCs w:val="22"/>
                <w:lang w:val="sq-AL"/>
              </w:rPr>
            </w:pPr>
          </w:p>
        </w:tc>
        <w:tc>
          <w:tcPr>
            <w:tcW w:w="6777" w:type="dxa"/>
          </w:tcPr>
          <w:p w14:paraId="1AC1F9E3" w14:textId="77777777" w:rsidR="009D3B25" w:rsidRPr="005208DC" w:rsidRDefault="009D3B25" w:rsidP="00857902">
            <w:pPr>
              <w:pStyle w:val="ListParagraph"/>
              <w:ind w:left="33" w:firstLine="0"/>
              <w:rPr>
                <w:rFonts w:asciiTheme="majorBidi" w:eastAsia="Times New Roman" w:hAnsiTheme="majorBidi" w:cstheme="majorBidi"/>
                <w:color w:val="0D0D0D" w:themeColor="text1" w:themeTint="F2"/>
                <w:lang w:val="sq-AL" w:eastAsia="en-GB"/>
              </w:rPr>
            </w:pPr>
          </w:p>
        </w:tc>
        <w:tc>
          <w:tcPr>
            <w:tcW w:w="1985" w:type="dxa"/>
          </w:tcPr>
          <w:p w14:paraId="1E9C33D6" w14:textId="77777777" w:rsidR="009D3B25" w:rsidRPr="005208DC" w:rsidRDefault="009D3B25" w:rsidP="00857902">
            <w:pPr>
              <w:rPr>
                <w:rFonts w:asciiTheme="majorBidi" w:hAnsiTheme="majorBidi" w:cstheme="majorBidi"/>
                <w:color w:val="0D0D0D" w:themeColor="text1" w:themeTint="F2"/>
                <w:sz w:val="22"/>
                <w:szCs w:val="22"/>
                <w:lang w:val="sq-AL"/>
              </w:rPr>
            </w:pPr>
          </w:p>
        </w:tc>
      </w:tr>
      <w:tr w:rsidR="005208DC" w:rsidRPr="005208DC" w14:paraId="2AD33B51" w14:textId="77777777" w:rsidTr="007F2542">
        <w:tc>
          <w:tcPr>
            <w:tcW w:w="1723" w:type="dxa"/>
            <w:vMerge w:val="restart"/>
          </w:tcPr>
          <w:p w14:paraId="657DB5FF" w14:textId="7FD541FC" w:rsidR="009D3B25" w:rsidRPr="005208DC" w:rsidRDefault="005E44FE" w:rsidP="00857902">
            <w:pPr>
              <w:rPr>
                <w:rFonts w:asciiTheme="majorBidi" w:hAnsiTheme="majorBidi" w:cstheme="majorBidi"/>
                <w:color w:val="0D0D0D" w:themeColor="text1" w:themeTint="F2"/>
                <w:sz w:val="22"/>
                <w:szCs w:val="22"/>
                <w:lang w:val="sq-AL"/>
              </w:rPr>
            </w:pPr>
            <w:r w:rsidRPr="005208DC">
              <w:rPr>
                <w:rFonts w:asciiTheme="majorBidi" w:hAnsiTheme="majorBidi" w:cstheme="majorBidi"/>
                <w:color w:val="0D0D0D" w:themeColor="text1" w:themeTint="F2"/>
                <w:sz w:val="22"/>
                <w:szCs w:val="22"/>
                <w:lang w:val="sq-AL"/>
              </w:rPr>
              <w:t>Përshkrim i zbatimit dhe sqarim nëse zbatim i pjesshëm apo pa zbatim</w:t>
            </w:r>
          </w:p>
        </w:tc>
        <w:tc>
          <w:tcPr>
            <w:tcW w:w="6777" w:type="dxa"/>
          </w:tcPr>
          <w:p w14:paraId="1BB8F77A" w14:textId="07A64599" w:rsidR="009D3B25" w:rsidRPr="005208DC" w:rsidRDefault="009D3B25" w:rsidP="00857902">
            <w:pPr>
              <w:pStyle w:val="ListParagraph"/>
              <w:ind w:left="33" w:firstLine="0"/>
              <w:rPr>
                <w:rFonts w:asciiTheme="majorBidi" w:eastAsia="Times New Roman" w:hAnsiTheme="majorBidi" w:cstheme="majorBidi"/>
                <w:color w:val="0D0D0D" w:themeColor="text1" w:themeTint="F2"/>
                <w:lang w:val="sq-AL" w:eastAsia="en-GB"/>
              </w:rPr>
            </w:pPr>
          </w:p>
        </w:tc>
        <w:tc>
          <w:tcPr>
            <w:tcW w:w="1985" w:type="dxa"/>
          </w:tcPr>
          <w:p w14:paraId="21FABA8B" w14:textId="77777777" w:rsidR="009D3B25" w:rsidRPr="005208DC" w:rsidRDefault="009D3B25" w:rsidP="00857902">
            <w:pPr>
              <w:rPr>
                <w:rFonts w:asciiTheme="majorBidi" w:hAnsiTheme="majorBidi" w:cstheme="majorBidi"/>
                <w:color w:val="0D0D0D" w:themeColor="text1" w:themeTint="F2"/>
                <w:sz w:val="22"/>
                <w:szCs w:val="22"/>
                <w:lang w:val="sq-AL"/>
              </w:rPr>
            </w:pPr>
          </w:p>
        </w:tc>
      </w:tr>
      <w:tr w:rsidR="005208DC" w:rsidRPr="005208DC" w14:paraId="0089EAAF" w14:textId="77777777" w:rsidTr="007F2542">
        <w:tc>
          <w:tcPr>
            <w:tcW w:w="1723" w:type="dxa"/>
            <w:vMerge/>
          </w:tcPr>
          <w:p w14:paraId="512EEC58" w14:textId="77777777" w:rsidR="009D3B25" w:rsidRPr="005208DC" w:rsidRDefault="009D3B25" w:rsidP="00857902">
            <w:pPr>
              <w:rPr>
                <w:rFonts w:asciiTheme="majorBidi" w:hAnsiTheme="majorBidi" w:cstheme="majorBidi"/>
                <w:color w:val="0D0D0D" w:themeColor="text1" w:themeTint="F2"/>
                <w:sz w:val="22"/>
                <w:szCs w:val="22"/>
                <w:lang w:val="sq-AL"/>
              </w:rPr>
            </w:pPr>
          </w:p>
        </w:tc>
        <w:tc>
          <w:tcPr>
            <w:tcW w:w="6777" w:type="dxa"/>
          </w:tcPr>
          <w:p w14:paraId="102DDADE" w14:textId="77777777" w:rsidR="009D3B25" w:rsidRPr="005208DC" w:rsidRDefault="009D3B25" w:rsidP="00857902">
            <w:pPr>
              <w:pStyle w:val="ListParagraph"/>
              <w:ind w:left="33" w:firstLine="0"/>
              <w:rPr>
                <w:rFonts w:asciiTheme="majorBidi" w:eastAsia="Times New Roman" w:hAnsiTheme="majorBidi" w:cstheme="majorBidi"/>
                <w:color w:val="0D0D0D" w:themeColor="text1" w:themeTint="F2"/>
                <w:lang w:val="sq-AL" w:eastAsia="en-GB"/>
              </w:rPr>
            </w:pPr>
          </w:p>
        </w:tc>
        <w:tc>
          <w:tcPr>
            <w:tcW w:w="1985" w:type="dxa"/>
          </w:tcPr>
          <w:p w14:paraId="4A322388" w14:textId="77777777" w:rsidR="009D3B25" w:rsidRPr="005208DC" w:rsidRDefault="009D3B25" w:rsidP="00857902">
            <w:pPr>
              <w:rPr>
                <w:rFonts w:asciiTheme="majorBidi" w:hAnsiTheme="majorBidi" w:cstheme="majorBidi"/>
                <w:color w:val="0D0D0D" w:themeColor="text1" w:themeTint="F2"/>
                <w:sz w:val="22"/>
                <w:szCs w:val="22"/>
                <w:lang w:val="sq-AL"/>
              </w:rPr>
            </w:pPr>
          </w:p>
        </w:tc>
      </w:tr>
      <w:tr w:rsidR="005208DC" w:rsidRPr="005208DC" w14:paraId="74BA65AF" w14:textId="77777777" w:rsidTr="007F2542">
        <w:tc>
          <w:tcPr>
            <w:tcW w:w="1723" w:type="dxa"/>
            <w:vMerge/>
          </w:tcPr>
          <w:p w14:paraId="450D4113" w14:textId="77777777" w:rsidR="009D3B25" w:rsidRPr="005208DC" w:rsidRDefault="009D3B25" w:rsidP="00857902">
            <w:pPr>
              <w:rPr>
                <w:rFonts w:asciiTheme="majorBidi" w:hAnsiTheme="majorBidi" w:cstheme="majorBidi"/>
                <w:color w:val="0D0D0D" w:themeColor="text1" w:themeTint="F2"/>
                <w:sz w:val="22"/>
                <w:szCs w:val="22"/>
                <w:lang w:val="sq-AL"/>
              </w:rPr>
            </w:pPr>
          </w:p>
        </w:tc>
        <w:tc>
          <w:tcPr>
            <w:tcW w:w="6777" w:type="dxa"/>
          </w:tcPr>
          <w:p w14:paraId="28866120" w14:textId="77777777" w:rsidR="009D3B25" w:rsidRPr="005208DC" w:rsidRDefault="009D3B25" w:rsidP="00857902">
            <w:pPr>
              <w:pStyle w:val="ListParagraph"/>
              <w:ind w:left="33" w:firstLine="0"/>
              <w:rPr>
                <w:rFonts w:asciiTheme="majorBidi" w:eastAsia="Times New Roman" w:hAnsiTheme="majorBidi" w:cstheme="majorBidi"/>
                <w:color w:val="0D0D0D" w:themeColor="text1" w:themeTint="F2"/>
                <w:lang w:val="sq-AL" w:eastAsia="en-GB"/>
              </w:rPr>
            </w:pPr>
          </w:p>
        </w:tc>
        <w:tc>
          <w:tcPr>
            <w:tcW w:w="1985" w:type="dxa"/>
          </w:tcPr>
          <w:p w14:paraId="4648DFB1" w14:textId="77777777" w:rsidR="009D3B25" w:rsidRPr="005208DC" w:rsidRDefault="009D3B25" w:rsidP="00857902">
            <w:pPr>
              <w:rPr>
                <w:rFonts w:asciiTheme="majorBidi" w:hAnsiTheme="majorBidi" w:cstheme="majorBidi"/>
                <w:color w:val="0D0D0D" w:themeColor="text1" w:themeTint="F2"/>
                <w:sz w:val="22"/>
                <w:szCs w:val="22"/>
                <w:lang w:val="sq-AL"/>
              </w:rPr>
            </w:pPr>
          </w:p>
        </w:tc>
      </w:tr>
    </w:tbl>
    <w:p w14:paraId="04975D95"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p>
    <w:p w14:paraId="28656D42" w14:textId="77777777" w:rsidR="007F2542" w:rsidRPr="005208DC" w:rsidRDefault="007F2542" w:rsidP="00857902">
      <w:pPr>
        <w:snapToGrid w:val="0"/>
        <w:rPr>
          <w:rFonts w:asciiTheme="majorBidi" w:hAnsiTheme="majorBidi" w:cstheme="majorBidi"/>
          <w:color w:val="0D0D0D" w:themeColor="text1" w:themeTint="F2"/>
          <w:sz w:val="22"/>
          <w:szCs w:val="22"/>
          <w:lang w:val="sq-AL"/>
        </w:rPr>
      </w:pPr>
    </w:p>
    <w:tbl>
      <w:tblPr>
        <w:tblStyle w:val="TableGrid"/>
        <w:tblW w:w="10485" w:type="dxa"/>
        <w:tblLook w:val="04A0" w:firstRow="1" w:lastRow="0" w:firstColumn="1" w:lastColumn="0" w:noHBand="0" w:noVBand="1"/>
      </w:tblPr>
      <w:tblGrid>
        <w:gridCol w:w="1723"/>
        <w:gridCol w:w="6777"/>
        <w:gridCol w:w="1985"/>
      </w:tblGrid>
      <w:tr w:rsidR="005208DC" w:rsidRPr="005208DC" w14:paraId="3F84B801" w14:textId="77777777" w:rsidTr="007F2542">
        <w:tc>
          <w:tcPr>
            <w:tcW w:w="8500" w:type="dxa"/>
            <w:gridSpan w:val="2"/>
            <w:shd w:val="clear" w:color="auto" w:fill="E5DFEC" w:themeFill="accent4" w:themeFillTint="33"/>
          </w:tcPr>
          <w:p w14:paraId="486E14EE" w14:textId="77777777" w:rsidR="008B65A8" w:rsidRPr="005208DC" w:rsidRDefault="008B65A8" w:rsidP="00857902">
            <w:pPr>
              <w:rPr>
                <w:rFonts w:asciiTheme="majorBidi" w:hAnsiTheme="majorBidi" w:cstheme="majorBidi"/>
                <w:b/>
                <w:color w:val="0D0D0D" w:themeColor="text1" w:themeTint="F2"/>
                <w:lang w:val="sq-AL"/>
              </w:rPr>
            </w:pPr>
            <w:r w:rsidRPr="005208DC">
              <w:rPr>
                <w:rFonts w:asciiTheme="majorBidi" w:hAnsiTheme="majorBidi" w:cstheme="majorBidi"/>
                <w:b/>
                <w:color w:val="0D0D0D" w:themeColor="text1" w:themeTint="F2"/>
                <w:lang w:val="sq-AL"/>
              </w:rPr>
              <w:t>Masa e reformës: Liberalizimi i mëtejshëm i tregut të energjisë</w:t>
            </w:r>
          </w:p>
        </w:tc>
        <w:tc>
          <w:tcPr>
            <w:tcW w:w="1985" w:type="dxa"/>
            <w:shd w:val="clear" w:color="auto" w:fill="E5DFEC" w:themeFill="accent4" w:themeFillTint="33"/>
          </w:tcPr>
          <w:p w14:paraId="4225CF0B" w14:textId="77777777" w:rsidR="008B65A8" w:rsidRPr="005208DC" w:rsidRDefault="008B65A8" w:rsidP="00857902">
            <w:pPr>
              <w:rPr>
                <w:rFonts w:asciiTheme="majorBidi" w:hAnsiTheme="majorBidi" w:cstheme="majorBidi"/>
                <w:b/>
                <w:bCs/>
                <w:color w:val="0D0D0D" w:themeColor="text1" w:themeTint="F2"/>
                <w:lang w:val="sq-AL"/>
              </w:rPr>
            </w:pPr>
            <w:r w:rsidRPr="005208DC">
              <w:rPr>
                <w:rFonts w:asciiTheme="majorBidi" w:hAnsiTheme="majorBidi" w:cstheme="majorBidi"/>
                <w:b/>
                <w:bCs/>
                <w:color w:val="0D0D0D" w:themeColor="text1" w:themeTint="F2"/>
                <w:lang w:val="sq-AL"/>
              </w:rPr>
              <w:t>Faza e zbatimit të reformës (0-5)</w:t>
            </w:r>
          </w:p>
        </w:tc>
      </w:tr>
      <w:tr w:rsidR="005208DC" w:rsidRPr="005208DC" w14:paraId="7EB875DE" w14:textId="77777777" w:rsidTr="007F2542">
        <w:tc>
          <w:tcPr>
            <w:tcW w:w="1723" w:type="dxa"/>
            <w:vMerge w:val="restart"/>
          </w:tcPr>
          <w:p w14:paraId="6193E47D" w14:textId="77777777" w:rsidR="008B65A8" w:rsidRPr="005208DC" w:rsidRDefault="008B65A8" w:rsidP="0085790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Aktivitetet e planifikuara për vitin 2021</w:t>
            </w:r>
          </w:p>
        </w:tc>
        <w:tc>
          <w:tcPr>
            <w:tcW w:w="6777" w:type="dxa"/>
          </w:tcPr>
          <w:p w14:paraId="01B17F5B"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Liberalizimi i tregut të energjisë elektrike (konsumatorët në tregun e lirë).</w:t>
            </w:r>
          </w:p>
        </w:tc>
        <w:tc>
          <w:tcPr>
            <w:tcW w:w="1985" w:type="dxa"/>
          </w:tcPr>
          <w:p w14:paraId="116F87C6" w14:textId="77777777" w:rsidR="008B65A8" w:rsidRPr="005208DC" w:rsidRDefault="008B65A8" w:rsidP="0085790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4</w:t>
            </w:r>
          </w:p>
        </w:tc>
      </w:tr>
      <w:tr w:rsidR="005208DC" w:rsidRPr="005208DC" w14:paraId="4FE4BF17" w14:textId="77777777" w:rsidTr="007F2542">
        <w:tc>
          <w:tcPr>
            <w:tcW w:w="1723" w:type="dxa"/>
            <w:vMerge/>
          </w:tcPr>
          <w:p w14:paraId="058ECCAC" w14:textId="77777777" w:rsidR="008B65A8" w:rsidRPr="005208DC" w:rsidRDefault="008B65A8" w:rsidP="00857902">
            <w:pPr>
              <w:rPr>
                <w:rFonts w:asciiTheme="majorBidi" w:hAnsiTheme="majorBidi" w:cstheme="majorBidi"/>
                <w:color w:val="0D0D0D" w:themeColor="text1" w:themeTint="F2"/>
                <w:lang w:val="sq-AL"/>
              </w:rPr>
            </w:pPr>
          </w:p>
        </w:tc>
        <w:tc>
          <w:tcPr>
            <w:tcW w:w="6777" w:type="dxa"/>
          </w:tcPr>
          <w:p w14:paraId="524EA23F" w14:textId="77777777" w:rsidR="008B65A8" w:rsidRPr="005208DC" w:rsidRDefault="008B65A8" w:rsidP="0085790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Shkëputja e aktivitetit të shpërndarjes nga furnizimi.</w:t>
            </w:r>
          </w:p>
        </w:tc>
        <w:tc>
          <w:tcPr>
            <w:tcW w:w="1985" w:type="dxa"/>
          </w:tcPr>
          <w:p w14:paraId="2DB33AD5" w14:textId="77777777" w:rsidR="008B65A8" w:rsidRPr="005208DC" w:rsidRDefault="008B65A8" w:rsidP="0085790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4</w:t>
            </w:r>
          </w:p>
        </w:tc>
      </w:tr>
      <w:tr w:rsidR="005208DC" w:rsidRPr="005208DC" w14:paraId="5970A6C0" w14:textId="77777777" w:rsidTr="007F2542">
        <w:tc>
          <w:tcPr>
            <w:tcW w:w="1723" w:type="dxa"/>
            <w:vMerge/>
          </w:tcPr>
          <w:p w14:paraId="1583BAA9" w14:textId="77777777" w:rsidR="008B65A8" w:rsidRPr="005208DC" w:rsidRDefault="008B65A8" w:rsidP="00857902">
            <w:pPr>
              <w:rPr>
                <w:rFonts w:asciiTheme="majorBidi" w:hAnsiTheme="majorBidi" w:cstheme="majorBidi"/>
                <w:color w:val="0D0D0D" w:themeColor="text1" w:themeTint="F2"/>
                <w:lang w:val="sq-AL"/>
              </w:rPr>
            </w:pPr>
          </w:p>
        </w:tc>
        <w:tc>
          <w:tcPr>
            <w:tcW w:w="6777" w:type="dxa"/>
          </w:tcPr>
          <w:p w14:paraId="799CAF0C" w14:textId="77777777" w:rsidR="008B65A8" w:rsidRPr="005208DC" w:rsidRDefault="008B65A8" w:rsidP="0085790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Krijimi i Bursës Shqiptare të Energjisë</w:t>
            </w:r>
          </w:p>
        </w:tc>
        <w:tc>
          <w:tcPr>
            <w:tcW w:w="1985" w:type="dxa"/>
          </w:tcPr>
          <w:p w14:paraId="0AF44E68" w14:textId="77777777" w:rsidR="008B65A8" w:rsidRPr="005208DC" w:rsidRDefault="008B65A8" w:rsidP="0085790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3</w:t>
            </w:r>
          </w:p>
        </w:tc>
      </w:tr>
      <w:tr w:rsidR="005208DC" w:rsidRPr="005208DC" w14:paraId="456E027B" w14:textId="77777777" w:rsidTr="007F2542">
        <w:tc>
          <w:tcPr>
            <w:tcW w:w="1723" w:type="dxa"/>
            <w:vMerge/>
          </w:tcPr>
          <w:p w14:paraId="51B9EBB7" w14:textId="77777777" w:rsidR="008B65A8" w:rsidRPr="005208DC" w:rsidRDefault="008B65A8" w:rsidP="00857902">
            <w:pPr>
              <w:rPr>
                <w:rFonts w:asciiTheme="majorBidi" w:hAnsiTheme="majorBidi" w:cstheme="majorBidi"/>
                <w:color w:val="0D0D0D" w:themeColor="text1" w:themeTint="F2"/>
                <w:lang w:val="sq-AL"/>
              </w:rPr>
            </w:pPr>
          </w:p>
        </w:tc>
        <w:tc>
          <w:tcPr>
            <w:tcW w:w="6777" w:type="dxa"/>
          </w:tcPr>
          <w:p w14:paraId="6494AEC2" w14:textId="77777777" w:rsidR="008B65A8" w:rsidRPr="005208DC" w:rsidRDefault="008B65A8" w:rsidP="0085790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Siguria e furnizimit</w:t>
            </w:r>
          </w:p>
        </w:tc>
        <w:tc>
          <w:tcPr>
            <w:tcW w:w="1985" w:type="dxa"/>
          </w:tcPr>
          <w:p w14:paraId="37013C2B" w14:textId="77777777" w:rsidR="008B65A8" w:rsidRPr="005208DC" w:rsidRDefault="008B65A8" w:rsidP="0085790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3</w:t>
            </w:r>
          </w:p>
        </w:tc>
      </w:tr>
      <w:tr w:rsidR="005208DC" w:rsidRPr="005208DC" w14:paraId="01306619" w14:textId="77777777" w:rsidTr="007F2542">
        <w:tc>
          <w:tcPr>
            <w:tcW w:w="1723" w:type="dxa"/>
            <w:vMerge w:val="restart"/>
          </w:tcPr>
          <w:p w14:paraId="2861FFC1" w14:textId="77777777" w:rsidR="008B65A8" w:rsidRPr="005208DC" w:rsidRDefault="008B65A8" w:rsidP="0085790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Përshkrimi i zbatimit dhe shpjegimi nëse është i pjesshëm ose aspak</w:t>
            </w:r>
          </w:p>
        </w:tc>
        <w:tc>
          <w:tcPr>
            <w:tcW w:w="6777" w:type="dxa"/>
          </w:tcPr>
          <w:p w14:paraId="529D4523"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Duke filluar nga data 18 mars 2020, të gjithë klientët e lidhur në rrjetin 35 kV furnizohen në tregun e liberalizuar, me përjashtim të subjekteve si pjesë e shërbimit publik:</w:t>
            </w:r>
          </w:p>
          <w:p w14:paraId="76722821"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Institucionet shtetërore që ofrojnë shërbime shëndetësore publike (spitale dhe qendra emergjente);</w:t>
            </w:r>
          </w:p>
          <w:p w14:paraId="147A60B8"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Kompanitë që ofrojnë ujë të pijshëm për konsumatorët;</w:t>
            </w:r>
          </w:p>
          <w:p w14:paraId="35DD2785"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Institucionet shtetërore që ekzekutojnë dënimet penale dhe institucionet shtetërore.</w:t>
            </w:r>
          </w:p>
          <w:p w14:paraId="0041E765" w14:textId="77777777" w:rsidR="008B65A8" w:rsidRPr="005208DC" w:rsidRDefault="008B65A8" w:rsidP="00857902">
            <w:pPr>
              <w:jc w:val="both"/>
              <w:rPr>
                <w:rFonts w:asciiTheme="majorBidi" w:hAnsiTheme="majorBidi" w:cstheme="majorBidi"/>
                <w:color w:val="0D0D0D" w:themeColor="text1" w:themeTint="F2"/>
                <w:lang w:val="sq-AL"/>
              </w:rPr>
            </w:pPr>
          </w:p>
          <w:p w14:paraId="7B56CB81"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Hyrja në tregun e parregulluar të konsumatorëve të energjisë elektrike të lidhur me 20 kV është e lidhur ngushtë me cilësinë e shërbimit të ofruar nga OSSH S.A, si dhe me treguesit e lejuar të performancës. Një nga elementët kryesorë për kontrollin e monitorimit të treguesve të cilësisë dhe performancës së tensionit të rrjetit të shpërndarjes së energjisë elektrike është:</w:t>
            </w:r>
          </w:p>
          <w:p w14:paraId="4BCA0E72"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a. instalimi i matësve inteligjentë në klientë i cili është ende në proces nga OSSH</w:t>
            </w:r>
          </w:p>
          <w:p w14:paraId="219919EF"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b. përgatitja e rrjetit 20 kV duke e kthyer atë në një rrjet SMART</w:t>
            </w:r>
          </w:p>
          <w:p w14:paraId="0984BC98"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c. Planifikimi i rrjeteve të energjisë elektrike në formë aktive (ku energjia ka dy drejtime) që vjen si rezultat i injektimit të energjisë nga përdoruesit/prodhuesit në rrjetin e shpërndarjes. Planifikimi i këtyre investimeve sjell si pasojë kërkesën për zbatimin e treguesve të cilësisë dhe për rrjedhojë hyrjen në një treg të parregulluar. Afatet për zbatimin e treguesve të cilësisë nuk lidhen me afatet e hyrjes së parregulluar në treg të klientëve jofamiljarë, por mund të përcaktojnë një tendencë daljeje në mënyrë të përshkallëzuar sipas zonave me ngarkesë/konsum më të lartë.</w:t>
            </w:r>
          </w:p>
          <w:p w14:paraId="4443D3BB" w14:textId="77777777" w:rsidR="008B65A8" w:rsidRPr="005208DC" w:rsidRDefault="008B65A8" w:rsidP="00857902">
            <w:pPr>
              <w:jc w:val="both"/>
              <w:rPr>
                <w:rFonts w:asciiTheme="majorBidi" w:hAnsiTheme="majorBidi" w:cstheme="majorBidi"/>
                <w:color w:val="0D0D0D" w:themeColor="text1" w:themeTint="F2"/>
                <w:lang w:val="sq-AL"/>
              </w:rPr>
            </w:pPr>
          </w:p>
          <w:p w14:paraId="791E95D4"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Lidhur me hapjen e tregut, me Urdhrin e Ministrit të Infrastrukturës dhe Energjisë nr. 28, datë 18.01.2021 “Për miratimin e udhërrëfyesit për hapjen e tregut dhe çrregullimin e çmimeve të energjisë elektrike”, u miratua udhërrëfyesi për hapjen e tregut dhe derregullimin e procesit, i cili parashikon</w:t>
            </w:r>
          </w:p>
          <w:p w14:paraId="2566F19C"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se duke filluar nga 1 janari 2021 të gjithë konsumatorët e kyçur në 35 kV dhe një pjesë e konsumatorëve të lidhur në 20 kV do të furnizohen përmes një tregu dhe çmimi të çrregulluar (faza 1) dhe duke filluar nga 1 janari 2022 të gjithë konsumatorët përveç 0.4 kV do të furnizohen me të çrregulluar. çmimet. Hyrja në tregun e parregulluar të konsumatorëve të energjisë elektrike është e lidhur ngushtë me cilësinë e shërbimit të ofruar nga OSSH S.A si dhe me treguesit e lejuar të performancës. Një nga elementët kryesorë për kontrollin e monitorimit të cilësisë së tensionit dhe treguesve të performancës së rrjetit të shpërndarjes së energjisë elektrike është vendosja e matësve inteligjentë tek klientët si detyrim i OSSH SA në përputhje me nenin 78 “Sistemet inteligjente të matjes” të ligjit nr.43/ 2015 “Për sektorin e energjisë elektrike” i ndryshuar. Sipas këtij neni, kërkohen investime të konsiderueshme si në sistemet e informacionit ashtu edhe në pajisjet terminale. Ndonëse gjatë viteve 2019 - 2020 janë realizuar dy projekte pilot për matje inteligjente, me rezultate premtuese dhe pozitive, sfidat me të cilat është përballur kompania në vitet e fundit duke filluar nga situata e pafavorshme hidrologjike, pasojat e tërmetit 2019 dhe ndikimi i Covid 2019. , kanë detyruar kompaninë të devijojë dhe të reduktojë investimet për të siguruar energji për të gjithë përdoruesit.</w:t>
            </w:r>
          </w:p>
        </w:tc>
        <w:tc>
          <w:tcPr>
            <w:tcW w:w="1985" w:type="dxa"/>
          </w:tcPr>
          <w:p w14:paraId="794FB06E" w14:textId="77777777" w:rsidR="008B65A8" w:rsidRPr="005208DC" w:rsidRDefault="008B65A8" w:rsidP="00857902">
            <w:pPr>
              <w:rPr>
                <w:rFonts w:asciiTheme="majorBidi" w:hAnsiTheme="majorBidi" w:cstheme="majorBidi"/>
                <w:color w:val="0D0D0D" w:themeColor="text1" w:themeTint="F2"/>
                <w:lang w:val="sq-AL"/>
              </w:rPr>
            </w:pPr>
          </w:p>
        </w:tc>
      </w:tr>
      <w:tr w:rsidR="005208DC" w:rsidRPr="005208DC" w14:paraId="09DF05E8" w14:textId="77777777" w:rsidTr="007F2542">
        <w:tc>
          <w:tcPr>
            <w:tcW w:w="1723" w:type="dxa"/>
            <w:vMerge/>
          </w:tcPr>
          <w:p w14:paraId="38C9838E" w14:textId="77777777" w:rsidR="008B65A8" w:rsidRPr="005208DC" w:rsidRDefault="008B65A8" w:rsidP="00857902">
            <w:pPr>
              <w:rPr>
                <w:rFonts w:asciiTheme="majorBidi" w:hAnsiTheme="majorBidi" w:cstheme="majorBidi"/>
                <w:color w:val="0D0D0D" w:themeColor="text1" w:themeTint="F2"/>
                <w:lang w:val="sq-AL"/>
              </w:rPr>
            </w:pPr>
          </w:p>
        </w:tc>
        <w:tc>
          <w:tcPr>
            <w:tcW w:w="6777" w:type="dxa"/>
          </w:tcPr>
          <w:p w14:paraId="25C8BA73"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Në datën 1 janar 2020, ka përfunduar ndarja ligjore dhe funksionale e Operatorit të Sistemit të Shpërndarjes (OSHEE S.A.) në përputhje me Vendimin e Bordit të Komisionerëve të ERE-s nr. 211, datë 18.12.2019 dhe tre shoqëritë bija të inkorporuara po kryejnë aktivitetin e tyre:</w:t>
            </w:r>
          </w:p>
          <w:p w14:paraId="20A5A73E"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1. Furnizuesi i Shërbimit Universal S.A. (FSHU) me objekt veprimtarinë “Furnizimi me energji elektrike i klientëve fundorë që operojnë në tregun e rregulluar të përcaktuar nga legjislacioni në fuqi”;</w:t>
            </w:r>
          </w:p>
          <w:p w14:paraId="0E0DCAB8"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2. Furnizuesi i Tregut të Lirë S.A. (FTL) me objekt aktivitetin “Blerje dhe administrim të energjisë elektrike dhe operim në tregun e lirë etj”;</w:t>
            </w:r>
          </w:p>
          <w:p w14:paraId="4226BC7A"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3. Operatori i Sistemit të Shpërndarjes SA (OSSH) me objekt veprimtarinë “Shpërndarja e energjisë elektrike, ndërtimi, funksionimi dhe mirëmbajtja e rrjetit të shpërndarjes së energjisë elektrike për furnizimin me energji elektrike të konsumatorëve, lidhjen e konsumatorëve dhe përdoruesve të rrjetit energji elektrike, shpërndarje, instalim. dhe shërbimet e matjes së energjisë elektrike etj”.</w:t>
            </w:r>
          </w:p>
          <w:p w14:paraId="631960AC" w14:textId="77777777" w:rsidR="008B65A8" w:rsidRPr="005208DC" w:rsidRDefault="008B65A8" w:rsidP="00857902">
            <w:pPr>
              <w:jc w:val="both"/>
              <w:rPr>
                <w:rFonts w:asciiTheme="majorBidi" w:hAnsiTheme="majorBidi" w:cstheme="majorBidi"/>
                <w:color w:val="0D0D0D" w:themeColor="text1" w:themeTint="F2"/>
                <w:lang w:val="sq-AL"/>
              </w:rPr>
            </w:pPr>
          </w:p>
          <w:p w14:paraId="5F9E83D8"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Enti Rregullator i Energjisë Shqiptare, me Vendimin e Bordit të Komisionerëve të ERE-s nr. 257, datë 21.12.2020 “Për miratimin e Programit të Përputhshmërisë së Operatorit të Sistemit të Shpërndarjes”, miratoi Programin e Përputhshmërisë së Operatorit të Sistemit të Shpërndarjes.</w:t>
            </w:r>
          </w:p>
        </w:tc>
        <w:tc>
          <w:tcPr>
            <w:tcW w:w="1985" w:type="dxa"/>
          </w:tcPr>
          <w:p w14:paraId="5F34DBBF" w14:textId="77777777" w:rsidR="008B65A8" w:rsidRPr="005208DC" w:rsidRDefault="008B65A8" w:rsidP="00857902">
            <w:pPr>
              <w:rPr>
                <w:rFonts w:asciiTheme="majorBidi" w:hAnsiTheme="majorBidi" w:cstheme="majorBidi"/>
                <w:color w:val="0D0D0D" w:themeColor="text1" w:themeTint="F2"/>
                <w:lang w:val="sq-AL"/>
              </w:rPr>
            </w:pPr>
          </w:p>
        </w:tc>
      </w:tr>
      <w:tr w:rsidR="005208DC" w:rsidRPr="005208DC" w14:paraId="64AD9525" w14:textId="77777777" w:rsidTr="007F2542">
        <w:tc>
          <w:tcPr>
            <w:tcW w:w="1723" w:type="dxa"/>
            <w:vMerge/>
          </w:tcPr>
          <w:p w14:paraId="4BF24EC0" w14:textId="77777777" w:rsidR="008B65A8" w:rsidRPr="005208DC" w:rsidRDefault="008B65A8" w:rsidP="00857902">
            <w:pPr>
              <w:rPr>
                <w:rFonts w:asciiTheme="majorBidi" w:hAnsiTheme="majorBidi" w:cstheme="majorBidi"/>
                <w:color w:val="0D0D0D" w:themeColor="text1" w:themeTint="F2"/>
                <w:lang w:val="sq-AL"/>
              </w:rPr>
            </w:pPr>
          </w:p>
        </w:tc>
        <w:tc>
          <w:tcPr>
            <w:tcW w:w="6777" w:type="dxa"/>
          </w:tcPr>
          <w:p w14:paraId="29C401CE"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Më 5 tetor 2020, Operatori i Sistemit të Transmisionit – (OST SA) dhe Sistemi i Operatorit të Transmisionit dhe Tregut – (KOSTT SA), nënshkruan Marrëveshjen e Aksionarëve dhe Statutin për themelimin e Ndërmarrjes së Shkëmbimit të Energjisë Elektrike që do të operojë kompaninë e shkurtër. tregjet termike të energjisë elektrike në Shqipëri dhe në Kosovë.</w:t>
            </w:r>
          </w:p>
          <w:p w14:paraId="5F85FE72" w14:textId="77777777" w:rsidR="008B65A8" w:rsidRPr="005208DC" w:rsidRDefault="008B65A8" w:rsidP="00857902">
            <w:pPr>
              <w:jc w:val="both"/>
              <w:rPr>
                <w:rFonts w:asciiTheme="majorBidi" w:hAnsiTheme="majorBidi" w:cstheme="majorBidi"/>
                <w:color w:val="0D0D0D" w:themeColor="text1" w:themeTint="F2"/>
                <w:lang w:val="sq-AL"/>
              </w:rPr>
            </w:pPr>
          </w:p>
          <w:p w14:paraId="327F479D"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Operatori i Shkëmbimit të Energjisë Elektrike (ALPEX) është regjistruar në Qendrën Kombëtare të Biznesit më 23.10.2020 dhe janë krijuar organet drejtuese të tij.</w:t>
            </w:r>
          </w:p>
          <w:p w14:paraId="57EB1099" w14:textId="77777777" w:rsidR="008B65A8" w:rsidRPr="005208DC" w:rsidRDefault="008B65A8" w:rsidP="00857902">
            <w:pPr>
              <w:jc w:val="both"/>
              <w:rPr>
                <w:rFonts w:asciiTheme="majorBidi" w:hAnsiTheme="majorBidi" w:cstheme="majorBidi"/>
                <w:color w:val="0D0D0D" w:themeColor="text1" w:themeTint="F2"/>
                <w:lang w:val="sq-AL"/>
              </w:rPr>
            </w:pPr>
          </w:p>
          <w:p w14:paraId="6FE8B11E"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Struktura Organizative e shoqërisë ALPEX është miratuar me Vendimin e Këshillit Mbikëqyrës të shoqërisë Nr. 5, datë 19.11.2020 “Për miratimin e Strukturës Organizative të ALPEX”.</w:t>
            </w:r>
          </w:p>
          <w:p w14:paraId="4CDFCF8C" w14:textId="77777777" w:rsidR="008B65A8" w:rsidRPr="005208DC" w:rsidRDefault="008B65A8" w:rsidP="00857902">
            <w:pPr>
              <w:jc w:val="both"/>
              <w:rPr>
                <w:rFonts w:asciiTheme="majorBidi" w:hAnsiTheme="majorBidi" w:cstheme="majorBidi"/>
                <w:color w:val="0D0D0D" w:themeColor="text1" w:themeTint="F2"/>
                <w:lang w:val="sq-AL"/>
              </w:rPr>
            </w:pPr>
          </w:p>
          <w:p w14:paraId="412A0D3E"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ALPEX do të operojë lidhjen e tregut një ditë përpara ndërmjet Shqipërisë dhe Kosovës, menjëherë pas funksionalizimit të tij.</w:t>
            </w:r>
          </w:p>
          <w:p w14:paraId="054AE622" w14:textId="77777777" w:rsidR="008B65A8" w:rsidRPr="005208DC" w:rsidRDefault="008B65A8" w:rsidP="00857902">
            <w:pPr>
              <w:jc w:val="both"/>
              <w:rPr>
                <w:rFonts w:asciiTheme="majorBidi" w:hAnsiTheme="majorBidi" w:cstheme="majorBidi"/>
                <w:color w:val="0D0D0D" w:themeColor="text1" w:themeTint="F2"/>
                <w:lang w:val="sq-AL"/>
              </w:rPr>
            </w:pPr>
          </w:p>
          <w:p w14:paraId="256B5B54"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U përgatitën termat e referencës për parashikimin e infrastrukturës dhe shërbimeve të nevojshme për funksionimin e tregut të organizuar dhe në datën 18 mars 2021, ALPEX (Autoriteti Kontraktor) nisi procedurën ndërkombëtare të ofertës së hapur për “Platformën e Tregtisë Elektronike për Ditën e Përpara dhe Brenda. Tregu dhe Shërbimet Ditore, të nevojshme për funksionimin e Tregut të Organizuar në Shqipëri dhe Kosovë. Kjo procedurë u anulua pasi pjesëmarrësi nuk i plotësonte kriteret e pranueshmërisë.</w:t>
            </w:r>
          </w:p>
          <w:p w14:paraId="229B691A" w14:textId="77777777" w:rsidR="008B65A8" w:rsidRPr="005208DC" w:rsidRDefault="008B65A8" w:rsidP="00857902">
            <w:pPr>
              <w:jc w:val="both"/>
              <w:rPr>
                <w:rFonts w:asciiTheme="majorBidi" w:hAnsiTheme="majorBidi" w:cstheme="majorBidi"/>
                <w:color w:val="0D0D0D" w:themeColor="text1" w:themeTint="F2"/>
                <w:lang w:val="sq-AL"/>
              </w:rPr>
            </w:pPr>
          </w:p>
          <w:p w14:paraId="3F1BDE24"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ALPEX (Autoriteti Kontraktor) rifilloi procedurën e hapur ndërkombëtare të ofertës për “Platformën Elektronike të Tregtisë për Tregun dhe Shërbimet Ditë-Përpara dhe Brenda Ditës, të nevojshme për funksionimin e Tregut të Organizuar në Shqipëri dhe Kosovë”. Ofertat u hapën më 2.08.202 dhe kishin aplikuar dy operatorë. Procedura u anulua sepse asnjë nga ofertat nuk ishte e vlefshme.</w:t>
            </w:r>
          </w:p>
          <w:p w14:paraId="2B25E0CC" w14:textId="77777777" w:rsidR="008B65A8" w:rsidRPr="005208DC" w:rsidRDefault="008B65A8" w:rsidP="00857902">
            <w:pPr>
              <w:jc w:val="both"/>
              <w:rPr>
                <w:rFonts w:asciiTheme="majorBidi" w:hAnsiTheme="majorBidi" w:cstheme="majorBidi"/>
                <w:color w:val="0D0D0D" w:themeColor="text1" w:themeTint="F2"/>
                <w:lang w:val="sq-AL"/>
              </w:rPr>
            </w:pPr>
          </w:p>
          <w:p w14:paraId="672DC427"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ALPEX ka rishpallur procedurën e tenderit, por procedura është pezulluar për shkak të ankesës së paraqitur në Komisionin e Prokurimit Publik lidhur me kriteret.</w:t>
            </w:r>
          </w:p>
          <w:p w14:paraId="61CB0866" w14:textId="77777777" w:rsidR="008B65A8" w:rsidRPr="005208DC" w:rsidRDefault="008B65A8" w:rsidP="00857902">
            <w:pPr>
              <w:jc w:val="both"/>
              <w:rPr>
                <w:rFonts w:asciiTheme="majorBidi" w:hAnsiTheme="majorBidi" w:cstheme="majorBidi"/>
                <w:color w:val="0D0D0D" w:themeColor="text1" w:themeTint="F2"/>
                <w:lang w:val="sq-AL"/>
              </w:rPr>
            </w:pPr>
          </w:p>
          <w:p w14:paraId="450E110A"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ERE miratoi Vendimin e Bordit të Komisionerëve të ERE-s nr. 126, datë 17.05.2021 “Për miratimin e Rregullores për Integritetin dhe Transparencën e Tregjeve të Energjisë Elektrike me Shumicë” – REMIT.</w:t>
            </w:r>
          </w:p>
          <w:p w14:paraId="47B07A42" w14:textId="77777777" w:rsidR="008B65A8" w:rsidRPr="005208DC" w:rsidRDefault="008B65A8" w:rsidP="00857902">
            <w:pPr>
              <w:jc w:val="both"/>
              <w:rPr>
                <w:rFonts w:asciiTheme="majorBidi" w:hAnsiTheme="majorBidi" w:cstheme="majorBidi"/>
                <w:color w:val="0D0D0D" w:themeColor="text1" w:themeTint="F2"/>
                <w:lang w:val="sq-AL"/>
              </w:rPr>
            </w:pPr>
          </w:p>
          <w:p w14:paraId="584F16B5"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Miratimi i REMIT synon të garantojë kushte konkurruese transparente si dhe të luftojë dhe parandalojë sjelljet abuzive duke identifikuar menjëherë çdo nevojë për t'u përshtatur brenda rregullores (edhe për qëllime të sigurisë së sistemit), si dhe çdo raportim mbi konkurrencën në treg.</w:t>
            </w:r>
          </w:p>
          <w:p w14:paraId="6D270AB2" w14:textId="77777777" w:rsidR="008B65A8" w:rsidRPr="005208DC" w:rsidRDefault="008B65A8" w:rsidP="00857902">
            <w:pPr>
              <w:jc w:val="both"/>
              <w:rPr>
                <w:rFonts w:asciiTheme="majorBidi" w:hAnsiTheme="majorBidi" w:cstheme="majorBidi"/>
                <w:color w:val="0D0D0D" w:themeColor="text1" w:themeTint="F2"/>
                <w:lang w:val="sq-AL"/>
              </w:rPr>
            </w:pPr>
          </w:p>
          <w:p w14:paraId="0DD252EA"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ERE, me Vendimin nr. 203, datë 12.12.2019, miratoi Rregulloren për monitorimin e Tregut të Energjisë Elektrike, si hap i parë për të përcaktuar në detaje mënyrën dhe procedurat që duhen ndjekur nga ERE për të monitoruar funksionimin e tregut të energjisë elektrike në vendin tonë. Zbatimi i plotë i rregullores së monitorimit të tregut dhe REMIT do të jetë një sfidë jo vetëm për Rregullatorin, por për të gjithë pjesëmarrësit në tregun e energjisë elektrike në vendin tonë, gjatë krijimit të Bursës së Energjisë. Në të njëjtën kohë, Rregullorja do të krijojë kushte për transparencë në zgjerimin e liberalizimit të tregut të energjisë elektrike në Shqipëri.</w:t>
            </w:r>
          </w:p>
        </w:tc>
        <w:tc>
          <w:tcPr>
            <w:tcW w:w="1985" w:type="dxa"/>
          </w:tcPr>
          <w:p w14:paraId="58C3A569" w14:textId="77777777" w:rsidR="008B65A8" w:rsidRPr="005208DC" w:rsidRDefault="008B65A8" w:rsidP="00857902">
            <w:pPr>
              <w:rPr>
                <w:rFonts w:asciiTheme="majorBidi" w:hAnsiTheme="majorBidi" w:cstheme="majorBidi"/>
                <w:color w:val="0D0D0D" w:themeColor="text1" w:themeTint="F2"/>
                <w:lang w:val="sq-AL"/>
              </w:rPr>
            </w:pPr>
          </w:p>
        </w:tc>
      </w:tr>
      <w:tr w:rsidR="005208DC" w:rsidRPr="005208DC" w14:paraId="6D8B91FF" w14:textId="77777777" w:rsidTr="007F2542">
        <w:tc>
          <w:tcPr>
            <w:tcW w:w="1723" w:type="dxa"/>
            <w:vMerge/>
          </w:tcPr>
          <w:p w14:paraId="723F8AC6" w14:textId="77777777" w:rsidR="008B65A8" w:rsidRPr="005208DC" w:rsidRDefault="008B65A8" w:rsidP="00857902">
            <w:pPr>
              <w:rPr>
                <w:rFonts w:asciiTheme="majorBidi" w:hAnsiTheme="majorBidi" w:cstheme="majorBidi"/>
                <w:color w:val="0D0D0D" w:themeColor="text1" w:themeTint="F2"/>
                <w:lang w:val="sq-AL"/>
              </w:rPr>
            </w:pPr>
          </w:p>
        </w:tc>
        <w:tc>
          <w:tcPr>
            <w:tcW w:w="6777" w:type="dxa"/>
          </w:tcPr>
          <w:p w14:paraId="0ABBC212" w14:textId="77777777" w:rsidR="008B65A8" w:rsidRPr="005208DC" w:rsidRDefault="008B65A8" w:rsidP="00F957E8">
            <w:pPr>
              <w:pStyle w:val="ListParagraph"/>
              <w:widowControl/>
              <w:numPr>
                <w:ilvl w:val="0"/>
                <w:numId w:val="124"/>
              </w:numPr>
              <w:jc w:val="both"/>
              <w:rPr>
                <w:rFonts w:asciiTheme="majorBidi" w:hAnsiTheme="majorBidi" w:cstheme="majorBidi"/>
                <w:color w:val="0D0D0D" w:themeColor="text1" w:themeTint="F2"/>
                <w:sz w:val="24"/>
                <w:szCs w:val="24"/>
                <w:lang w:val="sq-AL"/>
              </w:rPr>
            </w:pPr>
            <w:r w:rsidRPr="005208DC">
              <w:rPr>
                <w:rFonts w:asciiTheme="majorBidi" w:eastAsia="Calibri" w:hAnsiTheme="majorBidi" w:cstheme="majorBidi"/>
                <w:color w:val="0D0D0D" w:themeColor="text1" w:themeTint="F2"/>
                <w:sz w:val="24"/>
                <w:szCs w:val="24"/>
                <w:lang w:val="sq-AL"/>
              </w:rPr>
              <w:t>Investimet në rrjetin e shpërndarjes/transmetimit dhe sistemin e gjenerimit</w:t>
            </w:r>
          </w:p>
          <w:p w14:paraId="0C773567"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xml:space="preserve">     Linja e interkonjeksionit 400 kV ndërmjet Shqipërisë dhe</w:t>
            </w:r>
          </w:p>
          <w:p w14:paraId="54487474"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xml:space="preserve">    Kosova</w:t>
            </w:r>
          </w:p>
          <w:p w14:paraId="7AA85D47"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Linja e interkonjeksionit 400 kV ndërmjet Shqipërisë dhe Kosovës përfundoi më 28.06.2016 dhe më 20.04.2020, u përmbyll me sukses marrëveshja e re për kyçje ndërmjet operatorit të sistemit të transmisionit të Kosovës (OST) KOSTT dhe ENTSO-E nga Grupi Rajonal i Evropës Kontinentale (RGCE). ). Pas votimit, e më pas nënshkrimit, KOSTT dhe Republika e Kosovës fitojnë pavarësinë energjetike nga Serbia dhe Operacionin e Pavarur si Zonë Rregullatore, në kuadër të Bllokut Rregullator Kosovë – Shqipëri. Më 14.12.2020, Marrëveshja e Kyçjes ndërmjet KOSTT-it dhe operatorëve të sistemit të transmisionit (OST) nga Evropa Kontinentale ka hyrë në fuqi duke shënuar ditën e parë të funksionimit të KOSTT-it si zonë kontrolli brenda bllokut të përbashkët të kontrollit me OST-në Shqiptare, OST. Përveç kësaj, linja e re 400 kV ndërmjet Kosovës dhe Shqipërisë tani është në funksionim duke kontribuar në shkëmbimet e mëtejshme ndërkufitare.</w:t>
            </w:r>
          </w:p>
          <w:p w14:paraId="280F7683"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 Linja e interkonjeksionit 400 kV Shqipëri – Maqedoni e Veriut</w:t>
            </w:r>
          </w:p>
          <w:p w14:paraId="74425408"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Linja e interkonjeksionit 400 kV Shqipëri - Maqedoni e Veriut, është një nga projektet më të rëndësishme të sektorit elektroenergjetik shqiptar dhe në përputhje të plotë me politikat e Qeverisë Shqiptare për mbështetjen e sektorit elektroenergjetik, i cili synon rritjen e kapaciteteve të transmetimit të energjisë elektrike, për përmirësimin. Siguria e furnizimit me kosto efikase dhe reduktimi i humbjeve në transmetimin dhe furnizimin me energji elektrike në Shqipëri, krijojnë kushtet për një treg të integruar të energjisë elektrike në rajon dhe krijimin e kapaciteteve të importit dhe eksportit të energjisë elektrike.</w:t>
            </w:r>
          </w:p>
          <w:p w14:paraId="2F9EABF2" w14:textId="77777777" w:rsidR="008B65A8" w:rsidRPr="005208DC" w:rsidRDefault="008B65A8" w:rsidP="00857902">
            <w:pPr>
              <w:jc w:val="both"/>
              <w:rPr>
                <w:rFonts w:asciiTheme="majorBidi" w:hAnsiTheme="majorBidi" w:cstheme="majorBidi"/>
                <w:color w:val="0D0D0D" w:themeColor="text1" w:themeTint="F2"/>
                <w:lang w:val="sq-AL"/>
              </w:rPr>
            </w:pPr>
          </w:p>
          <w:p w14:paraId="75373243"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Siç u raportua më parë, Operatori i Sistemit të Transmetimit nënshkroi kontratën me konsulentin gjerman Fichtner GmbH dhe Co.KG në datën 9.01.2018, e cila ka hyrë në fuqi më 16.04.2018, për shërbimin e konsulencës në linjën e interkonjeksionit 400 kV Shqipëri – Maqedoni e Veriut. Linja Elbasani – Fieri dhe zgjerimi i nënstacionit Elbasani 2 dhe nënstacionit Fieri. Konsulenca do të mbulojë fazën 12 mujore të përgatitjes dhe tenderimit të projektit, si dhe fazën 24 mujore të zbatimit dhe përfundimit të tij.</w:t>
            </w:r>
          </w:p>
          <w:p w14:paraId="61901BE4" w14:textId="77777777" w:rsidR="008B65A8" w:rsidRPr="005208DC" w:rsidRDefault="008B65A8" w:rsidP="00857902">
            <w:pPr>
              <w:jc w:val="both"/>
              <w:rPr>
                <w:rFonts w:asciiTheme="majorBidi" w:hAnsiTheme="majorBidi" w:cstheme="majorBidi"/>
                <w:color w:val="0D0D0D" w:themeColor="text1" w:themeTint="F2"/>
                <w:lang w:val="sq-AL"/>
              </w:rPr>
            </w:pPr>
          </w:p>
          <w:p w14:paraId="708AD4DD"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Procedura e tenderit për përzgjedhjen e Kontraktorëve që do të zbatojnë projektin për çdo lot, është zhvilluar në bazë të dokumentacionit të tenderit të përgatitur nga kompania konsulente gjermane Fichtner Gmbh &amp; Co.KG-Germany si një procedurë e hapur ndërkombëtare, bazuar në dispozitat e Udhëzues i KfW-së “Udhëzues për Shërbimet e Konsulencës së Prokurimit, Punët, Impiantet, Mallrat dhe Shërbimet Jo-Konsulente në Bashkëpunimin Financiar me Vendet Partnere, Janar 2019”.</w:t>
            </w:r>
          </w:p>
          <w:p w14:paraId="191516BA"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Projekti është i ndarë në dy Lote: Loti 1 (Linjat) dhe Loti 2 (Nënstacionet).</w:t>
            </w:r>
          </w:p>
          <w:p w14:paraId="59159B89" w14:textId="77777777" w:rsidR="008B65A8" w:rsidRPr="005208DC" w:rsidRDefault="008B65A8" w:rsidP="00857902">
            <w:pPr>
              <w:jc w:val="both"/>
              <w:rPr>
                <w:rFonts w:asciiTheme="majorBidi" w:hAnsiTheme="majorBidi" w:cstheme="majorBidi"/>
                <w:color w:val="0D0D0D" w:themeColor="text1" w:themeTint="F2"/>
                <w:lang w:val="sq-AL"/>
              </w:rPr>
            </w:pPr>
          </w:p>
          <w:p w14:paraId="2CFCB8ED"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Faza aktuale e Lotit 1</w:t>
            </w:r>
          </w:p>
          <w:p w14:paraId="764F33FC"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Pas marrjes së “Pa Kundërshtim” nga KfW, kontrata e zbatimit të projektit me ofertuesin fitues për këtë lot JV Mitas Energy and Metal Construction Inc - DOKO sh.pk (Turqi &amp; Shqipëri), është nënshkruar në datën 14.01.2021, me vlerë prej 24,642,478,02 Euro. Data e hyrjes në fuqi e kontratës pas plotësimit të kushteve të parashikuara në këtë kontratë ka qenë data 10.03.2021. Afati/orari i përfundimit të projektit për këtë lot është parashikuar 24 muaj nga data e hyrjes në fuqi të kontratës.</w:t>
            </w:r>
          </w:p>
          <w:p w14:paraId="578A4D38" w14:textId="77777777" w:rsidR="008B65A8" w:rsidRPr="005208DC" w:rsidRDefault="008B65A8" w:rsidP="00857902">
            <w:pPr>
              <w:jc w:val="both"/>
              <w:rPr>
                <w:rFonts w:asciiTheme="majorBidi" w:hAnsiTheme="majorBidi" w:cstheme="majorBidi"/>
                <w:color w:val="0D0D0D" w:themeColor="text1" w:themeTint="F2"/>
                <w:lang w:val="sq-AL"/>
              </w:rPr>
            </w:pPr>
          </w:p>
          <w:p w14:paraId="6FC15527"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Faza aktuale e Lotit 2</w:t>
            </w:r>
          </w:p>
          <w:p w14:paraId="66ECA404"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Pas marrjes së “Pa Kundërshtim” nga KfW, kontrata e zbatimit të projektit me ofertuesin fitues për këtë lot Mytilineos S.A. (Greqi) është nënshkruar më 14.04.2021, me vlerë 21,173,500.00 Euro. Kontrata pritet të hyjë në fuqi së shpejti, pas plotësimit të kushteve të përcaktuara në të. Afati/data e përfundimit të projektit për këtë lot është parashikuar 24 muaj nga data e hyrjes në fuqi të kontratës.</w:t>
            </w:r>
          </w:p>
          <w:p w14:paraId="1F5D0832" w14:textId="77777777" w:rsidR="008B65A8" w:rsidRPr="005208DC" w:rsidRDefault="008B65A8" w:rsidP="00857902">
            <w:pPr>
              <w:jc w:val="both"/>
              <w:rPr>
                <w:rFonts w:asciiTheme="majorBidi" w:hAnsiTheme="majorBidi" w:cstheme="majorBidi"/>
                <w:color w:val="0D0D0D" w:themeColor="text1" w:themeTint="F2"/>
                <w:lang w:val="sq-AL"/>
              </w:rPr>
            </w:pPr>
          </w:p>
          <w:p w14:paraId="4F10185E"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Më datë 30.08.2021 është shpallur fillimi i ndërtimit të Nënstacionit 400 kV/110 kV të Ohrit i cili do të lidhet me hyrje dhe dalje në interkoneksionin e ri 400 kV Manastir – Elbasan. Realizimi i këtij projekti kapital infrastrukturor përfundon ndërlidhjen elektrike mes dy vendeve Maqedonia e Veriut dhe Shqipëria dhe rajoni.</w:t>
            </w:r>
          </w:p>
          <w:p w14:paraId="37839C73" w14:textId="77777777" w:rsidR="008B65A8" w:rsidRPr="005208DC" w:rsidRDefault="008B65A8" w:rsidP="00857902">
            <w:pPr>
              <w:jc w:val="both"/>
              <w:rPr>
                <w:rFonts w:asciiTheme="majorBidi" w:hAnsiTheme="majorBidi" w:cstheme="majorBidi"/>
                <w:color w:val="0D0D0D" w:themeColor="text1" w:themeTint="F2"/>
                <w:lang w:val="sq-AL"/>
              </w:rPr>
            </w:pPr>
          </w:p>
          <w:p w14:paraId="4F15BA7F"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Zvogëlimi i mëtejshëm i humbjeve të shpërndarjes - Niveli i humbjeve të energjisë elektrike në rrjetin e shpërndarjes</w:t>
            </w:r>
          </w:p>
          <w:p w14:paraId="0FA0885C"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Viti 2020 – 21,48 %;</w:t>
            </w:r>
          </w:p>
          <w:p w14:paraId="1C9BEC51"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Viti 2021 (Janar – Korrik) – 24%</w:t>
            </w:r>
          </w:p>
          <w:p w14:paraId="24C5B06D" w14:textId="77777777" w:rsidR="008B65A8" w:rsidRPr="005208DC" w:rsidRDefault="008B65A8" w:rsidP="00857902">
            <w:pPr>
              <w:jc w:val="both"/>
              <w:rPr>
                <w:rFonts w:asciiTheme="majorBidi" w:hAnsiTheme="majorBidi" w:cstheme="majorBidi"/>
                <w:color w:val="0D0D0D" w:themeColor="text1" w:themeTint="F2"/>
                <w:lang w:val="sq-AL"/>
              </w:rPr>
            </w:pPr>
          </w:p>
          <w:p w14:paraId="4F0E06A3"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Rritje e mëtejshme e normave të arkëtimit të faturave - Norma e arkëtimit të faturave</w:t>
            </w:r>
          </w:p>
          <w:p w14:paraId="6821682A" w14:textId="77777777" w:rsidR="008B65A8" w:rsidRPr="005208DC" w:rsidRDefault="008B65A8" w:rsidP="00857902">
            <w:pPr>
              <w:tabs>
                <w:tab w:val="left" w:pos="3804"/>
              </w:tabs>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Viti 2020 – 95,8 %</w:t>
            </w:r>
            <w:r w:rsidRPr="005208DC">
              <w:rPr>
                <w:rFonts w:asciiTheme="majorBidi" w:hAnsiTheme="majorBidi" w:cstheme="majorBidi"/>
                <w:color w:val="0D0D0D" w:themeColor="text1" w:themeTint="F2"/>
                <w:lang w:val="sq-AL"/>
              </w:rPr>
              <w:tab/>
            </w:r>
          </w:p>
          <w:p w14:paraId="64A60200" w14:textId="77777777" w:rsidR="008B65A8" w:rsidRPr="005208DC" w:rsidRDefault="008B65A8" w:rsidP="0085790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Viti 2021 (Janar – Korrik) – 112 %</w:t>
            </w:r>
          </w:p>
        </w:tc>
        <w:tc>
          <w:tcPr>
            <w:tcW w:w="1985" w:type="dxa"/>
          </w:tcPr>
          <w:p w14:paraId="4FA7A5AC" w14:textId="77777777" w:rsidR="008B65A8" w:rsidRPr="005208DC" w:rsidRDefault="008B65A8" w:rsidP="00857902">
            <w:pPr>
              <w:rPr>
                <w:rFonts w:asciiTheme="majorBidi" w:hAnsiTheme="majorBidi" w:cstheme="majorBidi"/>
                <w:color w:val="0D0D0D" w:themeColor="text1" w:themeTint="F2"/>
                <w:lang w:val="sq-AL"/>
              </w:rPr>
            </w:pPr>
          </w:p>
        </w:tc>
      </w:tr>
    </w:tbl>
    <w:p w14:paraId="17E1B1C8" w14:textId="77777777" w:rsidR="008B65A8" w:rsidRPr="005208DC" w:rsidRDefault="008B65A8" w:rsidP="00857902">
      <w:pPr>
        <w:snapToGrid w:val="0"/>
        <w:rPr>
          <w:rFonts w:asciiTheme="majorBidi" w:hAnsiTheme="majorBidi" w:cstheme="majorBidi"/>
          <w:color w:val="0D0D0D" w:themeColor="text1" w:themeTint="F2"/>
          <w:sz w:val="22"/>
          <w:szCs w:val="22"/>
          <w:lang w:val="sq-AL"/>
        </w:rPr>
      </w:pPr>
    </w:p>
    <w:tbl>
      <w:tblPr>
        <w:tblStyle w:val="TableGrid"/>
        <w:tblW w:w="10485" w:type="dxa"/>
        <w:tblLook w:val="04A0" w:firstRow="1" w:lastRow="0" w:firstColumn="1" w:lastColumn="0" w:noHBand="0" w:noVBand="1"/>
      </w:tblPr>
      <w:tblGrid>
        <w:gridCol w:w="1723"/>
        <w:gridCol w:w="6777"/>
        <w:gridCol w:w="1985"/>
      </w:tblGrid>
      <w:tr w:rsidR="005208DC" w:rsidRPr="005208DC" w14:paraId="29E6D487" w14:textId="77777777" w:rsidTr="00630CC2">
        <w:tc>
          <w:tcPr>
            <w:tcW w:w="8500" w:type="dxa"/>
            <w:gridSpan w:val="2"/>
            <w:shd w:val="clear" w:color="auto" w:fill="E5DFEC" w:themeFill="accent4" w:themeFillTint="33"/>
          </w:tcPr>
          <w:p w14:paraId="1D7CBC0F" w14:textId="63C3BD9B" w:rsidR="008B65A8" w:rsidRPr="005208DC" w:rsidRDefault="008B65A8" w:rsidP="00857902">
            <w:pPr>
              <w:rPr>
                <w:rFonts w:asciiTheme="majorBidi" w:hAnsiTheme="majorBidi" w:cstheme="majorBidi"/>
                <w:b/>
                <w:color w:val="0D0D0D" w:themeColor="text1" w:themeTint="F2"/>
                <w:lang w:val="sq-AL"/>
              </w:rPr>
            </w:pPr>
            <w:r w:rsidRPr="005208DC">
              <w:rPr>
                <w:rFonts w:asciiTheme="majorBidi" w:hAnsiTheme="majorBidi" w:cstheme="majorBidi"/>
                <w:b/>
                <w:color w:val="0D0D0D" w:themeColor="text1" w:themeTint="F2"/>
                <w:lang w:val="sq-AL"/>
              </w:rPr>
              <w:t>Masa e reformës: Diversifikimi i burimeve të energjisë përmes promovimit të burimeve të rinovueshme të energjisë dhe përmirës</w:t>
            </w:r>
            <w:r w:rsidR="00630CC2" w:rsidRPr="005208DC">
              <w:rPr>
                <w:rFonts w:asciiTheme="majorBidi" w:hAnsiTheme="majorBidi" w:cstheme="majorBidi"/>
                <w:b/>
                <w:color w:val="0D0D0D" w:themeColor="text1" w:themeTint="F2"/>
                <w:lang w:val="sq-AL"/>
              </w:rPr>
              <w:t>imeve të efiçencës së energjisë</w:t>
            </w:r>
          </w:p>
        </w:tc>
        <w:tc>
          <w:tcPr>
            <w:tcW w:w="1985" w:type="dxa"/>
            <w:shd w:val="clear" w:color="auto" w:fill="E5DFEC" w:themeFill="accent4" w:themeFillTint="33"/>
          </w:tcPr>
          <w:p w14:paraId="5547431F" w14:textId="77777777" w:rsidR="008B65A8" w:rsidRPr="005208DC" w:rsidRDefault="008B65A8" w:rsidP="00857902">
            <w:pPr>
              <w:rPr>
                <w:rFonts w:asciiTheme="majorBidi" w:hAnsiTheme="majorBidi" w:cstheme="majorBidi"/>
                <w:b/>
                <w:bCs/>
                <w:color w:val="0D0D0D" w:themeColor="text1" w:themeTint="F2"/>
                <w:lang w:val="sq-AL"/>
              </w:rPr>
            </w:pPr>
            <w:r w:rsidRPr="005208DC">
              <w:rPr>
                <w:rFonts w:asciiTheme="majorBidi" w:hAnsiTheme="majorBidi" w:cstheme="majorBidi"/>
                <w:b/>
                <w:bCs/>
                <w:color w:val="0D0D0D" w:themeColor="text1" w:themeTint="F2"/>
                <w:lang w:val="sq-AL"/>
              </w:rPr>
              <w:t>Faza e zbatimit të reformës (0-5)</w:t>
            </w:r>
          </w:p>
        </w:tc>
      </w:tr>
      <w:tr w:rsidR="005208DC" w:rsidRPr="005208DC" w14:paraId="2C214D9E" w14:textId="77777777" w:rsidTr="00630CC2">
        <w:trPr>
          <w:trHeight w:val="414"/>
        </w:trPr>
        <w:tc>
          <w:tcPr>
            <w:tcW w:w="1723" w:type="dxa"/>
            <w:vMerge w:val="restart"/>
            <w:shd w:val="clear" w:color="auto" w:fill="auto"/>
            <w:vAlign w:val="center"/>
          </w:tcPr>
          <w:p w14:paraId="177417D6" w14:textId="77777777" w:rsidR="008B65A8" w:rsidRPr="005208DC" w:rsidRDefault="008B65A8" w:rsidP="0085790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Aktivitetet e planifikuara për vitin 2021</w:t>
            </w:r>
          </w:p>
        </w:tc>
        <w:tc>
          <w:tcPr>
            <w:tcW w:w="6777" w:type="dxa"/>
            <w:shd w:val="clear" w:color="auto" w:fill="auto"/>
          </w:tcPr>
          <w:p w14:paraId="5BC32995" w14:textId="2E9328F5" w:rsidR="008B65A8" w:rsidRPr="005208DC" w:rsidRDefault="008B65A8" w:rsidP="00857902">
            <w:pPr>
              <w:pStyle w:val="ListParagraph"/>
              <w:numPr>
                <w:ilvl w:val="0"/>
                <w:numId w:val="4"/>
              </w:numPr>
              <w:jc w:val="both"/>
              <w:rPr>
                <w:rFonts w:asciiTheme="majorBidi" w:eastAsia="Times New Roman" w:hAnsiTheme="majorBidi" w:cstheme="majorBidi"/>
                <w:color w:val="0D0D0D" w:themeColor="text1" w:themeTint="F2"/>
                <w:spacing w:val="-1"/>
                <w:sz w:val="24"/>
                <w:szCs w:val="24"/>
                <w:lang w:val="sq-AL"/>
              </w:rPr>
            </w:pPr>
            <w:r w:rsidRPr="005208DC">
              <w:rPr>
                <w:rFonts w:asciiTheme="majorBidi" w:eastAsia="Times New Roman" w:hAnsiTheme="majorBidi" w:cstheme="majorBidi"/>
                <w:color w:val="0D0D0D" w:themeColor="text1" w:themeTint="F2"/>
                <w:spacing w:val="-1"/>
                <w:sz w:val="24"/>
                <w:szCs w:val="24"/>
                <w:lang w:val="sq-AL"/>
              </w:rPr>
              <w:t>Përgatitja dhe miratimi i akteve nënligjore bazuar në ligjin nr. 7/2017 për nxitjen e përdorimit të energjisë nga burimet e rinovueshme (MIE/AKBN/OSHEE/OST/ERE);</w:t>
            </w:r>
          </w:p>
          <w:p w14:paraId="691F25D9" w14:textId="77777777" w:rsidR="008B65A8" w:rsidRPr="005208DC" w:rsidRDefault="008B65A8" w:rsidP="00630CC2">
            <w:pPr>
              <w:pStyle w:val="ListParagraph"/>
              <w:ind w:left="720" w:firstLine="0"/>
              <w:jc w:val="both"/>
              <w:rPr>
                <w:rFonts w:asciiTheme="majorBidi" w:eastAsia="Times New Roman" w:hAnsiTheme="majorBidi" w:cstheme="majorBidi"/>
                <w:color w:val="0D0D0D" w:themeColor="text1" w:themeTint="F2"/>
                <w:spacing w:val="-1"/>
                <w:sz w:val="24"/>
                <w:szCs w:val="24"/>
                <w:lang w:val="sq-AL"/>
              </w:rPr>
            </w:pPr>
            <w:r w:rsidRPr="005208DC">
              <w:rPr>
                <w:rFonts w:asciiTheme="majorBidi" w:eastAsia="Times New Roman" w:hAnsiTheme="majorBidi" w:cstheme="majorBidi"/>
                <w:color w:val="0D0D0D" w:themeColor="text1" w:themeTint="F2"/>
                <w:spacing w:val="-1"/>
                <w:sz w:val="24"/>
                <w:szCs w:val="24"/>
                <w:lang w:val="sq-AL"/>
              </w:rPr>
              <w:t>a. VKM “Për detyrimin për blerjen e energjisë elektrike të prodhuar nga prodhuesit me përparësi të energjisë elektrike që nuk përfitojnë nga skema e mbështetjes sipas kontratës së diferencës;</w:t>
            </w:r>
          </w:p>
          <w:p w14:paraId="6AFBE52C" w14:textId="77777777" w:rsidR="008B65A8" w:rsidRPr="005208DC" w:rsidRDefault="008B65A8" w:rsidP="00630CC2">
            <w:pPr>
              <w:pStyle w:val="ListParagraph"/>
              <w:ind w:left="720" w:firstLine="0"/>
              <w:jc w:val="both"/>
              <w:rPr>
                <w:rFonts w:asciiTheme="majorBidi" w:eastAsia="Times New Roman" w:hAnsiTheme="majorBidi" w:cstheme="majorBidi"/>
                <w:color w:val="0D0D0D" w:themeColor="text1" w:themeTint="F2"/>
                <w:spacing w:val="-1"/>
                <w:sz w:val="24"/>
                <w:szCs w:val="24"/>
                <w:lang w:val="sq-AL"/>
              </w:rPr>
            </w:pPr>
            <w:r w:rsidRPr="005208DC">
              <w:rPr>
                <w:rFonts w:asciiTheme="majorBidi" w:eastAsia="Times New Roman" w:hAnsiTheme="majorBidi" w:cstheme="majorBidi"/>
                <w:color w:val="0D0D0D" w:themeColor="text1" w:themeTint="F2"/>
                <w:spacing w:val="-1"/>
                <w:sz w:val="24"/>
                <w:szCs w:val="24"/>
                <w:lang w:val="sq-AL"/>
              </w:rPr>
              <w:t>b. VKM “Për Metodologjinë e llogaritjes së çmimit të energjisë elektrike për vetëprodhuesit që përfitojnë nga skema e matjes neto”.</w:t>
            </w:r>
          </w:p>
        </w:tc>
        <w:tc>
          <w:tcPr>
            <w:tcW w:w="1985" w:type="dxa"/>
            <w:shd w:val="clear" w:color="auto" w:fill="auto"/>
          </w:tcPr>
          <w:p w14:paraId="5C93C60A" w14:textId="77777777" w:rsidR="008B65A8" w:rsidRPr="005208DC" w:rsidRDefault="008B65A8" w:rsidP="0085790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0</w:t>
            </w:r>
          </w:p>
        </w:tc>
      </w:tr>
      <w:tr w:rsidR="005208DC" w:rsidRPr="005208DC" w14:paraId="172E517C" w14:textId="77777777" w:rsidTr="00630CC2">
        <w:trPr>
          <w:trHeight w:val="415"/>
        </w:trPr>
        <w:tc>
          <w:tcPr>
            <w:tcW w:w="1723" w:type="dxa"/>
            <w:vMerge/>
            <w:shd w:val="clear" w:color="auto" w:fill="auto"/>
            <w:vAlign w:val="center"/>
          </w:tcPr>
          <w:p w14:paraId="14AB7407" w14:textId="77777777" w:rsidR="008B65A8" w:rsidRPr="005208DC" w:rsidRDefault="008B65A8" w:rsidP="00857902">
            <w:pPr>
              <w:rPr>
                <w:rFonts w:asciiTheme="majorBidi" w:hAnsiTheme="majorBidi" w:cstheme="majorBidi"/>
                <w:color w:val="0D0D0D" w:themeColor="text1" w:themeTint="F2"/>
                <w:lang w:val="sq-AL"/>
              </w:rPr>
            </w:pPr>
          </w:p>
        </w:tc>
        <w:tc>
          <w:tcPr>
            <w:tcW w:w="6777" w:type="dxa"/>
            <w:shd w:val="clear" w:color="auto" w:fill="auto"/>
          </w:tcPr>
          <w:p w14:paraId="108EEAEA" w14:textId="32728062" w:rsidR="008B65A8" w:rsidRPr="005208DC" w:rsidRDefault="008B65A8" w:rsidP="00857902">
            <w:pPr>
              <w:pStyle w:val="ListParagraph"/>
              <w:numPr>
                <w:ilvl w:val="0"/>
                <w:numId w:val="4"/>
              </w:numPr>
              <w:jc w:val="both"/>
              <w:rPr>
                <w:rFonts w:asciiTheme="majorBidi" w:eastAsia="Times New Roman" w:hAnsiTheme="majorBidi" w:cstheme="majorBidi"/>
                <w:color w:val="0D0D0D" w:themeColor="text1" w:themeTint="F2"/>
                <w:spacing w:val="-1"/>
                <w:sz w:val="24"/>
                <w:szCs w:val="24"/>
                <w:lang w:val="sq-AL"/>
              </w:rPr>
            </w:pPr>
            <w:r w:rsidRPr="005208DC">
              <w:rPr>
                <w:rFonts w:asciiTheme="majorBidi" w:eastAsia="Times New Roman" w:hAnsiTheme="majorBidi" w:cstheme="majorBidi"/>
                <w:color w:val="0D0D0D" w:themeColor="text1" w:themeTint="F2"/>
                <w:spacing w:val="-1"/>
                <w:sz w:val="24"/>
                <w:szCs w:val="24"/>
                <w:lang w:val="sq-AL"/>
              </w:rPr>
              <w:t>Përgatitja dhe miratimi i akteve nënligjore bazuar në ligjin për efiçencën e energjisë dhe ligjin për performancën energjetike në ndërtesa (MIE/BERZH/AEE);</w:t>
            </w:r>
          </w:p>
          <w:p w14:paraId="55D6D997" w14:textId="77777777" w:rsidR="008B65A8" w:rsidRPr="005208DC" w:rsidRDefault="008B65A8" w:rsidP="00630CC2">
            <w:pPr>
              <w:pStyle w:val="ListParagraph"/>
              <w:ind w:left="720" w:firstLine="0"/>
              <w:jc w:val="both"/>
              <w:rPr>
                <w:rFonts w:asciiTheme="majorBidi" w:eastAsia="Times New Roman" w:hAnsiTheme="majorBidi" w:cstheme="majorBidi"/>
                <w:color w:val="0D0D0D" w:themeColor="text1" w:themeTint="F2"/>
                <w:spacing w:val="-1"/>
                <w:sz w:val="24"/>
                <w:szCs w:val="24"/>
                <w:lang w:val="sq-AL"/>
              </w:rPr>
            </w:pPr>
            <w:r w:rsidRPr="005208DC">
              <w:rPr>
                <w:rFonts w:asciiTheme="majorBidi" w:eastAsia="Times New Roman" w:hAnsiTheme="majorBidi" w:cstheme="majorBidi"/>
                <w:color w:val="0D0D0D" w:themeColor="text1" w:themeTint="F2"/>
                <w:spacing w:val="-1"/>
                <w:sz w:val="24"/>
                <w:szCs w:val="24"/>
                <w:lang w:val="sq-AL"/>
              </w:rPr>
              <w:t>a. VKM “Për Miratimin e Metodologjisë Kombëtare të Llogaritjes së PEN”;</w:t>
            </w:r>
          </w:p>
          <w:p w14:paraId="2E6653BE" w14:textId="77777777" w:rsidR="008B65A8" w:rsidRPr="005208DC" w:rsidRDefault="008B65A8" w:rsidP="00630CC2">
            <w:pPr>
              <w:pStyle w:val="ListParagraph"/>
              <w:ind w:left="720" w:firstLine="0"/>
              <w:jc w:val="both"/>
              <w:rPr>
                <w:rFonts w:asciiTheme="majorBidi" w:eastAsia="Times New Roman" w:hAnsiTheme="majorBidi" w:cstheme="majorBidi"/>
                <w:color w:val="0D0D0D" w:themeColor="text1" w:themeTint="F2"/>
                <w:spacing w:val="-1"/>
                <w:sz w:val="24"/>
                <w:szCs w:val="24"/>
                <w:lang w:val="sq-AL"/>
              </w:rPr>
            </w:pPr>
            <w:r w:rsidRPr="005208DC">
              <w:rPr>
                <w:rFonts w:asciiTheme="majorBidi" w:eastAsia="Times New Roman" w:hAnsiTheme="majorBidi" w:cstheme="majorBidi"/>
                <w:color w:val="0D0D0D" w:themeColor="text1" w:themeTint="F2"/>
                <w:spacing w:val="-1"/>
                <w:sz w:val="24"/>
                <w:szCs w:val="24"/>
                <w:lang w:val="sq-AL"/>
              </w:rPr>
              <w:t>b. VKM “Për kërkesat minimale të PEN-it dhe elementeve ndërtuese”;</w:t>
            </w:r>
          </w:p>
          <w:p w14:paraId="26A76A5B" w14:textId="77777777" w:rsidR="008B65A8" w:rsidRPr="005208DC" w:rsidRDefault="008B65A8" w:rsidP="00630CC2">
            <w:pPr>
              <w:pStyle w:val="ListParagraph"/>
              <w:ind w:left="720" w:firstLine="0"/>
              <w:jc w:val="both"/>
              <w:rPr>
                <w:rFonts w:asciiTheme="majorBidi" w:eastAsia="Times New Roman" w:hAnsiTheme="majorBidi" w:cstheme="majorBidi"/>
                <w:color w:val="0D0D0D" w:themeColor="text1" w:themeTint="F2"/>
                <w:spacing w:val="-1"/>
                <w:sz w:val="24"/>
                <w:szCs w:val="24"/>
                <w:lang w:val="sq-AL"/>
              </w:rPr>
            </w:pPr>
            <w:r w:rsidRPr="005208DC">
              <w:rPr>
                <w:rFonts w:asciiTheme="majorBidi" w:eastAsia="Times New Roman" w:hAnsiTheme="majorBidi" w:cstheme="majorBidi"/>
                <w:color w:val="0D0D0D" w:themeColor="text1" w:themeTint="F2"/>
                <w:spacing w:val="-1"/>
                <w:sz w:val="24"/>
                <w:szCs w:val="24"/>
                <w:lang w:val="sq-AL"/>
              </w:rPr>
              <w:t>c. VKM “Për procedurat dhe kushtet e certifikimit të performancës energjetike në ndërtesa”.</w:t>
            </w:r>
          </w:p>
          <w:p w14:paraId="7FA7DFB9" w14:textId="77777777" w:rsidR="008B65A8" w:rsidRPr="005208DC" w:rsidRDefault="008B65A8" w:rsidP="00630CC2">
            <w:pPr>
              <w:pStyle w:val="ListParagraph"/>
              <w:ind w:left="720" w:firstLine="0"/>
              <w:jc w:val="both"/>
              <w:rPr>
                <w:rFonts w:asciiTheme="majorBidi" w:eastAsia="Times New Roman" w:hAnsiTheme="majorBidi" w:cstheme="majorBidi"/>
                <w:color w:val="0D0D0D" w:themeColor="text1" w:themeTint="F2"/>
                <w:spacing w:val="-1"/>
                <w:sz w:val="24"/>
                <w:szCs w:val="24"/>
                <w:lang w:val="sq-AL"/>
              </w:rPr>
            </w:pPr>
            <w:r w:rsidRPr="005208DC">
              <w:rPr>
                <w:rFonts w:asciiTheme="majorBidi" w:eastAsia="Times New Roman" w:hAnsiTheme="majorBidi" w:cstheme="majorBidi"/>
                <w:color w:val="0D0D0D" w:themeColor="text1" w:themeTint="F2"/>
                <w:spacing w:val="-1"/>
                <w:sz w:val="24"/>
                <w:szCs w:val="24"/>
                <w:lang w:val="sq-AL"/>
              </w:rPr>
              <w:t>d. VKM Nr.934, datë 25.11.2020 “Për kriteret dhe procedurat e përzgjedhjes dhe sasinë e certifikatave që do të verifikohen, si dhe procesin e mbikëqyrjes së certifikatave të performancës energjetike” të ndërtesave”.</w:t>
            </w:r>
          </w:p>
          <w:p w14:paraId="663EC506" w14:textId="6BBBD58D" w:rsidR="008B65A8" w:rsidRPr="005208DC" w:rsidRDefault="008B65A8" w:rsidP="00857902">
            <w:pPr>
              <w:pStyle w:val="ListParagraph"/>
              <w:numPr>
                <w:ilvl w:val="0"/>
                <w:numId w:val="4"/>
              </w:numPr>
              <w:snapToGrid w:val="0"/>
              <w:jc w:val="both"/>
              <w:rPr>
                <w:rFonts w:asciiTheme="majorBidi" w:hAnsiTheme="majorBidi" w:cstheme="majorBidi"/>
                <w:color w:val="0D0D0D" w:themeColor="text1" w:themeTint="F2"/>
                <w:sz w:val="24"/>
                <w:szCs w:val="24"/>
                <w:lang w:val="sq-AL"/>
              </w:rPr>
            </w:pPr>
            <w:r w:rsidRPr="005208DC">
              <w:rPr>
                <w:rFonts w:asciiTheme="majorBidi" w:eastAsia="Times New Roman" w:hAnsiTheme="majorBidi" w:cstheme="majorBidi"/>
                <w:color w:val="0D0D0D" w:themeColor="text1" w:themeTint="F2"/>
                <w:spacing w:val="-1"/>
                <w:sz w:val="24"/>
                <w:szCs w:val="24"/>
                <w:lang w:val="sq-AL"/>
              </w:rPr>
              <w:t>VKM “Për Metodologjinë Kombëtare të llogaritjes së performancës energjetike në ndërtesa, miratuar deri më 24 dhjetor 2020.</w:t>
            </w:r>
          </w:p>
        </w:tc>
        <w:tc>
          <w:tcPr>
            <w:tcW w:w="1985" w:type="dxa"/>
            <w:shd w:val="clear" w:color="auto" w:fill="auto"/>
          </w:tcPr>
          <w:p w14:paraId="11196B19" w14:textId="77777777" w:rsidR="008B65A8" w:rsidRPr="005208DC" w:rsidRDefault="008B65A8" w:rsidP="0085790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5</w:t>
            </w:r>
          </w:p>
        </w:tc>
      </w:tr>
      <w:tr w:rsidR="005208DC" w:rsidRPr="005208DC" w14:paraId="0AB49627" w14:textId="77777777" w:rsidTr="00630CC2">
        <w:trPr>
          <w:trHeight w:val="414"/>
        </w:trPr>
        <w:tc>
          <w:tcPr>
            <w:tcW w:w="1723" w:type="dxa"/>
            <w:vMerge/>
            <w:shd w:val="clear" w:color="auto" w:fill="auto"/>
            <w:vAlign w:val="center"/>
          </w:tcPr>
          <w:p w14:paraId="66F8CCC0" w14:textId="77777777" w:rsidR="008B65A8" w:rsidRPr="005208DC" w:rsidRDefault="008B65A8" w:rsidP="00857902">
            <w:pPr>
              <w:rPr>
                <w:rFonts w:asciiTheme="majorBidi" w:hAnsiTheme="majorBidi" w:cstheme="majorBidi"/>
                <w:color w:val="0D0D0D" w:themeColor="text1" w:themeTint="F2"/>
                <w:lang w:val="sq-AL"/>
              </w:rPr>
            </w:pPr>
          </w:p>
        </w:tc>
        <w:tc>
          <w:tcPr>
            <w:tcW w:w="6777" w:type="dxa"/>
            <w:shd w:val="clear" w:color="auto" w:fill="auto"/>
          </w:tcPr>
          <w:p w14:paraId="71D3BF42" w14:textId="77777777" w:rsidR="008B65A8" w:rsidRPr="005208DC" w:rsidRDefault="008B65A8" w:rsidP="00857902">
            <w:pPr>
              <w:pStyle w:val="ListParagraph"/>
              <w:numPr>
                <w:ilvl w:val="0"/>
                <w:numId w:val="4"/>
              </w:numPr>
              <w:jc w:val="both"/>
              <w:rPr>
                <w:rFonts w:asciiTheme="majorBidi" w:eastAsia="Times New Roman" w:hAnsiTheme="majorBidi" w:cstheme="majorBidi"/>
                <w:color w:val="0D0D0D" w:themeColor="text1" w:themeTint="F2"/>
                <w:spacing w:val="-1"/>
                <w:sz w:val="24"/>
                <w:szCs w:val="24"/>
                <w:lang w:val="sq-AL"/>
              </w:rPr>
            </w:pPr>
            <w:r w:rsidRPr="005208DC">
              <w:rPr>
                <w:rFonts w:asciiTheme="majorBidi" w:eastAsia="Times New Roman" w:hAnsiTheme="majorBidi" w:cstheme="majorBidi"/>
                <w:color w:val="0D0D0D" w:themeColor="text1" w:themeTint="F2"/>
                <w:spacing w:val="-1"/>
                <w:sz w:val="24"/>
                <w:szCs w:val="24"/>
                <w:lang w:val="sq-AL"/>
              </w:rPr>
              <w:t xml:space="preserve"> Zbatimi i projektit “Focentrali PV Akernia 100 MW” (faza e lejeve);</w:t>
            </w:r>
          </w:p>
        </w:tc>
        <w:tc>
          <w:tcPr>
            <w:tcW w:w="1985" w:type="dxa"/>
            <w:shd w:val="clear" w:color="auto" w:fill="auto"/>
          </w:tcPr>
          <w:p w14:paraId="635D3B30" w14:textId="77777777" w:rsidR="008B65A8" w:rsidRPr="005208DC" w:rsidRDefault="008B65A8" w:rsidP="0085790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0</w:t>
            </w:r>
          </w:p>
        </w:tc>
      </w:tr>
      <w:tr w:rsidR="005208DC" w:rsidRPr="005208DC" w14:paraId="30F7A8EE" w14:textId="77777777" w:rsidTr="00630CC2">
        <w:trPr>
          <w:trHeight w:val="414"/>
        </w:trPr>
        <w:tc>
          <w:tcPr>
            <w:tcW w:w="1723" w:type="dxa"/>
            <w:vMerge/>
            <w:shd w:val="clear" w:color="auto" w:fill="auto"/>
            <w:vAlign w:val="center"/>
          </w:tcPr>
          <w:p w14:paraId="4CF1175B" w14:textId="77777777" w:rsidR="008B65A8" w:rsidRPr="005208DC" w:rsidRDefault="008B65A8" w:rsidP="00857902">
            <w:pPr>
              <w:rPr>
                <w:rFonts w:asciiTheme="majorBidi" w:hAnsiTheme="majorBidi" w:cstheme="majorBidi"/>
                <w:color w:val="0D0D0D" w:themeColor="text1" w:themeTint="F2"/>
                <w:lang w:val="sq-AL"/>
              </w:rPr>
            </w:pPr>
          </w:p>
        </w:tc>
        <w:tc>
          <w:tcPr>
            <w:tcW w:w="6777" w:type="dxa"/>
            <w:shd w:val="clear" w:color="auto" w:fill="auto"/>
          </w:tcPr>
          <w:p w14:paraId="5819D8F2" w14:textId="77777777" w:rsidR="008B65A8" w:rsidRPr="005208DC" w:rsidRDefault="008B65A8" w:rsidP="00857902">
            <w:pPr>
              <w:pStyle w:val="ListParagraph"/>
              <w:numPr>
                <w:ilvl w:val="0"/>
                <w:numId w:val="4"/>
              </w:numPr>
              <w:jc w:val="both"/>
              <w:rPr>
                <w:rFonts w:asciiTheme="majorBidi" w:eastAsia="Times New Roman" w:hAnsiTheme="majorBidi" w:cstheme="majorBidi"/>
                <w:color w:val="0D0D0D" w:themeColor="text1" w:themeTint="F2"/>
                <w:spacing w:val="-1"/>
                <w:sz w:val="24"/>
                <w:szCs w:val="24"/>
                <w:lang w:val="sq-AL"/>
              </w:rPr>
            </w:pPr>
            <w:r w:rsidRPr="005208DC">
              <w:rPr>
                <w:rFonts w:asciiTheme="majorBidi" w:eastAsia="Times New Roman" w:hAnsiTheme="majorBidi" w:cstheme="majorBidi"/>
                <w:color w:val="0D0D0D" w:themeColor="text1" w:themeTint="F2"/>
                <w:spacing w:val="-1"/>
                <w:sz w:val="24"/>
                <w:szCs w:val="24"/>
                <w:lang w:val="sq-AL"/>
              </w:rPr>
              <w:t>Shpallja e procedurës së tenderit për përzgjedhjen e zhvilluesit të projektit për ndërtimin e një impianti fotovoltaik 70 MW, si pjesë e masave mbështetëse, në zonën e Karavastasë (Lushnje - Fier) dhe ndërtimin e një kapaciteti shtesë 70 MW, i cili nuk do të jetë pjesë. masat mbështetëse dhe nënshkrimi i kontratës së APP-së</w:t>
            </w:r>
          </w:p>
        </w:tc>
        <w:tc>
          <w:tcPr>
            <w:tcW w:w="1985" w:type="dxa"/>
            <w:shd w:val="clear" w:color="auto" w:fill="auto"/>
          </w:tcPr>
          <w:p w14:paraId="72A4A26A" w14:textId="77777777" w:rsidR="008B65A8" w:rsidRPr="005208DC" w:rsidRDefault="008B65A8" w:rsidP="0085790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5</w:t>
            </w:r>
          </w:p>
        </w:tc>
      </w:tr>
      <w:tr w:rsidR="005208DC" w:rsidRPr="005208DC" w14:paraId="76B0D012" w14:textId="77777777" w:rsidTr="00630CC2">
        <w:trPr>
          <w:trHeight w:val="414"/>
        </w:trPr>
        <w:tc>
          <w:tcPr>
            <w:tcW w:w="1723" w:type="dxa"/>
            <w:vMerge/>
            <w:shd w:val="clear" w:color="auto" w:fill="auto"/>
            <w:vAlign w:val="center"/>
          </w:tcPr>
          <w:p w14:paraId="28188602" w14:textId="77777777" w:rsidR="008B65A8" w:rsidRPr="005208DC" w:rsidRDefault="008B65A8" w:rsidP="00857902">
            <w:pPr>
              <w:rPr>
                <w:rFonts w:asciiTheme="majorBidi" w:hAnsiTheme="majorBidi" w:cstheme="majorBidi"/>
                <w:color w:val="0D0D0D" w:themeColor="text1" w:themeTint="F2"/>
                <w:lang w:val="sq-AL"/>
              </w:rPr>
            </w:pPr>
          </w:p>
        </w:tc>
        <w:tc>
          <w:tcPr>
            <w:tcW w:w="6777" w:type="dxa"/>
            <w:shd w:val="clear" w:color="auto" w:fill="auto"/>
          </w:tcPr>
          <w:p w14:paraId="4FD9C282" w14:textId="23C6B19C" w:rsidR="008B65A8" w:rsidRPr="005208DC" w:rsidRDefault="008B65A8" w:rsidP="00857902">
            <w:pPr>
              <w:pStyle w:val="ListParagraph"/>
              <w:numPr>
                <w:ilvl w:val="0"/>
                <w:numId w:val="4"/>
              </w:numPr>
              <w:jc w:val="both"/>
              <w:rPr>
                <w:rFonts w:asciiTheme="majorBidi" w:eastAsia="Times New Roman" w:hAnsiTheme="majorBidi" w:cstheme="majorBidi"/>
                <w:color w:val="0D0D0D" w:themeColor="text1" w:themeTint="F2"/>
                <w:spacing w:val="-1"/>
                <w:sz w:val="24"/>
                <w:szCs w:val="24"/>
                <w:lang w:val="sq-AL"/>
              </w:rPr>
            </w:pPr>
            <w:r w:rsidRPr="005208DC">
              <w:rPr>
                <w:rFonts w:asciiTheme="majorBidi" w:eastAsia="Times New Roman" w:hAnsiTheme="majorBidi" w:cstheme="majorBidi"/>
                <w:color w:val="0D0D0D" w:themeColor="text1" w:themeTint="F2"/>
                <w:spacing w:val="-1"/>
                <w:sz w:val="24"/>
                <w:szCs w:val="24"/>
                <w:lang w:val="sq-AL"/>
              </w:rPr>
              <w:t>Monitorimi i zbatimit të projekteve të reja të energjisë së erës dhe diellit që janë pajisur me miratimin përfundimtar për ndërtimin e kapaciteteve të reja të prodhimit të energjisë elektrike (MIE/AKBN);</w:t>
            </w:r>
          </w:p>
        </w:tc>
        <w:tc>
          <w:tcPr>
            <w:tcW w:w="1985" w:type="dxa"/>
            <w:shd w:val="clear" w:color="auto" w:fill="auto"/>
          </w:tcPr>
          <w:p w14:paraId="7007CF83" w14:textId="77777777" w:rsidR="008B65A8" w:rsidRPr="005208DC" w:rsidRDefault="008B65A8" w:rsidP="0085790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5</w:t>
            </w:r>
          </w:p>
        </w:tc>
      </w:tr>
      <w:tr w:rsidR="005208DC" w:rsidRPr="005208DC" w14:paraId="7FE3FEF0" w14:textId="77777777" w:rsidTr="00630CC2">
        <w:trPr>
          <w:trHeight w:val="414"/>
        </w:trPr>
        <w:tc>
          <w:tcPr>
            <w:tcW w:w="1723" w:type="dxa"/>
            <w:vMerge/>
            <w:shd w:val="clear" w:color="auto" w:fill="auto"/>
            <w:vAlign w:val="center"/>
          </w:tcPr>
          <w:p w14:paraId="782B2990" w14:textId="77777777" w:rsidR="008B65A8" w:rsidRPr="005208DC" w:rsidRDefault="008B65A8" w:rsidP="00857902">
            <w:pPr>
              <w:rPr>
                <w:rFonts w:asciiTheme="majorBidi" w:hAnsiTheme="majorBidi" w:cstheme="majorBidi"/>
                <w:color w:val="0D0D0D" w:themeColor="text1" w:themeTint="F2"/>
                <w:lang w:val="sq-AL"/>
              </w:rPr>
            </w:pPr>
          </w:p>
        </w:tc>
        <w:tc>
          <w:tcPr>
            <w:tcW w:w="6777" w:type="dxa"/>
            <w:shd w:val="clear" w:color="auto" w:fill="auto"/>
          </w:tcPr>
          <w:p w14:paraId="2AE6703A" w14:textId="77777777" w:rsidR="008B65A8" w:rsidRPr="005208DC" w:rsidRDefault="008B65A8" w:rsidP="00630CC2">
            <w:pPr>
              <w:pStyle w:val="ListParagraph"/>
              <w:numPr>
                <w:ilvl w:val="0"/>
                <w:numId w:val="4"/>
              </w:numPr>
              <w:ind w:left="291" w:firstLine="13"/>
              <w:jc w:val="both"/>
              <w:rPr>
                <w:rFonts w:asciiTheme="majorBidi" w:eastAsia="Times New Roman" w:hAnsiTheme="majorBidi" w:cstheme="majorBidi"/>
                <w:color w:val="0D0D0D" w:themeColor="text1" w:themeTint="F2"/>
                <w:spacing w:val="-1"/>
                <w:sz w:val="24"/>
                <w:szCs w:val="24"/>
                <w:lang w:val="sq-AL"/>
              </w:rPr>
            </w:pPr>
            <w:r w:rsidRPr="005208DC">
              <w:rPr>
                <w:rFonts w:asciiTheme="majorBidi" w:eastAsia="Times New Roman" w:hAnsiTheme="majorBidi" w:cstheme="majorBidi"/>
                <w:color w:val="0D0D0D" w:themeColor="text1" w:themeTint="F2"/>
                <w:spacing w:val="-1"/>
                <w:sz w:val="24"/>
                <w:szCs w:val="24"/>
                <w:lang w:val="sq-AL"/>
              </w:rPr>
              <w:t>Pilot project on promotion of energy efficiency;</w:t>
            </w:r>
          </w:p>
        </w:tc>
        <w:tc>
          <w:tcPr>
            <w:tcW w:w="1985" w:type="dxa"/>
            <w:shd w:val="clear" w:color="auto" w:fill="auto"/>
          </w:tcPr>
          <w:p w14:paraId="656C1EBC" w14:textId="77777777" w:rsidR="008B65A8" w:rsidRPr="005208DC" w:rsidRDefault="008B65A8" w:rsidP="0085790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5</w:t>
            </w:r>
          </w:p>
        </w:tc>
      </w:tr>
      <w:tr w:rsidR="005208DC" w:rsidRPr="005208DC" w14:paraId="6B33528D" w14:textId="77777777" w:rsidTr="00630CC2">
        <w:trPr>
          <w:trHeight w:val="1331"/>
        </w:trPr>
        <w:tc>
          <w:tcPr>
            <w:tcW w:w="1723" w:type="dxa"/>
            <w:shd w:val="clear" w:color="auto" w:fill="auto"/>
            <w:vAlign w:val="center"/>
          </w:tcPr>
          <w:p w14:paraId="68B84BEC" w14:textId="77777777" w:rsidR="008B65A8" w:rsidRPr="005208DC" w:rsidRDefault="008B65A8" w:rsidP="0085790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Përshkrimi i zbatimit dhe shpjegimi nëse është i pjesshëm ose aspak</w:t>
            </w:r>
          </w:p>
        </w:tc>
        <w:tc>
          <w:tcPr>
            <w:tcW w:w="6777" w:type="dxa"/>
            <w:shd w:val="clear" w:color="auto" w:fill="auto"/>
          </w:tcPr>
          <w:p w14:paraId="66CAB30C" w14:textId="20E246E6" w:rsidR="008B65A8" w:rsidRPr="005208DC" w:rsidRDefault="008B65A8" w:rsidP="00630CC2">
            <w:pPr>
              <w:jc w:val="both"/>
              <w:rPr>
                <w:rFonts w:asciiTheme="majorBidi" w:eastAsia="Times New Roman" w:hAnsiTheme="majorBidi" w:cstheme="majorBidi"/>
                <w:color w:val="0D0D0D" w:themeColor="text1" w:themeTint="F2"/>
                <w:spacing w:val="-1"/>
                <w:lang w:val="sq-AL"/>
              </w:rPr>
            </w:pPr>
            <w:r w:rsidRPr="005208DC">
              <w:rPr>
                <w:rFonts w:asciiTheme="majorBidi" w:eastAsia="Times New Roman" w:hAnsiTheme="majorBidi" w:cstheme="majorBidi"/>
                <w:color w:val="0D0D0D" w:themeColor="text1" w:themeTint="F2"/>
                <w:spacing w:val="-1"/>
                <w:lang w:val="sq-AL"/>
              </w:rPr>
              <w:t>1- Legjislacioni dytësor bazuar në ligjin nr. 7/2017 për promovimin e përdorimit të energjisë nga burimet e rinovueshme nuk është përgatitur ende. Nuk ka zhvi</w:t>
            </w:r>
            <w:r w:rsidR="00630CC2" w:rsidRPr="005208DC">
              <w:rPr>
                <w:rFonts w:asciiTheme="majorBidi" w:eastAsia="Times New Roman" w:hAnsiTheme="majorBidi" w:cstheme="majorBidi"/>
                <w:color w:val="0D0D0D" w:themeColor="text1" w:themeTint="F2"/>
                <w:spacing w:val="-1"/>
                <w:lang w:val="sq-AL"/>
              </w:rPr>
              <w:t>llime të reja për këto çështje</w:t>
            </w:r>
          </w:p>
          <w:p w14:paraId="07213A98" w14:textId="1D6995A5" w:rsidR="008B65A8" w:rsidRPr="005208DC" w:rsidRDefault="008B65A8" w:rsidP="00630CC2">
            <w:pPr>
              <w:jc w:val="both"/>
              <w:rPr>
                <w:rFonts w:asciiTheme="majorBidi" w:eastAsia="Times New Roman" w:hAnsiTheme="majorBidi" w:cstheme="majorBidi"/>
                <w:color w:val="0D0D0D" w:themeColor="text1" w:themeTint="F2"/>
                <w:spacing w:val="-1"/>
                <w:lang w:val="sq-AL"/>
              </w:rPr>
            </w:pPr>
            <w:r w:rsidRPr="005208DC">
              <w:rPr>
                <w:rFonts w:asciiTheme="majorBidi" w:eastAsia="Times New Roman" w:hAnsiTheme="majorBidi" w:cstheme="majorBidi"/>
                <w:color w:val="0D0D0D" w:themeColor="text1" w:themeTint="F2"/>
                <w:spacing w:val="-1"/>
                <w:lang w:val="sq-AL"/>
              </w:rPr>
              <w:t>2- Legjislacioni nënligjor i bazuar në ligjin për performancën energjetike në nd</w:t>
            </w:r>
            <w:r w:rsidR="00630CC2" w:rsidRPr="005208DC">
              <w:rPr>
                <w:rFonts w:asciiTheme="majorBidi" w:eastAsia="Times New Roman" w:hAnsiTheme="majorBidi" w:cstheme="majorBidi"/>
                <w:color w:val="0D0D0D" w:themeColor="text1" w:themeTint="F2"/>
                <w:spacing w:val="-1"/>
                <w:lang w:val="sq-AL"/>
              </w:rPr>
              <w:t>ërtesa realizohet si më poshtë:</w:t>
            </w:r>
          </w:p>
          <w:p w14:paraId="20D19204" w14:textId="77777777" w:rsidR="008B65A8" w:rsidRPr="005208DC" w:rsidRDefault="008B65A8" w:rsidP="00857902">
            <w:pPr>
              <w:jc w:val="both"/>
              <w:rPr>
                <w:rFonts w:asciiTheme="majorBidi" w:eastAsia="Times New Roman" w:hAnsiTheme="majorBidi" w:cstheme="majorBidi"/>
                <w:color w:val="0D0D0D" w:themeColor="text1" w:themeTint="F2"/>
                <w:spacing w:val="-1"/>
                <w:lang w:val="sq-AL"/>
              </w:rPr>
            </w:pPr>
            <w:r w:rsidRPr="005208DC">
              <w:rPr>
                <w:rFonts w:asciiTheme="majorBidi" w:eastAsia="Times New Roman" w:hAnsiTheme="majorBidi" w:cstheme="majorBidi"/>
                <w:color w:val="0D0D0D" w:themeColor="text1" w:themeTint="F2"/>
                <w:spacing w:val="-1"/>
                <w:lang w:val="sq-AL"/>
              </w:rPr>
              <w:t>- Vendimi i Këshillit të Ministrave nr.256, datë 27.03.2020 “Për miratimin e metodologjisë për llogaritjen e niveleve kosto-optimale të performancës minimale energjetike për ndërtesat dhe elementët e ndërtesës”, përafruar pjesërisht me Rregulloren e Deleguar të Komisionit (BE) Nr 244/2012. e datës 16 janar 2012 duke plotësuar Direktivën 2010/31/BE;</w:t>
            </w:r>
          </w:p>
          <w:p w14:paraId="22DB7128" w14:textId="77777777" w:rsidR="008B65A8" w:rsidRPr="005208DC" w:rsidRDefault="008B65A8" w:rsidP="00857902">
            <w:pPr>
              <w:jc w:val="both"/>
              <w:rPr>
                <w:rFonts w:asciiTheme="majorBidi" w:eastAsia="Times New Roman" w:hAnsiTheme="majorBidi" w:cstheme="majorBidi"/>
                <w:color w:val="0D0D0D" w:themeColor="text1" w:themeTint="F2"/>
                <w:spacing w:val="-1"/>
                <w:lang w:val="sq-AL"/>
              </w:rPr>
            </w:pPr>
            <w:r w:rsidRPr="005208DC">
              <w:rPr>
                <w:rFonts w:asciiTheme="majorBidi" w:eastAsia="Times New Roman" w:hAnsiTheme="majorBidi" w:cstheme="majorBidi"/>
                <w:color w:val="0D0D0D" w:themeColor="text1" w:themeTint="F2"/>
                <w:spacing w:val="-1"/>
                <w:lang w:val="sq-AL"/>
              </w:rPr>
              <w:t>- VKM Nr. 537, datë 08.07.2020 “Për kriteret minimale të performancës energjetike në ndërtesa”</w:t>
            </w:r>
          </w:p>
          <w:p w14:paraId="5790CCDE" w14:textId="77777777" w:rsidR="008B65A8" w:rsidRPr="005208DC" w:rsidRDefault="008B65A8" w:rsidP="00857902">
            <w:pPr>
              <w:jc w:val="both"/>
              <w:rPr>
                <w:rFonts w:asciiTheme="majorBidi" w:eastAsia="Times New Roman" w:hAnsiTheme="majorBidi" w:cstheme="majorBidi"/>
                <w:color w:val="0D0D0D" w:themeColor="text1" w:themeTint="F2"/>
                <w:spacing w:val="-1"/>
                <w:lang w:val="sq-AL"/>
              </w:rPr>
            </w:pPr>
            <w:r w:rsidRPr="005208DC">
              <w:rPr>
                <w:rFonts w:asciiTheme="majorBidi" w:eastAsia="Times New Roman" w:hAnsiTheme="majorBidi" w:cstheme="majorBidi"/>
                <w:color w:val="0D0D0D" w:themeColor="text1" w:themeTint="F2"/>
                <w:spacing w:val="-1"/>
                <w:lang w:val="sq-AL"/>
              </w:rPr>
              <w:t>- VKM Nr.934, datë 25.11.2020 "Për kriteret dhe procedurat e përzgjedhjes dhe sasinë e certifikatave që do të verifikohen, si dhe procesin e mbikëqyrjes së certifikatave të performancës energjetike" të ndërtesave".</w:t>
            </w:r>
          </w:p>
          <w:p w14:paraId="30DF8538" w14:textId="31157629" w:rsidR="008B65A8" w:rsidRPr="005208DC" w:rsidRDefault="008B65A8" w:rsidP="00F957E8">
            <w:pPr>
              <w:pStyle w:val="ListParagraph"/>
              <w:numPr>
                <w:ilvl w:val="0"/>
                <w:numId w:val="125"/>
              </w:numPr>
              <w:snapToGrid w:val="0"/>
              <w:jc w:val="both"/>
              <w:rPr>
                <w:rFonts w:asciiTheme="majorBidi" w:hAnsiTheme="majorBidi" w:cstheme="majorBidi"/>
                <w:color w:val="0D0D0D" w:themeColor="text1" w:themeTint="F2"/>
                <w:sz w:val="24"/>
                <w:szCs w:val="24"/>
                <w:lang w:val="sq-AL"/>
              </w:rPr>
            </w:pPr>
            <w:r w:rsidRPr="005208DC">
              <w:rPr>
                <w:rFonts w:asciiTheme="majorBidi" w:eastAsia="Times New Roman" w:hAnsiTheme="majorBidi" w:cstheme="majorBidi"/>
                <w:color w:val="0D0D0D" w:themeColor="text1" w:themeTint="F2"/>
                <w:spacing w:val="-1"/>
                <w:lang w:val="sq-AL"/>
              </w:rPr>
              <w:t>VKM Nr.958, datë 02.12.2020 “Për procedurat dhe kushtet e certifikimit të performancës energjetike të ndërtesave dhe modelin, përmbajtjen, kushtet e regjistrimit të “Çertifikatës së performancës energjetike” të ndërtesave përkatëse”.</w:t>
            </w:r>
          </w:p>
          <w:p w14:paraId="35D5B099" w14:textId="2DFD3281" w:rsidR="008B65A8" w:rsidRPr="005208DC" w:rsidRDefault="008B65A8" w:rsidP="00F957E8">
            <w:pPr>
              <w:pStyle w:val="ListParagraph"/>
              <w:numPr>
                <w:ilvl w:val="0"/>
                <w:numId w:val="125"/>
              </w:numPr>
              <w:snapToGrid w:val="0"/>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VKM “Për Metodologjinë Kombëtare të llogaritjes së performancës energjetike në ndërtesa, miratuar deri më 24 dhjetor 2020.</w:t>
            </w:r>
          </w:p>
          <w:p w14:paraId="1A302C05" w14:textId="66E2A1D4" w:rsidR="008B65A8" w:rsidRPr="005208DC" w:rsidRDefault="008B65A8" w:rsidP="00F957E8">
            <w:pPr>
              <w:pStyle w:val="ListParagraph"/>
              <w:numPr>
                <w:ilvl w:val="0"/>
                <w:numId w:val="125"/>
              </w:numPr>
              <w:snapToGrid w:val="0"/>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Aktiviteti: Është hequr zbatimi i projektit “Focentrali PV Akernia 100 MW” (faza e lejeve). Ka dështuar procedura e tenderit për projektin e ndërtimit të një impianti fotovoltaik me fuqi të instaluar 100 MW, në zonën e Akërnit (afër Vlorës). Së fundmi MIE ka refuzuar kërkesën e kompanisë për zgjatje, duke marrë parasysh mosrespektimin e pikave të ndryshme të kontratës nga kompania fituese për zhvillimin e projektit;</w:t>
            </w:r>
          </w:p>
          <w:p w14:paraId="6210A547" w14:textId="0F1FB7E8" w:rsidR="008B65A8" w:rsidRPr="005208DC" w:rsidRDefault="008B65A8" w:rsidP="00F957E8">
            <w:pPr>
              <w:pStyle w:val="ListParagraph"/>
              <w:numPr>
                <w:ilvl w:val="0"/>
                <w:numId w:val="125"/>
              </w:numPr>
              <w:snapToGrid w:val="0"/>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Nënshkruhet kontrata ndërmjet MIE dhe Voltalia, zhvilluesi i përzgjedhur i projektit për ndërtimin e një impianti fotovoltaik në Remas – Karavasta (afër zonës së Lushnjës) me fuqi të instaluar 140 MW, ku 70 MW, si pjesë e mbështetje dhe 70 MW të cilat nuk do të jenë pjesë e Masave Mbështetëse. Projekti është në përputhje me kontratën për marrjen e lejeve.</w:t>
            </w:r>
          </w:p>
          <w:p w14:paraId="579BDACB" w14:textId="6C19558A" w:rsidR="008B65A8" w:rsidRPr="005208DC" w:rsidRDefault="008B65A8" w:rsidP="00F957E8">
            <w:pPr>
              <w:pStyle w:val="ListParagraph"/>
              <w:numPr>
                <w:ilvl w:val="0"/>
                <w:numId w:val="125"/>
              </w:numPr>
              <w:snapToGrid w:val="0"/>
              <w:jc w:val="both"/>
              <w:rPr>
                <w:rFonts w:asciiTheme="majorBidi" w:hAnsiTheme="majorBidi" w:cstheme="majorBidi"/>
                <w:color w:val="0D0D0D" w:themeColor="text1" w:themeTint="F2"/>
                <w:sz w:val="24"/>
                <w:szCs w:val="24"/>
                <w:lang w:val="sq-AL"/>
              </w:rPr>
            </w:pPr>
            <w:r w:rsidRPr="005208DC">
              <w:rPr>
                <w:rFonts w:asciiTheme="majorBidi" w:hAnsiTheme="majorBidi" w:cstheme="majorBidi"/>
                <w:color w:val="0D0D0D" w:themeColor="text1" w:themeTint="F2"/>
                <w:sz w:val="24"/>
                <w:szCs w:val="24"/>
                <w:lang w:val="sq-AL"/>
              </w:rPr>
              <w:t>Monitorimi i zbatimit të projekteve të reja të energjisë së erës dhe diellit që janë pajisur me miratimin përfundimtar për ndërtimin e kapaciteteve të reja të prodhimit të energjisë elektrike është ngadalësuar për shkak të masave të kufizuara të situatës Covid-9.</w:t>
            </w:r>
          </w:p>
          <w:p w14:paraId="11257856" w14:textId="29E135CD" w:rsidR="008B65A8" w:rsidRPr="005208DC" w:rsidRDefault="008B65A8" w:rsidP="00F957E8">
            <w:pPr>
              <w:pStyle w:val="CommentText"/>
              <w:numPr>
                <w:ilvl w:val="0"/>
                <w:numId w:val="125"/>
              </w:numPr>
              <w:jc w:val="both"/>
              <w:rPr>
                <w:rFonts w:asciiTheme="majorBidi" w:hAnsiTheme="majorBidi" w:cstheme="majorBidi"/>
                <w:color w:val="0D0D0D" w:themeColor="text1" w:themeTint="F2"/>
                <w:spacing w:val="-1"/>
                <w:sz w:val="24"/>
                <w:szCs w:val="24"/>
                <w:lang w:val="sq-AL"/>
              </w:rPr>
            </w:pPr>
            <w:r w:rsidRPr="005208DC">
              <w:rPr>
                <w:rFonts w:asciiTheme="majorBidi" w:hAnsiTheme="majorBidi" w:cstheme="majorBidi"/>
                <w:color w:val="0D0D0D" w:themeColor="text1" w:themeTint="F2"/>
                <w:sz w:val="24"/>
                <w:szCs w:val="24"/>
                <w:lang w:val="sq-AL"/>
              </w:rPr>
              <w:t>Projekti pilot për promovimin e efiçencës së energjisë është realizuar plotësisht. Rikonstruksioni i njërës prej godinave të Ministrisë së Infrastrukturës dhe Energjisë me masa për efiçencën e energjisë ka përfunduar dhe është kryer sistemi alternativ si një nga masat e Planit Kombëtar të Veprimit për Efiçiencën e Energjisë për rinovimin e ndërtesave publike.</w:t>
            </w:r>
          </w:p>
        </w:tc>
        <w:tc>
          <w:tcPr>
            <w:tcW w:w="1985" w:type="dxa"/>
            <w:shd w:val="clear" w:color="auto" w:fill="auto"/>
          </w:tcPr>
          <w:p w14:paraId="658645DE" w14:textId="77777777" w:rsidR="008B65A8" w:rsidRPr="005208DC" w:rsidRDefault="008B65A8" w:rsidP="00857902">
            <w:pPr>
              <w:rPr>
                <w:rFonts w:asciiTheme="majorBidi" w:hAnsiTheme="majorBidi" w:cstheme="majorBidi"/>
                <w:color w:val="0D0D0D" w:themeColor="text1" w:themeTint="F2"/>
                <w:lang w:val="sq-AL"/>
              </w:rPr>
            </w:pPr>
          </w:p>
        </w:tc>
      </w:tr>
    </w:tbl>
    <w:p w14:paraId="766861CC" w14:textId="77777777" w:rsidR="008B65A8" w:rsidRPr="005208DC" w:rsidRDefault="008B65A8" w:rsidP="00857902">
      <w:pPr>
        <w:snapToGrid w:val="0"/>
        <w:rPr>
          <w:rFonts w:asciiTheme="majorBidi" w:hAnsiTheme="majorBidi" w:cstheme="majorBidi"/>
          <w:color w:val="0D0D0D" w:themeColor="text1" w:themeTint="F2"/>
          <w:sz w:val="22"/>
          <w:szCs w:val="22"/>
          <w:lang w:val="sq-AL"/>
        </w:rPr>
      </w:pPr>
    </w:p>
    <w:tbl>
      <w:tblPr>
        <w:tblStyle w:val="TableGrid"/>
        <w:tblW w:w="10485" w:type="dxa"/>
        <w:tblLook w:val="04A0" w:firstRow="1" w:lastRow="0" w:firstColumn="1" w:lastColumn="0" w:noHBand="0" w:noVBand="1"/>
      </w:tblPr>
      <w:tblGrid>
        <w:gridCol w:w="1723"/>
        <w:gridCol w:w="6777"/>
        <w:gridCol w:w="1985"/>
      </w:tblGrid>
      <w:tr w:rsidR="005208DC" w:rsidRPr="005208DC" w14:paraId="31E876D6" w14:textId="77777777" w:rsidTr="00630CC2">
        <w:tc>
          <w:tcPr>
            <w:tcW w:w="8500"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BA3375C" w14:textId="6622BF31" w:rsidR="008B65A8" w:rsidRPr="005208DC" w:rsidRDefault="008B65A8" w:rsidP="00857902">
            <w:pPr>
              <w:widowControl/>
              <w:snapToGrid w:val="0"/>
              <w:rPr>
                <w:rFonts w:ascii="Times New Roman" w:hAnsi="Times New Roman"/>
                <w:b/>
                <w:color w:val="0D0D0D" w:themeColor="text1" w:themeTint="F2"/>
                <w:lang w:val="sq-AL"/>
              </w:rPr>
            </w:pPr>
            <w:r w:rsidRPr="005208DC">
              <w:rPr>
                <w:rFonts w:ascii="Times New Roman" w:hAnsi="Times New Roman"/>
                <w:b/>
                <w:color w:val="0D0D0D" w:themeColor="text1" w:themeTint="F2"/>
                <w:lang w:val="sq-AL"/>
              </w:rPr>
              <w:t>Masa e reformës: Zhvillimi i infrastrukturës broadband për ekonominë digjitale</w:t>
            </w:r>
          </w:p>
        </w:tc>
        <w:tc>
          <w:tcPr>
            <w:tcW w:w="198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2F8F9233" w14:textId="029DBC98" w:rsidR="008B65A8" w:rsidRPr="005208DC" w:rsidRDefault="008B65A8" w:rsidP="00857902">
            <w:pPr>
              <w:widowControl/>
              <w:snapToGrid w:val="0"/>
              <w:rPr>
                <w:rFonts w:ascii="Times New Roman" w:hAnsi="Times New Roman"/>
                <w:color w:val="0D0D0D" w:themeColor="text1" w:themeTint="F2"/>
                <w:lang w:val="sq-AL"/>
              </w:rPr>
            </w:pPr>
            <w:r w:rsidRPr="005208DC">
              <w:rPr>
                <w:rFonts w:asciiTheme="majorBidi" w:hAnsiTheme="majorBidi" w:cstheme="majorBidi"/>
                <w:b/>
                <w:bCs/>
                <w:color w:val="0D0D0D" w:themeColor="text1" w:themeTint="F2"/>
                <w:sz w:val="22"/>
                <w:szCs w:val="22"/>
                <w:lang w:val="sq-AL"/>
              </w:rPr>
              <w:t>Statusi i zbatimit të reformës (0-5)</w:t>
            </w:r>
          </w:p>
        </w:tc>
      </w:tr>
      <w:tr w:rsidR="005208DC" w:rsidRPr="005208DC" w14:paraId="69C4993E" w14:textId="77777777" w:rsidTr="00630CC2">
        <w:trPr>
          <w:trHeight w:val="414"/>
        </w:trPr>
        <w:tc>
          <w:tcPr>
            <w:tcW w:w="1723" w:type="dxa"/>
            <w:vMerge w:val="restart"/>
            <w:tcBorders>
              <w:top w:val="single" w:sz="4" w:space="0" w:color="auto"/>
              <w:left w:val="single" w:sz="4" w:space="0" w:color="auto"/>
              <w:bottom w:val="single" w:sz="4" w:space="0" w:color="auto"/>
              <w:right w:val="single" w:sz="4" w:space="0" w:color="auto"/>
            </w:tcBorders>
            <w:vAlign w:val="center"/>
            <w:hideMark/>
          </w:tcPr>
          <w:p w14:paraId="3E23AE15" w14:textId="77777777" w:rsidR="00A86175" w:rsidRPr="005208DC" w:rsidRDefault="00A86175" w:rsidP="00857902">
            <w:pPr>
              <w:widowControl/>
              <w:snapToGrid w:val="0"/>
              <w:rPr>
                <w:rFonts w:ascii="Times New Roman" w:hAnsi="Times New Roman"/>
                <w:color w:val="0D0D0D" w:themeColor="text1" w:themeTint="F2"/>
                <w:lang w:val="sq-AL"/>
              </w:rPr>
            </w:pPr>
            <w:r w:rsidRPr="005208DC">
              <w:rPr>
                <w:rFonts w:ascii="Times New Roman" w:hAnsi="Times New Roman"/>
                <w:color w:val="0D0D0D" w:themeColor="text1" w:themeTint="F2"/>
                <w:lang w:val="sq-AL"/>
              </w:rPr>
              <w:t>Aktivitetet e planifikuara për 2021</w:t>
            </w:r>
          </w:p>
        </w:tc>
        <w:tc>
          <w:tcPr>
            <w:tcW w:w="6777" w:type="dxa"/>
            <w:tcBorders>
              <w:top w:val="single" w:sz="4" w:space="0" w:color="auto"/>
              <w:left w:val="single" w:sz="4" w:space="0" w:color="auto"/>
              <w:bottom w:val="single" w:sz="4" w:space="0" w:color="auto"/>
              <w:right w:val="single" w:sz="4" w:space="0" w:color="auto"/>
            </w:tcBorders>
            <w:shd w:val="clear" w:color="auto" w:fill="auto"/>
          </w:tcPr>
          <w:p w14:paraId="79DA3A43" w14:textId="7FCE77B7" w:rsidR="00A86175" w:rsidRPr="005208DC" w:rsidRDefault="00A86175" w:rsidP="00857902">
            <w:pPr>
              <w:widowControl/>
              <w:snapToGrid w:val="0"/>
              <w:rPr>
                <w:rFonts w:ascii="Times New Roman" w:hAnsi="Times New Roman"/>
                <w:color w:val="0D0D0D" w:themeColor="text1" w:themeTint="F2"/>
                <w:lang w:val="sq-AL"/>
              </w:rPr>
            </w:pPr>
            <w:r w:rsidRPr="005208DC">
              <w:rPr>
                <w:rFonts w:ascii="Times New Roman" w:hAnsi="Times New Roman"/>
                <w:color w:val="0D0D0D" w:themeColor="text1" w:themeTint="F2"/>
                <w:lang w:val="sq-AL"/>
              </w:rPr>
              <w:t>Miratim i ligjit të ri për komunikimet elektronike, në përputhje me Kodin e Ri Evropian për Komunikimet Elektronike miratuar nga BE në 2018;</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3FA05FD" w14:textId="77777777" w:rsidR="00A86175" w:rsidRPr="005208DC" w:rsidRDefault="00A86175" w:rsidP="00857902">
            <w:pPr>
              <w:widowControl/>
              <w:snapToGrid w:val="0"/>
              <w:rPr>
                <w:rFonts w:ascii="Times New Roman" w:hAnsi="Times New Roman"/>
                <w:color w:val="0D0D0D" w:themeColor="text1" w:themeTint="F2"/>
                <w:lang w:val="sq-AL"/>
              </w:rPr>
            </w:pPr>
            <w:r w:rsidRPr="005208DC">
              <w:rPr>
                <w:rFonts w:ascii="Times New Roman" w:hAnsi="Times New Roman"/>
                <w:color w:val="0D0D0D" w:themeColor="text1" w:themeTint="F2"/>
                <w:lang w:val="sq-AL"/>
              </w:rPr>
              <w:t>1</w:t>
            </w:r>
          </w:p>
        </w:tc>
      </w:tr>
      <w:tr w:rsidR="005208DC" w:rsidRPr="005208DC" w14:paraId="175D7997" w14:textId="77777777" w:rsidTr="00630CC2">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7D3AA" w14:textId="77777777" w:rsidR="00A86175" w:rsidRPr="005208DC" w:rsidRDefault="00A86175" w:rsidP="00857902">
            <w:pPr>
              <w:widowControl/>
              <w:snapToGrid w:val="0"/>
              <w:rPr>
                <w:rFonts w:ascii="Times New Roman" w:hAnsi="Times New Roman"/>
                <w:color w:val="0D0D0D" w:themeColor="text1" w:themeTint="F2"/>
                <w:lang w:val="sq-AL"/>
              </w:rPr>
            </w:pPr>
          </w:p>
        </w:tc>
        <w:tc>
          <w:tcPr>
            <w:tcW w:w="6777" w:type="dxa"/>
            <w:tcBorders>
              <w:top w:val="single" w:sz="4" w:space="0" w:color="auto"/>
              <w:left w:val="single" w:sz="4" w:space="0" w:color="auto"/>
              <w:bottom w:val="single" w:sz="4" w:space="0" w:color="auto"/>
              <w:right w:val="single" w:sz="4" w:space="0" w:color="auto"/>
            </w:tcBorders>
            <w:shd w:val="clear" w:color="auto" w:fill="auto"/>
          </w:tcPr>
          <w:p w14:paraId="16BFE911" w14:textId="77777777" w:rsidR="00A86175" w:rsidRPr="005208DC" w:rsidRDefault="00A86175" w:rsidP="00857902">
            <w:pPr>
              <w:widowControl/>
              <w:snapToGrid w:val="0"/>
              <w:rPr>
                <w:rFonts w:ascii="Times New Roman" w:hAnsi="Times New Roman"/>
                <w:color w:val="0D0D0D" w:themeColor="text1" w:themeTint="F2"/>
                <w:lang w:val="sq-AL"/>
              </w:rPr>
            </w:pPr>
            <w:r w:rsidRPr="005208DC">
              <w:rPr>
                <w:rFonts w:ascii="Times New Roman" w:hAnsi="Times New Roman"/>
                <w:color w:val="0D0D0D" w:themeColor="text1" w:themeTint="F2"/>
                <w:lang w:val="sq-AL"/>
              </w:rPr>
              <w:t>Projekti pilot për zhvillimin e infrastrukturës broadband në Zonën 1 (rurale dhe të largëta/zonat turistike në Veri të Shqipërisë (Shkodër, Kukës, Tropojë, Dibër)</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B5CEF84" w14:textId="77777777" w:rsidR="00A86175" w:rsidRPr="005208DC" w:rsidRDefault="00A86175" w:rsidP="00857902">
            <w:pPr>
              <w:widowControl/>
              <w:snapToGrid w:val="0"/>
              <w:rPr>
                <w:rFonts w:ascii="Times New Roman" w:hAnsi="Times New Roman"/>
                <w:color w:val="0D0D0D" w:themeColor="text1" w:themeTint="F2"/>
                <w:lang w:val="sq-AL"/>
              </w:rPr>
            </w:pPr>
            <w:r w:rsidRPr="005208DC">
              <w:rPr>
                <w:rFonts w:ascii="Times New Roman" w:hAnsi="Times New Roman"/>
                <w:color w:val="0D0D0D" w:themeColor="text1" w:themeTint="F2"/>
                <w:lang w:val="sq-AL"/>
              </w:rPr>
              <w:t>1</w:t>
            </w:r>
          </w:p>
        </w:tc>
      </w:tr>
      <w:tr w:rsidR="005208DC" w:rsidRPr="005208DC" w14:paraId="7CB70CE9" w14:textId="77777777" w:rsidTr="00630CC2">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0E5923" w14:textId="77777777" w:rsidR="00A86175" w:rsidRPr="005208DC" w:rsidRDefault="00A86175" w:rsidP="00857902">
            <w:pPr>
              <w:widowControl/>
              <w:snapToGrid w:val="0"/>
              <w:rPr>
                <w:rFonts w:ascii="Times New Roman" w:hAnsi="Times New Roman"/>
                <w:color w:val="0D0D0D" w:themeColor="text1" w:themeTint="F2"/>
                <w:lang w:val="sq-AL"/>
              </w:rPr>
            </w:pPr>
          </w:p>
        </w:tc>
        <w:tc>
          <w:tcPr>
            <w:tcW w:w="6777" w:type="dxa"/>
            <w:tcBorders>
              <w:top w:val="single" w:sz="4" w:space="0" w:color="auto"/>
              <w:left w:val="single" w:sz="4" w:space="0" w:color="auto"/>
              <w:bottom w:val="single" w:sz="4" w:space="0" w:color="auto"/>
              <w:right w:val="single" w:sz="4" w:space="0" w:color="auto"/>
            </w:tcBorders>
            <w:shd w:val="clear" w:color="auto" w:fill="auto"/>
          </w:tcPr>
          <w:p w14:paraId="597E9843" w14:textId="77777777" w:rsidR="00A86175" w:rsidRPr="005208DC" w:rsidRDefault="00A86175" w:rsidP="00857902">
            <w:pPr>
              <w:widowControl/>
              <w:snapToGrid w:val="0"/>
              <w:rPr>
                <w:rFonts w:ascii="Times New Roman" w:hAnsi="Times New Roman"/>
                <w:color w:val="0D0D0D" w:themeColor="text1" w:themeTint="F2"/>
                <w:lang w:val="sq-AL"/>
              </w:rPr>
            </w:pPr>
            <w:r w:rsidRPr="005208DC">
              <w:rPr>
                <w:rFonts w:ascii="Times New Roman" w:hAnsi="Times New Roman"/>
                <w:color w:val="0D0D0D" w:themeColor="text1" w:themeTint="F2"/>
                <w:lang w:val="sq-AL"/>
              </w:rPr>
              <w:t>Zhvillimi i infrastrukturës broadband në jug të vendit (zhvillimi broadband në zonat e bardha në Vlorë, Gjirokastër, Fier, Berat, Korçë)</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8A4289D" w14:textId="77777777" w:rsidR="00A86175" w:rsidRPr="005208DC" w:rsidRDefault="00A86175" w:rsidP="00857902">
            <w:pPr>
              <w:widowControl/>
              <w:snapToGrid w:val="0"/>
              <w:rPr>
                <w:rFonts w:ascii="Times New Roman" w:hAnsi="Times New Roman"/>
                <w:color w:val="0D0D0D" w:themeColor="text1" w:themeTint="F2"/>
                <w:lang w:val="sq-AL"/>
              </w:rPr>
            </w:pPr>
            <w:r w:rsidRPr="005208DC">
              <w:rPr>
                <w:rFonts w:ascii="Times New Roman" w:hAnsi="Times New Roman"/>
                <w:color w:val="0D0D0D" w:themeColor="text1" w:themeTint="F2"/>
                <w:lang w:val="sq-AL"/>
              </w:rPr>
              <w:t>1</w:t>
            </w:r>
          </w:p>
        </w:tc>
      </w:tr>
      <w:tr w:rsidR="005208DC" w:rsidRPr="005208DC" w14:paraId="77D59FF3" w14:textId="77777777" w:rsidTr="00630CC2">
        <w:trPr>
          <w:trHeight w:val="415"/>
        </w:trPr>
        <w:tc>
          <w:tcPr>
            <w:tcW w:w="1723" w:type="dxa"/>
            <w:vMerge w:val="restart"/>
            <w:tcBorders>
              <w:top w:val="single" w:sz="4" w:space="0" w:color="auto"/>
              <w:left w:val="single" w:sz="4" w:space="0" w:color="auto"/>
              <w:bottom w:val="single" w:sz="4" w:space="0" w:color="auto"/>
              <w:right w:val="single" w:sz="4" w:space="0" w:color="auto"/>
            </w:tcBorders>
            <w:hideMark/>
          </w:tcPr>
          <w:p w14:paraId="15774CD8" w14:textId="56854DF5" w:rsidR="00A86175" w:rsidRPr="005208DC" w:rsidRDefault="00A86175" w:rsidP="00857902">
            <w:pPr>
              <w:widowControl/>
              <w:snapToGrid w:val="0"/>
              <w:rPr>
                <w:rFonts w:ascii="Times New Roman" w:hAnsi="Times New Roman"/>
                <w:color w:val="0D0D0D" w:themeColor="text1" w:themeTint="F2"/>
                <w:lang w:val="sq-AL"/>
              </w:rPr>
            </w:pPr>
            <w:r w:rsidRPr="005208DC">
              <w:rPr>
                <w:rFonts w:asciiTheme="majorBidi" w:hAnsiTheme="majorBidi" w:cstheme="majorBidi"/>
                <w:color w:val="0D0D0D" w:themeColor="text1" w:themeTint="F2"/>
                <w:sz w:val="22"/>
                <w:szCs w:val="22"/>
                <w:lang w:val="sq-AL"/>
              </w:rPr>
              <w:t>Përshkrim i zbatimit dhe sqarim nëse zbatim i pjesshëm apo pa zbatim</w:t>
            </w:r>
          </w:p>
        </w:tc>
        <w:tc>
          <w:tcPr>
            <w:tcW w:w="6777" w:type="dxa"/>
            <w:tcBorders>
              <w:top w:val="single" w:sz="4" w:space="0" w:color="auto"/>
              <w:left w:val="single" w:sz="4" w:space="0" w:color="auto"/>
              <w:bottom w:val="single" w:sz="4" w:space="0" w:color="auto"/>
              <w:right w:val="single" w:sz="4" w:space="0" w:color="auto"/>
            </w:tcBorders>
            <w:shd w:val="clear" w:color="auto" w:fill="auto"/>
          </w:tcPr>
          <w:p w14:paraId="1CCBBA3C" w14:textId="77777777" w:rsidR="00A86175" w:rsidRPr="005208DC" w:rsidRDefault="00A86175" w:rsidP="00857902">
            <w:pPr>
              <w:widowControl/>
              <w:tabs>
                <w:tab w:val="left" w:pos="1050"/>
              </w:tabs>
              <w:snapToGrid w:val="0"/>
              <w:rPr>
                <w:rFonts w:ascii="Times New Roman" w:hAnsi="Times New Roman"/>
                <w:color w:val="0D0D0D" w:themeColor="text1" w:themeTint="F2"/>
                <w:lang w:val="sq-AL"/>
              </w:rPr>
            </w:pPr>
            <w:r w:rsidRPr="005208DC">
              <w:rPr>
                <w:rFonts w:ascii="Times New Roman" w:hAnsi="Times New Roman"/>
                <w:color w:val="0D0D0D" w:themeColor="text1" w:themeTint="F2"/>
                <w:lang w:val="sq-AL"/>
              </w:rPr>
              <w:t>Ka filluar përgatitja për miratimin e ligjit të ri për komunikimet elektronike, në përputhje me Kodin e ri Evropian të Komunikimit Elektronik të miratuar nga BE në vitin 2018;</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B45960" w14:textId="77777777" w:rsidR="00A86175" w:rsidRPr="005208DC" w:rsidRDefault="00A86175" w:rsidP="00857902">
            <w:pPr>
              <w:widowControl/>
              <w:snapToGrid w:val="0"/>
              <w:rPr>
                <w:rFonts w:ascii="Times New Roman" w:hAnsi="Times New Roman"/>
                <w:color w:val="0D0D0D" w:themeColor="text1" w:themeTint="F2"/>
                <w:lang w:val="sq-AL"/>
              </w:rPr>
            </w:pPr>
          </w:p>
        </w:tc>
      </w:tr>
      <w:tr w:rsidR="005208DC" w:rsidRPr="005208DC" w14:paraId="0910BE37" w14:textId="77777777" w:rsidTr="00630CC2">
        <w:trPr>
          <w:trHeight w:val="839"/>
        </w:trPr>
        <w:tc>
          <w:tcPr>
            <w:tcW w:w="0" w:type="auto"/>
            <w:vMerge/>
            <w:tcBorders>
              <w:top w:val="single" w:sz="4" w:space="0" w:color="auto"/>
              <w:left w:val="single" w:sz="4" w:space="0" w:color="auto"/>
              <w:bottom w:val="single" w:sz="4" w:space="0" w:color="auto"/>
              <w:right w:val="single" w:sz="4" w:space="0" w:color="auto"/>
            </w:tcBorders>
            <w:vAlign w:val="center"/>
          </w:tcPr>
          <w:p w14:paraId="59661294" w14:textId="77777777" w:rsidR="00A86175" w:rsidRPr="005208DC" w:rsidRDefault="00A86175" w:rsidP="00857902">
            <w:pPr>
              <w:snapToGrid w:val="0"/>
              <w:rPr>
                <w:rFonts w:ascii="Times New Roman" w:hAnsi="Times New Roman"/>
                <w:color w:val="0D0D0D" w:themeColor="text1" w:themeTint="F2"/>
                <w:lang w:val="sq-AL"/>
              </w:rPr>
            </w:pPr>
          </w:p>
        </w:tc>
        <w:tc>
          <w:tcPr>
            <w:tcW w:w="6777" w:type="dxa"/>
            <w:tcBorders>
              <w:top w:val="single" w:sz="4" w:space="0" w:color="auto"/>
              <w:left w:val="single" w:sz="4" w:space="0" w:color="auto"/>
              <w:right w:val="single" w:sz="4" w:space="0" w:color="auto"/>
            </w:tcBorders>
            <w:shd w:val="clear" w:color="auto" w:fill="auto"/>
          </w:tcPr>
          <w:p w14:paraId="3BE3A7C9" w14:textId="77777777" w:rsidR="00A86175" w:rsidRPr="005208DC" w:rsidRDefault="00A86175" w:rsidP="00857902">
            <w:pPr>
              <w:snapToGrid w:val="0"/>
              <w:rPr>
                <w:rFonts w:ascii="Times New Roman" w:hAnsi="Times New Roman"/>
                <w:color w:val="0D0D0D" w:themeColor="text1" w:themeTint="F2"/>
                <w:lang w:val="sq-AL"/>
              </w:rPr>
            </w:pPr>
            <w:r w:rsidRPr="005208DC">
              <w:rPr>
                <w:rFonts w:ascii="Times New Roman" w:hAnsi="Times New Roman"/>
                <w:color w:val="0D0D0D" w:themeColor="text1" w:themeTint="F2"/>
                <w:lang w:val="sq-AL"/>
              </w:rPr>
              <w:t>Projekti pilot për zhvillimin e infrastrukturës broadband në Zonën 1 (zona rurale dhe të largëta/turistike në pjesën veriore të Shqipërisë (Shkodër, Kukës, Tropojë, Dibër) –Miratuara ToRs, ESIA dhe TD; TA ka filluar në tetor 2021;</w:t>
            </w:r>
          </w:p>
        </w:tc>
        <w:tc>
          <w:tcPr>
            <w:tcW w:w="1985" w:type="dxa"/>
            <w:tcBorders>
              <w:top w:val="single" w:sz="4" w:space="0" w:color="auto"/>
              <w:left w:val="single" w:sz="4" w:space="0" w:color="auto"/>
              <w:right w:val="single" w:sz="4" w:space="0" w:color="auto"/>
            </w:tcBorders>
            <w:shd w:val="clear" w:color="auto" w:fill="auto"/>
          </w:tcPr>
          <w:p w14:paraId="27A892B4" w14:textId="77777777" w:rsidR="00A86175" w:rsidRPr="005208DC" w:rsidRDefault="00A86175" w:rsidP="00857902">
            <w:pPr>
              <w:snapToGrid w:val="0"/>
              <w:rPr>
                <w:rFonts w:ascii="Times New Roman" w:hAnsi="Times New Roman"/>
                <w:color w:val="0D0D0D" w:themeColor="text1" w:themeTint="F2"/>
                <w:lang w:val="sq-AL"/>
              </w:rPr>
            </w:pPr>
          </w:p>
        </w:tc>
      </w:tr>
      <w:tr w:rsidR="005208DC" w:rsidRPr="005208DC" w14:paraId="64DF5E1A" w14:textId="77777777" w:rsidTr="00630CC2">
        <w:trPr>
          <w:trHeight w:val="8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5DE7A5" w14:textId="77777777" w:rsidR="00A86175" w:rsidRPr="005208DC" w:rsidRDefault="00A86175" w:rsidP="00857902">
            <w:pPr>
              <w:widowControl/>
              <w:snapToGrid w:val="0"/>
              <w:rPr>
                <w:rFonts w:ascii="Times New Roman" w:hAnsi="Times New Roman"/>
                <w:color w:val="0D0D0D" w:themeColor="text1" w:themeTint="F2"/>
                <w:lang w:val="sq-AL"/>
              </w:rPr>
            </w:pPr>
          </w:p>
        </w:tc>
        <w:tc>
          <w:tcPr>
            <w:tcW w:w="6777" w:type="dxa"/>
            <w:tcBorders>
              <w:top w:val="single" w:sz="4" w:space="0" w:color="auto"/>
              <w:left w:val="single" w:sz="4" w:space="0" w:color="auto"/>
              <w:right w:val="single" w:sz="4" w:space="0" w:color="auto"/>
            </w:tcBorders>
            <w:shd w:val="clear" w:color="auto" w:fill="auto"/>
          </w:tcPr>
          <w:p w14:paraId="478C9077" w14:textId="530C9562" w:rsidR="00A86175" w:rsidRPr="005208DC" w:rsidRDefault="00A86175" w:rsidP="00857902">
            <w:pPr>
              <w:widowControl/>
              <w:snapToGrid w:val="0"/>
              <w:rPr>
                <w:rFonts w:ascii="Times New Roman" w:hAnsi="Times New Roman"/>
                <w:color w:val="0D0D0D" w:themeColor="text1" w:themeTint="F2"/>
                <w:lang w:val="sq-AL"/>
              </w:rPr>
            </w:pPr>
            <w:r w:rsidRPr="005208DC">
              <w:rPr>
                <w:rFonts w:ascii="Times New Roman" w:hAnsi="Times New Roman"/>
                <w:color w:val="0D0D0D" w:themeColor="text1" w:themeTint="F2"/>
                <w:lang w:val="sq-AL"/>
              </w:rPr>
              <w:t>Zhvillimi i broadband në jug të vendit (për zhvillimin e broadband në zonat e bardha Vlorë, Gjirokastër, Fier, Berat, Korçë) - ToRs, ESIA dhe TD të miratuara; TA ka filluar në tetor 2021;</w:t>
            </w:r>
          </w:p>
        </w:tc>
        <w:tc>
          <w:tcPr>
            <w:tcW w:w="1985" w:type="dxa"/>
            <w:tcBorders>
              <w:top w:val="single" w:sz="4" w:space="0" w:color="auto"/>
              <w:left w:val="single" w:sz="4" w:space="0" w:color="auto"/>
              <w:right w:val="single" w:sz="4" w:space="0" w:color="auto"/>
            </w:tcBorders>
            <w:shd w:val="clear" w:color="auto" w:fill="auto"/>
          </w:tcPr>
          <w:p w14:paraId="768EF1CE" w14:textId="77777777" w:rsidR="00A86175" w:rsidRPr="005208DC" w:rsidRDefault="00A86175" w:rsidP="00857902">
            <w:pPr>
              <w:widowControl/>
              <w:snapToGrid w:val="0"/>
              <w:rPr>
                <w:rFonts w:ascii="Times New Roman" w:hAnsi="Times New Roman"/>
                <w:color w:val="0D0D0D" w:themeColor="text1" w:themeTint="F2"/>
                <w:lang w:val="sq-AL"/>
              </w:rPr>
            </w:pPr>
          </w:p>
        </w:tc>
      </w:tr>
    </w:tbl>
    <w:p w14:paraId="14BCA9D6" w14:textId="77777777" w:rsidR="00A86175" w:rsidRPr="005208DC" w:rsidRDefault="00A86175" w:rsidP="00857902">
      <w:pPr>
        <w:snapToGrid w:val="0"/>
        <w:rPr>
          <w:rFonts w:asciiTheme="majorBidi" w:hAnsiTheme="majorBidi" w:cstheme="majorBidi"/>
          <w:color w:val="0D0D0D" w:themeColor="text1" w:themeTint="F2"/>
          <w:sz w:val="22"/>
          <w:szCs w:val="22"/>
          <w:lang w:val="sq-AL"/>
        </w:rPr>
      </w:pPr>
    </w:p>
    <w:tbl>
      <w:tblPr>
        <w:tblStyle w:val="TableGrid"/>
        <w:tblW w:w="10485" w:type="dxa"/>
        <w:tblLook w:val="04A0" w:firstRow="1" w:lastRow="0" w:firstColumn="1" w:lastColumn="0" w:noHBand="0" w:noVBand="1"/>
      </w:tblPr>
      <w:tblGrid>
        <w:gridCol w:w="1723"/>
        <w:gridCol w:w="6777"/>
        <w:gridCol w:w="1985"/>
      </w:tblGrid>
      <w:tr w:rsidR="005208DC" w:rsidRPr="005208DC" w14:paraId="2489AA64" w14:textId="77777777" w:rsidTr="00630CC2">
        <w:tc>
          <w:tcPr>
            <w:tcW w:w="8500" w:type="dxa"/>
            <w:gridSpan w:val="2"/>
            <w:tcBorders>
              <w:top w:val="single" w:sz="4" w:space="0" w:color="auto"/>
              <w:left w:val="single" w:sz="4" w:space="0" w:color="auto"/>
              <w:bottom w:val="single" w:sz="4" w:space="0" w:color="auto"/>
              <w:right w:val="single" w:sz="4" w:space="0" w:color="auto"/>
            </w:tcBorders>
            <w:shd w:val="clear" w:color="auto" w:fill="E5DFEC"/>
            <w:hideMark/>
          </w:tcPr>
          <w:p w14:paraId="3971BF36" w14:textId="52D3CDCE" w:rsidR="0089011F" w:rsidRPr="005208DC" w:rsidRDefault="0089011F" w:rsidP="00857902">
            <w:pPr>
              <w:rPr>
                <w:rFonts w:ascii="Times New Roman" w:hAnsi="Times New Roman"/>
                <w:b/>
                <w:color w:val="0D0D0D" w:themeColor="text1" w:themeTint="F2"/>
                <w:lang w:val="sq-AL"/>
              </w:rPr>
            </w:pPr>
            <w:r w:rsidRPr="005208DC">
              <w:rPr>
                <w:rFonts w:ascii="Times New Roman" w:hAnsi="Times New Roman"/>
                <w:b/>
                <w:color w:val="0D0D0D" w:themeColor="text1" w:themeTint="F2"/>
                <w:lang w:val="sq-AL"/>
              </w:rPr>
              <w:t>Masa e reformës: Forcimi dhe zgjerimi i mbulimit të mbrojtjes sociale duke reduktuar pabarazinë dhe duke mbështetur rritjen gjithëpërfshirëse dhe të qëndrueshme:</w:t>
            </w:r>
          </w:p>
        </w:tc>
        <w:tc>
          <w:tcPr>
            <w:tcW w:w="1985" w:type="dxa"/>
            <w:tcBorders>
              <w:top w:val="single" w:sz="4" w:space="0" w:color="auto"/>
              <w:left w:val="single" w:sz="4" w:space="0" w:color="auto"/>
              <w:bottom w:val="single" w:sz="4" w:space="0" w:color="auto"/>
              <w:right w:val="single" w:sz="4" w:space="0" w:color="auto"/>
            </w:tcBorders>
            <w:shd w:val="clear" w:color="auto" w:fill="E5DFEC"/>
            <w:hideMark/>
          </w:tcPr>
          <w:p w14:paraId="5BC15FEB" w14:textId="77777777" w:rsidR="0089011F" w:rsidRPr="005208DC" w:rsidRDefault="0089011F" w:rsidP="00857902">
            <w:pPr>
              <w:rPr>
                <w:rFonts w:ascii="Times New Roman" w:hAnsi="Times New Roman"/>
                <w:b/>
                <w:bCs/>
                <w:color w:val="0D0D0D" w:themeColor="text1" w:themeTint="F2"/>
                <w:lang w:val="sq-AL"/>
              </w:rPr>
            </w:pPr>
            <w:r w:rsidRPr="005208DC">
              <w:rPr>
                <w:rFonts w:ascii="Times New Roman" w:hAnsi="Times New Roman"/>
                <w:b/>
                <w:bCs/>
                <w:color w:val="0D0D0D" w:themeColor="text1" w:themeTint="F2"/>
                <w:lang w:val="sq-AL"/>
              </w:rPr>
              <w:t>Faza e zbatimit të reformës (0-5)</w:t>
            </w:r>
          </w:p>
        </w:tc>
      </w:tr>
      <w:tr w:rsidR="005208DC" w:rsidRPr="005208DC" w14:paraId="62832F4D" w14:textId="77777777" w:rsidTr="00630CC2">
        <w:trPr>
          <w:trHeight w:val="1097"/>
        </w:trPr>
        <w:tc>
          <w:tcPr>
            <w:tcW w:w="1723" w:type="dxa"/>
            <w:vMerge w:val="restart"/>
            <w:tcBorders>
              <w:top w:val="single" w:sz="4" w:space="0" w:color="auto"/>
              <w:left w:val="single" w:sz="4" w:space="0" w:color="auto"/>
              <w:bottom w:val="single" w:sz="4" w:space="0" w:color="auto"/>
              <w:right w:val="single" w:sz="4" w:space="0" w:color="auto"/>
            </w:tcBorders>
            <w:vAlign w:val="center"/>
            <w:hideMark/>
          </w:tcPr>
          <w:p w14:paraId="505A8702" w14:textId="77777777" w:rsidR="0089011F" w:rsidRPr="005208DC" w:rsidRDefault="0089011F" w:rsidP="00857902">
            <w:pPr>
              <w:rPr>
                <w:rFonts w:ascii="Times New Roman" w:hAnsi="Times New Roman"/>
                <w:color w:val="0D0D0D" w:themeColor="text1" w:themeTint="F2"/>
                <w:lang w:val="sq-AL"/>
              </w:rPr>
            </w:pPr>
            <w:r w:rsidRPr="005208DC">
              <w:rPr>
                <w:rFonts w:ascii="Times New Roman" w:hAnsi="Times New Roman"/>
                <w:color w:val="0D0D0D" w:themeColor="text1" w:themeTint="F2"/>
                <w:lang w:val="sq-AL"/>
              </w:rPr>
              <w:t>Aktivitete të planifikuara për vitin 2021</w:t>
            </w:r>
          </w:p>
        </w:tc>
        <w:tc>
          <w:tcPr>
            <w:tcW w:w="6777" w:type="dxa"/>
            <w:tcBorders>
              <w:top w:val="single" w:sz="4" w:space="0" w:color="auto"/>
              <w:left w:val="single" w:sz="4" w:space="0" w:color="auto"/>
              <w:bottom w:val="single" w:sz="4" w:space="0" w:color="auto"/>
              <w:right w:val="single" w:sz="4" w:space="0" w:color="auto"/>
            </w:tcBorders>
            <w:hideMark/>
          </w:tcPr>
          <w:p w14:paraId="09660CAD" w14:textId="361B93D7" w:rsidR="0089011F" w:rsidRPr="005208DC" w:rsidRDefault="00A86175"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Vlerësimi</w:t>
            </w:r>
            <w:r w:rsidR="0089011F" w:rsidRPr="005208DC">
              <w:rPr>
                <w:rFonts w:ascii="Times New Roman" w:hAnsi="Times New Roman"/>
                <w:color w:val="0D0D0D" w:themeColor="text1" w:themeTint="F2"/>
                <w:lang w:val="sq-AL"/>
              </w:rPr>
              <w:t xml:space="preserve"> i përshtatshmërisë së përfitimeve të ndihmës ekonomike duke marrë në konsideratë të  dhënat nga Anketa mbi të Ardhurat dhe Kushtet e Jetesës dhe vendosja e një mekanizmi transparent për rishikimin e tyre të rregullt vjetor.</w:t>
            </w:r>
          </w:p>
        </w:tc>
        <w:tc>
          <w:tcPr>
            <w:tcW w:w="1985" w:type="dxa"/>
            <w:tcBorders>
              <w:top w:val="single" w:sz="4" w:space="0" w:color="auto"/>
              <w:left w:val="single" w:sz="4" w:space="0" w:color="auto"/>
              <w:bottom w:val="single" w:sz="4" w:space="0" w:color="auto"/>
              <w:right w:val="single" w:sz="4" w:space="0" w:color="auto"/>
            </w:tcBorders>
          </w:tcPr>
          <w:p w14:paraId="2B010E02" w14:textId="77777777" w:rsidR="0089011F" w:rsidRPr="005208DC" w:rsidRDefault="0089011F" w:rsidP="00857902">
            <w:pPr>
              <w:rPr>
                <w:rFonts w:ascii="Times New Roman" w:hAnsi="Times New Roman"/>
                <w:color w:val="0D0D0D" w:themeColor="text1" w:themeTint="F2"/>
                <w:lang w:val="sq-AL"/>
              </w:rPr>
            </w:pPr>
          </w:p>
        </w:tc>
      </w:tr>
      <w:tr w:rsidR="005208DC" w:rsidRPr="005208DC" w14:paraId="5E2F40CD" w14:textId="77777777" w:rsidTr="00630CC2">
        <w:tc>
          <w:tcPr>
            <w:tcW w:w="0" w:type="auto"/>
            <w:vMerge/>
            <w:tcBorders>
              <w:top w:val="single" w:sz="4" w:space="0" w:color="auto"/>
              <w:left w:val="single" w:sz="4" w:space="0" w:color="auto"/>
              <w:bottom w:val="single" w:sz="4" w:space="0" w:color="auto"/>
              <w:right w:val="single" w:sz="4" w:space="0" w:color="auto"/>
            </w:tcBorders>
            <w:vAlign w:val="center"/>
            <w:hideMark/>
          </w:tcPr>
          <w:p w14:paraId="5DBA8F3D" w14:textId="77777777" w:rsidR="0089011F" w:rsidRPr="005208DC" w:rsidRDefault="0089011F" w:rsidP="00857902">
            <w:pPr>
              <w:rPr>
                <w:rFonts w:ascii="Times New Roman" w:hAnsi="Times New Roman"/>
                <w:color w:val="0D0D0D" w:themeColor="text1" w:themeTint="F2"/>
                <w:lang w:val="sq-AL"/>
              </w:rPr>
            </w:pPr>
          </w:p>
        </w:tc>
        <w:tc>
          <w:tcPr>
            <w:tcW w:w="6777" w:type="dxa"/>
            <w:tcBorders>
              <w:top w:val="single" w:sz="4" w:space="0" w:color="auto"/>
              <w:left w:val="single" w:sz="4" w:space="0" w:color="auto"/>
              <w:bottom w:val="single" w:sz="4" w:space="0" w:color="auto"/>
              <w:right w:val="single" w:sz="4" w:space="0" w:color="auto"/>
            </w:tcBorders>
            <w:hideMark/>
          </w:tcPr>
          <w:p w14:paraId="39CE3E8B" w14:textId="24CBA13A" w:rsidR="0089011F" w:rsidRPr="005208DC" w:rsidRDefault="0089011F"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Zbatimi i sistemit të vlerësimit bio-psiko-social për të mbështetur personat me aftësi të kufizuara me para dhe kujdes social në tre qarqe (Tiranë, Durrës dhe Elbasan).</w:t>
            </w:r>
          </w:p>
        </w:tc>
        <w:tc>
          <w:tcPr>
            <w:tcW w:w="1985" w:type="dxa"/>
            <w:tcBorders>
              <w:top w:val="single" w:sz="4" w:space="0" w:color="auto"/>
              <w:left w:val="single" w:sz="4" w:space="0" w:color="auto"/>
              <w:bottom w:val="single" w:sz="4" w:space="0" w:color="auto"/>
              <w:right w:val="single" w:sz="4" w:space="0" w:color="auto"/>
            </w:tcBorders>
          </w:tcPr>
          <w:p w14:paraId="38422FC4" w14:textId="77777777" w:rsidR="0089011F" w:rsidRPr="005208DC" w:rsidRDefault="0089011F" w:rsidP="00857902">
            <w:pPr>
              <w:rPr>
                <w:rFonts w:ascii="Times New Roman" w:hAnsi="Times New Roman"/>
                <w:color w:val="0D0D0D" w:themeColor="text1" w:themeTint="F2"/>
                <w:lang w:val="sq-AL"/>
              </w:rPr>
            </w:pPr>
          </w:p>
        </w:tc>
      </w:tr>
      <w:tr w:rsidR="005208DC" w:rsidRPr="005208DC" w14:paraId="598C3B39" w14:textId="77777777" w:rsidTr="00630CC2">
        <w:tc>
          <w:tcPr>
            <w:tcW w:w="0" w:type="auto"/>
            <w:vMerge/>
            <w:tcBorders>
              <w:top w:val="single" w:sz="4" w:space="0" w:color="auto"/>
              <w:left w:val="single" w:sz="4" w:space="0" w:color="auto"/>
              <w:bottom w:val="single" w:sz="4" w:space="0" w:color="auto"/>
              <w:right w:val="single" w:sz="4" w:space="0" w:color="auto"/>
            </w:tcBorders>
            <w:vAlign w:val="center"/>
            <w:hideMark/>
          </w:tcPr>
          <w:p w14:paraId="55D5E711" w14:textId="77777777" w:rsidR="0089011F" w:rsidRPr="005208DC" w:rsidRDefault="0089011F" w:rsidP="00857902">
            <w:pPr>
              <w:rPr>
                <w:rFonts w:ascii="Times New Roman" w:hAnsi="Times New Roman"/>
                <w:color w:val="0D0D0D" w:themeColor="text1" w:themeTint="F2"/>
                <w:lang w:val="sq-AL"/>
              </w:rPr>
            </w:pPr>
          </w:p>
        </w:tc>
        <w:tc>
          <w:tcPr>
            <w:tcW w:w="6777" w:type="dxa"/>
            <w:tcBorders>
              <w:top w:val="single" w:sz="4" w:space="0" w:color="auto"/>
              <w:left w:val="single" w:sz="4" w:space="0" w:color="auto"/>
              <w:bottom w:val="single" w:sz="4" w:space="0" w:color="auto"/>
              <w:right w:val="single" w:sz="4" w:space="0" w:color="auto"/>
            </w:tcBorders>
            <w:hideMark/>
          </w:tcPr>
          <w:p w14:paraId="62DC5166" w14:textId="228B2876" w:rsidR="0089011F" w:rsidRPr="005208DC" w:rsidRDefault="0089011F"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Mbështetje për personat nga shtresat e pafavorizuara, veçanërisht përfituesit e ndihmës ekonomike dhe personat me aftësi të kufizuara drejt punësimit në ndërmarrjet sociale. Financimi i ndërmarrjeve sociale</w:t>
            </w:r>
          </w:p>
        </w:tc>
        <w:tc>
          <w:tcPr>
            <w:tcW w:w="1985" w:type="dxa"/>
            <w:tcBorders>
              <w:top w:val="single" w:sz="4" w:space="0" w:color="auto"/>
              <w:left w:val="single" w:sz="4" w:space="0" w:color="auto"/>
              <w:bottom w:val="single" w:sz="4" w:space="0" w:color="auto"/>
              <w:right w:val="single" w:sz="4" w:space="0" w:color="auto"/>
            </w:tcBorders>
          </w:tcPr>
          <w:p w14:paraId="392B9F54" w14:textId="77777777" w:rsidR="0089011F" w:rsidRPr="005208DC" w:rsidRDefault="0089011F" w:rsidP="00857902">
            <w:pPr>
              <w:rPr>
                <w:rFonts w:ascii="Times New Roman" w:hAnsi="Times New Roman"/>
                <w:color w:val="0D0D0D" w:themeColor="text1" w:themeTint="F2"/>
                <w:lang w:val="sq-AL"/>
              </w:rPr>
            </w:pPr>
          </w:p>
        </w:tc>
      </w:tr>
      <w:tr w:rsidR="005208DC" w:rsidRPr="005208DC" w14:paraId="4B397914" w14:textId="77777777" w:rsidTr="00630CC2">
        <w:tc>
          <w:tcPr>
            <w:tcW w:w="0" w:type="auto"/>
            <w:vMerge/>
            <w:tcBorders>
              <w:top w:val="single" w:sz="4" w:space="0" w:color="auto"/>
              <w:left w:val="single" w:sz="4" w:space="0" w:color="auto"/>
              <w:bottom w:val="single" w:sz="4" w:space="0" w:color="auto"/>
              <w:right w:val="single" w:sz="4" w:space="0" w:color="auto"/>
            </w:tcBorders>
            <w:vAlign w:val="center"/>
            <w:hideMark/>
          </w:tcPr>
          <w:p w14:paraId="73C8CE26" w14:textId="77777777" w:rsidR="0089011F" w:rsidRPr="005208DC" w:rsidRDefault="0089011F" w:rsidP="00857902">
            <w:pPr>
              <w:rPr>
                <w:rFonts w:ascii="Times New Roman" w:hAnsi="Times New Roman"/>
                <w:color w:val="0D0D0D" w:themeColor="text1" w:themeTint="F2"/>
                <w:lang w:val="sq-AL"/>
              </w:rPr>
            </w:pPr>
          </w:p>
        </w:tc>
        <w:tc>
          <w:tcPr>
            <w:tcW w:w="6777" w:type="dxa"/>
            <w:tcBorders>
              <w:top w:val="single" w:sz="4" w:space="0" w:color="auto"/>
              <w:left w:val="single" w:sz="4" w:space="0" w:color="auto"/>
              <w:bottom w:val="single" w:sz="4" w:space="0" w:color="auto"/>
              <w:right w:val="single" w:sz="4" w:space="0" w:color="auto"/>
            </w:tcBorders>
            <w:hideMark/>
          </w:tcPr>
          <w:p w14:paraId="105739D2" w14:textId="4F9BFB6D" w:rsidR="0089011F" w:rsidRPr="005208DC" w:rsidRDefault="0089011F"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Përmirësimi i ofrimit të shërbimeve sociale me bazë komunitare nga njësitë e qeverisjes vendore për të gjitha kategoritë në nevojë në kuadër të Fondit Social</w:t>
            </w:r>
          </w:p>
        </w:tc>
        <w:tc>
          <w:tcPr>
            <w:tcW w:w="1985" w:type="dxa"/>
            <w:tcBorders>
              <w:top w:val="single" w:sz="4" w:space="0" w:color="auto"/>
              <w:left w:val="single" w:sz="4" w:space="0" w:color="auto"/>
              <w:bottom w:val="single" w:sz="4" w:space="0" w:color="auto"/>
              <w:right w:val="single" w:sz="4" w:space="0" w:color="auto"/>
            </w:tcBorders>
          </w:tcPr>
          <w:p w14:paraId="7D51EE8C" w14:textId="77777777" w:rsidR="0089011F" w:rsidRPr="005208DC" w:rsidRDefault="0089011F" w:rsidP="00857902">
            <w:pPr>
              <w:rPr>
                <w:rFonts w:ascii="Times New Roman" w:hAnsi="Times New Roman"/>
                <w:color w:val="0D0D0D" w:themeColor="text1" w:themeTint="F2"/>
                <w:lang w:val="sq-AL"/>
              </w:rPr>
            </w:pPr>
          </w:p>
        </w:tc>
      </w:tr>
      <w:tr w:rsidR="005208DC" w:rsidRPr="005208DC" w14:paraId="45FDDA53" w14:textId="77777777" w:rsidTr="00630CC2">
        <w:tc>
          <w:tcPr>
            <w:tcW w:w="0" w:type="auto"/>
            <w:vMerge/>
            <w:tcBorders>
              <w:top w:val="single" w:sz="4" w:space="0" w:color="auto"/>
              <w:left w:val="single" w:sz="4" w:space="0" w:color="auto"/>
              <w:bottom w:val="single" w:sz="4" w:space="0" w:color="auto"/>
              <w:right w:val="single" w:sz="4" w:space="0" w:color="auto"/>
            </w:tcBorders>
            <w:vAlign w:val="center"/>
            <w:hideMark/>
          </w:tcPr>
          <w:p w14:paraId="76E6D6CB" w14:textId="77777777" w:rsidR="0089011F" w:rsidRPr="005208DC" w:rsidRDefault="0089011F" w:rsidP="00857902">
            <w:pPr>
              <w:rPr>
                <w:rFonts w:ascii="Times New Roman" w:hAnsi="Times New Roman"/>
                <w:color w:val="0D0D0D" w:themeColor="text1" w:themeTint="F2"/>
                <w:lang w:val="sq-AL"/>
              </w:rPr>
            </w:pPr>
          </w:p>
        </w:tc>
        <w:tc>
          <w:tcPr>
            <w:tcW w:w="6777" w:type="dxa"/>
            <w:tcBorders>
              <w:top w:val="single" w:sz="4" w:space="0" w:color="auto"/>
              <w:left w:val="single" w:sz="4" w:space="0" w:color="auto"/>
              <w:bottom w:val="single" w:sz="4" w:space="0" w:color="auto"/>
              <w:right w:val="single" w:sz="4" w:space="0" w:color="auto"/>
            </w:tcBorders>
          </w:tcPr>
          <w:p w14:paraId="5C434A8A" w14:textId="2E096628" w:rsidR="0089011F" w:rsidRPr="005208DC" w:rsidRDefault="0089011F" w:rsidP="00857902">
            <w:pPr>
              <w:rPr>
                <w:rFonts w:ascii="Times New Roman" w:hAnsi="Times New Roman"/>
                <w:color w:val="0D0D0D" w:themeColor="text1" w:themeTint="F2"/>
                <w:lang w:val="sq-AL"/>
              </w:rPr>
            </w:pPr>
            <w:r w:rsidRPr="005208DC">
              <w:rPr>
                <w:rFonts w:ascii="Times New Roman" w:hAnsi="Times New Roman"/>
                <w:color w:val="0D0D0D" w:themeColor="text1" w:themeTint="F2"/>
                <w:lang w:val="sq-AL"/>
              </w:rPr>
              <w:t>Vlerësimi i të gjitha institucioneve publike të kujdesit rezidencial dhe zhvillimi i planit të transformimit të tyre.</w:t>
            </w:r>
          </w:p>
        </w:tc>
        <w:tc>
          <w:tcPr>
            <w:tcW w:w="1985" w:type="dxa"/>
            <w:tcBorders>
              <w:top w:val="single" w:sz="4" w:space="0" w:color="auto"/>
              <w:left w:val="single" w:sz="4" w:space="0" w:color="auto"/>
              <w:bottom w:val="single" w:sz="4" w:space="0" w:color="auto"/>
              <w:right w:val="single" w:sz="4" w:space="0" w:color="auto"/>
            </w:tcBorders>
          </w:tcPr>
          <w:p w14:paraId="1C8F7164" w14:textId="77777777" w:rsidR="0089011F" w:rsidRPr="005208DC" w:rsidRDefault="0089011F" w:rsidP="00857902">
            <w:pPr>
              <w:rPr>
                <w:rFonts w:ascii="Times New Roman" w:hAnsi="Times New Roman"/>
                <w:color w:val="0D0D0D" w:themeColor="text1" w:themeTint="F2"/>
                <w:lang w:val="sq-AL"/>
              </w:rPr>
            </w:pPr>
          </w:p>
        </w:tc>
      </w:tr>
      <w:tr w:rsidR="005208DC" w:rsidRPr="005208DC" w14:paraId="0F5200DB" w14:textId="77777777" w:rsidTr="00630CC2">
        <w:tc>
          <w:tcPr>
            <w:tcW w:w="0" w:type="auto"/>
            <w:vMerge/>
            <w:tcBorders>
              <w:top w:val="single" w:sz="4" w:space="0" w:color="auto"/>
              <w:left w:val="single" w:sz="4" w:space="0" w:color="auto"/>
              <w:bottom w:val="single" w:sz="4" w:space="0" w:color="auto"/>
              <w:right w:val="single" w:sz="4" w:space="0" w:color="auto"/>
            </w:tcBorders>
            <w:vAlign w:val="center"/>
            <w:hideMark/>
          </w:tcPr>
          <w:p w14:paraId="36AD898E" w14:textId="77777777" w:rsidR="0089011F" w:rsidRPr="005208DC" w:rsidRDefault="0089011F" w:rsidP="00857902">
            <w:pPr>
              <w:rPr>
                <w:rFonts w:ascii="Times New Roman" w:hAnsi="Times New Roman"/>
                <w:color w:val="0D0D0D" w:themeColor="text1" w:themeTint="F2"/>
                <w:lang w:val="sq-AL"/>
              </w:rPr>
            </w:pPr>
          </w:p>
        </w:tc>
        <w:tc>
          <w:tcPr>
            <w:tcW w:w="6777" w:type="dxa"/>
            <w:tcBorders>
              <w:top w:val="single" w:sz="4" w:space="0" w:color="auto"/>
              <w:left w:val="single" w:sz="4" w:space="0" w:color="auto"/>
              <w:bottom w:val="single" w:sz="4" w:space="0" w:color="auto"/>
              <w:right w:val="single" w:sz="4" w:space="0" w:color="auto"/>
            </w:tcBorders>
            <w:hideMark/>
          </w:tcPr>
          <w:p w14:paraId="48E04B83" w14:textId="39A0D30A" w:rsidR="0089011F" w:rsidRPr="005208DC" w:rsidRDefault="0089011F" w:rsidP="00857902">
            <w:pPr>
              <w:rPr>
                <w:rFonts w:ascii="Times New Roman" w:hAnsi="Times New Roman"/>
                <w:color w:val="0D0D0D" w:themeColor="text1" w:themeTint="F2"/>
                <w:lang w:val="sq-AL"/>
              </w:rPr>
            </w:pPr>
            <w:r w:rsidRPr="005208DC">
              <w:rPr>
                <w:rFonts w:ascii="Times New Roman" w:hAnsi="Times New Roman"/>
                <w:color w:val="0D0D0D" w:themeColor="text1" w:themeTint="F2"/>
                <w:lang w:val="sq-AL"/>
              </w:rPr>
              <w:t>Hartimi i planeve kombëtare të veprimit për përfshirjen sociale dhe reduktimin e varfërisë përmes politikëbërjes dhe treguesve të përmirësuar.</w:t>
            </w:r>
          </w:p>
        </w:tc>
        <w:tc>
          <w:tcPr>
            <w:tcW w:w="1985" w:type="dxa"/>
            <w:tcBorders>
              <w:top w:val="single" w:sz="4" w:space="0" w:color="auto"/>
              <w:left w:val="single" w:sz="4" w:space="0" w:color="auto"/>
              <w:bottom w:val="single" w:sz="4" w:space="0" w:color="auto"/>
              <w:right w:val="single" w:sz="4" w:space="0" w:color="auto"/>
            </w:tcBorders>
          </w:tcPr>
          <w:p w14:paraId="5FBDCC43" w14:textId="77777777" w:rsidR="0089011F" w:rsidRPr="005208DC" w:rsidRDefault="0089011F" w:rsidP="00857902">
            <w:pPr>
              <w:rPr>
                <w:rFonts w:ascii="Times New Roman" w:hAnsi="Times New Roman"/>
                <w:color w:val="0D0D0D" w:themeColor="text1" w:themeTint="F2"/>
                <w:lang w:val="sq-AL"/>
              </w:rPr>
            </w:pPr>
          </w:p>
        </w:tc>
      </w:tr>
      <w:tr w:rsidR="005208DC" w:rsidRPr="005208DC" w14:paraId="1D4441C0" w14:textId="77777777" w:rsidTr="00630CC2">
        <w:tc>
          <w:tcPr>
            <w:tcW w:w="1723" w:type="dxa"/>
            <w:vMerge w:val="restart"/>
            <w:tcBorders>
              <w:top w:val="single" w:sz="4" w:space="0" w:color="auto"/>
              <w:left w:val="single" w:sz="4" w:space="0" w:color="auto"/>
              <w:bottom w:val="single" w:sz="4" w:space="0" w:color="auto"/>
              <w:right w:val="single" w:sz="4" w:space="0" w:color="auto"/>
            </w:tcBorders>
            <w:vAlign w:val="center"/>
            <w:hideMark/>
          </w:tcPr>
          <w:p w14:paraId="57F79538" w14:textId="77777777" w:rsidR="0089011F" w:rsidRPr="005208DC" w:rsidRDefault="0089011F" w:rsidP="00857902">
            <w:pPr>
              <w:rPr>
                <w:rFonts w:ascii="Times New Roman" w:hAnsi="Times New Roman"/>
                <w:color w:val="0D0D0D" w:themeColor="text1" w:themeTint="F2"/>
                <w:lang w:val="sq-AL"/>
              </w:rPr>
            </w:pPr>
            <w:r w:rsidRPr="005208DC">
              <w:rPr>
                <w:rFonts w:ascii="Times New Roman" w:hAnsi="Times New Roman"/>
                <w:color w:val="0D0D0D" w:themeColor="text1" w:themeTint="F2"/>
                <w:lang w:val="sq-AL"/>
              </w:rPr>
              <w:t>Përshkrimi i zbatimit dhe shpjegimi nëse është i pjesshëm ose aspak.</w:t>
            </w:r>
          </w:p>
        </w:tc>
        <w:tc>
          <w:tcPr>
            <w:tcW w:w="6777" w:type="dxa"/>
            <w:tcBorders>
              <w:top w:val="single" w:sz="4" w:space="0" w:color="auto"/>
              <w:left w:val="single" w:sz="4" w:space="0" w:color="auto"/>
              <w:bottom w:val="single" w:sz="4" w:space="0" w:color="auto"/>
              <w:right w:val="single" w:sz="4" w:space="0" w:color="auto"/>
            </w:tcBorders>
            <w:hideMark/>
          </w:tcPr>
          <w:p w14:paraId="1E83FE53" w14:textId="69CCFD8C" w:rsidR="0089011F" w:rsidRPr="005208DC" w:rsidRDefault="0089011F"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MSHMS ka ngritur një grup pune ndërinstitucional me përfaqësues nga Ministria e Shëndetësisë dhe Mbrojtjes Sociale, Shërbimi Social Shtetëror, Ministria e Financave dhe Ekonomisë dhe Instituti i Statistikave. Ky grup pune u krijua në bazë të Urdhrit nr. 269, datë 28.05.2021 të Ministrisë së Shëndetësisë dhe Mbrojtjes Sociale dhe ka përgatitur draft dokumentin për rishikimin e masës së përfitimit dhe një udhërrëfyes për shqyrtimin e rregullt të tyre.</w:t>
            </w:r>
          </w:p>
        </w:tc>
        <w:tc>
          <w:tcPr>
            <w:tcW w:w="1985" w:type="dxa"/>
            <w:tcBorders>
              <w:top w:val="single" w:sz="4" w:space="0" w:color="auto"/>
              <w:left w:val="single" w:sz="4" w:space="0" w:color="auto"/>
              <w:bottom w:val="single" w:sz="4" w:space="0" w:color="auto"/>
              <w:right w:val="single" w:sz="4" w:space="0" w:color="auto"/>
            </w:tcBorders>
            <w:hideMark/>
          </w:tcPr>
          <w:p w14:paraId="48C08893" w14:textId="77777777" w:rsidR="0089011F" w:rsidRPr="005208DC" w:rsidRDefault="0089011F" w:rsidP="00857902">
            <w:pPr>
              <w:rPr>
                <w:rFonts w:ascii="Times New Roman" w:hAnsi="Times New Roman"/>
                <w:color w:val="0D0D0D" w:themeColor="text1" w:themeTint="F2"/>
                <w:lang w:val="sq-AL"/>
              </w:rPr>
            </w:pPr>
            <w:r w:rsidRPr="005208DC">
              <w:rPr>
                <w:rFonts w:ascii="Times New Roman" w:hAnsi="Times New Roman"/>
                <w:color w:val="0D0D0D" w:themeColor="text1" w:themeTint="F2"/>
                <w:lang w:val="sq-AL"/>
              </w:rPr>
              <w:t>3</w:t>
            </w:r>
          </w:p>
        </w:tc>
      </w:tr>
      <w:tr w:rsidR="005208DC" w:rsidRPr="005208DC" w14:paraId="598F3FC3" w14:textId="77777777" w:rsidTr="00630CC2">
        <w:tc>
          <w:tcPr>
            <w:tcW w:w="0" w:type="auto"/>
            <w:vMerge/>
            <w:tcBorders>
              <w:top w:val="single" w:sz="4" w:space="0" w:color="auto"/>
              <w:left w:val="single" w:sz="4" w:space="0" w:color="auto"/>
              <w:bottom w:val="single" w:sz="4" w:space="0" w:color="auto"/>
              <w:right w:val="single" w:sz="4" w:space="0" w:color="auto"/>
            </w:tcBorders>
            <w:vAlign w:val="center"/>
            <w:hideMark/>
          </w:tcPr>
          <w:p w14:paraId="5E9B2E20" w14:textId="77777777" w:rsidR="0089011F" w:rsidRPr="005208DC" w:rsidRDefault="0089011F" w:rsidP="00857902">
            <w:pPr>
              <w:rPr>
                <w:rFonts w:ascii="Times New Roman" w:hAnsi="Times New Roman"/>
                <w:color w:val="0D0D0D" w:themeColor="text1" w:themeTint="F2"/>
                <w:lang w:val="sq-AL"/>
              </w:rPr>
            </w:pPr>
          </w:p>
        </w:tc>
        <w:tc>
          <w:tcPr>
            <w:tcW w:w="6777" w:type="dxa"/>
            <w:tcBorders>
              <w:top w:val="single" w:sz="4" w:space="0" w:color="auto"/>
              <w:left w:val="single" w:sz="4" w:space="0" w:color="auto"/>
              <w:bottom w:val="single" w:sz="4" w:space="0" w:color="auto"/>
              <w:right w:val="single" w:sz="4" w:space="0" w:color="auto"/>
            </w:tcBorders>
            <w:hideMark/>
          </w:tcPr>
          <w:p w14:paraId="3E05C589" w14:textId="7827D8AB" w:rsidR="0089011F" w:rsidRPr="005208DC" w:rsidRDefault="0089011F"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Sistemi i vlerësimit bio-psiko-social për mbështetjen e personave me aftësi të kufizuar me mbështetje të kombinuar në para dhe kujdes social po zbatohet në tre qarqe Tiranë, Durrës dhe Elbasan.</w:t>
            </w:r>
          </w:p>
        </w:tc>
        <w:tc>
          <w:tcPr>
            <w:tcW w:w="1985" w:type="dxa"/>
            <w:tcBorders>
              <w:top w:val="single" w:sz="4" w:space="0" w:color="auto"/>
              <w:left w:val="single" w:sz="4" w:space="0" w:color="auto"/>
              <w:bottom w:val="single" w:sz="4" w:space="0" w:color="auto"/>
              <w:right w:val="single" w:sz="4" w:space="0" w:color="auto"/>
            </w:tcBorders>
            <w:hideMark/>
          </w:tcPr>
          <w:p w14:paraId="7E77EB6A" w14:textId="77777777" w:rsidR="0089011F" w:rsidRPr="005208DC" w:rsidRDefault="0089011F" w:rsidP="00857902">
            <w:pPr>
              <w:rPr>
                <w:rFonts w:ascii="Times New Roman" w:hAnsi="Times New Roman"/>
                <w:color w:val="0D0D0D" w:themeColor="text1" w:themeTint="F2"/>
                <w:lang w:val="sq-AL"/>
              </w:rPr>
            </w:pPr>
            <w:r w:rsidRPr="005208DC">
              <w:rPr>
                <w:rFonts w:ascii="Times New Roman" w:hAnsi="Times New Roman"/>
                <w:color w:val="0D0D0D" w:themeColor="text1" w:themeTint="F2"/>
                <w:lang w:val="sq-AL"/>
              </w:rPr>
              <w:t>5</w:t>
            </w:r>
          </w:p>
        </w:tc>
      </w:tr>
      <w:tr w:rsidR="005208DC" w:rsidRPr="005208DC" w14:paraId="072F7E4D" w14:textId="77777777" w:rsidTr="00630CC2">
        <w:trPr>
          <w:trHeight w:val="4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8DF839" w14:textId="77777777" w:rsidR="0089011F" w:rsidRPr="005208DC" w:rsidRDefault="0089011F" w:rsidP="00857902">
            <w:pPr>
              <w:rPr>
                <w:rFonts w:ascii="Times New Roman" w:hAnsi="Times New Roman"/>
                <w:color w:val="0D0D0D" w:themeColor="text1" w:themeTint="F2"/>
                <w:lang w:val="sq-AL"/>
              </w:rPr>
            </w:pPr>
          </w:p>
        </w:tc>
        <w:tc>
          <w:tcPr>
            <w:tcW w:w="6777" w:type="dxa"/>
            <w:tcBorders>
              <w:top w:val="single" w:sz="4" w:space="0" w:color="auto"/>
              <w:left w:val="single" w:sz="4" w:space="0" w:color="auto"/>
              <w:bottom w:val="single" w:sz="4" w:space="0" w:color="auto"/>
              <w:right w:val="single" w:sz="4" w:space="0" w:color="auto"/>
            </w:tcBorders>
            <w:hideMark/>
          </w:tcPr>
          <w:p w14:paraId="4AD7F8C6" w14:textId="2BB01F25" w:rsidR="0089011F" w:rsidRPr="005208DC" w:rsidRDefault="0089011F" w:rsidP="00857902">
            <w:pPr>
              <w:jc w:val="both"/>
              <w:rPr>
                <w:rFonts w:ascii="Times New Roman" w:eastAsia="Times New Roman" w:hAnsi="Times New Roman"/>
                <w:bCs/>
                <w:iCs/>
                <w:color w:val="0D0D0D" w:themeColor="text1" w:themeTint="F2"/>
                <w:lang w:val="sq-AL"/>
              </w:rPr>
            </w:pPr>
            <w:r w:rsidRPr="005208DC">
              <w:rPr>
                <w:rFonts w:ascii="Times New Roman" w:eastAsia="Times New Roman" w:hAnsi="Times New Roman"/>
                <w:bCs/>
                <w:iCs/>
                <w:color w:val="0D0D0D" w:themeColor="text1" w:themeTint="F2"/>
                <w:lang w:val="sq-AL"/>
              </w:rPr>
              <w:t>Aktualisht, 8 OJF kanë marrë statusin e Ndërmarrjeve Sociale.</w:t>
            </w:r>
          </w:p>
        </w:tc>
        <w:tc>
          <w:tcPr>
            <w:tcW w:w="1985" w:type="dxa"/>
            <w:tcBorders>
              <w:top w:val="single" w:sz="4" w:space="0" w:color="auto"/>
              <w:left w:val="single" w:sz="4" w:space="0" w:color="auto"/>
              <w:bottom w:val="single" w:sz="4" w:space="0" w:color="auto"/>
              <w:right w:val="single" w:sz="4" w:space="0" w:color="auto"/>
            </w:tcBorders>
            <w:hideMark/>
          </w:tcPr>
          <w:p w14:paraId="5A6F9EE4" w14:textId="77777777" w:rsidR="0089011F" w:rsidRPr="005208DC" w:rsidRDefault="0089011F" w:rsidP="00857902">
            <w:pPr>
              <w:rPr>
                <w:rFonts w:ascii="Times New Roman" w:hAnsi="Times New Roman"/>
                <w:color w:val="0D0D0D" w:themeColor="text1" w:themeTint="F2"/>
                <w:lang w:val="sq-AL"/>
              </w:rPr>
            </w:pPr>
            <w:r w:rsidRPr="005208DC">
              <w:rPr>
                <w:rFonts w:ascii="Times New Roman" w:hAnsi="Times New Roman"/>
                <w:color w:val="0D0D0D" w:themeColor="text1" w:themeTint="F2"/>
                <w:lang w:val="sq-AL"/>
              </w:rPr>
              <w:t>3</w:t>
            </w:r>
          </w:p>
        </w:tc>
      </w:tr>
      <w:tr w:rsidR="005208DC" w:rsidRPr="005208DC" w14:paraId="5A79C2CD" w14:textId="77777777" w:rsidTr="00630CC2">
        <w:tc>
          <w:tcPr>
            <w:tcW w:w="0" w:type="auto"/>
            <w:vMerge/>
            <w:tcBorders>
              <w:top w:val="single" w:sz="4" w:space="0" w:color="auto"/>
              <w:left w:val="single" w:sz="4" w:space="0" w:color="auto"/>
              <w:bottom w:val="single" w:sz="4" w:space="0" w:color="auto"/>
              <w:right w:val="single" w:sz="4" w:space="0" w:color="auto"/>
            </w:tcBorders>
            <w:vAlign w:val="center"/>
            <w:hideMark/>
          </w:tcPr>
          <w:p w14:paraId="440D11E9" w14:textId="77777777" w:rsidR="0089011F" w:rsidRPr="005208DC" w:rsidRDefault="0089011F" w:rsidP="00857902">
            <w:pPr>
              <w:rPr>
                <w:rFonts w:ascii="Times New Roman" w:hAnsi="Times New Roman"/>
                <w:color w:val="0D0D0D" w:themeColor="text1" w:themeTint="F2"/>
                <w:lang w:val="sq-AL"/>
              </w:rPr>
            </w:pPr>
          </w:p>
        </w:tc>
        <w:tc>
          <w:tcPr>
            <w:tcW w:w="6777" w:type="dxa"/>
            <w:tcBorders>
              <w:top w:val="single" w:sz="4" w:space="0" w:color="auto"/>
              <w:left w:val="single" w:sz="4" w:space="0" w:color="auto"/>
              <w:bottom w:val="single" w:sz="4" w:space="0" w:color="auto"/>
              <w:right w:val="single" w:sz="4" w:space="0" w:color="auto"/>
            </w:tcBorders>
            <w:hideMark/>
          </w:tcPr>
          <w:p w14:paraId="547AFE10" w14:textId="1EA78E35" w:rsidR="0089011F" w:rsidRPr="005208DC" w:rsidRDefault="0089011F" w:rsidP="00857902">
            <w:pPr>
              <w:jc w:val="both"/>
              <w:rPr>
                <w:rFonts w:ascii="Times New Roman" w:hAnsi="Times New Roman"/>
                <w:color w:val="0D0D0D" w:themeColor="text1" w:themeTint="F2"/>
                <w:lang w:val="sq-AL"/>
              </w:rPr>
            </w:pPr>
            <w:r w:rsidRPr="005208DC">
              <w:rPr>
                <w:rFonts w:ascii="Times New Roman" w:hAnsi="Times New Roman"/>
                <w:color w:val="0D0D0D" w:themeColor="text1" w:themeTint="F2"/>
                <w:lang w:val="sq-AL"/>
              </w:rPr>
              <w:t>Financimi i 12 shërbimeve të specializuara ka vijuar në nivel qarku dhe për herë të parë në vitin 2021 financohet shërbimi i ndihmës për familjen në qarkun e Tiranës.</w:t>
            </w:r>
          </w:p>
        </w:tc>
        <w:tc>
          <w:tcPr>
            <w:tcW w:w="1985" w:type="dxa"/>
            <w:tcBorders>
              <w:top w:val="single" w:sz="4" w:space="0" w:color="auto"/>
              <w:left w:val="single" w:sz="4" w:space="0" w:color="auto"/>
              <w:bottom w:val="single" w:sz="4" w:space="0" w:color="auto"/>
              <w:right w:val="single" w:sz="4" w:space="0" w:color="auto"/>
            </w:tcBorders>
            <w:hideMark/>
          </w:tcPr>
          <w:p w14:paraId="0D719BFC" w14:textId="77777777" w:rsidR="0089011F" w:rsidRPr="005208DC" w:rsidRDefault="0089011F" w:rsidP="00857902">
            <w:pPr>
              <w:rPr>
                <w:rFonts w:ascii="Times New Roman" w:hAnsi="Times New Roman"/>
                <w:color w:val="0D0D0D" w:themeColor="text1" w:themeTint="F2"/>
                <w:lang w:val="sq-AL"/>
              </w:rPr>
            </w:pPr>
            <w:r w:rsidRPr="005208DC">
              <w:rPr>
                <w:rFonts w:ascii="Times New Roman" w:hAnsi="Times New Roman"/>
                <w:color w:val="0D0D0D" w:themeColor="text1" w:themeTint="F2"/>
                <w:lang w:val="sq-AL"/>
              </w:rPr>
              <w:t>4</w:t>
            </w:r>
          </w:p>
        </w:tc>
      </w:tr>
      <w:tr w:rsidR="005208DC" w:rsidRPr="005208DC" w14:paraId="332736BB" w14:textId="77777777" w:rsidTr="00630CC2">
        <w:tc>
          <w:tcPr>
            <w:tcW w:w="0" w:type="auto"/>
            <w:vMerge/>
            <w:tcBorders>
              <w:top w:val="single" w:sz="4" w:space="0" w:color="auto"/>
              <w:left w:val="single" w:sz="4" w:space="0" w:color="auto"/>
              <w:bottom w:val="single" w:sz="4" w:space="0" w:color="auto"/>
              <w:right w:val="single" w:sz="4" w:space="0" w:color="auto"/>
            </w:tcBorders>
            <w:vAlign w:val="center"/>
            <w:hideMark/>
          </w:tcPr>
          <w:p w14:paraId="0C330B6B" w14:textId="77777777" w:rsidR="0089011F" w:rsidRPr="005208DC" w:rsidRDefault="0089011F" w:rsidP="00857902">
            <w:pPr>
              <w:rPr>
                <w:rFonts w:ascii="Times New Roman" w:hAnsi="Times New Roman"/>
                <w:color w:val="0D0D0D" w:themeColor="text1" w:themeTint="F2"/>
                <w:lang w:val="sq-AL"/>
              </w:rPr>
            </w:pPr>
          </w:p>
        </w:tc>
        <w:tc>
          <w:tcPr>
            <w:tcW w:w="6777" w:type="dxa"/>
            <w:tcBorders>
              <w:top w:val="single" w:sz="4" w:space="0" w:color="auto"/>
              <w:left w:val="single" w:sz="4" w:space="0" w:color="auto"/>
              <w:bottom w:val="single" w:sz="4" w:space="0" w:color="auto"/>
              <w:right w:val="single" w:sz="4" w:space="0" w:color="auto"/>
            </w:tcBorders>
            <w:hideMark/>
          </w:tcPr>
          <w:p w14:paraId="1D49AC4A" w14:textId="77777777" w:rsidR="0089011F" w:rsidRPr="005208DC" w:rsidRDefault="0089011F" w:rsidP="00857902">
            <w:pPr>
              <w:rPr>
                <w:rFonts w:ascii="Times New Roman" w:hAnsi="Times New Roman"/>
                <w:color w:val="0D0D0D" w:themeColor="text1" w:themeTint="F2"/>
                <w:lang w:val="sq-AL"/>
              </w:rPr>
            </w:pPr>
            <w:r w:rsidRPr="005208DC">
              <w:rPr>
                <w:rFonts w:ascii="Times New Roman" w:hAnsi="Times New Roman"/>
                <w:color w:val="0D0D0D" w:themeColor="text1" w:themeTint="F2"/>
                <w:lang w:val="sq-AL"/>
              </w:rPr>
              <w:t>Grupi teknik i ngritur, me Urdhrin e Ministrit nr. 548/2020 “Për ngritjen e Komitetit Drejtues për zbatimin e Planit Kombëtar të Deinstitucionalizimit”, ka hartuar dhe miratuar tashmë metodologjinë e vlerësimit të burimeve njerëzore dhe financiare aktuale për funksionimin e 9 Institucioneve Publike të Kujdesit Social ekzistues. Procesi fillestar i vlerësimit, ende nuk ka filluar si pasojë e pandemisë Covid-19.</w:t>
            </w:r>
          </w:p>
        </w:tc>
        <w:tc>
          <w:tcPr>
            <w:tcW w:w="1985" w:type="dxa"/>
            <w:tcBorders>
              <w:top w:val="single" w:sz="4" w:space="0" w:color="auto"/>
              <w:left w:val="single" w:sz="4" w:space="0" w:color="auto"/>
              <w:bottom w:val="single" w:sz="4" w:space="0" w:color="auto"/>
              <w:right w:val="single" w:sz="4" w:space="0" w:color="auto"/>
            </w:tcBorders>
            <w:hideMark/>
          </w:tcPr>
          <w:p w14:paraId="2E635100" w14:textId="77777777" w:rsidR="0089011F" w:rsidRPr="005208DC" w:rsidRDefault="0089011F" w:rsidP="00857902">
            <w:pPr>
              <w:rPr>
                <w:rFonts w:ascii="Times New Roman" w:hAnsi="Times New Roman"/>
                <w:color w:val="0D0D0D" w:themeColor="text1" w:themeTint="F2"/>
                <w:lang w:val="sq-AL"/>
              </w:rPr>
            </w:pPr>
            <w:r w:rsidRPr="005208DC">
              <w:rPr>
                <w:rFonts w:ascii="Times New Roman" w:hAnsi="Times New Roman"/>
                <w:color w:val="0D0D0D" w:themeColor="text1" w:themeTint="F2"/>
                <w:lang w:val="sq-AL"/>
              </w:rPr>
              <w:t>3</w:t>
            </w:r>
          </w:p>
        </w:tc>
      </w:tr>
      <w:tr w:rsidR="005208DC" w:rsidRPr="005208DC" w14:paraId="3AE215CC" w14:textId="77777777" w:rsidTr="00630CC2">
        <w:tc>
          <w:tcPr>
            <w:tcW w:w="0" w:type="auto"/>
            <w:vMerge/>
            <w:tcBorders>
              <w:top w:val="single" w:sz="4" w:space="0" w:color="auto"/>
              <w:left w:val="single" w:sz="4" w:space="0" w:color="auto"/>
              <w:bottom w:val="single" w:sz="4" w:space="0" w:color="auto"/>
              <w:right w:val="single" w:sz="4" w:space="0" w:color="auto"/>
            </w:tcBorders>
            <w:vAlign w:val="center"/>
            <w:hideMark/>
          </w:tcPr>
          <w:p w14:paraId="026B7396" w14:textId="77777777" w:rsidR="0089011F" w:rsidRPr="005208DC" w:rsidRDefault="0089011F" w:rsidP="00857902">
            <w:pPr>
              <w:rPr>
                <w:rFonts w:ascii="Times New Roman" w:hAnsi="Times New Roman"/>
                <w:color w:val="0D0D0D" w:themeColor="text1" w:themeTint="F2"/>
                <w:lang w:val="sq-AL"/>
              </w:rPr>
            </w:pPr>
          </w:p>
        </w:tc>
        <w:tc>
          <w:tcPr>
            <w:tcW w:w="6777" w:type="dxa"/>
            <w:tcBorders>
              <w:top w:val="single" w:sz="4" w:space="0" w:color="auto"/>
              <w:left w:val="single" w:sz="4" w:space="0" w:color="auto"/>
              <w:bottom w:val="single" w:sz="4" w:space="0" w:color="auto"/>
              <w:right w:val="single" w:sz="4" w:space="0" w:color="auto"/>
            </w:tcBorders>
            <w:hideMark/>
          </w:tcPr>
          <w:p w14:paraId="6F3DF830" w14:textId="77777777" w:rsidR="0089011F" w:rsidRPr="005208DC" w:rsidRDefault="0089011F" w:rsidP="00857902">
            <w:pPr>
              <w:pStyle w:val="NormalWeb"/>
              <w:spacing w:before="0" w:beforeAutospacing="0" w:after="0" w:afterAutospacing="0"/>
              <w:jc w:val="both"/>
              <w:rPr>
                <w:color w:val="0D0D0D" w:themeColor="text1" w:themeTint="F2"/>
                <w:lang w:val="sq-AL"/>
              </w:rPr>
            </w:pPr>
            <w:r w:rsidRPr="005208DC">
              <w:rPr>
                <w:color w:val="0D0D0D" w:themeColor="text1" w:themeTint="F2"/>
                <w:lang w:val="sq-AL"/>
              </w:rPr>
              <w:t>Gjatë këtij viti janë miratuar:</w:t>
            </w:r>
          </w:p>
          <w:p w14:paraId="37673A35" w14:textId="77777777" w:rsidR="0089011F" w:rsidRPr="005208DC" w:rsidRDefault="0089011F" w:rsidP="00F957E8">
            <w:pPr>
              <w:pStyle w:val="NormalWeb"/>
              <w:numPr>
                <w:ilvl w:val="0"/>
                <w:numId w:val="108"/>
              </w:numPr>
              <w:spacing w:before="0" w:beforeAutospacing="0" w:after="0" w:afterAutospacing="0"/>
              <w:ind w:left="360"/>
              <w:jc w:val="both"/>
              <w:rPr>
                <w:color w:val="0D0D0D" w:themeColor="text1" w:themeTint="F2"/>
                <w:lang w:val="sq-AL"/>
              </w:rPr>
            </w:pPr>
            <w:r w:rsidRPr="005208DC">
              <w:rPr>
                <w:color w:val="0D0D0D" w:themeColor="text1" w:themeTint="F2"/>
                <w:lang w:val="sq-AL"/>
              </w:rPr>
              <w:t>Agjenda Kombëtare për të Drejtat e Fëmijëve, 2021-2026.</w:t>
            </w:r>
          </w:p>
          <w:p w14:paraId="0E30DBE6" w14:textId="77777777" w:rsidR="0089011F" w:rsidRPr="005208DC" w:rsidRDefault="0089011F" w:rsidP="00F957E8">
            <w:pPr>
              <w:pStyle w:val="NormalWeb"/>
              <w:numPr>
                <w:ilvl w:val="0"/>
                <w:numId w:val="108"/>
              </w:numPr>
              <w:spacing w:before="0" w:beforeAutospacing="0" w:after="0" w:afterAutospacing="0"/>
              <w:ind w:left="360"/>
              <w:jc w:val="both"/>
              <w:rPr>
                <w:color w:val="0D0D0D" w:themeColor="text1" w:themeTint="F2"/>
                <w:lang w:val="sq-AL"/>
              </w:rPr>
            </w:pPr>
            <w:r w:rsidRPr="005208DC">
              <w:rPr>
                <w:color w:val="0D0D0D" w:themeColor="text1" w:themeTint="F2"/>
                <w:lang w:val="sq-AL"/>
              </w:rPr>
              <w:t>Plani i Veprimit për Personat LGBTI+, 2021-2027.</w:t>
            </w:r>
          </w:p>
          <w:p w14:paraId="0370B577" w14:textId="77777777" w:rsidR="0089011F" w:rsidRPr="005208DC" w:rsidRDefault="0089011F" w:rsidP="00F957E8">
            <w:pPr>
              <w:pStyle w:val="ListParagraph"/>
              <w:numPr>
                <w:ilvl w:val="0"/>
                <w:numId w:val="108"/>
              </w:numPr>
              <w:ind w:left="360"/>
              <w:rPr>
                <w:rFonts w:ascii="Times New Roman" w:hAnsi="Times New Roman"/>
                <w:color w:val="0D0D0D" w:themeColor="text1" w:themeTint="F2"/>
                <w:sz w:val="24"/>
                <w:szCs w:val="24"/>
                <w:lang w:val="sq-AL"/>
              </w:rPr>
            </w:pPr>
            <w:r w:rsidRPr="005208DC">
              <w:rPr>
                <w:rFonts w:ascii="Times New Roman" w:hAnsi="Times New Roman"/>
                <w:color w:val="0D0D0D" w:themeColor="text1" w:themeTint="F2"/>
                <w:sz w:val="24"/>
                <w:szCs w:val="24"/>
                <w:lang w:val="sq-AL"/>
              </w:rPr>
              <w:t>Plani Kombëtar i Veprimit për Barazi, Përfshirje dhe Pjesëmarrjen e Romëve dhe Egjiptianëve 2021-2025”.</w:t>
            </w:r>
          </w:p>
          <w:p w14:paraId="6FDF49D2" w14:textId="170DBAE7" w:rsidR="0089011F" w:rsidRPr="005208DC" w:rsidRDefault="0089011F" w:rsidP="00F957E8">
            <w:pPr>
              <w:pStyle w:val="ListParagraph"/>
              <w:numPr>
                <w:ilvl w:val="0"/>
                <w:numId w:val="108"/>
              </w:numPr>
              <w:ind w:left="360"/>
              <w:rPr>
                <w:rFonts w:ascii="Times New Roman" w:hAnsi="Times New Roman"/>
                <w:color w:val="0D0D0D" w:themeColor="text1" w:themeTint="F2"/>
                <w:sz w:val="24"/>
                <w:szCs w:val="24"/>
                <w:lang w:val="sq-AL"/>
              </w:rPr>
            </w:pPr>
            <w:r w:rsidRPr="005208DC">
              <w:rPr>
                <w:rFonts w:ascii="Times New Roman" w:hAnsi="Times New Roman"/>
                <w:color w:val="0D0D0D" w:themeColor="text1" w:themeTint="F2"/>
                <w:sz w:val="24"/>
                <w:szCs w:val="24"/>
                <w:lang w:val="sq-AL"/>
              </w:rPr>
              <w:t>Strategjia Kombëtare për Barazinë Gjinore, 2021-2030</w:t>
            </w:r>
          </w:p>
        </w:tc>
        <w:tc>
          <w:tcPr>
            <w:tcW w:w="1985" w:type="dxa"/>
            <w:tcBorders>
              <w:top w:val="single" w:sz="4" w:space="0" w:color="auto"/>
              <w:left w:val="single" w:sz="4" w:space="0" w:color="auto"/>
              <w:bottom w:val="single" w:sz="4" w:space="0" w:color="auto"/>
              <w:right w:val="single" w:sz="4" w:space="0" w:color="auto"/>
            </w:tcBorders>
            <w:hideMark/>
          </w:tcPr>
          <w:p w14:paraId="64200163" w14:textId="77777777" w:rsidR="0089011F" w:rsidRPr="005208DC" w:rsidRDefault="0089011F" w:rsidP="00857902">
            <w:pPr>
              <w:rPr>
                <w:rFonts w:ascii="Times New Roman" w:hAnsi="Times New Roman"/>
                <w:color w:val="0D0D0D" w:themeColor="text1" w:themeTint="F2"/>
                <w:lang w:val="sq-AL"/>
              </w:rPr>
            </w:pPr>
            <w:r w:rsidRPr="005208DC">
              <w:rPr>
                <w:rFonts w:ascii="Times New Roman" w:hAnsi="Times New Roman"/>
                <w:color w:val="0D0D0D" w:themeColor="text1" w:themeTint="F2"/>
                <w:lang w:val="sq-AL"/>
              </w:rPr>
              <w:t>5</w:t>
            </w:r>
          </w:p>
        </w:tc>
      </w:tr>
    </w:tbl>
    <w:p w14:paraId="4E3644E6" w14:textId="77777777" w:rsidR="0089011F" w:rsidRPr="005208DC" w:rsidRDefault="0089011F" w:rsidP="00857902">
      <w:pPr>
        <w:snapToGrid w:val="0"/>
        <w:rPr>
          <w:rFonts w:asciiTheme="majorBidi" w:hAnsiTheme="majorBidi" w:cstheme="majorBidi"/>
          <w:color w:val="0D0D0D" w:themeColor="text1" w:themeTint="F2"/>
          <w:sz w:val="22"/>
          <w:szCs w:val="22"/>
          <w:lang w:val="sq-AL"/>
        </w:rPr>
      </w:pPr>
    </w:p>
    <w:tbl>
      <w:tblPr>
        <w:tblStyle w:val="TableGrid"/>
        <w:tblW w:w="10485" w:type="dxa"/>
        <w:tblLook w:val="04A0" w:firstRow="1" w:lastRow="0" w:firstColumn="1" w:lastColumn="0" w:noHBand="0" w:noVBand="1"/>
      </w:tblPr>
      <w:tblGrid>
        <w:gridCol w:w="1723"/>
        <w:gridCol w:w="6777"/>
        <w:gridCol w:w="1985"/>
      </w:tblGrid>
      <w:tr w:rsidR="005208DC" w:rsidRPr="005208DC" w14:paraId="4D972C88" w14:textId="77777777" w:rsidTr="00630CC2">
        <w:tc>
          <w:tcPr>
            <w:tcW w:w="8500" w:type="dxa"/>
            <w:gridSpan w:val="2"/>
            <w:shd w:val="clear" w:color="auto" w:fill="E5DFEC" w:themeFill="accent4" w:themeFillTint="33"/>
          </w:tcPr>
          <w:p w14:paraId="090231BE" w14:textId="6B3D5A4A" w:rsidR="00630CC2" w:rsidRPr="005208DC" w:rsidRDefault="00630CC2" w:rsidP="00630CC2">
            <w:pPr>
              <w:pStyle w:val="Heading5"/>
              <w:snapToGrid w:val="0"/>
              <w:ind w:left="0"/>
              <w:jc w:val="both"/>
              <w:outlineLvl w:val="4"/>
              <w:rPr>
                <w:rFonts w:asciiTheme="majorBidi" w:hAnsiTheme="majorBidi" w:cstheme="majorBidi"/>
                <w:i w:val="0"/>
                <w:iCs/>
                <w:color w:val="0D0D0D" w:themeColor="text1" w:themeTint="F2"/>
                <w:sz w:val="24"/>
                <w:szCs w:val="24"/>
                <w:lang w:val="sq-AL"/>
              </w:rPr>
            </w:pPr>
            <w:r w:rsidRPr="005208DC">
              <w:rPr>
                <w:rFonts w:asciiTheme="majorBidi" w:hAnsiTheme="majorBidi" w:cstheme="majorBidi"/>
                <w:i w:val="0"/>
                <w:iCs/>
                <w:color w:val="0D0D0D" w:themeColor="text1" w:themeTint="F2"/>
                <w:sz w:val="24"/>
                <w:szCs w:val="24"/>
                <w:lang w:val="sq-AL"/>
              </w:rPr>
              <w:t>Masa e reformës: Përmirësimi i punësueshmërisë së punëkërkuesve të papunë më vulnerabël, veçanërisht atyre të prekur nga COVID-19, përmes PNP-ve dhe shërbimeve të punësimit të reja dhe të rishikuara</w:t>
            </w:r>
          </w:p>
        </w:tc>
        <w:tc>
          <w:tcPr>
            <w:tcW w:w="1985" w:type="dxa"/>
            <w:shd w:val="clear" w:color="auto" w:fill="E5DFEC" w:themeFill="accent4" w:themeFillTint="33"/>
          </w:tcPr>
          <w:p w14:paraId="343B003E" w14:textId="77777777" w:rsidR="00630CC2" w:rsidRPr="005208DC" w:rsidRDefault="00630CC2" w:rsidP="00630CC2">
            <w:pPr>
              <w:rPr>
                <w:rFonts w:asciiTheme="majorBidi" w:hAnsiTheme="majorBidi" w:cstheme="majorBidi"/>
                <w:b/>
                <w:bCs/>
                <w:color w:val="0D0D0D" w:themeColor="text1" w:themeTint="F2"/>
                <w:lang w:val="sq-AL"/>
              </w:rPr>
            </w:pPr>
            <w:r w:rsidRPr="005208DC">
              <w:rPr>
                <w:rFonts w:asciiTheme="majorBidi" w:hAnsiTheme="majorBidi" w:cstheme="majorBidi"/>
                <w:b/>
                <w:bCs/>
                <w:color w:val="0D0D0D" w:themeColor="text1" w:themeTint="F2"/>
                <w:lang w:val="sq-AL"/>
              </w:rPr>
              <w:t xml:space="preserve">Faza e zbatimit të reformës </w:t>
            </w:r>
          </w:p>
          <w:p w14:paraId="56852988" w14:textId="77777777" w:rsidR="00630CC2" w:rsidRPr="005208DC" w:rsidRDefault="00630CC2" w:rsidP="00630CC2">
            <w:pPr>
              <w:rPr>
                <w:rFonts w:asciiTheme="majorBidi" w:hAnsiTheme="majorBidi" w:cstheme="majorBidi"/>
                <w:b/>
                <w:bCs/>
                <w:color w:val="0D0D0D" w:themeColor="text1" w:themeTint="F2"/>
                <w:lang w:val="sq-AL"/>
              </w:rPr>
            </w:pPr>
            <w:r w:rsidRPr="005208DC">
              <w:rPr>
                <w:rFonts w:asciiTheme="majorBidi" w:hAnsiTheme="majorBidi" w:cstheme="majorBidi"/>
                <w:b/>
                <w:bCs/>
                <w:color w:val="0D0D0D" w:themeColor="text1" w:themeTint="F2"/>
                <w:lang w:val="sq-AL"/>
              </w:rPr>
              <w:t>(0-5)</w:t>
            </w:r>
          </w:p>
        </w:tc>
      </w:tr>
      <w:tr w:rsidR="005208DC" w:rsidRPr="005208DC" w14:paraId="1518F3A6" w14:textId="77777777" w:rsidTr="00630CC2">
        <w:trPr>
          <w:trHeight w:val="414"/>
        </w:trPr>
        <w:tc>
          <w:tcPr>
            <w:tcW w:w="1723" w:type="dxa"/>
            <w:vMerge w:val="restart"/>
            <w:vAlign w:val="center"/>
          </w:tcPr>
          <w:p w14:paraId="3B944D5A" w14:textId="77777777" w:rsidR="00630CC2" w:rsidRPr="005208DC" w:rsidRDefault="00630CC2" w:rsidP="00630CC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Aktivitetet e planifikuara për vitin 2021</w:t>
            </w:r>
          </w:p>
        </w:tc>
        <w:tc>
          <w:tcPr>
            <w:tcW w:w="6777" w:type="dxa"/>
            <w:shd w:val="clear" w:color="auto" w:fill="auto"/>
          </w:tcPr>
          <w:p w14:paraId="43683768" w14:textId="77777777" w:rsidR="00630CC2" w:rsidRPr="005208DC" w:rsidRDefault="00630CC2" w:rsidP="00630CC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Vazhdimi i operacionalizimit të funksioneve të AKPA-s dhe mbështetjes së kapaciteteve për stafin e AKPA-s në të gjitha nivelet.</w:t>
            </w:r>
          </w:p>
        </w:tc>
        <w:tc>
          <w:tcPr>
            <w:tcW w:w="1985" w:type="dxa"/>
            <w:shd w:val="clear" w:color="auto" w:fill="auto"/>
          </w:tcPr>
          <w:p w14:paraId="10227616" w14:textId="77777777" w:rsidR="00630CC2" w:rsidRPr="005208DC" w:rsidRDefault="00630CC2" w:rsidP="00630CC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4</w:t>
            </w:r>
          </w:p>
        </w:tc>
      </w:tr>
      <w:tr w:rsidR="005208DC" w:rsidRPr="005208DC" w14:paraId="2FB84AC3" w14:textId="77777777" w:rsidTr="00630CC2">
        <w:trPr>
          <w:trHeight w:val="414"/>
        </w:trPr>
        <w:tc>
          <w:tcPr>
            <w:tcW w:w="1723" w:type="dxa"/>
            <w:vMerge/>
            <w:vAlign w:val="center"/>
          </w:tcPr>
          <w:p w14:paraId="7947EFFB" w14:textId="77777777" w:rsidR="00630CC2" w:rsidRPr="005208DC" w:rsidRDefault="00630CC2" w:rsidP="00630CC2">
            <w:pPr>
              <w:rPr>
                <w:rFonts w:asciiTheme="majorBidi" w:hAnsiTheme="majorBidi" w:cstheme="majorBidi"/>
                <w:color w:val="0D0D0D" w:themeColor="text1" w:themeTint="F2"/>
                <w:lang w:val="sq-AL"/>
              </w:rPr>
            </w:pPr>
          </w:p>
        </w:tc>
        <w:tc>
          <w:tcPr>
            <w:tcW w:w="6777" w:type="dxa"/>
            <w:shd w:val="clear" w:color="auto" w:fill="auto"/>
          </w:tcPr>
          <w:p w14:paraId="57CE77BA" w14:textId="77777777" w:rsidR="00630CC2" w:rsidRPr="005208DC" w:rsidRDefault="00630CC2" w:rsidP="00630CC2">
            <w:pPr>
              <w:jc w:val="both"/>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Finalizimi i sistemit të informacionit të NAES</w:t>
            </w:r>
          </w:p>
        </w:tc>
        <w:tc>
          <w:tcPr>
            <w:tcW w:w="1985" w:type="dxa"/>
            <w:shd w:val="clear" w:color="auto" w:fill="auto"/>
          </w:tcPr>
          <w:p w14:paraId="26D40B0A" w14:textId="77777777" w:rsidR="00630CC2" w:rsidRPr="005208DC" w:rsidRDefault="00630CC2" w:rsidP="00630CC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3</w:t>
            </w:r>
          </w:p>
        </w:tc>
      </w:tr>
      <w:tr w:rsidR="005208DC" w:rsidRPr="005208DC" w14:paraId="28134409" w14:textId="77777777" w:rsidTr="00630CC2">
        <w:trPr>
          <w:trHeight w:val="415"/>
        </w:trPr>
        <w:tc>
          <w:tcPr>
            <w:tcW w:w="1723" w:type="dxa"/>
            <w:vMerge/>
            <w:vAlign w:val="center"/>
          </w:tcPr>
          <w:p w14:paraId="4C18E34C" w14:textId="77777777" w:rsidR="00630CC2" w:rsidRPr="005208DC" w:rsidRDefault="00630CC2" w:rsidP="00630CC2">
            <w:pPr>
              <w:rPr>
                <w:rFonts w:asciiTheme="majorBidi" w:hAnsiTheme="majorBidi" w:cstheme="majorBidi"/>
                <w:color w:val="0D0D0D" w:themeColor="text1" w:themeTint="F2"/>
                <w:lang w:val="sq-AL"/>
              </w:rPr>
            </w:pPr>
          </w:p>
        </w:tc>
        <w:tc>
          <w:tcPr>
            <w:tcW w:w="6777" w:type="dxa"/>
            <w:shd w:val="clear" w:color="auto" w:fill="auto"/>
          </w:tcPr>
          <w:p w14:paraId="71D4A6E2" w14:textId="77777777" w:rsidR="00630CC2" w:rsidRPr="005208DC" w:rsidRDefault="00630CC2" w:rsidP="00630CC2">
            <w:pPr>
              <w:snapToGrid w:val="0"/>
              <w:jc w:val="both"/>
              <w:rPr>
                <w:rFonts w:asciiTheme="majorBidi" w:eastAsia="Arial Narrow" w:hAnsiTheme="majorBidi" w:cstheme="majorBidi"/>
                <w:color w:val="0D0D0D" w:themeColor="text1" w:themeTint="F2"/>
                <w:lang w:val="sq-AL"/>
              </w:rPr>
            </w:pPr>
            <w:r w:rsidRPr="005208DC">
              <w:rPr>
                <w:rFonts w:asciiTheme="majorBidi" w:eastAsia="Arial Narrow" w:hAnsiTheme="majorBidi" w:cstheme="majorBidi"/>
                <w:color w:val="0D0D0D" w:themeColor="text1" w:themeTint="F2"/>
                <w:lang w:val="sq-AL"/>
              </w:rPr>
              <w:t>Profilizimi i punëkërkuesve dhe zhvillimi i planeve individuale të punësimit.</w:t>
            </w:r>
          </w:p>
        </w:tc>
        <w:tc>
          <w:tcPr>
            <w:tcW w:w="1985" w:type="dxa"/>
            <w:shd w:val="clear" w:color="auto" w:fill="auto"/>
          </w:tcPr>
          <w:p w14:paraId="061328DC" w14:textId="77777777" w:rsidR="00630CC2" w:rsidRPr="005208DC" w:rsidRDefault="00630CC2" w:rsidP="00630CC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5</w:t>
            </w:r>
          </w:p>
        </w:tc>
      </w:tr>
      <w:tr w:rsidR="005208DC" w:rsidRPr="005208DC" w14:paraId="00EA130B" w14:textId="77777777" w:rsidTr="00630CC2">
        <w:trPr>
          <w:trHeight w:val="414"/>
        </w:trPr>
        <w:tc>
          <w:tcPr>
            <w:tcW w:w="1723" w:type="dxa"/>
            <w:vMerge/>
            <w:vAlign w:val="center"/>
          </w:tcPr>
          <w:p w14:paraId="0625C505" w14:textId="77777777" w:rsidR="00630CC2" w:rsidRPr="005208DC" w:rsidRDefault="00630CC2" w:rsidP="00630CC2">
            <w:pPr>
              <w:rPr>
                <w:rFonts w:asciiTheme="majorBidi" w:hAnsiTheme="majorBidi" w:cstheme="majorBidi"/>
                <w:color w:val="0D0D0D" w:themeColor="text1" w:themeTint="F2"/>
                <w:lang w:val="sq-AL"/>
              </w:rPr>
            </w:pPr>
          </w:p>
        </w:tc>
        <w:tc>
          <w:tcPr>
            <w:tcW w:w="6777" w:type="dxa"/>
            <w:shd w:val="clear" w:color="auto" w:fill="auto"/>
          </w:tcPr>
          <w:p w14:paraId="720409AF" w14:textId="77777777" w:rsidR="00630CC2" w:rsidRPr="005208DC" w:rsidRDefault="00630CC2" w:rsidP="00630CC2">
            <w:pPr>
              <w:snapToGrid w:val="0"/>
              <w:jc w:val="both"/>
              <w:rPr>
                <w:rFonts w:asciiTheme="majorBidi" w:eastAsia="Arial Narrow" w:hAnsiTheme="majorBidi" w:cstheme="majorBidi"/>
                <w:color w:val="0D0D0D" w:themeColor="text1" w:themeTint="F2"/>
                <w:lang w:val="sq-AL"/>
              </w:rPr>
            </w:pPr>
            <w:r w:rsidRPr="005208DC">
              <w:rPr>
                <w:rFonts w:asciiTheme="majorBidi" w:eastAsia="Arial Narrow" w:hAnsiTheme="majorBidi" w:cstheme="majorBidi"/>
                <w:color w:val="0D0D0D" w:themeColor="text1" w:themeTint="F2"/>
                <w:lang w:val="sq-AL"/>
              </w:rPr>
              <w:t>Zbatimi i programeve të nxitjes së punësimit të fokusuar në programet e dedikuara për COVID-19 që synojnë mbështetjen dhe aktivizimin e grupeve më vulnerabël dhe numri i punëkërkuesve të regjistruar të papunë që përfitojnë nga programet e nxitjes së punësimit synohet të arrijë në 6.7%.</w:t>
            </w:r>
          </w:p>
        </w:tc>
        <w:tc>
          <w:tcPr>
            <w:tcW w:w="1985" w:type="dxa"/>
            <w:shd w:val="clear" w:color="auto" w:fill="auto"/>
          </w:tcPr>
          <w:p w14:paraId="1FF4799C" w14:textId="77777777" w:rsidR="00630CC2" w:rsidRPr="005208DC" w:rsidRDefault="00630CC2" w:rsidP="00630CC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4</w:t>
            </w:r>
          </w:p>
        </w:tc>
      </w:tr>
      <w:tr w:rsidR="005208DC" w:rsidRPr="005208DC" w14:paraId="3D7C598A" w14:textId="77777777" w:rsidTr="00630CC2">
        <w:trPr>
          <w:trHeight w:val="415"/>
        </w:trPr>
        <w:tc>
          <w:tcPr>
            <w:tcW w:w="1723" w:type="dxa"/>
            <w:vMerge/>
            <w:vAlign w:val="center"/>
          </w:tcPr>
          <w:p w14:paraId="2EE93768" w14:textId="77777777" w:rsidR="00630CC2" w:rsidRPr="005208DC" w:rsidRDefault="00630CC2" w:rsidP="00630CC2">
            <w:pPr>
              <w:rPr>
                <w:rFonts w:asciiTheme="majorBidi" w:hAnsiTheme="majorBidi" w:cstheme="majorBidi"/>
                <w:color w:val="0D0D0D" w:themeColor="text1" w:themeTint="F2"/>
                <w:lang w:val="sq-AL"/>
              </w:rPr>
            </w:pPr>
          </w:p>
        </w:tc>
        <w:tc>
          <w:tcPr>
            <w:tcW w:w="6777" w:type="dxa"/>
            <w:shd w:val="clear" w:color="auto" w:fill="auto"/>
          </w:tcPr>
          <w:p w14:paraId="43FF6347" w14:textId="77777777" w:rsidR="00630CC2" w:rsidRPr="005208DC" w:rsidRDefault="00630CC2" w:rsidP="00630CC2">
            <w:pPr>
              <w:snapToGrid w:val="0"/>
              <w:jc w:val="both"/>
              <w:rPr>
                <w:rFonts w:asciiTheme="majorBidi" w:eastAsia="Arial Narrow" w:hAnsiTheme="majorBidi" w:cstheme="majorBidi"/>
                <w:color w:val="0D0D0D" w:themeColor="text1" w:themeTint="F2"/>
                <w:lang w:val="sq-AL"/>
              </w:rPr>
            </w:pPr>
            <w:r w:rsidRPr="005208DC">
              <w:rPr>
                <w:rFonts w:asciiTheme="majorBidi" w:eastAsia="Arial Narrow" w:hAnsiTheme="majorBidi" w:cstheme="majorBidi"/>
                <w:color w:val="0D0D0D" w:themeColor="text1" w:themeTint="F2"/>
                <w:lang w:val="sq-AL"/>
              </w:rPr>
              <w:t>Hartimi i programit të garancisë për të rinjtë (VKM) që synon papunësinë e të rinjve veçanërisht NEET.</w:t>
            </w:r>
          </w:p>
        </w:tc>
        <w:tc>
          <w:tcPr>
            <w:tcW w:w="1985" w:type="dxa"/>
            <w:shd w:val="clear" w:color="auto" w:fill="auto"/>
          </w:tcPr>
          <w:p w14:paraId="37907F9C" w14:textId="77777777" w:rsidR="00630CC2" w:rsidRPr="005208DC" w:rsidRDefault="00630CC2" w:rsidP="00630CC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2</w:t>
            </w:r>
          </w:p>
        </w:tc>
      </w:tr>
      <w:tr w:rsidR="005208DC" w:rsidRPr="005208DC" w14:paraId="370FC52B" w14:textId="77777777" w:rsidTr="00630CC2">
        <w:trPr>
          <w:trHeight w:val="414"/>
        </w:trPr>
        <w:tc>
          <w:tcPr>
            <w:tcW w:w="1723" w:type="dxa"/>
            <w:vMerge/>
          </w:tcPr>
          <w:p w14:paraId="6683E31D" w14:textId="77777777" w:rsidR="00630CC2" w:rsidRPr="005208DC" w:rsidRDefault="00630CC2" w:rsidP="00630CC2">
            <w:pPr>
              <w:rPr>
                <w:rFonts w:asciiTheme="majorBidi" w:hAnsiTheme="majorBidi" w:cstheme="majorBidi"/>
                <w:color w:val="0D0D0D" w:themeColor="text1" w:themeTint="F2"/>
                <w:lang w:val="sq-AL"/>
              </w:rPr>
            </w:pPr>
          </w:p>
        </w:tc>
        <w:tc>
          <w:tcPr>
            <w:tcW w:w="6777" w:type="dxa"/>
            <w:shd w:val="clear" w:color="auto" w:fill="auto"/>
          </w:tcPr>
          <w:p w14:paraId="6CACC386" w14:textId="77777777" w:rsidR="00630CC2" w:rsidRPr="005208DC" w:rsidRDefault="00630CC2" w:rsidP="00630CC2">
            <w:pPr>
              <w:snapToGrid w:val="0"/>
              <w:jc w:val="both"/>
              <w:rPr>
                <w:rFonts w:asciiTheme="majorBidi" w:eastAsia="Arial Narrow" w:hAnsiTheme="majorBidi" w:cstheme="majorBidi"/>
                <w:color w:val="0D0D0D" w:themeColor="text1" w:themeTint="F2"/>
                <w:lang w:val="sq-AL"/>
              </w:rPr>
            </w:pPr>
            <w:r w:rsidRPr="005208DC">
              <w:rPr>
                <w:rFonts w:asciiTheme="majorBidi" w:eastAsia="Arial Narrow" w:hAnsiTheme="majorBidi" w:cstheme="majorBidi"/>
                <w:color w:val="0D0D0D" w:themeColor="text1" w:themeTint="F2"/>
                <w:lang w:val="sq-AL"/>
              </w:rPr>
              <w:t>Zbatimi i marrëveshjeve të nënshkruara me komunat në zonat e pambuluara.</w:t>
            </w:r>
          </w:p>
        </w:tc>
        <w:tc>
          <w:tcPr>
            <w:tcW w:w="1985" w:type="dxa"/>
            <w:shd w:val="clear" w:color="auto" w:fill="auto"/>
          </w:tcPr>
          <w:p w14:paraId="3AD5CC6A" w14:textId="77777777" w:rsidR="00630CC2" w:rsidRPr="005208DC" w:rsidRDefault="00630CC2" w:rsidP="00630CC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5</w:t>
            </w:r>
          </w:p>
        </w:tc>
      </w:tr>
      <w:tr w:rsidR="005208DC" w:rsidRPr="005208DC" w14:paraId="631B3FC4" w14:textId="77777777" w:rsidTr="00630CC2">
        <w:trPr>
          <w:trHeight w:val="415"/>
        </w:trPr>
        <w:tc>
          <w:tcPr>
            <w:tcW w:w="1723" w:type="dxa"/>
            <w:vMerge/>
          </w:tcPr>
          <w:p w14:paraId="730BC11C" w14:textId="77777777" w:rsidR="00630CC2" w:rsidRPr="005208DC" w:rsidRDefault="00630CC2" w:rsidP="00630CC2">
            <w:pPr>
              <w:rPr>
                <w:rFonts w:asciiTheme="majorBidi" w:hAnsiTheme="majorBidi" w:cstheme="majorBidi"/>
                <w:color w:val="0D0D0D" w:themeColor="text1" w:themeTint="F2"/>
                <w:lang w:val="sq-AL"/>
              </w:rPr>
            </w:pPr>
          </w:p>
        </w:tc>
        <w:tc>
          <w:tcPr>
            <w:tcW w:w="6777" w:type="dxa"/>
            <w:shd w:val="clear" w:color="auto" w:fill="auto"/>
          </w:tcPr>
          <w:p w14:paraId="24FC3BBF" w14:textId="77777777" w:rsidR="00630CC2" w:rsidRPr="005208DC" w:rsidRDefault="00630CC2" w:rsidP="00630CC2">
            <w:pPr>
              <w:snapToGrid w:val="0"/>
              <w:jc w:val="both"/>
              <w:rPr>
                <w:rFonts w:asciiTheme="majorBidi" w:eastAsia="Arial Narrow" w:hAnsiTheme="majorBidi" w:cstheme="majorBidi"/>
                <w:color w:val="0D0D0D" w:themeColor="text1" w:themeTint="F2"/>
                <w:lang w:val="sq-AL"/>
              </w:rPr>
            </w:pPr>
            <w:r w:rsidRPr="005208DC">
              <w:rPr>
                <w:rFonts w:asciiTheme="majorBidi" w:eastAsia="Arial Narrow" w:hAnsiTheme="majorBidi" w:cstheme="majorBidi"/>
                <w:color w:val="0D0D0D" w:themeColor="text1" w:themeTint="F2"/>
                <w:lang w:val="sq-AL"/>
              </w:rPr>
              <w:t>Ndërmarrja e një analize të nevojave për aftësi.</w:t>
            </w:r>
          </w:p>
        </w:tc>
        <w:tc>
          <w:tcPr>
            <w:tcW w:w="1985" w:type="dxa"/>
            <w:shd w:val="clear" w:color="auto" w:fill="auto"/>
          </w:tcPr>
          <w:p w14:paraId="7B8CC980" w14:textId="77777777" w:rsidR="00630CC2" w:rsidRPr="005208DC" w:rsidRDefault="00630CC2" w:rsidP="00630CC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2</w:t>
            </w:r>
          </w:p>
        </w:tc>
      </w:tr>
      <w:tr w:rsidR="005208DC" w:rsidRPr="005208DC" w14:paraId="56FE630F" w14:textId="77777777" w:rsidTr="00630CC2">
        <w:trPr>
          <w:trHeight w:val="1808"/>
        </w:trPr>
        <w:tc>
          <w:tcPr>
            <w:tcW w:w="1723" w:type="dxa"/>
            <w:vMerge/>
          </w:tcPr>
          <w:p w14:paraId="276A1D3E" w14:textId="77777777" w:rsidR="00630CC2" w:rsidRPr="005208DC" w:rsidRDefault="00630CC2" w:rsidP="00630CC2">
            <w:pPr>
              <w:rPr>
                <w:rFonts w:asciiTheme="majorBidi" w:hAnsiTheme="majorBidi" w:cstheme="majorBidi"/>
                <w:color w:val="0D0D0D" w:themeColor="text1" w:themeTint="F2"/>
                <w:lang w:val="sq-AL"/>
              </w:rPr>
            </w:pPr>
          </w:p>
        </w:tc>
        <w:tc>
          <w:tcPr>
            <w:tcW w:w="6777" w:type="dxa"/>
            <w:shd w:val="clear" w:color="auto" w:fill="auto"/>
          </w:tcPr>
          <w:p w14:paraId="2CF0A19A" w14:textId="77777777" w:rsidR="00630CC2" w:rsidRPr="005208DC" w:rsidRDefault="00630CC2" w:rsidP="00630CC2">
            <w:pPr>
              <w:snapToGrid w:val="0"/>
              <w:jc w:val="both"/>
              <w:rPr>
                <w:rFonts w:asciiTheme="majorBidi" w:eastAsia="Arial Narrow" w:hAnsiTheme="majorBidi" w:cstheme="majorBidi"/>
                <w:color w:val="0D0D0D" w:themeColor="text1" w:themeTint="F2"/>
                <w:lang w:val="sq-AL"/>
              </w:rPr>
            </w:pPr>
            <w:r w:rsidRPr="005208DC">
              <w:rPr>
                <w:rFonts w:asciiTheme="majorBidi" w:eastAsia="Arial Narrow" w:hAnsiTheme="majorBidi" w:cstheme="majorBidi"/>
                <w:color w:val="0D0D0D" w:themeColor="text1" w:themeTint="F2"/>
                <w:lang w:val="sq-AL"/>
              </w:rPr>
              <w:t>Maksimizimi i ndërveprimit dhe përmirësimi i synimit të politikave aktive të tregut të punës dhe zbatimi i paketës së përgatitur të reformës së Arsimit dhe Formimit Profesional, duke përfshirë aftësimin dhe rikualifikimin, përmes një sistemi referimi për ndjekjen e punëkërkuesve që marrin shërbime të formimit profesional, ndërmjetësim në punë ose programe të nxitjes së punësimit, brenda Kurse “Start Smart” dhe/ose kurse formimi profesional.</w:t>
            </w:r>
          </w:p>
        </w:tc>
        <w:tc>
          <w:tcPr>
            <w:tcW w:w="1985" w:type="dxa"/>
            <w:shd w:val="clear" w:color="auto" w:fill="auto"/>
          </w:tcPr>
          <w:p w14:paraId="26744EC3" w14:textId="77777777" w:rsidR="00630CC2" w:rsidRPr="005208DC" w:rsidRDefault="00630CC2" w:rsidP="00630CC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4</w:t>
            </w:r>
          </w:p>
        </w:tc>
      </w:tr>
      <w:tr w:rsidR="005208DC" w:rsidRPr="005208DC" w14:paraId="4DCC6DD2" w14:textId="77777777" w:rsidTr="00630CC2">
        <w:trPr>
          <w:trHeight w:val="415"/>
        </w:trPr>
        <w:tc>
          <w:tcPr>
            <w:tcW w:w="1723" w:type="dxa"/>
            <w:vMerge/>
          </w:tcPr>
          <w:p w14:paraId="782B1694" w14:textId="77777777" w:rsidR="00630CC2" w:rsidRPr="005208DC" w:rsidRDefault="00630CC2" w:rsidP="00630CC2">
            <w:pPr>
              <w:rPr>
                <w:rFonts w:asciiTheme="majorBidi" w:hAnsiTheme="majorBidi" w:cstheme="majorBidi"/>
                <w:color w:val="0D0D0D" w:themeColor="text1" w:themeTint="F2"/>
                <w:lang w:val="sq-AL"/>
              </w:rPr>
            </w:pPr>
          </w:p>
        </w:tc>
        <w:tc>
          <w:tcPr>
            <w:tcW w:w="6777" w:type="dxa"/>
            <w:shd w:val="clear" w:color="auto" w:fill="auto"/>
          </w:tcPr>
          <w:p w14:paraId="280E2DB1" w14:textId="77777777" w:rsidR="00630CC2" w:rsidRPr="005208DC" w:rsidRDefault="00630CC2" w:rsidP="00630CC2">
            <w:pPr>
              <w:snapToGrid w:val="0"/>
              <w:jc w:val="both"/>
              <w:rPr>
                <w:rFonts w:asciiTheme="majorBidi" w:eastAsia="Arial Narrow" w:hAnsiTheme="majorBidi" w:cstheme="majorBidi"/>
                <w:color w:val="0D0D0D" w:themeColor="text1" w:themeTint="F2"/>
                <w:lang w:val="sq-AL"/>
              </w:rPr>
            </w:pPr>
            <w:r w:rsidRPr="005208DC">
              <w:rPr>
                <w:rFonts w:asciiTheme="majorBidi" w:eastAsia="Arial Narrow" w:hAnsiTheme="majorBidi" w:cstheme="majorBidi"/>
                <w:color w:val="0D0D0D" w:themeColor="text1" w:themeTint="F2"/>
                <w:lang w:val="sq-AL"/>
              </w:rPr>
              <w:t>Kryeni një vlerësim të procesit mbi zbatimin e Paketave të Reformuara të Nxitjes së Punësimit (PNP) dhe programeve që trajtojnë kontekstin pas COVID-19.</w:t>
            </w:r>
          </w:p>
        </w:tc>
        <w:tc>
          <w:tcPr>
            <w:tcW w:w="1985" w:type="dxa"/>
            <w:shd w:val="clear" w:color="auto" w:fill="auto"/>
          </w:tcPr>
          <w:p w14:paraId="42FBB7F1" w14:textId="77777777" w:rsidR="00630CC2" w:rsidRPr="005208DC" w:rsidRDefault="00630CC2" w:rsidP="00630CC2">
            <w:pPr>
              <w:rPr>
                <w:rFonts w:asciiTheme="majorBidi" w:hAnsiTheme="majorBidi" w:cstheme="majorBidi"/>
                <w:color w:val="0D0D0D" w:themeColor="text1" w:themeTint="F2"/>
                <w:lang w:val="sq-AL"/>
              </w:rPr>
            </w:pPr>
            <w:r w:rsidRPr="005208DC">
              <w:rPr>
                <w:rFonts w:asciiTheme="majorBidi" w:hAnsiTheme="majorBidi" w:cstheme="majorBidi"/>
                <w:color w:val="0D0D0D" w:themeColor="text1" w:themeTint="F2"/>
                <w:lang w:val="sq-AL"/>
              </w:rPr>
              <w:t>3</w:t>
            </w:r>
          </w:p>
        </w:tc>
      </w:tr>
    </w:tbl>
    <w:p w14:paraId="25470A9D" w14:textId="77777777" w:rsidR="00630CC2" w:rsidRPr="005208DC" w:rsidRDefault="00630CC2" w:rsidP="00857902">
      <w:pPr>
        <w:snapToGrid w:val="0"/>
        <w:rPr>
          <w:rFonts w:asciiTheme="majorBidi" w:hAnsiTheme="majorBidi" w:cstheme="majorBidi"/>
          <w:color w:val="0D0D0D" w:themeColor="text1" w:themeTint="F2"/>
          <w:sz w:val="22"/>
          <w:szCs w:val="22"/>
          <w:lang w:val="sq-AL"/>
        </w:rPr>
      </w:pPr>
    </w:p>
    <w:p w14:paraId="12FE1B80" w14:textId="77777777" w:rsidR="0089011F" w:rsidRPr="005208DC" w:rsidRDefault="0089011F" w:rsidP="00857902">
      <w:pPr>
        <w:snapToGrid w:val="0"/>
        <w:rPr>
          <w:rFonts w:asciiTheme="majorBidi" w:hAnsiTheme="majorBidi" w:cstheme="majorBidi"/>
          <w:color w:val="0D0D0D" w:themeColor="text1" w:themeTint="F2"/>
          <w:sz w:val="22"/>
          <w:szCs w:val="22"/>
          <w:lang w:val="sq-AL"/>
        </w:rPr>
      </w:pPr>
    </w:p>
    <w:p w14:paraId="3DEDD7B9" w14:textId="77777777" w:rsidR="00E06E0F" w:rsidRPr="005208DC" w:rsidRDefault="00E06E0F" w:rsidP="00857902">
      <w:pPr>
        <w:snapToGrid w:val="0"/>
        <w:rPr>
          <w:rFonts w:asciiTheme="majorBidi" w:hAnsiTheme="majorBidi" w:cstheme="majorBidi"/>
          <w:color w:val="0D0D0D" w:themeColor="text1" w:themeTint="F2"/>
          <w:sz w:val="22"/>
          <w:szCs w:val="22"/>
          <w:lang w:val="sq-AL"/>
        </w:rPr>
      </w:pPr>
    </w:p>
    <w:p w14:paraId="6879AFB1" w14:textId="77777777" w:rsidR="00E06E0F" w:rsidRPr="005208DC" w:rsidRDefault="00E06E0F" w:rsidP="00857902">
      <w:pPr>
        <w:snapToGrid w:val="0"/>
        <w:rPr>
          <w:rFonts w:asciiTheme="majorBidi" w:hAnsiTheme="majorBidi" w:cstheme="majorBidi"/>
          <w:color w:val="0D0D0D" w:themeColor="text1" w:themeTint="F2"/>
          <w:sz w:val="22"/>
          <w:szCs w:val="22"/>
          <w:lang w:val="sq-AL"/>
        </w:rPr>
        <w:sectPr w:rsidR="00E06E0F" w:rsidRPr="005208DC" w:rsidSect="00806ED4">
          <w:pgSz w:w="11900" w:h="16840"/>
          <w:pgMar w:top="720" w:right="720" w:bottom="720" w:left="720" w:header="567" w:footer="567" w:gutter="0"/>
          <w:cols w:space="708"/>
          <w:docGrid w:linePitch="360"/>
        </w:sectPr>
      </w:pPr>
    </w:p>
    <w:p w14:paraId="0160698B" w14:textId="42F8E093" w:rsidR="00E81A6A" w:rsidRPr="005208DC" w:rsidRDefault="00C07622" w:rsidP="00857902">
      <w:pPr>
        <w:pStyle w:val="Heading1"/>
        <w:snapToGrid w:val="0"/>
        <w:ind w:left="0"/>
        <w:rPr>
          <w:rFonts w:asciiTheme="majorBidi" w:hAnsiTheme="majorBidi" w:cstheme="majorBidi"/>
          <w:color w:val="0D0D0D" w:themeColor="text1" w:themeTint="F2"/>
          <w:lang w:val="sq-AL"/>
        </w:rPr>
      </w:pPr>
      <w:bookmarkStart w:id="112" w:name="_Toc62805607"/>
      <w:bookmarkStart w:id="113" w:name="_Toc484076197"/>
      <w:bookmarkStart w:id="114" w:name="_Toc92721170"/>
      <w:r w:rsidRPr="005208DC">
        <w:rPr>
          <w:rFonts w:asciiTheme="majorBidi" w:hAnsiTheme="majorBidi" w:cstheme="majorBidi"/>
          <w:color w:val="0D0D0D" w:themeColor="text1" w:themeTint="F2"/>
          <w:lang w:val="sq-AL"/>
        </w:rPr>
        <w:t>SHTOJCA</w:t>
      </w:r>
      <w:r w:rsidR="00626FE1" w:rsidRPr="005208DC">
        <w:rPr>
          <w:rFonts w:asciiTheme="majorBidi" w:hAnsiTheme="majorBidi" w:cstheme="majorBidi"/>
          <w:color w:val="0D0D0D" w:themeColor="text1" w:themeTint="F2"/>
          <w:lang w:val="sq-AL"/>
        </w:rPr>
        <w:t xml:space="preserve"> </w:t>
      </w:r>
      <w:r w:rsidR="00DF1828" w:rsidRPr="005208DC">
        <w:rPr>
          <w:rFonts w:asciiTheme="majorBidi" w:hAnsiTheme="majorBidi" w:cstheme="majorBidi"/>
          <w:color w:val="0D0D0D" w:themeColor="text1" w:themeTint="F2"/>
          <w:lang w:val="sq-AL"/>
        </w:rPr>
        <w:t>II</w:t>
      </w:r>
      <w:bookmarkEnd w:id="112"/>
      <w:bookmarkEnd w:id="114"/>
    </w:p>
    <w:p w14:paraId="623BCCD3" w14:textId="77777777" w:rsidR="00B05C9D" w:rsidRPr="005208DC" w:rsidRDefault="00B05C9D" w:rsidP="00857902">
      <w:pPr>
        <w:rPr>
          <w:rFonts w:asciiTheme="majorBidi" w:hAnsiTheme="majorBidi" w:cstheme="majorBidi"/>
          <w:color w:val="0D0D0D" w:themeColor="text1" w:themeTint="F2"/>
          <w:lang w:val="sq-AL"/>
        </w:rPr>
      </w:pPr>
    </w:p>
    <w:tbl>
      <w:tblPr>
        <w:tblW w:w="2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3960"/>
        <w:gridCol w:w="2226"/>
        <w:gridCol w:w="2226"/>
        <w:gridCol w:w="2226"/>
        <w:gridCol w:w="2227"/>
        <w:gridCol w:w="2226"/>
        <w:gridCol w:w="2226"/>
        <w:gridCol w:w="2227"/>
      </w:tblGrid>
      <w:tr w:rsidR="005208DC" w:rsidRPr="005208DC" w14:paraId="47799934" w14:textId="77777777" w:rsidTr="00F51BF1">
        <w:trPr>
          <w:trHeight w:val="900"/>
        </w:trPr>
        <w:tc>
          <w:tcPr>
            <w:tcW w:w="480" w:type="dxa"/>
            <w:shd w:val="clear" w:color="auto" w:fill="auto"/>
            <w:noWrap/>
            <w:vAlign w:val="bottom"/>
            <w:hideMark/>
          </w:tcPr>
          <w:p w14:paraId="40FF49BF" w14:textId="77777777" w:rsidR="008028EB" w:rsidRPr="005208DC" w:rsidRDefault="008028EB" w:rsidP="00857902">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w:t>
            </w:r>
          </w:p>
        </w:tc>
        <w:tc>
          <w:tcPr>
            <w:tcW w:w="3960" w:type="dxa"/>
            <w:shd w:val="clear" w:color="auto" w:fill="auto"/>
            <w:vAlign w:val="center"/>
            <w:hideMark/>
          </w:tcPr>
          <w:p w14:paraId="1CBCF384" w14:textId="319F3071" w:rsidR="008028EB" w:rsidRPr="005208DC" w:rsidRDefault="00B2062A" w:rsidP="00857902">
            <w:pPr>
              <w:jc w:val="center"/>
              <w:rPr>
                <w:rFonts w:asciiTheme="majorBidi" w:eastAsia="Times New Roman" w:hAnsiTheme="majorBidi" w:cstheme="majorBidi"/>
                <w:b/>
                <w:bCs/>
                <w:color w:val="0D0D0D" w:themeColor="text1" w:themeTint="F2"/>
                <w:sz w:val="22"/>
                <w:szCs w:val="22"/>
                <w:lang w:val="sq-AL" w:eastAsia="sq-AL" w:bidi="he-IL"/>
              </w:rPr>
            </w:pPr>
            <w:r w:rsidRPr="005208DC">
              <w:rPr>
                <w:rFonts w:asciiTheme="majorBidi" w:eastAsia="Times New Roman" w:hAnsiTheme="majorBidi" w:cstheme="majorBidi"/>
                <w:b/>
                <w:bCs/>
                <w:color w:val="0D0D0D" w:themeColor="text1" w:themeTint="F2"/>
                <w:sz w:val="22"/>
                <w:szCs w:val="22"/>
                <w:lang w:val="sq-AL" w:eastAsia="sq-AL" w:bidi="he-IL"/>
              </w:rPr>
              <w:t>Masat e reformës</w:t>
            </w:r>
            <w:r w:rsidR="008028EB" w:rsidRPr="005208DC">
              <w:rPr>
                <w:rFonts w:asciiTheme="majorBidi" w:eastAsia="Times New Roman" w:hAnsiTheme="majorBidi" w:cstheme="majorBidi"/>
                <w:b/>
                <w:bCs/>
                <w:color w:val="0D0D0D" w:themeColor="text1" w:themeTint="F2"/>
                <w:sz w:val="22"/>
                <w:szCs w:val="22"/>
                <w:lang w:val="sq-AL" w:eastAsia="sq-AL" w:bidi="he-IL"/>
              </w:rPr>
              <w:t xml:space="preserve"> in ERP 2021-2023</w:t>
            </w:r>
          </w:p>
        </w:tc>
        <w:tc>
          <w:tcPr>
            <w:tcW w:w="2226" w:type="dxa"/>
            <w:shd w:val="clear" w:color="auto" w:fill="auto"/>
            <w:vAlign w:val="center"/>
            <w:hideMark/>
          </w:tcPr>
          <w:p w14:paraId="17D6D23E" w14:textId="77777777" w:rsidR="008028EB" w:rsidRPr="005208DC" w:rsidRDefault="008028EB" w:rsidP="00857902">
            <w:pPr>
              <w:jc w:val="center"/>
              <w:rPr>
                <w:rFonts w:asciiTheme="majorBidi" w:eastAsia="Times New Roman" w:hAnsiTheme="majorBidi" w:cstheme="majorBidi"/>
                <w:b/>
                <w:bCs/>
                <w:color w:val="0D0D0D" w:themeColor="text1" w:themeTint="F2"/>
                <w:sz w:val="22"/>
                <w:szCs w:val="22"/>
                <w:lang w:val="sq-AL" w:eastAsia="sq-AL" w:bidi="he-IL"/>
              </w:rPr>
            </w:pPr>
            <w:r w:rsidRPr="005208DC">
              <w:rPr>
                <w:rFonts w:asciiTheme="majorBidi" w:eastAsia="Times New Roman" w:hAnsiTheme="majorBidi" w:cstheme="majorBidi"/>
                <w:b/>
                <w:bCs/>
                <w:color w:val="0D0D0D" w:themeColor="text1" w:themeTint="F2"/>
                <w:sz w:val="22"/>
                <w:szCs w:val="22"/>
                <w:lang w:val="sq-AL" w:eastAsia="sq-AL" w:bidi="he-IL"/>
              </w:rPr>
              <w:t>Key structural challenges (Commission assessment of ERP 2020-2022)</w:t>
            </w:r>
          </w:p>
        </w:tc>
        <w:tc>
          <w:tcPr>
            <w:tcW w:w="2226" w:type="dxa"/>
            <w:shd w:val="clear" w:color="auto" w:fill="auto"/>
            <w:vAlign w:val="center"/>
            <w:hideMark/>
          </w:tcPr>
          <w:p w14:paraId="274C4C59" w14:textId="77777777" w:rsidR="008028EB" w:rsidRPr="005208DC" w:rsidRDefault="008028EB" w:rsidP="00857902">
            <w:pPr>
              <w:jc w:val="center"/>
              <w:rPr>
                <w:rFonts w:asciiTheme="majorBidi" w:eastAsia="Times New Roman" w:hAnsiTheme="majorBidi" w:cstheme="majorBidi"/>
                <w:b/>
                <w:bCs/>
                <w:color w:val="0D0D0D" w:themeColor="text1" w:themeTint="F2"/>
                <w:sz w:val="22"/>
                <w:szCs w:val="22"/>
                <w:lang w:val="sq-AL" w:eastAsia="sq-AL" w:bidi="he-IL"/>
              </w:rPr>
            </w:pPr>
            <w:r w:rsidRPr="005208DC">
              <w:rPr>
                <w:rFonts w:asciiTheme="majorBidi" w:eastAsia="Times New Roman" w:hAnsiTheme="majorBidi" w:cstheme="majorBidi"/>
                <w:b/>
                <w:bCs/>
                <w:color w:val="0D0D0D" w:themeColor="text1" w:themeTint="F2"/>
                <w:sz w:val="22"/>
                <w:szCs w:val="22"/>
                <w:lang w:val="sq-AL" w:eastAsia="sq-AL" w:bidi="he-IL"/>
              </w:rPr>
              <w:t>ERP policy guidance 2021</w:t>
            </w:r>
          </w:p>
        </w:tc>
        <w:tc>
          <w:tcPr>
            <w:tcW w:w="2226" w:type="dxa"/>
            <w:shd w:val="clear" w:color="auto" w:fill="auto"/>
            <w:vAlign w:val="center"/>
            <w:hideMark/>
          </w:tcPr>
          <w:p w14:paraId="3519B22C" w14:textId="77777777" w:rsidR="008028EB" w:rsidRPr="005208DC" w:rsidRDefault="008028EB" w:rsidP="00857902">
            <w:pPr>
              <w:jc w:val="center"/>
              <w:rPr>
                <w:rFonts w:asciiTheme="majorBidi" w:eastAsia="Times New Roman" w:hAnsiTheme="majorBidi" w:cstheme="majorBidi"/>
                <w:b/>
                <w:bCs/>
                <w:color w:val="0D0D0D" w:themeColor="text1" w:themeTint="F2"/>
                <w:sz w:val="22"/>
                <w:szCs w:val="22"/>
                <w:lang w:val="sq-AL" w:eastAsia="sq-AL" w:bidi="he-IL"/>
              </w:rPr>
            </w:pPr>
            <w:r w:rsidRPr="005208DC">
              <w:rPr>
                <w:rFonts w:asciiTheme="majorBidi" w:eastAsia="Times New Roman" w:hAnsiTheme="majorBidi" w:cstheme="majorBidi"/>
                <w:b/>
                <w:bCs/>
                <w:color w:val="0D0D0D" w:themeColor="text1" w:themeTint="F2"/>
                <w:sz w:val="22"/>
                <w:szCs w:val="22"/>
                <w:lang w:val="sq-AL" w:eastAsia="sq-AL" w:bidi="he-IL"/>
              </w:rPr>
              <w:t>Enlargement Package 2021</w:t>
            </w:r>
          </w:p>
        </w:tc>
        <w:tc>
          <w:tcPr>
            <w:tcW w:w="2227" w:type="dxa"/>
            <w:shd w:val="clear" w:color="auto" w:fill="auto"/>
            <w:vAlign w:val="center"/>
            <w:hideMark/>
          </w:tcPr>
          <w:p w14:paraId="35D51289" w14:textId="77777777" w:rsidR="008028EB" w:rsidRPr="005208DC" w:rsidRDefault="008028EB" w:rsidP="00857902">
            <w:pPr>
              <w:jc w:val="center"/>
              <w:rPr>
                <w:rFonts w:asciiTheme="majorBidi" w:eastAsia="Times New Roman" w:hAnsiTheme="majorBidi" w:cstheme="majorBidi"/>
                <w:b/>
                <w:bCs/>
                <w:color w:val="0D0D0D" w:themeColor="text1" w:themeTint="F2"/>
                <w:sz w:val="22"/>
                <w:szCs w:val="22"/>
                <w:lang w:val="sq-AL" w:eastAsia="sq-AL" w:bidi="he-IL"/>
              </w:rPr>
            </w:pPr>
            <w:r w:rsidRPr="005208DC">
              <w:rPr>
                <w:rFonts w:asciiTheme="majorBidi" w:eastAsia="Times New Roman" w:hAnsiTheme="majorBidi" w:cstheme="majorBidi"/>
                <w:b/>
                <w:bCs/>
                <w:color w:val="0D0D0D" w:themeColor="text1" w:themeTint="F2"/>
                <w:sz w:val="22"/>
                <w:szCs w:val="22"/>
                <w:lang w:val="sq-AL" w:eastAsia="sq-AL" w:bidi="he-IL"/>
              </w:rPr>
              <w:t>Sustainable Development Goals 2020-2030</w:t>
            </w:r>
          </w:p>
        </w:tc>
        <w:tc>
          <w:tcPr>
            <w:tcW w:w="2226" w:type="dxa"/>
            <w:shd w:val="clear" w:color="auto" w:fill="auto"/>
            <w:vAlign w:val="center"/>
            <w:hideMark/>
          </w:tcPr>
          <w:p w14:paraId="4A34CF5C" w14:textId="77777777" w:rsidR="008028EB" w:rsidRPr="005208DC" w:rsidRDefault="008028EB" w:rsidP="00857902">
            <w:pPr>
              <w:jc w:val="center"/>
              <w:rPr>
                <w:rFonts w:asciiTheme="majorBidi" w:eastAsia="Times New Roman" w:hAnsiTheme="majorBidi" w:cstheme="majorBidi"/>
                <w:b/>
                <w:bCs/>
                <w:color w:val="0D0D0D" w:themeColor="text1" w:themeTint="F2"/>
                <w:sz w:val="22"/>
                <w:szCs w:val="22"/>
                <w:lang w:val="sq-AL" w:eastAsia="sq-AL" w:bidi="he-IL"/>
              </w:rPr>
            </w:pPr>
            <w:r w:rsidRPr="005208DC">
              <w:rPr>
                <w:rFonts w:asciiTheme="majorBidi" w:eastAsia="Times New Roman" w:hAnsiTheme="majorBidi" w:cstheme="majorBidi"/>
                <w:b/>
                <w:bCs/>
                <w:color w:val="0D0D0D" w:themeColor="text1" w:themeTint="F2"/>
                <w:sz w:val="22"/>
                <w:szCs w:val="22"/>
                <w:lang w:val="sq-AL" w:eastAsia="sq-AL" w:bidi="he-IL"/>
              </w:rPr>
              <w:t>European Green Deal / Green Agenda for Western Balkans</w:t>
            </w:r>
          </w:p>
        </w:tc>
        <w:tc>
          <w:tcPr>
            <w:tcW w:w="2226" w:type="dxa"/>
            <w:shd w:val="clear" w:color="auto" w:fill="auto"/>
            <w:vAlign w:val="center"/>
            <w:hideMark/>
          </w:tcPr>
          <w:p w14:paraId="6703E219" w14:textId="77777777" w:rsidR="008028EB" w:rsidRPr="005208DC" w:rsidRDefault="008028EB" w:rsidP="00857902">
            <w:pPr>
              <w:jc w:val="center"/>
              <w:rPr>
                <w:rFonts w:asciiTheme="majorBidi" w:eastAsia="Times New Roman" w:hAnsiTheme="majorBidi" w:cstheme="majorBidi"/>
                <w:b/>
                <w:bCs/>
                <w:color w:val="0D0D0D" w:themeColor="text1" w:themeTint="F2"/>
                <w:sz w:val="22"/>
                <w:szCs w:val="22"/>
                <w:lang w:val="sq-AL" w:eastAsia="sq-AL" w:bidi="he-IL"/>
              </w:rPr>
            </w:pPr>
            <w:r w:rsidRPr="005208DC">
              <w:rPr>
                <w:rFonts w:asciiTheme="majorBidi" w:eastAsia="Times New Roman" w:hAnsiTheme="majorBidi" w:cstheme="majorBidi"/>
                <w:b/>
                <w:bCs/>
                <w:color w:val="0D0D0D" w:themeColor="text1" w:themeTint="F2"/>
                <w:sz w:val="22"/>
                <w:szCs w:val="22"/>
                <w:lang w:val="sq-AL" w:eastAsia="sq-AL" w:bidi="he-IL"/>
              </w:rPr>
              <w:t>European Digital Agenda / Digital Agenda of Western Balkans</w:t>
            </w:r>
          </w:p>
        </w:tc>
        <w:tc>
          <w:tcPr>
            <w:tcW w:w="2227" w:type="dxa"/>
            <w:shd w:val="clear" w:color="auto" w:fill="auto"/>
            <w:vAlign w:val="center"/>
            <w:hideMark/>
          </w:tcPr>
          <w:p w14:paraId="1B05C595" w14:textId="77777777" w:rsidR="008028EB" w:rsidRPr="005208DC" w:rsidRDefault="008028EB" w:rsidP="00857902">
            <w:pPr>
              <w:jc w:val="center"/>
              <w:rPr>
                <w:rFonts w:asciiTheme="majorBidi" w:eastAsia="Times New Roman" w:hAnsiTheme="majorBidi" w:cstheme="majorBidi"/>
                <w:b/>
                <w:bCs/>
                <w:color w:val="0D0D0D" w:themeColor="text1" w:themeTint="F2"/>
                <w:sz w:val="22"/>
                <w:szCs w:val="22"/>
                <w:lang w:val="sq-AL" w:eastAsia="sq-AL" w:bidi="he-IL"/>
              </w:rPr>
            </w:pPr>
            <w:r w:rsidRPr="005208DC">
              <w:rPr>
                <w:rFonts w:asciiTheme="majorBidi" w:eastAsia="Times New Roman" w:hAnsiTheme="majorBidi" w:cstheme="majorBidi"/>
                <w:b/>
                <w:bCs/>
                <w:color w:val="0D0D0D" w:themeColor="text1" w:themeTint="F2"/>
                <w:sz w:val="22"/>
                <w:szCs w:val="22"/>
                <w:lang w:val="sq-AL" w:eastAsia="sq-AL" w:bidi="he-IL"/>
              </w:rPr>
              <w:t>IPA III projects supporting this reform</w:t>
            </w:r>
          </w:p>
        </w:tc>
      </w:tr>
      <w:tr w:rsidR="005208DC" w:rsidRPr="005208DC" w14:paraId="52419673" w14:textId="77777777" w:rsidTr="00F51BF1">
        <w:trPr>
          <w:trHeight w:val="630"/>
        </w:trPr>
        <w:tc>
          <w:tcPr>
            <w:tcW w:w="480" w:type="dxa"/>
            <w:shd w:val="clear" w:color="auto" w:fill="auto"/>
            <w:noWrap/>
            <w:vAlign w:val="center"/>
            <w:hideMark/>
          </w:tcPr>
          <w:p w14:paraId="058A3D5F" w14:textId="77777777" w:rsidR="00F24310" w:rsidRPr="005208DC" w:rsidRDefault="00F24310"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w:t>
            </w:r>
          </w:p>
        </w:tc>
        <w:tc>
          <w:tcPr>
            <w:tcW w:w="3960" w:type="dxa"/>
            <w:shd w:val="clear" w:color="auto" w:fill="auto"/>
            <w:hideMark/>
          </w:tcPr>
          <w:p w14:paraId="23610E46" w14:textId="5C57E005" w:rsidR="00F24310" w:rsidRPr="005208DC" w:rsidRDefault="00F24310" w:rsidP="00857902">
            <w:pPr>
              <w:rPr>
                <w:rFonts w:asciiTheme="majorBidi" w:eastAsia="Times New Roman" w:hAnsiTheme="majorBidi" w:cstheme="majorBidi"/>
                <w:i/>
                <w:iCs/>
                <w:color w:val="0D0D0D" w:themeColor="text1" w:themeTint="F2"/>
                <w:sz w:val="22"/>
                <w:szCs w:val="22"/>
                <w:lang w:val="sq-AL" w:eastAsia="sq-AL" w:bidi="he-IL"/>
              </w:rPr>
            </w:pPr>
            <w:r w:rsidRPr="005208DC">
              <w:rPr>
                <w:rFonts w:asciiTheme="majorBidi" w:eastAsia="Times New Roman" w:hAnsiTheme="majorBidi" w:cstheme="majorBidi"/>
                <w:i/>
                <w:iCs/>
                <w:color w:val="0D0D0D" w:themeColor="text1" w:themeTint="F2"/>
                <w:sz w:val="22"/>
                <w:szCs w:val="22"/>
                <w:lang w:val="sq-AL" w:eastAsia="sq-AL" w:bidi="he-IL"/>
              </w:rPr>
              <w:t>Liberalizimi i mëtejshëm i tregut të energjisë</w:t>
            </w:r>
          </w:p>
        </w:tc>
        <w:tc>
          <w:tcPr>
            <w:tcW w:w="2226" w:type="dxa"/>
            <w:shd w:val="clear" w:color="auto" w:fill="auto"/>
            <w:noWrap/>
            <w:hideMark/>
          </w:tcPr>
          <w:p w14:paraId="5D6D6613" w14:textId="750FD921" w:rsidR="00F24310" w:rsidRPr="005208DC" w:rsidRDefault="00F24310"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Sfida kyçe #2</w:t>
            </w:r>
          </w:p>
        </w:tc>
        <w:tc>
          <w:tcPr>
            <w:tcW w:w="2226" w:type="dxa"/>
            <w:shd w:val="clear" w:color="auto" w:fill="auto"/>
            <w:noWrap/>
            <w:hideMark/>
          </w:tcPr>
          <w:p w14:paraId="48F1CE27" w14:textId="1E86255B" w:rsidR="00F24310" w:rsidRPr="005208DC" w:rsidRDefault="00F24310"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N/A</w:t>
            </w:r>
          </w:p>
        </w:tc>
        <w:tc>
          <w:tcPr>
            <w:tcW w:w="2226" w:type="dxa"/>
            <w:shd w:val="clear" w:color="auto" w:fill="auto"/>
            <w:noWrap/>
            <w:hideMark/>
          </w:tcPr>
          <w:p w14:paraId="7F7E938B" w14:textId="77777777" w:rsidR="00F24310" w:rsidRPr="005208DC" w:rsidRDefault="00F24310"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7" w:type="dxa"/>
            <w:shd w:val="clear" w:color="auto" w:fill="auto"/>
            <w:noWrap/>
            <w:hideMark/>
          </w:tcPr>
          <w:p w14:paraId="35EF327C" w14:textId="2ED90FA8" w:rsidR="00F24310" w:rsidRPr="005208DC" w:rsidRDefault="00250737" w:rsidP="00857902">
            <w:pPr>
              <w:shd w:val="clear" w:color="auto" w:fill="FFFFFF"/>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i/>
                <w:iCs/>
                <w:color w:val="0D0D0D" w:themeColor="text1" w:themeTint="F2"/>
                <w:sz w:val="22"/>
                <w:szCs w:val="22"/>
                <w:lang w:val="sq-AL" w:eastAsia="sq-AL" w:bidi="he-IL"/>
              </w:rPr>
              <w:t>SDG #7</w:t>
            </w:r>
          </w:p>
        </w:tc>
        <w:tc>
          <w:tcPr>
            <w:tcW w:w="2226" w:type="dxa"/>
            <w:shd w:val="clear" w:color="auto" w:fill="auto"/>
            <w:noWrap/>
            <w:hideMark/>
          </w:tcPr>
          <w:p w14:paraId="3470839B" w14:textId="5B4BD76F" w:rsidR="00F24310" w:rsidRPr="005208DC" w:rsidRDefault="00F24310"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i/>
                <w:iCs/>
                <w:color w:val="0D0D0D" w:themeColor="text1" w:themeTint="F2"/>
                <w:sz w:val="22"/>
                <w:szCs w:val="22"/>
                <w:lang w:val="sq-AL" w:eastAsia="sq-AL" w:bidi="he-IL"/>
              </w:rPr>
              <w:t>Të dyja masat e kësaj reforme janë në përputhje me Parimet e Marrëveshjes së Madhe të BE-së për sigurimin e një furnizimi të sigurt dhe të përballueshëm me energji në një treg funksional dixhital të energjisë (ALPEX) dhe nëpërmjet përmirësimeve të performancës së energjisë në ndërtesa dhe industri, siç përshkruhet në masën e mësipërme me secilin aktivitetit. Objektivat në BE GreanDeal janë në përputhje me objektivat kombëtare në Strategjinë Kombëtare të Energjisë dhe në draftin NCEP në fazën e miratimit.</w:t>
            </w:r>
          </w:p>
        </w:tc>
        <w:tc>
          <w:tcPr>
            <w:tcW w:w="2226" w:type="dxa"/>
            <w:shd w:val="clear" w:color="auto" w:fill="auto"/>
            <w:noWrap/>
            <w:hideMark/>
          </w:tcPr>
          <w:p w14:paraId="5B75B2DD" w14:textId="2B943202" w:rsidR="00F24310"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i/>
                <w:iCs/>
                <w:color w:val="0D0D0D" w:themeColor="text1" w:themeTint="F2"/>
                <w:sz w:val="22"/>
                <w:szCs w:val="22"/>
                <w:lang w:val="sq-AL" w:eastAsia="sq-AL" w:bidi="he-IL"/>
              </w:rPr>
              <w:t>Aplikimi i TIK-ut në disa fusha në mënyrë të ndjeshme që ndikon në mënyrën se si do të ndërtohet në të ardhmen janë pjesë e masave. Këtu mund të përmendet Digital ALPEX që do të kryejë online si shkëmbim energjie në kohë reale; Projektet e qytetit të zgjuar në zhvillim nga AEE; Rrjeti i Energjisë; Pajisjet inteligjente mund t'i ndërgjegjësojnë konsumatorët për energjinë e përdorur dhe t'i ndihmojnë ata të reduktojnë konsumin e tyre të energjisë në kohë reale, të ndryshojnë sjelljen e tyre ndaj përdorimit të energjisë dhe të kursejnë para në faturat e tyre të energjisë, etj.</w:t>
            </w:r>
          </w:p>
        </w:tc>
        <w:tc>
          <w:tcPr>
            <w:tcW w:w="2227" w:type="dxa"/>
            <w:shd w:val="clear" w:color="auto" w:fill="auto"/>
            <w:noWrap/>
            <w:hideMark/>
          </w:tcPr>
          <w:p w14:paraId="4D5BB528" w14:textId="73FC12A1" w:rsidR="00F24310" w:rsidRPr="005208DC" w:rsidRDefault="00F24310"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N/A </w:t>
            </w:r>
          </w:p>
        </w:tc>
      </w:tr>
      <w:tr w:rsidR="005208DC" w:rsidRPr="005208DC" w14:paraId="6556A7EE" w14:textId="77777777" w:rsidTr="00F51BF1">
        <w:trPr>
          <w:trHeight w:val="1007"/>
        </w:trPr>
        <w:tc>
          <w:tcPr>
            <w:tcW w:w="480" w:type="dxa"/>
            <w:shd w:val="clear" w:color="auto" w:fill="auto"/>
            <w:noWrap/>
            <w:vAlign w:val="center"/>
            <w:hideMark/>
          </w:tcPr>
          <w:p w14:paraId="3935883A" w14:textId="77777777" w:rsidR="00F24310" w:rsidRPr="005208DC" w:rsidRDefault="00F24310"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2</w:t>
            </w:r>
          </w:p>
        </w:tc>
        <w:tc>
          <w:tcPr>
            <w:tcW w:w="3960" w:type="dxa"/>
            <w:shd w:val="clear" w:color="auto" w:fill="auto"/>
            <w:hideMark/>
          </w:tcPr>
          <w:p w14:paraId="55B7F9BA" w14:textId="0E0F42A1" w:rsidR="00F24310" w:rsidRPr="005208DC" w:rsidRDefault="00F24310" w:rsidP="00857902">
            <w:pPr>
              <w:rPr>
                <w:rFonts w:asciiTheme="majorBidi" w:eastAsia="Times New Roman" w:hAnsiTheme="majorBidi" w:cstheme="majorBidi"/>
                <w:i/>
                <w:iCs/>
                <w:color w:val="0D0D0D" w:themeColor="text1" w:themeTint="F2"/>
                <w:sz w:val="22"/>
                <w:szCs w:val="22"/>
                <w:lang w:val="sq-AL" w:eastAsia="sq-AL" w:bidi="he-IL"/>
              </w:rPr>
            </w:pPr>
            <w:r w:rsidRPr="005208DC">
              <w:rPr>
                <w:rFonts w:asciiTheme="majorBidi" w:eastAsia="Times New Roman" w:hAnsiTheme="majorBidi" w:cstheme="majorBidi"/>
                <w:i/>
                <w:iCs/>
                <w:color w:val="0D0D0D" w:themeColor="text1" w:themeTint="F2"/>
                <w:sz w:val="22"/>
                <w:szCs w:val="22"/>
                <w:lang w:val="sq-AL" w:eastAsia="sq-AL" w:bidi="he-IL"/>
              </w:rPr>
              <w:t>Diversifikimi i burimeve të energjisë përmes promovimit të burimeve të rinovueshme të energjisë dhe përmirësimeve të efiçencës së energjisë</w:t>
            </w:r>
          </w:p>
        </w:tc>
        <w:tc>
          <w:tcPr>
            <w:tcW w:w="2226" w:type="dxa"/>
            <w:shd w:val="clear" w:color="auto" w:fill="auto"/>
            <w:noWrap/>
            <w:hideMark/>
          </w:tcPr>
          <w:p w14:paraId="0DF43A8D" w14:textId="66375DA1" w:rsidR="00F24310" w:rsidRPr="005208DC" w:rsidRDefault="00F24310"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Sfida kyçe #2</w:t>
            </w:r>
          </w:p>
        </w:tc>
        <w:tc>
          <w:tcPr>
            <w:tcW w:w="2226" w:type="dxa"/>
            <w:shd w:val="clear" w:color="auto" w:fill="auto"/>
            <w:noWrap/>
            <w:hideMark/>
          </w:tcPr>
          <w:p w14:paraId="6D76EEDD" w14:textId="77777777" w:rsidR="00F24310" w:rsidRPr="005208DC" w:rsidRDefault="00F24310"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06B6849B" w14:textId="77777777" w:rsidR="00F24310" w:rsidRPr="005208DC" w:rsidRDefault="00F24310"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7" w:type="dxa"/>
            <w:shd w:val="clear" w:color="auto" w:fill="auto"/>
            <w:noWrap/>
            <w:hideMark/>
          </w:tcPr>
          <w:p w14:paraId="2309EC93" w14:textId="5650C75C" w:rsidR="00F24310"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i/>
                <w:iCs/>
                <w:color w:val="0D0D0D" w:themeColor="text1" w:themeTint="F2"/>
                <w:sz w:val="22"/>
                <w:szCs w:val="22"/>
                <w:lang w:val="sq-AL" w:eastAsia="sq-AL" w:bidi="he-IL"/>
              </w:rPr>
              <w:t>SDG #7</w:t>
            </w:r>
          </w:p>
        </w:tc>
        <w:tc>
          <w:tcPr>
            <w:tcW w:w="2226" w:type="dxa"/>
            <w:shd w:val="clear" w:color="auto" w:fill="auto"/>
            <w:noWrap/>
            <w:hideMark/>
          </w:tcPr>
          <w:p w14:paraId="4EC59B11" w14:textId="14C3C08A" w:rsidR="00F24310" w:rsidRPr="005208DC" w:rsidRDefault="00F24310"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i/>
                <w:iCs/>
                <w:color w:val="0D0D0D" w:themeColor="text1" w:themeTint="F2"/>
                <w:sz w:val="22"/>
                <w:szCs w:val="22"/>
                <w:lang w:val="sq-AL" w:eastAsia="sq-AL" w:bidi="he-IL"/>
              </w:rPr>
              <w:t>Të dyja masat e kësaj reforme janë në përputhje me Parimet e Marrëveshjes së Madhe të BE-së për sigurimin e një furnizimi të sigurt dhe të përballueshëm me energji në një treg funksional dixhital të energjisë (ALPEX) dhe nëpërmjet përmirësimeve të performancës së energjisë në ndërtesa dhe industri, siç përshkruhet në masën e mësipërme me secilin aktivitetit. Objektivat në BE GreanDeal janë në përputhje me objektivat kombëtare në Strategjinë Kombëtare të Energjisë dhe në draftin NCEP në fazën e miratimit.</w:t>
            </w:r>
          </w:p>
        </w:tc>
        <w:tc>
          <w:tcPr>
            <w:tcW w:w="2226" w:type="dxa"/>
            <w:shd w:val="clear" w:color="auto" w:fill="auto"/>
            <w:noWrap/>
            <w:hideMark/>
          </w:tcPr>
          <w:p w14:paraId="0DDAC8F3" w14:textId="369602FC" w:rsidR="00F24310"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i/>
                <w:iCs/>
                <w:color w:val="0D0D0D" w:themeColor="text1" w:themeTint="F2"/>
                <w:sz w:val="22"/>
                <w:szCs w:val="22"/>
                <w:lang w:val="sq-AL" w:eastAsia="sq-AL" w:bidi="he-IL"/>
              </w:rPr>
              <w:t>Aplikimi i TIK-ut në disa fusha në mënyrë të ndjeshme që ndikon në mënyrën se si do të ndërtohet në të ardhmen janë pjesë e masave. Këtu mund të përmendet Digital ALPEX që do të kryejë online si shkëmbim energjie në kohë reale; Projektet e qytetit të zgjuar në zhvillim nga AEE; Rrjeti i Energjisë; Pajisjet inteligjente mund t'i ndërgjegjësojnë konsumatorët për energjinë e përdorur dhe t'i ndihmojnë ata të reduktojnë konsumin e tyre të energjisë në kohë reale, të ndryshojnë sjelljen e tyre ndaj përdorimit të energjisë dhe të kursejnë para në faturat e tyre të energjisë, etj.</w:t>
            </w:r>
          </w:p>
        </w:tc>
        <w:tc>
          <w:tcPr>
            <w:tcW w:w="2227" w:type="dxa"/>
            <w:shd w:val="clear" w:color="auto" w:fill="auto"/>
            <w:noWrap/>
            <w:hideMark/>
          </w:tcPr>
          <w:p w14:paraId="74076B6D" w14:textId="77777777" w:rsidR="00F24310" w:rsidRPr="005208DC" w:rsidRDefault="00F24310" w:rsidP="00857902">
            <w:pPr>
              <w:jc w:val="center"/>
              <w:rPr>
                <w:rFonts w:asciiTheme="majorBidi" w:eastAsia="Times New Roman" w:hAnsiTheme="majorBidi" w:cstheme="majorBidi"/>
                <w:i/>
                <w:iCs/>
                <w:color w:val="0D0D0D" w:themeColor="text1" w:themeTint="F2"/>
                <w:sz w:val="22"/>
                <w:szCs w:val="22"/>
                <w:lang w:val="sq-AL" w:eastAsia="sq-AL" w:bidi="he-IL"/>
              </w:rPr>
            </w:pPr>
            <w:r w:rsidRPr="005208DC">
              <w:rPr>
                <w:rFonts w:asciiTheme="majorBidi" w:eastAsia="Times New Roman" w:hAnsiTheme="majorBidi" w:cstheme="majorBidi"/>
                <w:i/>
                <w:iCs/>
                <w:color w:val="0D0D0D" w:themeColor="text1" w:themeTint="F2"/>
                <w:sz w:val="22"/>
                <w:szCs w:val="22"/>
                <w:lang w:val="sq-AL" w:eastAsia="sq-AL" w:bidi="he-IL"/>
              </w:rPr>
              <w:t>1. GATE project completes the implementation of the project May 2022;</w:t>
            </w:r>
          </w:p>
          <w:p w14:paraId="1D5BC9BA" w14:textId="5BB131F4" w:rsidR="00F24310" w:rsidRPr="005208DC" w:rsidRDefault="00F24310"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i/>
                <w:iCs/>
                <w:color w:val="0D0D0D" w:themeColor="text1" w:themeTint="F2"/>
                <w:sz w:val="22"/>
                <w:szCs w:val="22"/>
                <w:lang w:val="sq-AL" w:eastAsia="sq-AL" w:bidi="he-IL"/>
              </w:rPr>
              <w:t>The Reehub + project completes the project within 2022; </w:t>
            </w:r>
          </w:p>
        </w:tc>
      </w:tr>
      <w:tr w:rsidR="005208DC" w:rsidRPr="005208DC" w14:paraId="7123A0EE" w14:textId="77777777" w:rsidTr="00F24310">
        <w:trPr>
          <w:trHeight w:val="630"/>
        </w:trPr>
        <w:tc>
          <w:tcPr>
            <w:tcW w:w="480" w:type="dxa"/>
            <w:shd w:val="clear" w:color="auto" w:fill="auto"/>
            <w:noWrap/>
            <w:vAlign w:val="center"/>
            <w:hideMark/>
          </w:tcPr>
          <w:p w14:paraId="48753A9D"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3</w:t>
            </w:r>
          </w:p>
        </w:tc>
        <w:tc>
          <w:tcPr>
            <w:tcW w:w="3960" w:type="dxa"/>
            <w:shd w:val="clear" w:color="auto" w:fill="auto"/>
            <w:hideMark/>
          </w:tcPr>
          <w:p w14:paraId="54567B1E" w14:textId="381EFD71" w:rsidR="00250737" w:rsidRPr="005208DC" w:rsidRDefault="00250737" w:rsidP="00857902">
            <w:pPr>
              <w:rPr>
                <w:rFonts w:asciiTheme="majorBidi" w:eastAsia="Times New Roman" w:hAnsiTheme="majorBidi" w:cstheme="majorBidi"/>
                <w:i/>
                <w:iCs/>
                <w:color w:val="0D0D0D" w:themeColor="text1" w:themeTint="F2"/>
                <w:sz w:val="22"/>
                <w:szCs w:val="22"/>
                <w:lang w:val="sq-AL" w:eastAsia="sq-AL" w:bidi="he-IL"/>
              </w:rPr>
            </w:pPr>
            <w:r w:rsidRPr="005208DC">
              <w:rPr>
                <w:rFonts w:asciiTheme="majorBidi" w:hAnsiTheme="majorBidi" w:cstheme="majorBidi"/>
                <w:i/>
                <w:iCs/>
                <w:color w:val="0D0D0D" w:themeColor="text1" w:themeTint="F2"/>
                <w:lang w:val="sq-AL"/>
              </w:rPr>
              <w:t>Rehabilitimi dhe ndërtimi i segmentit hekurudhor Durrës-TIA-Tiranë</w:t>
            </w:r>
          </w:p>
        </w:tc>
        <w:tc>
          <w:tcPr>
            <w:tcW w:w="2226" w:type="dxa"/>
            <w:shd w:val="clear" w:color="auto" w:fill="auto"/>
            <w:noWrap/>
            <w:hideMark/>
          </w:tcPr>
          <w:p w14:paraId="14BDFED3" w14:textId="77777777" w:rsidR="00250737" w:rsidRPr="005208DC" w:rsidRDefault="00250737" w:rsidP="00857902">
            <w:pPr>
              <w:rPr>
                <w:rFonts w:asciiTheme="majorBidi" w:eastAsia="Times New Roman" w:hAnsiTheme="majorBidi" w:cstheme="majorBidi"/>
                <w:i/>
                <w:iCs/>
                <w:color w:val="0D0D0D" w:themeColor="text1" w:themeTint="F2"/>
                <w:sz w:val="22"/>
                <w:szCs w:val="22"/>
                <w:lang w:val="sq-AL" w:eastAsia="sq-AL" w:bidi="he-IL"/>
              </w:rPr>
            </w:pPr>
          </w:p>
        </w:tc>
        <w:tc>
          <w:tcPr>
            <w:tcW w:w="2226" w:type="dxa"/>
            <w:shd w:val="clear" w:color="auto" w:fill="auto"/>
            <w:noWrap/>
            <w:hideMark/>
          </w:tcPr>
          <w:p w14:paraId="57E59EB8"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tcPr>
          <w:p w14:paraId="1F06F048" w14:textId="10AB8488"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7" w:type="dxa"/>
            <w:shd w:val="clear" w:color="auto" w:fill="auto"/>
            <w:noWrap/>
          </w:tcPr>
          <w:p w14:paraId="683CC229" w14:textId="4E6EEDF4"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tcPr>
          <w:p w14:paraId="7DF18E16" w14:textId="51DE0B93"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tcPr>
          <w:p w14:paraId="36E4D11D" w14:textId="5436B581"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7" w:type="dxa"/>
            <w:shd w:val="clear" w:color="auto" w:fill="auto"/>
            <w:noWrap/>
          </w:tcPr>
          <w:p w14:paraId="03370767" w14:textId="74BEBBC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r>
      <w:tr w:rsidR="005208DC" w:rsidRPr="005208DC" w14:paraId="1A12178F" w14:textId="77777777" w:rsidTr="00F51BF1">
        <w:trPr>
          <w:trHeight w:val="630"/>
        </w:trPr>
        <w:tc>
          <w:tcPr>
            <w:tcW w:w="480" w:type="dxa"/>
            <w:shd w:val="clear" w:color="auto" w:fill="auto"/>
            <w:noWrap/>
            <w:vAlign w:val="center"/>
            <w:hideMark/>
          </w:tcPr>
          <w:p w14:paraId="7EE1B23C" w14:textId="2668624B"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4</w:t>
            </w:r>
          </w:p>
        </w:tc>
        <w:tc>
          <w:tcPr>
            <w:tcW w:w="3960" w:type="dxa"/>
            <w:shd w:val="clear" w:color="auto" w:fill="auto"/>
            <w:hideMark/>
          </w:tcPr>
          <w:p w14:paraId="337FAE98" w14:textId="158C00F8" w:rsidR="00250737" w:rsidRPr="005208DC" w:rsidRDefault="00250737" w:rsidP="00857902">
            <w:pPr>
              <w:rPr>
                <w:rFonts w:asciiTheme="majorBidi" w:eastAsia="Times New Roman" w:hAnsiTheme="majorBidi" w:cstheme="majorBidi"/>
                <w:i/>
                <w:iCs/>
                <w:color w:val="0D0D0D" w:themeColor="text1" w:themeTint="F2"/>
                <w:sz w:val="22"/>
                <w:szCs w:val="22"/>
                <w:lang w:val="sq-AL" w:eastAsia="sq-AL" w:bidi="he-IL"/>
              </w:rPr>
            </w:pPr>
            <w:r w:rsidRPr="005208DC">
              <w:rPr>
                <w:rFonts w:asciiTheme="majorBidi" w:hAnsiTheme="majorBidi" w:cstheme="majorBidi"/>
                <w:i/>
                <w:iCs/>
                <w:color w:val="0D0D0D" w:themeColor="text1" w:themeTint="F2"/>
                <w:lang w:val="sq-AL"/>
              </w:rPr>
              <w:t>Reforma në Sektorin e Ujit dhe Ujërave të Zeza</w:t>
            </w:r>
          </w:p>
        </w:tc>
        <w:tc>
          <w:tcPr>
            <w:tcW w:w="2226" w:type="dxa"/>
            <w:shd w:val="clear" w:color="auto" w:fill="auto"/>
            <w:noWrap/>
            <w:hideMark/>
          </w:tcPr>
          <w:p w14:paraId="4459CE5E" w14:textId="77777777" w:rsidR="00250737" w:rsidRPr="005208DC" w:rsidRDefault="00250737" w:rsidP="00857902">
            <w:pPr>
              <w:rPr>
                <w:rFonts w:asciiTheme="majorBidi" w:eastAsia="Times New Roman" w:hAnsiTheme="majorBidi" w:cstheme="majorBidi"/>
                <w:i/>
                <w:iCs/>
                <w:color w:val="0D0D0D" w:themeColor="text1" w:themeTint="F2"/>
                <w:sz w:val="22"/>
                <w:szCs w:val="22"/>
                <w:lang w:val="sq-AL" w:eastAsia="sq-AL" w:bidi="he-IL"/>
              </w:rPr>
            </w:pPr>
          </w:p>
        </w:tc>
        <w:tc>
          <w:tcPr>
            <w:tcW w:w="2226" w:type="dxa"/>
            <w:shd w:val="clear" w:color="auto" w:fill="auto"/>
            <w:noWrap/>
            <w:hideMark/>
          </w:tcPr>
          <w:p w14:paraId="444EBB1F"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1B6D7F56"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7" w:type="dxa"/>
            <w:shd w:val="clear" w:color="auto" w:fill="auto"/>
            <w:noWrap/>
            <w:hideMark/>
          </w:tcPr>
          <w:p w14:paraId="52BACF5F"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63B25423"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4B52C0BE"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7" w:type="dxa"/>
            <w:shd w:val="clear" w:color="auto" w:fill="auto"/>
            <w:noWrap/>
            <w:hideMark/>
          </w:tcPr>
          <w:p w14:paraId="40B926CB"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w:t>
            </w:r>
          </w:p>
        </w:tc>
      </w:tr>
      <w:tr w:rsidR="005208DC" w:rsidRPr="005208DC" w14:paraId="2F5622B0" w14:textId="77777777" w:rsidTr="00F51BF1">
        <w:trPr>
          <w:trHeight w:val="630"/>
        </w:trPr>
        <w:tc>
          <w:tcPr>
            <w:tcW w:w="480" w:type="dxa"/>
            <w:shd w:val="clear" w:color="auto" w:fill="auto"/>
            <w:noWrap/>
            <w:vAlign w:val="center"/>
            <w:hideMark/>
          </w:tcPr>
          <w:p w14:paraId="431E8C4F"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5</w:t>
            </w:r>
          </w:p>
        </w:tc>
        <w:tc>
          <w:tcPr>
            <w:tcW w:w="3960" w:type="dxa"/>
            <w:shd w:val="clear" w:color="auto" w:fill="auto"/>
            <w:hideMark/>
          </w:tcPr>
          <w:p w14:paraId="05F997DB" w14:textId="29648270" w:rsidR="00250737" w:rsidRPr="005208DC" w:rsidRDefault="00250737" w:rsidP="00857902">
            <w:pPr>
              <w:rPr>
                <w:rFonts w:asciiTheme="majorBidi" w:eastAsia="Times New Roman" w:hAnsiTheme="majorBidi" w:cstheme="majorBidi"/>
                <w:i/>
                <w:iCs/>
                <w:color w:val="0D0D0D" w:themeColor="text1" w:themeTint="F2"/>
                <w:sz w:val="22"/>
                <w:szCs w:val="22"/>
                <w:lang w:val="sq-AL" w:eastAsia="sq-AL" w:bidi="he-IL"/>
              </w:rPr>
            </w:pPr>
            <w:r w:rsidRPr="005208DC">
              <w:rPr>
                <w:rFonts w:asciiTheme="majorBidi" w:hAnsiTheme="majorBidi" w:cstheme="majorBidi"/>
                <w:i/>
                <w:iCs/>
                <w:color w:val="0D0D0D" w:themeColor="text1" w:themeTint="F2"/>
                <w:lang w:val="sq-AL"/>
              </w:rPr>
              <w:t>Qeverisje dhe shërbime më të mira detare dhe detare</w:t>
            </w:r>
          </w:p>
        </w:tc>
        <w:tc>
          <w:tcPr>
            <w:tcW w:w="2226" w:type="dxa"/>
            <w:shd w:val="clear" w:color="auto" w:fill="auto"/>
            <w:noWrap/>
            <w:hideMark/>
          </w:tcPr>
          <w:p w14:paraId="53436847" w14:textId="77777777" w:rsidR="00250737" w:rsidRPr="005208DC" w:rsidRDefault="00250737" w:rsidP="00857902">
            <w:pPr>
              <w:rPr>
                <w:rFonts w:asciiTheme="majorBidi" w:eastAsia="Times New Roman" w:hAnsiTheme="majorBidi" w:cstheme="majorBidi"/>
                <w:i/>
                <w:iCs/>
                <w:color w:val="0D0D0D" w:themeColor="text1" w:themeTint="F2"/>
                <w:sz w:val="22"/>
                <w:szCs w:val="22"/>
                <w:lang w:val="sq-AL" w:eastAsia="sq-AL" w:bidi="he-IL"/>
              </w:rPr>
            </w:pPr>
          </w:p>
        </w:tc>
        <w:tc>
          <w:tcPr>
            <w:tcW w:w="2226" w:type="dxa"/>
            <w:shd w:val="clear" w:color="auto" w:fill="auto"/>
            <w:noWrap/>
            <w:hideMark/>
          </w:tcPr>
          <w:p w14:paraId="5C043CB7"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299A18EA"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7" w:type="dxa"/>
            <w:shd w:val="clear" w:color="auto" w:fill="auto"/>
            <w:noWrap/>
            <w:hideMark/>
          </w:tcPr>
          <w:p w14:paraId="17BA9A15"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6CB5DFA2"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1851390C"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7" w:type="dxa"/>
            <w:shd w:val="clear" w:color="auto" w:fill="auto"/>
            <w:noWrap/>
            <w:hideMark/>
          </w:tcPr>
          <w:p w14:paraId="7F064A1C"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w:t>
            </w:r>
          </w:p>
        </w:tc>
      </w:tr>
      <w:tr w:rsidR="005208DC" w:rsidRPr="005208DC" w14:paraId="3C4FC756" w14:textId="77777777" w:rsidTr="00F51BF1">
        <w:trPr>
          <w:trHeight w:val="630"/>
        </w:trPr>
        <w:tc>
          <w:tcPr>
            <w:tcW w:w="480" w:type="dxa"/>
            <w:shd w:val="clear" w:color="auto" w:fill="auto"/>
            <w:noWrap/>
            <w:vAlign w:val="center"/>
            <w:hideMark/>
          </w:tcPr>
          <w:p w14:paraId="167D8000"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6</w:t>
            </w:r>
          </w:p>
        </w:tc>
        <w:tc>
          <w:tcPr>
            <w:tcW w:w="3960" w:type="dxa"/>
            <w:shd w:val="clear" w:color="auto" w:fill="auto"/>
            <w:hideMark/>
          </w:tcPr>
          <w:p w14:paraId="67A42D1B" w14:textId="0A6254E9" w:rsidR="00250737" w:rsidRPr="005208DC" w:rsidRDefault="00250737" w:rsidP="00857902">
            <w:pPr>
              <w:rPr>
                <w:rFonts w:asciiTheme="majorBidi" w:eastAsia="Times New Roman" w:hAnsiTheme="majorBidi" w:cstheme="majorBidi"/>
                <w:i/>
                <w:iCs/>
                <w:color w:val="0D0D0D" w:themeColor="text1" w:themeTint="F2"/>
                <w:sz w:val="22"/>
                <w:szCs w:val="22"/>
                <w:lang w:val="sq-AL" w:eastAsia="sq-AL" w:bidi="he-IL"/>
              </w:rPr>
            </w:pPr>
            <w:r w:rsidRPr="005208DC">
              <w:rPr>
                <w:rFonts w:asciiTheme="majorBidi" w:hAnsiTheme="majorBidi" w:cstheme="majorBidi"/>
                <w:i/>
                <w:iCs/>
                <w:color w:val="0D0D0D" w:themeColor="text1" w:themeTint="F2"/>
                <w:lang w:val="sq-AL"/>
              </w:rPr>
              <w:t>Forcimi i luftës kundër informalitetit</w:t>
            </w:r>
          </w:p>
        </w:tc>
        <w:tc>
          <w:tcPr>
            <w:tcW w:w="2226" w:type="dxa"/>
            <w:shd w:val="clear" w:color="auto" w:fill="auto"/>
            <w:noWrap/>
            <w:hideMark/>
          </w:tcPr>
          <w:p w14:paraId="20634BFD" w14:textId="7671295F" w:rsidR="00250737" w:rsidRPr="005208DC" w:rsidRDefault="00250737" w:rsidP="00857902">
            <w:pPr>
              <w:jc w:val="center"/>
              <w:rPr>
                <w:rFonts w:asciiTheme="majorBidi" w:eastAsia="Times New Roman" w:hAnsiTheme="majorBidi" w:cstheme="majorBidi"/>
                <w:i/>
                <w:iCs/>
                <w:color w:val="0D0D0D" w:themeColor="text1" w:themeTint="F2"/>
                <w:sz w:val="22"/>
                <w:szCs w:val="22"/>
                <w:lang w:val="sq-AL" w:eastAsia="sq-AL" w:bidi="he-IL"/>
              </w:rPr>
            </w:pPr>
          </w:p>
        </w:tc>
        <w:tc>
          <w:tcPr>
            <w:tcW w:w="2226" w:type="dxa"/>
            <w:shd w:val="clear" w:color="auto" w:fill="auto"/>
            <w:noWrap/>
            <w:hideMark/>
          </w:tcPr>
          <w:p w14:paraId="1C66E0F6"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PG 4</w:t>
            </w:r>
          </w:p>
        </w:tc>
        <w:tc>
          <w:tcPr>
            <w:tcW w:w="2226" w:type="dxa"/>
            <w:shd w:val="clear" w:color="auto" w:fill="auto"/>
            <w:noWrap/>
            <w:hideMark/>
          </w:tcPr>
          <w:p w14:paraId="31D0EBC0"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7" w:type="dxa"/>
            <w:shd w:val="clear" w:color="auto" w:fill="auto"/>
            <w:noWrap/>
            <w:hideMark/>
          </w:tcPr>
          <w:p w14:paraId="36F0E8F0"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5324FDE7"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4D2D6208"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7" w:type="dxa"/>
            <w:shd w:val="clear" w:color="auto" w:fill="auto"/>
            <w:noWrap/>
            <w:hideMark/>
          </w:tcPr>
          <w:p w14:paraId="6116A1F3"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w:t>
            </w:r>
          </w:p>
        </w:tc>
      </w:tr>
      <w:tr w:rsidR="005208DC" w:rsidRPr="005208DC" w14:paraId="50E0429A" w14:textId="77777777" w:rsidTr="00F51BF1">
        <w:trPr>
          <w:trHeight w:val="630"/>
        </w:trPr>
        <w:tc>
          <w:tcPr>
            <w:tcW w:w="480" w:type="dxa"/>
            <w:shd w:val="clear" w:color="auto" w:fill="auto"/>
            <w:noWrap/>
            <w:vAlign w:val="center"/>
            <w:hideMark/>
          </w:tcPr>
          <w:p w14:paraId="5B9F02D6"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7</w:t>
            </w:r>
          </w:p>
        </w:tc>
        <w:tc>
          <w:tcPr>
            <w:tcW w:w="3960" w:type="dxa"/>
            <w:shd w:val="clear" w:color="auto" w:fill="auto"/>
            <w:hideMark/>
          </w:tcPr>
          <w:p w14:paraId="7E3CA85A" w14:textId="7A5FB608" w:rsidR="00250737" w:rsidRPr="005208DC" w:rsidRDefault="00250737" w:rsidP="00857902">
            <w:pPr>
              <w:rPr>
                <w:rFonts w:asciiTheme="majorBidi" w:eastAsia="Times New Roman" w:hAnsiTheme="majorBidi" w:cstheme="majorBidi"/>
                <w:i/>
                <w:iCs/>
                <w:color w:val="0D0D0D" w:themeColor="text1" w:themeTint="F2"/>
                <w:sz w:val="22"/>
                <w:szCs w:val="22"/>
                <w:lang w:val="sq-AL" w:eastAsia="sq-AL" w:bidi="he-IL"/>
              </w:rPr>
            </w:pPr>
            <w:r w:rsidRPr="005208DC">
              <w:rPr>
                <w:rFonts w:asciiTheme="majorBidi" w:hAnsiTheme="majorBidi" w:cstheme="majorBidi"/>
                <w:i/>
                <w:iCs/>
                <w:color w:val="0D0D0D" w:themeColor="text1" w:themeTint="F2"/>
                <w:lang w:val="sq-AL"/>
              </w:rPr>
              <w:t>Zhvillimi i një kuadri ligjor në mbështetje të start-up-eve inovative</w:t>
            </w:r>
          </w:p>
        </w:tc>
        <w:tc>
          <w:tcPr>
            <w:tcW w:w="2226" w:type="dxa"/>
            <w:shd w:val="clear" w:color="auto" w:fill="auto"/>
            <w:noWrap/>
            <w:hideMark/>
          </w:tcPr>
          <w:p w14:paraId="78137203" w14:textId="00E95299"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Sfida Kyçe #3</w:t>
            </w:r>
          </w:p>
        </w:tc>
        <w:tc>
          <w:tcPr>
            <w:tcW w:w="2226" w:type="dxa"/>
            <w:shd w:val="clear" w:color="auto" w:fill="auto"/>
            <w:noWrap/>
            <w:hideMark/>
          </w:tcPr>
          <w:p w14:paraId="1D09DDE5"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PG 5</w:t>
            </w:r>
          </w:p>
        </w:tc>
        <w:tc>
          <w:tcPr>
            <w:tcW w:w="2226" w:type="dxa"/>
            <w:shd w:val="clear" w:color="auto" w:fill="auto"/>
            <w:noWrap/>
            <w:hideMark/>
          </w:tcPr>
          <w:p w14:paraId="1E9256F6"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7" w:type="dxa"/>
            <w:shd w:val="clear" w:color="auto" w:fill="auto"/>
            <w:noWrap/>
            <w:hideMark/>
          </w:tcPr>
          <w:p w14:paraId="6F1EDAC1"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0DBB1195"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5C9E3128"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7" w:type="dxa"/>
            <w:shd w:val="clear" w:color="auto" w:fill="auto"/>
            <w:noWrap/>
            <w:hideMark/>
          </w:tcPr>
          <w:p w14:paraId="3BD0B5EE"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w:t>
            </w:r>
          </w:p>
        </w:tc>
      </w:tr>
      <w:tr w:rsidR="005208DC" w:rsidRPr="005208DC" w14:paraId="2528F8F0" w14:textId="77777777" w:rsidTr="00F51BF1">
        <w:trPr>
          <w:trHeight w:val="315"/>
        </w:trPr>
        <w:tc>
          <w:tcPr>
            <w:tcW w:w="480" w:type="dxa"/>
            <w:shd w:val="clear" w:color="auto" w:fill="auto"/>
            <w:noWrap/>
            <w:vAlign w:val="center"/>
            <w:hideMark/>
          </w:tcPr>
          <w:p w14:paraId="4667F14D"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8</w:t>
            </w:r>
          </w:p>
        </w:tc>
        <w:tc>
          <w:tcPr>
            <w:tcW w:w="3960" w:type="dxa"/>
            <w:shd w:val="clear" w:color="auto" w:fill="auto"/>
            <w:hideMark/>
          </w:tcPr>
          <w:p w14:paraId="1CA0EB45" w14:textId="114A0833" w:rsidR="00250737" w:rsidRPr="005208DC" w:rsidRDefault="00250737" w:rsidP="00857902">
            <w:pPr>
              <w:rPr>
                <w:rFonts w:asciiTheme="majorBidi" w:eastAsia="Times New Roman" w:hAnsiTheme="majorBidi" w:cstheme="majorBidi"/>
                <w:i/>
                <w:iCs/>
                <w:color w:val="0D0D0D" w:themeColor="text1" w:themeTint="F2"/>
                <w:sz w:val="22"/>
                <w:szCs w:val="22"/>
                <w:lang w:val="sq-AL" w:eastAsia="sq-AL" w:bidi="he-IL"/>
              </w:rPr>
            </w:pPr>
            <w:r w:rsidRPr="005208DC">
              <w:rPr>
                <w:rFonts w:asciiTheme="majorBidi" w:hAnsiTheme="majorBidi" w:cstheme="majorBidi"/>
                <w:i/>
                <w:iCs/>
                <w:color w:val="0D0D0D" w:themeColor="text1" w:themeTint="F2"/>
                <w:lang w:val="sq-AL"/>
              </w:rPr>
              <w:t>Përmirësimi i aksesit në financa për NVM-të</w:t>
            </w:r>
          </w:p>
        </w:tc>
        <w:tc>
          <w:tcPr>
            <w:tcW w:w="2226" w:type="dxa"/>
            <w:shd w:val="clear" w:color="auto" w:fill="auto"/>
            <w:noWrap/>
            <w:hideMark/>
          </w:tcPr>
          <w:p w14:paraId="646E76CD" w14:textId="67C19A32"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Sfida Kyçe #3</w:t>
            </w:r>
          </w:p>
        </w:tc>
        <w:tc>
          <w:tcPr>
            <w:tcW w:w="2226" w:type="dxa"/>
            <w:shd w:val="clear" w:color="auto" w:fill="auto"/>
            <w:noWrap/>
            <w:hideMark/>
          </w:tcPr>
          <w:p w14:paraId="7CD09446"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68D540A8"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7" w:type="dxa"/>
            <w:shd w:val="clear" w:color="auto" w:fill="auto"/>
            <w:noWrap/>
            <w:hideMark/>
          </w:tcPr>
          <w:p w14:paraId="581E575A"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1F0A0E3C"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5FD0D4E8"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7" w:type="dxa"/>
            <w:shd w:val="clear" w:color="auto" w:fill="auto"/>
            <w:noWrap/>
            <w:hideMark/>
          </w:tcPr>
          <w:p w14:paraId="6984C290"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w:t>
            </w:r>
          </w:p>
        </w:tc>
      </w:tr>
      <w:tr w:rsidR="005208DC" w:rsidRPr="005208DC" w14:paraId="5DABEBE0" w14:textId="77777777" w:rsidTr="00F51BF1">
        <w:trPr>
          <w:trHeight w:val="630"/>
        </w:trPr>
        <w:tc>
          <w:tcPr>
            <w:tcW w:w="480" w:type="dxa"/>
            <w:shd w:val="clear" w:color="auto" w:fill="auto"/>
            <w:noWrap/>
            <w:vAlign w:val="center"/>
            <w:hideMark/>
          </w:tcPr>
          <w:p w14:paraId="2FE2D4DF"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9</w:t>
            </w:r>
          </w:p>
        </w:tc>
        <w:tc>
          <w:tcPr>
            <w:tcW w:w="3960" w:type="dxa"/>
            <w:shd w:val="clear" w:color="auto" w:fill="auto"/>
            <w:hideMark/>
          </w:tcPr>
          <w:p w14:paraId="2C0D4601" w14:textId="2C71B68B" w:rsidR="00250737" w:rsidRPr="005208DC" w:rsidRDefault="00250737" w:rsidP="00857902">
            <w:pPr>
              <w:rPr>
                <w:rFonts w:asciiTheme="majorBidi" w:eastAsia="Times New Roman" w:hAnsiTheme="majorBidi" w:cstheme="majorBidi"/>
                <w:i/>
                <w:iCs/>
                <w:color w:val="0D0D0D" w:themeColor="text1" w:themeTint="F2"/>
                <w:sz w:val="22"/>
                <w:szCs w:val="22"/>
                <w:lang w:val="sq-AL" w:eastAsia="sq-AL" w:bidi="he-IL"/>
              </w:rPr>
            </w:pPr>
            <w:r w:rsidRPr="005208DC">
              <w:rPr>
                <w:rFonts w:asciiTheme="majorBidi" w:hAnsiTheme="majorBidi" w:cstheme="majorBidi"/>
                <w:i/>
                <w:iCs/>
                <w:color w:val="0D0D0D" w:themeColor="text1" w:themeTint="F2"/>
                <w:lang w:val="sq-AL"/>
              </w:rPr>
              <w:t>Modernizimi i instrumenteve të pagesave me pakicë</w:t>
            </w:r>
          </w:p>
        </w:tc>
        <w:tc>
          <w:tcPr>
            <w:tcW w:w="2226" w:type="dxa"/>
            <w:shd w:val="clear" w:color="auto" w:fill="auto"/>
            <w:noWrap/>
            <w:hideMark/>
          </w:tcPr>
          <w:p w14:paraId="144369C9" w14:textId="45978315"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Sfida Kyçe #3</w:t>
            </w:r>
          </w:p>
        </w:tc>
        <w:tc>
          <w:tcPr>
            <w:tcW w:w="2226" w:type="dxa"/>
            <w:shd w:val="clear" w:color="auto" w:fill="auto"/>
            <w:noWrap/>
            <w:hideMark/>
          </w:tcPr>
          <w:p w14:paraId="793DFA31" w14:textId="5FE8F546"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n/a</w:t>
            </w:r>
          </w:p>
        </w:tc>
        <w:tc>
          <w:tcPr>
            <w:tcW w:w="2226" w:type="dxa"/>
            <w:shd w:val="clear" w:color="auto" w:fill="auto"/>
            <w:noWrap/>
            <w:hideMark/>
          </w:tcPr>
          <w:p w14:paraId="59B41027" w14:textId="2FE6A0A4"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hAnsiTheme="majorBidi" w:cstheme="majorBidi"/>
                <w:color w:val="0D0D0D" w:themeColor="text1" w:themeTint="F2"/>
                <w:sz w:val="22"/>
                <w:szCs w:val="22"/>
                <w:lang w:val="sq-AL"/>
              </w:rPr>
              <w:t>Nuk ka nje rekomandim specifik ne paketën e zgjerimit. Reforma, megjithatë, synon te permbushe objektivat e strategjisë kombetare te Shqiperise per pagesat e vogla (NRPS) per 2018-2023, permes miratimit te ligjit mbi shërbimin e pagesave dhe ligjit per llogarite e pagesave, qe synojnë harmonizimin me Direktivat përkatëse te BE-se, nen Kapitullin 4 te Acquis.</w:t>
            </w:r>
          </w:p>
        </w:tc>
        <w:tc>
          <w:tcPr>
            <w:tcW w:w="2227" w:type="dxa"/>
            <w:shd w:val="clear" w:color="auto" w:fill="auto"/>
            <w:noWrap/>
            <w:hideMark/>
          </w:tcPr>
          <w:p w14:paraId="6BDC86CD" w14:textId="02930E23"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n/a</w:t>
            </w:r>
          </w:p>
        </w:tc>
        <w:tc>
          <w:tcPr>
            <w:tcW w:w="2226" w:type="dxa"/>
            <w:shd w:val="clear" w:color="auto" w:fill="auto"/>
            <w:noWrap/>
            <w:hideMark/>
          </w:tcPr>
          <w:p w14:paraId="062C5020" w14:textId="5E92045E"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n/a</w:t>
            </w:r>
          </w:p>
        </w:tc>
        <w:tc>
          <w:tcPr>
            <w:tcW w:w="2226" w:type="dxa"/>
            <w:shd w:val="clear" w:color="auto" w:fill="auto"/>
            <w:noWrap/>
            <w:hideMark/>
          </w:tcPr>
          <w:p w14:paraId="6D0A9398" w14:textId="22BE7813"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n/a</w:t>
            </w:r>
          </w:p>
        </w:tc>
        <w:tc>
          <w:tcPr>
            <w:tcW w:w="2227" w:type="dxa"/>
            <w:shd w:val="clear" w:color="auto" w:fill="auto"/>
            <w:noWrap/>
            <w:hideMark/>
          </w:tcPr>
          <w:p w14:paraId="49CD225B" w14:textId="2D0F2A84"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n/a</w:t>
            </w:r>
          </w:p>
        </w:tc>
      </w:tr>
      <w:tr w:rsidR="005208DC" w:rsidRPr="005208DC" w14:paraId="05196819" w14:textId="77777777" w:rsidTr="00F51BF1">
        <w:trPr>
          <w:trHeight w:val="945"/>
        </w:trPr>
        <w:tc>
          <w:tcPr>
            <w:tcW w:w="480" w:type="dxa"/>
            <w:shd w:val="clear" w:color="auto" w:fill="auto"/>
            <w:noWrap/>
            <w:vAlign w:val="center"/>
            <w:hideMark/>
          </w:tcPr>
          <w:p w14:paraId="2784E304" w14:textId="77777777" w:rsidR="002C526F" w:rsidRPr="005208DC" w:rsidRDefault="002C526F"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10</w:t>
            </w:r>
          </w:p>
        </w:tc>
        <w:tc>
          <w:tcPr>
            <w:tcW w:w="3960" w:type="dxa"/>
            <w:shd w:val="clear" w:color="auto" w:fill="auto"/>
            <w:hideMark/>
          </w:tcPr>
          <w:p w14:paraId="3005E6D9" w14:textId="6D82E0B4" w:rsidR="002C526F" w:rsidRPr="005208DC" w:rsidRDefault="002C526F" w:rsidP="00857902">
            <w:pPr>
              <w:rPr>
                <w:rFonts w:asciiTheme="majorBidi" w:eastAsia="Times New Roman" w:hAnsiTheme="majorBidi" w:cstheme="majorBidi"/>
                <w:i/>
                <w:iCs/>
                <w:color w:val="0D0D0D" w:themeColor="text1" w:themeTint="F2"/>
                <w:sz w:val="22"/>
                <w:szCs w:val="22"/>
                <w:lang w:val="sq-AL" w:eastAsia="sq-AL" w:bidi="he-IL"/>
              </w:rPr>
            </w:pPr>
            <w:r w:rsidRPr="005208DC">
              <w:rPr>
                <w:rFonts w:asciiTheme="majorBidi" w:eastAsia="Times New Roman" w:hAnsiTheme="majorBidi" w:cstheme="majorBidi"/>
                <w:i/>
                <w:iCs/>
                <w:color w:val="0D0D0D" w:themeColor="text1" w:themeTint="F2"/>
                <w:sz w:val="22"/>
                <w:szCs w:val="22"/>
                <w:lang w:val="sq-AL" w:eastAsia="sq-AL" w:bidi="he-IL"/>
              </w:rPr>
              <w:t>Përmirësimi i kapaciteteve institucionale, financiare dhe njerëzore për kërkimin dhe inovacionin</w:t>
            </w:r>
          </w:p>
        </w:tc>
        <w:tc>
          <w:tcPr>
            <w:tcW w:w="2226" w:type="dxa"/>
            <w:shd w:val="clear" w:color="auto" w:fill="auto"/>
            <w:noWrap/>
            <w:hideMark/>
          </w:tcPr>
          <w:p w14:paraId="6D75D6DD" w14:textId="1E6362EC" w:rsidR="002C526F" w:rsidRPr="005208DC" w:rsidRDefault="002C526F" w:rsidP="00857902">
            <w:pPr>
              <w:rPr>
                <w:rFonts w:asciiTheme="majorBidi" w:eastAsia="Times New Roman" w:hAnsiTheme="majorBidi" w:cstheme="majorBidi"/>
                <w:i/>
                <w:iCs/>
                <w:color w:val="0D0D0D" w:themeColor="text1" w:themeTint="F2"/>
                <w:sz w:val="22"/>
                <w:szCs w:val="22"/>
                <w:lang w:val="sq-AL" w:eastAsia="sq-AL" w:bidi="he-IL"/>
              </w:rPr>
            </w:pPr>
            <w:r w:rsidRPr="005208DC">
              <w:rPr>
                <w:rFonts w:asciiTheme="majorBidi" w:eastAsia="Times New Roman" w:hAnsiTheme="majorBidi" w:cstheme="majorBidi"/>
                <w:bCs/>
                <w:color w:val="0D0D0D" w:themeColor="text1" w:themeTint="F2"/>
                <w:lang w:val="sq-AL" w:bidi="he-IL"/>
              </w:rPr>
              <w:t>Sfida Kyçe #1</w:t>
            </w:r>
          </w:p>
        </w:tc>
        <w:tc>
          <w:tcPr>
            <w:tcW w:w="2226" w:type="dxa"/>
            <w:shd w:val="clear" w:color="auto" w:fill="auto"/>
            <w:noWrap/>
            <w:hideMark/>
          </w:tcPr>
          <w:p w14:paraId="5CC0D9CA" w14:textId="77777777" w:rsidR="002C526F" w:rsidRPr="005208DC" w:rsidRDefault="002C526F"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6D6FFDCF" w14:textId="77777777" w:rsidR="002C526F" w:rsidRPr="005208DC" w:rsidRDefault="002C526F"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7" w:type="dxa"/>
            <w:shd w:val="clear" w:color="auto" w:fill="auto"/>
            <w:noWrap/>
            <w:hideMark/>
          </w:tcPr>
          <w:p w14:paraId="7C68EFD2" w14:textId="77777777" w:rsidR="002C526F" w:rsidRPr="005208DC" w:rsidRDefault="002C526F"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60C554C8" w14:textId="15FE0D61" w:rsidR="002C526F" w:rsidRPr="005208DC" w:rsidRDefault="002C526F"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imes New Roman" w:eastAsia="Times New Roman" w:hAnsi="Times New Roman"/>
                <w:bCs/>
                <w:color w:val="0D0D0D" w:themeColor="text1" w:themeTint="F2"/>
                <w:lang w:val="sq-AL"/>
              </w:rPr>
              <w:t>S’ka rekomandime</w:t>
            </w:r>
          </w:p>
        </w:tc>
        <w:tc>
          <w:tcPr>
            <w:tcW w:w="2226" w:type="dxa"/>
            <w:shd w:val="clear" w:color="auto" w:fill="auto"/>
            <w:noWrap/>
            <w:hideMark/>
          </w:tcPr>
          <w:p w14:paraId="0D52627D" w14:textId="77777777" w:rsidR="002C526F" w:rsidRPr="005208DC" w:rsidRDefault="002C526F"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7" w:type="dxa"/>
            <w:shd w:val="clear" w:color="auto" w:fill="auto"/>
            <w:noWrap/>
            <w:hideMark/>
          </w:tcPr>
          <w:p w14:paraId="2C99031E" w14:textId="21B1B574" w:rsidR="002C526F" w:rsidRPr="005208DC" w:rsidRDefault="002C526F" w:rsidP="00857902">
            <w:pPr>
              <w:rPr>
                <w:rFonts w:ascii="Times New Roman" w:hAnsi="Times New Roman"/>
                <w:bCs/>
                <w:color w:val="0D0D0D" w:themeColor="text1" w:themeTint="F2"/>
                <w:lang w:val="sq-AL"/>
              </w:rPr>
            </w:pPr>
            <w:r w:rsidRPr="005208DC">
              <w:rPr>
                <w:rStyle w:val="y2iqfc"/>
                <w:rFonts w:ascii="Times New Roman" w:hAnsi="Times New Roman"/>
                <w:bCs/>
                <w:color w:val="0D0D0D" w:themeColor="text1" w:themeTint="F2"/>
                <w:lang w:val="sq-AL"/>
              </w:rPr>
              <w:t>E vetmja asistencë e planifikuar që i përgjigjet kësaj fushe është binjakëzimi në lidhje me përmirësimin e kapaciteteve të Agjencisë Kombëtare të Kërkimit Shkencor dhe Inovacionit në lidhje me përafrimin e legjislacionit në fushën e kërkimit shkencor me legjislacionin përkatës të BE-së. Ky projekt ende nuk ka filluar të zbatohet.</w:t>
            </w:r>
          </w:p>
        </w:tc>
      </w:tr>
      <w:tr w:rsidR="005208DC" w:rsidRPr="005208DC" w14:paraId="3CEC2A01" w14:textId="77777777" w:rsidTr="00F51BF1">
        <w:trPr>
          <w:trHeight w:val="630"/>
        </w:trPr>
        <w:tc>
          <w:tcPr>
            <w:tcW w:w="480" w:type="dxa"/>
            <w:shd w:val="clear" w:color="auto" w:fill="auto"/>
            <w:noWrap/>
            <w:vAlign w:val="center"/>
            <w:hideMark/>
          </w:tcPr>
          <w:p w14:paraId="3ABB4486"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11</w:t>
            </w:r>
          </w:p>
        </w:tc>
        <w:tc>
          <w:tcPr>
            <w:tcW w:w="3960" w:type="dxa"/>
            <w:shd w:val="clear" w:color="auto" w:fill="auto"/>
            <w:hideMark/>
          </w:tcPr>
          <w:p w14:paraId="3D40A06C" w14:textId="108B7F64" w:rsidR="00250737" w:rsidRPr="005208DC" w:rsidRDefault="00250737" w:rsidP="00857902">
            <w:pPr>
              <w:rPr>
                <w:rFonts w:asciiTheme="majorBidi" w:eastAsia="Times New Roman" w:hAnsiTheme="majorBidi" w:cstheme="majorBidi"/>
                <w:i/>
                <w:iCs/>
                <w:color w:val="0D0D0D" w:themeColor="text1" w:themeTint="F2"/>
                <w:sz w:val="22"/>
                <w:szCs w:val="22"/>
                <w:lang w:val="sq-AL" w:eastAsia="sq-AL" w:bidi="he-IL"/>
              </w:rPr>
            </w:pPr>
            <w:r w:rsidRPr="005208DC">
              <w:rPr>
                <w:rFonts w:asciiTheme="majorBidi" w:hAnsiTheme="majorBidi" w:cstheme="majorBidi"/>
                <w:i/>
                <w:iCs/>
                <w:color w:val="0D0D0D" w:themeColor="text1" w:themeTint="F2"/>
                <w:lang w:val="sq-AL"/>
              </w:rPr>
              <w:t>Zhvillimi i infrastrukturës broadband për ekonominë dixhitale</w:t>
            </w:r>
          </w:p>
        </w:tc>
        <w:tc>
          <w:tcPr>
            <w:tcW w:w="2226" w:type="dxa"/>
            <w:shd w:val="clear" w:color="auto" w:fill="auto"/>
            <w:noWrap/>
            <w:hideMark/>
          </w:tcPr>
          <w:p w14:paraId="73571D9B" w14:textId="77777777" w:rsidR="00250737" w:rsidRPr="005208DC" w:rsidRDefault="00250737" w:rsidP="00857902">
            <w:pPr>
              <w:rPr>
                <w:rFonts w:asciiTheme="majorBidi" w:eastAsia="Times New Roman" w:hAnsiTheme="majorBidi" w:cstheme="majorBidi"/>
                <w:i/>
                <w:iCs/>
                <w:color w:val="0D0D0D" w:themeColor="text1" w:themeTint="F2"/>
                <w:sz w:val="22"/>
                <w:szCs w:val="22"/>
                <w:lang w:val="sq-AL" w:eastAsia="sq-AL" w:bidi="he-IL"/>
              </w:rPr>
            </w:pPr>
          </w:p>
        </w:tc>
        <w:tc>
          <w:tcPr>
            <w:tcW w:w="2226" w:type="dxa"/>
            <w:shd w:val="clear" w:color="auto" w:fill="auto"/>
            <w:noWrap/>
            <w:hideMark/>
          </w:tcPr>
          <w:p w14:paraId="7017C35C"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5AAE8A98"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7" w:type="dxa"/>
            <w:shd w:val="clear" w:color="auto" w:fill="auto"/>
            <w:noWrap/>
            <w:hideMark/>
          </w:tcPr>
          <w:p w14:paraId="7507D1E4"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480C0E84"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1195AD01"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7" w:type="dxa"/>
            <w:shd w:val="clear" w:color="auto" w:fill="auto"/>
            <w:noWrap/>
            <w:hideMark/>
          </w:tcPr>
          <w:p w14:paraId="361ACB0B"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w:t>
            </w:r>
          </w:p>
        </w:tc>
      </w:tr>
      <w:tr w:rsidR="005208DC" w:rsidRPr="005208DC" w14:paraId="507E6AC6" w14:textId="77777777" w:rsidTr="00F51BF1">
        <w:trPr>
          <w:trHeight w:val="630"/>
        </w:trPr>
        <w:tc>
          <w:tcPr>
            <w:tcW w:w="480" w:type="dxa"/>
            <w:shd w:val="clear" w:color="auto" w:fill="auto"/>
            <w:noWrap/>
            <w:vAlign w:val="center"/>
            <w:hideMark/>
          </w:tcPr>
          <w:p w14:paraId="4B144D5E"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12</w:t>
            </w:r>
          </w:p>
        </w:tc>
        <w:tc>
          <w:tcPr>
            <w:tcW w:w="3960" w:type="dxa"/>
            <w:shd w:val="clear" w:color="auto" w:fill="auto"/>
            <w:hideMark/>
          </w:tcPr>
          <w:p w14:paraId="64E8E34A" w14:textId="4E919712" w:rsidR="00250737" w:rsidRPr="005208DC" w:rsidRDefault="00250737" w:rsidP="00857902">
            <w:pPr>
              <w:rPr>
                <w:rFonts w:asciiTheme="majorBidi" w:eastAsia="Times New Roman" w:hAnsiTheme="majorBidi" w:cstheme="majorBidi"/>
                <w:i/>
                <w:iCs/>
                <w:color w:val="0D0D0D" w:themeColor="text1" w:themeTint="F2"/>
                <w:sz w:val="22"/>
                <w:szCs w:val="22"/>
                <w:lang w:val="sq-AL" w:eastAsia="sq-AL" w:bidi="he-IL"/>
              </w:rPr>
            </w:pPr>
            <w:r w:rsidRPr="005208DC">
              <w:rPr>
                <w:rFonts w:asciiTheme="majorBidi" w:hAnsiTheme="majorBidi" w:cstheme="majorBidi"/>
                <w:i/>
                <w:iCs/>
                <w:color w:val="0D0D0D" w:themeColor="text1" w:themeTint="F2"/>
                <w:lang w:val="sq-AL"/>
              </w:rPr>
              <w:t>Lehtësimi i lëvizjes ndërkufitare të mallrave</w:t>
            </w:r>
          </w:p>
        </w:tc>
        <w:tc>
          <w:tcPr>
            <w:tcW w:w="2226" w:type="dxa"/>
            <w:shd w:val="clear" w:color="auto" w:fill="auto"/>
            <w:noWrap/>
            <w:hideMark/>
          </w:tcPr>
          <w:p w14:paraId="55648D69" w14:textId="77777777" w:rsidR="00250737" w:rsidRPr="005208DC" w:rsidRDefault="00250737" w:rsidP="00857902">
            <w:pPr>
              <w:rPr>
                <w:rFonts w:asciiTheme="majorBidi" w:eastAsia="Times New Roman" w:hAnsiTheme="majorBidi" w:cstheme="majorBidi"/>
                <w:i/>
                <w:iCs/>
                <w:color w:val="0D0D0D" w:themeColor="text1" w:themeTint="F2"/>
                <w:sz w:val="22"/>
                <w:szCs w:val="22"/>
                <w:lang w:val="sq-AL" w:eastAsia="sq-AL" w:bidi="he-IL"/>
              </w:rPr>
            </w:pPr>
          </w:p>
        </w:tc>
        <w:tc>
          <w:tcPr>
            <w:tcW w:w="2226" w:type="dxa"/>
            <w:shd w:val="clear" w:color="auto" w:fill="auto"/>
            <w:noWrap/>
            <w:hideMark/>
          </w:tcPr>
          <w:p w14:paraId="0D91D4D5"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2E9EA122"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7" w:type="dxa"/>
            <w:shd w:val="clear" w:color="auto" w:fill="auto"/>
            <w:noWrap/>
            <w:hideMark/>
          </w:tcPr>
          <w:p w14:paraId="16986035"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6EAF9656"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61274D36"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7" w:type="dxa"/>
            <w:shd w:val="clear" w:color="auto" w:fill="auto"/>
            <w:noWrap/>
            <w:hideMark/>
          </w:tcPr>
          <w:p w14:paraId="3BCA0714"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w:t>
            </w:r>
          </w:p>
        </w:tc>
      </w:tr>
      <w:tr w:rsidR="005208DC" w:rsidRPr="005208DC" w14:paraId="3761EC75" w14:textId="77777777" w:rsidTr="00F24310">
        <w:trPr>
          <w:trHeight w:val="975"/>
        </w:trPr>
        <w:tc>
          <w:tcPr>
            <w:tcW w:w="480" w:type="dxa"/>
            <w:shd w:val="clear" w:color="auto" w:fill="auto"/>
            <w:noWrap/>
            <w:vAlign w:val="center"/>
            <w:hideMark/>
          </w:tcPr>
          <w:p w14:paraId="1CD305F9" w14:textId="77777777" w:rsidR="002C526F" w:rsidRPr="005208DC" w:rsidRDefault="002C526F"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13</w:t>
            </w:r>
          </w:p>
        </w:tc>
        <w:tc>
          <w:tcPr>
            <w:tcW w:w="3960" w:type="dxa"/>
            <w:shd w:val="clear" w:color="auto" w:fill="auto"/>
            <w:hideMark/>
          </w:tcPr>
          <w:p w14:paraId="6698E557" w14:textId="7BD53564" w:rsidR="002C526F" w:rsidRPr="005208DC" w:rsidRDefault="002C526F" w:rsidP="00857902">
            <w:pPr>
              <w:rPr>
                <w:rFonts w:asciiTheme="majorBidi" w:eastAsia="Times New Roman" w:hAnsiTheme="majorBidi" w:cstheme="majorBidi"/>
                <w:i/>
                <w:iCs/>
                <w:color w:val="0D0D0D" w:themeColor="text1" w:themeTint="F2"/>
                <w:sz w:val="22"/>
                <w:szCs w:val="22"/>
                <w:lang w:val="sq-AL" w:eastAsia="sq-AL" w:bidi="he-IL"/>
              </w:rPr>
            </w:pPr>
            <w:r w:rsidRPr="005208DC">
              <w:rPr>
                <w:rFonts w:asciiTheme="majorBidi" w:eastAsia="Times New Roman" w:hAnsiTheme="majorBidi" w:cstheme="majorBidi"/>
                <w:i/>
                <w:iCs/>
                <w:color w:val="0D0D0D" w:themeColor="text1" w:themeTint="F2"/>
                <w:sz w:val="22"/>
                <w:szCs w:val="22"/>
                <w:lang w:val="sq-AL" w:eastAsia="sq-AL" w:bidi="he-IL"/>
              </w:rPr>
              <w:t>Finalizimi dhe mbështetja e zbatimit të reformës kurrikulare para universitare, trajnimit dhe punësimit të mësuesve</w:t>
            </w:r>
          </w:p>
        </w:tc>
        <w:tc>
          <w:tcPr>
            <w:tcW w:w="2226" w:type="dxa"/>
            <w:shd w:val="clear" w:color="auto" w:fill="auto"/>
            <w:noWrap/>
            <w:hideMark/>
          </w:tcPr>
          <w:p w14:paraId="04B422D5" w14:textId="16FEBD82" w:rsidR="002C526F" w:rsidRPr="005208DC" w:rsidRDefault="002C526F" w:rsidP="00857902">
            <w:pP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bCs/>
                <w:color w:val="0D0D0D" w:themeColor="text1" w:themeTint="F2"/>
                <w:lang w:val="sq-AL" w:bidi="he-IL"/>
              </w:rPr>
              <w:t>Sfida Kyçe #</w:t>
            </w:r>
            <w:r w:rsidRPr="005208DC">
              <w:rPr>
                <w:rFonts w:asciiTheme="majorBidi" w:eastAsia="Times New Roman" w:hAnsiTheme="majorBidi" w:cstheme="majorBidi"/>
                <w:color w:val="0D0D0D" w:themeColor="text1" w:themeTint="F2"/>
                <w:sz w:val="22"/>
                <w:szCs w:val="22"/>
                <w:lang w:val="sq-AL" w:eastAsia="sq-AL" w:bidi="he-IL"/>
              </w:rPr>
              <w:t>3</w:t>
            </w:r>
          </w:p>
        </w:tc>
        <w:tc>
          <w:tcPr>
            <w:tcW w:w="2226" w:type="dxa"/>
            <w:shd w:val="clear" w:color="auto" w:fill="auto"/>
            <w:noWrap/>
          </w:tcPr>
          <w:p w14:paraId="1895C596" w14:textId="77777777" w:rsidR="002C526F" w:rsidRPr="005208DC" w:rsidRDefault="002C526F"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44C9B8AD" w14:textId="2CC50174" w:rsidR="002C526F" w:rsidRPr="005208DC" w:rsidRDefault="002C526F"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imes New Roman" w:eastAsia="Times New Roman" w:hAnsi="Times New Roman"/>
                <w:bCs/>
                <w:color w:val="0D0D0D" w:themeColor="text1" w:themeTint="F2"/>
                <w:lang w:val="sq-AL"/>
              </w:rPr>
              <w:t>S’ka rekomandime</w:t>
            </w:r>
          </w:p>
        </w:tc>
        <w:tc>
          <w:tcPr>
            <w:tcW w:w="2227" w:type="dxa"/>
            <w:shd w:val="clear" w:color="auto" w:fill="auto"/>
            <w:noWrap/>
            <w:hideMark/>
          </w:tcPr>
          <w:p w14:paraId="09BE8CA2" w14:textId="1CD597C9" w:rsidR="002C526F" w:rsidRPr="005208DC" w:rsidRDefault="002C526F"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imes New Roman" w:eastAsia="Times New Roman" w:hAnsi="Times New Roman"/>
                <w:bCs/>
                <w:color w:val="0D0D0D" w:themeColor="text1" w:themeTint="F2"/>
                <w:lang w:val="sq-AL"/>
              </w:rPr>
              <w:t>SDG4</w:t>
            </w:r>
          </w:p>
        </w:tc>
        <w:tc>
          <w:tcPr>
            <w:tcW w:w="2226" w:type="dxa"/>
            <w:shd w:val="clear" w:color="auto" w:fill="auto"/>
            <w:noWrap/>
            <w:hideMark/>
          </w:tcPr>
          <w:p w14:paraId="6E25D6C6" w14:textId="492CA8ED" w:rsidR="002C526F" w:rsidRPr="005208DC" w:rsidRDefault="002C526F"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imes New Roman" w:eastAsia="Times New Roman" w:hAnsi="Times New Roman"/>
                <w:bCs/>
                <w:color w:val="0D0D0D" w:themeColor="text1" w:themeTint="F2"/>
                <w:lang w:val="sq-AL"/>
              </w:rPr>
              <w:t>S’ka rekomandime</w:t>
            </w:r>
          </w:p>
        </w:tc>
        <w:tc>
          <w:tcPr>
            <w:tcW w:w="2226" w:type="dxa"/>
            <w:shd w:val="clear" w:color="auto" w:fill="auto"/>
            <w:noWrap/>
            <w:hideMark/>
          </w:tcPr>
          <w:p w14:paraId="51595AB2" w14:textId="77777777" w:rsidR="002C526F" w:rsidRPr="005208DC" w:rsidRDefault="002C526F" w:rsidP="00857902">
            <w:pPr>
              <w:rPr>
                <w:rStyle w:val="y2iqfc"/>
                <w:rFonts w:ascii="Times New Roman" w:hAnsi="Times New Roman"/>
                <w:bCs/>
                <w:color w:val="0D0D0D" w:themeColor="text1" w:themeTint="F2"/>
                <w:lang w:val="sq-AL"/>
              </w:rPr>
            </w:pPr>
            <w:r w:rsidRPr="005208DC">
              <w:rPr>
                <w:rStyle w:val="y2iqfc"/>
                <w:rFonts w:ascii="Times New Roman" w:hAnsi="Times New Roman"/>
                <w:bCs/>
                <w:color w:val="0D0D0D" w:themeColor="text1" w:themeTint="F2"/>
                <w:lang w:val="sq-AL"/>
              </w:rPr>
              <w:t>Masa e re reformuese e propozuar për 2022-2024</w:t>
            </w:r>
          </w:p>
          <w:p w14:paraId="6BF94D42" w14:textId="77777777" w:rsidR="002C526F" w:rsidRPr="005208DC" w:rsidRDefault="002C526F" w:rsidP="00857902">
            <w:pPr>
              <w:rPr>
                <w:rFonts w:ascii="Times New Roman" w:hAnsi="Times New Roman"/>
                <w:bCs/>
                <w:color w:val="0D0D0D" w:themeColor="text1" w:themeTint="F2"/>
                <w:lang w:val="sq-AL"/>
              </w:rPr>
            </w:pPr>
            <w:r w:rsidRPr="005208DC">
              <w:rPr>
                <w:rStyle w:val="y2iqfc"/>
                <w:rFonts w:ascii="Times New Roman" w:hAnsi="Times New Roman"/>
                <w:bCs/>
                <w:color w:val="0D0D0D" w:themeColor="text1" w:themeTint="F2"/>
                <w:lang w:val="sq-AL"/>
              </w:rPr>
              <w:t>Masa e reformës 19: Zhvillimi dhe fuqizimi i kompetencës digjitale</w:t>
            </w:r>
          </w:p>
          <w:p w14:paraId="3CAD6569" w14:textId="77777777" w:rsidR="002C526F" w:rsidRPr="005208DC" w:rsidRDefault="002C526F"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7" w:type="dxa"/>
            <w:shd w:val="clear" w:color="auto" w:fill="auto"/>
            <w:noWrap/>
            <w:hideMark/>
          </w:tcPr>
          <w:p w14:paraId="1AA8BAF3" w14:textId="77777777" w:rsidR="002C526F" w:rsidRPr="005208DC" w:rsidRDefault="002C526F" w:rsidP="00857902">
            <w:pPr>
              <w:rPr>
                <w:rFonts w:ascii="Times New Roman" w:hAnsi="Times New Roman"/>
                <w:bCs/>
                <w:color w:val="0D0D0D" w:themeColor="text1" w:themeTint="F2"/>
                <w:lang w:val="sq-AL"/>
              </w:rPr>
            </w:pPr>
            <w:r w:rsidRPr="005208DC">
              <w:rPr>
                <w:rStyle w:val="y2iqfc"/>
                <w:rFonts w:ascii="Times New Roman" w:hAnsi="Times New Roman"/>
                <w:bCs/>
                <w:color w:val="0D0D0D" w:themeColor="text1" w:themeTint="F2"/>
                <w:lang w:val="sq-AL"/>
              </w:rPr>
              <w:t>Nuk ka projekte të miratuara apo projekte të planifikuara sipas IPA III që mbështesin këtë masë.</w:t>
            </w:r>
          </w:p>
          <w:p w14:paraId="6318542B" w14:textId="5615BAB6" w:rsidR="002C526F" w:rsidRPr="005208DC" w:rsidRDefault="002C526F" w:rsidP="00857902">
            <w:pPr>
              <w:jc w:val="center"/>
              <w:rPr>
                <w:rFonts w:asciiTheme="majorBidi" w:eastAsia="Times New Roman" w:hAnsiTheme="majorBidi" w:cstheme="majorBidi"/>
                <w:color w:val="0D0D0D" w:themeColor="text1" w:themeTint="F2"/>
                <w:sz w:val="22"/>
                <w:szCs w:val="22"/>
                <w:lang w:val="sq-AL" w:eastAsia="sq-AL" w:bidi="he-IL"/>
              </w:rPr>
            </w:pPr>
          </w:p>
        </w:tc>
      </w:tr>
      <w:tr w:rsidR="005208DC" w:rsidRPr="005208DC" w14:paraId="3CFEC922" w14:textId="77777777" w:rsidTr="00F51BF1">
        <w:trPr>
          <w:trHeight w:val="375"/>
        </w:trPr>
        <w:tc>
          <w:tcPr>
            <w:tcW w:w="480" w:type="dxa"/>
            <w:shd w:val="clear" w:color="auto" w:fill="auto"/>
            <w:noWrap/>
            <w:vAlign w:val="center"/>
            <w:hideMark/>
          </w:tcPr>
          <w:p w14:paraId="42B9217D" w14:textId="77777777" w:rsidR="002C526F" w:rsidRPr="005208DC" w:rsidRDefault="002C526F"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14</w:t>
            </w:r>
          </w:p>
        </w:tc>
        <w:tc>
          <w:tcPr>
            <w:tcW w:w="3960" w:type="dxa"/>
            <w:shd w:val="clear" w:color="auto" w:fill="auto"/>
            <w:hideMark/>
          </w:tcPr>
          <w:p w14:paraId="5346A235" w14:textId="7F07E8AC" w:rsidR="002C526F" w:rsidRPr="005208DC" w:rsidRDefault="002C526F" w:rsidP="00857902">
            <w:pPr>
              <w:rPr>
                <w:rFonts w:asciiTheme="majorBidi" w:eastAsia="Times New Roman" w:hAnsiTheme="majorBidi" w:cstheme="majorBidi"/>
                <w:i/>
                <w:iCs/>
                <w:color w:val="0D0D0D" w:themeColor="text1" w:themeTint="F2"/>
                <w:sz w:val="22"/>
                <w:szCs w:val="22"/>
                <w:lang w:val="sq-AL" w:eastAsia="sq-AL" w:bidi="he-IL"/>
              </w:rPr>
            </w:pPr>
            <w:r w:rsidRPr="005208DC">
              <w:rPr>
                <w:rFonts w:asciiTheme="majorBidi" w:eastAsia="Times New Roman" w:hAnsiTheme="majorBidi" w:cstheme="majorBidi"/>
                <w:i/>
                <w:iCs/>
                <w:color w:val="0D0D0D" w:themeColor="text1" w:themeTint="F2"/>
                <w:sz w:val="22"/>
                <w:szCs w:val="22"/>
                <w:lang w:val="sq-AL" w:eastAsia="sq-AL" w:bidi="he-IL"/>
              </w:rPr>
              <w:t>Gjithëpërfshirje dhe barazi në arsim</w:t>
            </w:r>
          </w:p>
        </w:tc>
        <w:tc>
          <w:tcPr>
            <w:tcW w:w="2226" w:type="dxa"/>
            <w:shd w:val="clear" w:color="auto" w:fill="auto"/>
            <w:noWrap/>
            <w:hideMark/>
          </w:tcPr>
          <w:p w14:paraId="57C9B760" w14:textId="639EB35D" w:rsidR="002C526F" w:rsidRPr="005208DC" w:rsidRDefault="002C526F" w:rsidP="00857902">
            <w:pPr>
              <w:rPr>
                <w:rFonts w:asciiTheme="majorBidi" w:eastAsia="Times New Roman" w:hAnsiTheme="majorBidi" w:cstheme="majorBidi"/>
                <w:i/>
                <w:iCs/>
                <w:color w:val="0D0D0D" w:themeColor="text1" w:themeTint="F2"/>
                <w:sz w:val="22"/>
                <w:szCs w:val="22"/>
                <w:lang w:val="sq-AL" w:eastAsia="sq-AL" w:bidi="he-IL"/>
              </w:rPr>
            </w:pPr>
            <w:r w:rsidRPr="005208DC">
              <w:rPr>
                <w:rFonts w:asciiTheme="majorBidi" w:eastAsia="Times New Roman" w:hAnsiTheme="majorBidi" w:cstheme="majorBidi"/>
                <w:bCs/>
                <w:color w:val="0D0D0D" w:themeColor="text1" w:themeTint="F2"/>
                <w:lang w:val="sq-AL" w:bidi="he-IL"/>
              </w:rPr>
              <w:t>Sfida Kyçe #3</w:t>
            </w:r>
          </w:p>
        </w:tc>
        <w:tc>
          <w:tcPr>
            <w:tcW w:w="2226" w:type="dxa"/>
            <w:shd w:val="clear" w:color="auto" w:fill="auto"/>
            <w:noWrap/>
            <w:hideMark/>
          </w:tcPr>
          <w:p w14:paraId="708CBBD5" w14:textId="77777777" w:rsidR="002C526F" w:rsidRPr="005208DC" w:rsidRDefault="002C526F"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620ED20A" w14:textId="5F4AB200" w:rsidR="002C526F" w:rsidRPr="005208DC" w:rsidRDefault="002C526F"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imes New Roman" w:eastAsia="Times New Roman" w:hAnsi="Times New Roman"/>
                <w:bCs/>
                <w:color w:val="0D0D0D" w:themeColor="text1" w:themeTint="F2"/>
                <w:lang w:val="sq-AL"/>
              </w:rPr>
              <w:t>S’ka rekomandime</w:t>
            </w:r>
          </w:p>
        </w:tc>
        <w:tc>
          <w:tcPr>
            <w:tcW w:w="2227" w:type="dxa"/>
            <w:shd w:val="clear" w:color="auto" w:fill="auto"/>
            <w:noWrap/>
            <w:hideMark/>
          </w:tcPr>
          <w:p w14:paraId="6D9CA69E" w14:textId="4F9B8842" w:rsidR="002C526F" w:rsidRPr="005208DC" w:rsidRDefault="002C526F"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imes New Roman" w:eastAsia="Times New Roman" w:hAnsi="Times New Roman"/>
                <w:bCs/>
                <w:color w:val="0D0D0D" w:themeColor="text1" w:themeTint="F2"/>
                <w:lang w:val="sq-AL"/>
              </w:rPr>
              <w:t>SDG4</w:t>
            </w:r>
          </w:p>
        </w:tc>
        <w:tc>
          <w:tcPr>
            <w:tcW w:w="2226" w:type="dxa"/>
            <w:shd w:val="clear" w:color="auto" w:fill="auto"/>
            <w:noWrap/>
            <w:hideMark/>
          </w:tcPr>
          <w:p w14:paraId="2DB0E533" w14:textId="1CC73926" w:rsidR="002C526F" w:rsidRPr="005208DC" w:rsidRDefault="002C526F"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imes New Roman" w:eastAsia="Times New Roman" w:hAnsi="Times New Roman"/>
                <w:bCs/>
                <w:color w:val="0D0D0D" w:themeColor="text1" w:themeTint="F2"/>
                <w:lang w:val="sq-AL"/>
              </w:rPr>
              <w:t>S’ka rekomandime</w:t>
            </w:r>
          </w:p>
        </w:tc>
        <w:tc>
          <w:tcPr>
            <w:tcW w:w="2226" w:type="dxa"/>
            <w:shd w:val="clear" w:color="auto" w:fill="auto"/>
            <w:noWrap/>
            <w:hideMark/>
          </w:tcPr>
          <w:p w14:paraId="21E8333C" w14:textId="77777777" w:rsidR="002C526F" w:rsidRPr="005208DC" w:rsidRDefault="002C526F" w:rsidP="00857902">
            <w:pPr>
              <w:rPr>
                <w:rStyle w:val="y2iqfc"/>
                <w:rFonts w:ascii="Times New Roman" w:hAnsi="Times New Roman"/>
                <w:bCs/>
                <w:color w:val="0D0D0D" w:themeColor="text1" w:themeTint="F2"/>
                <w:lang w:val="sq-AL"/>
              </w:rPr>
            </w:pPr>
            <w:r w:rsidRPr="005208DC">
              <w:rPr>
                <w:rStyle w:val="y2iqfc"/>
                <w:rFonts w:ascii="Times New Roman" w:hAnsi="Times New Roman"/>
                <w:bCs/>
                <w:color w:val="0D0D0D" w:themeColor="text1" w:themeTint="F2"/>
                <w:lang w:val="sq-AL"/>
              </w:rPr>
              <w:t>Masa e re reformuese e propozuar për 2022-2024</w:t>
            </w:r>
          </w:p>
          <w:p w14:paraId="640242C3" w14:textId="77777777" w:rsidR="002C526F" w:rsidRPr="005208DC" w:rsidRDefault="002C526F" w:rsidP="00857902">
            <w:pPr>
              <w:rPr>
                <w:rStyle w:val="y2iqfc"/>
                <w:rFonts w:ascii="Times New Roman" w:hAnsi="Times New Roman"/>
                <w:bCs/>
                <w:color w:val="0D0D0D" w:themeColor="text1" w:themeTint="F2"/>
                <w:lang w:val="sq-AL"/>
              </w:rPr>
            </w:pPr>
            <w:r w:rsidRPr="005208DC">
              <w:rPr>
                <w:rStyle w:val="y2iqfc"/>
                <w:rFonts w:ascii="Times New Roman" w:hAnsi="Times New Roman"/>
                <w:bCs/>
                <w:color w:val="0D0D0D" w:themeColor="text1" w:themeTint="F2"/>
                <w:lang w:val="sq-AL"/>
              </w:rPr>
              <w:t>Masa e reformës 19: Zhvillimi dhe fuqizimi i kompetencës digjitale</w:t>
            </w:r>
          </w:p>
          <w:p w14:paraId="76559B48" w14:textId="323E0CCA" w:rsidR="002C526F" w:rsidRPr="005208DC" w:rsidRDefault="002C526F" w:rsidP="00857902">
            <w:pPr>
              <w:rPr>
                <w:rFonts w:ascii="Times New Roman" w:hAnsi="Times New Roman"/>
                <w:bCs/>
                <w:color w:val="0D0D0D" w:themeColor="text1" w:themeTint="F2"/>
                <w:lang w:val="sq-AL"/>
              </w:rPr>
            </w:pPr>
            <w:r w:rsidRPr="005208DC">
              <w:rPr>
                <w:rStyle w:val="y2iqfc"/>
                <w:rFonts w:ascii="Times New Roman" w:hAnsi="Times New Roman"/>
                <w:bCs/>
                <w:color w:val="0D0D0D" w:themeColor="text1" w:themeTint="F2"/>
                <w:lang w:val="sq-AL"/>
              </w:rPr>
              <w:t>“Rritja e shkrim-leximit, aftësive dhe përfshirjes digjitale; Epoka digjitale duhet të fuqizojë dhe emancipojë, mjedisi ose aftësitë nuk duhet të jenë pengesë për të arritur këtë potencial.</w:t>
            </w:r>
          </w:p>
        </w:tc>
        <w:tc>
          <w:tcPr>
            <w:tcW w:w="2227" w:type="dxa"/>
            <w:shd w:val="clear" w:color="auto" w:fill="auto"/>
            <w:noWrap/>
            <w:hideMark/>
          </w:tcPr>
          <w:p w14:paraId="4D331D7B" w14:textId="067E3182" w:rsidR="002C526F" w:rsidRPr="005208DC" w:rsidRDefault="002C526F" w:rsidP="00857902">
            <w:pPr>
              <w:rPr>
                <w:rFonts w:ascii="Times New Roman" w:hAnsi="Times New Roman"/>
                <w:bCs/>
                <w:color w:val="0D0D0D" w:themeColor="text1" w:themeTint="F2"/>
                <w:lang w:val="sq-AL"/>
              </w:rPr>
            </w:pPr>
            <w:r w:rsidRPr="005208DC">
              <w:rPr>
                <w:rStyle w:val="y2iqfc"/>
                <w:rFonts w:ascii="Times New Roman" w:hAnsi="Times New Roman"/>
                <w:bCs/>
                <w:color w:val="0D0D0D" w:themeColor="text1" w:themeTint="F2"/>
                <w:lang w:val="sq-AL"/>
              </w:rPr>
              <w:t>Nuk ka projekte të miratuara apo projekte të planifikuara sipas IPA III që mbështesin këtë masë. Sipas IPA II, reforma mbështetet nga “BE për përfshirjen sociale dhe ndërhyrjen”. Kjo ndërhyrje përfshin Ministrinë e Shëndetësisë dhe Mbrojtjes Sociale, Ministrinë e Financave dhe Ekonomisë dhe Ministrinë e Arsimit dhe Sportit. Përsa i përket fushave të kompetencës së MAS-it, ky projekt mbështet përfshirjen në kurrikulat e barazisë në praktikat arsimore, caktimin e shërbimeve psiko-sociale në nivel shkolle me materiale përkatëse.</w:t>
            </w:r>
          </w:p>
        </w:tc>
      </w:tr>
      <w:tr w:rsidR="005208DC" w:rsidRPr="005208DC" w14:paraId="4D227C1C" w14:textId="77777777" w:rsidTr="00F51BF1">
        <w:trPr>
          <w:trHeight w:val="945"/>
        </w:trPr>
        <w:tc>
          <w:tcPr>
            <w:tcW w:w="480" w:type="dxa"/>
            <w:shd w:val="clear" w:color="auto" w:fill="auto"/>
            <w:noWrap/>
            <w:vAlign w:val="center"/>
            <w:hideMark/>
          </w:tcPr>
          <w:p w14:paraId="1576E1D7"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15</w:t>
            </w:r>
          </w:p>
        </w:tc>
        <w:tc>
          <w:tcPr>
            <w:tcW w:w="3960" w:type="dxa"/>
            <w:shd w:val="clear" w:color="auto" w:fill="auto"/>
            <w:hideMark/>
          </w:tcPr>
          <w:p w14:paraId="0CC2A955" w14:textId="115A7B82" w:rsidR="00250737" w:rsidRPr="005208DC" w:rsidRDefault="00250737" w:rsidP="00857902">
            <w:pPr>
              <w:rPr>
                <w:rFonts w:asciiTheme="majorBidi" w:eastAsia="Times New Roman" w:hAnsiTheme="majorBidi" w:cstheme="majorBidi"/>
                <w:i/>
                <w:iCs/>
                <w:color w:val="0D0D0D" w:themeColor="text1" w:themeTint="F2"/>
                <w:sz w:val="22"/>
                <w:szCs w:val="22"/>
                <w:lang w:val="sq-AL" w:eastAsia="sq-AL" w:bidi="he-IL"/>
              </w:rPr>
            </w:pPr>
            <w:r w:rsidRPr="005208DC">
              <w:rPr>
                <w:rFonts w:asciiTheme="majorBidi" w:hAnsiTheme="majorBidi" w:cstheme="majorBidi"/>
                <w:i/>
                <w:iCs/>
                <w:color w:val="0D0D0D" w:themeColor="text1" w:themeTint="F2"/>
                <w:lang w:val="sq-AL"/>
              </w:rPr>
              <w:t>Përmirësimi i cilësisë dhe mbulimit të AFP-së duke siguruar lidhje me tregun e punës</w:t>
            </w:r>
          </w:p>
        </w:tc>
        <w:tc>
          <w:tcPr>
            <w:tcW w:w="2226" w:type="dxa"/>
            <w:shd w:val="clear" w:color="auto" w:fill="auto"/>
            <w:noWrap/>
            <w:hideMark/>
          </w:tcPr>
          <w:p w14:paraId="22E6EC82" w14:textId="0AAF1FB4"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Sfida Kyçe #1</w:t>
            </w:r>
          </w:p>
        </w:tc>
        <w:tc>
          <w:tcPr>
            <w:tcW w:w="2226" w:type="dxa"/>
            <w:shd w:val="clear" w:color="auto" w:fill="auto"/>
            <w:noWrap/>
            <w:hideMark/>
          </w:tcPr>
          <w:p w14:paraId="100C0DC6"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3979108A"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7" w:type="dxa"/>
            <w:shd w:val="clear" w:color="auto" w:fill="auto"/>
            <w:noWrap/>
            <w:hideMark/>
          </w:tcPr>
          <w:p w14:paraId="747C4D08"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5FA41002"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34071058"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7" w:type="dxa"/>
            <w:shd w:val="clear" w:color="auto" w:fill="auto"/>
            <w:noWrap/>
            <w:hideMark/>
          </w:tcPr>
          <w:p w14:paraId="0E0ABDDD"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w:t>
            </w:r>
          </w:p>
        </w:tc>
      </w:tr>
      <w:tr w:rsidR="005208DC" w:rsidRPr="005208DC" w14:paraId="1DF8F386" w14:textId="77777777" w:rsidTr="00F24310">
        <w:trPr>
          <w:trHeight w:val="1260"/>
        </w:trPr>
        <w:tc>
          <w:tcPr>
            <w:tcW w:w="480" w:type="dxa"/>
            <w:shd w:val="clear" w:color="auto" w:fill="auto"/>
            <w:noWrap/>
            <w:vAlign w:val="center"/>
            <w:hideMark/>
          </w:tcPr>
          <w:p w14:paraId="3F001A2F"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16</w:t>
            </w:r>
          </w:p>
        </w:tc>
        <w:tc>
          <w:tcPr>
            <w:tcW w:w="3960" w:type="dxa"/>
            <w:shd w:val="clear" w:color="auto" w:fill="auto"/>
            <w:hideMark/>
          </w:tcPr>
          <w:p w14:paraId="01F95904" w14:textId="2D7DCCD9" w:rsidR="00250737" w:rsidRPr="005208DC" w:rsidRDefault="00630CC2" w:rsidP="00857902">
            <w:pPr>
              <w:rPr>
                <w:rFonts w:asciiTheme="majorBidi" w:eastAsia="Times New Roman" w:hAnsiTheme="majorBidi" w:cstheme="majorBidi"/>
                <w:i/>
                <w:iCs/>
                <w:color w:val="0D0D0D" w:themeColor="text1" w:themeTint="F2"/>
                <w:sz w:val="22"/>
                <w:szCs w:val="22"/>
                <w:lang w:val="sq-AL" w:eastAsia="sq-AL" w:bidi="he-IL"/>
              </w:rPr>
            </w:pPr>
            <w:r w:rsidRPr="005208DC">
              <w:rPr>
                <w:rFonts w:asciiTheme="majorBidi" w:eastAsia="Times New Roman" w:hAnsiTheme="majorBidi" w:cstheme="majorBidi"/>
                <w:i/>
                <w:iCs/>
                <w:color w:val="0D0D0D" w:themeColor="text1" w:themeTint="F2"/>
                <w:lang w:val="sq-AL" w:eastAsia="sq-AL" w:bidi="he-IL"/>
              </w:rPr>
              <w:t>Përmirësimi i punësueshmërisë së punëkërkuesve të papunë më vulnerabël nëpërmjet PNP-ve dhe shërbimeve të punësimit të synuara më mirë</w:t>
            </w:r>
          </w:p>
        </w:tc>
        <w:tc>
          <w:tcPr>
            <w:tcW w:w="2226" w:type="dxa"/>
            <w:shd w:val="clear" w:color="auto" w:fill="auto"/>
            <w:noWrap/>
            <w:hideMark/>
          </w:tcPr>
          <w:p w14:paraId="55D89D0F" w14:textId="2A486BE9" w:rsidR="00250737" w:rsidRPr="005208DC" w:rsidRDefault="00250737" w:rsidP="00857902">
            <w:pPr>
              <w:jc w:val="center"/>
              <w:rPr>
                <w:rFonts w:asciiTheme="majorBidi" w:eastAsia="Times New Roman" w:hAnsiTheme="majorBidi" w:cstheme="majorBidi"/>
                <w:i/>
                <w:iCs/>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Sfida Kyçe #1</w:t>
            </w:r>
          </w:p>
        </w:tc>
        <w:tc>
          <w:tcPr>
            <w:tcW w:w="2226" w:type="dxa"/>
            <w:shd w:val="clear" w:color="auto" w:fill="auto"/>
            <w:noWrap/>
            <w:hideMark/>
          </w:tcPr>
          <w:p w14:paraId="720E218A" w14:textId="5D2DADD3"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PG 6</w:t>
            </w:r>
          </w:p>
        </w:tc>
        <w:tc>
          <w:tcPr>
            <w:tcW w:w="2226" w:type="dxa"/>
            <w:shd w:val="clear" w:color="auto" w:fill="auto"/>
            <w:noWrap/>
            <w:hideMark/>
          </w:tcPr>
          <w:p w14:paraId="23299ADA"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7" w:type="dxa"/>
            <w:shd w:val="clear" w:color="auto" w:fill="auto"/>
            <w:noWrap/>
          </w:tcPr>
          <w:p w14:paraId="0E267072" w14:textId="4E287C9E" w:rsidR="00250737" w:rsidRPr="005208DC" w:rsidRDefault="00630CC2"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SDG 8</w:t>
            </w:r>
          </w:p>
        </w:tc>
        <w:tc>
          <w:tcPr>
            <w:tcW w:w="2226" w:type="dxa"/>
            <w:shd w:val="clear" w:color="auto" w:fill="auto"/>
            <w:noWrap/>
          </w:tcPr>
          <w:p w14:paraId="73B47152" w14:textId="0241A6CC" w:rsidR="00250737" w:rsidRPr="005208DC" w:rsidRDefault="00630CC2"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E patargetuar</w:t>
            </w:r>
          </w:p>
        </w:tc>
        <w:tc>
          <w:tcPr>
            <w:tcW w:w="2226" w:type="dxa"/>
            <w:shd w:val="clear" w:color="auto" w:fill="auto"/>
            <w:noWrap/>
          </w:tcPr>
          <w:p w14:paraId="6C6C418F" w14:textId="2AB8A227" w:rsidR="00250737" w:rsidRPr="005208DC" w:rsidRDefault="00630CC2" w:rsidP="0055335A">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Objektiv i r</w:t>
            </w:r>
            <w:r w:rsidR="0055335A" w:rsidRPr="005208DC">
              <w:rPr>
                <w:rFonts w:asciiTheme="majorBidi" w:eastAsia="Times New Roman" w:hAnsiTheme="majorBidi" w:cstheme="majorBidi"/>
                <w:color w:val="0D0D0D" w:themeColor="text1" w:themeTint="F2"/>
                <w:sz w:val="22"/>
                <w:szCs w:val="22"/>
                <w:lang w:val="sq-AL" w:eastAsia="sq-AL" w:bidi="he-IL"/>
              </w:rPr>
              <w:t>ëndë</w:t>
            </w:r>
            <w:r w:rsidRPr="005208DC">
              <w:rPr>
                <w:rFonts w:asciiTheme="majorBidi" w:eastAsia="Times New Roman" w:hAnsiTheme="majorBidi" w:cstheme="majorBidi"/>
                <w:color w:val="0D0D0D" w:themeColor="text1" w:themeTint="F2"/>
                <w:sz w:val="22"/>
                <w:szCs w:val="22"/>
                <w:lang w:val="sq-AL" w:eastAsia="sq-AL" w:bidi="he-IL"/>
              </w:rPr>
              <w:t>sishem</w:t>
            </w:r>
          </w:p>
        </w:tc>
        <w:tc>
          <w:tcPr>
            <w:tcW w:w="2227" w:type="dxa"/>
            <w:shd w:val="clear" w:color="auto" w:fill="auto"/>
            <w:noWrap/>
            <w:hideMark/>
          </w:tcPr>
          <w:p w14:paraId="101C0503"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w:t>
            </w:r>
          </w:p>
        </w:tc>
      </w:tr>
      <w:tr w:rsidR="005208DC" w:rsidRPr="005208DC" w14:paraId="21271F0F" w14:textId="77777777" w:rsidTr="00F51BF1">
        <w:trPr>
          <w:trHeight w:val="1260"/>
        </w:trPr>
        <w:tc>
          <w:tcPr>
            <w:tcW w:w="480" w:type="dxa"/>
            <w:shd w:val="clear" w:color="auto" w:fill="auto"/>
            <w:noWrap/>
            <w:vAlign w:val="center"/>
            <w:hideMark/>
          </w:tcPr>
          <w:p w14:paraId="72A30E54"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17</w:t>
            </w:r>
          </w:p>
        </w:tc>
        <w:tc>
          <w:tcPr>
            <w:tcW w:w="3960" w:type="dxa"/>
            <w:shd w:val="clear" w:color="auto" w:fill="auto"/>
            <w:hideMark/>
          </w:tcPr>
          <w:p w14:paraId="7469A49F" w14:textId="7148A827" w:rsidR="00250737" w:rsidRPr="005208DC" w:rsidRDefault="00250737" w:rsidP="00857902">
            <w:pPr>
              <w:rPr>
                <w:rFonts w:asciiTheme="majorBidi" w:eastAsia="Times New Roman" w:hAnsiTheme="majorBidi" w:cstheme="majorBidi"/>
                <w:i/>
                <w:iCs/>
                <w:color w:val="0D0D0D" w:themeColor="text1" w:themeTint="F2"/>
                <w:sz w:val="22"/>
                <w:szCs w:val="22"/>
                <w:lang w:val="sq-AL" w:eastAsia="sq-AL" w:bidi="he-IL"/>
              </w:rPr>
            </w:pPr>
            <w:r w:rsidRPr="005208DC">
              <w:rPr>
                <w:rFonts w:asciiTheme="majorBidi" w:hAnsiTheme="majorBidi" w:cstheme="majorBidi"/>
                <w:i/>
                <w:iCs/>
                <w:color w:val="0D0D0D" w:themeColor="text1" w:themeTint="F2"/>
                <w:lang w:val="sq-AL"/>
              </w:rPr>
              <w:t>Forcimi dhe zgjerimi i mbulimit të mbrojtjes shëndetësore dhe sociale duke reduktuar pabarazinë dhe duke mbështetur rritjen gjithëpërfshirëse dhe të qëndrueshme</w:t>
            </w:r>
          </w:p>
        </w:tc>
        <w:tc>
          <w:tcPr>
            <w:tcW w:w="2226" w:type="dxa"/>
            <w:shd w:val="clear" w:color="auto" w:fill="auto"/>
            <w:noWrap/>
            <w:hideMark/>
          </w:tcPr>
          <w:p w14:paraId="13DD6E90" w14:textId="4650EAC1"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30E73519"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PG 6</w:t>
            </w:r>
          </w:p>
        </w:tc>
        <w:tc>
          <w:tcPr>
            <w:tcW w:w="2226" w:type="dxa"/>
            <w:shd w:val="clear" w:color="auto" w:fill="auto"/>
            <w:noWrap/>
            <w:hideMark/>
          </w:tcPr>
          <w:p w14:paraId="30ECCF0F"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7" w:type="dxa"/>
            <w:shd w:val="clear" w:color="auto" w:fill="auto"/>
            <w:noWrap/>
            <w:hideMark/>
          </w:tcPr>
          <w:p w14:paraId="07D0372A"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59E0E906"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24586FCF"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7" w:type="dxa"/>
            <w:shd w:val="clear" w:color="auto" w:fill="auto"/>
            <w:noWrap/>
            <w:hideMark/>
          </w:tcPr>
          <w:p w14:paraId="6FC62FDD"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w:t>
            </w:r>
          </w:p>
        </w:tc>
      </w:tr>
      <w:tr w:rsidR="005208DC" w:rsidRPr="005208DC" w14:paraId="5F6C8312" w14:textId="77777777" w:rsidTr="00F51BF1">
        <w:trPr>
          <w:trHeight w:val="330"/>
        </w:trPr>
        <w:tc>
          <w:tcPr>
            <w:tcW w:w="480" w:type="dxa"/>
            <w:shd w:val="clear" w:color="auto" w:fill="auto"/>
            <w:noWrap/>
            <w:vAlign w:val="center"/>
            <w:hideMark/>
          </w:tcPr>
          <w:p w14:paraId="74DF39F8"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18</w:t>
            </w:r>
          </w:p>
        </w:tc>
        <w:tc>
          <w:tcPr>
            <w:tcW w:w="3960" w:type="dxa"/>
            <w:shd w:val="clear" w:color="auto" w:fill="auto"/>
            <w:hideMark/>
          </w:tcPr>
          <w:p w14:paraId="32BFCFC9" w14:textId="2817F0B7" w:rsidR="00250737" w:rsidRPr="005208DC" w:rsidRDefault="00250737" w:rsidP="00857902">
            <w:pPr>
              <w:rPr>
                <w:rFonts w:asciiTheme="majorBidi" w:eastAsia="Times New Roman" w:hAnsiTheme="majorBidi" w:cstheme="majorBidi"/>
                <w:i/>
                <w:iCs/>
                <w:color w:val="0D0D0D" w:themeColor="text1" w:themeTint="F2"/>
                <w:sz w:val="22"/>
                <w:szCs w:val="22"/>
                <w:lang w:val="sq-AL" w:eastAsia="sq-AL" w:bidi="he-IL"/>
              </w:rPr>
            </w:pPr>
            <w:r w:rsidRPr="005208DC">
              <w:rPr>
                <w:rFonts w:asciiTheme="majorBidi" w:hAnsiTheme="majorBidi" w:cstheme="majorBidi"/>
                <w:i/>
                <w:iCs/>
                <w:color w:val="0D0D0D" w:themeColor="text1" w:themeTint="F2"/>
                <w:lang w:val="sq-AL"/>
              </w:rPr>
              <w:t>Rritja e aksesit në kujdesin shëndetësor</w:t>
            </w:r>
          </w:p>
        </w:tc>
        <w:tc>
          <w:tcPr>
            <w:tcW w:w="2226" w:type="dxa"/>
            <w:shd w:val="clear" w:color="auto" w:fill="auto"/>
            <w:noWrap/>
            <w:hideMark/>
          </w:tcPr>
          <w:p w14:paraId="0393330E" w14:textId="5F4F68F5"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p>
        </w:tc>
        <w:tc>
          <w:tcPr>
            <w:tcW w:w="2226" w:type="dxa"/>
            <w:shd w:val="clear" w:color="auto" w:fill="auto"/>
            <w:noWrap/>
            <w:hideMark/>
          </w:tcPr>
          <w:p w14:paraId="411A5C2E"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PG 6</w:t>
            </w:r>
          </w:p>
        </w:tc>
        <w:tc>
          <w:tcPr>
            <w:tcW w:w="2226" w:type="dxa"/>
            <w:shd w:val="clear" w:color="auto" w:fill="auto"/>
            <w:noWrap/>
            <w:hideMark/>
          </w:tcPr>
          <w:p w14:paraId="2B4F1E1D"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w:t>
            </w:r>
          </w:p>
        </w:tc>
        <w:tc>
          <w:tcPr>
            <w:tcW w:w="2227" w:type="dxa"/>
            <w:shd w:val="clear" w:color="auto" w:fill="auto"/>
            <w:noWrap/>
            <w:hideMark/>
          </w:tcPr>
          <w:p w14:paraId="15430A5E"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w:t>
            </w:r>
          </w:p>
        </w:tc>
        <w:tc>
          <w:tcPr>
            <w:tcW w:w="2226" w:type="dxa"/>
            <w:shd w:val="clear" w:color="auto" w:fill="auto"/>
            <w:noWrap/>
            <w:hideMark/>
          </w:tcPr>
          <w:p w14:paraId="47F164BB"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w:t>
            </w:r>
          </w:p>
        </w:tc>
        <w:tc>
          <w:tcPr>
            <w:tcW w:w="2226" w:type="dxa"/>
            <w:shd w:val="clear" w:color="auto" w:fill="auto"/>
            <w:noWrap/>
            <w:hideMark/>
          </w:tcPr>
          <w:p w14:paraId="12B236B3"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w:t>
            </w:r>
          </w:p>
        </w:tc>
        <w:tc>
          <w:tcPr>
            <w:tcW w:w="2227" w:type="dxa"/>
            <w:shd w:val="clear" w:color="auto" w:fill="auto"/>
            <w:noWrap/>
            <w:hideMark/>
          </w:tcPr>
          <w:p w14:paraId="59E91F8E" w14:textId="77777777" w:rsidR="00250737" w:rsidRPr="005208DC" w:rsidRDefault="00250737" w:rsidP="00857902">
            <w:pPr>
              <w:jc w:val="center"/>
              <w:rPr>
                <w:rFonts w:asciiTheme="majorBidi" w:eastAsia="Times New Roman" w:hAnsiTheme="majorBidi" w:cstheme="majorBidi"/>
                <w:color w:val="0D0D0D" w:themeColor="text1" w:themeTint="F2"/>
                <w:sz w:val="22"/>
                <w:szCs w:val="22"/>
                <w:lang w:val="sq-AL" w:eastAsia="sq-AL" w:bidi="he-IL"/>
              </w:rPr>
            </w:pPr>
            <w:r w:rsidRPr="005208DC">
              <w:rPr>
                <w:rFonts w:asciiTheme="majorBidi" w:eastAsia="Times New Roman" w:hAnsiTheme="majorBidi" w:cstheme="majorBidi"/>
                <w:color w:val="0D0D0D" w:themeColor="text1" w:themeTint="F2"/>
                <w:sz w:val="22"/>
                <w:szCs w:val="22"/>
                <w:lang w:val="sq-AL" w:eastAsia="sq-AL" w:bidi="he-IL"/>
              </w:rPr>
              <w:t> </w:t>
            </w:r>
          </w:p>
        </w:tc>
      </w:tr>
    </w:tbl>
    <w:p w14:paraId="7F270A3C" w14:textId="77777777" w:rsidR="008028EB" w:rsidRPr="005208DC" w:rsidRDefault="008028EB" w:rsidP="00857902">
      <w:pPr>
        <w:rPr>
          <w:rFonts w:asciiTheme="majorBidi" w:hAnsiTheme="majorBidi" w:cstheme="majorBidi"/>
          <w:color w:val="0D0D0D" w:themeColor="text1" w:themeTint="F2"/>
          <w:lang w:val="sq-AL"/>
        </w:rPr>
      </w:pPr>
    </w:p>
    <w:p w14:paraId="17C0A28D" w14:textId="77777777" w:rsidR="008028EB" w:rsidRPr="005208DC" w:rsidRDefault="008028EB" w:rsidP="00857902">
      <w:pPr>
        <w:rPr>
          <w:rFonts w:asciiTheme="majorBidi" w:hAnsiTheme="majorBidi" w:cstheme="majorBidi"/>
          <w:color w:val="0D0D0D" w:themeColor="text1" w:themeTint="F2"/>
          <w:lang w:val="sq-AL"/>
        </w:rPr>
      </w:pPr>
    </w:p>
    <w:p w14:paraId="1CE215DB" w14:textId="77777777" w:rsidR="00B05C9D" w:rsidRPr="005208DC" w:rsidRDefault="00B05C9D" w:rsidP="00857902">
      <w:pPr>
        <w:rPr>
          <w:rFonts w:asciiTheme="majorBidi" w:hAnsiTheme="majorBidi" w:cstheme="majorBidi"/>
          <w:color w:val="0D0D0D" w:themeColor="text1" w:themeTint="F2"/>
          <w:lang w:val="sq-AL"/>
        </w:rPr>
      </w:pPr>
    </w:p>
    <w:p w14:paraId="7F502DD1" w14:textId="77777777" w:rsidR="00B05C9D" w:rsidRPr="005208DC" w:rsidRDefault="00B05C9D" w:rsidP="00857902">
      <w:pPr>
        <w:pStyle w:val="Heading1"/>
        <w:snapToGrid w:val="0"/>
        <w:ind w:left="0"/>
        <w:rPr>
          <w:rFonts w:asciiTheme="majorBidi" w:hAnsiTheme="majorBidi" w:cstheme="majorBidi"/>
          <w:color w:val="0D0D0D" w:themeColor="text1" w:themeTint="F2"/>
          <w:lang w:val="sq-AL"/>
        </w:rPr>
        <w:sectPr w:rsidR="00B05C9D" w:rsidRPr="005208DC" w:rsidSect="004B0671">
          <w:pgSz w:w="16840" w:h="11900" w:orient="landscape"/>
          <w:pgMar w:top="720" w:right="720" w:bottom="720" w:left="720" w:header="567" w:footer="567" w:gutter="0"/>
          <w:cols w:space="708"/>
          <w:titlePg/>
          <w:docGrid w:linePitch="360"/>
        </w:sectPr>
      </w:pPr>
    </w:p>
    <w:p w14:paraId="6D8A1CA3" w14:textId="656A9548" w:rsidR="00B05C9D" w:rsidRPr="005208DC" w:rsidRDefault="00C07622" w:rsidP="00857902">
      <w:pPr>
        <w:pStyle w:val="Heading1"/>
        <w:snapToGrid w:val="0"/>
        <w:ind w:left="0"/>
        <w:rPr>
          <w:rFonts w:asciiTheme="majorBidi" w:hAnsiTheme="majorBidi" w:cstheme="majorBidi"/>
          <w:color w:val="0D0D0D" w:themeColor="text1" w:themeTint="F2"/>
          <w:lang w:val="sq-AL"/>
        </w:rPr>
      </w:pPr>
      <w:bookmarkStart w:id="115" w:name="_Toc92721171"/>
      <w:r w:rsidRPr="005208DC">
        <w:rPr>
          <w:rFonts w:asciiTheme="majorBidi" w:hAnsiTheme="majorBidi" w:cstheme="majorBidi"/>
          <w:color w:val="0D0D0D" w:themeColor="text1" w:themeTint="F2"/>
          <w:lang w:val="sq-AL"/>
        </w:rPr>
        <w:t>SHTOJCA</w:t>
      </w:r>
      <w:r w:rsidR="00B05C9D" w:rsidRPr="005208DC">
        <w:rPr>
          <w:rFonts w:asciiTheme="majorBidi" w:hAnsiTheme="majorBidi" w:cstheme="majorBidi"/>
          <w:color w:val="0D0D0D" w:themeColor="text1" w:themeTint="F2"/>
          <w:lang w:val="sq-AL"/>
        </w:rPr>
        <w:t xml:space="preserve"> III</w:t>
      </w:r>
      <w:bookmarkEnd w:id="115"/>
    </w:p>
    <w:p w14:paraId="6ABD9930" w14:textId="77777777" w:rsidR="00E81A6A" w:rsidRPr="005208DC" w:rsidRDefault="00E81A6A" w:rsidP="00857902">
      <w:pPr>
        <w:snapToGrid w:val="0"/>
        <w:jc w:val="center"/>
        <w:rPr>
          <w:rFonts w:asciiTheme="majorBidi" w:hAnsiTheme="majorBidi" w:cstheme="majorBidi"/>
          <w:color w:val="0D0D0D" w:themeColor="text1" w:themeTint="F2"/>
          <w:lang w:val="sq-AL"/>
        </w:rPr>
      </w:pPr>
    </w:p>
    <w:p w14:paraId="1ED3974B" w14:textId="461DD34D" w:rsidR="000A0CBC" w:rsidRPr="005208DC" w:rsidRDefault="00C07622" w:rsidP="00857902">
      <w:pPr>
        <w:snapToGrid w:val="0"/>
        <w:jc w:val="center"/>
        <w:rPr>
          <w:rFonts w:asciiTheme="majorBidi" w:hAnsiTheme="majorBidi" w:cstheme="majorBidi"/>
          <w:b/>
          <w:color w:val="0D0D0D" w:themeColor="text1" w:themeTint="F2"/>
          <w:lang w:val="sq-AL"/>
        </w:rPr>
      </w:pPr>
      <w:r w:rsidRPr="005208DC">
        <w:rPr>
          <w:rFonts w:asciiTheme="majorBidi" w:hAnsiTheme="majorBidi" w:cstheme="majorBidi"/>
          <w:b/>
          <w:color w:val="0D0D0D" w:themeColor="text1" w:themeTint="F2"/>
          <w:lang w:val="sq-AL"/>
        </w:rPr>
        <w:t xml:space="preserve">KONTRIBUTET E JASHTME NË </w:t>
      </w:r>
      <w:r w:rsidR="00AA6B0B" w:rsidRPr="005208DC">
        <w:rPr>
          <w:rFonts w:asciiTheme="majorBidi" w:hAnsiTheme="majorBidi" w:cstheme="majorBidi"/>
          <w:b/>
          <w:color w:val="0D0D0D" w:themeColor="text1" w:themeTint="F2"/>
          <w:lang w:val="sq-AL"/>
        </w:rPr>
        <w:t>E</w:t>
      </w:r>
      <w:r w:rsidR="00626FE1" w:rsidRPr="005208DC">
        <w:rPr>
          <w:rFonts w:asciiTheme="majorBidi" w:hAnsiTheme="majorBidi" w:cstheme="majorBidi"/>
          <w:b/>
          <w:color w:val="0D0D0D" w:themeColor="text1" w:themeTint="F2"/>
          <w:lang w:val="sq-AL"/>
        </w:rPr>
        <w:t xml:space="preserve"> </w:t>
      </w:r>
      <w:r w:rsidR="00AA6B0B" w:rsidRPr="005208DC">
        <w:rPr>
          <w:rFonts w:asciiTheme="majorBidi" w:hAnsiTheme="majorBidi" w:cstheme="majorBidi"/>
          <w:b/>
          <w:color w:val="0D0D0D" w:themeColor="text1" w:themeTint="F2"/>
          <w:lang w:val="sq-AL"/>
        </w:rPr>
        <w:t>ERP</w:t>
      </w:r>
      <w:r w:rsidR="00626FE1" w:rsidRPr="005208DC">
        <w:rPr>
          <w:rFonts w:asciiTheme="majorBidi" w:hAnsiTheme="majorBidi" w:cstheme="majorBidi"/>
          <w:b/>
          <w:color w:val="0D0D0D" w:themeColor="text1" w:themeTint="F2"/>
          <w:lang w:val="sq-AL"/>
        </w:rPr>
        <w:t xml:space="preserve"> </w:t>
      </w:r>
      <w:r w:rsidR="00AA6B0B" w:rsidRPr="005208DC">
        <w:rPr>
          <w:rFonts w:asciiTheme="majorBidi" w:hAnsiTheme="majorBidi" w:cstheme="majorBidi"/>
          <w:b/>
          <w:color w:val="0D0D0D" w:themeColor="text1" w:themeTint="F2"/>
          <w:lang w:val="sq-AL"/>
        </w:rPr>
        <w:t>202</w:t>
      </w:r>
      <w:r w:rsidR="004A71FE" w:rsidRPr="005208DC">
        <w:rPr>
          <w:rFonts w:asciiTheme="majorBidi" w:hAnsiTheme="majorBidi" w:cstheme="majorBidi"/>
          <w:b/>
          <w:color w:val="0D0D0D" w:themeColor="text1" w:themeTint="F2"/>
          <w:lang w:val="sq-AL"/>
        </w:rPr>
        <w:t>2</w:t>
      </w:r>
      <w:r w:rsidR="00DF1828" w:rsidRPr="005208DC">
        <w:rPr>
          <w:rFonts w:asciiTheme="majorBidi" w:hAnsiTheme="majorBidi" w:cstheme="majorBidi"/>
          <w:b/>
          <w:color w:val="0D0D0D" w:themeColor="text1" w:themeTint="F2"/>
          <w:lang w:val="sq-AL"/>
        </w:rPr>
        <w:t>-20</w:t>
      </w:r>
      <w:r w:rsidR="00A332C0" w:rsidRPr="005208DC">
        <w:rPr>
          <w:rFonts w:asciiTheme="majorBidi" w:hAnsiTheme="majorBidi" w:cstheme="majorBidi"/>
          <w:b/>
          <w:color w:val="0D0D0D" w:themeColor="text1" w:themeTint="F2"/>
          <w:lang w:val="sq-AL"/>
        </w:rPr>
        <w:t>2</w:t>
      </w:r>
      <w:bookmarkEnd w:id="113"/>
      <w:r w:rsidR="004A71FE" w:rsidRPr="005208DC">
        <w:rPr>
          <w:rFonts w:asciiTheme="majorBidi" w:hAnsiTheme="majorBidi" w:cstheme="majorBidi"/>
          <w:b/>
          <w:color w:val="0D0D0D" w:themeColor="text1" w:themeTint="F2"/>
          <w:lang w:val="sq-AL"/>
        </w:rPr>
        <w:t>4</w:t>
      </w:r>
    </w:p>
    <w:p w14:paraId="6FB18F31" w14:textId="5A50677B" w:rsidR="006F3C64" w:rsidRPr="005208DC" w:rsidRDefault="006F3C64" w:rsidP="00857902">
      <w:pPr>
        <w:jc w:val="both"/>
        <w:rPr>
          <w:rFonts w:asciiTheme="majorBidi" w:hAnsiTheme="majorBidi" w:cstheme="majorBidi"/>
          <w:color w:val="0D0D0D" w:themeColor="text1" w:themeTint="F2"/>
          <w:lang w:val="sq-AL"/>
        </w:rPr>
      </w:pPr>
    </w:p>
    <w:p w14:paraId="25E4FDAB" w14:textId="1B79BB38" w:rsidR="00171FFE" w:rsidRPr="005208DC" w:rsidRDefault="00171FFE" w:rsidP="0066616E">
      <w:pPr>
        <w:jc w:val="both"/>
        <w:rPr>
          <w:rFonts w:asciiTheme="majorBidi" w:hAnsiTheme="majorBidi" w:cstheme="majorBidi"/>
          <w:color w:val="0D0D0D" w:themeColor="text1" w:themeTint="F2"/>
          <w:lang w:val="sq-AL"/>
        </w:rPr>
      </w:pPr>
      <w:r w:rsidRPr="005208DC">
        <w:rPr>
          <w:rFonts w:ascii="Times New Roman" w:hAnsi="Times New Roman"/>
          <w:color w:val="0D0D0D" w:themeColor="text1" w:themeTint="F2"/>
          <w:lang w:val="sq-AL"/>
        </w:rPr>
        <w:t xml:space="preserve">Draft ERP 2022-2024 u publikua ne faqen zyrtare të Ministrisë së Financave dhe Ekonomisë për konsultim të gjerë nga grupet e ndryshme të interesit, nga data 22 dhjetor 2021 deri më 31 janar 2022. Gjatë kësaj periudhe Ministria e Financave dhe Ekonomisë </w:t>
      </w:r>
      <w:r w:rsidR="007423EF" w:rsidRPr="005208DC">
        <w:rPr>
          <w:rFonts w:ascii="Times New Roman" w:hAnsi="Times New Roman"/>
          <w:color w:val="0D0D0D" w:themeColor="text1" w:themeTint="F2"/>
          <w:lang w:val="sq-AL"/>
        </w:rPr>
        <w:t xml:space="preserve">ka qenë në pritje të komenteve, reagimeve dhe/ose sugjerimeve nga grupet e interesit. Deri në momentin e dorëzimit </w:t>
      </w:r>
      <w:r w:rsidR="007651C4" w:rsidRPr="005208DC">
        <w:rPr>
          <w:rFonts w:ascii="Times New Roman" w:hAnsi="Times New Roman"/>
          <w:color w:val="0D0D0D" w:themeColor="text1" w:themeTint="F2"/>
          <w:lang w:val="sq-AL"/>
        </w:rPr>
        <w:t>të dokumentit të ERP 2022-2024 te K</w:t>
      </w:r>
      <w:r w:rsidR="0066616E" w:rsidRPr="005208DC">
        <w:rPr>
          <w:rFonts w:ascii="Times New Roman" w:hAnsi="Times New Roman"/>
          <w:color w:val="0D0D0D" w:themeColor="text1" w:themeTint="F2"/>
          <w:lang w:val="sq-AL"/>
        </w:rPr>
        <w:t>omisioni Evropian, nuk është dërguar asnjë koment.</w:t>
      </w:r>
    </w:p>
    <w:sectPr w:rsidR="00171FFE" w:rsidRPr="005208DC" w:rsidSect="00234A2B">
      <w:pgSz w:w="11900" w:h="16840"/>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087CA" w14:textId="77777777" w:rsidR="00EC750F" w:rsidRDefault="00EC750F" w:rsidP="00DF1828">
      <w:r>
        <w:separator/>
      </w:r>
    </w:p>
  </w:endnote>
  <w:endnote w:type="continuationSeparator" w:id="0">
    <w:p w14:paraId="142F3BDE" w14:textId="77777777" w:rsidR="00EC750F" w:rsidRDefault="00EC750F" w:rsidP="00DF1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Monotype Sorts">
    <w:altName w:val="Symbol"/>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S Maquette Pro">
    <w:altName w:val="ARS Maquette Pro"/>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Open Sans Condensed Light">
    <w:altName w:val="Segoe UI Semilight"/>
    <w:charset w:val="00"/>
    <w:family w:val="swiss"/>
    <w:pitch w:val="variable"/>
    <w:sig w:usb0="00000001" w:usb1="4000205B" w:usb2="00000028" w:usb3="00000000" w:csb0="0000019F" w:csb1="00000000"/>
  </w:font>
  <w:font w:name="Noto Serif CJK SC">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Open Sans Light">
    <w:altName w:val="Segoe UI Semi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DCCC4" w14:textId="77777777" w:rsidR="007651C4" w:rsidRDefault="007651C4" w:rsidP="008252D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953EA4" w14:textId="77777777" w:rsidR="007651C4" w:rsidRDefault="007651C4" w:rsidP="008252D6">
    <w:pPr>
      <w:pStyle w:val="Footer"/>
      <w:ind w:right="360"/>
    </w:pPr>
  </w:p>
  <w:p w14:paraId="4490DF56" w14:textId="77777777" w:rsidR="007651C4" w:rsidRDefault="007651C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0109827"/>
      <w:docPartObj>
        <w:docPartGallery w:val="Page Numbers (Bottom of Page)"/>
        <w:docPartUnique/>
      </w:docPartObj>
    </w:sdtPr>
    <w:sdtEndPr>
      <w:rPr>
        <w:rFonts w:ascii="Arial Narrow" w:hAnsi="Arial Narrow"/>
        <w:noProof/>
        <w:sz w:val="20"/>
      </w:rPr>
    </w:sdtEndPr>
    <w:sdtContent>
      <w:p w14:paraId="7177D02F" w14:textId="3FEF4069" w:rsidR="007651C4" w:rsidRPr="004417EE" w:rsidRDefault="007651C4" w:rsidP="004417EE">
        <w:pPr>
          <w:pStyle w:val="Footer"/>
          <w:jc w:val="right"/>
          <w:rPr>
            <w:rFonts w:ascii="Arial Narrow" w:hAnsi="Arial Narrow"/>
            <w:sz w:val="20"/>
          </w:rPr>
        </w:pPr>
        <w:r w:rsidRPr="004417EE">
          <w:rPr>
            <w:rFonts w:ascii="Arial Narrow" w:hAnsi="Arial Narrow"/>
            <w:sz w:val="20"/>
          </w:rPr>
          <w:fldChar w:fldCharType="begin"/>
        </w:r>
        <w:r w:rsidRPr="004417EE">
          <w:rPr>
            <w:rFonts w:ascii="Arial Narrow" w:hAnsi="Arial Narrow"/>
            <w:sz w:val="20"/>
          </w:rPr>
          <w:instrText xml:space="preserve"> PAGE   \* MERGEFORMAT </w:instrText>
        </w:r>
        <w:r w:rsidRPr="004417EE">
          <w:rPr>
            <w:rFonts w:ascii="Arial Narrow" w:hAnsi="Arial Narrow"/>
            <w:sz w:val="20"/>
          </w:rPr>
          <w:fldChar w:fldCharType="separate"/>
        </w:r>
        <w:r w:rsidR="005208DC">
          <w:rPr>
            <w:rFonts w:ascii="Arial Narrow" w:hAnsi="Arial Narrow"/>
            <w:noProof/>
            <w:sz w:val="20"/>
          </w:rPr>
          <w:t>5</w:t>
        </w:r>
        <w:r w:rsidRPr="004417EE">
          <w:rPr>
            <w:rFonts w:ascii="Arial Narrow" w:hAnsi="Arial Narrow"/>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66D16" w14:textId="77777777" w:rsidR="00EC750F" w:rsidRDefault="00EC750F" w:rsidP="00DF1828">
      <w:r>
        <w:separator/>
      </w:r>
    </w:p>
  </w:footnote>
  <w:footnote w:type="continuationSeparator" w:id="0">
    <w:p w14:paraId="0FC9F9E3" w14:textId="77777777" w:rsidR="00EC750F" w:rsidRDefault="00EC750F" w:rsidP="00DF1828">
      <w:r>
        <w:continuationSeparator/>
      </w:r>
    </w:p>
  </w:footnote>
  <w:footnote w:id="1">
    <w:p w14:paraId="3007E37E" w14:textId="77777777" w:rsidR="007651C4" w:rsidRPr="0055335A" w:rsidRDefault="007651C4" w:rsidP="002F6FE6">
      <w:pPr>
        <w:pStyle w:val="FootnoteText"/>
        <w:rPr>
          <w:lang w:val="sq-AL"/>
        </w:rPr>
      </w:pPr>
      <w:r w:rsidRPr="0055335A">
        <w:rPr>
          <w:rStyle w:val="FootnoteReference"/>
          <w:lang w:val="sq-AL"/>
        </w:rPr>
        <w:footnoteRef/>
      </w:r>
      <w:r w:rsidRPr="0055335A">
        <w:rPr>
          <w:lang w:val="sq-AL"/>
        </w:rPr>
        <w:t xml:space="preserve"> Bazuar në rekomandimin e FMN-së, përkufizimi aktual i individit më të pasur për mjedisin shqiptar është çdo individ me të ardhura vjetore bruto mbi 125 milion lekë ose me vlerë të akumuluar pasurie mbi 1 miliardë lekë.</w:t>
      </w:r>
    </w:p>
  </w:footnote>
  <w:footnote w:id="2">
    <w:p w14:paraId="724682E2" w14:textId="4FDD82C5" w:rsidR="007651C4" w:rsidRPr="0055335A" w:rsidRDefault="007651C4" w:rsidP="005661AC">
      <w:pPr>
        <w:pStyle w:val="FootnoteText"/>
        <w:rPr>
          <w:rFonts w:ascii="Arial Narrow" w:hAnsi="Arial Narrow"/>
          <w:lang w:val="sq-AL"/>
        </w:rPr>
      </w:pPr>
      <w:r w:rsidRPr="0055335A">
        <w:rPr>
          <w:rStyle w:val="FootnoteReference"/>
          <w:rFonts w:ascii="Arial Narrow" w:hAnsi="Arial Narrow"/>
          <w:lang w:val="sq-AL"/>
        </w:rPr>
        <w:footnoteRef/>
      </w:r>
      <w:r w:rsidRPr="0055335A">
        <w:rPr>
          <w:rFonts w:ascii="Arial Narrow" w:hAnsi="Arial Narrow"/>
          <w:lang w:val="sq-AL"/>
        </w:rPr>
        <w:t xml:space="preserve"> </w:t>
      </w:r>
      <w:r w:rsidRPr="0055335A">
        <w:rPr>
          <w:rFonts w:ascii="Arial Narrow" w:eastAsia="SimSun" w:hAnsi="Arial Narrow" w:cstheme="majorBidi"/>
          <w:color w:val="0D0D0D" w:themeColor="text1" w:themeTint="F2"/>
          <w:lang w:val="sq-AL"/>
        </w:rPr>
        <w:t xml:space="preserve">Strategjia Kombëtare për pagesat me vlerë të vogël është rezultati i një përpjekjeje të përbashkët të palëve të interesuara nga sektori publik dhe privat, i drejtuar nga Banka e Shqipërisë dhe i zbatuar nga Komiteti Kombëtar i Sistemit të Pagesave. Është i disponueshëm tek: </w:t>
      </w:r>
      <w:r w:rsidRPr="0055335A">
        <w:rPr>
          <w:rStyle w:val="Hyperlink"/>
          <w:rFonts w:ascii="Arial Narrow" w:hAnsi="Arial Narrow"/>
          <w:lang w:val="sq-AL"/>
        </w:rPr>
        <w:t>https://www.bankofalbania.org/Pagesat/Komiteti_Kombetar_i_Sistemit_te_Pagesave/Mbledhja_e_Katert_Vjetore_e_Komitetit_Kombetar_te_Sistemit_te_Pagesave_20917.html</w:t>
      </w:r>
    </w:p>
  </w:footnote>
  <w:footnote w:id="3">
    <w:p w14:paraId="16180F64" w14:textId="77777777" w:rsidR="007651C4" w:rsidRPr="0055335A" w:rsidRDefault="007651C4" w:rsidP="005661AC">
      <w:pPr>
        <w:pStyle w:val="FootnoteText"/>
        <w:rPr>
          <w:rFonts w:ascii="Arial Narrow" w:hAnsi="Arial Narrow"/>
          <w:lang w:val="sq-AL"/>
        </w:rPr>
      </w:pPr>
      <w:r w:rsidRPr="0055335A">
        <w:rPr>
          <w:rStyle w:val="FootnoteReference"/>
          <w:rFonts w:ascii="Arial Narrow" w:hAnsi="Arial Narrow"/>
          <w:lang w:val="sq-AL"/>
        </w:rPr>
        <w:footnoteRef/>
      </w:r>
      <w:r w:rsidRPr="0055335A">
        <w:rPr>
          <w:rFonts w:ascii="Arial Narrow" w:hAnsi="Arial Narrow"/>
          <w:lang w:val="sq-AL"/>
        </w:rPr>
        <w:t xml:space="preserve">.  </w:t>
      </w:r>
      <w:hyperlink r:id="rId1" w:history="1">
        <w:r w:rsidRPr="0055335A">
          <w:rPr>
            <w:rStyle w:val="Hyperlink"/>
            <w:rFonts w:ascii="Arial Narrow" w:hAnsi="Arial Narrow"/>
            <w:lang w:val="sq-AL"/>
          </w:rPr>
          <w:t>https://ëëë.bankofalbania.org/rc/doc/01_Government_payment_digitization_in_albania_NPC_15758.pptx</w:t>
        </w:r>
      </w:hyperlink>
    </w:p>
    <w:p w14:paraId="34132966" w14:textId="77777777" w:rsidR="007651C4" w:rsidRPr="0055335A" w:rsidRDefault="007651C4" w:rsidP="005661AC">
      <w:pPr>
        <w:pStyle w:val="FootnoteText"/>
        <w:rPr>
          <w:rFonts w:ascii="Arial Narrow" w:hAnsi="Arial Narrow"/>
          <w:lang w:val="sq-AL"/>
        </w:rPr>
      </w:pPr>
    </w:p>
  </w:footnote>
  <w:footnote w:id="4">
    <w:p w14:paraId="3512F7A8" w14:textId="7269C89C" w:rsidR="007651C4" w:rsidRPr="0055335A" w:rsidRDefault="007651C4" w:rsidP="00A129DA">
      <w:pPr>
        <w:pStyle w:val="FootnoteText"/>
        <w:rPr>
          <w:rFonts w:ascii="Arial Narrow" w:hAnsi="Arial Narrow"/>
          <w:lang w:val="sq-AL"/>
        </w:rPr>
      </w:pPr>
      <w:r w:rsidRPr="0055335A">
        <w:rPr>
          <w:rStyle w:val="FootnoteReference"/>
          <w:rFonts w:ascii="Arial Narrow" w:hAnsi="Arial Narrow"/>
          <w:lang w:val="sq-AL"/>
        </w:rPr>
        <w:footnoteRef/>
      </w:r>
      <w:r w:rsidRPr="0055335A">
        <w:rPr>
          <w:rFonts w:ascii="Arial Narrow" w:hAnsi="Arial Narrow"/>
          <w:lang w:val="sq-AL"/>
        </w:rPr>
        <w:t xml:space="preserve"> Studimi i fizibilitetit tregon se zgjidhja më e përshtatshme për kushtet aktuale të tregut është krijimi i një versioni të lehtë për </w:t>
      </w:r>
      <w:r w:rsidRPr="0055335A">
        <w:rPr>
          <w:rFonts w:ascii="Arial Narrow" w:hAnsi="Arial Narrow"/>
          <w:i/>
          <w:lang w:val="sq-AL"/>
        </w:rPr>
        <w:t>instant payment</w:t>
      </w:r>
      <w:r w:rsidRPr="0055335A">
        <w:rPr>
          <w:rFonts w:ascii="Arial Narrow" w:hAnsi="Arial Narrow"/>
          <w:lang w:val="sq-AL"/>
        </w:rPr>
        <w:t xml:space="preserve"> nga një kompani fin-tech të licencuar nga BSh. Banka e Shqipërisë do të promovojë krijimin e tij. Në rastin e Shqipërisë, krijimi i një SWITCH-i kombëtar nuk ka koncept ekonomik, duke qenë se po nxiten zgjidhje të tjera inovative. </w:t>
      </w:r>
    </w:p>
  </w:footnote>
  <w:footnote w:id="5">
    <w:p w14:paraId="543BB48F" w14:textId="6D023512" w:rsidR="007651C4" w:rsidRPr="0055335A" w:rsidRDefault="007651C4" w:rsidP="005721FF">
      <w:pPr>
        <w:pStyle w:val="FootnoteText"/>
        <w:rPr>
          <w:rFonts w:ascii="Arial Narrow" w:hAnsi="Arial Narrow"/>
          <w:lang w:val="sq-AL"/>
        </w:rPr>
      </w:pPr>
      <w:r w:rsidRPr="0055335A">
        <w:rPr>
          <w:rStyle w:val="FootnoteReference"/>
          <w:rFonts w:ascii="Arial Narrow" w:hAnsi="Arial Narrow"/>
          <w:lang w:val="sq-AL"/>
        </w:rPr>
        <w:footnoteRef/>
      </w:r>
      <w:r w:rsidRPr="0055335A">
        <w:rPr>
          <w:rFonts w:ascii="Arial Narrow" w:hAnsi="Arial Narrow"/>
          <w:lang w:val="sq-AL"/>
        </w:rPr>
        <w:t xml:space="preserve"> </w:t>
      </w:r>
      <w:hyperlink r:id="rId2" w:history="1">
        <w:r w:rsidRPr="0055335A">
          <w:rPr>
            <w:rStyle w:val="Hyperlink"/>
            <w:rFonts w:ascii="Arial Narrow" w:hAnsi="Arial Narrow"/>
            <w:lang w:val="sq-AL"/>
          </w:rPr>
          <w:t>https://www.bankofalbania.org/rc/doc/16_NRepishti_AKSHI_electronicpayments_e_Albania_18144.pdf</w:t>
        </w:r>
      </w:hyperlink>
    </w:p>
  </w:footnote>
  <w:footnote w:id="6">
    <w:p w14:paraId="118AA92B" w14:textId="6FB8C173" w:rsidR="007651C4" w:rsidRPr="0055335A" w:rsidRDefault="007651C4" w:rsidP="005721FF">
      <w:pPr>
        <w:pStyle w:val="FootnoteText"/>
        <w:rPr>
          <w:rFonts w:ascii="Arial Narrow" w:hAnsi="Arial Narrow"/>
          <w:lang w:val="sq-AL"/>
        </w:rPr>
      </w:pPr>
      <w:r w:rsidRPr="0055335A">
        <w:rPr>
          <w:rStyle w:val="FootnoteReference"/>
          <w:rFonts w:ascii="Arial Narrow" w:hAnsi="Arial Narrow"/>
          <w:lang w:val="sq-AL"/>
        </w:rPr>
        <w:footnoteRef/>
      </w:r>
      <w:hyperlink r:id="rId3" w:history="1">
        <w:r w:rsidRPr="0055335A">
          <w:rPr>
            <w:rStyle w:val="Hyperlink"/>
            <w:rFonts w:ascii="Arial Narrow" w:hAnsi="Arial Narrow"/>
            <w:lang w:val="sq-AL"/>
          </w:rPr>
          <w:t>https://www.bankofalbania.org/Rreth_Bankes/Legjislacioni/Rregullore_Nr_36_Per_funksionimin_e_sistemit_te_pagesave_nderbankare_me_vlere_te_madhe-AIPS.html</w:t>
        </w:r>
      </w:hyperlink>
    </w:p>
  </w:footnote>
  <w:footnote w:id="7">
    <w:p w14:paraId="0F889A96" w14:textId="20D765E7" w:rsidR="007651C4" w:rsidRPr="0055335A" w:rsidRDefault="007651C4" w:rsidP="005721FF">
      <w:pPr>
        <w:pStyle w:val="FootnoteText"/>
        <w:rPr>
          <w:rFonts w:ascii="Arial Narrow" w:hAnsi="Arial Narrow"/>
          <w:lang w:val="sq-AL"/>
        </w:rPr>
      </w:pPr>
      <w:r w:rsidRPr="0055335A">
        <w:rPr>
          <w:rStyle w:val="FootnoteReference"/>
          <w:rFonts w:ascii="Arial Narrow" w:hAnsi="Arial Narrow"/>
          <w:lang w:val="sq-AL"/>
        </w:rPr>
        <w:footnoteRef/>
      </w:r>
      <w:r w:rsidRPr="0055335A">
        <w:rPr>
          <w:rStyle w:val="Hyperlink"/>
          <w:rFonts w:ascii="Arial Narrow" w:hAnsi="Arial Narrow"/>
          <w:lang w:val="sq-AL"/>
        </w:rPr>
        <w:t>https://www.bankofalbania.org/Rreth_Bankes/Legjislacioni/Rregullore_35_2020_Per_funksionimin_e_sistemit_te_klerimit_te_pagesave_me_vlere_te_vogel_AECH.html</w:t>
      </w:r>
    </w:p>
  </w:footnote>
  <w:footnote w:id="8">
    <w:p w14:paraId="68C79D8B" w14:textId="77777777" w:rsidR="007651C4" w:rsidRPr="0055335A" w:rsidRDefault="007651C4" w:rsidP="00A86175">
      <w:pPr>
        <w:rPr>
          <w:rFonts w:ascii="Arial Narrow" w:hAnsi="Arial Narrow"/>
          <w:sz w:val="20"/>
          <w:szCs w:val="20"/>
          <w:lang w:val="sq-AL"/>
        </w:rPr>
      </w:pPr>
      <w:r w:rsidRPr="0055335A">
        <w:rPr>
          <w:rStyle w:val="FootnoteReference"/>
          <w:rFonts w:ascii="Arial Narrow" w:hAnsi="Arial Narrow"/>
          <w:sz w:val="20"/>
          <w:szCs w:val="20"/>
          <w:lang w:val="sq-AL"/>
        </w:rPr>
        <w:footnoteRef/>
      </w:r>
      <w:hyperlink r:id="rId4" w:history="1">
        <w:r w:rsidRPr="0055335A">
          <w:rPr>
            <w:rStyle w:val="Hyperlink"/>
            <w:rFonts w:ascii="Arial Narrow" w:hAnsi="Arial Narrow"/>
            <w:sz w:val="20"/>
            <w:szCs w:val="20"/>
            <w:lang w:val="sq-AL"/>
          </w:rPr>
          <w:t>https://eeas.europa.eu/delegations/albania/83464/regional-broadband-infrastructure-development-albania-closing-workshop_en</w:t>
        </w:r>
      </w:hyperlink>
    </w:p>
  </w:footnote>
  <w:footnote w:id="9">
    <w:p w14:paraId="4CF3D54E" w14:textId="77777777" w:rsidR="007651C4" w:rsidRPr="0055335A" w:rsidRDefault="007651C4" w:rsidP="00A86175">
      <w:pPr>
        <w:pStyle w:val="C1"/>
        <w:rPr>
          <w:rFonts w:ascii="Arial Narrow" w:hAnsi="Arial Narrow"/>
          <w:lang w:val="sq-AL"/>
        </w:rPr>
      </w:pPr>
      <w:r w:rsidRPr="0055335A">
        <w:rPr>
          <w:rStyle w:val="FootnoteReference"/>
          <w:rFonts w:ascii="Arial Narrow" w:hAnsi="Arial Narrow"/>
          <w:lang w:val="sq-AL"/>
        </w:rPr>
        <w:footnoteRef/>
      </w:r>
      <w:r w:rsidRPr="0055335A">
        <w:rPr>
          <w:rFonts w:ascii="Arial Narrow" w:hAnsi="Arial Narrow"/>
          <w:lang w:val="sq-AL"/>
        </w:rPr>
        <w:t>Ligji “ Për zhvillimin e rrjeteve të komunikimeve elektronike të shpejtësisë së lartë dhe sigurimin e së drejtës së kalimit” ka përafruar plotësisht Direktivën 2014/61/BE</w:t>
      </w:r>
    </w:p>
  </w:footnote>
  <w:footnote w:id="10">
    <w:p w14:paraId="4C32B875" w14:textId="77777777" w:rsidR="007651C4" w:rsidRPr="0055335A" w:rsidRDefault="007651C4" w:rsidP="00A86175">
      <w:pPr>
        <w:rPr>
          <w:rFonts w:ascii="Arial Narrow" w:hAnsi="Arial Narrow"/>
          <w:color w:val="0C000F"/>
          <w:sz w:val="20"/>
          <w:szCs w:val="20"/>
          <w:shd w:val="clear" w:color="auto" w:fill="FFFFFF"/>
          <w:lang w:val="sq-AL"/>
        </w:rPr>
      </w:pPr>
      <w:r w:rsidRPr="0055335A">
        <w:rPr>
          <w:rStyle w:val="FootnoteReference"/>
          <w:rFonts w:ascii="Arial Narrow" w:hAnsi="Arial Narrow"/>
          <w:sz w:val="20"/>
          <w:szCs w:val="20"/>
          <w:lang w:val="sq-AL"/>
        </w:rPr>
        <w:footnoteRef/>
      </w:r>
      <w:hyperlink r:id="rId5" w:history="1">
        <w:r w:rsidRPr="0055335A">
          <w:rPr>
            <w:rStyle w:val="Hyperlink"/>
            <w:rFonts w:ascii="Arial Narrow" w:hAnsi="Arial Narrow"/>
            <w:sz w:val="20"/>
            <w:szCs w:val="20"/>
            <w:shd w:val="clear" w:color="auto" w:fill="FFFFFF"/>
            <w:lang w:val="sq-AL"/>
          </w:rPr>
          <w:t>https://ec.europa.eu/neighbourhood-enlargement/sites/near/files/communication_on_wb_economic_and_investment_plan_october_2020_en.pdf</w:t>
        </w:r>
      </w:hyperlink>
    </w:p>
    <w:p w14:paraId="50DB2C08" w14:textId="77777777" w:rsidR="007651C4" w:rsidRPr="0055335A" w:rsidRDefault="007651C4" w:rsidP="00A86175">
      <w:pPr>
        <w:pStyle w:val="FootnoteText"/>
        <w:rPr>
          <w:rFonts w:ascii="Arial Narrow" w:hAnsi="Arial Narrow"/>
          <w:lang w:val="sq-AL"/>
        </w:rPr>
      </w:pPr>
    </w:p>
  </w:footnote>
  <w:footnote w:id="11">
    <w:p w14:paraId="69C0B5AE" w14:textId="5A507F80" w:rsidR="007651C4" w:rsidRPr="0055335A" w:rsidRDefault="007651C4" w:rsidP="0055335A">
      <w:pPr>
        <w:rPr>
          <w:rFonts w:ascii="Arial Narrow" w:hAnsi="Arial Narrow"/>
          <w:sz w:val="20"/>
          <w:szCs w:val="20"/>
          <w:lang w:val="sq-AL"/>
        </w:rPr>
      </w:pPr>
      <w:r w:rsidRPr="0055335A">
        <w:rPr>
          <w:rStyle w:val="FootnoteReference"/>
          <w:rFonts w:ascii="Arial Narrow" w:hAnsi="Arial Narrow"/>
          <w:sz w:val="20"/>
          <w:szCs w:val="20"/>
          <w:lang w:val="sq-AL"/>
        </w:rPr>
        <w:footnoteRef/>
      </w:r>
      <w:r w:rsidRPr="0055335A">
        <w:rPr>
          <w:rFonts w:ascii="Arial Narrow" w:hAnsi="Arial Narrow"/>
          <w:sz w:val="20"/>
          <w:szCs w:val="20"/>
          <w:lang w:val="sq-AL"/>
        </w:rPr>
        <w:t xml:space="preserve"> Sipas studimit “ raporti Rajonal i Masave Jo-tarifore në CEFTA”</w:t>
      </w:r>
    </w:p>
  </w:footnote>
  <w:footnote w:id="12">
    <w:p w14:paraId="2FB3E67F" w14:textId="77777777" w:rsidR="007651C4" w:rsidRPr="0055335A" w:rsidRDefault="007651C4" w:rsidP="008B65A8">
      <w:pPr>
        <w:pStyle w:val="FootnoteText"/>
        <w:rPr>
          <w:rFonts w:ascii="Arial Narrow" w:hAnsi="Arial Narrow"/>
          <w:lang w:val="sq-AL"/>
        </w:rPr>
      </w:pPr>
      <w:r w:rsidRPr="0055335A">
        <w:rPr>
          <w:rStyle w:val="FootnoteReference"/>
          <w:rFonts w:ascii="Arial Narrow" w:hAnsi="Arial Narrow"/>
          <w:lang w:val="sq-AL"/>
        </w:rPr>
        <w:footnoteRef/>
      </w:r>
      <w:r w:rsidRPr="0055335A">
        <w:rPr>
          <w:rFonts w:ascii="Arial Narrow" w:hAnsi="Arial Narrow"/>
          <w:lang w:val="sq-AL"/>
        </w:rPr>
        <w:t xml:space="preserve"> DCM No. 253, dated 24.04.2019 "On the approval of the financial consolidation plan of the public power sector", amended</w:t>
      </w:r>
    </w:p>
  </w:footnote>
  <w:footnote w:id="13">
    <w:p w14:paraId="4CD66B7A" w14:textId="77777777" w:rsidR="007651C4" w:rsidRPr="0055335A" w:rsidRDefault="007651C4" w:rsidP="008B65A8">
      <w:pPr>
        <w:pStyle w:val="FootnoteText"/>
        <w:rPr>
          <w:rFonts w:ascii="Arial Narrow" w:hAnsi="Arial Narrow"/>
          <w:lang w:val="sq-AL"/>
        </w:rPr>
      </w:pPr>
      <w:r w:rsidRPr="0055335A">
        <w:rPr>
          <w:rStyle w:val="FootnoteReference"/>
          <w:rFonts w:ascii="Arial Narrow" w:hAnsi="Arial Narrow"/>
          <w:lang w:val="sq-AL"/>
        </w:rPr>
        <w:footnoteRef/>
      </w:r>
      <w:r w:rsidRPr="0055335A">
        <w:rPr>
          <w:rFonts w:ascii="Arial Narrow" w:hAnsi="Arial Narrow"/>
          <w:lang w:val="sq-AL"/>
        </w:rPr>
        <w:t xml:space="preserve"> DCM No. 253, dated 24.04.2019 "On the approval of the financial consolidation plan of the public power sector"</w:t>
      </w:r>
    </w:p>
  </w:footnote>
  <w:footnote w:id="14">
    <w:p w14:paraId="71F9DEFD" w14:textId="77777777" w:rsidR="007651C4" w:rsidRPr="0055335A" w:rsidRDefault="007651C4" w:rsidP="002D3C56">
      <w:pPr>
        <w:pStyle w:val="FootnoteText"/>
        <w:rPr>
          <w:rFonts w:ascii="Arial Narrow" w:hAnsi="Arial Narrow"/>
          <w:lang w:val="sq-AL"/>
        </w:rPr>
      </w:pPr>
      <w:r w:rsidRPr="0055335A">
        <w:rPr>
          <w:rStyle w:val="FootnoteReference"/>
          <w:rFonts w:ascii="Arial Narrow" w:hAnsi="Arial Narrow"/>
          <w:lang w:val="sq-AL"/>
        </w:rPr>
        <w:footnoteRef/>
      </w:r>
      <w:r w:rsidRPr="0055335A">
        <w:rPr>
          <w:rFonts w:ascii="Arial Narrow" w:hAnsi="Arial Narrow"/>
          <w:lang w:val="sq-AL"/>
        </w:rPr>
        <w:t xml:space="preserve"> </w:t>
      </w:r>
      <w:hyperlink r:id="rId6" w:history="1">
        <w:r w:rsidRPr="0055335A">
          <w:rPr>
            <w:rStyle w:val="Hyperlink"/>
            <w:rFonts w:ascii="Arial Narrow" w:hAnsi="Arial Narrow"/>
            <w:lang w:val="sq-AL"/>
          </w:rPr>
          <w:t>http://www.instat.gov.al/en/sdgs/quality-education/43-ensure-equal-access-for-all-women-and-men-to-affordable-and-quality-technical-vocational-and-tertiary-education-including-university/431-participation-rate-of-youth-and-adults-in-formal-and-non-formal-education-and-training-in-the-previous-12-months-by-sex/</w:t>
        </w:r>
      </w:hyperlink>
    </w:p>
  </w:footnote>
  <w:footnote w:id="15">
    <w:p w14:paraId="19EC91B0" w14:textId="77777777" w:rsidR="007651C4" w:rsidRPr="0055335A" w:rsidRDefault="007651C4" w:rsidP="002D3C56">
      <w:pPr>
        <w:pStyle w:val="FootnoteText"/>
        <w:rPr>
          <w:rFonts w:ascii="Arial Narrow" w:hAnsi="Arial Narrow"/>
          <w:lang w:val="sq-AL"/>
        </w:rPr>
      </w:pPr>
      <w:r w:rsidRPr="0055335A">
        <w:rPr>
          <w:rStyle w:val="FootnoteReference"/>
          <w:rFonts w:ascii="Arial Narrow" w:hAnsi="Arial Narrow"/>
          <w:lang w:val="sq-AL"/>
        </w:rPr>
        <w:footnoteRef/>
      </w:r>
      <w:r w:rsidRPr="0055335A">
        <w:rPr>
          <w:rFonts w:ascii="Arial Narrow" w:hAnsi="Arial Narrow"/>
          <w:lang w:val="sq-AL"/>
        </w:rPr>
        <w:t xml:space="preserve"> </w:t>
      </w:r>
      <w:hyperlink r:id="rId7" w:history="1">
        <w:r w:rsidRPr="0055335A">
          <w:rPr>
            <w:rStyle w:val="Hyperlink"/>
            <w:rFonts w:ascii="Arial Narrow" w:hAnsi="Arial Narrow"/>
            <w:lang w:val="sq-AL"/>
          </w:rPr>
          <w:t>http://www.instat.gov.al/en/sdgs/quality-education/43-ensure-equal-access-for-all-women-and-men-to-affordable-and-quality-technical-vocational-and-tertiary-education-including-university/431-participation-rate-of-youth-and-adults-in-formal-and-non-formal-education-and-training-in-the-previous-12-months-by-sex/</w:t>
        </w:r>
      </w:hyperlink>
    </w:p>
  </w:footnote>
  <w:footnote w:id="16">
    <w:p w14:paraId="239DD77E" w14:textId="77777777" w:rsidR="007651C4" w:rsidRPr="0055335A" w:rsidRDefault="007651C4" w:rsidP="002D3C56">
      <w:pPr>
        <w:pStyle w:val="FootnoteText"/>
        <w:rPr>
          <w:rFonts w:ascii="Arial Narrow" w:hAnsi="Arial Narrow"/>
          <w:lang w:val="sq-AL"/>
        </w:rPr>
      </w:pPr>
      <w:r w:rsidRPr="0055335A">
        <w:rPr>
          <w:rStyle w:val="FootnoteReference"/>
          <w:rFonts w:ascii="Arial Narrow" w:hAnsi="Arial Narrow"/>
          <w:lang w:val="sq-AL"/>
        </w:rPr>
        <w:footnoteRef/>
      </w:r>
      <w:r w:rsidRPr="0055335A">
        <w:rPr>
          <w:rFonts w:ascii="Arial Narrow" w:hAnsi="Arial Narrow"/>
          <w:lang w:val="sq-AL"/>
        </w:rPr>
        <w:t xml:space="preserve"> </w:t>
      </w:r>
      <w:hyperlink r:id="rId8" w:history="1">
        <w:r w:rsidRPr="0055335A">
          <w:rPr>
            <w:rStyle w:val="Hyperlink"/>
            <w:rFonts w:ascii="Arial Narrow" w:hAnsi="Arial Narrow"/>
            <w:lang w:val="sq-AL"/>
          </w:rPr>
          <w:t>http://www.instat.gov.al/en/publications/books/2020/labour-market-2019/</w:t>
        </w:r>
      </w:hyperlink>
    </w:p>
  </w:footnote>
  <w:footnote w:id="17">
    <w:p w14:paraId="7960CC58" w14:textId="77777777" w:rsidR="007651C4" w:rsidRPr="0055335A" w:rsidRDefault="007651C4" w:rsidP="002D3C56">
      <w:pPr>
        <w:pStyle w:val="FootnoteText"/>
        <w:rPr>
          <w:rFonts w:ascii="Arial Narrow" w:hAnsi="Arial Narrow"/>
          <w:lang w:val="sq-AL"/>
        </w:rPr>
      </w:pPr>
      <w:r w:rsidRPr="0055335A">
        <w:rPr>
          <w:rStyle w:val="FootnoteReference"/>
          <w:rFonts w:ascii="Arial Narrow" w:hAnsi="Arial Narrow"/>
          <w:lang w:val="sq-AL"/>
        </w:rPr>
        <w:footnoteRef/>
      </w:r>
      <w:r w:rsidRPr="0055335A">
        <w:rPr>
          <w:rFonts w:ascii="Arial Narrow" w:hAnsi="Arial Narrow"/>
          <w:lang w:val="sq-AL"/>
        </w:rPr>
        <w:t xml:space="preserve"> </w:t>
      </w:r>
      <w:hyperlink r:id="rId9" w:history="1">
        <w:r w:rsidRPr="0055335A">
          <w:rPr>
            <w:rStyle w:val="Hyperlink"/>
            <w:rFonts w:ascii="Arial Narrow" w:hAnsi="Arial Narrow"/>
            <w:lang w:val="sq-AL"/>
          </w:rPr>
          <w:t>http://www.instat.gov.al/en/publications/books/2020/labour-market-2019/</w:t>
        </w:r>
      </w:hyperlink>
    </w:p>
  </w:footnote>
  <w:footnote w:id="18">
    <w:p w14:paraId="118C486E" w14:textId="77777777" w:rsidR="007651C4" w:rsidRPr="0055335A" w:rsidRDefault="007651C4" w:rsidP="002D3C56">
      <w:pPr>
        <w:pStyle w:val="FootnoteText"/>
        <w:rPr>
          <w:rFonts w:ascii="Arial Narrow" w:hAnsi="Arial Narrow"/>
          <w:lang w:val="sq-AL"/>
        </w:rPr>
      </w:pPr>
      <w:r w:rsidRPr="0055335A">
        <w:rPr>
          <w:rStyle w:val="FootnoteReference"/>
          <w:rFonts w:ascii="Arial Narrow" w:hAnsi="Arial Narrow"/>
          <w:lang w:val="sq-AL"/>
        </w:rPr>
        <w:footnoteRef/>
      </w:r>
      <w:r w:rsidRPr="0055335A">
        <w:rPr>
          <w:rFonts w:ascii="Arial Narrow" w:hAnsi="Arial Narrow"/>
          <w:lang w:val="sq-AL"/>
        </w:rPr>
        <w:t xml:space="preserve"> </w:t>
      </w:r>
      <w:hyperlink r:id="rId10" w:history="1">
        <w:r w:rsidRPr="0055335A">
          <w:rPr>
            <w:rStyle w:val="Hyperlink"/>
            <w:rFonts w:ascii="Arial Narrow" w:hAnsi="Arial Narrow"/>
            <w:lang w:val="sq-AL"/>
          </w:rPr>
          <w:t>http://www.instat.gov.al/en/publications/books/2020/labour-market-2019/</w:t>
        </w:r>
      </w:hyperlink>
    </w:p>
  </w:footnote>
  <w:footnote w:id="19">
    <w:p w14:paraId="4DC34C32" w14:textId="77777777" w:rsidR="007651C4" w:rsidRPr="0055335A" w:rsidRDefault="007651C4" w:rsidP="002D3C56">
      <w:pPr>
        <w:pStyle w:val="FootnoteText"/>
        <w:rPr>
          <w:rFonts w:ascii="Arial Narrow" w:hAnsi="Arial Narrow"/>
          <w:lang w:val="sq-AL"/>
        </w:rPr>
      </w:pPr>
      <w:r w:rsidRPr="0055335A">
        <w:rPr>
          <w:rStyle w:val="FootnoteReference"/>
          <w:rFonts w:ascii="Arial Narrow" w:hAnsi="Arial Narrow"/>
          <w:lang w:val="sq-AL"/>
        </w:rPr>
        <w:footnoteRef/>
      </w:r>
      <w:r w:rsidRPr="0055335A">
        <w:rPr>
          <w:rFonts w:ascii="Arial Narrow" w:hAnsi="Arial Narrow"/>
          <w:lang w:val="sq-AL"/>
        </w:rPr>
        <w:t xml:space="preserve"> </w:t>
      </w:r>
      <w:hyperlink r:id="rId11" w:history="1">
        <w:r w:rsidRPr="0055335A">
          <w:rPr>
            <w:rStyle w:val="Hyperlink"/>
            <w:rFonts w:ascii="Arial Narrow" w:hAnsi="Arial Narrow"/>
            <w:lang w:val="sq-AL"/>
          </w:rPr>
          <w:t>http://www.instat.gov.al/en/publications/books/2020/labour-market-2019/</w:t>
        </w:r>
      </w:hyperlink>
    </w:p>
  </w:footnote>
  <w:footnote w:id="20">
    <w:p w14:paraId="0C108E28" w14:textId="77777777" w:rsidR="007651C4" w:rsidRPr="0055335A" w:rsidRDefault="007651C4" w:rsidP="002D3C56">
      <w:pPr>
        <w:pStyle w:val="FootnoteText"/>
        <w:rPr>
          <w:rFonts w:ascii="Arial Narrow" w:hAnsi="Arial Narrow"/>
          <w:lang w:val="sq-AL"/>
        </w:rPr>
      </w:pPr>
      <w:r w:rsidRPr="0055335A">
        <w:rPr>
          <w:rStyle w:val="FootnoteReference"/>
          <w:rFonts w:ascii="Arial Narrow" w:hAnsi="Arial Narrow"/>
          <w:lang w:val="sq-AL"/>
        </w:rPr>
        <w:footnoteRef/>
      </w:r>
      <w:r>
        <w:rPr>
          <w:rFonts w:ascii="Arial Narrow" w:hAnsi="Arial Narrow"/>
          <w:lang w:val="sq-AL"/>
        </w:rPr>
        <w:t xml:space="preserve"> Treguesi </w:t>
      </w:r>
      <w:r w:rsidRPr="0055335A">
        <w:rPr>
          <w:rFonts w:ascii="Arial Narrow" w:hAnsi="Arial Narrow"/>
          <w:lang w:val="sq-AL"/>
        </w:rPr>
        <w:t>10</w:t>
      </w:r>
      <w:r>
        <w:rPr>
          <w:rFonts w:ascii="Arial Narrow" w:hAnsi="Arial Narrow"/>
          <w:lang w:val="sq-AL"/>
        </w:rPr>
        <w:t xml:space="preserve"> është llogaritur sipas përkufizimit te </w:t>
      </w:r>
      <w:r w:rsidRPr="0055335A">
        <w:rPr>
          <w:rFonts w:ascii="Arial Narrow" w:hAnsi="Arial Narrow"/>
          <w:lang w:val="sq-AL"/>
        </w:rPr>
        <w:t xml:space="preserve">Eurostat </w:t>
      </w:r>
      <w:r>
        <w:rPr>
          <w:rFonts w:ascii="Arial Narrow" w:hAnsi="Arial Narrow"/>
          <w:lang w:val="sq-AL"/>
        </w:rPr>
        <w:t xml:space="preserve">dhe </w:t>
      </w:r>
      <w:r w:rsidRPr="0055335A">
        <w:rPr>
          <w:rFonts w:ascii="Arial Narrow" w:hAnsi="Arial Narrow"/>
          <w:lang w:val="sq-AL"/>
        </w:rPr>
        <w:t>2020</w:t>
      </w:r>
      <w:r>
        <w:rPr>
          <w:rFonts w:ascii="Arial Narrow" w:hAnsi="Arial Narrow"/>
          <w:lang w:val="sq-AL"/>
        </w:rPr>
        <w:t xml:space="preserve"> nuk është publikuar ende në bazën e te dhënave te Eurostat</w:t>
      </w:r>
      <w:r w:rsidRPr="0055335A">
        <w:rPr>
          <w:rFonts w:ascii="Arial Narrow" w:hAnsi="Arial Narrow"/>
          <w:lang w:val="sq-AL"/>
        </w:rPr>
        <w:t>.</w:t>
      </w:r>
    </w:p>
  </w:footnote>
  <w:footnote w:id="21">
    <w:p w14:paraId="722A5A36" w14:textId="77777777" w:rsidR="007651C4" w:rsidRPr="0055335A" w:rsidRDefault="007651C4" w:rsidP="002D3C56">
      <w:pPr>
        <w:pStyle w:val="FootnoteText"/>
        <w:rPr>
          <w:rFonts w:ascii="Arial Narrow" w:hAnsi="Arial Narrow"/>
          <w:lang w:val="sq-AL"/>
        </w:rPr>
      </w:pPr>
      <w:r w:rsidRPr="0055335A">
        <w:rPr>
          <w:rStyle w:val="FootnoteReference"/>
          <w:rFonts w:ascii="Arial Narrow" w:hAnsi="Arial Narrow"/>
          <w:lang w:val="sq-AL"/>
        </w:rPr>
        <w:footnoteRef/>
      </w:r>
      <w:r w:rsidRPr="0055335A">
        <w:rPr>
          <w:rFonts w:ascii="Arial Narrow" w:hAnsi="Arial Narrow"/>
          <w:lang w:val="sq-AL"/>
        </w:rPr>
        <w:t xml:space="preserve"> </w:t>
      </w:r>
      <w:hyperlink r:id="rId12" w:history="1">
        <w:r w:rsidRPr="0055335A">
          <w:rPr>
            <w:rStyle w:val="Hyperlink"/>
            <w:rFonts w:ascii="Arial Narrow" w:hAnsi="Arial Narrow"/>
            <w:lang w:val="sq-AL"/>
          </w:rPr>
          <w:t>https://ec.europa.eu/eurostat/databrowser/view/NAMA_10_A64__custom_1349853/default/Tabela?lang=en</w:t>
        </w:r>
      </w:hyperlink>
    </w:p>
    <w:p w14:paraId="5DD3C6F9" w14:textId="77777777" w:rsidR="007651C4" w:rsidRPr="0055335A" w:rsidRDefault="00EC750F" w:rsidP="002D3C56">
      <w:pPr>
        <w:pStyle w:val="FootnoteText"/>
        <w:rPr>
          <w:rFonts w:ascii="Arial Narrow" w:hAnsi="Arial Narrow"/>
          <w:lang w:val="sq-AL"/>
        </w:rPr>
      </w:pPr>
      <w:hyperlink r:id="rId13" w:anchor="tab2" w:history="1">
        <w:r w:rsidR="007651C4" w:rsidRPr="0055335A">
          <w:rPr>
            <w:rStyle w:val="Hyperlink"/>
            <w:rFonts w:ascii="Arial Narrow" w:hAnsi="Arial Narrow"/>
            <w:lang w:val="sq-AL"/>
          </w:rPr>
          <w:t>http://www.instat.gov.al/en/themes/economy-and-finance/national-accounts-gdp/#tab2</w:t>
        </w:r>
      </w:hyperlink>
    </w:p>
  </w:footnote>
  <w:footnote w:id="22">
    <w:p w14:paraId="208513F4" w14:textId="77777777" w:rsidR="007651C4" w:rsidRPr="0055335A" w:rsidRDefault="007651C4" w:rsidP="002D3C56">
      <w:pPr>
        <w:pStyle w:val="FootnoteText"/>
        <w:rPr>
          <w:rFonts w:ascii="Arial Narrow" w:hAnsi="Arial Narrow"/>
          <w:lang w:val="sq-AL"/>
        </w:rPr>
      </w:pPr>
      <w:r w:rsidRPr="0055335A">
        <w:rPr>
          <w:rStyle w:val="FootnoteReference"/>
          <w:rFonts w:ascii="Arial Narrow" w:hAnsi="Arial Narrow"/>
          <w:lang w:val="sq-AL"/>
        </w:rPr>
        <w:footnoteRef/>
      </w:r>
      <w:r w:rsidRPr="0055335A">
        <w:rPr>
          <w:rFonts w:ascii="Arial Narrow" w:hAnsi="Arial Narrow"/>
          <w:lang w:val="sq-AL"/>
        </w:rPr>
        <w:t xml:space="preserve"> </w:t>
      </w:r>
      <w:hyperlink r:id="rId14" w:history="1">
        <w:r w:rsidRPr="0055335A">
          <w:rPr>
            <w:rStyle w:val="Hyperlink"/>
            <w:rFonts w:ascii="Arial Narrow" w:hAnsi="Arial Narrow"/>
            <w:lang w:val="sq-AL"/>
          </w:rPr>
          <w:t>http://www.instat.gov.al/en/publications/books/2020/labour-market-2019/</w:t>
        </w:r>
      </w:hyperlink>
    </w:p>
  </w:footnote>
  <w:footnote w:id="23">
    <w:p w14:paraId="2C5B34C9" w14:textId="77777777" w:rsidR="007651C4" w:rsidRPr="0055335A" w:rsidRDefault="007651C4" w:rsidP="002D3C56">
      <w:pPr>
        <w:pStyle w:val="FootnoteText"/>
        <w:rPr>
          <w:rFonts w:ascii="Arial Narrow" w:hAnsi="Arial Narrow"/>
          <w:lang w:val="sq-AL"/>
        </w:rPr>
      </w:pPr>
      <w:r w:rsidRPr="0055335A">
        <w:rPr>
          <w:rStyle w:val="FootnoteReference"/>
          <w:rFonts w:ascii="Arial Narrow" w:hAnsi="Arial Narrow"/>
          <w:lang w:val="sq-AL"/>
        </w:rPr>
        <w:footnoteRef/>
      </w:r>
      <w:r w:rsidRPr="0055335A">
        <w:rPr>
          <w:rFonts w:ascii="Arial Narrow" w:hAnsi="Arial Narrow"/>
          <w:lang w:val="sq-AL"/>
        </w:rPr>
        <w:t xml:space="preserve"> </w:t>
      </w:r>
      <w:r w:rsidRPr="00BD11F8">
        <w:rPr>
          <w:rFonts w:ascii="Arial Narrow" w:hAnsi="Arial Narrow"/>
          <w:lang w:val="sq-AL"/>
        </w:rPr>
        <w:t>Sipas të dhënave zyrtare të raportuara nga MBZHR, kjo Tregues vlerësohet në rreth 41% për të gjitha seritë kohore</w:t>
      </w:r>
    </w:p>
  </w:footnote>
  <w:footnote w:id="24">
    <w:p w14:paraId="4204BEE3" w14:textId="77777777" w:rsidR="007651C4" w:rsidRPr="0055335A" w:rsidRDefault="007651C4" w:rsidP="002D3C56">
      <w:pPr>
        <w:pStyle w:val="FootnoteText"/>
        <w:rPr>
          <w:rFonts w:ascii="Arial Narrow" w:hAnsi="Arial Narrow"/>
          <w:lang w:val="sq-AL"/>
        </w:rPr>
      </w:pPr>
      <w:r w:rsidRPr="0055335A">
        <w:rPr>
          <w:rStyle w:val="FootnoteReference"/>
          <w:rFonts w:ascii="Arial Narrow" w:hAnsi="Arial Narrow"/>
          <w:lang w:val="sq-AL"/>
        </w:rPr>
        <w:footnoteRef/>
      </w:r>
      <w:r w:rsidRPr="0055335A">
        <w:rPr>
          <w:rFonts w:ascii="Arial Narrow" w:hAnsi="Arial Narrow"/>
          <w:lang w:val="sq-AL"/>
        </w:rPr>
        <w:t xml:space="preserve"> </w:t>
      </w:r>
      <w:hyperlink r:id="rId15" w:history="1">
        <w:r w:rsidRPr="0055335A">
          <w:rPr>
            <w:rStyle w:val="Hyperlink"/>
            <w:rFonts w:ascii="Arial Narrow" w:hAnsi="Arial Narrow"/>
            <w:lang w:val="sq-AL"/>
          </w:rPr>
          <w:t>https://ec.europa.eu/eurostat/databrowser/view/NAMA_10_A64__custom_1349853/default/Tabela?lang=en</w:t>
        </w:r>
      </w:hyperlink>
    </w:p>
    <w:p w14:paraId="4B1BE953" w14:textId="77777777" w:rsidR="007651C4" w:rsidRPr="0055335A" w:rsidRDefault="00EC750F" w:rsidP="002D3C56">
      <w:pPr>
        <w:pStyle w:val="FootnoteText"/>
        <w:rPr>
          <w:rFonts w:ascii="Arial Narrow" w:hAnsi="Arial Narrow"/>
          <w:lang w:val="sq-AL"/>
        </w:rPr>
      </w:pPr>
      <w:hyperlink r:id="rId16" w:anchor="tab2" w:history="1">
        <w:r w:rsidR="007651C4" w:rsidRPr="0055335A">
          <w:rPr>
            <w:rStyle w:val="Hyperlink"/>
            <w:rFonts w:ascii="Arial Narrow" w:hAnsi="Arial Narrow"/>
            <w:lang w:val="sq-AL"/>
          </w:rPr>
          <w:t>http://www.instat.gov.al/en/themes/economy-and-finance/national-accounts-gdp/#tab2</w:t>
        </w:r>
      </w:hyperlink>
    </w:p>
  </w:footnote>
  <w:footnote w:id="25">
    <w:p w14:paraId="08D2ED59" w14:textId="77777777" w:rsidR="007651C4" w:rsidRPr="0055335A" w:rsidRDefault="007651C4" w:rsidP="002D3C56">
      <w:pPr>
        <w:pStyle w:val="FootnoteText"/>
        <w:rPr>
          <w:rFonts w:ascii="Arial Narrow" w:hAnsi="Arial Narrow"/>
          <w:lang w:val="sq-AL"/>
        </w:rPr>
      </w:pPr>
      <w:r w:rsidRPr="0055335A">
        <w:rPr>
          <w:rStyle w:val="FootnoteReference"/>
          <w:rFonts w:ascii="Arial Narrow" w:hAnsi="Arial Narrow"/>
          <w:lang w:val="sq-AL"/>
        </w:rPr>
        <w:footnoteRef/>
      </w:r>
      <w:r w:rsidRPr="0055335A">
        <w:rPr>
          <w:rFonts w:ascii="Arial Narrow" w:hAnsi="Arial Narrow"/>
          <w:lang w:val="sq-AL"/>
        </w:rPr>
        <w:t xml:space="preserve"> </w:t>
      </w:r>
      <w:hyperlink r:id="rId17" w:history="1">
        <w:r w:rsidRPr="0055335A">
          <w:rPr>
            <w:rStyle w:val="Hyperlink"/>
            <w:rFonts w:ascii="Arial Narrow" w:hAnsi="Arial Narrow"/>
            <w:lang w:val="sq-AL"/>
          </w:rPr>
          <w:t>http://www.instat.gov.al/en/publications/books/2020/labour-market-2019/</w:t>
        </w:r>
      </w:hyperlink>
    </w:p>
  </w:footnote>
  <w:footnote w:id="26">
    <w:p w14:paraId="1EE81ACB" w14:textId="77777777" w:rsidR="007651C4" w:rsidRPr="0055335A" w:rsidRDefault="007651C4" w:rsidP="002D3C56">
      <w:pPr>
        <w:pStyle w:val="FootnoteText"/>
        <w:rPr>
          <w:rFonts w:ascii="Arial Narrow" w:hAnsi="Arial Narrow"/>
          <w:lang w:val="sq-AL"/>
        </w:rPr>
      </w:pPr>
      <w:r w:rsidRPr="0055335A">
        <w:rPr>
          <w:rStyle w:val="FootnoteReference"/>
          <w:rFonts w:ascii="Arial Narrow" w:hAnsi="Arial Narrow"/>
          <w:lang w:val="sq-AL"/>
        </w:rPr>
        <w:footnoteRef/>
      </w:r>
      <w:r w:rsidRPr="0055335A">
        <w:rPr>
          <w:rFonts w:ascii="Arial Narrow" w:hAnsi="Arial Narrow"/>
          <w:lang w:val="sq-AL"/>
        </w:rPr>
        <w:t xml:space="preserve"> </w:t>
      </w:r>
      <w:hyperlink r:id="rId18" w:history="1">
        <w:r w:rsidRPr="0055335A">
          <w:rPr>
            <w:rStyle w:val="Hyperlink"/>
            <w:rFonts w:ascii="Arial Narrow" w:hAnsi="Arial Narrow"/>
            <w:lang w:val="sq-AL"/>
          </w:rPr>
          <w:t>https://ec.europa.eu/eurostat/databrowser/view/NAMA_10_A64__custom_1349853/default/Tabela?lang=en</w:t>
        </w:r>
      </w:hyperlink>
    </w:p>
    <w:p w14:paraId="49589EB5" w14:textId="77777777" w:rsidR="007651C4" w:rsidRPr="0055335A" w:rsidRDefault="00EC750F" w:rsidP="002D3C56">
      <w:pPr>
        <w:pStyle w:val="FootnoteText"/>
        <w:rPr>
          <w:rFonts w:ascii="Arial Narrow" w:hAnsi="Arial Narrow"/>
          <w:lang w:val="sq-AL"/>
        </w:rPr>
      </w:pPr>
      <w:hyperlink r:id="rId19" w:anchor="tab2" w:history="1">
        <w:r w:rsidR="007651C4" w:rsidRPr="0055335A">
          <w:rPr>
            <w:rStyle w:val="Hyperlink"/>
            <w:rFonts w:ascii="Arial Narrow" w:hAnsi="Arial Narrow"/>
            <w:lang w:val="sq-AL"/>
          </w:rPr>
          <w:t>http://www.instat.gov.al/en/themes/economy-and-finance/national-accounts-gdp/#tab2</w:t>
        </w:r>
      </w:hyperlink>
    </w:p>
  </w:footnote>
  <w:footnote w:id="27">
    <w:p w14:paraId="67CD7219" w14:textId="77777777" w:rsidR="007651C4" w:rsidRPr="0055335A" w:rsidRDefault="007651C4" w:rsidP="002D3C56">
      <w:pPr>
        <w:pStyle w:val="FootnoteText"/>
        <w:rPr>
          <w:rFonts w:ascii="Arial Narrow" w:hAnsi="Arial Narrow"/>
          <w:lang w:val="sq-AL"/>
        </w:rPr>
      </w:pPr>
      <w:r w:rsidRPr="0055335A">
        <w:rPr>
          <w:rStyle w:val="FootnoteReference"/>
          <w:rFonts w:ascii="Arial Narrow" w:hAnsi="Arial Narrow"/>
          <w:lang w:val="sq-AL"/>
        </w:rPr>
        <w:footnoteRef/>
      </w:r>
      <w:r w:rsidRPr="0055335A">
        <w:rPr>
          <w:rFonts w:ascii="Arial Narrow" w:hAnsi="Arial Narrow"/>
          <w:lang w:val="sq-AL"/>
        </w:rPr>
        <w:t xml:space="preserve"> </w:t>
      </w:r>
      <w:hyperlink r:id="rId20" w:history="1">
        <w:r w:rsidRPr="0055335A">
          <w:rPr>
            <w:rStyle w:val="Hyperlink"/>
            <w:rFonts w:ascii="Arial Narrow" w:hAnsi="Arial Narrow"/>
            <w:lang w:val="sq-AL"/>
          </w:rPr>
          <w:t>http://www.instat.gov.al/en/publications/books/2020/labour-market-2019/</w:t>
        </w:r>
      </w:hyperlink>
    </w:p>
  </w:footnote>
  <w:footnote w:id="28">
    <w:p w14:paraId="7449D91B" w14:textId="2141BB52" w:rsidR="007651C4" w:rsidRPr="0055335A" w:rsidRDefault="007651C4" w:rsidP="009D1DD3">
      <w:pPr>
        <w:pStyle w:val="FootnoteText"/>
        <w:rPr>
          <w:rFonts w:ascii="Arial Narrow" w:hAnsi="Arial Narrow"/>
          <w:lang w:val="sq-AL"/>
        </w:rPr>
      </w:pPr>
      <w:r w:rsidRPr="0055335A">
        <w:rPr>
          <w:rStyle w:val="FootnoteReference"/>
          <w:rFonts w:ascii="Arial Narrow" w:hAnsi="Arial Narrow"/>
          <w:lang w:val="sq-AL"/>
        </w:rPr>
        <w:footnoteRef/>
      </w:r>
      <w:r w:rsidRPr="0055335A">
        <w:rPr>
          <w:rFonts w:ascii="Arial Narrow" w:hAnsi="Arial Narrow"/>
          <w:lang w:val="sq-AL"/>
        </w:rPr>
        <w:t xml:space="preserve"> Shpenzimet kapitale i referohen zgidhjes për instant payment. Vlera e parashikuar është një vlerësim i mbështetur në eksperiencën e vendeve të tjera. Investimi do të mbulohet nga subjekte/aktorë privat të tregut. </w:t>
      </w:r>
    </w:p>
  </w:footnote>
  <w:footnote w:id="29">
    <w:p w14:paraId="6C507924" w14:textId="0B2616E3" w:rsidR="007651C4" w:rsidRPr="0055335A" w:rsidRDefault="007651C4" w:rsidP="00E06E0F">
      <w:pPr>
        <w:pStyle w:val="FootnoteText"/>
        <w:rPr>
          <w:rFonts w:ascii="Arial Narrow" w:hAnsi="Arial Narrow"/>
          <w:lang w:val="sq-AL"/>
        </w:rPr>
      </w:pPr>
      <w:r w:rsidRPr="0055335A">
        <w:rPr>
          <w:rStyle w:val="FootnoteReference"/>
          <w:rFonts w:ascii="Arial Narrow" w:hAnsi="Arial Narrow"/>
          <w:color w:val="000000" w:themeColor="text1"/>
          <w:lang w:val="sq-AL"/>
        </w:rPr>
        <w:footnoteRef/>
      </w:r>
      <w:r w:rsidRPr="0055335A">
        <w:rPr>
          <w:rFonts w:ascii="Arial Narrow" w:hAnsi="Arial Narrow"/>
          <w:color w:val="000000" w:themeColor="text1"/>
          <w:lang w:val="sq-AL"/>
        </w:rPr>
        <w:t xml:space="preserve"> The construction company shall determine the Rrogat, as appropriate. By now, Rrogat to the Project Implementation Unit, are executing/reporting, given the subsidies/transfers item of the HSH budgeting. </w:t>
      </w:r>
      <w:r w:rsidRPr="0055335A">
        <w:rPr>
          <w:rFonts w:ascii="Arial Narrow" w:hAnsi="Arial Narrow"/>
          <w:color w:val="000000" w:themeColor="text1"/>
          <w:highlight w:val="cyan"/>
          <w:lang w:val="sq-AL"/>
        </w:rPr>
        <w:t>THIS BUDGET IS NOT IN THE CIVIL WORK</w:t>
      </w:r>
    </w:p>
  </w:footnote>
  <w:footnote w:id="30">
    <w:p w14:paraId="6DBFE8D9" w14:textId="5F758455" w:rsidR="007651C4" w:rsidRPr="0055335A" w:rsidRDefault="007651C4" w:rsidP="007F2542">
      <w:pPr>
        <w:pStyle w:val="FootnoteText"/>
        <w:rPr>
          <w:rFonts w:ascii="Arial Narrow" w:hAnsi="Arial Narrow"/>
          <w:lang w:val="sq-AL"/>
        </w:rPr>
      </w:pPr>
      <w:r w:rsidRPr="0055335A">
        <w:rPr>
          <w:rStyle w:val="FootnoteReference"/>
          <w:rFonts w:ascii="Arial Narrow" w:hAnsi="Arial Narrow"/>
          <w:lang w:val="sq-AL"/>
        </w:rPr>
        <w:footnoteRef/>
      </w:r>
      <w:r w:rsidRPr="0055335A">
        <w:rPr>
          <w:rFonts w:ascii="Arial Narrow" w:hAnsi="Arial Narrow"/>
          <w:lang w:val="sq-AL"/>
        </w:rPr>
        <w:t xml:space="preserve"> </w:t>
      </w:r>
      <w:r w:rsidRPr="0055335A">
        <w:rPr>
          <w:rStyle w:val="FootnoteReference"/>
          <w:rFonts w:ascii="Arial Narrow" w:hAnsi="Arial Narrow" w:cstheme="minorHAnsi"/>
          <w:vertAlign w:val="baseline"/>
          <w:lang w:val="sq-AL"/>
        </w:rPr>
        <w:t>Asistencë Teknike me tre përfitues, shuma e papjestuar sipas viteve.</w:t>
      </w:r>
    </w:p>
  </w:footnote>
  <w:footnote w:id="31">
    <w:p w14:paraId="0209289F" w14:textId="7720FA22" w:rsidR="007651C4" w:rsidRPr="0055335A" w:rsidRDefault="007651C4" w:rsidP="009D1DD3">
      <w:pPr>
        <w:pStyle w:val="FootnoteText"/>
        <w:rPr>
          <w:rFonts w:ascii="Arial Narrow" w:hAnsi="Arial Narrow"/>
          <w:lang w:val="sq-AL"/>
        </w:rPr>
      </w:pPr>
      <w:r w:rsidRPr="0055335A">
        <w:rPr>
          <w:rStyle w:val="FootnoteReference"/>
          <w:rFonts w:ascii="Arial Narrow" w:hAnsi="Arial Narrow"/>
          <w:lang w:val="sq-AL"/>
        </w:rPr>
        <w:footnoteRef/>
      </w:r>
      <w:r w:rsidRPr="0055335A">
        <w:rPr>
          <w:rFonts w:ascii="Arial Narrow" w:hAnsi="Arial Narrow"/>
          <w:lang w:val="sq-AL"/>
        </w:rPr>
        <w:t xml:space="preserve"> Shpenzimet kapitale i referohen zgidhjes për instant payment. Vlera e parashikuar është një vlerësim i mbështetur në eksperiencën e vendeve të tjera.</w:t>
      </w:r>
    </w:p>
  </w:footnote>
  <w:footnote w:id="32">
    <w:p w14:paraId="22AC3B5E" w14:textId="77777777" w:rsidR="007651C4" w:rsidRPr="0055335A" w:rsidRDefault="007651C4" w:rsidP="00E06E0F">
      <w:pPr>
        <w:pStyle w:val="FootnoteText"/>
        <w:rPr>
          <w:rFonts w:ascii="Arial Narrow" w:hAnsi="Arial Narrow"/>
          <w:lang w:val="sq-AL"/>
        </w:rPr>
      </w:pPr>
      <w:r w:rsidRPr="0055335A">
        <w:rPr>
          <w:rStyle w:val="FootnoteReference"/>
          <w:rFonts w:ascii="Arial Narrow" w:hAnsi="Arial Narrow"/>
          <w:lang w:val="sq-AL"/>
        </w:rPr>
        <w:footnoteRef/>
      </w:r>
      <w:r w:rsidRPr="0055335A">
        <w:rPr>
          <w:rFonts w:ascii="Arial Narrow" w:hAnsi="Arial Narrow"/>
          <w:lang w:val="sq-AL"/>
        </w:rPr>
        <w:t xml:space="preserve"> Single Window and NCTS are projects funded by World Bank. The loan is in US Dollar. The value in Euro is calculated with the exchange rate 1 EUR = 1.61 USD.</w:t>
      </w:r>
    </w:p>
  </w:footnote>
  <w:footnote w:id="33">
    <w:p w14:paraId="446E5B17" w14:textId="77777777" w:rsidR="007651C4" w:rsidRPr="0055335A" w:rsidRDefault="007651C4" w:rsidP="00E06E0F">
      <w:pPr>
        <w:pStyle w:val="FootnoteText"/>
        <w:rPr>
          <w:rFonts w:ascii="Arial Narrow" w:hAnsi="Arial Narrow"/>
          <w:lang w:val="sq-AL"/>
        </w:rPr>
      </w:pPr>
      <w:r w:rsidRPr="0055335A">
        <w:rPr>
          <w:rStyle w:val="FootnoteReference"/>
          <w:rFonts w:ascii="Arial Narrow" w:hAnsi="Arial Narrow"/>
          <w:lang w:val="sq-AL"/>
        </w:rPr>
        <w:footnoteRef/>
      </w:r>
      <w:r w:rsidRPr="0055335A">
        <w:rPr>
          <w:rFonts w:ascii="Arial Narrow" w:hAnsi="Arial Narrow"/>
          <w:lang w:val="sq-AL"/>
        </w:rPr>
        <w:t xml:space="preserve"> Single Window and NCTS are projects funded by World Bank. The loan is in US Dollar. The value in Euro is calculated with the exchange rate 1 EUR = 1.61 USD.</w:t>
      </w:r>
    </w:p>
  </w:footnote>
  <w:footnote w:id="34">
    <w:p w14:paraId="58A9684E" w14:textId="77777777" w:rsidR="007651C4" w:rsidRPr="0055335A" w:rsidRDefault="007651C4" w:rsidP="00E06E0F">
      <w:pPr>
        <w:pStyle w:val="FootnoteText"/>
        <w:rPr>
          <w:rFonts w:ascii="Arial Narrow" w:hAnsi="Arial Narrow"/>
          <w:lang w:val="sq-AL"/>
        </w:rPr>
      </w:pPr>
      <w:r w:rsidRPr="0055335A">
        <w:rPr>
          <w:rStyle w:val="FootnoteReference"/>
          <w:rFonts w:ascii="Arial Narrow" w:hAnsi="Arial Narrow"/>
          <w:lang w:val="sq-AL"/>
        </w:rPr>
        <w:footnoteRef/>
      </w:r>
      <w:r w:rsidRPr="0055335A">
        <w:rPr>
          <w:rFonts w:ascii="Arial Narrow" w:hAnsi="Arial Narrow"/>
          <w:lang w:val="sq-AL"/>
        </w:rPr>
        <w:t xml:space="preserve"> The grant for those two projects are accorded by IFC</w:t>
      </w:r>
    </w:p>
  </w:footnote>
  <w:footnote w:id="35">
    <w:p w14:paraId="76136833" w14:textId="77777777" w:rsidR="007651C4" w:rsidRPr="0055335A" w:rsidRDefault="007651C4" w:rsidP="00E06E0F">
      <w:pPr>
        <w:pStyle w:val="FootnoteText"/>
        <w:rPr>
          <w:rFonts w:ascii="Arial Narrow" w:hAnsi="Arial Narrow"/>
          <w:lang w:val="sq-AL"/>
        </w:rPr>
      </w:pPr>
      <w:r w:rsidRPr="0055335A">
        <w:rPr>
          <w:rStyle w:val="FootnoteReference"/>
          <w:rFonts w:ascii="Arial Narrow" w:hAnsi="Arial Narrow"/>
          <w:lang w:val="sq-AL"/>
        </w:rPr>
        <w:footnoteRef/>
      </w:r>
      <w:r w:rsidRPr="0055335A">
        <w:rPr>
          <w:rFonts w:ascii="Arial Narrow" w:hAnsi="Arial Narrow"/>
          <w:lang w:val="sq-AL"/>
        </w:rPr>
        <w:t xml:space="preserve"> EUR 70 million for the completion of the Elbasan-Bitola interconnection line (EUR 50 million loan; EUR 15 million grant; EUR 5 million financing from the TSO). It has no direct impact on the state budget</w:t>
      </w:r>
    </w:p>
  </w:footnote>
  <w:footnote w:id="36">
    <w:p w14:paraId="43DE29E4" w14:textId="77777777" w:rsidR="007651C4" w:rsidRPr="0055335A" w:rsidRDefault="007651C4" w:rsidP="00E06E0F">
      <w:pPr>
        <w:pStyle w:val="FootnoteText"/>
        <w:rPr>
          <w:rFonts w:ascii="Arial Narrow" w:hAnsi="Arial Narrow"/>
          <w:color w:val="0D0D0D" w:themeColor="text1" w:themeTint="F2"/>
          <w:lang w:val="sq-AL"/>
        </w:rPr>
      </w:pPr>
      <w:r w:rsidRPr="0055335A">
        <w:rPr>
          <w:rStyle w:val="FootnoteReference"/>
          <w:rFonts w:ascii="Arial Narrow" w:hAnsi="Arial Narrow"/>
          <w:color w:val="0D0D0D" w:themeColor="text1" w:themeTint="F2"/>
          <w:lang w:val="sq-AL"/>
        </w:rPr>
        <w:footnoteRef/>
      </w:r>
      <w:r w:rsidRPr="0055335A">
        <w:rPr>
          <w:rFonts w:ascii="Arial Narrow" w:hAnsi="Arial Narrow"/>
          <w:color w:val="0D0D0D" w:themeColor="text1" w:themeTint="F2"/>
          <w:lang w:val="sq-AL"/>
        </w:rPr>
        <w:t xml:space="preserve"> 0=no implementation; 1=implementation is being prepared; 2=initial steps have been taken; 3=implementation ongoing with some initial results; 4=implementation is advanced; 5=full implementation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D042" w14:textId="387624A2" w:rsidR="007651C4" w:rsidRPr="002C526F" w:rsidRDefault="007651C4" w:rsidP="002C526F">
    <w:pPr>
      <w:pStyle w:val="Header"/>
      <w:rPr>
        <w:rFonts w:ascii="Arial Narrow" w:hAnsi="Arial Narrow" w:cs="Open Sans Condensed Light"/>
        <w:sz w:val="20"/>
        <w:lang w:val="sq-AL"/>
      </w:rPr>
    </w:pPr>
    <w:r w:rsidRPr="002C526F">
      <w:rPr>
        <w:rFonts w:ascii="Arial Narrow" w:hAnsi="Arial Narrow" w:cs="Open Sans Condensed Light"/>
        <w:sz w:val="20"/>
        <w:lang w:val="sq-AL"/>
      </w:rPr>
      <w:t xml:space="preserve">Programi </w:t>
    </w:r>
    <w:r>
      <w:rPr>
        <w:rFonts w:ascii="Arial Narrow" w:hAnsi="Arial Narrow" w:cs="Open Sans Condensed Light"/>
        <w:sz w:val="20"/>
        <w:lang w:val="sq-AL"/>
      </w:rPr>
      <w:t>i</w:t>
    </w:r>
    <w:r w:rsidRPr="002C526F">
      <w:rPr>
        <w:rFonts w:ascii="Arial Narrow" w:hAnsi="Arial Narrow" w:cs="Open Sans Condensed Light"/>
        <w:sz w:val="20"/>
        <w:lang w:val="sq-AL"/>
      </w:rPr>
      <w:t xml:space="preserve"> Reformave Ekonomike 2022-2024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8121153"/>
      <w:docPartObj>
        <w:docPartGallery w:val="Watermarks"/>
        <w:docPartUnique/>
      </w:docPartObj>
    </w:sdtPr>
    <w:sdtEndPr/>
    <w:sdtContent>
      <w:p w14:paraId="416A0DD0" w14:textId="749DAFDB" w:rsidR="007651C4" w:rsidRDefault="00EC750F">
        <w:pPr>
          <w:pStyle w:val="Header"/>
        </w:pPr>
        <w:r>
          <w:rPr>
            <w:noProof/>
            <w:lang w:val="en-US"/>
          </w:rPr>
          <w:pict w14:anchorId="2A0E7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7DEB"/>
    <w:multiLevelType w:val="hybridMultilevel"/>
    <w:tmpl w:val="C9542CB2"/>
    <w:lvl w:ilvl="0" w:tplc="F3B4FE9A">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nsid w:val="01D16D2B"/>
    <w:multiLevelType w:val="hybridMultilevel"/>
    <w:tmpl w:val="AC5A78C2"/>
    <w:lvl w:ilvl="0" w:tplc="F3B4FE9A">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nsid w:val="02007A32"/>
    <w:multiLevelType w:val="hybridMultilevel"/>
    <w:tmpl w:val="A6EE8E3A"/>
    <w:lvl w:ilvl="0" w:tplc="08090019">
      <w:start w:val="1"/>
      <w:numFmt w:val="lowerLetter"/>
      <w:lvlText w:val="%1."/>
      <w:lvlJc w:val="left"/>
      <w:pPr>
        <w:ind w:left="2100" w:hanging="360"/>
      </w:pPr>
    </w:lvl>
    <w:lvl w:ilvl="1" w:tplc="041C0019">
      <w:start w:val="1"/>
      <w:numFmt w:val="lowerLetter"/>
      <w:lvlText w:val="%2."/>
      <w:lvlJc w:val="left"/>
      <w:pPr>
        <w:ind w:left="2820" w:hanging="360"/>
      </w:pPr>
    </w:lvl>
    <w:lvl w:ilvl="2" w:tplc="041C001B" w:tentative="1">
      <w:start w:val="1"/>
      <w:numFmt w:val="lowerRoman"/>
      <w:lvlText w:val="%3."/>
      <w:lvlJc w:val="right"/>
      <w:pPr>
        <w:ind w:left="3540" w:hanging="180"/>
      </w:pPr>
    </w:lvl>
    <w:lvl w:ilvl="3" w:tplc="041C000F" w:tentative="1">
      <w:start w:val="1"/>
      <w:numFmt w:val="decimal"/>
      <w:lvlText w:val="%4."/>
      <w:lvlJc w:val="left"/>
      <w:pPr>
        <w:ind w:left="4260" w:hanging="360"/>
      </w:pPr>
    </w:lvl>
    <w:lvl w:ilvl="4" w:tplc="041C0019" w:tentative="1">
      <w:start w:val="1"/>
      <w:numFmt w:val="lowerLetter"/>
      <w:lvlText w:val="%5."/>
      <w:lvlJc w:val="left"/>
      <w:pPr>
        <w:ind w:left="4980" w:hanging="360"/>
      </w:pPr>
    </w:lvl>
    <w:lvl w:ilvl="5" w:tplc="041C001B" w:tentative="1">
      <w:start w:val="1"/>
      <w:numFmt w:val="lowerRoman"/>
      <w:lvlText w:val="%6."/>
      <w:lvlJc w:val="right"/>
      <w:pPr>
        <w:ind w:left="5700" w:hanging="180"/>
      </w:pPr>
    </w:lvl>
    <w:lvl w:ilvl="6" w:tplc="041C000F" w:tentative="1">
      <w:start w:val="1"/>
      <w:numFmt w:val="decimal"/>
      <w:lvlText w:val="%7."/>
      <w:lvlJc w:val="left"/>
      <w:pPr>
        <w:ind w:left="6420" w:hanging="360"/>
      </w:pPr>
    </w:lvl>
    <w:lvl w:ilvl="7" w:tplc="041C0019" w:tentative="1">
      <w:start w:val="1"/>
      <w:numFmt w:val="lowerLetter"/>
      <w:lvlText w:val="%8."/>
      <w:lvlJc w:val="left"/>
      <w:pPr>
        <w:ind w:left="7140" w:hanging="360"/>
      </w:pPr>
    </w:lvl>
    <w:lvl w:ilvl="8" w:tplc="041C001B" w:tentative="1">
      <w:start w:val="1"/>
      <w:numFmt w:val="lowerRoman"/>
      <w:lvlText w:val="%9."/>
      <w:lvlJc w:val="right"/>
      <w:pPr>
        <w:ind w:left="7860" w:hanging="180"/>
      </w:pPr>
    </w:lvl>
  </w:abstractNum>
  <w:abstractNum w:abstractNumId="3">
    <w:nsid w:val="02634CFA"/>
    <w:multiLevelType w:val="hybridMultilevel"/>
    <w:tmpl w:val="9740F898"/>
    <w:lvl w:ilvl="0" w:tplc="08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nsid w:val="028141BF"/>
    <w:multiLevelType w:val="hybridMultilevel"/>
    <w:tmpl w:val="F8185D3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60941BE"/>
    <w:multiLevelType w:val="hybridMultilevel"/>
    <w:tmpl w:val="5A7A6A56"/>
    <w:lvl w:ilvl="0" w:tplc="041C0019">
      <w:start w:val="1"/>
      <w:numFmt w:val="lowerLetter"/>
      <w:lvlText w:val="%1."/>
      <w:lvlJc w:val="left"/>
      <w:pPr>
        <w:ind w:left="144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nsid w:val="06767E70"/>
    <w:multiLevelType w:val="hybridMultilevel"/>
    <w:tmpl w:val="88DCD9E6"/>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nsid w:val="08611DF0"/>
    <w:multiLevelType w:val="hybridMultilevel"/>
    <w:tmpl w:val="41CC7B16"/>
    <w:lvl w:ilvl="0" w:tplc="FF0AD89E">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nsid w:val="0BD06D92"/>
    <w:multiLevelType w:val="hybridMultilevel"/>
    <w:tmpl w:val="B2864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B463DA"/>
    <w:multiLevelType w:val="hybridMultilevel"/>
    <w:tmpl w:val="BE4AC0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F22681"/>
    <w:multiLevelType w:val="hybridMultilevel"/>
    <w:tmpl w:val="CC268034"/>
    <w:lvl w:ilvl="0" w:tplc="CA0A6EBC">
      <w:start w:val="1"/>
      <w:numFmt w:val="decimal"/>
      <w:lvlText w:val="%1."/>
      <w:lvlJc w:val="left"/>
      <w:pPr>
        <w:ind w:left="720" w:hanging="360"/>
      </w:pPr>
      <w:rPr>
        <w:b/>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nsid w:val="0EA1676B"/>
    <w:multiLevelType w:val="hybridMultilevel"/>
    <w:tmpl w:val="BFCC97E2"/>
    <w:lvl w:ilvl="0" w:tplc="9D8C9174">
      <w:numFmt w:val="bullet"/>
      <w:lvlText w:val="-"/>
      <w:lvlJc w:val="left"/>
      <w:pPr>
        <w:ind w:left="1440" w:hanging="360"/>
      </w:pPr>
      <w:rPr>
        <w:rFonts w:ascii="Calibri" w:eastAsia="Calibri" w:hAnsi="Calibri" w:cs="Times New Roman"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nsid w:val="0F1B1E83"/>
    <w:multiLevelType w:val="hybridMultilevel"/>
    <w:tmpl w:val="B09E3A26"/>
    <w:lvl w:ilvl="0" w:tplc="FF0AD89E">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nsid w:val="10845813"/>
    <w:multiLevelType w:val="hybridMultilevel"/>
    <w:tmpl w:val="41CC7B16"/>
    <w:lvl w:ilvl="0" w:tplc="FF0AD89E">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nsid w:val="11761D02"/>
    <w:multiLevelType w:val="hybridMultilevel"/>
    <w:tmpl w:val="0F1CFA8C"/>
    <w:lvl w:ilvl="0" w:tplc="788C0684">
      <w:start w:val="1"/>
      <w:numFmt w:val="lowerRoman"/>
      <w:lvlText w:val="%1."/>
      <w:lvlJc w:val="left"/>
      <w:pPr>
        <w:ind w:left="720" w:hanging="360"/>
      </w:pPr>
      <w:rPr>
        <w:rFonts w:ascii="Times New Roman" w:hAnsi="Times New Roman" w:cs="Times New Roman" w:hint="default"/>
        <w:color w:val="000000"/>
        <w:sz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nsid w:val="11E76E75"/>
    <w:multiLevelType w:val="hybridMultilevel"/>
    <w:tmpl w:val="C9542CB2"/>
    <w:lvl w:ilvl="0" w:tplc="F3B4FE9A">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nsid w:val="12BB31A9"/>
    <w:multiLevelType w:val="hybridMultilevel"/>
    <w:tmpl w:val="9C9A4F4E"/>
    <w:lvl w:ilvl="0" w:tplc="C4A8E860">
      <w:numFmt w:val="bullet"/>
      <w:lvlText w:val="-"/>
      <w:lvlJc w:val="left"/>
      <w:pPr>
        <w:ind w:left="720" w:hanging="360"/>
      </w:pPr>
      <w:rPr>
        <w:rFonts w:ascii="Arial Narrow" w:eastAsiaTheme="minorHAnsi" w:hAnsi="Arial Narrow" w:cstheme="minorBid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nsid w:val="13776B88"/>
    <w:multiLevelType w:val="hybridMultilevel"/>
    <w:tmpl w:val="F558D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3F149C3"/>
    <w:multiLevelType w:val="hybridMultilevel"/>
    <w:tmpl w:val="88DCD9E6"/>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nsid w:val="15016AC6"/>
    <w:multiLevelType w:val="hybridMultilevel"/>
    <w:tmpl w:val="AC5A78C2"/>
    <w:lvl w:ilvl="0" w:tplc="F3B4FE9A">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nsid w:val="15A17275"/>
    <w:multiLevelType w:val="hybridMultilevel"/>
    <w:tmpl w:val="9740F898"/>
    <w:lvl w:ilvl="0" w:tplc="08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nsid w:val="16E87191"/>
    <w:multiLevelType w:val="hybridMultilevel"/>
    <w:tmpl w:val="C9542CB2"/>
    <w:lvl w:ilvl="0" w:tplc="F3B4FE9A">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nsid w:val="18774E70"/>
    <w:multiLevelType w:val="hybridMultilevel"/>
    <w:tmpl w:val="41CC7B16"/>
    <w:lvl w:ilvl="0" w:tplc="FF0AD89E">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nsid w:val="18F11211"/>
    <w:multiLevelType w:val="hybridMultilevel"/>
    <w:tmpl w:val="C9542CB2"/>
    <w:lvl w:ilvl="0" w:tplc="F3B4FE9A">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nsid w:val="19120E80"/>
    <w:multiLevelType w:val="hybridMultilevel"/>
    <w:tmpl w:val="E84E8678"/>
    <w:lvl w:ilvl="0" w:tplc="A84263FE">
      <w:numFmt w:val="bullet"/>
      <w:lvlText w:val="-"/>
      <w:lvlJc w:val="left"/>
      <w:pPr>
        <w:ind w:left="720" w:hanging="360"/>
      </w:pPr>
      <w:rPr>
        <w:rFonts w:ascii="Times New Roman" w:eastAsia="Calibri" w:hAnsi="Times New Roman" w:cs="Times New Roman"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nsid w:val="1AB1290E"/>
    <w:multiLevelType w:val="hybridMultilevel"/>
    <w:tmpl w:val="9740F898"/>
    <w:lvl w:ilvl="0" w:tplc="08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nsid w:val="1B2B0424"/>
    <w:multiLevelType w:val="hybridMultilevel"/>
    <w:tmpl w:val="9740F898"/>
    <w:lvl w:ilvl="0" w:tplc="08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nsid w:val="1B373343"/>
    <w:multiLevelType w:val="hybridMultilevel"/>
    <w:tmpl w:val="B09E3A26"/>
    <w:lvl w:ilvl="0" w:tplc="FF0AD89E">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nsid w:val="1BAC5B5B"/>
    <w:multiLevelType w:val="hybridMultilevel"/>
    <w:tmpl w:val="813073EC"/>
    <w:lvl w:ilvl="0" w:tplc="9D8C917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BBD5A84"/>
    <w:multiLevelType w:val="hybridMultilevel"/>
    <w:tmpl w:val="88DCD9E6"/>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nsid w:val="1C0D55F3"/>
    <w:multiLevelType w:val="hybridMultilevel"/>
    <w:tmpl w:val="9740F898"/>
    <w:lvl w:ilvl="0" w:tplc="08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nsid w:val="1EC23684"/>
    <w:multiLevelType w:val="hybridMultilevel"/>
    <w:tmpl w:val="9740F898"/>
    <w:lvl w:ilvl="0" w:tplc="08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
    <w:nsid w:val="1F215BB7"/>
    <w:multiLevelType w:val="multilevel"/>
    <w:tmpl w:val="8F3EB8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1F8F612F"/>
    <w:multiLevelType w:val="hybridMultilevel"/>
    <w:tmpl w:val="2FE82D1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4">
    <w:nsid w:val="20842655"/>
    <w:multiLevelType w:val="hybridMultilevel"/>
    <w:tmpl w:val="94BA2BE8"/>
    <w:lvl w:ilvl="0" w:tplc="9D8C9174">
      <w:numFmt w:val="bullet"/>
      <w:lvlText w:val="-"/>
      <w:lvlJc w:val="left"/>
      <w:pPr>
        <w:ind w:left="1440" w:hanging="360"/>
      </w:pPr>
      <w:rPr>
        <w:rFonts w:ascii="Calibri" w:eastAsia="Calibri" w:hAnsi="Calibri" w:cs="Times New Roman"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35">
    <w:nsid w:val="2200118D"/>
    <w:multiLevelType w:val="hybridMultilevel"/>
    <w:tmpl w:val="0B201BD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6">
    <w:nsid w:val="22BD6FE1"/>
    <w:multiLevelType w:val="hybridMultilevel"/>
    <w:tmpl w:val="AC5A78C2"/>
    <w:lvl w:ilvl="0" w:tplc="F3B4FE9A">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7">
    <w:nsid w:val="24A75F72"/>
    <w:multiLevelType w:val="hybridMultilevel"/>
    <w:tmpl w:val="EB14186E"/>
    <w:lvl w:ilvl="0" w:tplc="9D8C9174">
      <w:numFmt w:val="bullet"/>
      <w:lvlText w:val="-"/>
      <w:lvlJc w:val="left"/>
      <w:pPr>
        <w:ind w:left="720" w:hanging="360"/>
      </w:pPr>
      <w:rPr>
        <w:rFonts w:ascii="Calibri" w:eastAsia="Calibri" w:hAnsi="Calibri" w:cs="Times New Roman" w:hint="default"/>
      </w:rPr>
    </w:lvl>
    <w:lvl w:ilvl="1" w:tplc="FF0AD89E">
      <w:start w:val="1"/>
      <w:numFmt w:val="lowerLetter"/>
      <w:lvlText w:val="%2."/>
      <w:lvlJc w:val="left"/>
      <w:pPr>
        <w:ind w:left="1440" w:hanging="360"/>
      </w:pPr>
      <w:rPr>
        <w:b w:val="0"/>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nsid w:val="268E4030"/>
    <w:multiLevelType w:val="hybridMultilevel"/>
    <w:tmpl w:val="88DCD9E6"/>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nsid w:val="2694325F"/>
    <w:multiLevelType w:val="hybridMultilevel"/>
    <w:tmpl w:val="3A4A82E0"/>
    <w:lvl w:ilvl="0" w:tplc="08090019">
      <w:start w:val="1"/>
      <w:numFmt w:val="lowerLetter"/>
      <w:lvlText w:val="%1."/>
      <w:lvlJc w:val="left"/>
      <w:pPr>
        <w:ind w:left="2100" w:hanging="360"/>
      </w:pPr>
    </w:lvl>
    <w:lvl w:ilvl="1" w:tplc="041C0019" w:tentative="1">
      <w:start w:val="1"/>
      <w:numFmt w:val="lowerLetter"/>
      <w:lvlText w:val="%2."/>
      <w:lvlJc w:val="left"/>
      <w:pPr>
        <w:ind w:left="2820" w:hanging="360"/>
      </w:pPr>
    </w:lvl>
    <w:lvl w:ilvl="2" w:tplc="041C001B" w:tentative="1">
      <w:start w:val="1"/>
      <w:numFmt w:val="lowerRoman"/>
      <w:lvlText w:val="%3."/>
      <w:lvlJc w:val="right"/>
      <w:pPr>
        <w:ind w:left="3540" w:hanging="180"/>
      </w:pPr>
    </w:lvl>
    <w:lvl w:ilvl="3" w:tplc="041C000F" w:tentative="1">
      <w:start w:val="1"/>
      <w:numFmt w:val="decimal"/>
      <w:lvlText w:val="%4."/>
      <w:lvlJc w:val="left"/>
      <w:pPr>
        <w:ind w:left="4260" w:hanging="360"/>
      </w:pPr>
    </w:lvl>
    <w:lvl w:ilvl="4" w:tplc="041C0019" w:tentative="1">
      <w:start w:val="1"/>
      <w:numFmt w:val="lowerLetter"/>
      <w:lvlText w:val="%5."/>
      <w:lvlJc w:val="left"/>
      <w:pPr>
        <w:ind w:left="4980" w:hanging="360"/>
      </w:pPr>
    </w:lvl>
    <w:lvl w:ilvl="5" w:tplc="041C001B" w:tentative="1">
      <w:start w:val="1"/>
      <w:numFmt w:val="lowerRoman"/>
      <w:lvlText w:val="%6."/>
      <w:lvlJc w:val="right"/>
      <w:pPr>
        <w:ind w:left="5700" w:hanging="180"/>
      </w:pPr>
    </w:lvl>
    <w:lvl w:ilvl="6" w:tplc="041C000F" w:tentative="1">
      <w:start w:val="1"/>
      <w:numFmt w:val="decimal"/>
      <w:lvlText w:val="%7."/>
      <w:lvlJc w:val="left"/>
      <w:pPr>
        <w:ind w:left="6420" w:hanging="360"/>
      </w:pPr>
    </w:lvl>
    <w:lvl w:ilvl="7" w:tplc="041C0019" w:tentative="1">
      <w:start w:val="1"/>
      <w:numFmt w:val="lowerLetter"/>
      <w:lvlText w:val="%8."/>
      <w:lvlJc w:val="left"/>
      <w:pPr>
        <w:ind w:left="7140" w:hanging="360"/>
      </w:pPr>
    </w:lvl>
    <w:lvl w:ilvl="8" w:tplc="041C001B" w:tentative="1">
      <w:start w:val="1"/>
      <w:numFmt w:val="lowerRoman"/>
      <w:lvlText w:val="%9."/>
      <w:lvlJc w:val="right"/>
      <w:pPr>
        <w:ind w:left="7860" w:hanging="180"/>
      </w:pPr>
    </w:lvl>
  </w:abstractNum>
  <w:abstractNum w:abstractNumId="40">
    <w:nsid w:val="27EE20DD"/>
    <w:multiLevelType w:val="hybridMultilevel"/>
    <w:tmpl w:val="88DCD9E6"/>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1">
    <w:nsid w:val="28627C92"/>
    <w:multiLevelType w:val="multilevel"/>
    <w:tmpl w:val="881A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29710315"/>
    <w:multiLevelType w:val="hybridMultilevel"/>
    <w:tmpl w:val="88DCD9E6"/>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3">
    <w:nsid w:val="29793BFA"/>
    <w:multiLevelType w:val="hybridMultilevel"/>
    <w:tmpl w:val="B09E3A26"/>
    <w:lvl w:ilvl="0" w:tplc="FF0AD89E">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4">
    <w:nsid w:val="2C5B564D"/>
    <w:multiLevelType w:val="hybridMultilevel"/>
    <w:tmpl w:val="9740F898"/>
    <w:lvl w:ilvl="0" w:tplc="08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5">
    <w:nsid w:val="2D530892"/>
    <w:multiLevelType w:val="hybridMultilevel"/>
    <w:tmpl w:val="9740F898"/>
    <w:lvl w:ilvl="0" w:tplc="08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6">
    <w:nsid w:val="2E163B0D"/>
    <w:multiLevelType w:val="hybridMultilevel"/>
    <w:tmpl w:val="88DCD9E6"/>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7">
    <w:nsid w:val="30364E57"/>
    <w:multiLevelType w:val="multilevel"/>
    <w:tmpl w:val="665AEC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nsid w:val="33406C4F"/>
    <w:multiLevelType w:val="hybridMultilevel"/>
    <w:tmpl w:val="C9542CB2"/>
    <w:lvl w:ilvl="0" w:tplc="F3B4FE9A">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9">
    <w:nsid w:val="341A7C7B"/>
    <w:multiLevelType w:val="hybridMultilevel"/>
    <w:tmpl w:val="C9542CB2"/>
    <w:lvl w:ilvl="0" w:tplc="F3B4FE9A">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0">
    <w:nsid w:val="35066726"/>
    <w:multiLevelType w:val="hybridMultilevel"/>
    <w:tmpl w:val="DD3C05B2"/>
    <w:lvl w:ilvl="0" w:tplc="7BD88B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5C458D7"/>
    <w:multiLevelType w:val="hybridMultilevel"/>
    <w:tmpl w:val="AC5A78C2"/>
    <w:lvl w:ilvl="0" w:tplc="F3B4FE9A">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2">
    <w:nsid w:val="372F4505"/>
    <w:multiLevelType w:val="hybridMultilevel"/>
    <w:tmpl w:val="A6EE8E3A"/>
    <w:lvl w:ilvl="0" w:tplc="08090019">
      <w:start w:val="1"/>
      <w:numFmt w:val="lowerLetter"/>
      <w:lvlText w:val="%1."/>
      <w:lvlJc w:val="left"/>
      <w:pPr>
        <w:ind w:left="2100" w:hanging="360"/>
      </w:pPr>
    </w:lvl>
    <w:lvl w:ilvl="1" w:tplc="041C0019" w:tentative="1">
      <w:start w:val="1"/>
      <w:numFmt w:val="lowerLetter"/>
      <w:lvlText w:val="%2."/>
      <w:lvlJc w:val="left"/>
      <w:pPr>
        <w:ind w:left="2820" w:hanging="360"/>
      </w:pPr>
    </w:lvl>
    <w:lvl w:ilvl="2" w:tplc="041C001B" w:tentative="1">
      <w:start w:val="1"/>
      <w:numFmt w:val="lowerRoman"/>
      <w:lvlText w:val="%3."/>
      <w:lvlJc w:val="right"/>
      <w:pPr>
        <w:ind w:left="3540" w:hanging="180"/>
      </w:pPr>
    </w:lvl>
    <w:lvl w:ilvl="3" w:tplc="041C000F" w:tentative="1">
      <w:start w:val="1"/>
      <w:numFmt w:val="decimal"/>
      <w:lvlText w:val="%4."/>
      <w:lvlJc w:val="left"/>
      <w:pPr>
        <w:ind w:left="4260" w:hanging="360"/>
      </w:pPr>
    </w:lvl>
    <w:lvl w:ilvl="4" w:tplc="041C0019" w:tentative="1">
      <w:start w:val="1"/>
      <w:numFmt w:val="lowerLetter"/>
      <w:lvlText w:val="%5."/>
      <w:lvlJc w:val="left"/>
      <w:pPr>
        <w:ind w:left="4980" w:hanging="360"/>
      </w:pPr>
    </w:lvl>
    <w:lvl w:ilvl="5" w:tplc="041C001B" w:tentative="1">
      <w:start w:val="1"/>
      <w:numFmt w:val="lowerRoman"/>
      <w:lvlText w:val="%6."/>
      <w:lvlJc w:val="right"/>
      <w:pPr>
        <w:ind w:left="5700" w:hanging="180"/>
      </w:pPr>
    </w:lvl>
    <w:lvl w:ilvl="6" w:tplc="041C000F" w:tentative="1">
      <w:start w:val="1"/>
      <w:numFmt w:val="decimal"/>
      <w:lvlText w:val="%7."/>
      <w:lvlJc w:val="left"/>
      <w:pPr>
        <w:ind w:left="6420" w:hanging="360"/>
      </w:pPr>
    </w:lvl>
    <w:lvl w:ilvl="7" w:tplc="041C0019" w:tentative="1">
      <w:start w:val="1"/>
      <w:numFmt w:val="lowerLetter"/>
      <w:lvlText w:val="%8."/>
      <w:lvlJc w:val="left"/>
      <w:pPr>
        <w:ind w:left="7140" w:hanging="360"/>
      </w:pPr>
    </w:lvl>
    <w:lvl w:ilvl="8" w:tplc="041C001B" w:tentative="1">
      <w:start w:val="1"/>
      <w:numFmt w:val="lowerRoman"/>
      <w:lvlText w:val="%9."/>
      <w:lvlJc w:val="right"/>
      <w:pPr>
        <w:ind w:left="7860" w:hanging="180"/>
      </w:pPr>
    </w:lvl>
  </w:abstractNum>
  <w:abstractNum w:abstractNumId="53">
    <w:nsid w:val="398F5B5F"/>
    <w:multiLevelType w:val="hybridMultilevel"/>
    <w:tmpl w:val="9740F898"/>
    <w:lvl w:ilvl="0" w:tplc="08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4">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55">
    <w:nsid w:val="3E173606"/>
    <w:multiLevelType w:val="hybridMultilevel"/>
    <w:tmpl w:val="B09E3A26"/>
    <w:lvl w:ilvl="0" w:tplc="FF0AD89E">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6">
    <w:nsid w:val="3E795A01"/>
    <w:multiLevelType w:val="hybridMultilevel"/>
    <w:tmpl w:val="54385F16"/>
    <w:lvl w:ilvl="0" w:tplc="9D8C9174">
      <w:numFmt w:val="bullet"/>
      <w:lvlText w:val="-"/>
      <w:lvlJc w:val="left"/>
      <w:pPr>
        <w:ind w:left="1440" w:hanging="360"/>
      </w:pPr>
      <w:rPr>
        <w:rFonts w:ascii="Calibri" w:eastAsia="Calibri" w:hAnsi="Calibri" w:cs="Times New Roman"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57">
    <w:nsid w:val="409D14A8"/>
    <w:multiLevelType w:val="hybridMultilevel"/>
    <w:tmpl w:val="88DCD9E6"/>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8">
    <w:nsid w:val="41441222"/>
    <w:multiLevelType w:val="hybridMultilevel"/>
    <w:tmpl w:val="0A0CC876"/>
    <w:lvl w:ilvl="0" w:tplc="FF0AD89E">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9">
    <w:nsid w:val="42451498"/>
    <w:multiLevelType w:val="hybridMultilevel"/>
    <w:tmpl w:val="9740F898"/>
    <w:lvl w:ilvl="0" w:tplc="08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0">
    <w:nsid w:val="42916541"/>
    <w:multiLevelType w:val="hybridMultilevel"/>
    <w:tmpl w:val="9740F898"/>
    <w:lvl w:ilvl="0" w:tplc="08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1">
    <w:nsid w:val="42DC2111"/>
    <w:multiLevelType w:val="hybridMultilevel"/>
    <w:tmpl w:val="2E828722"/>
    <w:lvl w:ilvl="0" w:tplc="F3B4FE9A">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2">
    <w:nsid w:val="43537F72"/>
    <w:multiLevelType w:val="hybridMultilevel"/>
    <w:tmpl w:val="2E828722"/>
    <w:lvl w:ilvl="0" w:tplc="F3B4FE9A">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3">
    <w:nsid w:val="43926E9B"/>
    <w:multiLevelType w:val="hybridMultilevel"/>
    <w:tmpl w:val="338600FE"/>
    <w:lvl w:ilvl="0" w:tplc="04090019">
      <w:start w:val="1"/>
      <w:numFmt w:val="lowerLetter"/>
      <w:lvlText w:val="%1."/>
      <w:lvlJc w:val="left"/>
      <w:pPr>
        <w:ind w:left="720" w:hanging="360"/>
      </w:pPr>
      <w:rPr>
        <w:rFonts w:hint="default"/>
      </w:rPr>
    </w:lvl>
    <w:lvl w:ilvl="1" w:tplc="6F8020EE">
      <w:numFmt w:val="bullet"/>
      <w:lvlText w:val="-"/>
      <w:lvlJc w:val="left"/>
      <w:pPr>
        <w:ind w:left="45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3B71437"/>
    <w:multiLevelType w:val="hybridMultilevel"/>
    <w:tmpl w:val="B09E3A26"/>
    <w:lvl w:ilvl="0" w:tplc="FF0AD89E">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5">
    <w:nsid w:val="450C2120"/>
    <w:multiLevelType w:val="hybridMultilevel"/>
    <w:tmpl w:val="9740F898"/>
    <w:lvl w:ilvl="0" w:tplc="08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6">
    <w:nsid w:val="45AF11B8"/>
    <w:multiLevelType w:val="hybridMultilevel"/>
    <w:tmpl w:val="CACC922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7">
    <w:nsid w:val="463A72E4"/>
    <w:multiLevelType w:val="hybridMultilevel"/>
    <w:tmpl w:val="54C45936"/>
    <w:lvl w:ilvl="0" w:tplc="9D8C9174">
      <w:numFmt w:val="bullet"/>
      <w:lvlText w:val="-"/>
      <w:lvlJc w:val="left"/>
      <w:pPr>
        <w:ind w:left="720" w:hanging="360"/>
      </w:pPr>
      <w:rPr>
        <w:rFonts w:ascii="Calibri" w:eastAsia="Calibri" w:hAnsi="Calibri" w:cs="Times New Roman" w:hint="default"/>
      </w:rPr>
    </w:lvl>
    <w:lvl w:ilvl="1" w:tplc="F3B4FE9A">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47913A4E"/>
    <w:multiLevelType w:val="hybridMultilevel"/>
    <w:tmpl w:val="C9542CB2"/>
    <w:lvl w:ilvl="0" w:tplc="F3B4FE9A">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9">
    <w:nsid w:val="49515F75"/>
    <w:multiLevelType w:val="hybridMultilevel"/>
    <w:tmpl w:val="C9542CB2"/>
    <w:lvl w:ilvl="0" w:tplc="F3B4FE9A">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0">
    <w:nsid w:val="49F62F11"/>
    <w:multiLevelType w:val="hybridMultilevel"/>
    <w:tmpl w:val="9740F898"/>
    <w:lvl w:ilvl="0" w:tplc="08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1">
    <w:nsid w:val="4AF55C05"/>
    <w:multiLevelType w:val="hybridMultilevel"/>
    <w:tmpl w:val="2E828722"/>
    <w:lvl w:ilvl="0" w:tplc="F3B4FE9A">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2">
    <w:nsid w:val="4C261D84"/>
    <w:multiLevelType w:val="hybridMultilevel"/>
    <w:tmpl w:val="0A0CC876"/>
    <w:lvl w:ilvl="0" w:tplc="FF0AD89E">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3">
    <w:nsid w:val="4C8717F7"/>
    <w:multiLevelType w:val="hybridMultilevel"/>
    <w:tmpl w:val="88DCD9E6"/>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4">
    <w:nsid w:val="4DB6059E"/>
    <w:multiLevelType w:val="hybridMultilevel"/>
    <w:tmpl w:val="C9542CB2"/>
    <w:lvl w:ilvl="0" w:tplc="F3B4FE9A">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5">
    <w:nsid w:val="4E9C7663"/>
    <w:multiLevelType w:val="multilevel"/>
    <w:tmpl w:val="256AC32A"/>
    <w:lvl w:ilvl="0">
      <w:numFmt w:val="bullet"/>
      <w:lvlText w:val="-"/>
      <w:lvlJc w:val="left"/>
      <w:pPr>
        <w:tabs>
          <w:tab w:val="num" w:pos="720"/>
        </w:tabs>
        <w:ind w:left="720" w:hanging="720"/>
      </w:pPr>
      <w:rPr>
        <w:rFonts w:ascii="Calibri" w:eastAsia="Calibri" w:hAnsi="Calibri"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nsid w:val="4F924935"/>
    <w:multiLevelType w:val="hybridMultilevel"/>
    <w:tmpl w:val="AC5A78C2"/>
    <w:lvl w:ilvl="0" w:tplc="F3B4FE9A">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7">
    <w:nsid w:val="4FAC3ABA"/>
    <w:multiLevelType w:val="hybridMultilevel"/>
    <w:tmpl w:val="78BAD69A"/>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8">
    <w:nsid w:val="502B4705"/>
    <w:multiLevelType w:val="hybridMultilevel"/>
    <w:tmpl w:val="33443944"/>
    <w:lvl w:ilvl="0" w:tplc="6DEC6ADE">
      <w:start w:val="1"/>
      <w:numFmt w:val="lowerRoman"/>
      <w:lvlText w:val="(%1)"/>
      <w:lvlJc w:val="left"/>
      <w:pPr>
        <w:ind w:left="780" w:hanging="720"/>
      </w:pPr>
      <w:rPr>
        <w:rFonts w:hint="default"/>
      </w:rPr>
    </w:lvl>
    <w:lvl w:ilvl="1" w:tplc="041C0019">
      <w:start w:val="1"/>
      <w:numFmt w:val="lowerLetter"/>
      <w:lvlText w:val="%2."/>
      <w:lvlJc w:val="left"/>
      <w:pPr>
        <w:ind w:left="1140" w:hanging="360"/>
      </w:pPr>
    </w:lvl>
    <w:lvl w:ilvl="2" w:tplc="041C001B" w:tentative="1">
      <w:start w:val="1"/>
      <w:numFmt w:val="lowerRoman"/>
      <w:lvlText w:val="%3."/>
      <w:lvlJc w:val="right"/>
      <w:pPr>
        <w:ind w:left="1860" w:hanging="180"/>
      </w:pPr>
    </w:lvl>
    <w:lvl w:ilvl="3" w:tplc="041C000F" w:tentative="1">
      <w:start w:val="1"/>
      <w:numFmt w:val="decimal"/>
      <w:lvlText w:val="%4."/>
      <w:lvlJc w:val="left"/>
      <w:pPr>
        <w:ind w:left="2580" w:hanging="360"/>
      </w:pPr>
    </w:lvl>
    <w:lvl w:ilvl="4" w:tplc="041C0019" w:tentative="1">
      <w:start w:val="1"/>
      <w:numFmt w:val="lowerLetter"/>
      <w:lvlText w:val="%5."/>
      <w:lvlJc w:val="left"/>
      <w:pPr>
        <w:ind w:left="3300" w:hanging="360"/>
      </w:pPr>
    </w:lvl>
    <w:lvl w:ilvl="5" w:tplc="041C001B" w:tentative="1">
      <w:start w:val="1"/>
      <w:numFmt w:val="lowerRoman"/>
      <w:lvlText w:val="%6."/>
      <w:lvlJc w:val="right"/>
      <w:pPr>
        <w:ind w:left="4020" w:hanging="180"/>
      </w:pPr>
    </w:lvl>
    <w:lvl w:ilvl="6" w:tplc="041C000F" w:tentative="1">
      <w:start w:val="1"/>
      <w:numFmt w:val="decimal"/>
      <w:lvlText w:val="%7."/>
      <w:lvlJc w:val="left"/>
      <w:pPr>
        <w:ind w:left="4740" w:hanging="360"/>
      </w:pPr>
    </w:lvl>
    <w:lvl w:ilvl="7" w:tplc="041C0019" w:tentative="1">
      <w:start w:val="1"/>
      <w:numFmt w:val="lowerLetter"/>
      <w:lvlText w:val="%8."/>
      <w:lvlJc w:val="left"/>
      <w:pPr>
        <w:ind w:left="5460" w:hanging="360"/>
      </w:pPr>
    </w:lvl>
    <w:lvl w:ilvl="8" w:tplc="041C001B" w:tentative="1">
      <w:start w:val="1"/>
      <w:numFmt w:val="lowerRoman"/>
      <w:lvlText w:val="%9."/>
      <w:lvlJc w:val="right"/>
      <w:pPr>
        <w:ind w:left="6180" w:hanging="180"/>
      </w:pPr>
    </w:lvl>
  </w:abstractNum>
  <w:abstractNum w:abstractNumId="79">
    <w:nsid w:val="53EA05C8"/>
    <w:multiLevelType w:val="hybridMultilevel"/>
    <w:tmpl w:val="C9542CB2"/>
    <w:lvl w:ilvl="0" w:tplc="F3B4FE9A">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0">
    <w:nsid w:val="55C52584"/>
    <w:multiLevelType w:val="hybridMultilevel"/>
    <w:tmpl w:val="88DCD9E6"/>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1">
    <w:nsid w:val="568328D1"/>
    <w:multiLevelType w:val="multilevel"/>
    <w:tmpl w:val="1D48D37A"/>
    <w:lvl w:ilvl="0">
      <w:start w:val="1"/>
      <w:numFmt w:val="decimal"/>
      <w:lvlText w:val="%1."/>
      <w:lvlJc w:val="left"/>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57703C5C"/>
    <w:multiLevelType w:val="hybridMultilevel"/>
    <w:tmpl w:val="EE2257D4"/>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3">
    <w:nsid w:val="59555DC0"/>
    <w:multiLevelType w:val="hybridMultilevel"/>
    <w:tmpl w:val="AC5A78C2"/>
    <w:lvl w:ilvl="0" w:tplc="F3B4FE9A">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4">
    <w:nsid w:val="595A09F8"/>
    <w:multiLevelType w:val="hybridMultilevel"/>
    <w:tmpl w:val="A6EE8E3A"/>
    <w:lvl w:ilvl="0" w:tplc="08090019">
      <w:start w:val="1"/>
      <w:numFmt w:val="lowerLetter"/>
      <w:lvlText w:val="%1."/>
      <w:lvlJc w:val="left"/>
      <w:pPr>
        <w:ind w:left="2100" w:hanging="360"/>
      </w:pPr>
    </w:lvl>
    <w:lvl w:ilvl="1" w:tplc="041C0019" w:tentative="1">
      <w:start w:val="1"/>
      <w:numFmt w:val="lowerLetter"/>
      <w:lvlText w:val="%2."/>
      <w:lvlJc w:val="left"/>
      <w:pPr>
        <w:ind w:left="2820" w:hanging="360"/>
      </w:pPr>
    </w:lvl>
    <w:lvl w:ilvl="2" w:tplc="041C001B" w:tentative="1">
      <w:start w:val="1"/>
      <w:numFmt w:val="lowerRoman"/>
      <w:lvlText w:val="%3."/>
      <w:lvlJc w:val="right"/>
      <w:pPr>
        <w:ind w:left="3540" w:hanging="180"/>
      </w:pPr>
    </w:lvl>
    <w:lvl w:ilvl="3" w:tplc="041C000F" w:tentative="1">
      <w:start w:val="1"/>
      <w:numFmt w:val="decimal"/>
      <w:lvlText w:val="%4."/>
      <w:lvlJc w:val="left"/>
      <w:pPr>
        <w:ind w:left="4260" w:hanging="360"/>
      </w:pPr>
    </w:lvl>
    <w:lvl w:ilvl="4" w:tplc="041C0019" w:tentative="1">
      <w:start w:val="1"/>
      <w:numFmt w:val="lowerLetter"/>
      <w:lvlText w:val="%5."/>
      <w:lvlJc w:val="left"/>
      <w:pPr>
        <w:ind w:left="4980" w:hanging="360"/>
      </w:pPr>
    </w:lvl>
    <w:lvl w:ilvl="5" w:tplc="041C001B" w:tentative="1">
      <w:start w:val="1"/>
      <w:numFmt w:val="lowerRoman"/>
      <w:lvlText w:val="%6."/>
      <w:lvlJc w:val="right"/>
      <w:pPr>
        <w:ind w:left="5700" w:hanging="180"/>
      </w:pPr>
    </w:lvl>
    <w:lvl w:ilvl="6" w:tplc="041C000F" w:tentative="1">
      <w:start w:val="1"/>
      <w:numFmt w:val="decimal"/>
      <w:lvlText w:val="%7."/>
      <w:lvlJc w:val="left"/>
      <w:pPr>
        <w:ind w:left="6420" w:hanging="360"/>
      </w:pPr>
    </w:lvl>
    <w:lvl w:ilvl="7" w:tplc="041C0019" w:tentative="1">
      <w:start w:val="1"/>
      <w:numFmt w:val="lowerLetter"/>
      <w:lvlText w:val="%8."/>
      <w:lvlJc w:val="left"/>
      <w:pPr>
        <w:ind w:left="7140" w:hanging="360"/>
      </w:pPr>
    </w:lvl>
    <w:lvl w:ilvl="8" w:tplc="041C001B" w:tentative="1">
      <w:start w:val="1"/>
      <w:numFmt w:val="lowerRoman"/>
      <w:lvlText w:val="%9."/>
      <w:lvlJc w:val="right"/>
      <w:pPr>
        <w:ind w:left="7860" w:hanging="180"/>
      </w:pPr>
    </w:lvl>
  </w:abstractNum>
  <w:abstractNum w:abstractNumId="85">
    <w:nsid w:val="59736B4F"/>
    <w:multiLevelType w:val="hybridMultilevel"/>
    <w:tmpl w:val="9740F898"/>
    <w:lvl w:ilvl="0" w:tplc="08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6">
    <w:nsid w:val="59C361CC"/>
    <w:multiLevelType w:val="hybridMultilevel"/>
    <w:tmpl w:val="3A4A82E0"/>
    <w:lvl w:ilvl="0" w:tplc="08090019">
      <w:start w:val="1"/>
      <w:numFmt w:val="lowerLetter"/>
      <w:lvlText w:val="%1."/>
      <w:lvlJc w:val="left"/>
      <w:pPr>
        <w:ind w:left="2100" w:hanging="360"/>
      </w:pPr>
    </w:lvl>
    <w:lvl w:ilvl="1" w:tplc="041C0019" w:tentative="1">
      <w:start w:val="1"/>
      <w:numFmt w:val="lowerLetter"/>
      <w:lvlText w:val="%2."/>
      <w:lvlJc w:val="left"/>
      <w:pPr>
        <w:ind w:left="2820" w:hanging="360"/>
      </w:pPr>
    </w:lvl>
    <w:lvl w:ilvl="2" w:tplc="041C001B" w:tentative="1">
      <w:start w:val="1"/>
      <w:numFmt w:val="lowerRoman"/>
      <w:lvlText w:val="%3."/>
      <w:lvlJc w:val="right"/>
      <w:pPr>
        <w:ind w:left="3540" w:hanging="180"/>
      </w:pPr>
    </w:lvl>
    <w:lvl w:ilvl="3" w:tplc="041C000F" w:tentative="1">
      <w:start w:val="1"/>
      <w:numFmt w:val="decimal"/>
      <w:lvlText w:val="%4."/>
      <w:lvlJc w:val="left"/>
      <w:pPr>
        <w:ind w:left="4260" w:hanging="360"/>
      </w:pPr>
    </w:lvl>
    <w:lvl w:ilvl="4" w:tplc="041C0019" w:tentative="1">
      <w:start w:val="1"/>
      <w:numFmt w:val="lowerLetter"/>
      <w:lvlText w:val="%5."/>
      <w:lvlJc w:val="left"/>
      <w:pPr>
        <w:ind w:left="4980" w:hanging="360"/>
      </w:pPr>
    </w:lvl>
    <w:lvl w:ilvl="5" w:tplc="041C001B" w:tentative="1">
      <w:start w:val="1"/>
      <w:numFmt w:val="lowerRoman"/>
      <w:lvlText w:val="%6."/>
      <w:lvlJc w:val="right"/>
      <w:pPr>
        <w:ind w:left="5700" w:hanging="180"/>
      </w:pPr>
    </w:lvl>
    <w:lvl w:ilvl="6" w:tplc="041C000F" w:tentative="1">
      <w:start w:val="1"/>
      <w:numFmt w:val="decimal"/>
      <w:lvlText w:val="%7."/>
      <w:lvlJc w:val="left"/>
      <w:pPr>
        <w:ind w:left="6420" w:hanging="360"/>
      </w:pPr>
    </w:lvl>
    <w:lvl w:ilvl="7" w:tplc="041C0019" w:tentative="1">
      <w:start w:val="1"/>
      <w:numFmt w:val="lowerLetter"/>
      <w:lvlText w:val="%8."/>
      <w:lvlJc w:val="left"/>
      <w:pPr>
        <w:ind w:left="7140" w:hanging="360"/>
      </w:pPr>
    </w:lvl>
    <w:lvl w:ilvl="8" w:tplc="041C001B" w:tentative="1">
      <w:start w:val="1"/>
      <w:numFmt w:val="lowerRoman"/>
      <w:lvlText w:val="%9."/>
      <w:lvlJc w:val="right"/>
      <w:pPr>
        <w:ind w:left="7860" w:hanging="180"/>
      </w:pPr>
    </w:lvl>
  </w:abstractNum>
  <w:abstractNum w:abstractNumId="87">
    <w:nsid w:val="5A041625"/>
    <w:multiLevelType w:val="hybridMultilevel"/>
    <w:tmpl w:val="E4E00126"/>
    <w:lvl w:ilvl="0" w:tplc="5022A1C8">
      <w:start w:val="1"/>
      <w:numFmt w:val="upp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8">
    <w:nsid w:val="5AD90F1D"/>
    <w:multiLevelType w:val="hybridMultilevel"/>
    <w:tmpl w:val="88DCD9E6"/>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9">
    <w:nsid w:val="5B301384"/>
    <w:multiLevelType w:val="hybridMultilevel"/>
    <w:tmpl w:val="2E828722"/>
    <w:lvl w:ilvl="0" w:tplc="F3B4FE9A">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0">
    <w:nsid w:val="5B9F3171"/>
    <w:multiLevelType w:val="hybridMultilevel"/>
    <w:tmpl w:val="9A0A0BD2"/>
    <w:lvl w:ilvl="0" w:tplc="08090019">
      <w:start w:val="1"/>
      <w:numFmt w:val="lowerLetter"/>
      <w:lvlText w:val="%1."/>
      <w:lvlJc w:val="left"/>
      <w:pPr>
        <w:ind w:left="2100" w:hanging="360"/>
      </w:pPr>
    </w:lvl>
    <w:lvl w:ilvl="1" w:tplc="B10E0040">
      <w:numFmt w:val="bullet"/>
      <w:lvlText w:val="•"/>
      <w:lvlJc w:val="left"/>
      <w:pPr>
        <w:ind w:left="2820" w:hanging="360"/>
      </w:pPr>
      <w:rPr>
        <w:rFonts w:ascii="Times New Roman" w:eastAsia="Calibri" w:hAnsi="Times New Roman" w:cs="Times New Roman" w:hint="default"/>
      </w:rPr>
    </w:lvl>
    <w:lvl w:ilvl="2" w:tplc="041C001B" w:tentative="1">
      <w:start w:val="1"/>
      <w:numFmt w:val="lowerRoman"/>
      <w:lvlText w:val="%3."/>
      <w:lvlJc w:val="right"/>
      <w:pPr>
        <w:ind w:left="3540" w:hanging="180"/>
      </w:pPr>
    </w:lvl>
    <w:lvl w:ilvl="3" w:tplc="041C000F" w:tentative="1">
      <w:start w:val="1"/>
      <w:numFmt w:val="decimal"/>
      <w:lvlText w:val="%4."/>
      <w:lvlJc w:val="left"/>
      <w:pPr>
        <w:ind w:left="4260" w:hanging="360"/>
      </w:pPr>
    </w:lvl>
    <w:lvl w:ilvl="4" w:tplc="041C0019" w:tentative="1">
      <w:start w:val="1"/>
      <w:numFmt w:val="lowerLetter"/>
      <w:lvlText w:val="%5."/>
      <w:lvlJc w:val="left"/>
      <w:pPr>
        <w:ind w:left="4980" w:hanging="360"/>
      </w:pPr>
    </w:lvl>
    <w:lvl w:ilvl="5" w:tplc="041C001B" w:tentative="1">
      <w:start w:val="1"/>
      <w:numFmt w:val="lowerRoman"/>
      <w:lvlText w:val="%6."/>
      <w:lvlJc w:val="right"/>
      <w:pPr>
        <w:ind w:left="5700" w:hanging="180"/>
      </w:pPr>
    </w:lvl>
    <w:lvl w:ilvl="6" w:tplc="041C000F" w:tentative="1">
      <w:start w:val="1"/>
      <w:numFmt w:val="decimal"/>
      <w:lvlText w:val="%7."/>
      <w:lvlJc w:val="left"/>
      <w:pPr>
        <w:ind w:left="6420" w:hanging="360"/>
      </w:pPr>
    </w:lvl>
    <w:lvl w:ilvl="7" w:tplc="041C0019" w:tentative="1">
      <w:start w:val="1"/>
      <w:numFmt w:val="lowerLetter"/>
      <w:lvlText w:val="%8."/>
      <w:lvlJc w:val="left"/>
      <w:pPr>
        <w:ind w:left="7140" w:hanging="360"/>
      </w:pPr>
    </w:lvl>
    <w:lvl w:ilvl="8" w:tplc="041C001B" w:tentative="1">
      <w:start w:val="1"/>
      <w:numFmt w:val="lowerRoman"/>
      <w:lvlText w:val="%9."/>
      <w:lvlJc w:val="right"/>
      <w:pPr>
        <w:ind w:left="7860" w:hanging="180"/>
      </w:pPr>
    </w:lvl>
  </w:abstractNum>
  <w:abstractNum w:abstractNumId="91">
    <w:nsid w:val="5F325AC5"/>
    <w:multiLevelType w:val="hybridMultilevel"/>
    <w:tmpl w:val="590EE886"/>
    <w:lvl w:ilvl="0" w:tplc="E422AF96">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5F626C73"/>
    <w:multiLevelType w:val="hybridMultilevel"/>
    <w:tmpl w:val="92CC3B96"/>
    <w:lvl w:ilvl="0" w:tplc="1A5C8C16">
      <w:start w:val="2"/>
      <w:numFmt w:val="bullet"/>
      <w:lvlText w:val="-"/>
      <w:lvlJc w:val="left"/>
      <w:pPr>
        <w:ind w:left="360" w:hanging="360"/>
      </w:pPr>
      <w:rPr>
        <w:rFonts w:ascii="Calibri" w:eastAsiaTheme="minorHAnsi" w:hAnsi="Calibri" w:cstheme="minorBidi" w:hint="default"/>
      </w:rPr>
    </w:lvl>
    <w:lvl w:ilvl="1" w:tplc="041C0003">
      <w:start w:val="1"/>
      <w:numFmt w:val="bullet"/>
      <w:lvlText w:val="o"/>
      <w:lvlJc w:val="left"/>
      <w:pPr>
        <w:ind w:left="1080" w:hanging="360"/>
      </w:pPr>
      <w:rPr>
        <w:rFonts w:ascii="Courier New" w:hAnsi="Courier New" w:cs="Courier New" w:hint="default"/>
      </w:rPr>
    </w:lvl>
    <w:lvl w:ilvl="2" w:tplc="7BD88B82">
      <w:numFmt w:val="bullet"/>
      <w:lvlText w:val="•"/>
      <w:lvlJc w:val="left"/>
      <w:pPr>
        <w:ind w:left="1800" w:hanging="360"/>
      </w:pPr>
      <w:rPr>
        <w:rFonts w:ascii="Times New Roman" w:eastAsia="Times New Roman" w:hAnsi="Times New Roman" w:cs="Times New Roman"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93">
    <w:nsid w:val="5FC835EE"/>
    <w:multiLevelType w:val="hybridMultilevel"/>
    <w:tmpl w:val="9E606DD4"/>
    <w:lvl w:ilvl="0" w:tplc="9D8C9174">
      <w:numFmt w:val="bullet"/>
      <w:lvlText w:val="-"/>
      <w:lvlJc w:val="left"/>
      <w:pPr>
        <w:ind w:left="1440" w:hanging="360"/>
      </w:pPr>
      <w:rPr>
        <w:rFonts w:ascii="Calibri" w:eastAsia="Calibri" w:hAnsi="Calibri" w:cs="Times New Roman"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4">
    <w:nsid w:val="60D17283"/>
    <w:multiLevelType w:val="hybridMultilevel"/>
    <w:tmpl w:val="93C0B8A6"/>
    <w:lvl w:ilvl="0" w:tplc="6C487FB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5">
    <w:nsid w:val="61110510"/>
    <w:multiLevelType w:val="hybridMultilevel"/>
    <w:tmpl w:val="C9542CB2"/>
    <w:lvl w:ilvl="0" w:tplc="F3B4FE9A">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6">
    <w:nsid w:val="61CC0CF1"/>
    <w:multiLevelType w:val="hybridMultilevel"/>
    <w:tmpl w:val="88DCD9E6"/>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7">
    <w:nsid w:val="62191C29"/>
    <w:multiLevelType w:val="hybridMultilevel"/>
    <w:tmpl w:val="B09E3A26"/>
    <w:lvl w:ilvl="0" w:tplc="FF0AD89E">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8">
    <w:nsid w:val="62F478A4"/>
    <w:multiLevelType w:val="hybridMultilevel"/>
    <w:tmpl w:val="A6EE8E3A"/>
    <w:lvl w:ilvl="0" w:tplc="08090019">
      <w:start w:val="1"/>
      <w:numFmt w:val="lowerLetter"/>
      <w:lvlText w:val="%1."/>
      <w:lvlJc w:val="left"/>
      <w:pPr>
        <w:ind w:left="2100" w:hanging="360"/>
      </w:pPr>
    </w:lvl>
    <w:lvl w:ilvl="1" w:tplc="041C0019" w:tentative="1">
      <w:start w:val="1"/>
      <w:numFmt w:val="lowerLetter"/>
      <w:lvlText w:val="%2."/>
      <w:lvlJc w:val="left"/>
      <w:pPr>
        <w:ind w:left="2820" w:hanging="360"/>
      </w:pPr>
    </w:lvl>
    <w:lvl w:ilvl="2" w:tplc="041C001B" w:tentative="1">
      <w:start w:val="1"/>
      <w:numFmt w:val="lowerRoman"/>
      <w:lvlText w:val="%3."/>
      <w:lvlJc w:val="right"/>
      <w:pPr>
        <w:ind w:left="3540" w:hanging="180"/>
      </w:pPr>
    </w:lvl>
    <w:lvl w:ilvl="3" w:tplc="041C000F" w:tentative="1">
      <w:start w:val="1"/>
      <w:numFmt w:val="decimal"/>
      <w:lvlText w:val="%4."/>
      <w:lvlJc w:val="left"/>
      <w:pPr>
        <w:ind w:left="4260" w:hanging="360"/>
      </w:pPr>
    </w:lvl>
    <w:lvl w:ilvl="4" w:tplc="041C0019" w:tentative="1">
      <w:start w:val="1"/>
      <w:numFmt w:val="lowerLetter"/>
      <w:lvlText w:val="%5."/>
      <w:lvlJc w:val="left"/>
      <w:pPr>
        <w:ind w:left="4980" w:hanging="360"/>
      </w:pPr>
    </w:lvl>
    <w:lvl w:ilvl="5" w:tplc="041C001B" w:tentative="1">
      <w:start w:val="1"/>
      <w:numFmt w:val="lowerRoman"/>
      <w:lvlText w:val="%6."/>
      <w:lvlJc w:val="right"/>
      <w:pPr>
        <w:ind w:left="5700" w:hanging="180"/>
      </w:pPr>
    </w:lvl>
    <w:lvl w:ilvl="6" w:tplc="041C000F" w:tentative="1">
      <w:start w:val="1"/>
      <w:numFmt w:val="decimal"/>
      <w:lvlText w:val="%7."/>
      <w:lvlJc w:val="left"/>
      <w:pPr>
        <w:ind w:left="6420" w:hanging="360"/>
      </w:pPr>
    </w:lvl>
    <w:lvl w:ilvl="7" w:tplc="041C0019" w:tentative="1">
      <w:start w:val="1"/>
      <w:numFmt w:val="lowerLetter"/>
      <w:lvlText w:val="%8."/>
      <w:lvlJc w:val="left"/>
      <w:pPr>
        <w:ind w:left="7140" w:hanging="360"/>
      </w:pPr>
    </w:lvl>
    <w:lvl w:ilvl="8" w:tplc="041C001B" w:tentative="1">
      <w:start w:val="1"/>
      <w:numFmt w:val="lowerRoman"/>
      <w:lvlText w:val="%9."/>
      <w:lvlJc w:val="right"/>
      <w:pPr>
        <w:ind w:left="7860" w:hanging="180"/>
      </w:pPr>
    </w:lvl>
  </w:abstractNum>
  <w:abstractNum w:abstractNumId="99">
    <w:nsid w:val="633243FF"/>
    <w:multiLevelType w:val="hybridMultilevel"/>
    <w:tmpl w:val="AC5A78C2"/>
    <w:lvl w:ilvl="0" w:tplc="F3B4FE9A">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0">
    <w:nsid w:val="635576F3"/>
    <w:multiLevelType w:val="hybridMultilevel"/>
    <w:tmpl w:val="3A4A82E0"/>
    <w:lvl w:ilvl="0" w:tplc="08090019">
      <w:start w:val="1"/>
      <w:numFmt w:val="lowerLetter"/>
      <w:lvlText w:val="%1."/>
      <w:lvlJc w:val="left"/>
      <w:pPr>
        <w:ind w:left="2100" w:hanging="360"/>
      </w:pPr>
    </w:lvl>
    <w:lvl w:ilvl="1" w:tplc="041C0019" w:tentative="1">
      <w:start w:val="1"/>
      <w:numFmt w:val="lowerLetter"/>
      <w:lvlText w:val="%2."/>
      <w:lvlJc w:val="left"/>
      <w:pPr>
        <w:ind w:left="2820" w:hanging="360"/>
      </w:pPr>
    </w:lvl>
    <w:lvl w:ilvl="2" w:tplc="041C001B" w:tentative="1">
      <w:start w:val="1"/>
      <w:numFmt w:val="lowerRoman"/>
      <w:lvlText w:val="%3."/>
      <w:lvlJc w:val="right"/>
      <w:pPr>
        <w:ind w:left="3540" w:hanging="180"/>
      </w:pPr>
    </w:lvl>
    <w:lvl w:ilvl="3" w:tplc="041C000F" w:tentative="1">
      <w:start w:val="1"/>
      <w:numFmt w:val="decimal"/>
      <w:lvlText w:val="%4."/>
      <w:lvlJc w:val="left"/>
      <w:pPr>
        <w:ind w:left="4260" w:hanging="360"/>
      </w:pPr>
    </w:lvl>
    <w:lvl w:ilvl="4" w:tplc="041C0019" w:tentative="1">
      <w:start w:val="1"/>
      <w:numFmt w:val="lowerLetter"/>
      <w:lvlText w:val="%5."/>
      <w:lvlJc w:val="left"/>
      <w:pPr>
        <w:ind w:left="4980" w:hanging="360"/>
      </w:pPr>
    </w:lvl>
    <w:lvl w:ilvl="5" w:tplc="041C001B" w:tentative="1">
      <w:start w:val="1"/>
      <w:numFmt w:val="lowerRoman"/>
      <w:lvlText w:val="%6."/>
      <w:lvlJc w:val="right"/>
      <w:pPr>
        <w:ind w:left="5700" w:hanging="180"/>
      </w:pPr>
    </w:lvl>
    <w:lvl w:ilvl="6" w:tplc="041C000F" w:tentative="1">
      <w:start w:val="1"/>
      <w:numFmt w:val="decimal"/>
      <w:lvlText w:val="%7."/>
      <w:lvlJc w:val="left"/>
      <w:pPr>
        <w:ind w:left="6420" w:hanging="360"/>
      </w:pPr>
    </w:lvl>
    <w:lvl w:ilvl="7" w:tplc="041C0019" w:tentative="1">
      <w:start w:val="1"/>
      <w:numFmt w:val="lowerLetter"/>
      <w:lvlText w:val="%8."/>
      <w:lvlJc w:val="left"/>
      <w:pPr>
        <w:ind w:left="7140" w:hanging="360"/>
      </w:pPr>
    </w:lvl>
    <w:lvl w:ilvl="8" w:tplc="041C001B" w:tentative="1">
      <w:start w:val="1"/>
      <w:numFmt w:val="lowerRoman"/>
      <w:lvlText w:val="%9."/>
      <w:lvlJc w:val="right"/>
      <w:pPr>
        <w:ind w:left="7860" w:hanging="180"/>
      </w:pPr>
    </w:lvl>
  </w:abstractNum>
  <w:abstractNum w:abstractNumId="101">
    <w:nsid w:val="65412F6D"/>
    <w:multiLevelType w:val="hybridMultilevel"/>
    <w:tmpl w:val="9740F898"/>
    <w:lvl w:ilvl="0" w:tplc="08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2">
    <w:nsid w:val="660B00D3"/>
    <w:multiLevelType w:val="hybridMultilevel"/>
    <w:tmpl w:val="8E8C298C"/>
    <w:lvl w:ilvl="0" w:tplc="2ABA82B0">
      <w:start w:val="1"/>
      <w:numFmt w:val="lowerLetter"/>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6A521E7"/>
    <w:multiLevelType w:val="multilevel"/>
    <w:tmpl w:val="9CA4C172"/>
    <w:lvl w:ilvl="0">
      <w:numFmt w:val="bullet"/>
      <w:lvlText w:val="-"/>
      <w:lvlJc w:val="left"/>
      <w:pPr>
        <w:tabs>
          <w:tab w:val="num" w:pos="720"/>
        </w:tabs>
        <w:ind w:left="720" w:hanging="720"/>
      </w:pPr>
      <w:rPr>
        <w:rFonts w:ascii="Calibri" w:eastAsia="Calibri" w:hAnsi="Calibri"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4">
    <w:nsid w:val="684E4BDC"/>
    <w:multiLevelType w:val="hybridMultilevel"/>
    <w:tmpl w:val="9740F898"/>
    <w:lvl w:ilvl="0" w:tplc="08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5">
    <w:nsid w:val="68C1130F"/>
    <w:multiLevelType w:val="hybridMultilevel"/>
    <w:tmpl w:val="C9542CB2"/>
    <w:lvl w:ilvl="0" w:tplc="F3B4FE9A">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6">
    <w:nsid w:val="692920F0"/>
    <w:multiLevelType w:val="hybridMultilevel"/>
    <w:tmpl w:val="88DCD9E6"/>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7">
    <w:nsid w:val="69FB0F7F"/>
    <w:multiLevelType w:val="hybridMultilevel"/>
    <w:tmpl w:val="3A4A82E0"/>
    <w:lvl w:ilvl="0" w:tplc="08090019">
      <w:start w:val="1"/>
      <w:numFmt w:val="lowerLetter"/>
      <w:lvlText w:val="%1."/>
      <w:lvlJc w:val="left"/>
      <w:pPr>
        <w:ind w:left="2100" w:hanging="360"/>
      </w:pPr>
    </w:lvl>
    <w:lvl w:ilvl="1" w:tplc="041C0019" w:tentative="1">
      <w:start w:val="1"/>
      <w:numFmt w:val="lowerLetter"/>
      <w:lvlText w:val="%2."/>
      <w:lvlJc w:val="left"/>
      <w:pPr>
        <w:ind w:left="2820" w:hanging="360"/>
      </w:pPr>
    </w:lvl>
    <w:lvl w:ilvl="2" w:tplc="041C001B" w:tentative="1">
      <w:start w:val="1"/>
      <w:numFmt w:val="lowerRoman"/>
      <w:lvlText w:val="%3."/>
      <w:lvlJc w:val="right"/>
      <w:pPr>
        <w:ind w:left="3540" w:hanging="180"/>
      </w:pPr>
    </w:lvl>
    <w:lvl w:ilvl="3" w:tplc="041C000F" w:tentative="1">
      <w:start w:val="1"/>
      <w:numFmt w:val="decimal"/>
      <w:lvlText w:val="%4."/>
      <w:lvlJc w:val="left"/>
      <w:pPr>
        <w:ind w:left="4260" w:hanging="360"/>
      </w:pPr>
    </w:lvl>
    <w:lvl w:ilvl="4" w:tplc="041C0019" w:tentative="1">
      <w:start w:val="1"/>
      <w:numFmt w:val="lowerLetter"/>
      <w:lvlText w:val="%5."/>
      <w:lvlJc w:val="left"/>
      <w:pPr>
        <w:ind w:left="4980" w:hanging="360"/>
      </w:pPr>
    </w:lvl>
    <w:lvl w:ilvl="5" w:tplc="041C001B" w:tentative="1">
      <w:start w:val="1"/>
      <w:numFmt w:val="lowerRoman"/>
      <w:lvlText w:val="%6."/>
      <w:lvlJc w:val="right"/>
      <w:pPr>
        <w:ind w:left="5700" w:hanging="180"/>
      </w:pPr>
    </w:lvl>
    <w:lvl w:ilvl="6" w:tplc="041C000F" w:tentative="1">
      <w:start w:val="1"/>
      <w:numFmt w:val="decimal"/>
      <w:lvlText w:val="%7."/>
      <w:lvlJc w:val="left"/>
      <w:pPr>
        <w:ind w:left="6420" w:hanging="360"/>
      </w:pPr>
    </w:lvl>
    <w:lvl w:ilvl="7" w:tplc="041C0019" w:tentative="1">
      <w:start w:val="1"/>
      <w:numFmt w:val="lowerLetter"/>
      <w:lvlText w:val="%8."/>
      <w:lvlJc w:val="left"/>
      <w:pPr>
        <w:ind w:left="7140" w:hanging="360"/>
      </w:pPr>
    </w:lvl>
    <w:lvl w:ilvl="8" w:tplc="041C001B" w:tentative="1">
      <w:start w:val="1"/>
      <w:numFmt w:val="lowerRoman"/>
      <w:lvlText w:val="%9."/>
      <w:lvlJc w:val="right"/>
      <w:pPr>
        <w:ind w:left="7860" w:hanging="180"/>
      </w:pPr>
    </w:lvl>
  </w:abstractNum>
  <w:abstractNum w:abstractNumId="108">
    <w:nsid w:val="6B5C7536"/>
    <w:multiLevelType w:val="hybridMultilevel"/>
    <w:tmpl w:val="88DCD9E6"/>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9">
    <w:nsid w:val="6CCC2075"/>
    <w:multiLevelType w:val="hybridMultilevel"/>
    <w:tmpl w:val="D4262F54"/>
    <w:lvl w:ilvl="0" w:tplc="041C0019">
      <w:start w:val="1"/>
      <w:numFmt w:val="lowerLetter"/>
      <w:lvlText w:val="%1."/>
      <w:lvlJc w:val="left"/>
      <w:pPr>
        <w:ind w:left="144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0">
    <w:nsid w:val="6D7622B9"/>
    <w:multiLevelType w:val="hybridMultilevel"/>
    <w:tmpl w:val="88DCD9E6"/>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1">
    <w:nsid w:val="6DF232C1"/>
    <w:multiLevelType w:val="hybridMultilevel"/>
    <w:tmpl w:val="3A4A82E0"/>
    <w:lvl w:ilvl="0" w:tplc="08090019">
      <w:start w:val="1"/>
      <w:numFmt w:val="lowerLetter"/>
      <w:lvlText w:val="%1."/>
      <w:lvlJc w:val="left"/>
      <w:pPr>
        <w:ind w:left="2100" w:hanging="360"/>
      </w:pPr>
    </w:lvl>
    <w:lvl w:ilvl="1" w:tplc="041C0019" w:tentative="1">
      <w:start w:val="1"/>
      <w:numFmt w:val="lowerLetter"/>
      <w:lvlText w:val="%2."/>
      <w:lvlJc w:val="left"/>
      <w:pPr>
        <w:ind w:left="2820" w:hanging="360"/>
      </w:pPr>
    </w:lvl>
    <w:lvl w:ilvl="2" w:tplc="041C001B" w:tentative="1">
      <w:start w:val="1"/>
      <w:numFmt w:val="lowerRoman"/>
      <w:lvlText w:val="%3."/>
      <w:lvlJc w:val="right"/>
      <w:pPr>
        <w:ind w:left="3540" w:hanging="180"/>
      </w:pPr>
    </w:lvl>
    <w:lvl w:ilvl="3" w:tplc="041C000F" w:tentative="1">
      <w:start w:val="1"/>
      <w:numFmt w:val="decimal"/>
      <w:lvlText w:val="%4."/>
      <w:lvlJc w:val="left"/>
      <w:pPr>
        <w:ind w:left="4260" w:hanging="360"/>
      </w:pPr>
    </w:lvl>
    <w:lvl w:ilvl="4" w:tplc="041C0019" w:tentative="1">
      <w:start w:val="1"/>
      <w:numFmt w:val="lowerLetter"/>
      <w:lvlText w:val="%5."/>
      <w:lvlJc w:val="left"/>
      <w:pPr>
        <w:ind w:left="4980" w:hanging="360"/>
      </w:pPr>
    </w:lvl>
    <w:lvl w:ilvl="5" w:tplc="041C001B" w:tentative="1">
      <w:start w:val="1"/>
      <w:numFmt w:val="lowerRoman"/>
      <w:lvlText w:val="%6."/>
      <w:lvlJc w:val="right"/>
      <w:pPr>
        <w:ind w:left="5700" w:hanging="180"/>
      </w:pPr>
    </w:lvl>
    <w:lvl w:ilvl="6" w:tplc="041C000F" w:tentative="1">
      <w:start w:val="1"/>
      <w:numFmt w:val="decimal"/>
      <w:lvlText w:val="%7."/>
      <w:lvlJc w:val="left"/>
      <w:pPr>
        <w:ind w:left="6420" w:hanging="360"/>
      </w:pPr>
    </w:lvl>
    <w:lvl w:ilvl="7" w:tplc="041C0019" w:tentative="1">
      <w:start w:val="1"/>
      <w:numFmt w:val="lowerLetter"/>
      <w:lvlText w:val="%8."/>
      <w:lvlJc w:val="left"/>
      <w:pPr>
        <w:ind w:left="7140" w:hanging="360"/>
      </w:pPr>
    </w:lvl>
    <w:lvl w:ilvl="8" w:tplc="041C001B" w:tentative="1">
      <w:start w:val="1"/>
      <w:numFmt w:val="lowerRoman"/>
      <w:lvlText w:val="%9."/>
      <w:lvlJc w:val="right"/>
      <w:pPr>
        <w:ind w:left="7860" w:hanging="180"/>
      </w:pPr>
    </w:lvl>
  </w:abstractNum>
  <w:abstractNum w:abstractNumId="112">
    <w:nsid w:val="6EDF2D53"/>
    <w:multiLevelType w:val="hybridMultilevel"/>
    <w:tmpl w:val="2E828722"/>
    <w:lvl w:ilvl="0" w:tplc="F3B4FE9A">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3">
    <w:nsid w:val="6F8F130C"/>
    <w:multiLevelType w:val="hybridMultilevel"/>
    <w:tmpl w:val="88DCD9E6"/>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4">
    <w:nsid w:val="6FD06076"/>
    <w:multiLevelType w:val="hybridMultilevel"/>
    <w:tmpl w:val="88DCD9E6"/>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5">
    <w:nsid w:val="70400966"/>
    <w:multiLevelType w:val="hybridMultilevel"/>
    <w:tmpl w:val="A1500DDA"/>
    <w:lvl w:ilvl="0" w:tplc="9D8C9174">
      <w:numFmt w:val="bullet"/>
      <w:lvlText w:val="-"/>
      <w:lvlJc w:val="left"/>
      <w:pPr>
        <w:ind w:left="720" w:hanging="360"/>
      </w:pPr>
      <w:rPr>
        <w:rFonts w:ascii="Calibri" w:eastAsia="Calibri" w:hAnsi="Calibri"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6">
    <w:nsid w:val="70FC36C8"/>
    <w:multiLevelType w:val="hybridMultilevel"/>
    <w:tmpl w:val="AD2CF3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72237905"/>
    <w:multiLevelType w:val="hybridMultilevel"/>
    <w:tmpl w:val="AC5A78C2"/>
    <w:lvl w:ilvl="0" w:tplc="F3B4FE9A">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8">
    <w:nsid w:val="72A3292F"/>
    <w:multiLevelType w:val="hybridMultilevel"/>
    <w:tmpl w:val="9740F898"/>
    <w:lvl w:ilvl="0" w:tplc="08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9">
    <w:nsid w:val="72A32CAF"/>
    <w:multiLevelType w:val="hybridMultilevel"/>
    <w:tmpl w:val="C9542CB2"/>
    <w:lvl w:ilvl="0" w:tplc="F3B4FE9A">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0">
    <w:nsid w:val="730E3407"/>
    <w:multiLevelType w:val="hybridMultilevel"/>
    <w:tmpl w:val="A6EE8E3A"/>
    <w:lvl w:ilvl="0" w:tplc="08090019">
      <w:start w:val="1"/>
      <w:numFmt w:val="lowerLetter"/>
      <w:lvlText w:val="%1."/>
      <w:lvlJc w:val="left"/>
      <w:pPr>
        <w:ind w:left="2100" w:hanging="360"/>
      </w:pPr>
    </w:lvl>
    <w:lvl w:ilvl="1" w:tplc="041C0019" w:tentative="1">
      <w:start w:val="1"/>
      <w:numFmt w:val="lowerLetter"/>
      <w:lvlText w:val="%2."/>
      <w:lvlJc w:val="left"/>
      <w:pPr>
        <w:ind w:left="2820" w:hanging="360"/>
      </w:pPr>
    </w:lvl>
    <w:lvl w:ilvl="2" w:tplc="041C001B" w:tentative="1">
      <w:start w:val="1"/>
      <w:numFmt w:val="lowerRoman"/>
      <w:lvlText w:val="%3."/>
      <w:lvlJc w:val="right"/>
      <w:pPr>
        <w:ind w:left="3540" w:hanging="180"/>
      </w:pPr>
    </w:lvl>
    <w:lvl w:ilvl="3" w:tplc="041C000F" w:tentative="1">
      <w:start w:val="1"/>
      <w:numFmt w:val="decimal"/>
      <w:lvlText w:val="%4."/>
      <w:lvlJc w:val="left"/>
      <w:pPr>
        <w:ind w:left="4260" w:hanging="360"/>
      </w:pPr>
    </w:lvl>
    <w:lvl w:ilvl="4" w:tplc="041C0019" w:tentative="1">
      <w:start w:val="1"/>
      <w:numFmt w:val="lowerLetter"/>
      <w:lvlText w:val="%5."/>
      <w:lvlJc w:val="left"/>
      <w:pPr>
        <w:ind w:left="4980" w:hanging="360"/>
      </w:pPr>
    </w:lvl>
    <w:lvl w:ilvl="5" w:tplc="041C001B" w:tentative="1">
      <w:start w:val="1"/>
      <w:numFmt w:val="lowerRoman"/>
      <w:lvlText w:val="%6."/>
      <w:lvlJc w:val="right"/>
      <w:pPr>
        <w:ind w:left="5700" w:hanging="180"/>
      </w:pPr>
    </w:lvl>
    <w:lvl w:ilvl="6" w:tplc="041C000F" w:tentative="1">
      <w:start w:val="1"/>
      <w:numFmt w:val="decimal"/>
      <w:lvlText w:val="%7."/>
      <w:lvlJc w:val="left"/>
      <w:pPr>
        <w:ind w:left="6420" w:hanging="360"/>
      </w:pPr>
    </w:lvl>
    <w:lvl w:ilvl="7" w:tplc="041C0019" w:tentative="1">
      <w:start w:val="1"/>
      <w:numFmt w:val="lowerLetter"/>
      <w:lvlText w:val="%8."/>
      <w:lvlJc w:val="left"/>
      <w:pPr>
        <w:ind w:left="7140" w:hanging="360"/>
      </w:pPr>
    </w:lvl>
    <w:lvl w:ilvl="8" w:tplc="041C001B" w:tentative="1">
      <w:start w:val="1"/>
      <w:numFmt w:val="lowerRoman"/>
      <w:lvlText w:val="%9."/>
      <w:lvlJc w:val="right"/>
      <w:pPr>
        <w:ind w:left="7860" w:hanging="180"/>
      </w:pPr>
    </w:lvl>
  </w:abstractNum>
  <w:abstractNum w:abstractNumId="121">
    <w:nsid w:val="74E256FC"/>
    <w:multiLevelType w:val="hybridMultilevel"/>
    <w:tmpl w:val="12C45356"/>
    <w:lvl w:ilvl="0" w:tplc="041C001B">
      <w:start w:val="1"/>
      <w:numFmt w:val="lowerRoman"/>
      <w:lvlText w:val="%1."/>
      <w:lvlJc w:val="righ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22">
    <w:nsid w:val="75576354"/>
    <w:multiLevelType w:val="hybridMultilevel"/>
    <w:tmpl w:val="9740F898"/>
    <w:lvl w:ilvl="0" w:tplc="08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3">
    <w:nsid w:val="75B02E66"/>
    <w:multiLevelType w:val="multilevel"/>
    <w:tmpl w:val="041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nsid w:val="75EB7711"/>
    <w:multiLevelType w:val="hybridMultilevel"/>
    <w:tmpl w:val="B09E3A26"/>
    <w:lvl w:ilvl="0" w:tplc="FF0AD89E">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5">
    <w:nsid w:val="773C147B"/>
    <w:multiLevelType w:val="hybridMultilevel"/>
    <w:tmpl w:val="B09E3A26"/>
    <w:lvl w:ilvl="0" w:tplc="FF0AD89E">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6">
    <w:nsid w:val="7791379B"/>
    <w:multiLevelType w:val="multilevel"/>
    <w:tmpl w:val="BFB62248"/>
    <w:lvl w:ilvl="0">
      <w:start w:val="1"/>
      <w:numFmt w:val="bullet"/>
      <w:pStyle w:val="ECABullets"/>
      <w:lvlText w:val=""/>
      <w:lvlJc w:val="left"/>
      <w:pPr>
        <w:tabs>
          <w:tab w:val="num" w:pos="1134"/>
        </w:tabs>
        <w:ind w:left="1134" w:hanging="567"/>
      </w:pPr>
      <w:rPr>
        <w:rFonts w:ascii="Monotype Sorts" w:hAnsi="Monotype Sorts" w:hint="default"/>
        <w:sz w:val="22"/>
      </w:rPr>
    </w:lvl>
    <w:lvl w:ilvl="1">
      <w:start w:val="1"/>
      <w:numFmt w:val="bullet"/>
      <w:pStyle w:val="ECABulletsSub"/>
      <w:lvlText w:val=""/>
      <w:lvlJc w:val="left"/>
      <w:pPr>
        <w:tabs>
          <w:tab w:val="num" w:pos="1701"/>
        </w:tabs>
        <w:ind w:left="1701" w:hanging="567"/>
      </w:pPr>
      <w:rPr>
        <w:rFonts w:ascii="Monotype Sorts" w:hAnsi="Monotype Sorts" w:hint="default"/>
        <w:sz w:val="16"/>
      </w:rPr>
    </w:lvl>
    <w:lvl w:ilvl="2">
      <w:start w:val="1"/>
      <w:numFmt w:val="bullet"/>
      <w:lvlRestart w:val="0"/>
      <w:pStyle w:val="ECABulletsSub-Sub"/>
      <w:lvlText w:val=""/>
      <w:lvlJc w:val="left"/>
      <w:pPr>
        <w:tabs>
          <w:tab w:val="num" w:pos="2268"/>
        </w:tabs>
        <w:ind w:left="2268" w:hanging="567"/>
      </w:pPr>
      <w:rPr>
        <w:rFonts w:ascii="Wingdings" w:hAnsi="Wingdings" w:hint="default"/>
        <w:sz w:val="16"/>
      </w:rPr>
    </w:lvl>
    <w:lvl w:ilvl="3">
      <w:start w:val="1"/>
      <w:numFmt w:val="none"/>
      <w:lvlText w:val=""/>
      <w:lvlJc w:val="left"/>
      <w:pPr>
        <w:tabs>
          <w:tab w:val="num" w:pos="0"/>
        </w:tabs>
        <w:ind w:left="2214" w:hanging="360"/>
      </w:pPr>
      <w:rPr>
        <w:rFonts w:ascii="Symbol" w:hAnsi="Symbol" w:hint="default"/>
      </w:rPr>
    </w:lvl>
    <w:lvl w:ilvl="4">
      <w:start w:val="1"/>
      <w:numFmt w:val="none"/>
      <w:lvlText w:val="o"/>
      <w:lvlJc w:val="left"/>
      <w:pPr>
        <w:tabs>
          <w:tab w:val="num" w:pos="0"/>
        </w:tabs>
        <w:ind w:left="2574" w:hanging="360"/>
      </w:pPr>
      <w:rPr>
        <w:rFonts w:ascii="Courier New" w:hAnsi="Courier New" w:hint="default"/>
      </w:rPr>
    </w:lvl>
    <w:lvl w:ilvl="5">
      <w:start w:val="1"/>
      <w:numFmt w:val="none"/>
      <w:lvlText w:val=""/>
      <w:lvlJc w:val="left"/>
      <w:pPr>
        <w:tabs>
          <w:tab w:val="num" w:pos="0"/>
        </w:tabs>
        <w:ind w:left="2934" w:hanging="360"/>
      </w:pPr>
      <w:rPr>
        <w:rFonts w:ascii="Wingdings" w:hAnsi="Wingdings" w:hint="default"/>
      </w:rPr>
    </w:lvl>
    <w:lvl w:ilvl="6">
      <w:start w:val="1"/>
      <w:numFmt w:val="none"/>
      <w:lvlText w:val=""/>
      <w:lvlJc w:val="left"/>
      <w:pPr>
        <w:tabs>
          <w:tab w:val="num" w:pos="0"/>
        </w:tabs>
        <w:ind w:left="3294" w:hanging="360"/>
      </w:pPr>
      <w:rPr>
        <w:rFonts w:ascii="Symbol" w:hAnsi="Symbol" w:hint="default"/>
      </w:rPr>
    </w:lvl>
    <w:lvl w:ilvl="7">
      <w:start w:val="1"/>
      <w:numFmt w:val="none"/>
      <w:lvlText w:val="o"/>
      <w:lvlJc w:val="left"/>
      <w:pPr>
        <w:tabs>
          <w:tab w:val="num" w:pos="0"/>
        </w:tabs>
        <w:ind w:left="3654" w:hanging="360"/>
      </w:pPr>
      <w:rPr>
        <w:rFonts w:ascii="Courier New" w:hAnsi="Courier New" w:hint="default"/>
      </w:rPr>
    </w:lvl>
    <w:lvl w:ilvl="8">
      <w:start w:val="1"/>
      <w:numFmt w:val="none"/>
      <w:lvlText w:val=""/>
      <w:lvlJc w:val="left"/>
      <w:pPr>
        <w:tabs>
          <w:tab w:val="num" w:pos="0"/>
        </w:tabs>
        <w:ind w:left="4014" w:hanging="360"/>
      </w:pPr>
      <w:rPr>
        <w:rFonts w:ascii="Wingdings" w:hAnsi="Wingdings" w:hint="default"/>
      </w:rPr>
    </w:lvl>
  </w:abstractNum>
  <w:abstractNum w:abstractNumId="127">
    <w:nsid w:val="7884270C"/>
    <w:multiLevelType w:val="hybridMultilevel"/>
    <w:tmpl w:val="AC5A78C2"/>
    <w:lvl w:ilvl="0" w:tplc="F3B4FE9A">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8">
    <w:nsid w:val="789E089B"/>
    <w:multiLevelType w:val="hybridMultilevel"/>
    <w:tmpl w:val="A6EE8E3A"/>
    <w:lvl w:ilvl="0" w:tplc="08090019">
      <w:start w:val="1"/>
      <w:numFmt w:val="lowerLetter"/>
      <w:lvlText w:val="%1."/>
      <w:lvlJc w:val="left"/>
      <w:pPr>
        <w:ind w:left="2100" w:hanging="360"/>
      </w:pPr>
    </w:lvl>
    <w:lvl w:ilvl="1" w:tplc="041C0019" w:tentative="1">
      <w:start w:val="1"/>
      <w:numFmt w:val="lowerLetter"/>
      <w:lvlText w:val="%2."/>
      <w:lvlJc w:val="left"/>
      <w:pPr>
        <w:ind w:left="2820" w:hanging="360"/>
      </w:pPr>
    </w:lvl>
    <w:lvl w:ilvl="2" w:tplc="041C001B" w:tentative="1">
      <w:start w:val="1"/>
      <w:numFmt w:val="lowerRoman"/>
      <w:lvlText w:val="%3."/>
      <w:lvlJc w:val="right"/>
      <w:pPr>
        <w:ind w:left="3540" w:hanging="180"/>
      </w:pPr>
    </w:lvl>
    <w:lvl w:ilvl="3" w:tplc="041C000F" w:tentative="1">
      <w:start w:val="1"/>
      <w:numFmt w:val="decimal"/>
      <w:lvlText w:val="%4."/>
      <w:lvlJc w:val="left"/>
      <w:pPr>
        <w:ind w:left="4260" w:hanging="360"/>
      </w:pPr>
    </w:lvl>
    <w:lvl w:ilvl="4" w:tplc="041C0019" w:tentative="1">
      <w:start w:val="1"/>
      <w:numFmt w:val="lowerLetter"/>
      <w:lvlText w:val="%5."/>
      <w:lvlJc w:val="left"/>
      <w:pPr>
        <w:ind w:left="4980" w:hanging="360"/>
      </w:pPr>
    </w:lvl>
    <w:lvl w:ilvl="5" w:tplc="041C001B" w:tentative="1">
      <w:start w:val="1"/>
      <w:numFmt w:val="lowerRoman"/>
      <w:lvlText w:val="%6."/>
      <w:lvlJc w:val="right"/>
      <w:pPr>
        <w:ind w:left="5700" w:hanging="180"/>
      </w:pPr>
    </w:lvl>
    <w:lvl w:ilvl="6" w:tplc="041C000F" w:tentative="1">
      <w:start w:val="1"/>
      <w:numFmt w:val="decimal"/>
      <w:lvlText w:val="%7."/>
      <w:lvlJc w:val="left"/>
      <w:pPr>
        <w:ind w:left="6420" w:hanging="360"/>
      </w:pPr>
    </w:lvl>
    <w:lvl w:ilvl="7" w:tplc="041C0019" w:tentative="1">
      <w:start w:val="1"/>
      <w:numFmt w:val="lowerLetter"/>
      <w:lvlText w:val="%8."/>
      <w:lvlJc w:val="left"/>
      <w:pPr>
        <w:ind w:left="7140" w:hanging="360"/>
      </w:pPr>
    </w:lvl>
    <w:lvl w:ilvl="8" w:tplc="041C001B" w:tentative="1">
      <w:start w:val="1"/>
      <w:numFmt w:val="lowerRoman"/>
      <w:lvlText w:val="%9."/>
      <w:lvlJc w:val="right"/>
      <w:pPr>
        <w:ind w:left="7860" w:hanging="180"/>
      </w:pPr>
    </w:lvl>
  </w:abstractNum>
  <w:abstractNum w:abstractNumId="129">
    <w:nsid w:val="78C57DCC"/>
    <w:multiLevelType w:val="hybridMultilevel"/>
    <w:tmpl w:val="390A7E12"/>
    <w:lvl w:ilvl="0" w:tplc="189C598E">
      <w:start w:val="1"/>
      <w:numFmt w:val="decimal"/>
      <w:pStyle w:val="Heading6"/>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0">
    <w:nsid w:val="795C1614"/>
    <w:multiLevelType w:val="hybridMultilevel"/>
    <w:tmpl w:val="9740F898"/>
    <w:lvl w:ilvl="0" w:tplc="08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1">
    <w:nsid w:val="79D073FC"/>
    <w:multiLevelType w:val="hybridMultilevel"/>
    <w:tmpl w:val="C9542CB2"/>
    <w:lvl w:ilvl="0" w:tplc="F3B4FE9A">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2">
    <w:nsid w:val="79ED5E77"/>
    <w:multiLevelType w:val="hybridMultilevel"/>
    <w:tmpl w:val="B09E3A26"/>
    <w:lvl w:ilvl="0" w:tplc="FF0AD89E">
      <w:start w:val="1"/>
      <w:numFmt w:val="lowerLetter"/>
      <w:lvlText w:val="%1."/>
      <w:lvlJc w:val="left"/>
      <w:pPr>
        <w:ind w:left="144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3">
    <w:nsid w:val="7B89129C"/>
    <w:multiLevelType w:val="hybridMultilevel"/>
    <w:tmpl w:val="88DCD9E6"/>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4">
    <w:nsid w:val="7DF45B6B"/>
    <w:multiLevelType w:val="hybridMultilevel"/>
    <w:tmpl w:val="E0386310"/>
    <w:lvl w:ilvl="0" w:tplc="9D8C9174">
      <w:numFmt w:val="bullet"/>
      <w:lvlText w:val="-"/>
      <w:lvlJc w:val="left"/>
      <w:pPr>
        <w:ind w:left="720" w:hanging="360"/>
      </w:pPr>
      <w:rPr>
        <w:rFonts w:ascii="Calibri" w:eastAsia="Calibri" w:hAnsi="Calibri"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5">
    <w:nsid w:val="7E3F7FA9"/>
    <w:multiLevelType w:val="hybridMultilevel"/>
    <w:tmpl w:val="88DCD9E6"/>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6">
    <w:nsid w:val="7EAC5CE3"/>
    <w:multiLevelType w:val="hybridMultilevel"/>
    <w:tmpl w:val="E13E88DC"/>
    <w:lvl w:ilvl="0" w:tplc="E7EC02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3"/>
  </w:num>
  <w:num w:numId="2">
    <w:abstractNumId w:val="54"/>
  </w:num>
  <w:num w:numId="3">
    <w:abstractNumId w:val="84"/>
  </w:num>
  <w:num w:numId="4">
    <w:abstractNumId w:val="37"/>
  </w:num>
  <w:num w:numId="5">
    <w:abstractNumId w:val="29"/>
  </w:num>
  <w:num w:numId="6">
    <w:abstractNumId w:val="129"/>
  </w:num>
  <w:num w:numId="7">
    <w:abstractNumId w:val="60"/>
  </w:num>
  <w:num w:numId="8">
    <w:abstractNumId w:val="67"/>
  </w:num>
  <w:num w:numId="9">
    <w:abstractNumId w:val="126"/>
  </w:num>
  <w:num w:numId="10">
    <w:abstractNumId w:val="131"/>
  </w:num>
  <w:num w:numId="11">
    <w:abstractNumId w:val="128"/>
  </w:num>
  <w:num w:numId="12">
    <w:abstractNumId w:val="135"/>
  </w:num>
  <w:num w:numId="13">
    <w:abstractNumId w:val="20"/>
  </w:num>
  <w:num w:numId="14">
    <w:abstractNumId w:val="53"/>
  </w:num>
  <w:num w:numId="15">
    <w:abstractNumId w:val="13"/>
  </w:num>
  <w:num w:numId="16">
    <w:abstractNumId w:val="73"/>
  </w:num>
  <w:num w:numId="17">
    <w:abstractNumId w:val="2"/>
  </w:num>
  <w:num w:numId="18">
    <w:abstractNumId w:val="52"/>
  </w:num>
  <w:num w:numId="19">
    <w:abstractNumId w:val="96"/>
  </w:num>
  <w:num w:numId="20">
    <w:abstractNumId w:val="26"/>
  </w:num>
  <w:num w:numId="21">
    <w:abstractNumId w:val="27"/>
  </w:num>
  <w:num w:numId="22">
    <w:abstractNumId w:val="87"/>
  </w:num>
  <w:num w:numId="23">
    <w:abstractNumId w:val="40"/>
  </w:num>
  <w:num w:numId="24">
    <w:abstractNumId w:val="122"/>
  </w:num>
  <w:num w:numId="25">
    <w:abstractNumId w:val="72"/>
  </w:num>
  <w:num w:numId="26">
    <w:abstractNumId w:val="112"/>
  </w:num>
  <w:num w:numId="27">
    <w:abstractNumId w:val="95"/>
  </w:num>
  <w:num w:numId="28">
    <w:abstractNumId w:val="113"/>
  </w:num>
  <w:num w:numId="29">
    <w:abstractNumId w:val="130"/>
  </w:num>
  <w:num w:numId="30">
    <w:abstractNumId w:val="58"/>
  </w:num>
  <w:num w:numId="31">
    <w:abstractNumId w:val="61"/>
  </w:num>
  <w:num w:numId="32">
    <w:abstractNumId w:val="79"/>
  </w:num>
  <w:num w:numId="33">
    <w:abstractNumId w:val="6"/>
  </w:num>
  <w:num w:numId="34">
    <w:abstractNumId w:val="85"/>
  </w:num>
  <w:num w:numId="35">
    <w:abstractNumId w:val="7"/>
  </w:num>
  <w:num w:numId="36">
    <w:abstractNumId w:val="62"/>
  </w:num>
  <w:num w:numId="37">
    <w:abstractNumId w:val="21"/>
  </w:num>
  <w:num w:numId="38">
    <w:abstractNumId w:val="38"/>
  </w:num>
  <w:num w:numId="39">
    <w:abstractNumId w:val="45"/>
  </w:num>
  <w:num w:numId="40">
    <w:abstractNumId w:val="5"/>
  </w:num>
  <w:num w:numId="41">
    <w:abstractNumId w:val="71"/>
  </w:num>
  <w:num w:numId="42">
    <w:abstractNumId w:val="0"/>
  </w:num>
  <w:num w:numId="43">
    <w:abstractNumId w:val="108"/>
  </w:num>
  <w:num w:numId="44">
    <w:abstractNumId w:val="118"/>
  </w:num>
  <w:num w:numId="45">
    <w:abstractNumId w:val="22"/>
  </w:num>
  <w:num w:numId="46">
    <w:abstractNumId w:val="89"/>
  </w:num>
  <w:num w:numId="47">
    <w:abstractNumId w:val="19"/>
  </w:num>
  <w:num w:numId="48">
    <w:abstractNumId w:val="15"/>
  </w:num>
  <w:num w:numId="49">
    <w:abstractNumId w:val="121"/>
  </w:num>
  <w:num w:numId="50">
    <w:abstractNumId w:val="98"/>
  </w:num>
  <w:num w:numId="51">
    <w:abstractNumId w:val="114"/>
  </w:num>
  <w:num w:numId="52">
    <w:abstractNumId w:val="70"/>
  </w:num>
  <w:num w:numId="53">
    <w:abstractNumId w:val="97"/>
  </w:num>
  <w:num w:numId="54">
    <w:abstractNumId w:val="127"/>
  </w:num>
  <w:num w:numId="55">
    <w:abstractNumId w:val="49"/>
  </w:num>
  <w:num w:numId="56">
    <w:abstractNumId w:val="100"/>
  </w:num>
  <w:num w:numId="57">
    <w:abstractNumId w:val="125"/>
  </w:num>
  <w:num w:numId="58">
    <w:abstractNumId w:val="83"/>
  </w:num>
  <w:num w:numId="59">
    <w:abstractNumId w:val="74"/>
  </w:num>
  <w:num w:numId="60">
    <w:abstractNumId w:val="120"/>
  </w:num>
  <w:num w:numId="61">
    <w:abstractNumId w:val="110"/>
  </w:num>
  <w:num w:numId="62">
    <w:abstractNumId w:val="59"/>
  </w:num>
  <w:num w:numId="63">
    <w:abstractNumId w:val="64"/>
  </w:num>
  <w:num w:numId="64">
    <w:abstractNumId w:val="51"/>
  </w:num>
  <w:num w:numId="65">
    <w:abstractNumId w:val="119"/>
  </w:num>
  <w:num w:numId="66">
    <w:abstractNumId w:val="107"/>
  </w:num>
  <w:num w:numId="67">
    <w:abstractNumId w:val="88"/>
  </w:num>
  <w:num w:numId="68">
    <w:abstractNumId w:val="3"/>
  </w:num>
  <w:num w:numId="69">
    <w:abstractNumId w:val="93"/>
  </w:num>
  <w:num w:numId="70">
    <w:abstractNumId w:val="80"/>
  </w:num>
  <w:num w:numId="71">
    <w:abstractNumId w:val="104"/>
  </w:num>
  <w:num w:numId="72">
    <w:abstractNumId w:val="109"/>
  </w:num>
  <w:num w:numId="73">
    <w:abstractNumId w:val="46"/>
  </w:num>
  <w:num w:numId="74">
    <w:abstractNumId w:val="30"/>
  </w:num>
  <w:num w:numId="75">
    <w:abstractNumId w:val="11"/>
  </w:num>
  <w:num w:numId="76">
    <w:abstractNumId w:val="34"/>
  </w:num>
  <w:num w:numId="77">
    <w:abstractNumId w:val="56"/>
  </w:num>
  <w:num w:numId="78">
    <w:abstractNumId w:val="90"/>
  </w:num>
  <w:num w:numId="79">
    <w:abstractNumId w:val="44"/>
  </w:num>
  <w:num w:numId="80">
    <w:abstractNumId w:val="12"/>
  </w:num>
  <w:num w:numId="81">
    <w:abstractNumId w:val="76"/>
  </w:num>
  <w:num w:numId="82">
    <w:abstractNumId w:val="68"/>
  </w:num>
  <w:num w:numId="83">
    <w:abstractNumId w:val="133"/>
  </w:num>
  <w:num w:numId="84">
    <w:abstractNumId w:val="111"/>
  </w:num>
  <w:num w:numId="85">
    <w:abstractNumId w:val="18"/>
  </w:num>
  <w:num w:numId="86">
    <w:abstractNumId w:val="65"/>
  </w:num>
  <w:num w:numId="87">
    <w:abstractNumId w:val="132"/>
  </w:num>
  <w:num w:numId="88">
    <w:abstractNumId w:val="99"/>
  </w:num>
  <w:num w:numId="89">
    <w:abstractNumId w:val="23"/>
  </w:num>
  <w:num w:numId="90">
    <w:abstractNumId w:val="39"/>
  </w:num>
  <w:num w:numId="91">
    <w:abstractNumId w:val="57"/>
  </w:num>
  <w:num w:numId="92">
    <w:abstractNumId w:val="31"/>
  </w:num>
  <w:num w:numId="93">
    <w:abstractNumId w:val="43"/>
  </w:num>
  <w:num w:numId="94">
    <w:abstractNumId w:val="36"/>
  </w:num>
  <w:num w:numId="95">
    <w:abstractNumId w:val="69"/>
  </w:num>
  <w:num w:numId="96">
    <w:abstractNumId w:val="106"/>
  </w:num>
  <w:num w:numId="97">
    <w:abstractNumId w:val="25"/>
  </w:num>
  <w:num w:numId="98">
    <w:abstractNumId w:val="55"/>
  </w:num>
  <w:num w:numId="99">
    <w:abstractNumId w:val="1"/>
  </w:num>
  <w:num w:numId="100">
    <w:abstractNumId w:val="48"/>
  </w:num>
  <w:num w:numId="101">
    <w:abstractNumId w:val="42"/>
  </w:num>
  <w:num w:numId="102">
    <w:abstractNumId w:val="101"/>
  </w:num>
  <w:num w:numId="103">
    <w:abstractNumId w:val="124"/>
  </w:num>
  <w:num w:numId="104">
    <w:abstractNumId w:val="117"/>
  </w:num>
  <w:num w:numId="105">
    <w:abstractNumId w:val="105"/>
  </w:num>
  <w:num w:numId="106">
    <w:abstractNumId w:val="78"/>
  </w:num>
  <w:num w:numId="107">
    <w:abstractNumId w:val="86"/>
  </w:num>
  <w:num w:numId="108">
    <w:abstractNumId w:val="4"/>
  </w:num>
  <w:num w:numId="109">
    <w:abstractNumId w:val="9"/>
  </w:num>
  <w:num w:numId="110">
    <w:abstractNumId w:val="91"/>
  </w:num>
  <w:num w:numId="111">
    <w:abstractNumId w:val="16"/>
  </w:num>
  <w:num w:numId="112">
    <w:abstractNumId w:val="50"/>
  </w:num>
  <w:num w:numId="113">
    <w:abstractNumId w:val="63"/>
  </w:num>
  <w:num w:numId="114">
    <w:abstractNumId w:val="24"/>
  </w:num>
  <w:num w:numId="115">
    <w:abstractNumId w:val="82"/>
  </w:num>
  <w:num w:numId="116">
    <w:abstractNumId w:val="102"/>
  </w:num>
  <w:num w:numId="117">
    <w:abstractNumId w:val="94"/>
  </w:num>
  <w:num w:numId="118">
    <w:abstractNumId w:val="115"/>
  </w:num>
  <w:num w:numId="119">
    <w:abstractNumId w:val="136"/>
  </w:num>
  <w:num w:numId="1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7"/>
  </w:num>
  <w:num w:numId="123">
    <w:abstractNumId w:val="35"/>
  </w:num>
  <w:num w:numId="124">
    <w:abstractNumId w:val="17"/>
  </w:num>
  <w:num w:numId="125">
    <w:abstractNumId w:val="92"/>
  </w:num>
  <w:num w:numId="126">
    <w:abstractNumId w:val="8"/>
  </w:num>
  <w:num w:numId="127">
    <w:abstractNumId w:val="28"/>
  </w:num>
  <w:num w:numId="128">
    <w:abstractNumId w:val="134"/>
  </w:num>
  <w:num w:numId="129">
    <w:abstractNumId w:val="10"/>
  </w:num>
  <w:num w:numId="130">
    <w:abstractNumId w:val="14"/>
  </w:num>
  <w:num w:numId="131">
    <w:abstractNumId w:val="81"/>
  </w:num>
  <w:num w:numId="132">
    <w:abstractNumId w:val="41"/>
  </w:num>
  <w:num w:numId="133">
    <w:abstractNumId w:val="103"/>
  </w:num>
  <w:num w:numId="134">
    <w:abstractNumId w:val="66"/>
  </w:num>
  <w:num w:numId="135">
    <w:abstractNumId w:val="75"/>
  </w:num>
  <w:num w:numId="136">
    <w:abstractNumId w:val="116"/>
  </w:num>
  <w:num w:numId="137">
    <w:abstractNumId w:val="33"/>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6" w:nlCheck="1" w:checkStyle="0"/>
  <w:activeWritingStyle w:appName="MSWord" w:lang="en-US" w:vendorID="64" w:dllVersion="6" w:nlCheck="1" w:checkStyle="0"/>
  <w:activeWritingStyle w:appName="MSWord" w:lang="en-CA"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AU" w:vendorID="64" w:dllVersion="4096" w:nlCheck="1" w:checkStyle="0"/>
  <w:activeWritingStyle w:appName="MSWord" w:lang="fr-FR"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828"/>
    <w:rsid w:val="0000061B"/>
    <w:rsid w:val="00000803"/>
    <w:rsid w:val="0000098E"/>
    <w:rsid w:val="00000B37"/>
    <w:rsid w:val="00000CA7"/>
    <w:rsid w:val="000011FD"/>
    <w:rsid w:val="0000158C"/>
    <w:rsid w:val="00002520"/>
    <w:rsid w:val="00002F63"/>
    <w:rsid w:val="0000324D"/>
    <w:rsid w:val="00003690"/>
    <w:rsid w:val="00003A1B"/>
    <w:rsid w:val="00003B91"/>
    <w:rsid w:val="00004ED7"/>
    <w:rsid w:val="00004EF2"/>
    <w:rsid w:val="0000572F"/>
    <w:rsid w:val="00005D22"/>
    <w:rsid w:val="00006158"/>
    <w:rsid w:val="000063B0"/>
    <w:rsid w:val="0000674E"/>
    <w:rsid w:val="00006B67"/>
    <w:rsid w:val="00007073"/>
    <w:rsid w:val="000074E5"/>
    <w:rsid w:val="00007857"/>
    <w:rsid w:val="00007BF3"/>
    <w:rsid w:val="000100CB"/>
    <w:rsid w:val="00010B03"/>
    <w:rsid w:val="00010E38"/>
    <w:rsid w:val="00011192"/>
    <w:rsid w:val="0001123C"/>
    <w:rsid w:val="00011282"/>
    <w:rsid w:val="00011C08"/>
    <w:rsid w:val="00011DB8"/>
    <w:rsid w:val="00011ECF"/>
    <w:rsid w:val="00011EDF"/>
    <w:rsid w:val="00012135"/>
    <w:rsid w:val="0001460F"/>
    <w:rsid w:val="00014685"/>
    <w:rsid w:val="00014DD8"/>
    <w:rsid w:val="0001548F"/>
    <w:rsid w:val="0001581A"/>
    <w:rsid w:val="0001595B"/>
    <w:rsid w:val="00015E10"/>
    <w:rsid w:val="00015EDA"/>
    <w:rsid w:val="00016B5B"/>
    <w:rsid w:val="00016D6D"/>
    <w:rsid w:val="00016E18"/>
    <w:rsid w:val="000177DE"/>
    <w:rsid w:val="00017E93"/>
    <w:rsid w:val="0002088B"/>
    <w:rsid w:val="00020EB1"/>
    <w:rsid w:val="000210DE"/>
    <w:rsid w:val="000212A4"/>
    <w:rsid w:val="000214DA"/>
    <w:rsid w:val="00021B3B"/>
    <w:rsid w:val="00022197"/>
    <w:rsid w:val="0002223C"/>
    <w:rsid w:val="0002383C"/>
    <w:rsid w:val="0002386F"/>
    <w:rsid w:val="000238F1"/>
    <w:rsid w:val="000239A9"/>
    <w:rsid w:val="00023B75"/>
    <w:rsid w:val="0002429A"/>
    <w:rsid w:val="00024EB7"/>
    <w:rsid w:val="000254C4"/>
    <w:rsid w:val="0002562B"/>
    <w:rsid w:val="0002620E"/>
    <w:rsid w:val="0002636C"/>
    <w:rsid w:val="00026791"/>
    <w:rsid w:val="0002691E"/>
    <w:rsid w:val="00026EFA"/>
    <w:rsid w:val="0003004C"/>
    <w:rsid w:val="000315A3"/>
    <w:rsid w:val="00032678"/>
    <w:rsid w:val="000329C2"/>
    <w:rsid w:val="00032C8B"/>
    <w:rsid w:val="00032E85"/>
    <w:rsid w:val="00032EF2"/>
    <w:rsid w:val="000330CC"/>
    <w:rsid w:val="00033137"/>
    <w:rsid w:val="00033A09"/>
    <w:rsid w:val="00033D7D"/>
    <w:rsid w:val="00033DDD"/>
    <w:rsid w:val="0003477F"/>
    <w:rsid w:val="00034CC4"/>
    <w:rsid w:val="0003587C"/>
    <w:rsid w:val="00035A00"/>
    <w:rsid w:val="00036CD0"/>
    <w:rsid w:val="00037269"/>
    <w:rsid w:val="00037CD9"/>
    <w:rsid w:val="000405C8"/>
    <w:rsid w:val="00040AA7"/>
    <w:rsid w:val="00040EBA"/>
    <w:rsid w:val="00041330"/>
    <w:rsid w:val="0004171D"/>
    <w:rsid w:val="00041D92"/>
    <w:rsid w:val="00041F5E"/>
    <w:rsid w:val="00042165"/>
    <w:rsid w:val="000421DF"/>
    <w:rsid w:val="000422B5"/>
    <w:rsid w:val="000436E6"/>
    <w:rsid w:val="000441C3"/>
    <w:rsid w:val="00044AFB"/>
    <w:rsid w:val="00045A3F"/>
    <w:rsid w:val="00045F22"/>
    <w:rsid w:val="00046579"/>
    <w:rsid w:val="00046CCE"/>
    <w:rsid w:val="00046DDD"/>
    <w:rsid w:val="0004739A"/>
    <w:rsid w:val="0004743F"/>
    <w:rsid w:val="00047F29"/>
    <w:rsid w:val="000501EE"/>
    <w:rsid w:val="0005049F"/>
    <w:rsid w:val="00050531"/>
    <w:rsid w:val="00050E69"/>
    <w:rsid w:val="0005187B"/>
    <w:rsid w:val="000518D2"/>
    <w:rsid w:val="00051AD6"/>
    <w:rsid w:val="00051C0C"/>
    <w:rsid w:val="00051E32"/>
    <w:rsid w:val="0005231A"/>
    <w:rsid w:val="0005268D"/>
    <w:rsid w:val="00052870"/>
    <w:rsid w:val="00053022"/>
    <w:rsid w:val="0005368B"/>
    <w:rsid w:val="00053CEC"/>
    <w:rsid w:val="00053DBE"/>
    <w:rsid w:val="00054926"/>
    <w:rsid w:val="00054C35"/>
    <w:rsid w:val="00055A91"/>
    <w:rsid w:val="00055C1A"/>
    <w:rsid w:val="000560A7"/>
    <w:rsid w:val="000563F0"/>
    <w:rsid w:val="000563FC"/>
    <w:rsid w:val="00056B6B"/>
    <w:rsid w:val="00057608"/>
    <w:rsid w:val="00057932"/>
    <w:rsid w:val="00057A29"/>
    <w:rsid w:val="00057FAC"/>
    <w:rsid w:val="00062119"/>
    <w:rsid w:val="00062539"/>
    <w:rsid w:val="00062754"/>
    <w:rsid w:val="00062A16"/>
    <w:rsid w:val="00062B73"/>
    <w:rsid w:val="00063231"/>
    <w:rsid w:val="00063580"/>
    <w:rsid w:val="000638B8"/>
    <w:rsid w:val="00063B97"/>
    <w:rsid w:val="000644F9"/>
    <w:rsid w:val="00064987"/>
    <w:rsid w:val="00064B3D"/>
    <w:rsid w:val="00064F6C"/>
    <w:rsid w:val="000655BE"/>
    <w:rsid w:val="00065C44"/>
    <w:rsid w:val="0006626E"/>
    <w:rsid w:val="00066271"/>
    <w:rsid w:val="00066591"/>
    <w:rsid w:val="000665DC"/>
    <w:rsid w:val="00066658"/>
    <w:rsid w:val="00066677"/>
    <w:rsid w:val="00066693"/>
    <w:rsid w:val="00066B1A"/>
    <w:rsid w:val="00066E4A"/>
    <w:rsid w:val="00066F6E"/>
    <w:rsid w:val="00066FFC"/>
    <w:rsid w:val="00067A66"/>
    <w:rsid w:val="000709D8"/>
    <w:rsid w:val="00070A0F"/>
    <w:rsid w:val="000711D5"/>
    <w:rsid w:val="00071BE1"/>
    <w:rsid w:val="0007206E"/>
    <w:rsid w:val="0007206F"/>
    <w:rsid w:val="000722A6"/>
    <w:rsid w:val="0007230D"/>
    <w:rsid w:val="000725CE"/>
    <w:rsid w:val="0007299A"/>
    <w:rsid w:val="0007389A"/>
    <w:rsid w:val="000738FC"/>
    <w:rsid w:val="00073D7D"/>
    <w:rsid w:val="000740A4"/>
    <w:rsid w:val="0007422B"/>
    <w:rsid w:val="000746ED"/>
    <w:rsid w:val="0007478C"/>
    <w:rsid w:val="00076575"/>
    <w:rsid w:val="00076D0F"/>
    <w:rsid w:val="00077163"/>
    <w:rsid w:val="00077344"/>
    <w:rsid w:val="00077A28"/>
    <w:rsid w:val="00080139"/>
    <w:rsid w:val="00080594"/>
    <w:rsid w:val="000807F3"/>
    <w:rsid w:val="00081461"/>
    <w:rsid w:val="00081526"/>
    <w:rsid w:val="000815CC"/>
    <w:rsid w:val="00081B0E"/>
    <w:rsid w:val="00081F12"/>
    <w:rsid w:val="00082619"/>
    <w:rsid w:val="0008284E"/>
    <w:rsid w:val="00082DA1"/>
    <w:rsid w:val="00083116"/>
    <w:rsid w:val="00083E4E"/>
    <w:rsid w:val="00083FD4"/>
    <w:rsid w:val="00084992"/>
    <w:rsid w:val="00084E89"/>
    <w:rsid w:val="00084FF2"/>
    <w:rsid w:val="0008512E"/>
    <w:rsid w:val="00085149"/>
    <w:rsid w:val="00085266"/>
    <w:rsid w:val="00085CB2"/>
    <w:rsid w:val="00086018"/>
    <w:rsid w:val="000879FE"/>
    <w:rsid w:val="00087B79"/>
    <w:rsid w:val="00087F85"/>
    <w:rsid w:val="0009031A"/>
    <w:rsid w:val="00090766"/>
    <w:rsid w:val="00090A66"/>
    <w:rsid w:val="0009178B"/>
    <w:rsid w:val="00091945"/>
    <w:rsid w:val="00091B82"/>
    <w:rsid w:val="00091CD8"/>
    <w:rsid w:val="00091CE5"/>
    <w:rsid w:val="00092044"/>
    <w:rsid w:val="00092831"/>
    <w:rsid w:val="000928B5"/>
    <w:rsid w:val="000929CB"/>
    <w:rsid w:val="00092BE9"/>
    <w:rsid w:val="000933C1"/>
    <w:rsid w:val="00093617"/>
    <w:rsid w:val="0009388D"/>
    <w:rsid w:val="00093D65"/>
    <w:rsid w:val="00093FF5"/>
    <w:rsid w:val="000943BC"/>
    <w:rsid w:val="000943E0"/>
    <w:rsid w:val="0009453E"/>
    <w:rsid w:val="000948AA"/>
    <w:rsid w:val="000952F5"/>
    <w:rsid w:val="00095A79"/>
    <w:rsid w:val="00096064"/>
    <w:rsid w:val="000964E1"/>
    <w:rsid w:val="00096715"/>
    <w:rsid w:val="000969D0"/>
    <w:rsid w:val="00096B9B"/>
    <w:rsid w:val="000971AE"/>
    <w:rsid w:val="00097B17"/>
    <w:rsid w:val="00097D6A"/>
    <w:rsid w:val="00097F24"/>
    <w:rsid w:val="000A01CE"/>
    <w:rsid w:val="000A028E"/>
    <w:rsid w:val="000A0519"/>
    <w:rsid w:val="000A0A8F"/>
    <w:rsid w:val="000A0CBC"/>
    <w:rsid w:val="000A0D67"/>
    <w:rsid w:val="000A0F26"/>
    <w:rsid w:val="000A1645"/>
    <w:rsid w:val="000A16A7"/>
    <w:rsid w:val="000A202E"/>
    <w:rsid w:val="000A2210"/>
    <w:rsid w:val="000A27DD"/>
    <w:rsid w:val="000A358F"/>
    <w:rsid w:val="000A3B0F"/>
    <w:rsid w:val="000A4845"/>
    <w:rsid w:val="000A57DF"/>
    <w:rsid w:val="000A5D45"/>
    <w:rsid w:val="000A5FDC"/>
    <w:rsid w:val="000A6514"/>
    <w:rsid w:val="000A657F"/>
    <w:rsid w:val="000A66A6"/>
    <w:rsid w:val="000A67AF"/>
    <w:rsid w:val="000A6C40"/>
    <w:rsid w:val="000A6E1D"/>
    <w:rsid w:val="000A6E7C"/>
    <w:rsid w:val="000B0320"/>
    <w:rsid w:val="000B0C45"/>
    <w:rsid w:val="000B136D"/>
    <w:rsid w:val="000B16F7"/>
    <w:rsid w:val="000B170E"/>
    <w:rsid w:val="000B17BB"/>
    <w:rsid w:val="000B1809"/>
    <w:rsid w:val="000B1EE6"/>
    <w:rsid w:val="000B2363"/>
    <w:rsid w:val="000B2A70"/>
    <w:rsid w:val="000B2FB0"/>
    <w:rsid w:val="000B4088"/>
    <w:rsid w:val="000B4CAD"/>
    <w:rsid w:val="000B4DA5"/>
    <w:rsid w:val="000B519D"/>
    <w:rsid w:val="000B71AE"/>
    <w:rsid w:val="000B71B0"/>
    <w:rsid w:val="000B7400"/>
    <w:rsid w:val="000B7AA8"/>
    <w:rsid w:val="000B7AF7"/>
    <w:rsid w:val="000B7EEE"/>
    <w:rsid w:val="000B7F16"/>
    <w:rsid w:val="000C0638"/>
    <w:rsid w:val="000C09FD"/>
    <w:rsid w:val="000C0BF3"/>
    <w:rsid w:val="000C0D32"/>
    <w:rsid w:val="000C2536"/>
    <w:rsid w:val="000C2A75"/>
    <w:rsid w:val="000C2B12"/>
    <w:rsid w:val="000C350C"/>
    <w:rsid w:val="000C359E"/>
    <w:rsid w:val="000C3C6B"/>
    <w:rsid w:val="000C414E"/>
    <w:rsid w:val="000C42C2"/>
    <w:rsid w:val="000C4C69"/>
    <w:rsid w:val="000C4D82"/>
    <w:rsid w:val="000C52B8"/>
    <w:rsid w:val="000C5721"/>
    <w:rsid w:val="000C58BA"/>
    <w:rsid w:val="000C5A14"/>
    <w:rsid w:val="000C5A52"/>
    <w:rsid w:val="000C65A8"/>
    <w:rsid w:val="000C6CE2"/>
    <w:rsid w:val="000C6D11"/>
    <w:rsid w:val="000C6EA2"/>
    <w:rsid w:val="000C7763"/>
    <w:rsid w:val="000C7FB1"/>
    <w:rsid w:val="000D007F"/>
    <w:rsid w:val="000D12AF"/>
    <w:rsid w:val="000D1377"/>
    <w:rsid w:val="000D169F"/>
    <w:rsid w:val="000D1A18"/>
    <w:rsid w:val="000D1BD0"/>
    <w:rsid w:val="000D2101"/>
    <w:rsid w:val="000D2275"/>
    <w:rsid w:val="000D2545"/>
    <w:rsid w:val="000D25FA"/>
    <w:rsid w:val="000D29E1"/>
    <w:rsid w:val="000D2D1F"/>
    <w:rsid w:val="000D2F19"/>
    <w:rsid w:val="000D3619"/>
    <w:rsid w:val="000D3677"/>
    <w:rsid w:val="000D38C1"/>
    <w:rsid w:val="000D485C"/>
    <w:rsid w:val="000D4D70"/>
    <w:rsid w:val="000D5456"/>
    <w:rsid w:val="000D5E24"/>
    <w:rsid w:val="000D5F26"/>
    <w:rsid w:val="000D681A"/>
    <w:rsid w:val="000D6DE4"/>
    <w:rsid w:val="000D7076"/>
    <w:rsid w:val="000D732B"/>
    <w:rsid w:val="000D757C"/>
    <w:rsid w:val="000E0EFF"/>
    <w:rsid w:val="000E134D"/>
    <w:rsid w:val="000E1673"/>
    <w:rsid w:val="000E1821"/>
    <w:rsid w:val="000E1FAD"/>
    <w:rsid w:val="000E23F6"/>
    <w:rsid w:val="000E24A7"/>
    <w:rsid w:val="000E2A30"/>
    <w:rsid w:val="000E2AD9"/>
    <w:rsid w:val="000E44D7"/>
    <w:rsid w:val="000E46AD"/>
    <w:rsid w:val="000E4928"/>
    <w:rsid w:val="000E4AA6"/>
    <w:rsid w:val="000E5376"/>
    <w:rsid w:val="000E571E"/>
    <w:rsid w:val="000E5A32"/>
    <w:rsid w:val="000E5F22"/>
    <w:rsid w:val="000E7751"/>
    <w:rsid w:val="000E787D"/>
    <w:rsid w:val="000F0D88"/>
    <w:rsid w:val="000F1FDA"/>
    <w:rsid w:val="000F231E"/>
    <w:rsid w:val="000F3032"/>
    <w:rsid w:val="000F3691"/>
    <w:rsid w:val="000F3FCB"/>
    <w:rsid w:val="000F48D6"/>
    <w:rsid w:val="000F4FF1"/>
    <w:rsid w:val="000F59A2"/>
    <w:rsid w:val="000F60F1"/>
    <w:rsid w:val="000F612A"/>
    <w:rsid w:val="000F620F"/>
    <w:rsid w:val="000F627F"/>
    <w:rsid w:val="000F62B2"/>
    <w:rsid w:val="000F63EB"/>
    <w:rsid w:val="000F64AA"/>
    <w:rsid w:val="000F6C7F"/>
    <w:rsid w:val="000F7161"/>
    <w:rsid w:val="000F72CC"/>
    <w:rsid w:val="000F73F4"/>
    <w:rsid w:val="000F741E"/>
    <w:rsid w:val="000F7764"/>
    <w:rsid w:val="000F779C"/>
    <w:rsid w:val="000F7E5A"/>
    <w:rsid w:val="00100759"/>
    <w:rsid w:val="00100D62"/>
    <w:rsid w:val="00100F61"/>
    <w:rsid w:val="0010131C"/>
    <w:rsid w:val="00101DC1"/>
    <w:rsid w:val="001022C9"/>
    <w:rsid w:val="001024F7"/>
    <w:rsid w:val="0010365A"/>
    <w:rsid w:val="00103735"/>
    <w:rsid w:val="00103F3B"/>
    <w:rsid w:val="00104482"/>
    <w:rsid w:val="00104884"/>
    <w:rsid w:val="00105188"/>
    <w:rsid w:val="00105627"/>
    <w:rsid w:val="001056F1"/>
    <w:rsid w:val="00105775"/>
    <w:rsid w:val="00105DC6"/>
    <w:rsid w:val="001061C6"/>
    <w:rsid w:val="00106240"/>
    <w:rsid w:val="00106A3D"/>
    <w:rsid w:val="00106A7A"/>
    <w:rsid w:val="00106AA6"/>
    <w:rsid w:val="00106D3A"/>
    <w:rsid w:val="001071D0"/>
    <w:rsid w:val="001078D4"/>
    <w:rsid w:val="00107FF5"/>
    <w:rsid w:val="0011058D"/>
    <w:rsid w:val="001105B6"/>
    <w:rsid w:val="001107B2"/>
    <w:rsid w:val="00110CB4"/>
    <w:rsid w:val="001113C8"/>
    <w:rsid w:val="00111626"/>
    <w:rsid w:val="00111673"/>
    <w:rsid w:val="0011189A"/>
    <w:rsid w:val="00111927"/>
    <w:rsid w:val="00111E11"/>
    <w:rsid w:val="00112431"/>
    <w:rsid w:val="0011265A"/>
    <w:rsid w:val="0011265F"/>
    <w:rsid w:val="00113323"/>
    <w:rsid w:val="00113F96"/>
    <w:rsid w:val="001140A5"/>
    <w:rsid w:val="001144B8"/>
    <w:rsid w:val="00114C58"/>
    <w:rsid w:val="00114D6B"/>
    <w:rsid w:val="00114E20"/>
    <w:rsid w:val="00114F9B"/>
    <w:rsid w:val="00116A63"/>
    <w:rsid w:val="00117465"/>
    <w:rsid w:val="00117714"/>
    <w:rsid w:val="00120372"/>
    <w:rsid w:val="001209D5"/>
    <w:rsid w:val="00120E59"/>
    <w:rsid w:val="00121612"/>
    <w:rsid w:val="00121DEB"/>
    <w:rsid w:val="001221FC"/>
    <w:rsid w:val="00122305"/>
    <w:rsid w:val="001223FA"/>
    <w:rsid w:val="001228C0"/>
    <w:rsid w:val="00123243"/>
    <w:rsid w:val="00123A0A"/>
    <w:rsid w:val="00123C88"/>
    <w:rsid w:val="00124CED"/>
    <w:rsid w:val="001250D0"/>
    <w:rsid w:val="001258C3"/>
    <w:rsid w:val="00126648"/>
    <w:rsid w:val="0012672B"/>
    <w:rsid w:val="00126BB0"/>
    <w:rsid w:val="001271B5"/>
    <w:rsid w:val="00127613"/>
    <w:rsid w:val="00127E04"/>
    <w:rsid w:val="001301EA"/>
    <w:rsid w:val="00130644"/>
    <w:rsid w:val="00130D99"/>
    <w:rsid w:val="0013120F"/>
    <w:rsid w:val="00131374"/>
    <w:rsid w:val="001315B0"/>
    <w:rsid w:val="00131858"/>
    <w:rsid w:val="00131C7B"/>
    <w:rsid w:val="00131F1C"/>
    <w:rsid w:val="00132DB4"/>
    <w:rsid w:val="00132F84"/>
    <w:rsid w:val="00133033"/>
    <w:rsid w:val="0013367A"/>
    <w:rsid w:val="00133705"/>
    <w:rsid w:val="00134993"/>
    <w:rsid w:val="00134E0B"/>
    <w:rsid w:val="0013509A"/>
    <w:rsid w:val="00135951"/>
    <w:rsid w:val="001363D7"/>
    <w:rsid w:val="00136489"/>
    <w:rsid w:val="001376AB"/>
    <w:rsid w:val="0013786A"/>
    <w:rsid w:val="00140CA7"/>
    <w:rsid w:val="00140FC7"/>
    <w:rsid w:val="00141929"/>
    <w:rsid w:val="0014260A"/>
    <w:rsid w:val="00142C41"/>
    <w:rsid w:val="00142C9E"/>
    <w:rsid w:val="001439AC"/>
    <w:rsid w:val="00144726"/>
    <w:rsid w:val="001449B8"/>
    <w:rsid w:val="00145036"/>
    <w:rsid w:val="0014543B"/>
    <w:rsid w:val="00145FFC"/>
    <w:rsid w:val="001460F5"/>
    <w:rsid w:val="00146700"/>
    <w:rsid w:val="00147A09"/>
    <w:rsid w:val="00147E11"/>
    <w:rsid w:val="001508E2"/>
    <w:rsid w:val="00151F1C"/>
    <w:rsid w:val="001521EB"/>
    <w:rsid w:val="00153459"/>
    <w:rsid w:val="00153A96"/>
    <w:rsid w:val="001546E5"/>
    <w:rsid w:val="0015496B"/>
    <w:rsid w:val="00154DB8"/>
    <w:rsid w:val="001550DD"/>
    <w:rsid w:val="0015555A"/>
    <w:rsid w:val="0015570C"/>
    <w:rsid w:val="00156064"/>
    <w:rsid w:val="0015613F"/>
    <w:rsid w:val="001561AA"/>
    <w:rsid w:val="0015663D"/>
    <w:rsid w:val="001568AF"/>
    <w:rsid w:val="00156BBD"/>
    <w:rsid w:val="00156FCD"/>
    <w:rsid w:val="00157013"/>
    <w:rsid w:val="00157791"/>
    <w:rsid w:val="001605CE"/>
    <w:rsid w:val="00160932"/>
    <w:rsid w:val="00160A1F"/>
    <w:rsid w:val="00161315"/>
    <w:rsid w:val="001618B7"/>
    <w:rsid w:val="00161AC2"/>
    <w:rsid w:val="00162001"/>
    <w:rsid w:val="00162266"/>
    <w:rsid w:val="001623EC"/>
    <w:rsid w:val="001625C1"/>
    <w:rsid w:val="00162662"/>
    <w:rsid w:val="001627AC"/>
    <w:rsid w:val="00162FEF"/>
    <w:rsid w:val="0016335E"/>
    <w:rsid w:val="00163586"/>
    <w:rsid w:val="0016372A"/>
    <w:rsid w:val="0016436C"/>
    <w:rsid w:val="00164529"/>
    <w:rsid w:val="00164621"/>
    <w:rsid w:val="00165754"/>
    <w:rsid w:val="001657C1"/>
    <w:rsid w:val="0016608F"/>
    <w:rsid w:val="001664C8"/>
    <w:rsid w:val="001664E2"/>
    <w:rsid w:val="0016674B"/>
    <w:rsid w:val="001667B1"/>
    <w:rsid w:val="001669FC"/>
    <w:rsid w:val="00167094"/>
    <w:rsid w:val="00167177"/>
    <w:rsid w:val="0016733A"/>
    <w:rsid w:val="0016779E"/>
    <w:rsid w:val="001701B0"/>
    <w:rsid w:val="0017053F"/>
    <w:rsid w:val="00170BA2"/>
    <w:rsid w:val="00171727"/>
    <w:rsid w:val="00171B68"/>
    <w:rsid w:val="00171BD8"/>
    <w:rsid w:val="00171FFE"/>
    <w:rsid w:val="0017213C"/>
    <w:rsid w:val="00172F0B"/>
    <w:rsid w:val="001736C3"/>
    <w:rsid w:val="001742B1"/>
    <w:rsid w:val="00174680"/>
    <w:rsid w:val="00175891"/>
    <w:rsid w:val="00175E28"/>
    <w:rsid w:val="00176D04"/>
    <w:rsid w:val="00176E17"/>
    <w:rsid w:val="001770D0"/>
    <w:rsid w:val="00177636"/>
    <w:rsid w:val="00177874"/>
    <w:rsid w:val="00177A9F"/>
    <w:rsid w:val="00177FDC"/>
    <w:rsid w:val="00180801"/>
    <w:rsid w:val="00181163"/>
    <w:rsid w:val="001811BD"/>
    <w:rsid w:val="0018149E"/>
    <w:rsid w:val="00181812"/>
    <w:rsid w:val="00182AB6"/>
    <w:rsid w:val="00183027"/>
    <w:rsid w:val="001838E1"/>
    <w:rsid w:val="00183E85"/>
    <w:rsid w:val="00183F06"/>
    <w:rsid w:val="00183FE0"/>
    <w:rsid w:val="0018479D"/>
    <w:rsid w:val="00184DEB"/>
    <w:rsid w:val="001851BF"/>
    <w:rsid w:val="001853DC"/>
    <w:rsid w:val="00185D86"/>
    <w:rsid w:val="0018600C"/>
    <w:rsid w:val="00186948"/>
    <w:rsid w:val="00186BD3"/>
    <w:rsid w:val="001872A3"/>
    <w:rsid w:val="00187FD1"/>
    <w:rsid w:val="00190377"/>
    <w:rsid w:val="001904A4"/>
    <w:rsid w:val="001906CC"/>
    <w:rsid w:val="0019090D"/>
    <w:rsid w:val="00190ABC"/>
    <w:rsid w:val="00191487"/>
    <w:rsid w:val="0019233C"/>
    <w:rsid w:val="00192417"/>
    <w:rsid w:val="0019295B"/>
    <w:rsid w:val="00192A3D"/>
    <w:rsid w:val="00193025"/>
    <w:rsid w:val="00193381"/>
    <w:rsid w:val="00193A73"/>
    <w:rsid w:val="001944A3"/>
    <w:rsid w:val="00194A61"/>
    <w:rsid w:val="00195358"/>
    <w:rsid w:val="00195F3C"/>
    <w:rsid w:val="001962F0"/>
    <w:rsid w:val="0019656D"/>
    <w:rsid w:val="00196BE0"/>
    <w:rsid w:val="00197E31"/>
    <w:rsid w:val="001A0685"/>
    <w:rsid w:val="001A07F7"/>
    <w:rsid w:val="001A0C36"/>
    <w:rsid w:val="001A0D05"/>
    <w:rsid w:val="001A14FE"/>
    <w:rsid w:val="001A1988"/>
    <w:rsid w:val="001A1ACE"/>
    <w:rsid w:val="001A1CDD"/>
    <w:rsid w:val="001A1FF2"/>
    <w:rsid w:val="001A3403"/>
    <w:rsid w:val="001A34CA"/>
    <w:rsid w:val="001A3EB9"/>
    <w:rsid w:val="001A3F1C"/>
    <w:rsid w:val="001A412D"/>
    <w:rsid w:val="001A4385"/>
    <w:rsid w:val="001A457A"/>
    <w:rsid w:val="001A45FC"/>
    <w:rsid w:val="001A5366"/>
    <w:rsid w:val="001A53E3"/>
    <w:rsid w:val="001A5D7C"/>
    <w:rsid w:val="001A5FC0"/>
    <w:rsid w:val="001A65AF"/>
    <w:rsid w:val="001A6786"/>
    <w:rsid w:val="001A67B6"/>
    <w:rsid w:val="001A6A11"/>
    <w:rsid w:val="001A742F"/>
    <w:rsid w:val="001A7760"/>
    <w:rsid w:val="001A7938"/>
    <w:rsid w:val="001A7D20"/>
    <w:rsid w:val="001A7F4B"/>
    <w:rsid w:val="001B01DF"/>
    <w:rsid w:val="001B0960"/>
    <w:rsid w:val="001B098F"/>
    <w:rsid w:val="001B11FA"/>
    <w:rsid w:val="001B17F6"/>
    <w:rsid w:val="001B194A"/>
    <w:rsid w:val="001B23C4"/>
    <w:rsid w:val="001B26F3"/>
    <w:rsid w:val="001B3153"/>
    <w:rsid w:val="001B3802"/>
    <w:rsid w:val="001B48F0"/>
    <w:rsid w:val="001B4F02"/>
    <w:rsid w:val="001B4F8A"/>
    <w:rsid w:val="001B5589"/>
    <w:rsid w:val="001B55F0"/>
    <w:rsid w:val="001B5618"/>
    <w:rsid w:val="001B67A5"/>
    <w:rsid w:val="001B692A"/>
    <w:rsid w:val="001B6D38"/>
    <w:rsid w:val="001B7089"/>
    <w:rsid w:val="001B78FB"/>
    <w:rsid w:val="001B7BBD"/>
    <w:rsid w:val="001B7C44"/>
    <w:rsid w:val="001B7CCA"/>
    <w:rsid w:val="001C03EF"/>
    <w:rsid w:val="001C06FA"/>
    <w:rsid w:val="001C1022"/>
    <w:rsid w:val="001C137E"/>
    <w:rsid w:val="001C2229"/>
    <w:rsid w:val="001C27C0"/>
    <w:rsid w:val="001C2BFD"/>
    <w:rsid w:val="001C2F44"/>
    <w:rsid w:val="001C2FB8"/>
    <w:rsid w:val="001C3533"/>
    <w:rsid w:val="001C399E"/>
    <w:rsid w:val="001C3A00"/>
    <w:rsid w:val="001C3BD0"/>
    <w:rsid w:val="001C44B8"/>
    <w:rsid w:val="001C4894"/>
    <w:rsid w:val="001C4CC6"/>
    <w:rsid w:val="001C5864"/>
    <w:rsid w:val="001C58DC"/>
    <w:rsid w:val="001C5C83"/>
    <w:rsid w:val="001C5DAB"/>
    <w:rsid w:val="001C5F7E"/>
    <w:rsid w:val="001C6039"/>
    <w:rsid w:val="001C71FE"/>
    <w:rsid w:val="001C7BED"/>
    <w:rsid w:val="001C7D41"/>
    <w:rsid w:val="001D00EB"/>
    <w:rsid w:val="001D07D4"/>
    <w:rsid w:val="001D0959"/>
    <w:rsid w:val="001D0B51"/>
    <w:rsid w:val="001D129A"/>
    <w:rsid w:val="001D1F34"/>
    <w:rsid w:val="001D21CF"/>
    <w:rsid w:val="001D26D3"/>
    <w:rsid w:val="001D299E"/>
    <w:rsid w:val="001D2BB7"/>
    <w:rsid w:val="001D2C4D"/>
    <w:rsid w:val="001D3ABD"/>
    <w:rsid w:val="001D3E05"/>
    <w:rsid w:val="001D4043"/>
    <w:rsid w:val="001D42A4"/>
    <w:rsid w:val="001D4448"/>
    <w:rsid w:val="001D4FF4"/>
    <w:rsid w:val="001D5444"/>
    <w:rsid w:val="001D5AA6"/>
    <w:rsid w:val="001D5FA3"/>
    <w:rsid w:val="001D6123"/>
    <w:rsid w:val="001D684B"/>
    <w:rsid w:val="001D6BDD"/>
    <w:rsid w:val="001E0C6E"/>
    <w:rsid w:val="001E10D6"/>
    <w:rsid w:val="001E1843"/>
    <w:rsid w:val="001E2367"/>
    <w:rsid w:val="001E31B9"/>
    <w:rsid w:val="001E31CD"/>
    <w:rsid w:val="001E32C9"/>
    <w:rsid w:val="001E3386"/>
    <w:rsid w:val="001E3B79"/>
    <w:rsid w:val="001E41D2"/>
    <w:rsid w:val="001E46F7"/>
    <w:rsid w:val="001E4CCA"/>
    <w:rsid w:val="001E4FC2"/>
    <w:rsid w:val="001E53A0"/>
    <w:rsid w:val="001E574C"/>
    <w:rsid w:val="001E697F"/>
    <w:rsid w:val="001E6D8F"/>
    <w:rsid w:val="001E703B"/>
    <w:rsid w:val="001E7577"/>
    <w:rsid w:val="001E7850"/>
    <w:rsid w:val="001E7998"/>
    <w:rsid w:val="001F0A7E"/>
    <w:rsid w:val="001F0BF2"/>
    <w:rsid w:val="001F0FE6"/>
    <w:rsid w:val="001F19B4"/>
    <w:rsid w:val="001F1F94"/>
    <w:rsid w:val="001F353A"/>
    <w:rsid w:val="001F38E7"/>
    <w:rsid w:val="001F3A4D"/>
    <w:rsid w:val="001F3D3F"/>
    <w:rsid w:val="001F43D5"/>
    <w:rsid w:val="001F44B6"/>
    <w:rsid w:val="001F46AA"/>
    <w:rsid w:val="001F4781"/>
    <w:rsid w:val="001F498E"/>
    <w:rsid w:val="001F49EE"/>
    <w:rsid w:val="001F50F3"/>
    <w:rsid w:val="001F5592"/>
    <w:rsid w:val="001F5822"/>
    <w:rsid w:val="001F5A91"/>
    <w:rsid w:val="001F5CE1"/>
    <w:rsid w:val="001F60D3"/>
    <w:rsid w:val="001F65AE"/>
    <w:rsid w:val="001F67EC"/>
    <w:rsid w:val="001F759C"/>
    <w:rsid w:val="001F7F26"/>
    <w:rsid w:val="002005D3"/>
    <w:rsid w:val="002008B8"/>
    <w:rsid w:val="00200AC9"/>
    <w:rsid w:val="002014D6"/>
    <w:rsid w:val="00201A48"/>
    <w:rsid w:val="00201C73"/>
    <w:rsid w:val="00202BF5"/>
    <w:rsid w:val="00203489"/>
    <w:rsid w:val="00203825"/>
    <w:rsid w:val="00203C94"/>
    <w:rsid w:val="00203D0C"/>
    <w:rsid w:val="00203FC4"/>
    <w:rsid w:val="00204203"/>
    <w:rsid w:val="00204D9F"/>
    <w:rsid w:val="0020509B"/>
    <w:rsid w:val="00205600"/>
    <w:rsid w:val="002069F6"/>
    <w:rsid w:val="0020732E"/>
    <w:rsid w:val="00207658"/>
    <w:rsid w:val="0020767E"/>
    <w:rsid w:val="00207689"/>
    <w:rsid w:val="00207CB1"/>
    <w:rsid w:val="002106AD"/>
    <w:rsid w:val="002106CE"/>
    <w:rsid w:val="00211480"/>
    <w:rsid w:val="002123CB"/>
    <w:rsid w:val="00212502"/>
    <w:rsid w:val="00212770"/>
    <w:rsid w:val="00214054"/>
    <w:rsid w:val="002141AF"/>
    <w:rsid w:val="0021477B"/>
    <w:rsid w:val="00214B73"/>
    <w:rsid w:val="00215169"/>
    <w:rsid w:val="00215240"/>
    <w:rsid w:val="0021592C"/>
    <w:rsid w:val="00215ADF"/>
    <w:rsid w:val="00215E05"/>
    <w:rsid w:val="002161DA"/>
    <w:rsid w:val="00216FF4"/>
    <w:rsid w:val="00217C92"/>
    <w:rsid w:val="00217FB7"/>
    <w:rsid w:val="00220C1F"/>
    <w:rsid w:val="00220E5A"/>
    <w:rsid w:val="002214AC"/>
    <w:rsid w:val="0022151D"/>
    <w:rsid w:val="002219F3"/>
    <w:rsid w:val="00221DFB"/>
    <w:rsid w:val="00222398"/>
    <w:rsid w:val="00222507"/>
    <w:rsid w:val="00223D8E"/>
    <w:rsid w:val="00224041"/>
    <w:rsid w:val="002240EC"/>
    <w:rsid w:val="00224821"/>
    <w:rsid w:val="00224C73"/>
    <w:rsid w:val="00224FEB"/>
    <w:rsid w:val="00225291"/>
    <w:rsid w:val="002253AA"/>
    <w:rsid w:val="00225576"/>
    <w:rsid w:val="00226584"/>
    <w:rsid w:val="00226BA4"/>
    <w:rsid w:val="00226BA9"/>
    <w:rsid w:val="0022707F"/>
    <w:rsid w:val="0022784D"/>
    <w:rsid w:val="00227E93"/>
    <w:rsid w:val="00230559"/>
    <w:rsid w:val="0023181C"/>
    <w:rsid w:val="00231D63"/>
    <w:rsid w:val="002322B4"/>
    <w:rsid w:val="00232E59"/>
    <w:rsid w:val="00232F4A"/>
    <w:rsid w:val="002330AA"/>
    <w:rsid w:val="00233AD8"/>
    <w:rsid w:val="002347C3"/>
    <w:rsid w:val="00234A2B"/>
    <w:rsid w:val="00234A66"/>
    <w:rsid w:val="00234C13"/>
    <w:rsid w:val="00235056"/>
    <w:rsid w:val="00235A0B"/>
    <w:rsid w:val="00236494"/>
    <w:rsid w:val="002367B3"/>
    <w:rsid w:val="00236804"/>
    <w:rsid w:val="00236CB0"/>
    <w:rsid w:val="00236D4B"/>
    <w:rsid w:val="00237C3F"/>
    <w:rsid w:val="002414A0"/>
    <w:rsid w:val="002415C0"/>
    <w:rsid w:val="00241BAC"/>
    <w:rsid w:val="00241FAD"/>
    <w:rsid w:val="00242631"/>
    <w:rsid w:val="00242E7A"/>
    <w:rsid w:val="002434E0"/>
    <w:rsid w:val="00243E61"/>
    <w:rsid w:val="002444ED"/>
    <w:rsid w:val="00244E6D"/>
    <w:rsid w:val="00244EA3"/>
    <w:rsid w:val="00245FA9"/>
    <w:rsid w:val="0024645C"/>
    <w:rsid w:val="00246838"/>
    <w:rsid w:val="00247784"/>
    <w:rsid w:val="00250309"/>
    <w:rsid w:val="00250737"/>
    <w:rsid w:val="00250B6D"/>
    <w:rsid w:val="00250EA7"/>
    <w:rsid w:val="00251246"/>
    <w:rsid w:val="0025188C"/>
    <w:rsid w:val="00251F5D"/>
    <w:rsid w:val="00251FE9"/>
    <w:rsid w:val="002524E1"/>
    <w:rsid w:val="00252793"/>
    <w:rsid w:val="00252AF2"/>
    <w:rsid w:val="00253341"/>
    <w:rsid w:val="002537FD"/>
    <w:rsid w:val="00253B40"/>
    <w:rsid w:val="00255820"/>
    <w:rsid w:val="00255AE8"/>
    <w:rsid w:val="00255C7F"/>
    <w:rsid w:val="00255EB2"/>
    <w:rsid w:val="00256A95"/>
    <w:rsid w:val="00256AC6"/>
    <w:rsid w:val="00256E1C"/>
    <w:rsid w:val="00256EB2"/>
    <w:rsid w:val="00256F9C"/>
    <w:rsid w:val="0025767D"/>
    <w:rsid w:val="00257971"/>
    <w:rsid w:val="00257BF0"/>
    <w:rsid w:val="002608E3"/>
    <w:rsid w:val="002609D9"/>
    <w:rsid w:val="00260B92"/>
    <w:rsid w:val="00260FBD"/>
    <w:rsid w:val="00261755"/>
    <w:rsid w:val="00261D44"/>
    <w:rsid w:val="00261E61"/>
    <w:rsid w:val="00263861"/>
    <w:rsid w:val="002639D0"/>
    <w:rsid w:val="00263A56"/>
    <w:rsid w:val="00263B19"/>
    <w:rsid w:val="002644E9"/>
    <w:rsid w:val="0026501C"/>
    <w:rsid w:val="002651CE"/>
    <w:rsid w:val="0026579F"/>
    <w:rsid w:val="00265BC5"/>
    <w:rsid w:val="00266141"/>
    <w:rsid w:val="002668B2"/>
    <w:rsid w:val="00266F9F"/>
    <w:rsid w:val="0026758A"/>
    <w:rsid w:val="0026779F"/>
    <w:rsid w:val="00267993"/>
    <w:rsid w:val="00267CB1"/>
    <w:rsid w:val="00267DEC"/>
    <w:rsid w:val="00270827"/>
    <w:rsid w:val="0027095E"/>
    <w:rsid w:val="00270CFE"/>
    <w:rsid w:val="0027143B"/>
    <w:rsid w:val="00271EE1"/>
    <w:rsid w:val="002727C3"/>
    <w:rsid w:val="0027471E"/>
    <w:rsid w:val="002749E3"/>
    <w:rsid w:val="00274B1F"/>
    <w:rsid w:val="00274C57"/>
    <w:rsid w:val="002753C7"/>
    <w:rsid w:val="00275780"/>
    <w:rsid w:val="00275E40"/>
    <w:rsid w:val="00275E81"/>
    <w:rsid w:val="0027632D"/>
    <w:rsid w:val="002767E1"/>
    <w:rsid w:val="00276B48"/>
    <w:rsid w:val="00277067"/>
    <w:rsid w:val="0027784E"/>
    <w:rsid w:val="00280F63"/>
    <w:rsid w:val="00281158"/>
    <w:rsid w:val="00281AA2"/>
    <w:rsid w:val="00281BB4"/>
    <w:rsid w:val="002820F4"/>
    <w:rsid w:val="002821F1"/>
    <w:rsid w:val="002824C3"/>
    <w:rsid w:val="00282770"/>
    <w:rsid w:val="002827FE"/>
    <w:rsid w:val="00282863"/>
    <w:rsid w:val="002829A4"/>
    <w:rsid w:val="00282F15"/>
    <w:rsid w:val="00282FB5"/>
    <w:rsid w:val="002830D4"/>
    <w:rsid w:val="002833F5"/>
    <w:rsid w:val="00283F98"/>
    <w:rsid w:val="00284A57"/>
    <w:rsid w:val="002851D3"/>
    <w:rsid w:val="002852C6"/>
    <w:rsid w:val="0028577D"/>
    <w:rsid w:val="002857EC"/>
    <w:rsid w:val="00285D94"/>
    <w:rsid w:val="00286032"/>
    <w:rsid w:val="00286E8B"/>
    <w:rsid w:val="00287514"/>
    <w:rsid w:val="00287855"/>
    <w:rsid w:val="00287E9A"/>
    <w:rsid w:val="00290E0A"/>
    <w:rsid w:val="002912AD"/>
    <w:rsid w:val="00291301"/>
    <w:rsid w:val="00291356"/>
    <w:rsid w:val="00291F40"/>
    <w:rsid w:val="00293065"/>
    <w:rsid w:val="002936A6"/>
    <w:rsid w:val="00293A5D"/>
    <w:rsid w:val="00294212"/>
    <w:rsid w:val="00294947"/>
    <w:rsid w:val="0029495D"/>
    <w:rsid w:val="00294F8C"/>
    <w:rsid w:val="00295924"/>
    <w:rsid w:val="00295CE6"/>
    <w:rsid w:val="002964B3"/>
    <w:rsid w:val="00296554"/>
    <w:rsid w:val="002969D2"/>
    <w:rsid w:val="00296A84"/>
    <w:rsid w:val="00296C3E"/>
    <w:rsid w:val="00296E37"/>
    <w:rsid w:val="002973CA"/>
    <w:rsid w:val="00297B91"/>
    <w:rsid w:val="00297C3D"/>
    <w:rsid w:val="00297EBF"/>
    <w:rsid w:val="002A052B"/>
    <w:rsid w:val="002A0B2B"/>
    <w:rsid w:val="002A0FA8"/>
    <w:rsid w:val="002A103D"/>
    <w:rsid w:val="002A12C3"/>
    <w:rsid w:val="002A1A67"/>
    <w:rsid w:val="002A2BBA"/>
    <w:rsid w:val="002A2E36"/>
    <w:rsid w:val="002A35BD"/>
    <w:rsid w:val="002A40FA"/>
    <w:rsid w:val="002A41E3"/>
    <w:rsid w:val="002A434B"/>
    <w:rsid w:val="002A437A"/>
    <w:rsid w:val="002A4417"/>
    <w:rsid w:val="002A4BC2"/>
    <w:rsid w:val="002A4C47"/>
    <w:rsid w:val="002A4EF2"/>
    <w:rsid w:val="002A53C4"/>
    <w:rsid w:val="002A6D50"/>
    <w:rsid w:val="002A6EF4"/>
    <w:rsid w:val="002A725A"/>
    <w:rsid w:val="002A7385"/>
    <w:rsid w:val="002A7640"/>
    <w:rsid w:val="002A7E13"/>
    <w:rsid w:val="002A7F77"/>
    <w:rsid w:val="002B0163"/>
    <w:rsid w:val="002B0214"/>
    <w:rsid w:val="002B02A1"/>
    <w:rsid w:val="002B0335"/>
    <w:rsid w:val="002B0975"/>
    <w:rsid w:val="002B14ED"/>
    <w:rsid w:val="002B243B"/>
    <w:rsid w:val="002B2490"/>
    <w:rsid w:val="002B2B54"/>
    <w:rsid w:val="002B2B60"/>
    <w:rsid w:val="002B2DBC"/>
    <w:rsid w:val="002B2F33"/>
    <w:rsid w:val="002B304B"/>
    <w:rsid w:val="002B332F"/>
    <w:rsid w:val="002B33ED"/>
    <w:rsid w:val="002B3BCE"/>
    <w:rsid w:val="002B429F"/>
    <w:rsid w:val="002B43EA"/>
    <w:rsid w:val="002B45A8"/>
    <w:rsid w:val="002B45F2"/>
    <w:rsid w:val="002B5355"/>
    <w:rsid w:val="002B5377"/>
    <w:rsid w:val="002B6181"/>
    <w:rsid w:val="002B6FE5"/>
    <w:rsid w:val="002B73B5"/>
    <w:rsid w:val="002B7FE4"/>
    <w:rsid w:val="002C0277"/>
    <w:rsid w:val="002C0F04"/>
    <w:rsid w:val="002C13BE"/>
    <w:rsid w:val="002C1C21"/>
    <w:rsid w:val="002C208A"/>
    <w:rsid w:val="002C215D"/>
    <w:rsid w:val="002C2621"/>
    <w:rsid w:val="002C2CF9"/>
    <w:rsid w:val="002C2D20"/>
    <w:rsid w:val="002C2D28"/>
    <w:rsid w:val="002C3A44"/>
    <w:rsid w:val="002C3BA5"/>
    <w:rsid w:val="002C3CE2"/>
    <w:rsid w:val="002C3DF0"/>
    <w:rsid w:val="002C4308"/>
    <w:rsid w:val="002C448A"/>
    <w:rsid w:val="002C4771"/>
    <w:rsid w:val="002C4FFB"/>
    <w:rsid w:val="002C526F"/>
    <w:rsid w:val="002C583F"/>
    <w:rsid w:val="002C5872"/>
    <w:rsid w:val="002C6B66"/>
    <w:rsid w:val="002C70A3"/>
    <w:rsid w:val="002C7E1A"/>
    <w:rsid w:val="002D0627"/>
    <w:rsid w:val="002D0650"/>
    <w:rsid w:val="002D142A"/>
    <w:rsid w:val="002D1499"/>
    <w:rsid w:val="002D1BA4"/>
    <w:rsid w:val="002D1CE1"/>
    <w:rsid w:val="002D1F63"/>
    <w:rsid w:val="002D2013"/>
    <w:rsid w:val="002D2485"/>
    <w:rsid w:val="002D2598"/>
    <w:rsid w:val="002D2BA2"/>
    <w:rsid w:val="002D2BFA"/>
    <w:rsid w:val="002D38C0"/>
    <w:rsid w:val="002D3C56"/>
    <w:rsid w:val="002D4492"/>
    <w:rsid w:val="002D4838"/>
    <w:rsid w:val="002D4E5E"/>
    <w:rsid w:val="002D5371"/>
    <w:rsid w:val="002D5EE4"/>
    <w:rsid w:val="002D601B"/>
    <w:rsid w:val="002D68D9"/>
    <w:rsid w:val="002D73E4"/>
    <w:rsid w:val="002D7B78"/>
    <w:rsid w:val="002D7EE8"/>
    <w:rsid w:val="002E0317"/>
    <w:rsid w:val="002E0959"/>
    <w:rsid w:val="002E18E2"/>
    <w:rsid w:val="002E1C39"/>
    <w:rsid w:val="002E2CCB"/>
    <w:rsid w:val="002E34B7"/>
    <w:rsid w:val="002E3807"/>
    <w:rsid w:val="002E387A"/>
    <w:rsid w:val="002E45D8"/>
    <w:rsid w:val="002E49E1"/>
    <w:rsid w:val="002E4A89"/>
    <w:rsid w:val="002E4C5C"/>
    <w:rsid w:val="002E509D"/>
    <w:rsid w:val="002E51F1"/>
    <w:rsid w:val="002E55A8"/>
    <w:rsid w:val="002E5870"/>
    <w:rsid w:val="002E5A42"/>
    <w:rsid w:val="002E5BE9"/>
    <w:rsid w:val="002E63E6"/>
    <w:rsid w:val="002E67B3"/>
    <w:rsid w:val="002E6B8B"/>
    <w:rsid w:val="002E70BF"/>
    <w:rsid w:val="002E7862"/>
    <w:rsid w:val="002E7F0D"/>
    <w:rsid w:val="002F02B3"/>
    <w:rsid w:val="002F0464"/>
    <w:rsid w:val="002F0EEC"/>
    <w:rsid w:val="002F1271"/>
    <w:rsid w:val="002F12AF"/>
    <w:rsid w:val="002F193B"/>
    <w:rsid w:val="002F1D89"/>
    <w:rsid w:val="002F1DB6"/>
    <w:rsid w:val="002F235E"/>
    <w:rsid w:val="002F2738"/>
    <w:rsid w:val="002F2A9F"/>
    <w:rsid w:val="002F316C"/>
    <w:rsid w:val="002F3347"/>
    <w:rsid w:val="002F36C2"/>
    <w:rsid w:val="002F38CF"/>
    <w:rsid w:val="002F4A45"/>
    <w:rsid w:val="002F4A8B"/>
    <w:rsid w:val="002F62DE"/>
    <w:rsid w:val="002F64E6"/>
    <w:rsid w:val="002F658C"/>
    <w:rsid w:val="002F65E9"/>
    <w:rsid w:val="002F692B"/>
    <w:rsid w:val="002F6C51"/>
    <w:rsid w:val="002F6E2F"/>
    <w:rsid w:val="002F6FE6"/>
    <w:rsid w:val="002F736A"/>
    <w:rsid w:val="002F73A3"/>
    <w:rsid w:val="002F755A"/>
    <w:rsid w:val="002F7750"/>
    <w:rsid w:val="002F7ABD"/>
    <w:rsid w:val="002F7F58"/>
    <w:rsid w:val="003008E7"/>
    <w:rsid w:val="00300F46"/>
    <w:rsid w:val="00300FFF"/>
    <w:rsid w:val="003010E4"/>
    <w:rsid w:val="003014E9"/>
    <w:rsid w:val="00301895"/>
    <w:rsid w:val="003018E7"/>
    <w:rsid w:val="003024E7"/>
    <w:rsid w:val="00302C74"/>
    <w:rsid w:val="00302E20"/>
    <w:rsid w:val="0030376F"/>
    <w:rsid w:val="0030399B"/>
    <w:rsid w:val="00303A4B"/>
    <w:rsid w:val="00303CB4"/>
    <w:rsid w:val="00303FF6"/>
    <w:rsid w:val="003045B4"/>
    <w:rsid w:val="003045F2"/>
    <w:rsid w:val="003048B0"/>
    <w:rsid w:val="00304CEA"/>
    <w:rsid w:val="00304D8A"/>
    <w:rsid w:val="00305B0D"/>
    <w:rsid w:val="00305B64"/>
    <w:rsid w:val="0030642B"/>
    <w:rsid w:val="00306777"/>
    <w:rsid w:val="00306C4D"/>
    <w:rsid w:val="00307096"/>
    <w:rsid w:val="0030742B"/>
    <w:rsid w:val="00307EAE"/>
    <w:rsid w:val="00307FDE"/>
    <w:rsid w:val="00310B93"/>
    <w:rsid w:val="00311890"/>
    <w:rsid w:val="00311DEC"/>
    <w:rsid w:val="003123A0"/>
    <w:rsid w:val="00312973"/>
    <w:rsid w:val="00312C93"/>
    <w:rsid w:val="00312D9C"/>
    <w:rsid w:val="00312E13"/>
    <w:rsid w:val="00312E44"/>
    <w:rsid w:val="00312FAE"/>
    <w:rsid w:val="0031307B"/>
    <w:rsid w:val="0031327C"/>
    <w:rsid w:val="0031464D"/>
    <w:rsid w:val="0031480F"/>
    <w:rsid w:val="003151DE"/>
    <w:rsid w:val="00315DEA"/>
    <w:rsid w:val="00315E86"/>
    <w:rsid w:val="0031672C"/>
    <w:rsid w:val="00320BA3"/>
    <w:rsid w:val="00320D71"/>
    <w:rsid w:val="00320EAF"/>
    <w:rsid w:val="003220AD"/>
    <w:rsid w:val="0032297C"/>
    <w:rsid w:val="00322BDE"/>
    <w:rsid w:val="00323A0E"/>
    <w:rsid w:val="00323BCA"/>
    <w:rsid w:val="003248AA"/>
    <w:rsid w:val="00324BEF"/>
    <w:rsid w:val="00324FDD"/>
    <w:rsid w:val="003252A5"/>
    <w:rsid w:val="0032538B"/>
    <w:rsid w:val="00325478"/>
    <w:rsid w:val="003257A6"/>
    <w:rsid w:val="00325CFD"/>
    <w:rsid w:val="00326201"/>
    <w:rsid w:val="003264BB"/>
    <w:rsid w:val="00326B0D"/>
    <w:rsid w:val="00327283"/>
    <w:rsid w:val="003276FB"/>
    <w:rsid w:val="00327A3C"/>
    <w:rsid w:val="00327D69"/>
    <w:rsid w:val="00327DF1"/>
    <w:rsid w:val="00330199"/>
    <w:rsid w:val="0033034B"/>
    <w:rsid w:val="00330358"/>
    <w:rsid w:val="0033095E"/>
    <w:rsid w:val="00330AC6"/>
    <w:rsid w:val="00330BDB"/>
    <w:rsid w:val="0033133F"/>
    <w:rsid w:val="00331C6E"/>
    <w:rsid w:val="00331D1F"/>
    <w:rsid w:val="00332209"/>
    <w:rsid w:val="00332EBD"/>
    <w:rsid w:val="00333115"/>
    <w:rsid w:val="003332B6"/>
    <w:rsid w:val="003333B0"/>
    <w:rsid w:val="00333B05"/>
    <w:rsid w:val="00333B50"/>
    <w:rsid w:val="00333E5D"/>
    <w:rsid w:val="00334078"/>
    <w:rsid w:val="00334831"/>
    <w:rsid w:val="00334C6B"/>
    <w:rsid w:val="00335362"/>
    <w:rsid w:val="0033628A"/>
    <w:rsid w:val="0033645D"/>
    <w:rsid w:val="00336767"/>
    <w:rsid w:val="00337651"/>
    <w:rsid w:val="0034021B"/>
    <w:rsid w:val="00340254"/>
    <w:rsid w:val="0034025E"/>
    <w:rsid w:val="00340906"/>
    <w:rsid w:val="00341228"/>
    <w:rsid w:val="00341553"/>
    <w:rsid w:val="0034182B"/>
    <w:rsid w:val="00341BAD"/>
    <w:rsid w:val="00342269"/>
    <w:rsid w:val="003426E9"/>
    <w:rsid w:val="00343890"/>
    <w:rsid w:val="00343964"/>
    <w:rsid w:val="00343D23"/>
    <w:rsid w:val="00343D44"/>
    <w:rsid w:val="00343D75"/>
    <w:rsid w:val="00344087"/>
    <w:rsid w:val="0034451E"/>
    <w:rsid w:val="003450C7"/>
    <w:rsid w:val="00345516"/>
    <w:rsid w:val="003458C2"/>
    <w:rsid w:val="00345F5E"/>
    <w:rsid w:val="00346213"/>
    <w:rsid w:val="0034644D"/>
    <w:rsid w:val="003466B7"/>
    <w:rsid w:val="003467D9"/>
    <w:rsid w:val="00346E99"/>
    <w:rsid w:val="003475BF"/>
    <w:rsid w:val="00347C70"/>
    <w:rsid w:val="00347E2B"/>
    <w:rsid w:val="00350017"/>
    <w:rsid w:val="003504B6"/>
    <w:rsid w:val="00350561"/>
    <w:rsid w:val="0035080F"/>
    <w:rsid w:val="00350925"/>
    <w:rsid w:val="00350ABA"/>
    <w:rsid w:val="00350B64"/>
    <w:rsid w:val="00350CB2"/>
    <w:rsid w:val="00350CFD"/>
    <w:rsid w:val="00350DC9"/>
    <w:rsid w:val="003510D6"/>
    <w:rsid w:val="0035141B"/>
    <w:rsid w:val="00351894"/>
    <w:rsid w:val="00352148"/>
    <w:rsid w:val="00352636"/>
    <w:rsid w:val="0035296D"/>
    <w:rsid w:val="003534D5"/>
    <w:rsid w:val="003537F0"/>
    <w:rsid w:val="0035507F"/>
    <w:rsid w:val="00355301"/>
    <w:rsid w:val="003557D4"/>
    <w:rsid w:val="00355A69"/>
    <w:rsid w:val="00355C01"/>
    <w:rsid w:val="00355E30"/>
    <w:rsid w:val="003563DC"/>
    <w:rsid w:val="003568E4"/>
    <w:rsid w:val="00356ED2"/>
    <w:rsid w:val="003579F6"/>
    <w:rsid w:val="00357D9B"/>
    <w:rsid w:val="00357DF2"/>
    <w:rsid w:val="00360069"/>
    <w:rsid w:val="00360245"/>
    <w:rsid w:val="003609DF"/>
    <w:rsid w:val="00360DEA"/>
    <w:rsid w:val="003612A0"/>
    <w:rsid w:val="003614D3"/>
    <w:rsid w:val="0036166C"/>
    <w:rsid w:val="003621C7"/>
    <w:rsid w:val="003629AD"/>
    <w:rsid w:val="00362A1B"/>
    <w:rsid w:val="00363059"/>
    <w:rsid w:val="0036310F"/>
    <w:rsid w:val="00363293"/>
    <w:rsid w:val="003634F8"/>
    <w:rsid w:val="00363C2D"/>
    <w:rsid w:val="00363E64"/>
    <w:rsid w:val="00364150"/>
    <w:rsid w:val="00364223"/>
    <w:rsid w:val="00364580"/>
    <w:rsid w:val="00364710"/>
    <w:rsid w:val="0036476F"/>
    <w:rsid w:val="00364CA8"/>
    <w:rsid w:val="00365047"/>
    <w:rsid w:val="003657DF"/>
    <w:rsid w:val="003658C4"/>
    <w:rsid w:val="00365CE4"/>
    <w:rsid w:val="00366A0A"/>
    <w:rsid w:val="00366BE9"/>
    <w:rsid w:val="00370107"/>
    <w:rsid w:val="00370C25"/>
    <w:rsid w:val="00370F52"/>
    <w:rsid w:val="003711A0"/>
    <w:rsid w:val="0037208B"/>
    <w:rsid w:val="003738BF"/>
    <w:rsid w:val="003742AB"/>
    <w:rsid w:val="00375993"/>
    <w:rsid w:val="00375EA8"/>
    <w:rsid w:val="003761C6"/>
    <w:rsid w:val="003767D3"/>
    <w:rsid w:val="003767DA"/>
    <w:rsid w:val="00376DA3"/>
    <w:rsid w:val="00376E55"/>
    <w:rsid w:val="003774E0"/>
    <w:rsid w:val="00377DB6"/>
    <w:rsid w:val="00377FF3"/>
    <w:rsid w:val="003809E7"/>
    <w:rsid w:val="00381324"/>
    <w:rsid w:val="00381446"/>
    <w:rsid w:val="003820F7"/>
    <w:rsid w:val="00382449"/>
    <w:rsid w:val="0038277B"/>
    <w:rsid w:val="003827E3"/>
    <w:rsid w:val="00382BF5"/>
    <w:rsid w:val="0038319C"/>
    <w:rsid w:val="00383A18"/>
    <w:rsid w:val="00383A47"/>
    <w:rsid w:val="00383BBF"/>
    <w:rsid w:val="00383F05"/>
    <w:rsid w:val="003841E5"/>
    <w:rsid w:val="003845E4"/>
    <w:rsid w:val="003850EA"/>
    <w:rsid w:val="003860C0"/>
    <w:rsid w:val="00386170"/>
    <w:rsid w:val="003866AB"/>
    <w:rsid w:val="0038674D"/>
    <w:rsid w:val="0038675F"/>
    <w:rsid w:val="00386CA0"/>
    <w:rsid w:val="00387351"/>
    <w:rsid w:val="00387763"/>
    <w:rsid w:val="003900FB"/>
    <w:rsid w:val="00391172"/>
    <w:rsid w:val="00391520"/>
    <w:rsid w:val="003915DB"/>
    <w:rsid w:val="003915EF"/>
    <w:rsid w:val="00391B19"/>
    <w:rsid w:val="00392087"/>
    <w:rsid w:val="003923A6"/>
    <w:rsid w:val="0039324A"/>
    <w:rsid w:val="003936A3"/>
    <w:rsid w:val="00393B9C"/>
    <w:rsid w:val="00393F68"/>
    <w:rsid w:val="003942D8"/>
    <w:rsid w:val="003944F8"/>
    <w:rsid w:val="00394644"/>
    <w:rsid w:val="00394AD6"/>
    <w:rsid w:val="00394EE2"/>
    <w:rsid w:val="00395218"/>
    <w:rsid w:val="00395355"/>
    <w:rsid w:val="0039543A"/>
    <w:rsid w:val="00395C26"/>
    <w:rsid w:val="00395D79"/>
    <w:rsid w:val="00395DB4"/>
    <w:rsid w:val="0039620C"/>
    <w:rsid w:val="0039695F"/>
    <w:rsid w:val="00396D04"/>
    <w:rsid w:val="00396D18"/>
    <w:rsid w:val="00397D68"/>
    <w:rsid w:val="003A0403"/>
    <w:rsid w:val="003A0CD2"/>
    <w:rsid w:val="003A10CF"/>
    <w:rsid w:val="003A17DD"/>
    <w:rsid w:val="003A21A2"/>
    <w:rsid w:val="003A21E8"/>
    <w:rsid w:val="003A2996"/>
    <w:rsid w:val="003A2E89"/>
    <w:rsid w:val="003A4094"/>
    <w:rsid w:val="003A42B6"/>
    <w:rsid w:val="003A46D5"/>
    <w:rsid w:val="003A4945"/>
    <w:rsid w:val="003A4EE4"/>
    <w:rsid w:val="003A51B7"/>
    <w:rsid w:val="003A52D4"/>
    <w:rsid w:val="003A56EA"/>
    <w:rsid w:val="003A5CFC"/>
    <w:rsid w:val="003A69D4"/>
    <w:rsid w:val="003A76F1"/>
    <w:rsid w:val="003A7A75"/>
    <w:rsid w:val="003B0083"/>
    <w:rsid w:val="003B08BD"/>
    <w:rsid w:val="003B0FC4"/>
    <w:rsid w:val="003B1023"/>
    <w:rsid w:val="003B1182"/>
    <w:rsid w:val="003B23B4"/>
    <w:rsid w:val="003B2E29"/>
    <w:rsid w:val="003B2E83"/>
    <w:rsid w:val="003B34F3"/>
    <w:rsid w:val="003B3AEC"/>
    <w:rsid w:val="003B3EB9"/>
    <w:rsid w:val="003B3EBB"/>
    <w:rsid w:val="003B484F"/>
    <w:rsid w:val="003B4BAF"/>
    <w:rsid w:val="003B4FD8"/>
    <w:rsid w:val="003B524B"/>
    <w:rsid w:val="003B561C"/>
    <w:rsid w:val="003B5D0A"/>
    <w:rsid w:val="003B5F0E"/>
    <w:rsid w:val="003B67CE"/>
    <w:rsid w:val="003B7232"/>
    <w:rsid w:val="003B745A"/>
    <w:rsid w:val="003B74A5"/>
    <w:rsid w:val="003B78A2"/>
    <w:rsid w:val="003B7D34"/>
    <w:rsid w:val="003C0B2F"/>
    <w:rsid w:val="003C0C8C"/>
    <w:rsid w:val="003C0D65"/>
    <w:rsid w:val="003C0F00"/>
    <w:rsid w:val="003C12B3"/>
    <w:rsid w:val="003C1616"/>
    <w:rsid w:val="003C1698"/>
    <w:rsid w:val="003C26DA"/>
    <w:rsid w:val="003C2858"/>
    <w:rsid w:val="003C2B8A"/>
    <w:rsid w:val="003C2C7B"/>
    <w:rsid w:val="003C2FB4"/>
    <w:rsid w:val="003C35E2"/>
    <w:rsid w:val="003C3628"/>
    <w:rsid w:val="003C4315"/>
    <w:rsid w:val="003C4E00"/>
    <w:rsid w:val="003C4FAC"/>
    <w:rsid w:val="003C55FC"/>
    <w:rsid w:val="003C5789"/>
    <w:rsid w:val="003C5ADD"/>
    <w:rsid w:val="003C5E61"/>
    <w:rsid w:val="003C6237"/>
    <w:rsid w:val="003C77F2"/>
    <w:rsid w:val="003C79C4"/>
    <w:rsid w:val="003C7BD7"/>
    <w:rsid w:val="003C7C78"/>
    <w:rsid w:val="003D0442"/>
    <w:rsid w:val="003D082F"/>
    <w:rsid w:val="003D1425"/>
    <w:rsid w:val="003D1CE7"/>
    <w:rsid w:val="003D228D"/>
    <w:rsid w:val="003D256F"/>
    <w:rsid w:val="003D2C3E"/>
    <w:rsid w:val="003D2C7A"/>
    <w:rsid w:val="003D2DBB"/>
    <w:rsid w:val="003D3187"/>
    <w:rsid w:val="003D3D72"/>
    <w:rsid w:val="003D41AA"/>
    <w:rsid w:val="003D41DC"/>
    <w:rsid w:val="003D49CD"/>
    <w:rsid w:val="003D4A83"/>
    <w:rsid w:val="003D51B8"/>
    <w:rsid w:val="003D51F9"/>
    <w:rsid w:val="003D5516"/>
    <w:rsid w:val="003D556A"/>
    <w:rsid w:val="003D5DD5"/>
    <w:rsid w:val="003D6624"/>
    <w:rsid w:val="003D6965"/>
    <w:rsid w:val="003D6CCE"/>
    <w:rsid w:val="003D6FD2"/>
    <w:rsid w:val="003D7229"/>
    <w:rsid w:val="003D7840"/>
    <w:rsid w:val="003D7FE7"/>
    <w:rsid w:val="003E02E9"/>
    <w:rsid w:val="003E09E7"/>
    <w:rsid w:val="003E1162"/>
    <w:rsid w:val="003E132B"/>
    <w:rsid w:val="003E18A8"/>
    <w:rsid w:val="003E1C59"/>
    <w:rsid w:val="003E203D"/>
    <w:rsid w:val="003E23ED"/>
    <w:rsid w:val="003E2AE7"/>
    <w:rsid w:val="003E3039"/>
    <w:rsid w:val="003E3146"/>
    <w:rsid w:val="003E34F7"/>
    <w:rsid w:val="003E4261"/>
    <w:rsid w:val="003E4F8F"/>
    <w:rsid w:val="003E516B"/>
    <w:rsid w:val="003E5A16"/>
    <w:rsid w:val="003E5AD9"/>
    <w:rsid w:val="003E5C0F"/>
    <w:rsid w:val="003E6322"/>
    <w:rsid w:val="003E6434"/>
    <w:rsid w:val="003E6A19"/>
    <w:rsid w:val="003E6DAC"/>
    <w:rsid w:val="003E6EB6"/>
    <w:rsid w:val="003E6F7E"/>
    <w:rsid w:val="003E73EA"/>
    <w:rsid w:val="003E7624"/>
    <w:rsid w:val="003E7F5C"/>
    <w:rsid w:val="003F0125"/>
    <w:rsid w:val="003F016C"/>
    <w:rsid w:val="003F0962"/>
    <w:rsid w:val="003F1233"/>
    <w:rsid w:val="003F12DA"/>
    <w:rsid w:val="003F1326"/>
    <w:rsid w:val="003F1855"/>
    <w:rsid w:val="003F1C43"/>
    <w:rsid w:val="003F1E56"/>
    <w:rsid w:val="003F274C"/>
    <w:rsid w:val="003F32CD"/>
    <w:rsid w:val="003F3762"/>
    <w:rsid w:val="003F39E5"/>
    <w:rsid w:val="003F3DFB"/>
    <w:rsid w:val="003F3F8C"/>
    <w:rsid w:val="003F412E"/>
    <w:rsid w:val="003F4E52"/>
    <w:rsid w:val="003F5A6E"/>
    <w:rsid w:val="003F5B14"/>
    <w:rsid w:val="003F5B24"/>
    <w:rsid w:val="003F5BE6"/>
    <w:rsid w:val="003F62A1"/>
    <w:rsid w:val="003F634C"/>
    <w:rsid w:val="003F7FDB"/>
    <w:rsid w:val="004001D8"/>
    <w:rsid w:val="00400391"/>
    <w:rsid w:val="0040068D"/>
    <w:rsid w:val="0040155D"/>
    <w:rsid w:val="00401615"/>
    <w:rsid w:val="00401BB1"/>
    <w:rsid w:val="00401D55"/>
    <w:rsid w:val="00403051"/>
    <w:rsid w:val="00403147"/>
    <w:rsid w:val="00403B56"/>
    <w:rsid w:val="00403B5D"/>
    <w:rsid w:val="004041EA"/>
    <w:rsid w:val="00404EAA"/>
    <w:rsid w:val="00405262"/>
    <w:rsid w:val="00406219"/>
    <w:rsid w:val="00406236"/>
    <w:rsid w:val="0040641F"/>
    <w:rsid w:val="00406488"/>
    <w:rsid w:val="00406D41"/>
    <w:rsid w:val="00406F98"/>
    <w:rsid w:val="00407122"/>
    <w:rsid w:val="0040714D"/>
    <w:rsid w:val="004072F6"/>
    <w:rsid w:val="004073D8"/>
    <w:rsid w:val="0041187F"/>
    <w:rsid w:val="00411A28"/>
    <w:rsid w:val="00411D51"/>
    <w:rsid w:val="00412186"/>
    <w:rsid w:val="0041255A"/>
    <w:rsid w:val="00412B01"/>
    <w:rsid w:val="004130C8"/>
    <w:rsid w:val="0041345F"/>
    <w:rsid w:val="00413A19"/>
    <w:rsid w:val="00413C04"/>
    <w:rsid w:val="004144A5"/>
    <w:rsid w:val="004156A9"/>
    <w:rsid w:val="004156AA"/>
    <w:rsid w:val="00415AEF"/>
    <w:rsid w:val="00415E67"/>
    <w:rsid w:val="0041667D"/>
    <w:rsid w:val="00416A18"/>
    <w:rsid w:val="00417017"/>
    <w:rsid w:val="004171D8"/>
    <w:rsid w:val="004171FF"/>
    <w:rsid w:val="00417344"/>
    <w:rsid w:val="00417585"/>
    <w:rsid w:val="00417899"/>
    <w:rsid w:val="00420C12"/>
    <w:rsid w:val="00420F1A"/>
    <w:rsid w:val="00421C4A"/>
    <w:rsid w:val="00421D32"/>
    <w:rsid w:val="00421FFE"/>
    <w:rsid w:val="0042249E"/>
    <w:rsid w:val="004225B8"/>
    <w:rsid w:val="004226B9"/>
    <w:rsid w:val="004228F4"/>
    <w:rsid w:val="0042295F"/>
    <w:rsid w:val="00422EC3"/>
    <w:rsid w:val="00423443"/>
    <w:rsid w:val="004238A2"/>
    <w:rsid w:val="00423976"/>
    <w:rsid w:val="00423BBE"/>
    <w:rsid w:val="0042440F"/>
    <w:rsid w:val="004245FD"/>
    <w:rsid w:val="00424A4A"/>
    <w:rsid w:val="004254F5"/>
    <w:rsid w:val="00425EA4"/>
    <w:rsid w:val="00426166"/>
    <w:rsid w:val="00426715"/>
    <w:rsid w:val="00426758"/>
    <w:rsid w:val="004268DF"/>
    <w:rsid w:val="00426ABF"/>
    <w:rsid w:val="00426C6E"/>
    <w:rsid w:val="00427714"/>
    <w:rsid w:val="00427D4E"/>
    <w:rsid w:val="00430131"/>
    <w:rsid w:val="00430175"/>
    <w:rsid w:val="00430361"/>
    <w:rsid w:val="00430DC1"/>
    <w:rsid w:val="004319EB"/>
    <w:rsid w:val="00431BAB"/>
    <w:rsid w:val="00432175"/>
    <w:rsid w:val="004322C2"/>
    <w:rsid w:val="00432673"/>
    <w:rsid w:val="004343F4"/>
    <w:rsid w:val="00434D6D"/>
    <w:rsid w:val="00435A39"/>
    <w:rsid w:val="004362E5"/>
    <w:rsid w:val="00436772"/>
    <w:rsid w:val="004379C6"/>
    <w:rsid w:val="00437BBA"/>
    <w:rsid w:val="00440D51"/>
    <w:rsid w:val="00440FB6"/>
    <w:rsid w:val="004414BE"/>
    <w:rsid w:val="004417EE"/>
    <w:rsid w:val="00441DDD"/>
    <w:rsid w:val="004425F5"/>
    <w:rsid w:val="004426FA"/>
    <w:rsid w:val="00442785"/>
    <w:rsid w:val="0044279D"/>
    <w:rsid w:val="004427D8"/>
    <w:rsid w:val="00442CEB"/>
    <w:rsid w:val="004430B3"/>
    <w:rsid w:val="0044329C"/>
    <w:rsid w:val="0044333F"/>
    <w:rsid w:val="00443916"/>
    <w:rsid w:val="004439EE"/>
    <w:rsid w:val="00443D04"/>
    <w:rsid w:val="00443FA9"/>
    <w:rsid w:val="0044410A"/>
    <w:rsid w:val="00444873"/>
    <w:rsid w:val="004449F0"/>
    <w:rsid w:val="00444A18"/>
    <w:rsid w:val="00444BBB"/>
    <w:rsid w:val="00444D77"/>
    <w:rsid w:val="004453D5"/>
    <w:rsid w:val="00446008"/>
    <w:rsid w:val="004463ED"/>
    <w:rsid w:val="004468D2"/>
    <w:rsid w:val="00447DD4"/>
    <w:rsid w:val="00450000"/>
    <w:rsid w:val="004503F3"/>
    <w:rsid w:val="004503FE"/>
    <w:rsid w:val="004506FE"/>
    <w:rsid w:val="00450833"/>
    <w:rsid w:val="0045085B"/>
    <w:rsid w:val="00450CD9"/>
    <w:rsid w:val="004516C4"/>
    <w:rsid w:val="00451EAF"/>
    <w:rsid w:val="004526B7"/>
    <w:rsid w:val="00453485"/>
    <w:rsid w:val="004537CC"/>
    <w:rsid w:val="004537D2"/>
    <w:rsid w:val="00453DE5"/>
    <w:rsid w:val="004548A8"/>
    <w:rsid w:val="00454B25"/>
    <w:rsid w:val="00454C36"/>
    <w:rsid w:val="00455233"/>
    <w:rsid w:val="00455362"/>
    <w:rsid w:val="004563F9"/>
    <w:rsid w:val="004566AC"/>
    <w:rsid w:val="00456C8F"/>
    <w:rsid w:val="00456F5A"/>
    <w:rsid w:val="00457C0D"/>
    <w:rsid w:val="00457C1C"/>
    <w:rsid w:val="00460152"/>
    <w:rsid w:val="00460315"/>
    <w:rsid w:val="00460503"/>
    <w:rsid w:val="00461106"/>
    <w:rsid w:val="0046166A"/>
    <w:rsid w:val="004616D2"/>
    <w:rsid w:val="004618FF"/>
    <w:rsid w:val="004619E5"/>
    <w:rsid w:val="00461AB5"/>
    <w:rsid w:val="00461B77"/>
    <w:rsid w:val="00461CA0"/>
    <w:rsid w:val="00461CAE"/>
    <w:rsid w:val="004621B4"/>
    <w:rsid w:val="0046224D"/>
    <w:rsid w:val="00463C36"/>
    <w:rsid w:val="00463ECB"/>
    <w:rsid w:val="0046424B"/>
    <w:rsid w:val="00464823"/>
    <w:rsid w:val="0046504F"/>
    <w:rsid w:val="004656C2"/>
    <w:rsid w:val="00465F7C"/>
    <w:rsid w:val="00466223"/>
    <w:rsid w:val="0046657E"/>
    <w:rsid w:val="00466B3C"/>
    <w:rsid w:val="00466BE6"/>
    <w:rsid w:val="0046744C"/>
    <w:rsid w:val="0046746F"/>
    <w:rsid w:val="00467C11"/>
    <w:rsid w:val="00467E5A"/>
    <w:rsid w:val="0047047A"/>
    <w:rsid w:val="00470660"/>
    <w:rsid w:val="004706E6"/>
    <w:rsid w:val="00470A3F"/>
    <w:rsid w:val="00471859"/>
    <w:rsid w:val="004719F3"/>
    <w:rsid w:val="00471A6A"/>
    <w:rsid w:val="00471CB0"/>
    <w:rsid w:val="00471F0D"/>
    <w:rsid w:val="004724F0"/>
    <w:rsid w:val="00472C31"/>
    <w:rsid w:val="00472DBF"/>
    <w:rsid w:val="00472FAB"/>
    <w:rsid w:val="00473031"/>
    <w:rsid w:val="00473106"/>
    <w:rsid w:val="00473D77"/>
    <w:rsid w:val="00473F20"/>
    <w:rsid w:val="00475C26"/>
    <w:rsid w:val="004768DF"/>
    <w:rsid w:val="00476CBE"/>
    <w:rsid w:val="00476CC6"/>
    <w:rsid w:val="004778E4"/>
    <w:rsid w:val="00477BF6"/>
    <w:rsid w:val="00477D74"/>
    <w:rsid w:val="00477E52"/>
    <w:rsid w:val="00480695"/>
    <w:rsid w:val="00480DE2"/>
    <w:rsid w:val="004814B2"/>
    <w:rsid w:val="004814F8"/>
    <w:rsid w:val="00481964"/>
    <w:rsid w:val="004819C1"/>
    <w:rsid w:val="00481B31"/>
    <w:rsid w:val="00482596"/>
    <w:rsid w:val="004828D4"/>
    <w:rsid w:val="00482C03"/>
    <w:rsid w:val="00482D1C"/>
    <w:rsid w:val="0048340E"/>
    <w:rsid w:val="004835B7"/>
    <w:rsid w:val="00483D0A"/>
    <w:rsid w:val="00484646"/>
    <w:rsid w:val="00484C4F"/>
    <w:rsid w:val="00484DFF"/>
    <w:rsid w:val="0048569D"/>
    <w:rsid w:val="004857E5"/>
    <w:rsid w:val="00485F11"/>
    <w:rsid w:val="00485F80"/>
    <w:rsid w:val="00485F93"/>
    <w:rsid w:val="004867ED"/>
    <w:rsid w:val="00486C55"/>
    <w:rsid w:val="00486DD5"/>
    <w:rsid w:val="00486E13"/>
    <w:rsid w:val="00486F3F"/>
    <w:rsid w:val="0049019F"/>
    <w:rsid w:val="004902F1"/>
    <w:rsid w:val="0049041D"/>
    <w:rsid w:val="00491308"/>
    <w:rsid w:val="00491AC5"/>
    <w:rsid w:val="00491FBB"/>
    <w:rsid w:val="004922C3"/>
    <w:rsid w:val="0049278F"/>
    <w:rsid w:val="0049281C"/>
    <w:rsid w:val="00492C4C"/>
    <w:rsid w:val="004933F6"/>
    <w:rsid w:val="00494579"/>
    <w:rsid w:val="004952A4"/>
    <w:rsid w:val="00495799"/>
    <w:rsid w:val="004958C2"/>
    <w:rsid w:val="00496F35"/>
    <w:rsid w:val="004971C3"/>
    <w:rsid w:val="00497CDC"/>
    <w:rsid w:val="004A05B7"/>
    <w:rsid w:val="004A1FC7"/>
    <w:rsid w:val="004A218E"/>
    <w:rsid w:val="004A23F7"/>
    <w:rsid w:val="004A285B"/>
    <w:rsid w:val="004A2A72"/>
    <w:rsid w:val="004A3247"/>
    <w:rsid w:val="004A32F5"/>
    <w:rsid w:val="004A3852"/>
    <w:rsid w:val="004A397D"/>
    <w:rsid w:val="004A3F7B"/>
    <w:rsid w:val="004A441D"/>
    <w:rsid w:val="004A4567"/>
    <w:rsid w:val="004A4833"/>
    <w:rsid w:val="004A52D7"/>
    <w:rsid w:val="004A59CC"/>
    <w:rsid w:val="004A6722"/>
    <w:rsid w:val="004A6AF0"/>
    <w:rsid w:val="004A6D14"/>
    <w:rsid w:val="004A70C9"/>
    <w:rsid w:val="004A71FE"/>
    <w:rsid w:val="004A73A4"/>
    <w:rsid w:val="004A7595"/>
    <w:rsid w:val="004B018C"/>
    <w:rsid w:val="004B0345"/>
    <w:rsid w:val="004B0671"/>
    <w:rsid w:val="004B094F"/>
    <w:rsid w:val="004B119C"/>
    <w:rsid w:val="004B12F5"/>
    <w:rsid w:val="004B1309"/>
    <w:rsid w:val="004B143B"/>
    <w:rsid w:val="004B1F83"/>
    <w:rsid w:val="004B22BF"/>
    <w:rsid w:val="004B261F"/>
    <w:rsid w:val="004B2872"/>
    <w:rsid w:val="004B2ED1"/>
    <w:rsid w:val="004B3521"/>
    <w:rsid w:val="004B36BB"/>
    <w:rsid w:val="004B36DB"/>
    <w:rsid w:val="004B394A"/>
    <w:rsid w:val="004B3E63"/>
    <w:rsid w:val="004B4589"/>
    <w:rsid w:val="004B4B39"/>
    <w:rsid w:val="004B5A8E"/>
    <w:rsid w:val="004B5B11"/>
    <w:rsid w:val="004B603C"/>
    <w:rsid w:val="004B64E5"/>
    <w:rsid w:val="004B64F1"/>
    <w:rsid w:val="004B6CB2"/>
    <w:rsid w:val="004B6E58"/>
    <w:rsid w:val="004B7019"/>
    <w:rsid w:val="004B7616"/>
    <w:rsid w:val="004B7D0D"/>
    <w:rsid w:val="004C0929"/>
    <w:rsid w:val="004C0F0B"/>
    <w:rsid w:val="004C0F96"/>
    <w:rsid w:val="004C11E8"/>
    <w:rsid w:val="004C1E56"/>
    <w:rsid w:val="004C2009"/>
    <w:rsid w:val="004C2226"/>
    <w:rsid w:val="004C23FE"/>
    <w:rsid w:val="004C2A69"/>
    <w:rsid w:val="004C3BF3"/>
    <w:rsid w:val="004C403F"/>
    <w:rsid w:val="004C4807"/>
    <w:rsid w:val="004C4E88"/>
    <w:rsid w:val="004C4F64"/>
    <w:rsid w:val="004C51E5"/>
    <w:rsid w:val="004C51E6"/>
    <w:rsid w:val="004C5882"/>
    <w:rsid w:val="004C5E99"/>
    <w:rsid w:val="004C7A02"/>
    <w:rsid w:val="004C7CE3"/>
    <w:rsid w:val="004D0689"/>
    <w:rsid w:val="004D12D9"/>
    <w:rsid w:val="004D151C"/>
    <w:rsid w:val="004D1594"/>
    <w:rsid w:val="004D1D42"/>
    <w:rsid w:val="004D1F1F"/>
    <w:rsid w:val="004D1F24"/>
    <w:rsid w:val="004D217F"/>
    <w:rsid w:val="004D254E"/>
    <w:rsid w:val="004D2A59"/>
    <w:rsid w:val="004D2D34"/>
    <w:rsid w:val="004D3237"/>
    <w:rsid w:val="004D3533"/>
    <w:rsid w:val="004D3BE4"/>
    <w:rsid w:val="004D4DF3"/>
    <w:rsid w:val="004D4E88"/>
    <w:rsid w:val="004D4FD0"/>
    <w:rsid w:val="004D5015"/>
    <w:rsid w:val="004D58D5"/>
    <w:rsid w:val="004D60CF"/>
    <w:rsid w:val="004D7D0C"/>
    <w:rsid w:val="004E0F73"/>
    <w:rsid w:val="004E14A8"/>
    <w:rsid w:val="004E1637"/>
    <w:rsid w:val="004E2A29"/>
    <w:rsid w:val="004E2AF0"/>
    <w:rsid w:val="004E3634"/>
    <w:rsid w:val="004E4051"/>
    <w:rsid w:val="004E42E5"/>
    <w:rsid w:val="004E493E"/>
    <w:rsid w:val="004E50A7"/>
    <w:rsid w:val="004E585B"/>
    <w:rsid w:val="004E5BCB"/>
    <w:rsid w:val="004E6037"/>
    <w:rsid w:val="004E6105"/>
    <w:rsid w:val="004E610B"/>
    <w:rsid w:val="004E619B"/>
    <w:rsid w:val="004E644B"/>
    <w:rsid w:val="004E6A88"/>
    <w:rsid w:val="004E7C8F"/>
    <w:rsid w:val="004E7E89"/>
    <w:rsid w:val="004F0967"/>
    <w:rsid w:val="004F0B55"/>
    <w:rsid w:val="004F0B67"/>
    <w:rsid w:val="004F0B72"/>
    <w:rsid w:val="004F0FE6"/>
    <w:rsid w:val="004F1847"/>
    <w:rsid w:val="004F2402"/>
    <w:rsid w:val="004F2B50"/>
    <w:rsid w:val="004F2DF8"/>
    <w:rsid w:val="004F2EB7"/>
    <w:rsid w:val="004F2F8B"/>
    <w:rsid w:val="004F312A"/>
    <w:rsid w:val="004F339A"/>
    <w:rsid w:val="004F3DC8"/>
    <w:rsid w:val="004F3F7A"/>
    <w:rsid w:val="004F4A59"/>
    <w:rsid w:val="004F5664"/>
    <w:rsid w:val="004F57E7"/>
    <w:rsid w:val="004F59B0"/>
    <w:rsid w:val="004F59F4"/>
    <w:rsid w:val="004F5A72"/>
    <w:rsid w:val="004F654B"/>
    <w:rsid w:val="004F6FD7"/>
    <w:rsid w:val="004F7090"/>
    <w:rsid w:val="004F7D30"/>
    <w:rsid w:val="005003EB"/>
    <w:rsid w:val="00500E80"/>
    <w:rsid w:val="00500E94"/>
    <w:rsid w:val="005013E4"/>
    <w:rsid w:val="0050179C"/>
    <w:rsid w:val="00501B45"/>
    <w:rsid w:val="00501CB7"/>
    <w:rsid w:val="00502337"/>
    <w:rsid w:val="00502891"/>
    <w:rsid w:val="00502C01"/>
    <w:rsid w:val="00502FCF"/>
    <w:rsid w:val="0050350A"/>
    <w:rsid w:val="00503ABE"/>
    <w:rsid w:val="00503B37"/>
    <w:rsid w:val="00503CB3"/>
    <w:rsid w:val="005043C0"/>
    <w:rsid w:val="0050448F"/>
    <w:rsid w:val="005047BC"/>
    <w:rsid w:val="005058CC"/>
    <w:rsid w:val="00505A55"/>
    <w:rsid w:val="00506369"/>
    <w:rsid w:val="00506CDB"/>
    <w:rsid w:val="00506ECF"/>
    <w:rsid w:val="00506F8B"/>
    <w:rsid w:val="005078C6"/>
    <w:rsid w:val="00507A65"/>
    <w:rsid w:val="005106DE"/>
    <w:rsid w:val="00510CE7"/>
    <w:rsid w:val="00511033"/>
    <w:rsid w:val="005112A5"/>
    <w:rsid w:val="00511477"/>
    <w:rsid w:val="00511524"/>
    <w:rsid w:val="00511879"/>
    <w:rsid w:val="00511A59"/>
    <w:rsid w:val="00511C8D"/>
    <w:rsid w:val="00511FFD"/>
    <w:rsid w:val="005121A7"/>
    <w:rsid w:val="00512E55"/>
    <w:rsid w:val="00512FC5"/>
    <w:rsid w:val="00512FFA"/>
    <w:rsid w:val="00513049"/>
    <w:rsid w:val="00513448"/>
    <w:rsid w:val="00513D74"/>
    <w:rsid w:val="00514821"/>
    <w:rsid w:val="00514F71"/>
    <w:rsid w:val="005155AE"/>
    <w:rsid w:val="00515EA4"/>
    <w:rsid w:val="00516308"/>
    <w:rsid w:val="00516834"/>
    <w:rsid w:val="005169FA"/>
    <w:rsid w:val="00516DBC"/>
    <w:rsid w:val="00517479"/>
    <w:rsid w:val="0051798C"/>
    <w:rsid w:val="00517A84"/>
    <w:rsid w:val="00517DCA"/>
    <w:rsid w:val="00520326"/>
    <w:rsid w:val="0052045F"/>
    <w:rsid w:val="005208DC"/>
    <w:rsid w:val="00520EA7"/>
    <w:rsid w:val="00521BA8"/>
    <w:rsid w:val="00522031"/>
    <w:rsid w:val="00522599"/>
    <w:rsid w:val="0052261C"/>
    <w:rsid w:val="00522929"/>
    <w:rsid w:val="00523307"/>
    <w:rsid w:val="005234BD"/>
    <w:rsid w:val="00523505"/>
    <w:rsid w:val="005238F5"/>
    <w:rsid w:val="00523D28"/>
    <w:rsid w:val="00524195"/>
    <w:rsid w:val="0052433A"/>
    <w:rsid w:val="00524BEE"/>
    <w:rsid w:val="0052530C"/>
    <w:rsid w:val="0052550D"/>
    <w:rsid w:val="00525A55"/>
    <w:rsid w:val="00525F31"/>
    <w:rsid w:val="00526769"/>
    <w:rsid w:val="00526789"/>
    <w:rsid w:val="00526921"/>
    <w:rsid w:val="00526C8F"/>
    <w:rsid w:val="00527BD3"/>
    <w:rsid w:val="00527BD8"/>
    <w:rsid w:val="005304DD"/>
    <w:rsid w:val="0053116F"/>
    <w:rsid w:val="005324D2"/>
    <w:rsid w:val="005324D9"/>
    <w:rsid w:val="005325AA"/>
    <w:rsid w:val="00532620"/>
    <w:rsid w:val="00532A91"/>
    <w:rsid w:val="005331B3"/>
    <w:rsid w:val="00534162"/>
    <w:rsid w:val="00534840"/>
    <w:rsid w:val="00534FAF"/>
    <w:rsid w:val="00535483"/>
    <w:rsid w:val="0053588B"/>
    <w:rsid w:val="005358F8"/>
    <w:rsid w:val="00536228"/>
    <w:rsid w:val="00536535"/>
    <w:rsid w:val="00536B86"/>
    <w:rsid w:val="00536C4E"/>
    <w:rsid w:val="00536D51"/>
    <w:rsid w:val="00536D9D"/>
    <w:rsid w:val="00536E15"/>
    <w:rsid w:val="0053798B"/>
    <w:rsid w:val="005406B5"/>
    <w:rsid w:val="00540D35"/>
    <w:rsid w:val="00540EDC"/>
    <w:rsid w:val="00541750"/>
    <w:rsid w:val="00541D70"/>
    <w:rsid w:val="00541EC7"/>
    <w:rsid w:val="0054388F"/>
    <w:rsid w:val="00543E90"/>
    <w:rsid w:val="00544C8D"/>
    <w:rsid w:val="00545C4A"/>
    <w:rsid w:val="005460A9"/>
    <w:rsid w:val="005466ED"/>
    <w:rsid w:val="00546841"/>
    <w:rsid w:val="00546AD1"/>
    <w:rsid w:val="005472FE"/>
    <w:rsid w:val="0054766E"/>
    <w:rsid w:val="00547DDB"/>
    <w:rsid w:val="00547E12"/>
    <w:rsid w:val="0055044B"/>
    <w:rsid w:val="00550456"/>
    <w:rsid w:val="00550575"/>
    <w:rsid w:val="005505E8"/>
    <w:rsid w:val="00550793"/>
    <w:rsid w:val="005516CD"/>
    <w:rsid w:val="00551C01"/>
    <w:rsid w:val="00551CC1"/>
    <w:rsid w:val="00551F33"/>
    <w:rsid w:val="005525B5"/>
    <w:rsid w:val="005526C1"/>
    <w:rsid w:val="005526E0"/>
    <w:rsid w:val="00552933"/>
    <w:rsid w:val="00552A63"/>
    <w:rsid w:val="00552A9B"/>
    <w:rsid w:val="00552B6A"/>
    <w:rsid w:val="00552E80"/>
    <w:rsid w:val="005531C7"/>
    <w:rsid w:val="00553220"/>
    <w:rsid w:val="0055335A"/>
    <w:rsid w:val="00553E17"/>
    <w:rsid w:val="005542CF"/>
    <w:rsid w:val="005542F2"/>
    <w:rsid w:val="0055431D"/>
    <w:rsid w:val="005543C2"/>
    <w:rsid w:val="00554A22"/>
    <w:rsid w:val="00554CBD"/>
    <w:rsid w:val="005551AF"/>
    <w:rsid w:val="00555545"/>
    <w:rsid w:val="005556FA"/>
    <w:rsid w:val="00555748"/>
    <w:rsid w:val="00555830"/>
    <w:rsid w:val="00555A6D"/>
    <w:rsid w:val="00555CF6"/>
    <w:rsid w:val="00555EA9"/>
    <w:rsid w:val="00556E2E"/>
    <w:rsid w:val="00556FAC"/>
    <w:rsid w:val="005570FB"/>
    <w:rsid w:val="00557654"/>
    <w:rsid w:val="005576E7"/>
    <w:rsid w:val="00557873"/>
    <w:rsid w:val="00557BF1"/>
    <w:rsid w:val="00557E24"/>
    <w:rsid w:val="0056116C"/>
    <w:rsid w:val="005611AD"/>
    <w:rsid w:val="00561793"/>
    <w:rsid w:val="0056251B"/>
    <w:rsid w:val="00562C5B"/>
    <w:rsid w:val="00562FE1"/>
    <w:rsid w:val="00563213"/>
    <w:rsid w:val="00563256"/>
    <w:rsid w:val="00563A2C"/>
    <w:rsid w:val="00563F0E"/>
    <w:rsid w:val="005648D8"/>
    <w:rsid w:val="0056494E"/>
    <w:rsid w:val="0056533C"/>
    <w:rsid w:val="005656E4"/>
    <w:rsid w:val="00565792"/>
    <w:rsid w:val="0056580D"/>
    <w:rsid w:val="005661AC"/>
    <w:rsid w:val="00566491"/>
    <w:rsid w:val="005665DE"/>
    <w:rsid w:val="00567322"/>
    <w:rsid w:val="00570B3B"/>
    <w:rsid w:val="00570B58"/>
    <w:rsid w:val="0057155A"/>
    <w:rsid w:val="0057176B"/>
    <w:rsid w:val="00571946"/>
    <w:rsid w:val="00571D8E"/>
    <w:rsid w:val="00571F4E"/>
    <w:rsid w:val="005721F7"/>
    <w:rsid w:val="005721FF"/>
    <w:rsid w:val="00572C00"/>
    <w:rsid w:val="00572D00"/>
    <w:rsid w:val="005734D0"/>
    <w:rsid w:val="005735A6"/>
    <w:rsid w:val="00573947"/>
    <w:rsid w:val="00573A92"/>
    <w:rsid w:val="00573AAA"/>
    <w:rsid w:val="00573D57"/>
    <w:rsid w:val="0057442F"/>
    <w:rsid w:val="00574B91"/>
    <w:rsid w:val="00574C20"/>
    <w:rsid w:val="00575E7D"/>
    <w:rsid w:val="0057640A"/>
    <w:rsid w:val="00576501"/>
    <w:rsid w:val="00576BE7"/>
    <w:rsid w:val="00576D60"/>
    <w:rsid w:val="00576DD1"/>
    <w:rsid w:val="005777C1"/>
    <w:rsid w:val="00577BC1"/>
    <w:rsid w:val="0058008A"/>
    <w:rsid w:val="005809D9"/>
    <w:rsid w:val="005812ED"/>
    <w:rsid w:val="0058164B"/>
    <w:rsid w:val="005817C7"/>
    <w:rsid w:val="005819EB"/>
    <w:rsid w:val="00581C78"/>
    <w:rsid w:val="0058219C"/>
    <w:rsid w:val="0058229C"/>
    <w:rsid w:val="005825F2"/>
    <w:rsid w:val="00582F22"/>
    <w:rsid w:val="0058306B"/>
    <w:rsid w:val="005833E1"/>
    <w:rsid w:val="0058356A"/>
    <w:rsid w:val="005835EF"/>
    <w:rsid w:val="00583AC8"/>
    <w:rsid w:val="005851F9"/>
    <w:rsid w:val="005853E2"/>
    <w:rsid w:val="0058544D"/>
    <w:rsid w:val="00585671"/>
    <w:rsid w:val="005858A2"/>
    <w:rsid w:val="00585903"/>
    <w:rsid w:val="0058645B"/>
    <w:rsid w:val="00587609"/>
    <w:rsid w:val="0059048E"/>
    <w:rsid w:val="00590A29"/>
    <w:rsid w:val="005917E7"/>
    <w:rsid w:val="00591DC9"/>
    <w:rsid w:val="0059288D"/>
    <w:rsid w:val="0059291D"/>
    <w:rsid w:val="00592EEB"/>
    <w:rsid w:val="005932DB"/>
    <w:rsid w:val="00593CC0"/>
    <w:rsid w:val="00593EFD"/>
    <w:rsid w:val="005942FD"/>
    <w:rsid w:val="005945F8"/>
    <w:rsid w:val="0059504C"/>
    <w:rsid w:val="005958FE"/>
    <w:rsid w:val="00595D77"/>
    <w:rsid w:val="00595F23"/>
    <w:rsid w:val="005966FF"/>
    <w:rsid w:val="00596B72"/>
    <w:rsid w:val="00596B74"/>
    <w:rsid w:val="00596F09"/>
    <w:rsid w:val="00596FDF"/>
    <w:rsid w:val="005971FD"/>
    <w:rsid w:val="00597BA6"/>
    <w:rsid w:val="005A00EC"/>
    <w:rsid w:val="005A0540"/>
    <w:rsid w:val="005A0BA7"/>
    <w:rsid w:val="005A1B9C"/>
    <w:rsid w:val="005A1DB4"/>
    <w:rsid w:val="005A1F6F"/>
    <w:rsid w:val="005A2047"/>
    <w:rsid w:val="005A341C"/>
    <w:rsid w:val="005A3691"/>
    <w:rsid w:val="005A3738"/>
    <w:rsid w:val="005A3EF0"/>
    <w:rsid w:val="005A49FE"/>
    <w:rsid w:val="005A4E30"/>
    <w:rsid w:val="005A4E6E"/>
    <w:rsid w:val="005A62FC"/>
    <w:rsid w:val="005A6F57"/>
    <w:rsid w:val="005A741D"/>
    <w:rsid w:val="005A78FF"/>
    <w:rsid w:val="005B0A2F"/>
    <w:rsid w:val="005B0E88"/>
    <w:rsid w:val="005B1163"/>
    <w:rsid w:val="005B1B04"/>
    <w:rsid w:val="005B1F19"/>
    <w:rsid w:val="005B2566"/>
    <w:rsid w:val="005B3FA4"/>
    <w:rsid w:val="005B40E8"/>
    <w:rsid w:val="005B4BC8"/>
    <w:rsid w:val="005B4BDB"/>
    <w:rsid w:val="005B4C87"/>
    <w:rsid w:val="005B5DCA"/>
    <w:rsid w:val="005B6418"/>
    <w:rsid w:val="005B7566"/>
    <w:rsid w:val="005B7BBA"/>
    <w:rsid w:val="005C0394"/>
    <w:rsid w:val="005C0A1B"/>
    <w:rsid w:val="005C1F5A"/>
    <w:rsid w:val="005C2740"/>
    <w:rsid w:val="005C2B8C"/>
    <w:rsid w:val="005C2FCD"/>
    <w:rsid w:val="005C3026"/>
    <w:rsid w:val="005C34F4"/>
    <w:rsid w:val="005C355F"/>
    <w:rsid w:val="005C36C1"/>
    <w:rsid w:val="005C37EA"/>
    <w:rsid w:val="005C382C"/>
    <w:rsid w:val="005C59A6"/>
    <w:rsid w:val="005C5F78"/>
    <w:rsid w:val="005C63F6"/>
    <w:rsid w:val="005C64F4"/>
    <w:rsid w:val="005C65B1"/>
    <w:rsid w:val="005C693E"/>
    <w:rsid w:val="005C696E"/>
    <w:rsid w:val="005C6C21"/>
    <w:rsid w:val="005C7180"/>
    <w:rsid w:val="005C74C8"/>
    <w:rsid w:val="005C7505"/>
    <w:rsid w:val="005C75F7"/>
    <w:rsid w:val="005C7749"/>
    <w:rsid w:val="005D03C5"/>
    <w:rsid w:val="005D13AF"/>
    <w:rsid w:val="005D1E34"/>
    <w:rsid w:val="005D2204"/>
    <w:rsid w:val="005D24B4"/>
    <w:rsid w:val="005D284C"/>
    <w:rsid w:val="005D2C3D"/>
    <w:rsid w:val="005D309E"/>
    <w:rsid w:val="005D3669"/>
    <w:rsid w:val="005D45BF"/>
    <w:rsid w:val="005D5609"/>
    <w:rsid w:val="005D566D"/>
    <w:rsid w:val="005D5723"/>
    <w:rsid w:val="005D5810"/>
    <w:rsid w:val="005D581A"/>
    <w:rsid w:val="005D5AAF"/>
    <w:rsid w:val="005D5AFF"/>
    <w:rsid w:val="005D5B6B"/>
    <w:rsid w:val="005D5E49"/>
    <w:rsid w:val="005D64F3"/>
    <w:rsid w:val="005D67FD"/>
    <w:rsid w:val="005D6B9E"/>
    <w:rsid w:val="005E0019"/>
    <w:rsid w:val="005E02F9"/>
    <w:rsid w:val="005E1631"/>
    <w:rsid w:val="005E17B5"/>
    <w:rsid w:val="005E1B1C"/>
    <w:rsid w:val="005E1EE0"/>
    <w:rsid w:val="005E1FDE"/>
    <w:rsid w:val="005E210A"/>
    <w:rsid w:val="005E21E5"/>
    <w:rsid w:val="005E239D"/>
    <w:rsid w:val="005E2629"/>
    <w:rsid w:val="005E32FE"/>
    <w:rsid w:val="005E3360"/>
    <w:rsid w:val="005E36ED"/>
    <w:rsid w:val="005E39BC"/>
    <w:rsid w:val="005E3ED0"/>
    <w:rsid w:val="005E44FE"/>
    <w:rsid w:val="005E4A28"/>
    <w:rsid w:val="005E4ABA"/>
    <w:rsid w:val="005E4DA8"/>
    <w:rsid w:val="005E53E2"/>
    <w:rsid w:val="005E6D96"/>
    <w:rsid w:val="005E706F"/>
    <w:rsid w:val="005E77DA"/>
    <w:rsid w:val="005E7A90"/>
    <w:rsid w:val="005F0DA9"/>
    <w:rsid w:val="005F1525"/>
    <w:rsid w:val="005F2441"/>
    <w:rsid w:val="005F2853"/>
    <w:rsid w:val="005F29E6"/>
    <w:rsid w:val="005F377F"/>
    <w:rsid w:val="005F39A5"/>
    <w:rsid w:val="005F39C4"/>
    <w:rsid w:val="005F4429"/>
    <w:rsid w:val="005F45D2"/>
    <w:rsid w:val="005F46E4"/>
    <w:rsid w:val="005F64AC"/>
    <w:rsid w:val="005F67BF"/>
    <w:rsid w:val="005F68ED"/>
    <w:rsid w:val="005F6D4D"/>
    <w:rsid w:val="005F71EF"/>
    <w:rsid w:val="005F74B1"/>
    <w:rsid w:val="005F74C1"/>
    <w:rsid w:val="005F78BF"/>
    <w:rsid w:val="005F7947"/>
    <w:rsid w:val="005F7CB0"/>
    <w:rsid w:val="005F7CF2"/>
    <w:rsid w:val="0060004B"/>
    <w:rsid w:val="00600222"/>
    <w:rsid w:val="00600A03"/>
    <w:rsid w:val="00600BFF"/>
    <w:rsid w:val="00600FE8"/>
    <w:rsid w:val="006016C2"/>
    <w:rsid w:val="00601B33"/>
    <w:rsid w:val="006022C6"/>
    <w:rsid w:val="006025AA"/>
    <w:rsid w:val="00602987"/>
    <w:rsid w:val="00602D6E"/>
    <w:rsid w:val="00602F3F"/>
    <w:rsid w:val="00602FC2"/>
    <w:rsid w:val="00603A76"/>
    <w:rsid w:val="00604471"/>
    <w:rsid w:val="00604AE4"/>
    <w:rsid w:val="006050F9"/>
    <w:rsid w:val="00605135"/>
    <w:rsid w:val="0060533B"/>
    <w:rsid w:val="006053BE"/>
    <w:rsid w:val="00605AF1"/>
    <w:rsid w:val="00605DE6"/>
    <w:rsid w:val="00606358"/>
    <w:rsid w:val="00606542"/>
    <w:rsid w:val="006065F0"/>
    <w:rsid w:val="00606646"/>
    <w:rsid w:val="006066CF"/>
    <w:rsid w:val="006068BF"/>
    <w:rsid w:val="006070D0"/>
    <w:rsid w:val="0060731B"/>
    <w:rsid w:val="00607768"/>
    <w:rsid w:val="006077F9"/>
    <w:rsid w:val="0060785C"/>
    <w:rsid w:val="00607A7C"/>
    <w:rsid w:val="00610395"/>
    <w:rsid w:val="00611293"/>
    <w:rsid w:val="006115F1"/>
    <w:rsid w:val="00611FC7"/>
    <w:rsid w:val="00612126"/>
    <w:rsid w:val="00612D07"/>
    <w:rsid w:val="00613159"/>
    <w:rsid w:val="0061370C"/>
    <w:rsid w:val="00613714"/>
    <w:rsid w:val="00613E5E"/>
    <w:rsid w:val="00614097"/>
    <w:rsid w:val="00614373"/>
    <w:rsid w:val="0061451D"/>
    <w:rsid w:val="00614563"/>
    <w:rsid w:val="00614622"/>
    <w:rsid w:val="00614A92"/>
    <w:rsid w:val="00614E20"/>
    <w:rsid w:val="006157CE"/>
    <w:rsid w:val="00615FFE"/>
    <w:rsid w:val="006160AE"/>
    <w:rsid w:val="00616B2A"/>
    <w:rsid w:val="00616C1A"/>
    <w:rsid w:val="00617189"/>
    <w:rsid w:val="00617455"/>
    <w:rsid w:val="006175B5"/>
    <w:rsid w:val="006177BC"/>
    <w:rsid w:val="0062010D"/>
    <w:rsid w:val="00620CBC"/>
    <w:rsid w:val="00620FA1"/>
    <w:rsid w:val="00621653"/>
    <w:rsid w:val="006217BA"/>
    <w:rsid w:val="00621EE7"/>
    <w:rsid w:val="006221F9"/>
    <w:rsid w:val="00622F7D"/>
    <w:rsid w:val="006230D4"/>
    <w:rsid w:val="006236F3"/>
    <w:rsid w:val="006239F4"/>
    <w:rsid w:val="006239F7"/>
    <w:rsid w:val="00623B49"/>
    <w:rsid w:val="00624186"/>
    <w:rsid w:val="00625297"/>
    <w:rsid w:val="006255E5"/>
    <w:rsid w:val="00625F93"/>
    <w:rsid w:val="0062688A"/>
    <w:rsid w:val="00626FE1"/>
    <w:rsid w:val="00627045"/>
    <w:rsid w:val="00627624"/>
    <w:rsid w:val="00627F6C"/>
    <w:rsid w:val="00630556"/>
    <w:rsid w:val="0063055F"/>
    <w:rsid w:val="006308D4"/>
    <w:rsid w:val="006309CA"/>
    <w:rsid w:val="00630C06"/>
    <w:rsid w:val="00630CC2"/>
    <w:rsid w:val="00631096"/>
    <w:rsid w:val="00631802"/>
    <w:rsid w:val="00631D37"/>
    <w:rsid w:val="00631F6A"/>
    <w:rsid w:val="00631FD7"/>
    <w:rsid w:val="00633586"/>
    <w:rsid w:val="006336FD"/>
    <w:rsid w:val="00633BFD"/>
    <w:rsid w:val="00633FE3"/>
    <w:rsid w:val="00634B7B"/>
    <w:rsid w:val="00634D57"/>
    <w:rsid w:val="00634E6D"/>
    <w:rsid w:val="0063553C"/>
    <w:rsid w:val="00635884"/>
    <w:rsid w:val="00635B15"/>
    <w:rsid w:val="00635E48"/>
    <w:rsid w:val="00637323"/>
    <w:rsid w:val="00640446"/>
    <w:rsid w:val="00640B05"/>
    <w:rsid w:val="00640F54"/>
    <w:rsid w:val="00641092"/>
    <w:rsid w:val="00641254"/>
    <w:rsid w:val="006415CC"/>
    <w:rsid w:val="006416C5"/>
    <w:rsid w:val="0064216D"/>
    <w:rsid w:val="006437DC"/>
    <w:rsid w:val="006441F5"/>
    <w:rsid w:val="00644201"/>
    <w:rsid w:val="0064526F"/>
    <w:rsid w:val="00645540"/>
    <w:rsid w:val="00645932"/>
    <w:rsid w:val="00645AA4"/>
    <w:rsid w:val="00645AF7"/>
    <w:rsid w:val="00645E2E"/>
    <w:rsid w:val="00645F4D"/>
    <w:rsid w:val="00645F86"/>
    <w:rsid w:val="00646E5D"/>
    <w:rsid w:val="00646F8E"/>
    <w:rsid w:val="00646FDD"/>
    <w:rsid w:val="0064775F"/>
    <w:rsid w:val="00647D8E"/>
    <w:rsid w:val="00650249"/>
    <w:rsid w:val="00650A8D"/>
    <w:rsid w:val="00650DB6"/>
    <w:rsid w:val="0065113B"/>
    <w:rsid w:val="00651235"/>
    <w:rsid w:val="006520D0"/>
    <w:rsid w:val="00652104"/>
    <w:rsid w:val="00652270"/>
    <w:rsid w:val="00652277"/>
    <w:rsid w:val="00652797"/>
    <w:rsid w:val="006530C8"/>
    <w:rsid w:val="006532DE"/>
    <w:rsid w:val="006536E8"/>
    <w:rsid w:val="00653792"/>
    <w:rsid w:val="00653C21"/>
    <w:rsid w:val="006543A8"/>
    <w:rsid w:val="006545DA"/>
    <w:rsid w:val="00654C80"/>
    <w:rsid w:val="00654C96"/>
    <w:rsid w:val="006550A8"/>
    <w:rsid w:val="0065611D"/>
    <w:rsid w:val="00656602"/>
    <w:rsid w:val="006568FB"/>
    <w:rsid w:val="00656968"/>
    <w:rsid w:val="00656AF8"/>
    <w:rsid w:val="00656C20"/>
    <w:rsid w:val="00656DBD"/>
    <w:rsid w:val="006574C9"/>
    <w:rsid w:val="0065779F"/>
    <w:rsid w:val="00660204"/>
    <w:rsid w:val="00660425"/>
    <w:rsid w:val="0066066C"/>
    <w:rsid w:val="00660B90"/>
    <w:rsid w:val="00660E9A"/>
    <w:rsid w:val="00660EE2"/>
    <w:rsid w:val="006610CC"/>
    <w:rsid w:val="00661ACF"/>
    <w:rsid w:val="00662060"/>
    <w:rsid w:val="006626CE"/>
    <w:rsid w:val="00662DD6"/>
    <w:rsid w:val="006636B9"/>
    <w:rsid w:val="0066395C"/>
    <w:rsid w:val="00663A92"/>
    <w:rsid w:val="0066447B"/>
    <w:rsid w:val="006645C1"/>
    <w:rsid w:val="00664791"/>
    <w:rsid w:val="00664A70"/>
    <w:rsid w:val="0066513C"/>
    <w:rsid w:val="00666163"/>
    <w:rsid w:val="0066616E"/>
    <w:rsid w:val="0066624B"/>
    <w:rsid w:val="00666558"/>
    <w:rsid w:val="00666938"/>
    <w:rsid w:val="0066696B"/>
    <w:rsid w:val="00667231"/>
    <w:rsid w:val="00667E5D"/>
    <w:rsid w:val="006705AC"/>
    <w:rsid w:val="00670A00"/>
    <w:rsid w:val="006714BB"/>
    <w:rsid w:val="00671926"/>
    <w:rsid w:val="00671B53"/>
    <w:rsid w:val="00672351"/>
    <w:rsid w:val="00672859"/>
    <w:rsid w:val="006728E3"/>
    <w:rsid w:val="006732AD"/>
    <w:rsid w:val="00673792"/>
    <w:rsid w:val="00673998"/>
    <w:rsid w:val="00673AAF"/>
    <w:rsid w:val="00673BC4"/>
    <w:rsid w:val="006745CA"/>
    <w:rsid w:val="0067461D"/>
    <w:rsid w:val="00674748"/>
    <w:rsid w:val="00674B04"/>
    <w:rsid w:val="00675EEA"/>
    <w:rsid w:val="0067633C"/>
    <w:rsid w:val="00676CF4"/>
    <w:rsid w:val="00676F24"/>
    <w:rsid w:val="006778B8"/>
    <w:rsid w:val="00677A25"/>
    <w:rsid w:val="00680210"/>
    <w:rsid w:val="00680E54"/>
    <w:rsid w:val="006816F7"/>
    <w:rsid w:val="00681B88"/>
    <w:rsid w:val="00681C98"/>
    <w:rsid w:val="00682D8E"/>
    <w:rsid w:val="006830E7"/>
    <w:rsid w:val="006835F5"/>
    <w:rsid w:val="00683AF8"/>
    <w:rsid w:val="00683C81"/>
    <w:rsid w:val="00683E79"/>
    <w:rsid w:val="006840D8"/>
    <w:rsid w:val="00684493"/>
    <w:rsid w:val="00684646"/>
    <w:rsid w:val="00684D10"/>
    <w:rsid w:val="00684D8D"/>
    <w:rsid w:val="00685512"/>
    <w:rsid w:val="00685E66"/>
    <w:rsid w:val="00685F8A"/>
    <w:rsid w:val="006860FF"/>
    <w:rsid w:val="00686217"/>
    <w:rsid w:val="00686470"/>
    <w:rsid w:val="00686CD7"/>
    <w:rsid w:val="00687B8F"/>
    <w:rsid w:val="0069028D"/>
    <w:rsid w:val="00690E65"/>
    <w:rsid w:val="00690F89"/>
    <w:rsid w:val="00690FFA"/>
    <w:rsid w:val="006917B0"/>
    <w:rsid w:val="006921D7"/>
    <w:rsid w:val="00693220"/>
    <w:rsid w:val="00693ABC"/>
    <w:rsid w:val="00693D52"/>
    <w:rsid w:val="00694B59"/>
    <w:rsid w:val="006951D1"/>
    <w:rsid w:val="0069588D"/>
    <w:rsid w:val="00695E90"/>
    <w:rsid w:val="00695FD1"/>
    <w:rsid w:val="006962FB"/>
    <w:rsid w:val="0069685D"/>
    <w:rsid w:val="0069690E"/>
    <w:rsid w:val="00696F2E"/>
    <w:rsid w:val="00697152"/>
    <w:rsid w:val="0069745F"/>
    <w:rsid w:val="00697998"/>
    <w:rsid w:val="00697A38"/>
    <w:rsid w:val="00697F10"/>
    <w:rsid w:val="006A0766"/>
    <w:rsid w:val="006A0DA3"/>
    <w:rsid w:val="006A163D"/>
    <w:rsid w:val="006A193B"/>
    <w:rsid w:val="006A1986"/>
    <w:rsid w:val="006A19FA"/>
    <w:rsid w:val="006A1C0A"/>
    <w:rsid w:val="006A27EE"/>
    <w:rsid w:val="006A2BC6"/>
    <w:rsid w:val="006A3AA2"/>
    <w:rsid w:val="006A4279"/>
    <w:rsid w:val="006A524C"/>
    <w:rsid w:val="006A5C0C"/>
    <w:rsid w:val="006A6448"/>
    <w:rsid w:val="006A6771"/>
    <w:rsid w:val="006A6A36"/>
    <w:rsid w:val="006A6D8F"/>
    <w:rsid w:val="006A761D"/>
    <w:rsid w:val="006A7ACF"/>
    <w:rsid w:val="006A7C45"/>
    <w:rsid w:val="006B1025"/>
    <w:rsid w:val="006B1B0C"/>
    <w:rsid w:val="006B214C"/>
    <w:rsid w:val="006B2650"/>
    <w:rsid w:val="006B2999"/>
    <w:rsid w:val="006B3A01"/>
    <w:rsid w:val="006B3BE0"/>
    <w:rsid w:val="006B3FA1"/>
    <w:rsid w:val="006B40D1"/>
    <w:rsid w:val="006B433C"/>
    <w:rsid w:val="006B4A9F"/>
    <w:rsid w:val="006B51BB"/>
    <w:rsid w:val="006B52FF"/>
    <w:rsid w:val="006B571B"/>
    <w:rsid w:val="006B62E0"/>
    <w:rsid w:val="006B7AC6"/>
    <w:rsid w:val="006C076D"/>
    <w:rsid w:val="006C17BE"/>
    <w:rsid w:val="006C1964"/>
    <w:rsid w:val="006C1CF6"/>
    <w:rsid w:val="006C1E2B"/>
    <w:rsid w:val="006C25D5"/>
    <w:rsid w:val="006C262C"/>
    <w:rsid w:val="006C2867"/>
    <w:rsid w:val="006C2A25"/>
    <w:rsid w:val="006C2EE7"/>
    <w:rsid w:val="006C30F2"/>
    <w:rsid w:val="006C3282"/>
    <w:rsid w:val="006C3629"/>
    <w:rsid w:val="006C381C"/>
    <w:rsid w:val="006C3AAA"/>
    <w:rsid w:val="006C4532"/>
    <w:rsid w:val="006C47A8"/>
    <w:rsid w:val="006C4C63"/>
    <w:rsid w:val="006C60FA"/>
    <w:rsid w:val="006C63E5"/>
    <w:rsid w:val="006C6ABA"/>
    <w:rsid w:val="006C72CB"/>
    <w:rsid w:val="006D0203"/>
    <w:rsid w:val="006D0318"/>
    <w:rsid w:val="006D086B"/>
    <w:rsid w:val="006D087A"/>
    <w:rsid w:val="006D14B8"/>
    <w:rsid w:val="006D150E"/>
    <w:rsid w:val="006D1535"/>
    <w:rsid w:val="006D1618"/>
    <w:rsid w:val="006D20C8"/>
    <w:rsid w:val="006D2AFB"/>
    <w:rsid w:val="006D2F30"/>
    <w:rsid w:val="006D39DC"/>
    <w:rsid w:val="006D3D9D"/>
    <w:rsid w:val="006D44DE"/>
    <w:rsid w:val="006D4B1C"/>
    <w:rsid w:val="006D608F"/>
    <w:rsid w:val="006D6307"/>
    <w:rsid w:val="006D73C2"/>
    <w:rsid w:val="006D7BD8"/>
    <w:rsid w:val="006D7ED4"/>
    <w:rsid w:val="006D7FE2"/>
    <w:rsid w:val="006E0391"/>
    <w:rsid w:val="006E0DBB"/>
    <w:rsid w:val="006E13C6"/>
    <w:rsid w:val="006E1463"/>
    <w:rsid w:val="006E155E"/>
    <w:rsid w:val="006E15A1"/>
    <w:rsid w:val="006E1B6A"/>
    <w:rsid w:val="006E2069"/>
    <w:rsid w:val="006E27FC"/>
    <w:rsid w:val="006E2813"/>
    <w:rsid w:val="006E2895"/>
    <w:rsid w:val="006E34A1"/>
    <w:rsid w:val="006E3931"/>
    <w:rsid w:val="006E3D00"/>
    <w:rsid w:val="006E40D8"/>
    <w:rsid w:val="006E43CC"/>
    <w:rsid w:val="006E4695"/>
    <w:rsid w:val="006E4698"/>
    <w:rsid w:val="006E48DD"/>
    <w:rsid w:val="006E5558"/>
    <w:rsid w:val="006E5742"/>
    <w:rsid w:val="006E66D8"/>
    <w:rsid w:val="006E705D"/>
    <w:rsid w:val="006E7716"/>
    <w:rsid w:val="006E7788"/>
    <w:rsid w:val="006E790C"/>
    <w:rsid w:val="006E7ADB"/>
    <w:rsid w:val="006E7D05"/>
    <w:rsid w:val="006E7DEC"/>
    <w:rsid w:val="006F014F"/>
    <w:rsid w:val="006F0796"/>
    <w:rsid w:val="006F0E0A"/>
    <w:rsid w:val="006F0EAB"/>
    <w:rsid w:val="006F1208"/>
    <w:rsid w:val="006F14BB"/>
    <w:rsid w:val="006F19B6"/>
    <w:rsid w:val="006F1C72"/>
    <w:rsid w:val="006F1EA7"/>
    <w:rsid w:val="006F26FD"/>
    <w:rsid w:val="006F2D59"/>
    <w:rsid w:val="006F3603"/>
    <w:rsid w:val="006F3A63"/>
    <w:rsid w:val="006F3C64"/>
    <w:rsid w:val="006F4EEE"/>
    <w:rsid w:val="006F4F9D"/>
    <w:rsid w:val="006F4FF0"/>
    <w:rsid w:val="006F51FD"/>
    <w:rsid w:val="006F5474"/>
    <w:rsid w:val="006F55FB"/>
    <w:rsid w:val="006F61EC"/>
    <w:rsid w:val="006F6400"/>
    <w:rsid w:val="006F6A77"/>
    <w:rsid w:val="006F6E91"/>
    <w:rsid w:val="006F718C"/>
    <w:rsid w:val="006F72E8"/>
    <w:rsid w:val="006F7BA0"/>
    <w:rsid w:val="006F7DB5"/>
    <w:rsid w:val="00700A3C"/>
    <w:rsid w:val="00700F9E"/>
    <w:rsid w:val="007016D4"/>
    <w:rsid w:val="0070184B"/>
    <w:rsid w:val="007019AF"/>
    <w:rsid w:val="0070331E"/>
    <w:rsid w:val="007033AB"/>
    <w:rsid w:val="0070549D"/>
    <w:rsid w:val="00705512"/>
    <w:rsid w:val="00705EA7"/>
    <w:rsid w:val="00705EB8"/>
    <w:rsid w:val="0070610D"/>
    <w:rsid w:val="0070619F"/>
    <w:rsid w:val="0070682A"/>
    <w:rsid w:val="007068ED"/>
    <w:rsid w:val="00707147"/>
    <w:rsid w:val="007075AC"/>
    <w:rsid w:val="007078C2"/>
    <w:rsid w:val="007078DE"/>
    <w:rsid w:val="00707BC0"/>
    <w:rsid w:val="00710BE1"/>
    <w:rsid w:val="00711024"/>
    <w:rsid w:val="007117E9"/>
    <w:rsid w:val="00711E12"/>
    <w:rsid w:val="00711E64"/>
    <w:rsid w:val="00711FC0"/>
    <w:rsid w:val="00712182"/>
    <w:rsid w:val="00712F00"/>
    <w:rsid w:val="00713036"/>
    <w:rsid w:val="00713B94"/>
    <w:rsid w:val="00714921"/>
    <w:rsid w:val="007151F6"/>
    <w:rsid w:val="00715BC5"/>
    <w:rsid w:val="00716380"/>
    <w:rsid w:val="00716821"/>
    <w:rsid w:val="00717562"/>
    <w:rsid w:val="00717AB4"/>
    <w:rsid w:val="00717F2E"/>
    <w:rsid w:val="007200DC"/>
    <w:rsid w:val="00720942"/>
    <w:rsid w:val="00720B73"/>
    <w:rsid w:val="00721065"/>
    <w:rsid w:val="007210DF"/>
    <w:rsid w:val="00722652"/>
    <w:rsid w:val="00722748"/>
    <w:rsid w:val="0072288B"/>
    <w:rsid w:val="00722E1A"/>
    <w:rsid w:val="00722E30"/>
    <w:rsid w:val="007238CF"/>
    <w:rsid w:val="0072395C"/>
    <w:rsid w:val="00723AA5"/>
    <w:rsid w:val="00723CE0"/>
    <w:rsid w:val="00724FE2"/>
    <w:rsid w:val="00724FE7"/>
    <w:rsid w:val="00725033"/>
    <w:rsid w:val="007253BD"/>
    <w:rsid w:val="00725658"/>
    <w:rsid w:val="00725B7E"/>
    <w:rsid w:val="00725CFD"/>
    <w:rsid w:val="007260C8"/>
    <w:rsid w:val="007268F9"/>
    <w:rsid w:val="00726BA9"/>
    <w:rsid w:val="00726BF6"/>
    <w:rsid w:val="00727736"/>
    <w:rsid w:val="00727A20"/>
    <w:rsid w:val="0073022C"/>
    <w:rsid w:val="007306D9"/>
    <w:rsid w:val="00730F5B"/>
    <w:rsid w:val="00731737"/>
    <w:rsid w:val="00731A4B"/>
    <w:rsid w:val="00731A84"/>
    <w:rsid w:val="00731AD7"/>
    <w:rsid w:val="00731B08"/>
    <w:rsid w:val="00732804"/>
    <w:rsid w:val="00732D48"/>
    <w:rsid w:val="00732F5A"/>
    <w:rsid w:val="00732FC2"/>
    <w:rsid w:val="00733283"/>
    <w:rsid w:val="007339E3"/>
    <w:rsid w:val="00734814"/>
    <w:rsid w:val="00734B7A"/>
    <w:rsid w:val="00734C2C"/>
    <w:rsid w:val="007354F2"/>
    <w:rsid w:val="007356F3"/>
    <w:rsid w:val="007357FF"/>
    <w:rsid w:val="00735EFF"/>
    <w:rsid w:val="00736571"/>
    <w:rsid w:val="0073657B"/>
    <w:rsid w:val="00736A03"/>
    <w:rsid w:val="00736F58"/>
    <w:rsid w:val="00737420"/>
    <w:rsid w:val="00737D22"/>
    <w:rsid w:val="00740141"/>
    <w:rsid w:val="00740446"/>
    <w:rsid w:val="007409D0"/>
    <w:rsid w:val="00741685"/>
    <w:rsid w:val="00741943"/>
    <w:rsid w:val="007419DD"/>
    <w:rsid w:val="00741D17"/>
    <w:rsid w:val="00742175"/>
    <w:rsid w:val="007422AF"/>
    <w:rsid w:val="007423EF"/>
    <w:rsid w:val="0074241A"/>
    <w:rsid w:val="00742BFA"/>
    <w:rsid w:val="00742DC3"/>
    <w:rsid w:val="00743563"/>
    <w:rsid w:val="00743600"/>
    <w:rsid w:val="0074380A"/>
    <w:rsid w:val="0074386B"/>
    <w:rsid w:val="00743920"/>
    <w:rsid w:val="0074393A"/>
    <w:rsid w:val="00743A0C"/>
    <w:rsid w:val="00743A22"/>
    <w:rsid w:val="00743B53"/>
    <w:rsid w:val="00743EBB"/>
    <w:rsid w:val="00743F59"/>
    <w:rsid w:val="00744110"/>
    <w:rsid w:val="0074450A"/>
    <w:rsid w:val="00744840"/>
    <w:rsid w:val="0074514D"/>
    <w:rsid w:val="0074526D"/>
    <w:rsid w:val="0074529C"/>
    <w:rsid w:val="00745D2D"/>
    <w:rsid w:val="00745DCE"/>
    <w:rsid w:val="00746FC5"/>
    <w:rsid w:val="00747867"/>
    <w:rsid w:val="00747911"/>
    <w:rsid w:val="00747A6D"/>
    <w:rsid w:val="00747C7A"/>
    <w:rsid w:val="00750226"/>
    <w:rsid w:val="0075089D"/>
    <w:rsid w:val="00750AF2"/>
    <w:rsid w:val="0075171E"/>
    <w:rsid w:val="0075177B"/>
    <w:rsid w:val="00751D44"/>
    <w:rsid w:val="007521D0"/>
    <w:rsid w:val="00752A9F"/>
    <w:rsid w:val="00752D01"/>
    <w:rsid w:val="0075307B"/>
    <w:rsid w:val="00755427"/>
    <w:rsid w:val="00755AF1"/>
    <w:rsid w:val="00755C49"/>
    <w:rsid w:val="007560DB"/>
    <w:rsid w:val="007565A9"/>
    <w:rsid w:val="00757364"/>
    <w:rsid w:val="007576ED"/>
    <w:rsid w:val="0075792D"/>
    <w:rsid w:val="007612D0"/>
    <w:rsid w:val="00761452"/>
    <w:rsid w:val="007616D3"/>
    <w:rsid w:val="007619DB"/>
    <w:rsid w:val="00761C29"/>
    <w:rsid w:val="00761CDE"/>
    <w:rsid w:val="00762871"/>
    <w:rsid w:val="00762A33"/>
    <w:rsid w:val="00762E16"/>
    <w:rsid w:val="00762F05"/>
    <w:rsid w:val="007637C6"/>
    <w:rsid w:val="00763DBD"/>
    <w:rsid w:val="00763E42"/>
    <w:rsid w:val="007651C4"/>
    <w:rsid w:val="007655C8"/>
    <w:rsid w:val="007657EC"/>
    <w:rsid w:val="00765EFB"/>
    <w:rsid w:val="00766722"/>
    <w:rsid w:val="007672A5"/>
    <w:rsid w:val="00767E1D"/>
    <w:rsid w:val="00770075"/>
    <w:rsid w:val="0077013F"/>
    <w:rsid w:val="00770248"/>
    <w:rsid w:val="00770CAD"/>
    <w:rsid w:val="00770F42"/>
    <w:rsid w:val="0077123B"/>
    <w:rsid w:val="00771593"/>
    <w:rsid w:val="00771747"/>
    <w:rsid w:val="007720D6"/>
    <w:rsid w:val="0077255F"/>
    <w:rsid w:val="007727CB"/>
    <w:rsid w:val="00773F7C"/>
    <w:rsid w:val="00774039"/>
    <w:rsid w:val="00774582"/>
    <w:rsid w:val="00775170"/>
    <w:rsid w:val="00775366"/>
    <w:rsid w:val="00775693"/>
    <w:rsid w:val="0077574D"/>
    <w:rsid w:val="00775B5B"/>
    <w:rsid w:val="0077614F"/>
    <w:rsid w:val="007761F9"/>
    <w:rsid w:val="00776393"/>
    <w:rsid w:val="00776E14"/>
    <w:rsid w:val="007770D5"/>
    <w:rsid w:val="00777117"/>
    <w:rsid w:val="00777487"/>
    <w:rsid w:val="00777C40"/>
    <w:rsid w:val="00777C48"/>
    <w:rsid w:val="00780204"/>
    <w:rsid w:val="00780ADA"/>
    <w:rsid w:val="00780B2E"/>
    <w:rsid w:val="00780D7D"/>
    <w:rsid w:val="0078194A"/>
    <w:rsid w:val="007819E1"/>
    <w:rsid w:val="0078226B"/>
    <w:rsid w:val="00782975"/>
    <w:rsid w:val="00782C0D"/>
    <w:rsid w:val="0078365D"/>
    <w:rsid w:val="00783666"/>
    <w:rsid w:val="00784E2D"/>
    <w:rsid w:val="007850F9"/>
    <w:rsid w:val="00786D85"/>
    <w:rsid w:val="00786DF8"/>
    <w:rsid w:val="00786E4F"/>
    <w:rsid w:val="007874E0"/>
    <w:rsid w:val="007879CC"/>
    <w:rsid w:val="00787FC3"/>
    <w:rsid w:val="007905B3"/>
    <w:rsid w:val="00790CC7"/>
    <w:rsid w:val="00790D03"/>
    <w:rsid w:val="007916A2"/>
    <w:rsid w:val="00791892"/>
    <w:rsid w:val="007919B9"/>
    <w:rsid w:val="00791F76"/>
    <w:rsid w:val="007926A0"/>
    <w:rsid w:val="007927BE"/>
    <w:rsid w:val="00793468"/>
    <w:rsid w:val="007937B2"/>
    <w:rsid w:val="00794437"/>
    <w:rsid w:val="00794A19"/>
    <w:rsid w:val="00795B38"/>
    <w:rsid w:val="00795E5C"/>
    <w:rsid w:val="00796253"/>
    <w:rsid w:val="00796466"/>
    <w:rsid w:val="00796A96"/>
    <w:rsid w:val="00796AA6"/>
    <w:rsid w:val="00796ABF"/>
    <w:rsid w:val="00797980"/>
    <w:rsid w:val="00797F0C"/>
    <w:rsid w:val="007A03F2"/>
    <w:rsid w:val="007A05A3"/>
    <w:rsid w:val="007A08D4"/>
    <w:rsid w:val="007A1985"/>
    <w:rsid w:val="007A1C48"/>
    <w:rsid w:val="007A1E74"/>
    <w:rsid w:val="007A2BF6"/>
    <w:rsid w:val="007A2E63"/>
    <w:rsid w:val="007A33B4"/>
    <w:rsid w:val="007A35F0"/>
    <w:rsid w:val="007A3810"/>
    <w:rsid w:val="007A3E87"/>
    <w:rsid w:val="007A3F7A"/>
    <w:rsid w:val="007A411D"/>
    <w:rsid w:val="007A4EAB"/>
    <w:rsid w:val="007A5665"/>
    <w:rsid w:val="007A5807"/>
    <w:rsid w:val="007A5BC8"/>
    <w:rsid w:val="007A5E7B"/>
    <w:rsid w:val="007A619E"/>
    <w:rsid w:val="007A640A"/>
    <w:rsid w:val="007A7A1C"/>
    <w:rsid w:val="007B00BE"/>
    <w:rsid w:val="007B0423"/>
    <w:rsid w:val="007B0BE2"/>
    <w:rsid w:val="007B0D54"/>
    <w:rsid w:val="007B1131"/>
    <w:rsid w:val="007B1B3E"/>
    <w:rsid w:val="007B1C28"/>
    <w:rsid w:val="007B1C69"/>
    <w:rsid w:val="007B1D05"/>
    <w:rsid w:val="007B1FF6"/>
    <w:rsid w:val="007B2226"/>
    <w:rsid w:val="007B2B93"/>
    <w:rsid w:val="007B2BD2"/>
    <w:rsid w:val="007B3202"/>
    <w:rsid w:val="007B37CA"/>
    <w:rsid w:val="007B3C4C"/>
    <w:rsid w:val="007B4FBC"/>
    <w:rsid w:val="007B5D0C"/>
    <w:rsid w:val="007B61E2"/>
    <w:rsid w:val="007B6A43"/>
    <w:rsid w:val="007B6E48"/>
    <w:rsid w:val="007B7B0B"/>
    <w:rsid w:val="007C047E"/>
    <w:rsid w:val="007C1410"/>
    <w:rsid w:val="007C1424"/>
    <w:rsid w:val="007C16D2"/>
    <w:rsid w:val="007C19BE"/>
    <w:rsid w:val="007C1ABA"/>
    <w:rsid w:val="007C1B9D"/>
    <w:rsid w:val="007C1D2B"/>
    <w:rsid w:val="007C28B4"/>
    <w:rsid w:val="007C28E2"/>
    <w:rsid w:val="007C2926"/>
    <w:rsid w:val="007C2A29"/>
    <w:rsid w:val="007C3BD0"/>
    <w:rsid w:val="007C45A2"/>
    <w:rsid w:val="007C4707"/>
    <w:rsid w:val="007C479D"/>
    <w:rsid w:val="007C5839"/>
    <w:rsid w:val="007C6076"/>
    <w:rsid w:val="007C6383"/>
    <w:rsid w:val="007C6B20"/>
    <w:rsid w:val="007C73BA"/>
    <w:rsid w:val="007C74AD"/>
    <w:rsid w:val="007C75ED"/>
    <w:rsid w:val="007C7840"/>
    <w:rsid w:val="007C7A04"/>
    <w:rsid w:val="007D0175"/>
    <w:rsid w:val="007D0286"/>
    <w:rsid w:val="007D0CD9"/>
    <w:rsid w:val="007D127A"/>
    <w:rsid w:val="007D12A8"/>
    <w:rsid w:val="007D17A9"/>
    <w:rsid w:val="007D1B90"/>
    <w:rsid w:val="007D25C0"/>
    <w:rsid w:val="007D2993"/>
    <w:rsid w:val="007D2CCB"/>
    <w:rsid w:val="007D2E04"/>
    <w:rsid w:val="007D32D5"/>
    <w:rsid w:val="007D4888"/>
    <w:rsid w:val="007D4ABC"/>
    <w:rsid w:val="007D4C8A"/>
    <w:rsid w:val="007D4D67"/>
    <w:rsid w:val="007D5240"/>
    <w:rsid w:val="007D58AF"/>
    <w:rsid w:val="007D6849"/>
    <w:rsid w:val="007D69E1"/>
    <w:rsid w:val="007D7328"/>
    <w:rsid w:val="007D77C7"/>
    <w:rsid w:val="007D7B43"/>
    <w:rsid w:val="007E04FC"/>
    <w:rsid w:val="007E10FC"/>
    <w:rsid w:val="007E18C1"/>
    <w:rsid w:val="007E19FE"/>
    <w:rsid w:val="007E1E64"/>
    <w:rsid w:val="007E2555"/>
    <w:rsid w:val="007E2767"/>
    <w:rsid w:val="007E298C"/>
    <w:rsid w:val="007E2C13"/>
    <w:rsid w:val="007E3C52"/>
    <w:rsid w:val="007E3DDB"/>
    <w:rsid w:val="007E4326"/>
    <w:rsid w:val="007E4D32"/>
    <w:rsid w:val="007E5001"/>
    <w:rsid w:val="007E5059"/>
    <w:rsid w:val="007E5501"/>
    <w:rsid w:val="007E55C9"/>
    <w:rsid w:val="007E689A"/>
    <w:rsid w:val="007E6E48"/>
    <w:rsid w:val="007E7069"/>
    <w:rsid w:val="007E780A"/>
    <w:rsid w:val="007E7BE1"/>
    <w:rsid w:val="007E7DE2"/>
    <w:rsid w:val="007F068E"/>
    <w:rsid w:val="007F0996"/>
    <w:rsid w:val="007F0A6E"/>
    <w:rsid w:val="007F0C15"/>
    <w:rsid w:val="007F0E0E"/>
    <w:rsid w:val="007F1040"/>
    <w:rsid w:val="007F1761"/>
    <w:rsid w:val="007F1864"/>
    <w:rsid w:val="007F1866"/>
    <w:rsid w:val="007F1AD4"/>
    <w:rsid w:val="007F1E15"/>
    <w:rsid w:val="007F2542"/>
    <w:rsid w:val="007F25C5"/>
    <w:rsid w:val="007F27AC"/>
    <w:rsid w:val="007F2ED8"/>
    <w:rsid w:val="007F3970"/>
    <w:rsid w:val="007F3CF8"/>
    <w:rsid w:val="007F4036"/>
    <w:rsid w:val="007F41BA"/>
    <w:rsid w:val="007F486A"/>
    <w:rsid w:val="007F4928"/>
    <w:rsid w:val="007F4EA3"/>
    <w:rsid w:val="007F5A4E"/>
    <w:rsid w:val="007F5AD6"/>
    <w:rsid w:val="007F5F86"/>
    <w:rsid w:val="007F6199"/>
    <w:rsid w:val="007F68B9"/>
    <w:rsid w:val="007F6DBE"/>
    <w:rsid w:val="007F7568"/>
    <w:rsid w:val="007F7726"/>
    <w:rsid w:val="007F78D7"/>
    <w:rsid w:val="007F7A73"/>
    <w:rsid w:val="007F7C08"/>
    <w:rsid w:val="0080002B"/>
    <w:rsid w:val="00800226"/>
    <w:rsid w:val="008004D0"/>
    <w:rsid w:val="00800A04"/>
    <w:rsid w:val="00800EC7"/>
    <w:rsid w:val="008013D6"/>
    <w:rsid w:val="00801A25"/>
    <w:rsid w:val="008022DA"/>
    <w:rsid w:val="008027BC"/>
    <w:rsid w:val="008028EB"/>
    <w:rsid w:val="00802991"/>
    <w:rsid w:val="00803B4B"/>
    <w:rsid w:val="00803C1A"/>
    <w:rsid w:val="008041C5"/>
    <w:rsid w:val="00804230"/>
    <w:rsid w:val="0080496D"/>
    <w:rsid w:val="00804ABC"/>
    <w:rsid w:val="00804E6D"/>
    <w:rsid w:val="008058EE"/>
    <w:rsid w:val="00806309"/>
    <w:rsid w:val="008066CF"/>
    <w:rsid w:val="00806C15"/>
    <w:rsid w:val="00806CAC"/>
    <w:rsid w:val="00806E52"/>
    <w:rsid w:val="00806ED4"/>
    <w:rsid w:val="00807493"/>
    <w:rsid w:val="00807B5A"/>
    <w:rsid w:val="008100E2"/>
    <w:rsid w:val="00810107"/>
    <w:rsid w:val="00810500"/>
    <w:rsid w:val="00810AB7"/>
    <w:rsid w:val="00811382"/>
    <w:rsid w:val="008113C8"/>
    <w:rsid w:val="00811C2B"/>
    <w:rsid w:val="00811C74"/>
    <w:rsid w:val="00812D17"/>
    <w:rsid w:val="00813B20"/>
    <w:rsid w:val="00814613"/>
    <w:rsid w:val="00815009"/>
    <w:rsid w:val="008151B5"/>
    <w:rsid w:val="008160ED"/>
    <w:rsid w:val="008163CF"/>
    <w:rsid w:val="008167C0"/>
    <w:rsid w:val="00816830"/>
    <w:rsid w:val="00816CAE"/>
    <w:rsid w:val="008170A7"/>
    <w:rsid w:val="0081737A"/>
    <w:rsid w:val="00817F0C"/>
    <w:rsid w:val="008202B9"/>
    <w:rsid w:val="00821571"/>
    <w:rsid w:val="00822894"/>
    <w:rsid w:val="00822A0F"/>
    <w:rsid w:val="00822F24"/>
    <w:rsid w:val="00823110"/>
    <w:rsid w:val="0082324F"/>
    <w:rsid w:val="008232C4"/>
    <w:rsid w:val="008238A5"/>
    <w:rsid w:val="00824554"/>
    <w:rsid w:val="00824760"/>
    <w:rsid w:val="008252D6"/>
    <w:rsid w:val="008252EA"/>
    <w:rsid w:val="008255EC"/>
    <w:rsid w:val="0082566E"/>
    <w:rsid w:val="0082587A"/>
    <w:rsid w:val="00825906"/>
    <w:rsid w:val="00825A1B"/>
    <w:rsid w:val="00825AE1"/>
    <w:rsid w:val="00825E34"/>
    <w:rsid w:val="00826674"/>
    <w:rsid w:val="00827A64"/>
    <w:rsid w:val="00830169"/>
    <w:rsid w:val="0083091D"/>
    <w:rsid w:val="00831471"/>
    <w:rsid w:val="00831CCC"/>
    <w:rsid w:val="00832B84"/>
    <w:rsid w:val="00832CBB"/>
    <w:rsid w:val="00833575"/>
    <w:rsid w:val="00833F35"/>
    <w:rsid w:val="00834923"/>
    <w:rsid w:val="008351B7"/>
    <w:rsid w:val="00835AE0"/>
    <w:rsid w:val="00835FA3"/>
    <w:rsid w:val="00836016"/>
    <w:rsid w:val="008364E9"/>
    <w:rsid w:val="00836611"/>
    <w:rsid w:val="00836B09"/>
    <w:rsid w:val="00836BA4"/>
    <w:rsid w:val="00836D8A"/>
    <w:rsid w:val="0083708E"/>
    <w:rsid w:val="00837387"/>
    <w:rsid w:val="008379C1"/>
    <w:rsid w:val="00840016"/>
    <w:rsid w:val="008401F8"/>
    <w:rsid w:val="00840786"/>
    <w:rsid w:val="00840C72"/>
    <w:rsid w:val="00841EF5"/>
    <w:rsid w:val="00841F6C"/>
    <w:rsid w:val="00842145"/>
    <w:rsid w:val="0084288B"/>
    <w:rsid w:val="00842C5C"/>
    <w:rsid w:val="00843A09"/>
    <w:rsid w:val="00843E21"/>
    <w:rsid w:val="008442D2"/>
    <w:rsid w:val="0084486B"/>
    <w:rsid w:val="00844966"/>
    <w:rsid w:val="00844C91"/>
    <w:rsid w:val="00844EA0"/>
    <w:rsid w:val="008450AD"/>
    <w:rsid w:val="008456BC"/>
    <w:rsid w:val="00845CDD"/>
    <w:rsid w:val="00846125"/>
    <w:rsid w:val="00846A78"/>
    <w:rsid w:val="00846F59"/>
    <w:rsid w:val="00847348"/>
    <w:rsid w:val="008474FF"/>
    <w:rsid w:val="00847D12"/>
    <w:rsid w:val="0085064A"/>
    <w:rsid w:val="00850EFC"/>
    <w:rsid w:val="00850F5D"/>
    <w:rsid w:val="008510E0"/>
    <w:rsid w:val="0085118E"/>
    <w:rsid w:val="0085138B"/>
    <w:rsid w:val="008513D2"/>
    <w:rsid w:val="00851615"/>
    <w:rsid w:val="008521A1"/>
    <w:rsid w:val="008529ED"/>
    <w:rsid w:val="00852CB6"/>
    <w:rsid w:val="00852EA7"/>
    <w:rsid w:val="00853028"/>
    <w:rsid w:val="008533FE"/>
    <w:rsid w:val="00853F5F"/>
    <w:rsid w:val="00854001"/>
    <w:rsid w:val="00854A06"/>
    <w:rsid w:val="0085520D"/>
    <w:rsid w:val="008553A1"/>
    <w:rsid w:val="008554C2"/>
    <w:rsid w:val="00855CE9"/>
    <w:rsid w:val="008560E7"/>
    <w:rsid w:val="00856FCE"/>
    <w:rsid w:val="008575E9"/>
    <w:rsid w:val="00857678"/>
    <w:rsid w:val="008578D6"/>
    <w:rsid w:val="00857902"/>
    <w:rsid w:val="00857AB3"/>
    <w:rsid w:val="00860768"/>
    <w:rsid w:val="00860862"/>
    <w:rsid w:val="00861C6E"/>
    <w:rsid w:val="00861FEE"/>
    <w:rsid w:val="00862C49"/>
    <w:rsid w:val="008630A5"/>
    <w:rsid w:val="00863136"/>
    <w:rsid w:val="008631FA"/>
    <w:rsid w:val="00863294"/>
    <w:rsid w:val="008632F9"/>
    <w:rsid w:val="00864468"/>
    <w:rsid w:val="00864590"/>
    <w:rsid w:val="008645FD"/>
    <w:rsid w:val="00864ABB"/>
    <w:rsid w:val="00864D91"/>
    <w:rsid w:val="00864DF4"/>
    <w:rsid w:val="00865070"/>
    <w:rsid w:val="008650BB"/>
    <w:rsid w:val="0086511F"/>
    <w:rsid w:val="008653DC"/>
    <w:rsid w:val="00866587"/>
    <w:rsid w:val="00866C44"/>
    <w:rsid w:val="0086792C"/>
    <w:rsid w:val="0087037C"/>
    <w:rsid w:val="00870732"/>
    <w:rsid w:val="00870738"/>
    <w:rsid w:val="00871019"/>
    <w:rsid w:val="008714A5"/>
    <w:rsid w:val="00871AF3"/>
    <w:rsid w:val="0087258F"/>
    <w:rsid w:val="008725CE"/>
    <w:rsid w:val="00872BCB"/>
    <w:rsid w:val="00873367"/>
    <w:rsid w:val="00873419"/>
    <w:rsid w:val="008737A6"/>
    <w:rsid w:val="008737DC"/>
    <w:rsid w:val="008740CB"/>
    <w:rsid w:val="00874195"/>
    <w:rsid w:val="00874772"/>
    <w:rsid w:val="00874F93"/>
    <w:rsid w:val="0087551A"/>
    <w:rsid w:val="0087566E"/>
    <w:rsid w:val="00875D1E"/>
    <w:rsid w:val="008761DD"/>
    <w:rsid w:val="00876C85"/>
    <w:rsid w:val="00876EE9"/>
    <w:rsid w:val="0087769F"/>
    <w:rsid w:val="00877BB1"/>
    <w:rsid w:val="00877F0D"/>
    <w:rsid w:val="00880187"/>
    <w:rsid w:val="00880F81"/>
    <w:rsid w:val="0088129F"/>
    <w:rsid w:val="008818F9"/>
    <w:rsid w:val="0088258D"/>
    <w:rsid w:val="008825B6"/>
    <w:rsid w:val="00882843"/>
    <w:rsid w:val="00882BDC"/>
    <w:rsid w:val="008835F2"/>
    <w:rsid w:val="00884130"/>
    <w:rsid w:val="008848AC"/>
    <w:rsid w:val="00884CA1"/>
    <w:rsid w:val="00884CB9"/>
    <w:rsid w:val="00885389"/>
    <w:rsid w:val="0088567D"/>
    <w:rsid w:val="0088583F"/>
    <w:rsid w:val="008858A8"/>
    <w:rsid w:val="008869B8"/>
    <w:rsid w:val="00887639"/>
    <w:rsid w:val="008900FA"/>
    <w:rsid w:val="0089011F"/>
    <w:rsid w:val="00891404"/>
    <w:rsid w:val="00891BDA"/>
    <w:rsid w:val="008928DB"/>
    <w:rsid w:val="008929EB"/>
    <w:rsid w:val="00892D02"/>
    <w:rsid w:val="00892ED1"/>
    <w:rsid w:val="0089300B"/>
    <w:rsid w:val="008932B3"/>
    <w:rsid w:val="008932EE"/>
    <w:rsid w:val="00893903"/>
    <w:rsid w:val="00893D3F"/>
    <w:rsid w:val="008948E3"/>
    <w:rsid w:val="0089545D"/>
    <w:rsid w:val="00895CD5"/>
    <w:rsid w:val="00896BA3"/>
    <w:rsid w:val="00897191"/>
    <w:rsid w:val="00897452"/>
    <w:rsid w:val="00897502"/>
    <w:rsid w:val="00897C34"/>
    <w:rsid w:val="00897F40"/>
    <w:rsid w:val="008A038E"/>
    <w:rsid w:val="008A08C2"/>
    <w:rsid w:val="008A08EE"/>
    <w:rsid w:val="008A0972"/>
    <w:rsid w:val="008A13DC"/>
    <w:rsid w:val="008A159E"/>
    <w:rsid w:val="008A1654"/>
    <w:rsid w:val="008A190A"/>
    <w:rsid w:val="008A1945"/>
    <w:rsid w:val="008A1F24"/>
    <w:rsid w:val="008A1F60"/>
    <w:rsid w:val="008A2B7C"/>
    <w:rsid w:val="008A2D2A"/>
    <w:rsid w:val="008A2E4B"/>
    <w:rsid w:val="008A2E4F"/>
    <w:rsid w:val="008A2F6C"/>
    <w:rsid w:val="008A3468"/>
    <w:rsid w:val="008A3AF4"/>
    <w:rsid w:val="008A415F"/>
    <w:rsid w:val="008A4C5E"/>
    <w:rsid w:val="008A4FE2"/>
    <w:rsid w:val="008A5A8D"/>
    <w:rsid w:val="008A5B8A"/>
    <w:rsid w:val="008A5DCE"/>
    <w:rsid w:val="008A601F"/>
    <w:rsid w:val="008A61E4"/>
    <w:rsid w:val="008A65FD"/>
    <w:rsid w:val="008A68B2"/>
    <w:rsid w:val="008A6B9C"/>
    <w:rsid w:val="008A6C3D"/>
    <w:rsid w:val="008A7477"/>
    <w:rsid w:val="008A7CA2"/>
    <w:rsid w:val="008A7E97"/>
    <w:rsid w:val="008A7EB0"/>
    <w:rsid w:val="008B002B"/>
    <w:rsid w:val="008B0DBF"/>
    <w:rsid w:val="008B170F"/>
    <w:rsid w:val="008B1970"/>
    <w:rsid w:val="008B1AC1"/>
    <w:rsid w:val="008B1F78"/>
    <w:rsid w:val="008B2357"/>
    <w:rsid w:val="008B2668"/>
    <w:rsid w:val="008B2ABB"/>
    <w:rsid w:val="008B2B4C"/>
    <w:rsid w:val="008B2C3B"/>
    <w:rsid w:val="008B365A"/>
    <w:rsid w:val="008B37E1"/>
    <w:rsid w:val="008B3CC3"/>
    <w:rsid w:val="008B3ED6"/>
    <w:rsid w:val="008B47A5"/>
    <w:rsid w:val="008B4810"/>
    <w:rsid w:val="008B4832"/>
    <w:rsid w:val="008B48CE"/>
    <w:rsid w:val="008B5083"/>
    <w:rsid w:val="008B59F7"/>
    <w:rsid w:val="008B59F8"/>
    <w:rsid w:val="008B5E23"/>
    <w:rsid w:val="008B60AF"/>
    <w:rsid w:val="008B63F4"/>
    <w:rsid w:val="008B65A8"/>
    <w:rsid w:val="008B6950"/>
    <w:rsid w:val="008B6964"/>
    <w:rsid w:val="008B7B03"/>
    <w:rsid w:val="008B7E90"/>
    <w:rsid w:val="008C04A5"/>
    <w:rsid w:val="008C20E3"/>
    <w:rsid w:val="008C2287"/>
    <w:rsid w:val="008C29B6"/>
    <w:rsid w:val="008C306A"/>
    <w:rsid w:val="008C34FC"/>
    <w:rsid w:val="008C448F"/>
    <w:rsid w:val="008C496A"/>
    <w:rsid w:val="008C4C99"/>
    <w:rsid w:val="008C521B"/>
    <w:rsid w:val="008C53E6"/>
    <w:rsid w:val="008C5AE4"/>
    <w:rsid w:val="008C5F3F"/>
    <w:rsid w:val="008C6187"/>
    <w:rsid w:val="008C6557"/>
    <w:rsid w:val="008C66BE"/>
    <w:rsid w:val="008C6FB6"/>
    <w:rsid w:val="008C7825"/>
    <w:rsid w:val="008C7898"/>
    <w:rsid w:val="008C7BAC"/>
    <w:rsid w:val="008D016A"/>
    <w:rsid w:val="008D080B"/>
    <w:rsid w:val="008D0FC3"/>
    <w:rsid w:val="008D176E"/>
    <w:rsid w:val="008D1D9F"/>
    <w:rsid w:val="008D1F63"/>
    <w:rsid w:val="008D2591"/>
    <w:rsid w:val="008D2963"/>
    <w:rsid w:val="008D3386"/>
    <w:rsid w:val="008D3485"/>
    <w:rsid w:val="008D389F"/>
    <w:rsid w:val="008D3FD3"/>
    <w:rsid w:val="008D437E"/>
    <w:rsid w:val="008D465A"/>
    <w:rsid w:val="008D4979"/>
    <w:rsid w:val="008D4DD0"/>
    <w:rsid w:val="008D5E00"/>
    <w:rsid w:val="008D6130"/>
    <w:rsid w:val="008D61E8"/>
    <w:rsid w:val="008D6395"/>
    <w:rsid w:val="008D696F"/>
    <w:rsid w:val="008D6B0F"/>
    <w:rsid w:val="008D6C3E"/>
    <w:rsid w:val="008D7745"/>
    <w:rsid w:val="008E0433"/>
    <w:rsid w:val="008E0B0D"/>
    <w:rsid w:val="008E0EC1"/>
    <w:rsid w:val="008E1297"/>
    <w:rsid w:val="008E1416"/>
    <w:rsid w:val="008E1431"/>
    <w:rsid w:val="008E17A4"/>
    <w:rsid w:val="008E1BBC"/>
    <w:rsid w:val="008E2049"/>
    <w:rsid w:val="008E222C"/>
    <w:rsid w:val="008E3345"/>
    <w:rsid w:val="008E398E"/>
    <w:rsid w:val="008E3D61"/>
    <w:rsid w:val="008E483C"/>
    <w:rsid w:val="008E4B3B"/>
    <w:rsid w:val="008E50DB"/>
    <w:rsid w:val="008E610E"/>
    <w:rsid w:val="008E61CF"/>
    <w:rsid w:val="008E6EBA"/>
    <w:rsid w:val="008E78CF"/>
    <w:rsid w:val="008E7916"/>
    <w:rsid w:val="008E7A68"/>
    <w:rsid w:val="008E7D4E"/>
    <w:rsid w:val="008F020C"/>
    <w:rsid w:val="008F09B3"/>
    <w:rsid w:val="008F0CB4"/>
    <w:rsid w:val="008F14C0"/>
    <w:rsid w:val="008F1F7A"/>
    <w:rsid w:val="008F240B"/>
    <w:rsid w:val="008F269B"/>
    <w:rsid w:val="008F2C39"/>
    <w:rsid w:val="008F432F"/>
    <w:rsid w:val="008F464A"/>
    <w:rsid w:val="008F48FB"/>
    <w:rsid w:val="008F52F1"/>
    <w:rsid w:val="008F6875"/>
    <w:rsid w:val="008F6AC2"/>
    <w:rsid w:val="008F6D1A"/>
    <w:rsid w:val="008F7073"/>
    <w:rsid w:val="008F764B"/>
    <w:rsid w:val="008F7816"/>
    <w:rsid w:val="008F7A4F"/>
    <w:rsid w:val="009007BD"/>
    <w:rsid w:val="00900E6B"/>
    <w:rsid w:val="009014B1"/>
    <w:rsid w:val="009015CC"/>
    <w:rsid w:val="0090191B"/>
    <w:rsid w:val="009020F2"/>
    <w:rsid w:val="00902492"/>
    <w:rsid w:val="0090276D"/>
    <w:rsid w:val="00902B8D"/>
    <w:rsid w:val="009031F9"/>
    <w:rsid w:val="0090347C"/>
    <w:rsid w:val="00903866"/>
    <w:rsid w:val="0090396F"/>
    <w:rsid w:val="00903F37"/>
    <w:rsid w:val="00904053"/>
    <w:rsid w:val="00905010"/>
    <w:rsid w:val="00905982"/>
    <w:rsid w:val="00905BCE"/>
    <w:rsid w:val="00905F22"/>
    <w:rsid w:val="00907026"/>
    <w:rsid w:val="009101C9"/>
    <w:rsid w:val="009112C4"/>
    <w:rsid w:val="009117CD"/>
    <w:rsid w:val="00912499"/>
    <w:rsid w:val="009137A6"/>
    <w:rsid w:val="009157D7"/>
    <w:rsid w:val="0091586A"/>
    <w:rsid w:val="00916126"/>
    <w:rsid w:val="009169EB"/>
    <w:rsid w:val="009171DB"/>
    <w:rsid w:val="00917BC0"/>
    <w:rsid w:val="009207E7"/>
    <w:rsid w:val="009209BB"/>
    <w:rsid w:val="00920B15"/>
    <w:rsid w:val="00920C91"/>
    <w:rsid w:val="00920D64"/>
    <w:rsid w:val="009210F0"/>
    <w:rsid w:val="00921B79"/>
    <w:rsid w:val="00922003"/>
    <w:rsid w:val="0092209B"/>
    <w:rsid w:val="0092210C"/>
    <w:rsid w:val="00922325"/>
    <w:rsid w:val="0092289B"/>
    <w:rsid w:val="00923367"/>
    <w:rsid w:val="00923929"/>
    <w:rsid w:val="00923C3F"/>
    <w:rsid w:val="00923E89"/>
    <w:rsid w:val="00924085"/>
    <w:rsid w:val="00925B28"/>
    <w:rsid w:val="00925E3B"/>
    <w:rsid w:val="00926061"/>
    <w:rsid w:val="0092618F"/>
    <w:rsid w:val="00926856"/>
    <w:rsid w:val="00926EFF"/>
    <w:rsid w:val="00927138"/>
    <w:rsid w:val="0092752A"/>
    <w:rsid w:val="0092782E"/>
    <w:rsid w:val="00927ED4"/>
    <w:rsid w:val="00930012"/>
    <w:rsid w:val="00930047"/>
    <w:rsid w:val="009306E5"/>
    <w:rsid w:val="009307E5"/>
    <w:rsid w:val="00930ABF"/>
    <w:rsid w:val="00930ECC"/>
    <w:rsid w:val="0093173D"/>
    <w:rsid w:val="00931E27"/>
    <w:rsid w:val="00932427"/>
    <w:rsid w:val="0093286C"/>
    <w:rsid w:val="00932AA9"/>
    <w:rsid w:val="00932BFC"/>
    <w:rsid w:val="00933896"/>
    <w:rsid w:val="00934F57"/>
    <w:rsid w:val="0093518E"/>
    <w:rsid w:val="009351B8"/>
    <w:rsid w:val="0093527F"/>
    <w:rsid w:val="00935394"/>
    <w:rsid w:val="00935DBB"/>
    <w:rsid w:val="0093785F"/>
    <w:rsid w:val="0094031F"/>
    <w:rsid w:val="009409D3"/>
    <w:rsid w:val="00940FDD"/>
    <w:rsid w:val="00941AE6"/>
    <w:rsid w:val="00942192"/>
    <w:rsid w:val="00942447"/>
    <w:rsid w:val="009424E5"/>
    <w:rsid w:val="00942796"/>
    <w:rsid w:val="009428A0"/>
    <w:rsid w:val="00942C2E"/>
    <w:rsid w:val="0094338B"/>
    <w:rsid w:val="009437F1"/>
    <w:rsid w:val="00943868"/>
    <w:rsid w:val="00944373"/>
    <w:rsid w:val="00944908"/>
    <w:rsid w:val="00944A00"/>
    <w:rsid w:val="00944A03"/>
    <w:rsid w:val="00944DF6"/>
    <w:rsid w:val="00945348"/>
    <w:rsid w:val="00945827"/>
    <w:rsid w:val="00945912"/>
    <w:rsid w:val="00945DEE"/>
    <w:rsid w:val="00945EE7"/>
    <w:rsid w:val="00945F8B"/>
    <w:rsid w:val="0094604C"/>
    <w:rsid w:val="00946089"/>
    <w:rsid w:val="00946A6B"/>
    <w:rsid w:val="00947108"/>
    <w:rsid w:val="00950271"/>
    <w:rsid w:val="0095097F"/>
    <w:rsid w:val="0095099E"/>
    <w:rsid w:val="00950BEB"/>
    <w:rsid w:val="00950D65"/>
    <w:rsid w:val="009513ED"/>
    <w:rsid w:val="00951413"/>
    <w:rsid w:val="009518C5"/>
    <w:rsid w:val="009519E2"/>
    <w:rsid w:val="00951D71"/>
    <w:rsid w:val="00951D78"/>
    <w:rsid w:val="009522D3"/>
    <w:rsid w:val="009523FA"/>
    <w:rsid w:val="00952679"/>
    <w:rsid w:val="00952808"/>
    <w:rsid w:val="00952A77"/>
    <w:rsid w:val="00952BB0"/>
    <w:rsid w:val="009539B2"/>
    <w:rsid w:val="009539BC"/>
    <w:rsid w:val="00953C63"/>
    <w:rsid w:val="00953E74"/>
    <w:rsid w:val="0095487D"/>
    <w:rsid w:val="009553EE"/>
    <w:rsid w:val="009555EC"/>
    <w:rsid w:val="009556D3"/>
    <w:rsid w:val="00955729"/>
    <w:rsid w:val="00955E50"/>
    <w:rsid w:val="00956503"/>
    <w:rsid w:val="009568D6"/>
    <w:rsid w:val="0095691F"/>
    <w:rsid w:val="00956AE2"/>
    <w:rsid w:val="00956B06"/>
    <w:rsid w:val="00956B90"/>
    <w:rsid w:val="00957607"/>
    <w:rsid w:val="00957C8A"/>
    <w:rsid w:val="00961057"/>
    <w:rsid w:val="00961266"/>
    <w:rsid w:val="00961F67"/>
    <w:rsid w:val="00962D87"/>
    <w:rsid w:val="00963103"/>
    <w:rsid w:val="009634B1"/>
    <w:rsid w:val="009638C7"/>
    <w:rsid w:val="00963A61"/>
    <w:rsid w:val="00963E59"/>
    <w:rsid w:val="0096416C"/>
    <w:rsid w:val="00964931"/>
    <w:rsid w:val="0096533F"/>
    <w:rsid w:val="00967984"/>
    <w:rsid w:val="00967ABB"/>
    <w:rsid w:val="00967EE5"/>
    <w:rsid w:val="0097040A"/>
    <w:rsid w:val="00970E92"/>
    <w:rsid w:val="00970EBA"/>
    <w:rsid w:val="0097159B"/>
    <w:rsid w:val="00971B74"/>
    <w:rsid w:val="00971E22"/>
    <w:rsid w:val="00971F0D"/>
    <w:rsid w:val="0097211B"/>
    <w:rsid w:val="009727A1"/>
    <w:rsid w:val="00973762"/>
    <w:rsid w:val="009738A1"/>
    <w:rsid w:val="00974893"/>
    <w:rsid w:val="00974F01"/>
    <w:rsid w:val="009754FF"/>
    <w:rsid w:val="00976114"/>
    <w:rsid w:val="0097627D"/>
    <w:rsid w:val="009765AA"/>
    <w:rsid w:val="009765B3"/>
    <w:rsid w:val="00977147"/>
    <w:rsid w:val="00977CD5"/>
    <w:rsid w:val="009803D1"/>
    <w:rsid w:val="0098079F"/>
    <w:rsid w:val="0098278E"/>
    <w:rsid w:val="00983A33"/>
    <w:rsid w:val="00984196"/>
    <w:rsid w:val="009842BD"/>
    <w:rsid w:val="0098434F"/>
    <w:rsid w:val="00985116"/>
    <w:rsid w:val="009852EE"/>
    <w:rsid w:val="00985467"/>
    <w:rsid w:val="009854F1"/>
    <w:rsid w:val="00985CD7"/>
    <w:rsid w:val="00985E20"/>
    <w:rsid w:val="009872CC"/>
    <w:rsid w:val="009878B8"/>
    <w:rsid w:val="00987AD3"/>
    <w:rsid w:val="00987BD4"/>
    <w:rsid w:val="00987D5A"/>
    <w:rsid w:val="00987F32"/>
    <w:rsid w:val="009901D6"/>
    <w:rsid w:val="00990F60"/>
    <w:rsid w:val="0099131A"/>
    <w:rsid w:val="009915A4"/>
    <w:rsid w:val="00991761"/>
    <w:rsid w:val="00991BBF"/>
    <w:rsid w:val="00992149"/>
    <w:rsid w:val="00992D2A"/>
    <w:rsid w:val="00993531"/>
    <w:rsid w:val="00993A5D"/>
    <w:rsid w:val="00993CE2"/>
    <w:rsid w:val="00994035"/>
    <w:rsid w:val="00994C01"/>
    <w:rsid w:val="00995C13"/>
    <w:rsid w:val="00995D15"/>
    <w:rsid w:val="0099651A"/>
    <w:rsid w:val="00996979"/>
    <w:rsid w:val="009972B4"/>
    <w:rsid w:val="009A04E2"/>
    <w:rsid w:val="009A07CF"/>
    <w:rsid w:val="009A081F"/>
    <w:rsid w:val="009A09A7"/>
    <w:rsid w:val="009A0A35"/>
    <w:rsid w:val="009A0B10"/>
    <w:rsid w:val="009A1A2A"/>
    <w:rsid w:val="009A1E73"/>
    <w:rsid w:val="009A1E8F"/>
    <w:rsid w:val="009A1FD4"/>
    <w:rsid w:val="009A2082"/>
    <w:rsid w:val="009A216B"/>
    <w:rsid w:val="009A21AC"/>
    <w:rsid w:val="009A26D0"/>
    <w:rsid w:val="009A27E4"/>
    <w:rsid w:val="009A2A5B"/>
    <w:rsid w:val="009A3011"/>
    <w:rsid w:val="009A3994"/>
    <w:rsid w:val="009A43A3"/>
    <w:rsid w:val="009A4470"/>
    <w:rsid w:val="009A4754"/>
    <w:rsid w:val="009A49E9"/>
    <w:rsid w:val="009A4A95"/>
    <w:rsid w:val="009A4C92"/>
    <w:rsid w:val="009A4CA1"/>
    <w:rsid w:val="009A507B"/>
    <w:rsid w:val="009A5312"/>
    <w:rsid w:val="009A5E0E"/>
    <w:rsid w:val="009A6D16"/>
    <w:rsid w:val="009A780D"/>
    <w:rsid w:val="009A7852"/>
    <w:rsid w:val="009B01F4"/>
    <w:rsid w:val="009B05D5"/>
    <w:rsid w:val="009B06CF"/>
    <w:rsid w:val="009B12CE"/>
    <w:rsid w:val="009B13C3"/>
    <w:rsid w:val="009B18C3"/>
    <w:rsid w:val="009B28B3"/>
    <w:rsid w:val="009B2C56"/>
    <w:rsid w:val="009B37A1"/>
    <w:rsid w:val="009B397D"/>
    <w:rsid w:val="009B3FE5"/>
    <w:rsid w:val="009B40EF"/>
    <w:rsid w:val="009B46B7"/>
    <w:rsid w:val="009B46C9"/>
    <w:rsid w:val="009B5377"/>
    <w:rsid w:val="009B53AD"/>
    <w:rsid w:val="009B5485"/>
    <w:rsid w:val="009B558F"/>
    <w:rsid w:val="009B5C17"/>
    <w:rsid w:val="009B612C"/>
    <w:rsid w:val="009B6247"/>
    <w:rsid w:val="009B6D47"/>
    <w:rsid w:val="009B705B"/>
    <w:rsid w:val="009B709C"/>
    <w:rsid w:val="009B73AB"/>
    <w:rsid w:val="009B7545"/>
    <w:rsid w:val="009C0502"/>
    <w:rsid w:val="009C099C"/>
    <w:rsid w:val="009C0C05"/>
    <w:rsid w:val="009C0E68"/>
    <w:rsid w:val="009C0F9F"/>
    <w:rsid w:val="009C102C"/>
    <w:rsid w:val="009C1098"/>
    <w:rsid w:val="009C1794"/>
    <w:rsid w:val="009C1CC3"/>
    <w:rsid w:val="009C2E65"/>
    <w:rsid w:val="009C3333"/>
    <w:rsid w:val="009C3C0D"/>
    <w:rsid w:val="009C4201"/>
    <w:rsid w:val="009C4B0D"/>
    <w:rsid w:val="009C4B1C"/>
    <w:rsid w:val="009C4EAF"/>
    <w:rsid w:val="009C5A51"/>
    <w:rsid w:val="009C5D00"/>
    <w:rsid w:val="009C65A4"/>
    <w:rsid w:val="009C683B"/>
    <w:rsid w:val="009C6BC0"/>
    <w:rsid w:val="009C6BEF"/>
    <w:rsid w:val="009C6EB8"/>
    <w:rsid w:val="009C6FF2"/>
    <w:rsid w:val="009C7AE1"/>
    <w:rsid w:val="009C7B79"/>
    <w:rsid w:val="009D0A0E"/>
    <w:rsid w:val="009D19EC"/>
    <w:rsid w:val="009D1B7B"/>
    <w:rsid w:val="009D1DD3"/>
    <w:rsid w:val="009D1FBA"/>
    <w:rsid w:val="009D212B"/>
    <w:rsid w:val="009D2E42"/>
    <w:rsid w:val="009D36BE"/>
    <w:rsid w:val="009D3B25"/>
    <w:rsid w:val="009D42F3"/>
    <w:rsid w:val="009D47DE"/>
    <w:rsid w:val="009D4D4B"/>
    <w:rsid w:val="009D4DC7"/>
    <w:rsid w:val="009D58DD"/>
    <w:rsid w:val="009D5907"/>
    <w:rsid w:val="009D593B"/>
    <w:rsid w:val="009D5A83"/>
    <w:rsid w:val="009D6292"/>
    <w:rsid w:val="009D664E"/>
    <w:rsid w:val="009D76B0"/>
    <w:rsid w:val="009D7A47"/>
    <w:rsid w:val="009D7D5D"/>
    <w:rsid w:val="009E09A9"/>
    <w:rsid w:val="009E0EC3"/>
    <w:rsid w:val="009E1EBA"/>
    <w:rsid w:val="009E23DA"/>
    <w:rsid w:val="009E24FB"/>
    <w:rsid w:val="009E2829"/>
    <w:rsid w:val="009E287D"/>
    <w:rsid w:val="009E2E7B"/>
    <w:rsid w:val="009E43AE"/>
    <w:rsid w:val="009E4438"/>
    <w:rsid w:val="009E501F"/>
    <w:rsid w:val="009E58AD"/>
    <w:rsid w:val="009E5EFC"/>
    <w:rsid w:val="009E622F"/>
    <w:rsid w:val="009E627F"/>
    <w:rsid w:val="009E62C1"/>
    <w:rsid w:val="009E6583"/>
    <w:rsid w:val="009E6731"/>
    <w:rsid w:val="009E6983"/>
    <w:rsid w:val="009E70E3"/>
    <w:rsid w:val="009E720A"/>
    <w:rsid w:val="009E7C63"/>
    <w:rsid w:val="009F014D"/>
    <w:rsid w:val="009F0299"/>
    <w:rsid w:val="009F0653"/>
    <w:rsid w:val="009F0775"/>
    <w:rsid w:val="009F0DE3"/>
    <w:rsid w:val="009F15E8"/>
    <w:rsid w:val="009F1666"/>
    <w:rsid w:val="009F18F1"/>
    <w:rsid w:val="009F269E"/>
    <w:rsid w:val="009F26D2"/>
    <w:rsid w:val="009F2BAA"/>
    <w:rsid w:val="009F30AB"/>
    <w:rsid w:val="009F3BC2"/>
    <w:rsid w:val="009F45FC"/>
    <w:rsid w:val="009F4DE5"/>
    <w:rsid w:val="009F4E62"/>
    <w:rsid w:val="009F53FC"/>
    <w:rsid w:val="009F544B"/>
    <w:rsid w:val="009F5A7C"/>
    <w:rsid w:val="009F5CC1"/>
    <w:rsid w:val="009F65A8"/>
    <w:rsid w:val="009F6EE2"/>
    <w:rsid w:val="009F7319"/>
    <w:rsid w:val="009F7796"/>
    <w:rsid w:val="00A000E6"/>
    <w:rsid w:val="00A00B66"/>
    <w:rsid w:val="00A01312"/>
    <w:rsid w:val="00A019F2"/>
    <w:rsid w:val="00A01BB6"/>
    <w:rsid w:val="00A01E07"/>
    <w:rsid w:val="00A0234F"/>
    <w:rsid w:val="00A028A4"/>
    <w:rsid w:val="00A03189"/>
    <w:rsid w:val="00A03690"/>
    <w:rsid w:val="00A03ACE"/>
    <w:rsid w:val="00A03CC3"/>
    <w:rsid w:val="00A03DC7"/>
    <w:rsid w:val="00A03E1F"/>
    <w:rsid w:val="00A04495"/>
    <w:rsid w:val="00A04AE0"/>
    <w:rsid w:val="00A04ECC"/>
    <w:rsid w:val="00A04FD3"/>
    <w:rsid w:val="00A05068"/>
    <w:rsid w:val="00A05084"/>
    <w:rsid w:val="00A05BE0"/>
    <w:rsid w:val="00A05FC8"/>
    <w:rsid w:val="00A060FC"/>
    <w:rsid w:val="00A0618B"/>
    <w:rsid w:val="00A079A7"/>
    <w:rsid w:val="00A10028"/>
    <w:rsid w:val="00A1023F"/>
    <w:rsid w:val="00A10A62"/>
    <w:rsid w:val="00A111CF"/>
    <w:rsid w:val="00A11425"/>
    <w:rsid w:val="00A115F9"/>
    <w:rsid w:val="00A11BA2"/>
    <w:rsid w:val="00A12953"/>
    <w:rsid w:val="00A129DA"/>
    <w:rsid w:val="00A12F30"/>
    <w:rsid w:val="00A1315D"/>
    <w:rsid w:val="00A13663"/>
    <w:rsid w:val="00A1423B"/>
    <w:rsid w:val="00A144F9"/>
    <w:rsid w:val="00A14A50"/>
    <w:rsid w:val="00A14AD0"/>
    <w:rsid w:val="00A14D3B"/>
    <w:rsid w:val="00A15019"/>
    <w:rsid w:val="00A1577E"/>
    <w:rsid w:val="00A15BB4"/>
    <w:rsid w:val="00A160FA"/>
    <w:rsid w:val="00A161E1"/>
    <w:rsid w:val="00A162F8"/>
    <w:rsid w:val="00A16363"/>
    <w:rsid w:val="00A165AB"/>
    <w:rsid w:val="00A171A1"/>
    <w:rsid w:val="00A17325"/>
    <w:rsid w:val="00A17C3E"/>
    <w:rsid w:val="00A20343"/>
    <w:rsid w:val="00A20B22"/>
    <w:rsid w:val="00A210B3"/>
    <w:rsid w:val="00A2159F"/>
    <w:rsid w:val="00A21D0C"/>
    <w:rsid w:val="00A221CD"/>
    <w:rsid w:val="00A2251E"/>
    <w:rsid w:val="00A22E87"/>
    <w:rsid w:val="00A2309E"/>
    <w:rsid w:val="00A23214"/>
    <w:rsid w:val="00A23CA0"/>
    <w:rsid w:val="00A23F04"/>
    <w:rsid w:val="00A2406C"/>
    <w:rsid w:val="00A2492D"/>
    <w:rsid w:val="00A25522"/>
    <w:rsid w:val="00A262D0"/>
    <w:rsid w:val="00A26302"/>
    <w:rsid w:val="00A26C92"/>
    <w:rsid w:val="00A273BC"/>
    <w:rsid w:val="00A3132C"/>
    <w:rsid w:val="00A31B6D"/>
    <w:rsid w:val="00A321D9"/>
    <w:rsid w:val="00A32900"/>
    <w:rsid w:val="00A32D14"/>
    <w:rsid w:val="00A332C0"/>
    <w:rsid w:val="00A3419B"/>
    <w:rsid w:val="00A35195"/>
    <w:rsid w:val="00A35A3E"/>
    <w:rsid w:val="00A35E1C"/>
    <w:rsid w:val="00A3616D"/>
    <w:rsid w:val="00A367C2"/>
    <w:rsid w:val="00A3689A"/>
    <w:rsid w:val="00A36CC8"/>
    <w:rsid w:val="00A36CFB"/>
    <w:rsid w:val="00A37E43"/>
    <w:rsid w:val="00A37EC0"/>
    <w:rsid w:val="00A37EFD"/>
    <w:rsid w:val="00A37FBA"/>
    <w:rsid w:val="00A401D8"/>
    <w:rsid w:val="00A40D53"/>
    <w:rsid w:val="00A40F3C"/>
    <w:rsid w:val="00A41B52"/>
    <w:rsid w:val="00A41B63"/>
    <w:rsid w:val="00A42075"/>
    <w:rsid w:val="00A4280B"/>
    <w:rsid w:val="00A428D0"/>
    <w:rsid w:val="00A43351"/>
    <w:rsid w:val="00A43708"/>
    <w:rsid w:val="00A4427D"/>
    <w:rsid w:val="00A446EF"/>
    <w:rsid w:val="00A44A66"/>
    <w:rsid w:val="00A44D22"/>
    <w:rsid w:val="00A45428"/>
    <w:rsid w:val="00A4562C"/>
    <w:rsid w:val="00A45E7C"/>
    <w:rsid w:val="00A47B08"/>
    <w:rsid w:val="00A5013B"/>
    <w:rsid w:val="00A503D3"/>
    <w:rsid w:val="00A50403"/>
    <w:rsid w:val="00A50730"/>
    <w:rsid w:val="00A50A6B"/>
    <w:rsid w:val="00A50E09"/>
    <w:rsid w:val="00A514ED"/>
    <w:rsid w:val="00A52BA5"/>
    <w:rsid w:val="00A532D5"/>
    <w:rsid w:val="00A537CB"/>
    <w:rsid w:val="00A53821"/>
    <w:rsid w:val="00A54040"/>
    <w:rsid w:val="00A54164"/>
    <w:rsid w:val="00A54EB3"/>
    <w:rsid w:val="00A54F38"/>
    <w:rsid w:val="00A54F3A"/>
    <w:rsid w:val="00A55102"/>
    <w:rsid w:val="00A5542C"/>
    <w:rsid w:val="00A554C6"/>
    <w:rsid w:val="00A55F37"/>
    <w:rsid w:val="00A56373"/>
    <w:rsid w:val="00A5668A"/>
    <w:rsid w:val="00A5673F"/>
    <w:rsid w:val="00A56888"/>
    <w:rsid w:val="00A57CAC"/>
    <w:rsid w:val="00A57F1D"/>
    <w:rsid w:val="00A600F9"/>
    <w:rsid w:val="00A60371"/>
    <w:rsid w:val="00A603A9"/>
    <w:rsid w:val="00A603B4"/>
    <w:rsid w:val="00A60696"/>
    <w:rsid w:val="00A61CAA"/>
    <w:rsid w:val="00A61F31"/>
    <w:rsid w:val="00A62253"/>
    <w:rsid w:val="00A6225F"/>
    <w:rsid w:val="00A62A22"/>
    <w:rsid w:val="00A62C85"/>
    <w:rsid w:val="00A62ECD"/>
    <w:rsid w:val="00A632B0"/>
    <w:rsid w:val="00A63995"/>
    <w:rsid w:val="00A6419B"/>
    <w:rsid w:val="00A647AA"/>
    <w:rsid w:val="00A64F63"/>
    <w:rsid w:val="00A667F6"/>
    <w:rsid w:val="00A66887"/>
    <w:rsid w:val="00A668BA"/>
    <w:rsid w:val="00A66BF0"/>
    <w:rsid w:val="00A66C02"/>
    <w:rsid w:val="00A66E05"/>
    <w:rsid w:val="00A67076"/>
    <w:rsid w:val="00A675F0"/>
    <w:rsid w:val="00A677BA"/>
    <w:rsid w:val="00A70705"/>
    <w:rsid w:val="00A70963"/>
    <w:rsid w:val="00A70B85"/>
    <w:rsid w:val="00A7193F"/>
    <w:rsid w:val="00A71B25"/>
    <w:rsid w:val="00A72CB8"/>
    <w:rsid w:val="00A72F9A"/>
    <w:rsid w:val="00A73339"/>
    <w:rsid w:val="00A7402D"/>
    <w:rsid w:val="00A74C26"/>
    <w:rsid w:val="00A74F3C"/>
    <w:rsid w:val="00A7597B"/>
    <w:rsid w:val="00A769DC"/>
    <w:rsid w:val="00A76C63"/>
    <w:rsid w:val="00A77F7B"/>
    <w:rsid w:val="00A8030C"/>
    <w:rsid w:val="00A8048E"/>
    <w:rsid w:val="00A80AFA"/>
    <w:rsid w:val="00A80BBD"/>
    <w:rsid w:val="00A80DD0"/>
    <w:rsid w:val="00A81992"/>
    <w:rsid w:val="00A82079"/>
    <w:rsid w:val="00A82211"/>
    <w:rsid w:val="00A82CCE"/>
    <w:rsid w:val="00A830E4"/>
    <w:rsid w:val="00A83735"/>
    <w:rsid w:val="00A83C89"/>
    <w:rsid w:val="00A83CEE"/>
    <w:rsid w:val="00A83DE9"/>
    <w:rsid w:val="00A84C4B"/>
    <w:rsid w:val="00A854AF"/>
    <w:rsid w:val="00A85611"/>
    <w:rsid w:val="00A85984"/>
    <w:rsid w:val="00A859A0"/>
    <w:rsid w:val="00A86175"/>
    <w:rsid w:val="00A8688A"/>
    <w:rsid w:val="00A86A8A"/>
    <w:rsid w:val="00A86F52"/>
    <w:rsid w:val="00A87B45"/>
    <w:rsid w:val="00A90359"/>
    <w:rsid w:val="00A908B4"/>
    <w:rsid w:val="00A90A55"/>
    <w:rsid w:val="00A91195"/>
    <w:rsid w:val="00A91372"/>
    <w:rsid w:val="00A91917"/>
    <w:rsid w:val="00A919F1"/>
    <w:rsid w:val="00A92D0C"/>
    <w:rsid w:val="00A92D56"/>
    <w:rsid w:val="00A93C50"/>
    <w:rsid w:val="00A94334"/>
    <w:rsid w:val="00A94956"/>
    <w:rsid w:val="00A94A92"/>
    <w:rsid w:val="00A9559C"/>
    <w:rsid w:val="00A958E4"/>
    <w:rsid w:val="00A95B52"/>
    <w:rsid w:val="00A96067"/>
    <w:rsid w:val="00A96115"/>
    <w:rsid w:val="00A962D2"/>
    <w:rsid w:val="00A964AB"/>
    <w:rsid w:val="00A96693"/>
    <w:rsid w:val="00A9679F"/>
    <w:rsid w:val="00A96837"/>
    <w:rsid w:val="00A96B9D"/>
    <w:rsid w:val="00A96D39"/>
    <w:rsid w:val="00A96E57"/>
    <w:rsid w:val="00A96FF1"/>
    <w:rsid w:val="00A978F9"/>
    <w:rsid w:val="00A97B91"/>
    <w:rsid w:val="00AA041D"/>
    <w:rsid w:val="00AA0BC0"/>
    <w:rsid w:val="00AA0BC1"/>
    <w:rsid w:val="00AA138E"/>
    <w:rsid w:val="00AA1874"/>
    <w:rsid w:val="00AA1A31"/>
    <w:rsid w:val="00AA256D"/>
    <w:rsid w:val="00AA26EF"/>
    <w:rsid w:val="00AA2BD2"/>
    <w:rsid w:val="00AA2EF6"/>
    <w:rsid w:val="00AA36C9"/>
    <w:rsid w:val="00AA412F"/>
    <w:rsid w:val="00AA4875"/>
    <w:rsid w:val="00AA4D34"/>
    <w:rsid w:val="00AA5173"/>
    <w:rsid w:val="00AA576F"/>
    <w:rsid w:val="00AA5948"/>
    <w:rsid w:val="00AA5A7F"/>
    <w:rsid w:val="00AA5E20"/>
    <w:rsid w:val="00AA632C"/>
    <w:rsid w:val="00AA6B0B"/>
    <w:rsid w:val="00AA6EB0"/>
    <w:rsid w:val="00AA7021"/>
    <w:rsid w:val="00AA74BD"/>
    <w:rsid w:val="00AA78E1"/>
    <w:rsid w:val="00AA7AA2"/>
    <w:rsid w:val="00AA7C78"/>
    <w:rsid w:val="00AB0639"/>
    <w:rsid w:val="00AB07B8"/>
    <w:rsid w:val="00AB0800"/>
    <w:rsid w:val="00AB14A0"/>
    <w:rsid w:val="00AB328B"/>
    <w:rsid w:val="00AB3313"/>
    <w:rsid w:val="00AB3504"/>
    <w:rsid w:val="00AB354D"/>
    <w:rsid w:val="00AB3BD7"/>
    <w:rsid w:val="00AB45A5"/>
    <w:rsid w:val="00AB4887"/>
    <w:rsid w:val="00AB595F"/>
    <w:rsid w:val="00AB5F23"/>
    <w:rsid w:val="00AB6D88"/>
    <w:rsid w:val="00AB705E"/>
    <w:rsid w:val="00AB7861"/>
    <w:rsid w:val="00AB7C9B"/>
    <w:rsid w:val="00AB7FF6"/>
    <w:rsid w:val="00AC080B"/>
    <w:rsid w:val="00AC0F78"/>
    <w:rsid w:val="00AC1969"/>
    <w:rsid w:val="00AC1B9D"/>
    <w:rsid w:val="00AC2418"/>
    <w:rsid w:val="00AC258A"/>
    <w:rsid w:val="00AC26E6"/>
    <w:rsid w:val="00AC3590"/>
    <w:rsid w:val="00AC3D65"/>
    <w:rsid w:val="00AC4875"/>
    <w:rsid w:val="00AC492A"/>
    <w:rsid w:val="00AC4C18"/>
    <w:rsid w:val="00AC4EDA"/>
    <w:rsid w:val="00AC5147"/>
    <w:rsid w:val="00AC580C"/>
    <w:rsid w:val="00AC5B92"/>
    <w:rsid w:val="00AC757E"/>
    <w:rsid w:val="00AC7A09"/>
    <w:rsid w:val="00AC7EF4"/>
    <w:rsid w:val="00AD0254"/>
    <w:rsid w:val="00AD0917"/>
    <w:rsid w:val="00AD0A54"/>
    <w:rsid w:val="00AD190D"/>
    <w:rsid w:val="00AD1914"/>
    <w:rsid w:val="00AD1AF9"/>
    <w:rsid w:val="00AD285C"/>
    <w:rsid w:val="00AD297D"/>
    <w:rsid w:val="00AD2B6F"/>
    <w:rsid w:val="00AD2DF7"/>
    <w:rsid w:val="00AD335C"/>
    <w:rsid w:val="00AD3403"/>
    <w:rsid w:val="00AD3445"/>
    <w:rsid w:val="00AD3D1A"/>
    <w:rsid w:val="00AD4153"/>
    <w:rsid w:val="00AD4E8A"/>
    <w:rsid w:val="00AD4F81"/>
    <w:rsid w:val="00AD52E0"/>
    <w:rsid w:val="00AD5533"/>
    <w:rsid w:val="00AD574C"/>
    <w:rsid w:val="00AD6C90"/>
    <w:rsid w:val="00AD6CBD"/>
    <w:rsid w:val="00AD6E73"/>
    <w:rsid w:val="00AD719C"/>
    <w:rsid w:val="00AD7451"/>
    <w:rsid w:val="00AD7C12"/>
    <w:rsid w:val="00AD7C15"/>
    <w:rsid w:val="00AD7C70"/>
    <w:rsid w:val="00AD7CFC"/>
    <w:rsid w:val="00AD7F77"/>
    <w:rsid w:val="00AE044F"/>
    <w:rsid w:val="00AE0B72"/>
    <w:rsid w:val="00AE0EAD"/>
    <w:rsid w:val="00AE14CD"/>
    <w:rsid w:val="00AE1996"/>
    <w:rsid w:val="00AE1D46"/>
    <w:rsid w:val="00AE2204"/>
    <w:rsid w:val="00AE2474"/>
    <w:rsid w:val="00AE27AE"/>
    <w:rsid w:val="00AE27BB"/>
    <w:rsid w:val="00AE2856"/>
    <w:rsid w:val="00AE33E0"/>
    <w:rsid w:val="00AE3507"/>
    <w:rsid w:val="00AE3A9C"/>
    <w:rsid w:val="00AE3CCF"/>
    <w:rsid w:val="00AE3FE6"/>
    <w:rsid w:val="00AE4E58"/>
    <w:rsid w:val="00AE4EA3"/>
    <w:rsid w:val="00AE59DF"/>
    <w:rsid w:val="00AE5D85"/>
    <w:rsid w:val="00AE5F12"/>
    <w:rsid w:val="00AE6615"/>
    <w:rsid w:val="00AE661B"/>
    <w:rsid w:val="00AE66D3"/>
    <w:rsid w:val="00AE6B42"/>
    <w:rsid w:val="00AE6BDB"/>
    <w:rsid w:val="00AE6EF1"/>
    <w:rsid w:val="00AE703C"/>
    <w:rsid w:val="00AE73CE"/>
    <w:rsid w:val="00AE76CE"/>
    <w:rsid w:val="00AE7FEB"/>
    <w:rsid w:val="00AF0358"/>
    <w:rsid w:val="00AF088B"/>
    <w:rsid w:val="00AF178C"/>
    <w:rsid w:val="00AF2702"/>
    <w:rsid w:val="00AF298A"/>
    <w:rsid w:val="00AF2C9E"/>
    <w:rsid w:val="00AF2E53"/>
    <w:rsid w:val="00AF3F65"/>
    <w:rsid w:val="00AF3FB8"/>
    <w:rsid w:val="00AF4264"/>
    <w:rsid w:val="00AF4AA8"/>
    <w:rsid w:val="00AF59AE"/>
    <w:rsid w:val="00AF622E"/>
    <w:rsid w:val="00AF65DD"/>
    <w:rsid w:val="00AF69B5"/>
    <w:rsid w:val="00AF7673"/>
    <w:rsid w:val="00AF7C04"/>
    <w:rsid w:val="00B0019E"/>
    <w:rsid w:val="00B00984"/>
    <w:rsid w:val="00B00A0C"/>
    <w:rsid w:val="00B00F56"/>
    <w:rsid w:val="00B012C0"/>
    <w:rsid w:val="00B013B6"/>
    <w:rsid w:val="00B0165A"/>
    <w:rsid w:val="00B01817"/>
    <w:rsid w:val="00B01973"/>
    <w:rsid w:val="00B01AEC"/>
    <w:rsid w:val="00B024DB"/>
    <w:rsid w:val="00B02A6A"/>
    <w:rsid w:val="00B02AC0"/>
    <w:rsid w:val="00B02C05"/>
    <w:rsid w:val="00B02F46"/>
    <w:rsid w:val="00B039CA"/>
    <w:rsid w:val="00B03E1C"/>
    <w:rsid w:val="00B04100"/>
    <w:rsid w:val="00B0433E"/>
    <w:rsid w:val="00B044DC"/>
    <w:rsid w:val="00B04DF1"/>
    <w:rsid w:val="00B0515E"/>
    <w:rsid w:val="00B054BB"/>
    <w:rsid w:val="00B055B5"/>
    <w:rsid w:val="00B0560A"/>
    <w:rsid w:val="00B05C9D"/>
    <w:rsid w:val="00B05D73"/>
    <w:rsid w:val="00B070D6"/>
    <w:rsid w:val="00B07175"/>
    <w:rsid w:val="00B104E4"/>
    <w:rsid w:val="00B107D5"/>
    <w:rsid w:val="00B10821"/>
    <w:rsid w:val="00B10BB6"/>
    <w:rsid w:val="00B11EAB"/>
    <w:rsid w:val="00B11FC7"/>
    <w:rsid w:val="00B12EC3"/>
    <w:rsid w:val="00B138C3"/>
    <w:rsid w:val="00B13BE8"/>
    <w:rsid w:val="00B13D80"/>
    <w:rsid w:val="00B14F3A"/>
    <w:rsid w:val="00B15154"/>
    <w:rsid w:val="00B15596"/>
    <w:rsid w:val="00B15DE3"/>
    <w:rsid w:val="00B15F02"/>
    <w:rsid w:val="00B1688B"/>
    <w:rsid w:val="00B17810"/>
    <w:rsid w:val="00B17DD8"/>
    <w:rsid w:val="00B2062A"/>
    <w:rsid w:val="00B208D0"/>
    <w:rsid w:val="00B209AE"/>
    <w:rsid w:val="00B21086"/>
    <w:rsid w:val="00B2112F"/>
    <w:rsid w:val="00B2141A"/>
    <w:rsid w:val="00B21624"/>
    <w:rsid w:val="00B21FD3"/>
    <w:rsid w:val="00B2279A"/>
    <w:rsid w:val="00B22F5A"/>
    <w:rsid w:val="00B234BC"/>
    <w:rsid w:val="00B23547"/>
    <w:rsid w:val="00B23C6A"/>
    <w:rsid w:val="00B24A8A"/>
    <w:rsid w:val="00B24B70"/>
    <w:rsid w:val="00B25970"/>
    <w:rsid w:val="00B25D94"/>
    <w:rsid w:val="00B25EA9"/>
    <w:rsid w:val="00B25F3D"/>
    <w:rsid w:val="00B26065"/>
    <w:rsid w:val="00B2627A"/>
    <w:rsid w:val="00B26427"/>
    <w:rsid w:val="00B2696B"/>
    <w:rsid w:val="00B272FD"/>
    <w:rsid w:val="00B27564"/>
    <w:rsid w:val="00B27BCE"/>
    <w:rsid w:val="00B30085"/>
    <w:rsid w:val="00B3073E"/>
    <w:rsid w:val="00B308A9"/>
    <w:rsid w:val="00B30CA1"/>
    <w:rsid w:val="00B3100C"/>
    <w:rsid w:val="00B31261"/>
    <w:rsid w:val="00B31388"/>
    <w:rsid w:val="00B315BE"/>
    <w:rsid w:val="00B317FF"/>
    <w:rsid w:val="00B31AAE"/>
    <w:rsid w:val="00B32438"/>
    <w:rsid w:val="00B328E1"/>
    <w:rsid w:val="00B3322E"/>
    <w:rsid w:val="00B33EB5"/>
    <w:rsid w:val="00B3495A"/>
    <w:rsid w:val="00B34ED5"/>
    <w:rsid w:val="00B350CB"/>
    <w:rsid w:val="00B3526D"/>
    <w:rsid w:val="00B3540F"/>
    <w:rsid w:val="00B35444"/>
    <w:rsid w:val="00B35CC1"/>
    <w:rsid w:val="00B35F5B"/>
    <w:rsid w:val="00B36143"/>
    <w:rsid w:val="00B3636A"/>
    <w:rsid w:val="00B363BC"/>
    <w:rsid w:val="00B365BF"/>
    <w:rsid w:val="00B36C06"/>
    <w:rsid w:val="00B3738A"/>
    <w:rsid w:val="00B374B8"/>
    <w:rsid w:val="00B37E04"/>
    <w:rsid w:val="00B404A4"/>
    <w:rsid w:val="00B40B4E"/>
    <w:rsid w:val="00B40D0F"/>
    <w:rsid w:val="00B40E6E"/>
    <w:rsid w:val="00B41109"/>
    <w:rsid w:val="00B41146"/>
    <w:rsid w:val="00B41602"/>
    <w:rsid w:val="00B42DD4"/>
    <w:rsid w:val="00B43C62"/>
    <w:rsid w:val="00B43E0F"/>
    <w:rsid w:val="00B44052"/>
    <w:rsid w:val="00B4424B"/>
    <w:rsid w:val="00B44326"/>
    <w:rsid w:val="00B444EE"/>
    <w:rsid w:val="00B44736"/>
    <w:rsid w:val="00B44932"/>
    <w:rsid w:val="00B449FF"/>
    <w:rsid w:val="00B44B77"/>
    <w:rsid w:val="00B44E73"/>
    <w:rsid w:val="00B45221"/>
    <w:rsid w:val="00B4538B"/>
    <w:rsid w:val="00B45732"/>
    <w:rsid w:val="00B461EE"/>
    <w:rsid w:val="00B46448"/>
    <w:rsid w:val="00B46A28"/>
    <w:rsid w:val="00B46B2A"/>
    <w:rsid w:val="00B472F2"/>
    <w:rsid w:val="00B4755B"/>
    <w:rsid w:val="00B47631"/>
    <w:rsid w:val="00B47896"/>
    <w:rsid w:val="00B47DF8"/>
    <w:rsid w:val="00B47EB3"/>
    <w:rsid w:val="00B502D5"/>
    <w:rsid w:val="00B505A5"/>
    <w:rsid w:val="00B505BA"/>
    <w:rsid w:val="00B50ADE"/>
    <w:rsid w:val="00B50CEB"/>
    <w:rsid w:val="00B51D35"/>
    <w:rsid w:val="00B52887"/>
    <w:rsid w:val="00B52D2F"/>
    <w:rsid w:val="00B530AC"/>
    <w:rsid w:val="00B532BA"/>
    <w:rsid w:val="00B536B5"/>
    <w:rsid w:val="00B5392A"/>
    <w:rsid w:val="00B53A2E"/>
    <w:rsid w:val="00B53C07"/>
    <w:rsid w:val="00B53CD4"/>
    <w:rsid w:val="00B54638"/>
    <w:rsid w:val="00B5474B"/>
    <w:rsid w:val="00B551C9"/>
    <w:rsid w:val="00B55289"/>
    <w:rsid w:val="00B55872"/>
    <w:rsid w:val="00B55EA0"/>
    <w:rsid w:val="00B55F3E"/>
    <w:rsid w:val="00B56269"/>
    <w:rsid w:val="00B56AC1"/>
    <w:rsid w:val="00B56AD0"/>
    <w:rsid w:val="00B56BA6"/>
    <w:rsid w:val="00B56C25"/>
    <w:rsid w:val="00B56E3D"/>
    <w:rsid w:val="00B5788E"/>
    <w:rsid w:val="00B57BD0"/>
    <w:rsid w:val="00B57D32"/>
    <w:rsid w:val="00B57DDE"/>
    <w:rsid w:val="00B57FE8"/>
    <w:rsid w:val="00B60157"/>
    <w:rsid w:val="00B60197"/>
    <w:rsid w:val="00B6065C"/>
    <w:rsid w:val="00B60C4E"/>
    <w:rsid w:val="00B6102D"/>
    <w:rsid w:val="00B610BA"/>
    <w:rsid w:val="00B612D5"/>
    <w:rsid w:val="00B61714"/>
    <w:rsid w:val="00B618E8"/>
    <w:rsid w:val="00B61B3D"/>
    <w:rsid w:val="00B62244"/>
    <w:rsid w:val="00B62683"/>
    <w:rsid w:val="00B62A65"/>
    <w:rsid w:val="00B62B53"/>
    <w:rsid w:val="00B62EE5"/>
    <w:rsid w:val="00B631F2"/>
    <w:rsid w:val="00B63D14"/>
    <w:rsid w:val="00B6420F"/>
    <w:rsid w:val="00B646D6"/>
    <w:rsid w:val="00B64977"/>
    <w:rsid w:val="00B64B6F"/>
    <w:rsid w:val="00B65048"/>
    <w:rsid w:val="00B651E5"/>
    <w:rsid w:val="00B65AF0"/>
    <w:rsid w:val="00B660D9"/>
    <w:rsid w:val="00B669D1"/>
    <w:rsid w:val="00B67BE8"/>
    <w:rsid w:val="00B67D34"/>
    <w:rsid w:val="00B702E7"/>
    <w:rsid w:val="00B70488"/>
    <w:rsid w:val="00B70744"/>
    <w:rsid w:val="00B70B1C"/>
    <w:rsid w:val="00B70BC7"/>
    <w:rsid w:val="00B713DA"/>
    <w:rsid w:val="00B71804"/>
    <w:rsid w:val="00B71BDD"/>
    <w:rsid w:val="00B72E3F"/>
    <w:rsid w:val="00B7329E"/>
    <w:rsid w:val="00B739EE"/>
    <w:rsid w:val="00B73D23"/>
    <w:rsid w:val="00B73FC9"/>
    <w:rsid w:val="00B748D0"/>
    <w:rsid w:val="00B74FB7"/>
    <w:rsid w:val="00B75AA1"/>
    <w:rsid w:val="00B75CA5"/>
    <w:rsid w:val="00B75CCE"/>
    <w:rsid w:val="00B75EF8"/>
    <w:rsid w:val="00B76056"/>
    <w:rsid w:val="00B76856"/>
    <w:rsid w:val="00B76DA6"/>
    <w:rsid w:val="00B77ADA"/>
    <w:rsid w:val="00B804B8"/>
    <w:rsid w:val="00B80803"/>
    <w:rsid w:val="00B80971"/>
    <w:rsid w:val="00B80A12"/>
    <w:rsid w:val="00B80EF7"/>
    <w:rsid w:val="00B81894"/>
    <w:rsid w:val="00B81A26"/>
    <w:rsid w:val="00B81CF2"/>
    <w:rsid w:val="00B821AF"/>
    <w:rsid w:val="00B82A2E"/>
    <w:rsid w:val="00B82CDE"/>
    <w:rsid w:val="00B82CFE"/>
    <w:rsid w:val="00B82FAB"/>
    <w:rsid w:val="00B83CF0"/>
    <w:rsid w:val="00B84061"/>
    <w:rsid w:val="00B8415F"/>
    <w:rsid w:val="00B8466D"/>
    <w:rsid w:val="00B84738"/>
    <w:rsid w:val="00B85D3C"/>
    <w:rsid w:val="00B8608A"/>
    <w:rsid w:val="00B860BD"/>
    <w:rsid w:val="00B862C6"/>
    <w:rsid w:val="00B863E5"/>
    <w:rsid w:val="00B86E3D"/>
    <w:rsid w:val="00B87A38"/>
    <w:rsid w:val="00B87D7F"/>
    <w:rsid w:val="00B90068"/>
    <w:rsid w:val="00B9064C"/>
    <w:rsid w:val="00B90F03"/>
    <w:rsid w:val="00B9126B"/>
    <w:rsid w:val="00B91B6B"/>
    <w:rsid w:val="00B922F6"/>
    <w:rsid w:val="00B92451"/>
    <w:rsid w:val="00B92C81"/>
    <w:rsid w:val="00B92E7E"/>
    <w:rsid w:val="00B934B9"/>
    <w:rsid w:val="00B93F08"/>
    <w:rsid w:val="00B93FF5"/>
    <w:rsid w:val="00B94395"/>
    <w:rsid w:val="00B953BA"/>
    <w:rsid w:val="00B9566F"/>
    <w:rsid w:val="00B95B6E"/>
    <w:rsid w:val="00B95E19"/>
    <w:rsid w:val="00B95E4E"/>
    <w:rsid w:val="00B95F60"/>
    <w:rsid w:val="00B9602C"/>
    <w:rsid w:val="00B9633C"/>
    <w:rsid w:val="00B96DB1"/>
    <w:rsid w:val="00B96EC6"/>
    <w:rsid w:val="00B97054"/>
    <w:rsid w:val="00B9708D"/>
    <w:rsid w:val="00B9731A"/>
    <w:rsid w:val="00B97502"/>
    <w:rsid w:val="00B97EE1"/>
    <w:rsid w:val="00BA0D6F"/>
    <w:rsid w:val="00BA0FAF"/>
    <w:rsid w:val="00BA13DD"/>
    <w:rsid w:val="00BA1BC9"/>
    <w:rsid w:val="00BA1D66"/>
    <w:rsid w:val="00BA1F3D"/>
    <w:rsid w:val="00BA20CC"/>
    <w:rsid w:val="00BA22E6"/>
    <w:rsid w:val="00BA254D"/>
    <w:rsid w:val="00BA25BE"/>
    <w:rsid w:val="00BA295D"/>
    <w:rsid w:val="00BA2A51"/>
    <w:rsid w:val="00BA3C0E"/>
    <w:rsid w:val="00BA3CC3"/>
    <w:rsid w:val="00BA4DE0"/>
    <w:rsid w:val="00BA4EFB"/>
    <w:rsid w:val="00BA5679"/>
    <w:rsid w:val="00BA5744"/>
    <w:rsid w:val="00BA5B61"/>
    <w:rsid w:val="00BA5F83"/>
    <w:rsid w:val="00BA7A18"/>
    <w:rsid w:val="00BA7E9F"/>
    <w:rsid w:val="00BA7F59"/>
    <w:rsid w:val="00BB0425"/>
    <w:rsid w:val="00BB069C"/>
    <w:rsid w:val="00BB1083"/>
    <w:rsid w:val="00BB115E"/>
    <w:rsid w:val="00BB14AC"/>
    <w:rsid w:val="00BB15D6"/>
    <w:rsid w:val="00BB1D7C"/>
    <w:rsid w:val="00BB2022"/>
    <w:rsid w:val="00BB226F"/>
    <w:rsid w:val="00BB25C2"/>
    <w:rsid w:val="00BB2C2E"/>
    <w:rsid w:val="00BB3BB3"/>
    <w:rsid w:val="00BB3D7F"/>
    <w:rsid w:val="00BB4887"/>
    <w:rsid w:val="00BB51BB"/>
    <w:rsid w:val="00BB529A"/>
    <w:rsid w:val="00BB533C"/>
    <w:rsid w:val="00BB5696"/>
    <w:rsid w:val="00BB5EE5"/>
    <w:rsid w:val="00BB5EF2"/>
    <w:rsid w:val="00BB619B"/>
    <w:rsid w:val="00BB61FE"/>
    <w:rsid w:val="00BB6504"/>
    <w:rsid w:val="00BB683F"/>
    <w:rsid w:val="00BB7798"/>
    <w:rsid w:val="00BB7914"/>
    <w:rsid w:val="00BB792C"/>
    <w:rsid w:val="00BB7B75"/>
    <w:rsid w:val="00BB7E3C"/>
    <w:rsid w:val="00BB7E44"/>
    <w:rsid w:val="00BC0346"/>
    <w:rsid w:val="00BC0384"/>
    <w:rsid w:val="00BC0611"/>
    <w:rsid w:val="00BC085E"/>
    <w:rsid w:val="00BC0C1B"/>
    <w:rsid w:val="00BC0CD9"/>
    <w:rsid w:val="00BC1798"/>
    <w:rsid w:val="00BC1920"/>
    <w:rsid w:val="00BC2691"/>
    <w:rsid w:val="00BC2B04"/>
    <w:rsid w:val="00BC3AD6"/>
    <w:rsid w:val="00BC4906"/>
    <w:rsid w:val="00BC4ACC"/>
    <w:rsid w:val="00BC4DD5"/>
    <w:rsid w:val="00BC529A"/>
    <w:rsid w:val="00BC5443"/>
    <w:rsid w:val="00BC54A9"/>
    <w:rsid w:val="00BC56DB"/>
    <w:rsid w:val="00BC57CC"/>
    <w:rsid w:val="00BC5F62"/>
    <w:rsid w:val="00BC6E87"/>
    <w:rsid w:val="00BC6EB5"/>
    <w:rsid w:val="00BC7829"/>
    <w:rsid w:val="00BC79C0"/>
    <w:rsid w:val="00BC7A9B"/>
    <w:rsid w:val="00BD0414"/>
    <w:rsid w:val="00BD0753"/>
    <w:rsid w:val="00BD07F3"/>
    <w:rsid w:val="00BD0B66"/>
    <w:rsid w:val="00BD127C"/>
    <w:rsid w:val="00BD14EA"/>
    <w:rsid w:val="00BD1673"/>
    <w:rsid w:val="00BD1F09"/>
    <w:rsid w:val="00BD289A"/>
    <w:rsid w:val="00BD2B41"/>
    <w:rsid w:val="00BD2E4B"/>
    <w:rsid w:val="00BD2E73"/>
    <w:rsid w:val="00BD2F97"/>
    <w:rsid w:val="00BD354C"/>
    <w:rsid w:val="00BD39B4"/>
    <w:rsid w:val="00BD3EA0"/>
    <w:rsid w:val="00BD3FA3"/>
    <w:rsid w:val="00BD49AD"/>
    <w:rsid w:val="00BD4A61"/>
    <w:rsid w:val="00BD4CDD"/>
    <w:rsid w:val="00BD516F"/>
    <w:rsid w:val="00BD546D"/>
    <w:rsid w:val="00BD5A90"/>
    <w:rsid w:val="00BD5AD3"/>
    <w:rsid w:val="00BD5B5C"/>
    <w:rsid w:val="00BD5CFD"/>
    <w:rsid w:val="00BD603A"/>
    <w:rsid w:val="00BD627A"/>
    <w:rsid w:val="00BD703A"/>
    <w:rsid w:val="00BD7713"/>
    <w:rsid w:val="00BD7D28"/>
    <w:rsid w:val="00BE0131"/>
    <w:rsid w:val="00BE0CBA"/>
    <w:rsid w:val="00BE1D7A"/>
    <w:rsid w:val="00BE1F13"/>
    <w:rsid w:val="00BE20B6"/>
    <w:rsid w:val="00BE23BC"/>
    <w:rsid w:val="00BE266D"/>
    <w:rsid w:val="00BE2699"/>
    <w:rsid w:val="00BE2720"/>
    <w:rsid w:val="00BE29BE"/>
    <w:rsid w:val="00BE3F8C"/>
    <w:rsid w:val="00BE409E"/>
    <w:rsid w:val="00BE484A"/>
    <w:rsid w:val="00BE624E"/>
    <w:rsid w:val="00BE62D7"/>
    <w:rsid w:val="00BE6708"/>
    <w:rsid w:val="00BE689B"/>
    <w:rsid w:val="00BE6BB2"/>
    <w:rsid w:val="00BE6E41"/>
    <w:rsid w:val="00BE7300"/>
    <w:rsid w:val="00BE7331"/>
    <w:rsid w:val="00BE7EE1"/>
    <w:rsid w:val="00BE7F04"/>
    <w:rsid w:val="00BF00AC"/>
    <w:rsid w:val="00BF08E0"/>
    <w:rsid w:val="00BF0FDA"/>
    <w:rsid w:val="00BF14E1"/>
    <w:rsid w:val="00BF190E"/>
    <w:rsid w:val="00BF2996"/>
    <w:rsid w:val="00BF2AE6"/>
    <w:rsid w:val="00BF3261"/>
    <w:rsid w:val="00BF3778"/>
    <w:rsid w:val="00BF3961"/>
    <w:rsid w:val="00BF4262"/>
    <w:rsid w:val="00BF4763"/>
    <w:rsid w:val="00BF4F06"/>
    <w:rsid w:val="00BF52D2"/>
    <w:rsid w:val="00BF7252"/>
    <w:rsid w:val="00BF7416"/>
    <w:rsid w:val="00BF75E9"/>
    <w:rsid w:val="00BF763B"/>
    <w:rsid w:val="00BF77EE"/>
    <w:rsid w:val="00BF7E87"/>
    <w:rsid w:val="00C00166"/>
    <w:rsid w:val="00C003C4"/>
    <w:rsid w:val="00C0066C"/>
    <w:rsid w:val="00C00A51"/>
    <w:rsid w:val="00C00B80"/>
    <w:rsid w:val="00C010F4"/>
    <w:rsid w:val="00C011AC"/>
    <w:rsid w:val="00C018EB"/>
    <w:rsid w:val="00C01ADE"/>
    <w:rsid w:val="00C020BD"/>
    <w:rsid w:val="00C0264F"/>
    <w:rsid w:val="00C02884"/>
    <w:rsid w:val="00C02F3F"/>
    <w:rsid w:val="00C0328C"/>
    <w:rsid w:val="00C032AC"/>
    <w:rsid w:val="00C0359A"/>
    <w:rsid w:val="00C03ADB"/>
    <w:rsid w:val="00C03B10"/>
    <w:rsid w:val="00C03B6E"/>
    <w:rsid w:val="00C03CE8"/>
    <w:rsid w:val="00C04499"/>
    <w:rsid w:val="00C054E2"/>
    <w:rsid w:val="00C05A0E"/>
    <w:rsid w:val="00C05B04"/>
    <w:rsid w:val="00C05DAD"/>
    <w:rsid w:val="00C0622F"/>
    <w:rsid w:val="00C06CC0"/>
    <w:rsid w:val="00C07622"/>
    <w:rsid w:val="00C10070"/>
    <w:rsid w:val="00C10A7F"/>
    <w:rsid w:val="00C112CF"/>
    <w:rsid w:val="00C1174E"/>
    <w:rsid w:val="00C11DE9"/>
    <w:rsid w:val="00C1207D"/>
    <w:rsid w:val="00C121A7"/>
    <w:rsid w:val="00C12218"/>
    <w:rsid w:val="00C122FF"/>
    <w:rsid w:val="00C12939"/>
    <w:rsid w:val="00C12A03"/>
    <w:rsid w:val="00C13174"/>
    <w:rsid w:val="00C135CB"/>
    <w:rsid w:val="00C13D10"/>
    <w:rsid w:val="00C14882"/>
    <w:rsid w:val="00C14895"/>
    <w:rsid w:val="00C14961"/>
    <w:rsid w:val="00C14BCC"/>
    <w:rsid w:val="00C14DCC"/>
    <w:rsid w:val="00C14E54"/>
    <w:rsid w:val="00C1533C"/>
    <w:rsid w:val="00C15515"/>
    <w:rsid w:val="00C1562C"/>
    <w:rsid w:val="00C15AB6"/>
    <w:rsid w:val="00C15B44"/>
    <w:rsid w:val="00C16916"/>
    <w:rsid w:val="00C16976"/>
    <w:rsid w:val="00C16C4D"/>
    <w:rsid w:val="00C17158"/>
    <w:rsid w:val="00C17A28"/>
    <w:rsid w:val="00C17C8B"/>
    <w:rsid w:val="00C17D6B"/>
    <w:rsid w:val="00C20517"/>
    <w:rsid w:val="00C207E9"/>
    <w:rsid w:val="00C210D4"/>
    <w:rsid w:val="00C213E6"/>
    <w:rsid w:val="00C21B07"/>
    <w:rsid w:val="00C21D11"/>
    <w:rsid w:val="00C21F03"/>
    <w:rsid w:val="00C2241E"/>
    <w:rsid w:val="00C22835"/>
    <w:rsid w:val="00C22A46"/>
    <w:rsid w:val="00C22ACA"/>
    <w:rsid w:val="00C22F1F"/>
    <w:rsid w:val="00C23998"/>
    <w:rsid w:val="00C23D0C"/>
    <w:rsid w:val="00C23D12"/>
    <w:rsid w:val="00C248A4"/>
    <w:rsid w:val="00C24FA4"/>
    <w:rsid w:val="00C256AD"/>
    <w:rsid w:val="00C256E2"/>
    <w:rsid w:val="00C257C3"/>
    <w:rsid w:val="00C25917"/>
    <w:rsid w:val="00C2600D"/>
    <w:rsid w:val="00C26741"/>
    <w:rsid w:val="00C26838"/>
    <w:rsid w:val="00C26907"/>
    <w:rsid w:val="00C26B7B"/>
    <w:rsid w:val="00C26DA8"/>
    <w:rsid w:val="00C276E2"/>
    <w:rsid w:val="00C278BB"/>
    <w:rsid w:val="00C27BE9"/>
    <w:rsid w:val="00C30B56"/>
    <w:rsid w:val="00C31483"/>
    <w:rsid w:val="00C32100"/>
    <w:rsid w:val="00C32210"/>
    <w:rsid w:val="00C323B2"/>
    <w:rsid w:val="00C32E82"/>
    <w:rsid w:val="00C33392"/>
    <w:rsid w:val="00C3368B"/>
    <w:rsid w:val="00C33DC6"/>
    <w:rsid w:val="00C33EC0"/>
    <w:rsid w:val="00C340E3"/>
    <w:rsid w:val="00C34B83"/>
    <w:rsid w:val="00C35DF2"/>
    <w:rsid w:val="00C35E70"/>
    <w:rsid w:val="00C35F4B"/>
    <w:rsid w:val="00C3639D"/>
    <w:rsid w:val="00C36899"/>
    <w:rsid w:val="00C37511"/>
    <w:rsid w:val="00C375F8"/>
    <w:rsid w:val="00C37CE2"/>
    <w:rsid w:val="00C40476"/>
    <w:rsid w:val="00C413E6"/>
    <w:rsid w:val="00C41E2F"/>
    <w:rsid w:val="00C41F44"/>
    <w:rsid w:val="00C42729"/>
    <w:rsid w:val="00C42A75"/>
    <w:rsid w:val="00C42BCE"/>
    <w:rsid w:val="00C42E5F"/>
    <w:rsid w:val="00C42F39"/>
    <w:rsid w:val="00C43F08"/>
    <w:rsid w:val="00C44C21"/>
    <w:rsid w:val="00C45200"/>
    <w:rsid w:val="00C4550C"/>
    <w:rsid w:val="00C458AA"/>
    <w:rsid w:val="00C45B7E"/>
    <w:rsid w:val="00C45C77"/>
    <w:rsid w:val="00C468B9"/>
    <w:rsid w:val="00C46ADE"/>
    <w:rsid w:val="00C4702E"/>
    <w:rsid w:val="00C471EF"/>
    <w:rsid w:val="00C4776F"/>
    <w:rsid w:val="00C478AF"/>
    <w:rsid w:val="00C47961"/>
    <w:rsid w:val="00C505A7"/>
    <w:rsid w:val="00C50D10"/>
    <w:rsid w:val="00C50D82"/>
    <w:rsid w:val="00C512D3"/>
    <w:rsid w:val="00C528EF"/>
    <w:rsid w:val="00C53076"/>
    <w:rsid w:val="00C5377B"/>
    <w:rsid w:val="00C537D2"/>
    <w:rsid w:val="00C5392D"/>
    <w:rsid w:val="00C541EE"/>
    <w:rsid w:val="00C54572"/>
    <w:rsid w:val="00C54CD0"/>
    <w:rsid w:val="00C55FCB"/>
    <w:rsid w:val="00C57313"/>
    <w:rsid w:val="00C608B7"/>
    <w:rsid w:val="00C60DA5"/>
    <w:rsid w:val="00C61323"/>
    <w:rsid w:val="00C62A2F"/>
    <w:rsid w:val="00C62A81"/>
    <w:rsid w:val="00C62BB7"/>
    <w:rsid w:val="00C62BEB"/>
    <w:rsid w:val="00C62C9D"/>
    <w:rsid w:val="00C638AF"/>
    <w:rsid w:val="00C63C85"/>
    <w:rsid w:val="00C63CB1"/>
    <w:rsid w:val="00C64039"/>
    <w:rsid w:val="00C646DA"/>
    <w:rsid w:val="00C64A66"/>
    <w:rsid w:val="00C64FE3"/>
    <w:rsid w:val="00C6574E"/>
    <w:rsid w:val="00C65998"/>
    <w:rsid w:val="00C65A9D"/>
    <w:rsid w:val="00C65B11"/>
    <w:rsid w:val="00C65EE5"/>
    <w:rsid w:val="00C660C7"/>
    <w:rsid w:val="00C66660"/>
    <w:rsid w:val="00C66978"/>
    <w:rsid w:val="00C669BC"/>
    <w:rsid w:val="00C66A1D"/>
    <w:rsid w:val="00C676B9"/>
    <w:rsid w:val="00C6797B"/>
    <w:rsid w:val="00C67ED2"/>
    <w:rsid w:val="00C70751"/>
    <w:rsid w:val="00C71E26"/>
    <w:rsid w:val="00C71F15"/>
    <w:rsid w:val="00C722DD"/>
    <w:rsid w:val="00C725BB"/>
    <w:rsid w:val="00C72685"/>
    <w:rsid w:val="00C72B93"/>
    <w:rsid w:val="00C72BD1"/>
    <w:rsid w:val="00C72D46"/>
    <w:rsid w:val="00C72DF9"/>
    <w:rsid w:val="00C72FE9"/>
    <w:rsid w:val="00C73961"/>
    <w:rsid w:val="00C74167"/>
    <w:rsid w:val="00C75411"/>
    <w:rsid w:val="00C7555D"/>
    <w:rsid w:val="00C769F7"/>
    <w:rsid w:val="00C76BCE"/>
    <w:rsid w:val="00C76C35"/>
    <w:rsid w:val="00C76C57"/>
    <w:rsid w:val="00C7700A"/>
    <w:rsid w:val="00C773C3"/>
    <w:rsid w:val="00C77424"/>
    <w:rsid w:val="00C7763A"/>
    <w:rsid w:val="00C77858"/>
    <w:rsid w:val="00C803BB"/>
    <w:rsid w:val="00C803FC"/>
    <w:rsid w:val="00C80E9D"/>
    <w:rsid w:val="00C81408"/>
    <w:rsid w:val="00C81E39"/>
    <w:rsid w:val="00C82584"/>
    <w:rsid w:val="00C82C8E"/>
    <w:rsid w:val="00C8397C"/>
    <w:rsid w:val="00C83C4B"/>
    <w:rsid w:val="00C83C95"/>
    <w:rsid w:val="00C8400E"/>
    <w:rsid w:val="00C848B8"/>
    <w:rsid w:val="00C84CF0"/>
    <w:rsid w:val="00C84F6C"/>
    <w:rsid w:val="00C85470"/>
    <w:rsid w:val="00C85528"/>
    <w:rsid w:val="00C857DA"/>
    <w:rsid w:val="00C85BBA"/>
    <w:rsid w:val="00C85D65"/>
    <w:rsid w:val="00C861DD"/>
    <w:rsid w:val="00C867A4"/>
    <w:rsid w:val="00C86FEF"/>
    <w:rsid w:val="00C87581"/>
    <w:rsid w:val="00C8783B"/>
    <w:rsid w:val="00C87A7F"/>
    <w:rsid w:val="00C90CB6"/>
    <w:rsid w:val="00C90CEB"/>
    <w:rsid w:val="00C91185"/>
    <w:rsid w:val="00C9120C"/>
    <w:rsid w:val="00C91C1D"/>
    <w:rsid w:val="00C9200F"/>
    <w:rsid w:val="00C920AC"/>
    <w:rsid w:val="00C92738"/>
    <w:rsid w:val="00C9298C"/>
    <w:rsid w:val="00C9326F"/>
    <w:rsid w:val="00C936FF"/>
    <w:rsid w:val="00C93AC6"/>
    <w:rsid w:val="00C93FD1"/>
    <w:rsid w:val="00C940AC"/>
    <w:rsid w:val="00C94AF0"/>
    <w:rsid w:val="00C95344"/>
    <w:rsid w:val="00C9578C"/>
    <w:rsid w:val="00C95F16"/>
    <w:rsid w:val="00C96117"/>
    <w:rsid w:val="00C9673B"/>
    <w:rsid w:val="00C96821"/>
    <w:rsid w:val="00C96957"/>
    <w:rsid w:val="00C97644"/>
    <w:rsid w:val="00CA027B"/>
    <w:rsid w:val="00CA02DE"/>
    <w:rsid w:val="00CA100E"/>
    <w:rsid w:val="00CA1639"/>
    <w:rsid w:val="00CA1D60"/>
    <w:rsid w:val="00CA23EA"/>
    <w:rsid w:val="00CA25BE"/>
    <w:rsid w:val="00CA2B9C"/>
    <w:rsid w:val="00CA2C42"/>
    <w:rsid w:val="00CA2F5E"/>
    <w:rsid w:val="00CA3289"/>
    <w:rsid w:val="00CA3824"/>
    <w:rsid w:val="00CA4369"/>
    <w:rsid w:val="00CA4FD1"/>
    <w:rsid w:val="00CA507E"/>
    <w:rsid w:val="00CA53F6"/>
    <w:rsid w:val="00CA5784"/>
    <w:rsid w:val="00CA5CBD"/>
    <w:rsid w:val="00CA625C"/>
    <w:rsid w:val="00CA64A5"/>
    <w:rsid w:val="00CA655F"/>
    <w:rsid w:val="00CA71F3"/>
    <w:rsid w:val="00CA7DEF"/>
    <w:rsid w:val="00CA7F95"/>
    <w:rsid w:val="00CB00E6"/>
    <w:rsid w:val="00CB029C"/>
    <w:rsid w:val="00CB1C4A"/>
    <w:rsid w:val="00CB1F15"/>
    <w:rsid w:val="00CB23DA"/>
    <w:rsid w:val="00CB27AD"/>
    <w:rsid w:val="00CB296B"/>
    <w:rsid w:val="00CB29B9"/>
    <w:rsid w:val="00CB39D3"/>
    <w:rsid w:val="00CB3B16"/>
    <w:rsid w:val="00CB45C0"/>
    <w:rsid w:val="00CB4BA2"/>
    <w:rsid w:val="00CB54F8"/>
    <w:rsid w:val="00CB5540"/>
    <w:rsid w:val="00CB568E"/>
    <w:rsid w:val="00CB581D"/>
    <w:rsid w:val="00CB6064"/>
    <w:rsid w:val="00CB61B1"/>
    <w:rsid w:val="00CB637C"/>
    <w:rsid w:val="00CB6768"/>
    <w:rsid w:val="00CB6A80"/>
    <w:rsid w:val="00CB6F1C"/>
    <w:rsid w:val="00CC1612"/>
    <w:rsid w:val="00CC1915"/>
    <w:rsid w:val="00CC27E0"/>
    <w:rsid w:val="00CC2A85"/>
    <w:rsid w:val="00CC2B50"/>
    <w:rsid w:val="00CC2D46"/>
    <w:rsid w:val="00CC302F"/>
    <w:rsid w:val="00CC3201"/>
    <w:rsid w:val="00CC438B"/>
    <w:rsid w:val="00CC5104"/>
    <w:rsid w:val="00CC564A"/>
    <w:rsid w:val="00CC5A40"/>
    <w:rsid w:val="00CC61D3"/>
    <w:rsid w:val="00CC7729"/>
    <w:rsid w:val="00CC7791"/>
    <w:rsid w:val="00CC7938"/>
    <w:rsid w:val="00CC7B78"/>
    <w:rsid w:val="00CD0DCA"/>
    <w:rsid w:val="00CD0E63"/>
    <w:rsid w:val="00CD1400"/>
    <w:rsid w:val="00CD185B"/>
    <w:rsid w:val="00CD18C5"/>
    <w:rsid w:val="00CD238B"/>
    <w:rsid w:val="00CD3757"/>
    <w:rsid w:val="00CD3B7E"/>
    <w:rsid w:val="00CD3E87"/>
    <w:rsid w:val="00CD4523"/>
    <w:rsid w:val="00CD45F3"/>
    <w:rsid w:val="00CD521C"/>
    <w:rsid w:val="00CD584D"/>
    <w:rsid w:val="00CD5D9F"/>
    <w:rsid w:val="00CD63C5"/>
    <w:rsid w:val="00CD73D6"/>
    <w:rsid w:val="00CD7703"/>
    <w:rsid w:val="00CD7FD1"/>
    <w:rsid w:val="00CE0A88"/>
    <w:rsid w:val="00CE308D"/>
    <w:rsid w:val="00CE3414"/>
    <w:rsid w:val="00CE3488"/>
    <w:rsid w:val="00CE3A6E"/>
    <w:rsid w:val="00CE4476"/>
    <w:rsid w:val="00CE47A6"/>
    <w:rsid w:val="00CE4BF8"/>
    <w:rsid w:val="00CE4F7A"/>
    <w:rsid w:val="00CE4FFD"/>
    <w:rsid w:val="00CE53E2"/>
    <w:rsid w:val="00CE5AAA"/>
    <w:rsid w:val="00CE5C4C"/>
    <w:rsid w:val="00CE5E9D"/>
    <w:rsid w:val="00CE5F8D"/>
    <w:rsid w:val="00CE6B29"/>
    <w:rsid w:val="00CE6CE3"/>
    <w:rsid w:val="00CE7267"/>
    <w:rsid w:val="00CE73C7"/>
    <w:rsid w:val="00CE78EE"/>
    <w:rsid w:val="00CF0B63"/>
    <w:rsid w:val="00CF0E50"/>
    <w:rsid w:val="00CF16E2"/>
    <w:rsid w:val="00CF17E9"/>
    <w:rsid w:val="00CF1AB3"/>
    <w:rsid w:val="00CF1EBD"/>
    <w:rsid w:val="00CF208F"/>
    <w:rsid w:val="00CF2CA5"/>
    <w:rsid w:val="00CF2E85"/>
    <w:rsid w:val="00CF2EF1"/>
    <w:rsid w:val="00CF385D"/>
    <w:rsid w:val="00CF447C"/>
    <w:rsid w:val="00CF4859"/>
    <w:rsid w:val="00CF4A36"/>
    <w:rsid w:val="00CF4C8B"/>
    <w:rsid w:val="00CF52A9"/>
    <w:rsid w:val="00CF5760"/>
    <w:rsid w:val="00CF58E8"/>
    <w:rsid w:val="00CF5D90"/>
    <w:rsid w:val="00CF5DFB"/>
    <w:rsid w:val="00CF5E7A"/>
    <w:rsid w:val="00CF6EEA"/>
    <w:rsid w:val="00CF791E"/>
    <w:rsid w:val="00CF7B4B"/>
    <w:rsid w:val="00CF7FC1"/>
    <w:rsid w:val="00D00813"/>
    <w:rsid w:val="00D00977"/>
    <w:rsid w:val="00D00AE6"/>
    <w:rsid w:val="00D00C88"/>
    <w:rsid w:val="00D00CCE"/>
    <w:rsid w:val="00D00D49"/>
    <w:rsid w:val="00D00E25"/>
    <w:rsid w:val="00D017D4"/>
    <w:rsid w:val="00D01F64"/>
    <w:rsid w:val="00D02251"/>
    <w:rsid w:val="00D022F4"/>
    <w:rsid w:val="00D0237B"/>
    <w:rsid w:val="00D02B2F"/>
    <w:rsid w:val="00D0364D"/>
    <w:rsid w:val="00D03991"/>
    <w:rsid w:val="00D03C7A"/>
    <w:rsid w:val="00D040DB"/>
    <w:rsid w:val="00D0423F"/>
    <w:rsid w:val="00D04CD5"/>
    <w:rsid w:val="00D050AB"/>
    <w:rsid w:val="00D051F1"/>
    <w:rsid w:val="00D0546A"/>
    <w:rsid w:val="00D05659"/>
    <w:rsid w:val="00D05B9A"/>
    <w:rsid w:val="00D0650D"/>
    <w:rsid w:val="00D07748"/>
    <w:rsid w:val="00D106E0"/>
    <w:rsid w:val="00D10763"/>
    <w:rsid w:val="00D1077C"/>
    <w:rsid w:val="00D116CD"/>
    <w:rsid w:val="00D11E2B"/>
    <w:rsid w:val="00D11F3A"/>
    <w:rsid w:val="00D1200B"/>
    <w:rsid w:val="00D12206"/>
    <w:rsid w:val="00D130ED"/>
    <w:rsid w:val="00D1366C"/>
    <w:rsid w:val="00D14831"/>
    <w:rsid w:val="00D14C18"/>
    <w:rsid w:val="00D15199"/>
    <w:rsid w:val="00D1544A"/>
    <w:rsid w:val="00D15456"/>
    <w:rsid w:val="00D15DA7"/>
    <w:rsid w:val="00D160E0"/>
    <w:rsid w:val="00D16228"/>
    <w:rsid w:val="00D16B76"/>
    <w:rsid w:val="00D16CCB"/>
    <w:rsid w:val="00D16E31"/>
    <w:rsid w:val="00D175AB"/>
    <w:rsid w:val="00D17806"/>
    <w:rsid w:val="00D17A0D"/>
    <w:rsid w:val="00D202E9"/>
    <w:rsid w:val="00D20500"/>
    <w:rsid w:val="00D21505"/>
    <w:rsid w:val="00D216D7"/>
    <w:rsid w:val="00D216EE"/>
    <w:rsid w:val="00D21F46"/>
    <w:rsid w:val="00D22359"/>
    <w:rsid w:val="00D225B7"/>
    <w:rsid w:val="00D23196"/>
    <w:rsid w:val="00D23C1B"/>
    <w:rsid w:val="00D23CCC"/>
    <w:rsid w:val="00D23EB6"/>
    <w:rsid w:val="00D25109"/>
    <w:rsid w:val="00D25B01"/>
    <w:rsid w:val="00D26563"/>
    <w:rsid w:val="00D26810"/>
    <w:rsid w:val="00D26A80"/>
    <w:rsid w:val="00D27648"/>
    <w:rsid w:val="00D27890"/>
    <w:rsid w:val="00D27B7D"/>
    <w:rsid w:val="00D27BBA"/>
    <w:rsid w:val="00D27CBA"/>
    <w:rsid w:val="00D27FFE"/>
    <w:rsid w:val="00D3078D"/>
    <w:rsid w:val="00D3086D"/>
    <w:rsid w:val="00D30F60"/>
    <w:rsid w:val="00D315BA"/>
    <w:rsid w:val="00D31998"/>
    <w:rsid w:val="00D31ADE"/>
    <w:rsid w:val="00D32918"/>
    <w:rsid w:val="00D32B75"/>
    <w:rsid w:val="00D33E9F"/>
    <w:rsid w:val="00D343DF"/>
    <w:rsid w:val="00D34513"/>
    <w:rsid w:val="00D34800"/>
    <w:rsid w:val="00D3499D"/>
    <w:rsid w:val="00D34D25"/>
    <w:rsid w:val="00D34F29"/>
    <w:rsid w:val="00D34F76"/>
    <w:rsid w:val="00D353DB"/>
    <w:rsid w:val="00D359BC"/>
    <w:rsid w:val="00D35BC0"/>
    <w:rsid w:val="00D35C36"/>
    <w:rsid w:val="00D36905"/>
    <w:rsid w:val="00D37555"/>
    <w:rsid w:val="00D375F0"/>
    <w:rsid w:val="00D37BBF"/>
    <w:rsid w:val="00D37C58"/>
    <w:rsid w:val="00D37DB8"/>
    <w:rsid w:val="00D37E63"/>
    <w:rsid w:val="00D37FF9"/>
    <w:rsid w:val="00D41A20"/>
    <w:rsid w:val="00D41D1F"/>
    <w:rsid w:val="00D4232F"/>
    <w:rsid w:val="00D427EF"/>
    <w:rsid w:val="00D4317E"/>
    <w:rsid w:val="00D43607"/>
    <w:rsid w:val="00D4368B"/>
    <w:rsid w:val="00D44556"/>
    <w:rsid w:val="00D449DB"/>
    <w:rsid w:val="00D44B5A"/>
    <w:rsid w:val="00D44E0F"/>
    <w:rsid w:val="00D4539B"/>
    <w:rsid w:val="00D4592C"/>
    <w:rsid w:val="00D45BB0"/>
    <w:rsid w:val="00D4661F"/>
    <w:rsid w:val="00D4675A"/>
    <w:rsid w:val="00D4692E"/>
    <w:rsid w:val="00D477CB"/>
    <w:rsid w:val="00D478D8"/>
    <w:rsid w:val="00D500F5"/>
    <w:rsid w:val="00D502FF"/>
    <w:rsid w:val="00D506AB"/>
    <w:rsid w:val="00D506F6"/>
    <w:rsid w:val="00D50B33"/>
    <w:rsid w:val="00D50E6C"/>
    <w:rsid w:val="00D51A98"/>
    <w:rsid w:val="00D51B02"/>
    <w:rsid w:val="00D5207A"/>
    <w:rsid w:val="00D52689"/>
    <w:rsid w:val="00D52894"/>
    <w:rsid w:val="00D52C54"/>
    <w:rsid w:val="00D535E9"/>
    <w:rsid w:val="00D539E4"/>
    <w:rsid w:val="00D53FC7"/>
    <w:rsid w:val="00D543EB"/>
    <w:rsid w:val="00D548E8"/>
    <w:rsid w:val="00D54B0E"/>
    <w:rsid w:val="00D54B66"/>
    <w:rsid w:val="00D552E0"/>
    <w:rsid w:val="00D552E4"/>
    <w:rsid w:val="00D553A8"/>
    <w:rsid w:val="00D556E3"/>
    <w:rsid w:val="00D5644A"/>
    <w:rsid w:val="00D5656D"/>
    <w:rsid w:val="00D56B33"/>
    <w:rsid w:val="00D56E2A"/>
    <w:rsid w:val="00D6010E"/>
    <w:rsid w:val="00D60C78"/>
    <w:rsid w:val="00D6118D"/>
    <w:rsid w:val="00D6125E"/>
    <w:rsid w:val="00D614F7"/>
    <w:rsid w:val="00D61DD4"/>
    <w:rsid w:val="00D6234D"/>
    <w:rsid w:val="00D624AE"/>
    <w:rsid w:val="00D63BBF"/>
    <w:rsid w:val="00D6425A"/>
    <w:rsid w:val="00D64FBF"/>
    <w:rsid w:val="00D65672"/>
    <w:rsid w:val="00D66172"/>
    <w:rsid w:val="00D6661F"/>
    <w:rsid w:val="00D66AE8"/>
    <w:rsid w:val="00D66BE3"/>
    <w:rsid w:val="00D66C93"/>
    <w:rsid w:val="00D66D40"/>
    <w:rsid w:val="00D66DC2"/>
    <w:rsid w:val="00D677A6"/>
    <w:rsid w:val="00D678E6"/>
    <w:rsid w:val="00D67BA0"/>
    <w:rsid w:val="00D67EEA"/>
    <w:rsid w:val="00D67F9E"/>
    <w:rsid w:val="00D700D8"/>
    <w:rsid w:val="00D703E9"/>
    <w:rsid w:val="00D70C82"/>
    <w:rsid w:val="00D70FE5"/>
    <w:rsid w:val="00D7149A"/>
    <w:rsid w:val="00D718B1"/>
    <w:rsid w:val="00D71C14"/>
    <w:rsid w:val="00D72D3F"/>
    <w:rsid w:val="00D733C1"/>
    <w:rsid w:val="00D7374C"/>
    <w:rsid w:val="00D737E6"/>
    <w:rsid w:val="00D73F6B"/>
    <w:rsid w:val="00D7441F"/>
    <w:rsid w:val="00D7479B"/>
    <w:rsid w:val="00D74E18"/>
    <w:rsid w:val="00D75FB2"/>
    <w:rsid w:val="00D7602B"/>
    <w:rsid w:val="00D767C0"/>
    <w:rsid w:val="00D778B1"/>
    <w:rsid w:val="00D77B7A"/>
    <w:rsid w:val="00D77CDD"/>
    <w:rsid w:val="00D804CF"/>
    <w:rsid w:val="00D80793"/>
    <w:rsid w:val="00D809B9"/>
    <w:rsid w:val="00D80A52"/>
    <w:rsid w:val="00D80F3D"/>
    <w:rsid w:val="00D80FCE"/>
    <w:rsid w:val="00D8150B"/>
    <w:rsid w:val="00D81B61"/>
    <w:rsid w:val="00D81B71"/>
    <w:rsid w:val="00D82064"/>
    <w:rsid w:val="00D8242D"/>
    <w:rsid w:val="00D82B42"/>
    <w:rsid w:val="00D82E79"/>
    <w:rsid w:val="00D830F5"/>
    <w:rsid w:val="00D832AA"/>
    <w:rsid w:val="00D83614"/>
    <w:rsid w:val="00D85197"/>
    <w:rsid w:val="00D85658"/>
    <w:rsid w:val="00D85CAF"/>
    <w:rsid w:val="00D860E2"/>
    <w:rsid w:val="00D861B6"/>
    <w:rsid w:val="00D861E5"/>
    <w:rsid w:val="00D86317"/>
    <w:rsid w:val="00D8663A"/>
    <w:rsid w:val="00D86EA2"/>
    <w:rsid w:val="00D877EE"/>
    <w:rsid w:val="00D878A5"/>
    <w:rsid w:val="00D87B83"/>
    <w:rsid w:val="00D9020D"/>
    <w:rsid w:val="00D903C9"/>
    <w:rsid w:val="00D90F3C"/>
    <w:rsid w:val="00D91253"/>
    <w:rsid w:val="00D91323"/>
    <w:rsid w:val="00D91ED6"/>
    <w:rsid w:val="00D921A5"/>
    <w:rsid w:val="00D93225"/>
    <w:rsid w:val="00D93A19"/>
    <w:rsid w:val="00D93D38"/>
    <w:rsid w:val="00D93DDD"/>
    <w:rsid w:val="00D94388"/>
    <w:rsid w:val="00D94558"/>
    <w:rsid w:val="00D94628"/>
    <w:rsid w:val="00D94960"/>
    <w:rsid w:val="00D95692"/>
    <w:rsid w:val="00D95C05"/>
    <w:rsid w:val="00D95E28"/>
    <w:rsid w:val="00D95FEA"/>
    <w:rsid w:val="00D960E5"/>
    <w:rsid w:val="00D963EA"/>
    <w:rsid w:val="00D963ED"/>
    <w:rsid w:val="00D9662E"/>
    <w:rsid w:val="00D967AE"/>
    <w:rsid w:val="00D967EE"/>
    <w:rsid w:val="00D96949"/>
    <w:rsid w:val="00D96A86"/>
    <w:rsid w:val="00D96DB9"/>
    <w:rsid w:val="00D970EB"/>
    <w:rsid w:val="00D97193"/>
    <w:rsid w:val="00DA08BC"/>
    <w:rsid w:val="00DA0EC4"/>
    <w:rsid w:val="00DA10E0"/>
    <w:rsid w:val="00DA12EA"/>
    <w:rsid w:val="00DA163D"/>
    <w:rsid w:val="00DA1E6F"/>
    <w:rsid w:val="00DA20EE"/>
    <w:rsid w:val="00DA20F3"/>
    <w:rsid w:val="00DA2F46"/>
    <w:rsid w:val="00DA3618"/>
    <w:rsid w:val="00DA3E2F"/>
    <w:rsid w:val="00DA419F"/>
    <w:rsid w:val="00DA4702"/>
    <w:rsid w:val="00DA4B29"/>
    <w:rsid w:val="00DA51E4"/>
    <w:rsid w:val="00DA566A"/>
    <w:rsid w:val="00DA5928"/>
    <w:rsid w:val="00DA5D79"/>
    <w:rsid w:val="00DA6188"/>
    <w:rsid w:val="00DA63B4"/>
    <w:rsid w:val="00DA6685"/>
    <w:rsid w:val="00DA6A7F"/>
    <w:rsid w:val="00DA6B0F"/>
    <w:rsid w:val="00DA769F"/>
    <w:rsid w:val="00DB033E"/>
    <w:rsid w:val="00DB081D"/>
    <w:rsid w:val="00DB0E95"/>
    <w:rsid w:val="00DB0FE6"/>
    <w:rsid w:val="00DB17ED"/>
    <w:rsid w:val="00DB2231"/>
    <w:rsid w:val="00DB225A"/>
    <w:rsid w:val="00DB22AB"/>
    <w:rsid w:val="00DB22B8"/>
    <w:rsid w:val="00DB28B9"/>
    <w:rsid w:val="00DB2914"/>
    <w:rsid w:val="00DB2C03"/>
    <w:rsid w:val="00DB2D75"/>
    <w:rsid w:val="00DB3773"/>
    <w:rsid w:val="00DB3B68"/>
    <w:rsid w:val="00DB463A"/>
    <w:rsid w:val="00DB53B6"/>
    <w:rsid w:val="00DB5DAD"/>
    <w:rsid w:val="00DB6287"/>
    <w:rsid w:val="00DB6442"/>
    <w:rsid w:val="00DB6532"/>
    <w:rsid w:val="00DB684E"/>
    <w:rsid w:val="00DB686F"/>
    <w:rsid w:val="00DB6C04"/>
    <w:rsid w:val="00DB6E61"/>
    <w:rsid w:val="00DB6EE3"/>
    <w:rsid w:val="00DB74CA"/>
    <w:rsid w:val="00DB75AF"/>
    <w:rsid w:val="00DB76D8"/>
    <w:rsid w:val="00DC0964"/>
    <w:rsid w:val="00DC1A05"/>
    <w:rsid w:val="00DC239D"/>
    <w:rsid w:val="00DC255E"/>
    <w:rsid w:val="00DC29C8"/>
    <w:rsid w:val="00DC36E2"/>
    <w:rsid w:val="00DC3FDA"/>
    <w:rsid w:val="00DC408B"/>
    <w:rsid w:val="00DC4269"/>
    <w:rsid w:val="00DC428E"/>
    <w:rsid w:val="00DC4A8E"/>
    <w:rsid w:val="00DC4D5D"/>
    <w:rsid w:val="00DC5250"/>
    <w:rsid w:val="00DC555B"/>
    <w:rsid w:val="00DC6586"/>
    <w:rsid w:val="00DC66A8"/>
    <w:rsid w:val="00DC6BEA"/>
    <w:rsid w:val="00DC71C4"/>
    <w:rsid w:val="00DC7507"/>
    <w:rsid w:val="00DC7F19"/>
    <w:rsid w:val="00DD009D"/>
    <w:rsid w:val="00DD03CA"/>
    <w:rsid w:val="00DD12EC"/>
    <w:rsid w:val="00DD132D"/>
    <w:rsid w:val="00DD15DF"/>
    <w:rsid w:val="00DD1751"/>
    <w:rsid w:val="00DD1E85"/>
    <w:rsid w:val="00DD250D"/>
    <w:rsid w:val="00DD275D"/>
    <w:rsid w:val="00DD2DCC"/>
    <w:rsid w:val="00DD2FED"/>
    <w:rsid w:val="00DD3D6F"/>
    <w:rsid w:val="00DD3F5F"/>
    <w:rsid w:val="00DD4802"/>
    <w:rsid w:val="00DD5627"/>
    <w:rsid w:val="00DD5A23"/>
    <w:rsid w:val="00DD620D"/>
    <w:rsid w:val="00DD638D"/>
    <w:rsid w:val="00DD6819"/>
    <w:rsid w:val="00DD74A2"/>
    <w:rsid w:val="00DD7772"/>
    <w:rsid w:val="00DD7D5B"/>
    <w:rsid w:val="00DE01BE"/>
    <w:rsid w:val="00DE0384"/>
    <w:rsid w:val="00DE0424"/>
    <w:rsid w:val="00DE09C0"/>
    <w:rsid w:val="00DE0C78"/>
    <w:rsid w:val="00DE0F32"/>
    <w:rsid w:val="00DE278F"/>
    <w:rsid w:val="00DE3555"/>
    <w:rsid w:val="00DE3842"/>
    <w:rsid w:val="00DE3D8A"/>
    <w:rsid w:val="00DE4339"/>
    <w:rsid w:val="00DE4DB4"/>
    <w:rsid w:val="00DE50A1"/>
    <w:rsid w:val="00DE5322"/>
    <w:rsid w:val="00DE57C8"/>
    <w:rsid w:val="00DE5A90"/>
    <w:rsid w:val="00DE5BE8"/>
    <w:rsid w:val="00DE6EB1"/>
    <w:rsid w:val="00DE7D54"/>
    <w:rsid w:val="00DF0357"/>
    <w:rsid w:val="00DF09CB"/>
    <w:rsid w:val="00DF0E0C"/>
    <w:rsid w:val="00DF1396"/>
    <w:rsid w:val="00DF1828"/>
    <w:rsid w:val="00DF1BF6"/>
    <w:rsid w:val="00DF1FA9"/>
    <w:rsid w:val="00DF2528"/>
    <w:rsid w:val="00DF2554"/>
    <w:rsid w:val="00DF3452"/>
    <w:rsid w:val="00DF365C"/>
    <w:rsid w:val="00DF3947"/>
    <w:rsid w:val="00DF3C6D"/>
    <w:rsid w:val="00DF3C80"/>
    <w:rsid w:val="00DF44AD"/>
    <w:rsid w:val="00DF4C6E"/>
    <w:rsid w:val="00DF55CE"/>
    <w:rsid w:val="00DF5E0C"/>
    <w:rsid w:val="00DF5F76"/>
    <w:rsid w:val="00DF6687"/>
    <w:rsid w:val="00DF6C25"/>
    <w:rsid w:val="00DF7164"/>
    <w:rsid w:val="00DF7E2A"/>
    <w:rsid w:val="00E00059"/>
    <w:rsid w:val="00E004D5"/>
    <w:rsid w:val="00E009B1"/>
    <w:rsid w:val="00E0127A"/>
    <w:rsid w:val="00E01C23"/>
    <w:rsid w:val="00E01C69"/>
    <w:rsid w:val="00E01CBC"/>
    <w:rsid w:val="00E01D71"/>
    <w:rsid w:val="00E01F6B"/>
    <w:rsid w:val="00E02444"/>
    <w:rsid w:val="00E02E91"/>
    <w:rsid w:val="00E039AB"/>
    <w:rsid w:val="00E0402E"/>
    <w:rsid w:val="00E04202"/>
    <w:rsid w:val="00E04216"/>
    <w:rsid w:val="00E0438A"/>
    <w:rsid w:val="00E04409"/>
    <w:rsid w:val="00E04910"/>
    <w:rsid w:val="00E051C4"/>
    <w:rsid w:val="00E05392"/>
    <w:rsid w:val="00E0577E"/>
    <w:rsid w:val="00E057A5"/>
    <w:rsid w:val="00E05B82"/>
    <w:rsid w:val="00E05C2D"/>
    <w:rsid w:val="00E06823"/>
    <w:rsid w:val="00E06B5A"/>
    <w:rsid w:val="00E06BE4"/>
    <w:rsid w:val="00E06CDA"/>
    <w:rsid w:val="00E06E0F"/>
    <w:rsid w:val="00E10A86"/>
    <w:rsid w:val="00E10C2B"/>
    <w:rsid w:val="00E11550"/>
    <w:rsid w:val="00E118E1"/>
    <w:rsid w:val="00E11DE0"/>
    <w:rsid w:val="00E1349F"/>
    <w:rsid w:val="00E13925"/>
    <w:rsid w:val="00E13EAB"/>
    <w:rsid w:val="00E14428"/>
    <w:rsid w:val="00E1470F"/>
    <w:rsid w:val="00E14783"/>
    <w:rsid w:val="00E14979"/>
    <w:rsid w:val="00E1553E"/>
    <w:rsid w:val="00E15579"/>
    <w:rsid w:val="00E15589"/>
    <w:rsid w:val="00E15947"/>
    <w:rsid w:val="00E15D74"/>
    <w:rsid w:val="00E1640D"/>
    <w:rsid w:val="00E16C70"/>
    <w:rsid w:val="00E1781A"/>
    <w:rsid w:val="00E17825"/>
    <w:rsid w:val="00E20906"/>
    <w:rsid w:val="00E22A97"/>
    <w:rsid w:val="00E22F6C"/>
    <w:rsid w:val="00E23031"/>
    <w:rsid w:val="00E237FA"/>
    <w:rsid w:val="00E23B05"/>
    <w:rsid w:val="00E23BA5"/>
    <w:rsid w:val="00E24189"/>
    <w:rsid w:val="00E24792"/>
    <w:rsid w:val="00E24ABA"/>
    <w:rsid w:val="00E24DE1"/>
    <w:rsid w:val="00E255F8"/>
    <w:rsid w:val="00E25722"/>
    <w:rsid w:val="00E260C9"/>
    <w:rsid w:val="00E263C7"/>
    <w:rsid w:val="00E26AC4"/>
    <w:rsid w:val="00E26BCA"/>
    <w:rsid w:val="00E27717"/>
    <w:rsid w:val="00E278CF"/>
    <w:rsid w:val="00E27D8F"/>
    <w:rsid w:val="00E27F2E"/>
    <w:rsid w:val="00E27F6B"/>
    <w:rsid w:val="00E3007D"/>
    <w:rsid w:val="00E30687"/>
    <w:rsid w:val="00E3083C"/>
    <w:rsid w:val="00E308BC"/>
    <w:rsid w:val="00E30F05"/>
    <w:rsid w:val="00E31545"/>
    <w:rsid w:val="00E31A15"/>
    <w:rsid w:val="00E3216A"/>
    <w:rsid w:val="00E32485"/>
    <w:rsid w:val="00E324E7"/>
    <w:rsid w:val="00E327FD"/>
    <w:rsid w:val="00E3360C"/>
    <w:rsid w:val="00E336F9"/>
    <w:rsid w:val="00E33B91"/>
    <w:rsid w:val="00E33C1C"/>
    <w:rsid w:val="00E348F8"/>
    <w:rsid w:val="00E348F9"/>
    <w:rsid w:val="00E3539D"/>
    <w:rsid w:val="00E35719"/>
    <w:rsid w:val="00E35E8E"/>
    <w:rsid w:val="00E363A3"/>
    <w:rsid w:val="00E36831"/>
    <w:rsid w:val="00E368E6"/>
    <w:rsid w:val="00E36E7B"/>
    <w:rsid w:val="00E37682"/>
    <w:rsid w:val="00E37765"/>
    <w:rsid w:val="00E3790A"/>
    <w:rsid w:val="00E410E8"/>
    <w:rsid w:val="00E4128D"/>
    <w:rsid w:val="00E41443"/>
    <w:rsid w:val="00E4195F"/>
    <w:rsid w:val="00E42154"/>
    <w:rsid w:val="00E422E1"/>
    <w:rsid w:val="00E42FB1"/>
    <w:rsid w:val="00E43B82"/>
    <w:rsid w:val="00E43D77"/>
    <w:rsid w:val="00E44555"/>
    <w:rsid w:val="00E452AF"/>
    <w:rsid w:val="00E454A2"/>
    <w:rsid w:val="00E45B46"/>
    <w:rsid w:val="00E466E2"/>
    <w:rsid w:val="00E467C0"/>
    <w:rsid w:val="00E47344"/>
    <w:rsid w:val="00E474B1"/>
    <w:rsid w:val="00E475E2"/>
    <w:rsid w:val="00E4783C"/>
    <w:rsid w:val="00E4795E"/>
    <w:rsid w:val="00E47997"/>
    <w:rsid w:val="00E501F8"/>
    <w:rsid w:val="00E506DE"/>
    <w:rsid w:val="00E5089F"/>
    <w:rsid w:val="00E509F3"/>
    <w:rsid w:val="00E50BCF"/>
    <w:rsid w:val="00E50D14"/>
    <w:rsid w:val="00E5122E"/>
    <w:rsid w:val="00E51BB6"/>
    <w:rsid w:val="00E51C16"/>
    <w:rsid w:val="00E51D8E"/>
    <w:rsid w:val="00E522DE"/>
    <w:rsid w:val="00E52A49"/>
    <w:rsid w:val="00E538F5"/>
    <w:rsid w:val="00E54227"/>
    <w:rsid w:val="00E542CE"/>
    <w:rsid w:val="00E547DE"/>
    <w:rsid w:val="00E54B52"/>
    <w:rsid w:val="00E54BAD"/>
    <w:rsid w:val="00E54F58"/>
    <w:rsid w:val="00E55A8B"/>
    <w:rsid w:val="00E55C2E"/>
    <w:rsid w:val="00E55CC7"/>
    <w:rsid w:val="00E55D93"/>
    <w:rsid w:val="00E5605D"/>
    <w:rsid w:val="00E56294"/>
    <w:rsid w:val="00E56361"/>
    <w:rsid w:val="00E56EFE"/>
    <w:rsid w:val="00E6089F"/>
    <w:rsid w:val="00E610E0"/>
    <w:rsid w:val="00E611B9"/>
    <w:rsid w:val="00E6151C"/>
    <w:rsid w:val="00E61541"/>
    <w:rsid w:val="00E62122"/>
    <w:rsid w:val="00E6273F"/>
    <w:rsid w:val="00E62CD8"/>
    <w:rsid w:val="00E62D97"/>
    <w:rsid w:val="00E639D1"/>
    <w:rsid w:val="00E63A3E"/>
    <w:rsid w:val="00E63B6D"/>
    <w:rsid w:val="00E63B7D"/>
    <w:rsid w:val="00E646F7"/>
    <w:rsid w:val="00E64BBA"/>
    <w:rsid w:val="00E64C54"/>
    <w:rsid w:val="00E64EF8"/>
    <w:rsid w:val="00E65073"/>
    <w:rsid w:val="00E6532E"/>
    <w:rsid w:val="00E6546A"/>
    <w:rsid w:val="00E66093"/>
    <w:rsid w:val="00E66211"/>
    <w:rsid w:val="00E66AB3"/>
    <w:rsid w:val="00E66B39"/>
    <w:rsid w:val="00E66B79"/>
    <w:rsid w:val="00E66ECC"/>
    <w:rsid w:val="00E674B9"/>
    <w:rsid w:val="00E6793E"/>
    <w:rsid w:val="00E70055"/>
    <w:rsid w:val="00E7036C"/>
    <w:rsid w:val="00E705FD"/>
    <w:rsid w:val="00E707EA"/>
    <w:rsid w:val="00E70906"/>
    <w:rsid w:val="00E713B6"/>
    <w:rsid w:val="00E7172A"/>
    <w:rsid w:val="00E71941"/>
    <w:rsid w:val="00E719DD"/>
    <w:rsid w:val="00E71C82"/>
    <w:rsid w:val="00E72754"/>
    <w:rsid w:val="00E72C08"/>
    <w:rsid w:val="00E73DC7"/>
    <w:rsid w:val="00E73ED2"/>
    <w:rsid w:val="00E741BF"/>
    <w:rsid w:val="00E74383"/>
    <w:rsid w:val="00E74483"/>
    <w:rsid w:val="00E74A87"/>
    <w:rsid w:val="00E751F1"/>
    <w:rsid w:val="00E753CD"/>
    <w:rsid w:val="00E757B0"/>
    <w:rsid w:val="00E7583A"/>
    <w:rsid w:val="00E759A2"/>
    <w:rsid w:val="00E759FB"/>
    <w:rsid w:val="00E75FD3"/>
    <w:rsid w:val="00E76033"/>
    <w:rsid w:val="00E766BF"/>
    <w:rsid w:val="00E76DE7"/>
    <w:rsid w:val="00E771E0"/>
    <w:rsid w:val="00E77672"/>
    <w:rsid w:val="00E80508"/>
    <w:rsid w:val="00E805F9"/>
    <w:rsid w:val="00E807BE"/>
    <w:rsid w:val="00E80B72"/>
    <w:rsid w:val="00E80E37"/>
    <w:rsid w:val="00E80EEE"/>
    <w:rsid w:val="00E814CC"/>
    <w:rsid w:val="00E818D4"/>
    <w:rsid w:val="00E81A6A"/>
    <w:rsid w:val="00E82666"/>
    <w:rsid w:val="00E837EA"/>
    <w:rsid w:val="00E839E5"/>
    <w:rsid w:val="00E84847"/>
    <w:rsid w:val="00E84D96"/>
    <w:rsid w:val="00E8594F"/>
    <w:rsid w:val="00E86580"/>
    <w:rsid w:val="00E86CE8"/>
    <w:rsid w:val="00E87241"/>
    <w:rsid w:val="00E87516"/>
    <w:rsid w:val="00E875FD"/>
    <w:rsid w:val="00E87F0E"/>
    <w:rsid w:val="00E9002C"/>
    <w:rsid w:val="00E90032"/>
    <w:rsid w:val="00E909B8"/>
    <w:rsid w:val="00E90ACD"/>
    <w:rsid w:val="00E90D7E"/>
    <w:rsid w:val="00E9124E"/>
    <w:rsid w:val="00E9188A"/>
    <w:rsid w:val="00E918C9"/>
    <w:rsid w:val="00E91C91"/>
    <w:rsid w:val="00E92058"/>
    <w:rsid w:val="00E927C3"/>
    <w:rsid w:val="00E92C53"/>
    <w:rsid w:val="00E93E8A"/>
    <w:rsid w:val="00E93F03"/>
    <w:rsid w:val="00E93F31"/>
    <w:rsid w:val="00E93FE5"/>
    <w:rsid w:val="00E94925"/>
    <w:rsid w:val="00E95367"/>
    <w:rsid w:val="00E954F9"/>
    <w:rsid w:val="00E97305"/>
    <w:rsid w:val="00E97CAC"/>
    <w:rsid w:val="00EA0C6F"/>
    <w:rsid w:val="00EA1593"/>
    <w:rsid w:val="00EA17A3"/>
    <w:rsid w:val="00EA1EBD"/>
    <w:rsid w:val="00EA1F62"/>
    <w:rsid w:val="00EA2970"/>
    <w:rsid w:val="00EA2D23"/>
    <w:rsid w:val="00EA2E22"/>
    <w:rsid w:val="00EA3B84"/>
    <w:rsid w:val="00EA3C75"/>
    <w:rsid w:val="00EA4619"/>
    <w:rsid w:val="00EA4622"/>
    <w:rsid w:val="00EA4AC3"/>
    <w:rsid w:val="00EA58D7"/>
    <w:rsid w:val="00EA6544"/>
    <w:rsid w:val="00EA6CFF"/>
    <w:rsid w:val="00EA6F9B"/>
    <w:rsid w:val="00EA7165"/>
    <w:rsid w:val="00EA757F"/>
    <w:rsid w:val="00EA75EE"/>
    <w:rsid w:val="00EA7A20"/>
    <w:rsid w:val="00EB087D"/>
    <w:rsid w:val="00EB09E7"/>
    <w:rsid w:val="00EB0AAF"/>
    <w:rsid w:val="00EB0ABF"/>
    <w:rsid w:val="00EB155B"/>
    <w:rsid w:val="00EB1E05"/>
    <w:rsid w:val="00EB27FB"/>
    <w:rsid w:val="00EB2B78"/>
    <w:rsid w:val="00EB3632"/>
    <w:rsid w:val="00EB3B15"/>
    <w:rsid w:val="00EB42F4"/>
    <w:rsid w:val="00EB4462"/>
    <w:rsid w:val="00EB4709"/>
    <w:rsid w:val="00EB48AF"/>
    <w:rsid w:val="00EB4D04"/>
    <w:rsid w:val="00EB4E12"/>
    <w:rsid w:val="00EB5466"/>
    <w:rsid w:val="00EB57B6"/>
    <w:rsid w:val="00EB5AFE"/>
    <w:rsid w:val="00EB6057"/>
    <w:rsid w:val="00EB676B"/>
    <w:rsid w:val="00EB6783"/>
    <w:rsid w:val="00EB6ECE"/>
    <w:rsid w:val="00EB7953"/>
    <w:rsid w:val="00EB7AF4"/>
    <w:rsid w:val="00EB7E66"/>
    <w:rsid w:val="00EC00B8"/>
    <w:rsid w:val="00EC018C"/>
    <w:rsid w:val="00EC0B2F"/>
    <w:rsid w:val="00EC0C9E"/>
    <w:rsid w:val="00EC0D0B"/>
    <w:rsid w:val="00EC1221"/>
    <w:rsid w:val="00EC2327"/>
    <w:rsid w:val="00EC2A3F"/>
    <w:rsid w:val="00EC2B6C"/>
    <w:rsid w:val="00EC2EEE"/>
    <w:rsid w:val="00EC310E"/>
    <w:rsid w:val="00EC31B8"/>
    <w:rsid w:val="00EC339A"/>
    <w:rsid w:val="00EC487F"/>
    <w:rsid w:val="00EC4AB8"/>
    <w:rsid w:val="00EC4AE9"/>
    <w:rsid w:val="00EC4DD1"/>
    <w:rsid w:val="00EC6706"/>
    <w:rsid w:val="00EC70E2"/>
    <w:rsid w:val="00EC750F"/>
    <w:rsid w:val="00ED015D"/>
    <w:rsid w:val="00ED0381"/>
    <w:rsid w:val="00ED067C"/>
    <w:rsid w:val="00ED0846"/>
    <w:rsid w:val="00ED0AF9"/>
    <w:rsid w:val="00ED0C3F"/>
    <w:rsid w:val="00ED0D35"/>
    <w:rsid w:val="00ED10D4"/>
    <w:rsid w:val="00ED10DC"/>
    <w:rsid w:val="00ED20BE"/>
    <w:rsid w:val="00ED2D81"/>
    <w:rsid w:val="00ED2F09"/>
    <w:rsid w:val="00ED2F38"/>
    <w:rsid w:val="00ED30C3"/>
    <w:rsid w:val="00ED35B4"/>
    <w:rsid w:val="00ED3C0C"/>
    <w:rsid w:val="00ED4183"/>
    <w:rsid w:val="00ED424A"/>
    <w:rsid w:val="00ED46ED"/>
    <w:rsid w:val="00ED49AC"/>
    <w:rsid w:val="00ED5635"/>
    <w:rsid w:val="00ED65D0"/>
    <w:rsid w:val="00ED673F"/>
    <w:rsid w:val="00ED6F46"/>
    <w:rsid w:val="00ED7312"/>
    <w:rsid w:val="00ED7449"/>
    <w:rsid w:val="00ED7825"/>
    <w:rsid w:val="00EE0047"/>
    <w:rsid w:val="00EE0CCD"/>
    <w:rsid w:val="00EE104B"/>
    <w:rsid w:val="00EE1064"/>
    <w:rsid w:val="00EE13A8"/>
    <w:rsid w:val="00EE1510"/>
    <w:rsid w:val="00EE1CC6"/>
    <w:rsid w:val="00EE2362"/>
    <w:rsid w:val="00EE29F9"/>
    <w:rsid w:val="00EE2F1D"/>
    <w:rsid w:val="00EE2FEE"/>
    <w:rsid w:val="00EE3101"/>
    <w:rsid w:val="00EE31E4"/>
    <w:rsid w:val="00EE338F"/>
    <w:rsid w:val="00EE342C"/>
    <w:rsid w:val="00EE3815"/>
    <w:rsid w:val="00EE4361"/>
    <w:rsid w:val="00EE4A2A"/>
    <w:rsid w:val="00EE4BB0"/>
    <w:rsid w:val="00EE5142"/>
    <w:rsid w:val="00EE5309"/>
    <w:rsid w:val="00EE5711"/>
    <w:rsid w:val="00EE6309"/>
    <w:rsid w:val="00EE68FA"/>
    <w:rsid w:val="00EE6B4C"/>
    <w:rsid w:val="00EE6E97"/>
    <w:rsid w:val="00EE735C"/>
    <w:rsid w:val="00EE755A"/>
    <w:rsid w:val="00EE76D6"/>
    <w:rsid w:val="00EE7EF6"/>
    <w:rsid w:val="00EE7F38"/>
    <w:rsid w:val="00EF07E8"/>
    <w:rsid w:val="00EF0F38"/>
    <w:rsid w:val="00EF1313"/>
    <w:rsid w:val="00EF1868"/>
    <w:rsid w:val="00EF18E0"/>
    <w:rsid w:val="00EF18F6"/>
    <w:rsid w:val="00EF1E44"/>
    <w:rsid w:val="00EF2B5D"/>
    <w:rsid w:val="00EF409F"/>
    <w:rsid w:val="00EF41E6"/>
    <w:rsid w:val="00EF46F9"/>
    <w:rsid w:val="00EF4A35"/>
    <w:rsid w:val="00EF553A"/>
    <w:rsid w:val="00EF594A"/>
    <w:rsid w:val="00EF5BD0"/>
    <w:rsid w:val="00EF5D76"/>
    <w:rsid w:val="00EF5F60"/>
    <w:rsid w:val="00EF63DC"/>
    <w:rsid w:val="00EF6508"/>
    <w:rsid w:val="00EF6A3F"/>
    <w:rsid w:val="00EF6B48"/>
    <w:rsid w:val="00EF7613"/>
    <w:rsid w:val="00EF7ADA"/>
    <w:rsid w:val="00F0066E"/>
    <w:rsid w:val="00F00726"/>
    <w:rsid w:val="00F00C48"/>
    <w:rsid w:val="00F01066"/>
    <w:rsid w:val="00F010F7"/>
    <w:rsid w:val="00F01193"/>
    <w:rsid w:val="00F0156B"/>
    <w:rsid w:val="00F01A81"/>
    <w:rsid w:val="00F01B57"/>
    <w:rsid w:val="00F01F7B"/>
    <w:rsid w:val="00F02025"/>
    <w:rsid w:val="00F022AF"/>
    <w:rsid w:val="00F028C6"/>
    <w:rsid w:val="00F02C5B"/>
    <w:rsid w:val="00F03121"/>
    <w:rsid w:val="00F031A2"/>
    <w:rsid w:val="00F03524"/>
    <w:rsid w:val="00F03927"/>
    <w:rsid w:val="00F03AF3"/>
    <w:rsid w:val="00F03C92"/>
    <w:rsid w:val="00F040BE"/>
    <w:rsid w:val="00F04421"/>
    <w:rsid w:val="00F0466E"/>
    <w:rsid w:val="00F04688"/>
    <w:rsid w:val="00F046AF"/>
    <w:rsid w:val="00F04ABA"/>
    <w:rsid w:val="00F04D96"/>
    <w:rsid w:val="00F04F61"/>
    <w:rsid w:val="00F05004"/>
    <w:rsid w:val="00F05D27"/>
    <w:rsid w:val="00F06637"/>
    <w:rsid w:val="00F0664F"/>
    <w:rsid w:val="00F06778"/>
    <w:rsid w:val="00F06E57"/>
    <w:rsid w:val="00F071A7"/>
    <w:rsid w:val="00F07796"/>
    <w:rsid w:val="00F07EA8"/>
    <w:rsid w:val="00F07FB5"/>
    <w:rsid w:val="00F10065"/>
    <w:rsid w:val="00F100FF"/>
    <w:rsid w:val="00F10AE5"/>
    <w:rsid w:val="00F10D5F"/>
    <w:rsid w:val="00F10FBD"/>
    <w:rsid w:val="00F10FC6"/>
    <w:rsid w:val="00F11FC4"/>
    <w:rsid w:val="00F12AC0"/>
    <w:rsid w:val="00F13023"/>
    <w:rsid w:val="00F13AA7"/>
    <w:rsid w:val="00F140BD"/>
    <w:rsid w:val="00F14AD0"/>
    <w:rsid w:val="00F15091"/>
    <w:rsid w:val="00F15763"/>
    <w:rsid w:val="00F1597C"/>
    <w:rsid w:val="00F15AEF"/>
    <w:rsid w:val="00F15C4C"/>
    <w:rsid w:val="00F16013"/>
    <w:rsid w:val="00F16595"/>
    <w:rsid w:val="00F16709"/>
    <w:rsid w:val="00F1675F"/>
    <w:rsid w:val="00F168A1"/>
    <w:rsid w:val="00F16B59"/>
    <w:rsid w:val="00F16F09"/>
    <w:rsid w:val="00F174E4"/>
    <w:rsid w:val="00F17641"/>
    <w:rsid w:val="00F179DD"/>
    <w:rsid w:val="00F20356"/>
    <w:rsid w:val="00F203A5"/>
    <w:rsid w:val="00F21560"/>
    <w:rsid w:val="00F215DA"/>
    <w:rsid w:val="00F21ADA"/>
    <w:rsid w:val="00F229E4"/>
    <w:rsid w:val="00F22BF5"/>
    <w:rsid w:val="00F23169"/>
    <w:rsid w:val="00F23221"/>
    <w:rsid w:val="00F239AA"/>
    <w:rsid w:val="00F23CFC"/>
    <w:rsid w:val="00F23E8B"/>
    <w:rsid w:val="00F23FB0"/>
    <w:rsid w:val="00F24228"/>
    <w:rsid w:val="00F24310"/>
    <w:rsid w:val="00F24898"/>
    <w:rsid w:val="00F2553C"/>
    <w:rsid w:val="00F25CFE"/>
    <w:rsid w:val="00F26228"/>
    <w:rsid w:val="00F26326"/>
    <w:rsid w:val="00F2728A"/>
    <w:rsid w:val="00F27C55"/>
    <w:rsid w:val="00F27D6B"/>
    <w:rsid w:val="00F30712"/>
    <w:rsid w:val="00F30ADB"/>
    <w:rsid w:val="00F30DF1"/>
    <w:rsid w:val="00F30E34"/>
    <w:rsid w:val="00F3108E"/>
    <w:rsid w:val="00F31A17"/>
    <w:rsid w:val="00F31B91"/>
    <w:rsid w:val="00F3245A"/>
    <w:rsid w:val="00F32DD7"/>
    <w:rsid w:val="00F32F23"/>
    <w:rsid w:val="00F33315"/>
    <w:rsid w:val="00F33B8E"/>
    <w:rsid w:val="00F33BD2"/>
    <w:rsid w:val="00F3443C"/>
    <w:rsid w:val="00F347AE"/>
    <w:rsid w:val="00F3486C"/>
    <w:rsid w:val="00F34C8C"/>
    <w:rsid w:val="00F35127"/>
    <w:rsid w:val="00F35BF2"/>
    <w:rsid w:val="00F35C42"/>
    <w:rsid w:val="00F35F56"/>
    <w:rsid w:val="00F3648F"/>
    <w:rsid w:val="00F364AB"/>
    <w:rsid w:val="00F364C2"/>
    <w:rsid w:val="00F36FF8"/>
    <w:rsid w:val="00F37555"/>
    <w:rsid w:val="00F37C0D"/>
    <w:rsid w:val="00F37FA2"/>
    <w:rsid w:val="00F410AE"/>
    <w:rsid w:val="00F413FB"/>
    <w:rsid w:val="00F41A12"/>
    <w:rsid w:val="00F420AF"/>
    <w:rsid w:val="00F420DA"/>
    <w:rsid w:val="00F4210E"/>
    <w:rsid w:val="00F43BD6"/>
    <w:rsid w:val="00F43EBC"/>
    <w:rsid w:val="00F440A8"/>
    <w:rsid w:val="00F450C7"/>
    <w:rsid w:val="00F452CD"/>
    <w:rsid w:val="00F452E4"/>
    <w:rsid w:val="00F45834"/>
    <w:rsid w:val="00F45B25"/>
    <w:rsid w:val="00F45D8F"/>
    <w:rsid w:val="00F45E06"/>
    <w:rsid w:val="00F4647E"/>
    <w:rsid w:val="00F46CB7"/>
    <w:rsid w:val="00F4740C"/>
    <w:rsid w:val="00F474BE"/>
    <w:rsid w:val="00F4759F"/>
    <w:rsid w:val="00F476C9"/>
    <w:rsid w:val="00F47C10"/>
    <w:rsid w:val="00F47C69"/>
    <w:rsid w:val="00F5056D"/>
    <w:rsid w:val="00F50C8A"/>
    <w:rsid w:val="00F51BF1"/>
    <w:rsid w:val="00F51C00"/>
    <w:rsid w:val="00F52098"/>
    <w:rsid w:val="00F52983"/>
    <w:rsid w:val="00F52E77"/>
    <w:rsid w:val="00F53095"/>
    <w:rsid w:val="00F536E7"/>
    <w:rsid w:val="00F53720"/>
    <w:rsid w:val="00F53837"/>
    <w:rsid w:val="00F53C6E"/>
    <w:rsid w:val="00F54239"/>
    <w:rsid w:val="00F5451C"/>
    <w:rsid w:val="00F54AC2"/>
    <w:rsid w:val="00F55798"/>
    <w:rsid w:val="00F557D3"/>
    <w:rsid w:val="00F55862"/>
    <w:rsid w:val="00F5619D"/>
    <w:rsid w:val="00F563CA"/>
    <w:rsid w:val="00F56539"/>
    <w:rsid w:val="00F56549"/>
    <w:rsid w:val="00F5692D"/>
    <w:rsid w:val="00F569CD"/>
    <w:rsid w:val="00F574FF"/>
    <w:rsid w:val="00F57B38"/>
    <w:rsid w:val="00F57BAF"/>
    <w:rsid w:val="00F57BDC"/>
    <w:rsid w:val="00F60770"/>
    <w:rsid w:val="00F6089A"/>
    <w:rsid w:val="00F61261"/>
    <w:rsid w:val="00F6137A"/>
    <w:rsid w:val="00F61795"/>
    <w:rsid w:val="00F61D06"/>
    <w:rsid w:val="00F62193"/>
    <w:rsid w:val="00F62826"/>
    <w:rsid w:val="00F62A57"/>
    <w:rsid w:val="00F62A99"/>
    <w:rsid w:val="00F62E52"/>
    <w:rsid w:val="00F63229"/>
    <w:rsid w:val="00F63458"/>
    <w:rsid w:val="00F634B5"/>
    <w:rsid w:val="00F63940"/>
    <w:rsid w:val="00F6394D"/>
    <w:rsid w:val="00F64030"/>
    <w:rsid w:val="00F6407E"/>
    <w:rsid w:val="00F647E2"/>
    <w:rsid w:val="00F64E5D"/>
    <w:rsid w:val="00F65521"/>
    <w:rsid w:val="00F655A8"/>
    <w:rsid w:val="00F66907"/>
    <w:rsid w:val="00F66D1B"/>
    <w:rsid w:val="00F66DA6"/>
    <w:rsid w:val="00F675BE"/>
    <w:rsid w:val="00F6772C"/>
    <w:rsid w:val="00F67A2D"/>
    <w:rsid w:val="00F7059B"/>
    <w:rsid w:val="00F7090A"/>
    <w:rsid w:val="00F709AB"/>
    <w:rsid w:val="00F713ED"/>
    <w:rsid w:val="00F71443"/>
    <w:rsid w:val="00F71CAB"/>
    <w:rsid w:val="00F71F34"/>
    <w:rsid w:val="00F72C01"/>
    <w:rsid w:val="00F72C46"/>
    <w:rsid w:val="00F730CB"/>
    <w:rsid w:val="00F734B4"/>
    <w:rsid w:val="00F734FD"/>
    <w:rsid w:val="00F7377A"/>
    <w:rsid w:val="00F7448E"/>
    <w:rsid w:val="00F744F3"/>
    <w:rsid w:val="00F745F5"/>
    <w:rsid w:val="00F74BFB"/>
    <w:rsid w:val="00F74C62"/>
    <w:rsid w:val="00F751DC"/>
    <w:rsid w:val="00F75241"/>
    <w:rsid w:val="00F7582F"/>
    <w:rsid w:val="00F75E27"/>
    <w:rsid w:val="00F76FAF"/>
    <w:rsid w:val="00F7727D"/>
    <w:rsid w:val="00F8023E"/>
    <w:rsid w:val="00F806EA"/>
    <w:rsid w:val="00F80945"/>
    <w:rsid w:val="00F80CD5"/>
    <w:rsid w:val="00F80D35"/>
    <w:rsid w:val="00F817C1"/>
    <w:rsid w:val="00F81C41"/>
    <w:rsid w:val="00F81D9E"/>
    <w:rsid w:val="00F82295"/>
    <w:rsid w:val="00F8238D"/>
    <w:rsid w:val="00F82779"/>
    <w:rsid w:val="00F82B99"/>
    <w:rsid w:val="00F83030"/>
    <w:rsid w:val="00F83197"/>
    <w:rsid w:val="00F84260"/>
    <w:rsid w:val="00F8450B"/>
    <w:rsid w:val="00F84CCA"/>
    <w:rsid w:val="00F84FA3"/>
    <w:rsid w:val="00F85230"/>
    <w:rsid w:val="00F8532F"/>
    <w:rsid w:val="00F8575C"/>
    <w:rsid w:val="00F85C23"/>
    <w:rsid w:val="00F85D25"/>
    <w:rsid w:val="00F85F34"/>
    <w:rsid w:val="00F86086"/>
    <w:rsid w:val="00F86491"/>
    <w:rsid w:val="00F86C81"/>
    <w:rsid w:val="00F87055"/>
    <w:rsid w:val="00F872C7"/>
    <w:rsid w:val="00F87585"/>
    <w:rsid w:val="00F87F23"/>
    <w:rsid w:val="00F87F81"/>
    <w:rsid w:val="00F90311"/>
    <w:rsid w:val="00F915A7"/>
    <w:rsid w:val="00F919D0"/>
    <w:rsid w:val="00F91FA9"/>
    <w:rsid w:val="00F9254B"/>
    <w:rsid w:val="00F92CE1"/>
    <w:rsid w:val="00F9320D"/>
    <w:rsid w:val="00F935FA"/>
    <w:rsid w:val="00F936FC"/>
    <w:rsid w:val="00F9395A"/>
    <w:rsid w:val="00F942B1"/>
    <w:rsid w:val="00F94504"/>
    <w:rsid w:val="00F94643"/>
    <w:rsid w:val="00F949B1"/>
    <w:rsid w:val="00F94C83"/>
    <w:rsid w:val="00F95567"/>
    <w:rsid w:val="00F957E8"/>
    <w:rsid w:val="00F95878"/>
    <w:rsid w:val="00F96613"/>
    <w:rsid w:val="00F96C1E"/>
    <w:rsid w:val="00F9719E"/>
    <w:rsid w:val="00F9719F"/>
    <w:rsid w:val="00F976A7"/>
    <w:rsid w:val="00F977D6"/>
    <w:rsid w:val="00F97A04"/>
    <w:rsid w:val="00F97C1C"/>
    <w:rsid w:val="00FA0251"/>
    <w:rsid w:val="00FA12CC"/>
    <w:rsid w:val="00FA1B25"/>
    <w:rsid w:val="00FA24FB"/>
    <w:rsid w:val="00FA2649"/>
    <w:rsid w:val="00FA289B"/>
    <w:rsid w:val="00FA28E0"/>
    <w:rsid w:val="00FA2B49"/>
    <w:rsid w:val="00FA303A"/>
    <w:rsid w:val="00FA406C"/>
    <w:rsid w:val="00FA4C41"/>
    <w:rsid w:val="00FA50E8"/>
    <w:rsid w:val="00FA548E"/>
    <w:rsid w:val="00FA554D"/>
    <w:rsid w:val="00FA5998"/>
    <w:rsid w:val="00FA7056"/>
    <w:rsid w:val="00FA7432"/>
    <w:rsid w:val="00FA7FAC"/>
    <w:rsid w:val="00FB0722"/>
    <w:rsid w:val="00FB0949"/>
    <w:rsid w:val="00FB0E45"/>
    <w:rsid w:val="00FB11AD"/>
    <w:rsid w:val="00FB196A"/>
    <w:rsid w:val="00FB2EE6"/>
    <w:rsid w:val="00FB3088"/>
    <w:rsid w:val="00FB30AC"/>
    <w:rsid w:val="00FB360B"/>
    <w:rsid w:val="00FB428E"/>
    <w:rsid w:val="00FB4570"/>
    <w:rsid w:val="00FB4792"/>
    <w:rsid w:val="00FB48DD"/>
    <w:rsid w:val="00FB5191"/>
    <w:rsid w:val="00FB51C4"/>
    <w:rsid w:val="00FB5344"/>
    <w:rsid w:val="00FB57A6"/>
    <w:rsid w:val="00FB5A83"/>
    <w:rsid w:val="00FB5C55"/>
    <w:rsid w:val="00FB5CDA"/>
    <w:rsid w:val="00FB5CF9"/>
    <w:rsid w:val="00FB712E"/>
    <w:rsid w:val="00FB735F"/>
    <w:rsid w:val="00FB74BC"/>
    <w:rsid w:val="00FB74DB"/>
    <w:rsid w:val="00FC0861"/>
    <w:rsid w:val="00FC0C70"/>
    <w:rsid w:val="00FC0E98"/>
    <w:rsid w:val="00FC15A7"/>
    <w:rsid w:val="00FC1B40"/>
    <w:rsid w:val="00FC20CC"/>
    <w:rsid w:val="00FC2111"/>
    <w:rsid w:val="00FC29DF"/>
    <w:rsid w:val="00FC2A84"/>
    <w:rsid w:val="00FC2C32"/>
    <w:rsid w:val="00FC2DE4"/>
    <w:rsid w:val="00FC3037"/>
    <w:rsid w:val="00FC3052"/>
    <w:rsid w:val="00FC387D"/>
    <w:rsid w:val="00FC3907"/>
    <w:rsid w:val="00FC391E"/>
    <w:rsid w:val="00FC39FB"/>
    <w:rsid w:val="00FC41B6"/>
    <w:rsid w:val="00FC4760"/>
    <w:rsid w:val="00FC4D5F"/>
    <w:rsid w:val="00FC53C5"/>
    <w:rsid w:val="00FC5623"/>
    <w:rsid w:val="00FC5DA2"/>
    <w:rsid w:val="00FC5EA9"/>
    <w:rsid w:val="00FC6252"/>
    <w:rsid w:val="00FC659F"/>
    <w:rsid w:val="00FC7833"/>
    <w:rsid w:val="00FC7FA4"/>
    <w:rsid w:val="00FD00A0"/>
    <w:rsid w:val="00FD02CE"/>
    <w:rsid w:val="00FD08FC"/>
    <w:rsid w:val="00FD0D33"/>
    <w:rsid w:val="00FD15B5"/>
    <w:rsid w:val="00FD1B72"/>
    <w:rsid w:val="00FD21A7"/>
    <w:rsid w:val="00FD23B5"/>
    <w:rsid w:val="00FD2898"/>
    <w:rsid w:val="00FD2A00"/>
    <w:rsid w:val="00FD3174"/>
    <w:rsid w:val="00FD343E"/>
    <w:rsid w:val="00FD43F4"/>
    <w:rsid w:val="00FD4BB4"/>
    <w:rsid w:val="00FD4F8C"/>
    <w:rsid w:val="00FD5463"/>
    <w:rsid w:val="00FD5907"/>
    <w:rsid w:val="00FD5E7D"/>
    <w:rsid w:val="00FD63D3"/>
    <w:rsid w:val="00FD6CBE"/>
    <w:rsid w:val="00FD6F53"/>
    <w:rsid w:val="00FD74A8"/>
    <w:rsid w:val="00FD79CF"/>
    <w:rsid w:val="00FD7F15"/>
    <w:rsid w:val="00FE0366"/>
    <w:rsid w:val="00FE0631"/>
    <w:rsid w:val="00FE0740"/>
    <w:rsid w:val="00FE0C98"/>
    <w:rsid w:val="00FE0FD7"/>
    <w:rsid w:val="00FE1A31"/>
    <w:rsid w:val="00FE21B1"/>
    <w:rsid w:val="00FE2349"/>
    <w:rsid w:val="00FE2791"/>
    <w:rsid w:val="00FE27DF"/>
    <w:rsid w:val="00FE2C9A"/>
    <w:rsid w:val="00FE2DD7"/>
    <w:rsid w:val="00FE348A"/>
    <w:rsid w:val="00FE361D"/>
    <w:rsid w:val="00FE3BBB"/>
    <w:rsid w:val="00FE3F51"/>
    <w:rsid w:val="00FE5ABF"/>
    <w:rsid w:val="00FE64BD"/>
    <w:rsid w:val="00FE6C62"/>
    <w:rsid w:val="00FE6F62"/>
    <w:rsid w:val="00FE73E4"/>
    <w:rsid w:val="00FE7C26"/>
    <w:rsid w:val="00FE7E2B"/>
    <w:rsid w:val="00FF0C1E"/>
    <w:rsid w:val="00FF0C9B"/>
    <w:rsid w:val="00FF1389"/>
    <w:rsid w:val="00FF1A7E"/>
    <w:rsid w:val="00FF1F88"/>
    <w:rsid w:val="00FF25B0"/>
    <w:rsid w:val="00FF2734"/>
    <w:rsid w:val="00FF2753"/>
    <w:rsid w:val="00FF29E9"/>
    <w:rsid w:val="00FF2BE3"/>
    <w:rsid w:val="00FF362A"/>
    <w:rsid w:val="00FF3D96"/>
    <w:rsid w:val="00FF3ECA"/>
    <w:rsid w:val="00FF4908"/>
    <w:rsid w:val="00FF4B15"/>
    <w:rsid w:val="00FF56EA"/>
    <w:rsid w:val="00FF5CB9"/>
    <w:rsid w:val="00FF6625"/>
    <w:rsid w:val="00FF67A7"/>
    <w:rsid w:val="00FF6A67"/>
    <w:rsid w:val="00FF6F5C"/>
    <w:rsid w:val="00FF6F7C"/>
    <w:rsid w:val="00FF7611"/>
    <w:rsid w:val="00FF76A2"/>
    <w:rsid w:val="00FF7FE6"/>
  </w:rsids>
  <m:mathPr>
    <m:mathFont m:val="Cambria Math"/>
    <m:brkBin m:val="before"/>
    <m:brkBinSub m:val="--"/>
    <m:smallFrac m:val="0"/>
    <m:dispDef/>
    <m:lMargin m:val="0"/>
    <m:rMargin m:val="0"/>
    <m:defJc m:val="centerGroup"/>
    <m:wrapIndent m:val="1440"/>
    <m:intLim m:val="subSup"/>
    <m:naryLim m:val="undOvr"/>
  </m:mathPr>
  <w:themeFontLang w:val="sq-A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373194"/>
  <w15:docId w15:val="{E9CD622B-EA18-4D22-B209-0F2C1E04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q-AL" w:eastAsia="sq-AL"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0" w:qFormat="1"/>
    <w:lsdException w:name="heading 3" w:uiPriority="1" w:qFormat="1"/>
    <w:lsdException w:name="heading 4" w:uiPriority="1" w:qFormat="1"/>
    <w:lsdException w:name="heading 5" w:uiPriority="9"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link w:val="Heading1Char"/>
    <w:uiPriority w:val="1"/>
    <w:qFormat/>
    <w:rsid w:val="00DF1828"/>
    <w:pPr>
      <w:widowControl w:val="0"/>
      <w:ind w:left="1380"/>
      <w:outlineLvl w:val="0"/>
    </w:pPr>
    <w:rPr>
      <w:rFonts w:ascii="Times New Roman" w:eastAsia="Times New Roman" w:hAnsi="Times New Roman"/>
      <w:b/>
      <w:bCs/>
    </w:rPr>
  </w:style>
  <w:style w:type="paragraph" w:styleId="Heading2">
    <w:name w:val="heading 2"/>
    <w:basedOn w:val="Normal"/>
    <w:link w:val="Heading2Char"/>
    <w:qFormat/>
    <w:rsid w:val="00DF1828"/>
    <w:pPr>
      <w:widowControl w:val="0"/>
      <w:ind w:left="1380"/>
      <w:outlineLvl w:val="1"/>
    </w:pPr>
    <w:rPr>
      <w:rFonts w:ascii="Times New Roman" w:eastAsia="Times New Roman" w:hAnsi="Times New Roman"/>
    </w:rPr>
  </w:style>
  <w:style w:type="paragraph" w:styleId="Heading3">
    <w:name w:val="heading 3"/>
    <w:basedOn w:val="Normal"/>
    <w:link w:val="Heading3Char"/>
    <w:uiPriority w:val="1"/>
    <w:qFormat/>
    <w:rsid w:val="00DF1828"/>
    <w:pPr>
      <w:widowControl w:val="0"/>
      <w:ind w:left="20"/>
      <w:outlineLvl w:val="2"/>
    </w:pPr>
    <w:rPr>
      <w:sz w:val="23"/>
      <w:szCs w:val="23"/>
    </w:rPr>
  </w:style>
  <w:style w:type="paragraph" w:styleId="Heading4">
    <w:name w:val="heading 4"/>
    <w:basedOn w:val="Normal"/>
    <w:link w:val="Heading4Char"/>
    <w:uiPriority w:val="1"/>
    <w:qFormat/>
    <w:rsid w:val="00DF1828"/>
    <w:pPr>
      <w:widowControl w:val="0"/>
      <w:ind w:left="1380"/>
      <w:outlineLvl w:val="3"/>
    </w:pPr>
    <w:rPr>
      <w:rFonts w:ascii="Arial Narrow" w:eastAsia="Arial Narrow" w:hAnsi="Arial Narrow"/>
      <w:b/>
      <w:bCs/>
      <w:sz w:val="22"/>
      <w:szCs w:val="22"/>
    </w:rPr>
  </w:style>
  <w:style w:type="paragraph" w:styleId="Heading5">
    <w:name w:val="heading 5"/>
    <w:basedOn w:val="Normal"/>
    <w:link w:val="Heading5Char"/>
    <w:uiPriority w:val="9"/>
    <w:qFormat/>
    <w:rsid w:val="00DF1828"/>
    <w:pPr>
      <w:widowControl w:val="0"/>
      <w:ind w:left="1379"/>
      <w:outlineLvl w:val="4"/>
    </w:pPr>
    <w:rPr>
      <w:rFonts w:ascii="Arial Narrow" w:eastAsia="Arial Narrow" w:hAnsi="Arial Narrow"/>
      <w:b/>
      <w:bCs/>
      <w:i/>
      <w:sz w:val="22"/>
      <w:szCs w:val="22"/>
    </w:rPr>
  </w:style>
  <w:style w:type="paragraph" w:styleId="Heading6">
    <w:name w:val="heading 6"/>
    <w:basedOn w:val="Normal"/>
    <w:next w:val="Normal"/>
    <w:link w:val="Heading6Char"/>
    <w:qFormat/>
    <w:rsid w:val="005D5609"/>
    <w:pPr>
      <w:numPr>
        <w:numId w:val="6"/>
      </w:numPr>
      <w:jc w:val="both"/>
      <w:outlineLvl w:val="5"/>
    </w:pPr>
    <w:rPr>
      <w:rFonts w:ascii="Times New Roman" w:eastAsia="Times New Roman" w:hAnsi="Times New Roman"/>
      <w:i/>
      <w:u w:val="single"/>
      <w:lang w:val="x-none" w:eastAsia="x-none"/>
    </w:rPr>
  </w:style>
  <w:style w:type="paragraph" w:styleId="Heading7">
    <w:name w:val="heading 7"/>
    <w:basedOn w:val="Normal"/>
    <w:next w:val="Normal"/>
    <w:link w:val="Heading7Char"/>
    <w:uiPriority w:val="99"/>
    <w:qFormat/>
    <w:rsid w:val="00DF1828"/>
    <w:pPr>
      <w:tabs>
        <w:tab w:val="num" w:pos="360"/>
      </w:tabs>
      <w:spacing w:before="240" w:after="60"/>
      <w:ind w:left="360" w:hanging="360"/>
      <w:jc w:val="both"/>
      <w:outlineLvl w:val="6"/>
    </w:pPr>
    <w:rPr>
      <w:rFonts w:ascii="Arial" w:eastAsia="Times New Roman" w:hAnsi="Arial"/>
      <w:sz w:val="20"/>
      <w:szCs w:val="20"/>
      <w:lang w:val="x-none" w:eastAsia="x-none"/>
    </w:rPr>
  </w:style>
  <w:style w:type="paragraph" w:styleId="Heading8">
    <w:name w:val="heading 8"/>
    <w:basedOn w:val="Normal"/>
    <w:next w:val="Normal"/>
    <w:link w:val="Heading8Char"/>
    <w:uiPriority w:val="99"/>
    <w:qFormat/>
    <w:rsid w:val="00DF1828"/>
    <w:pPr>
      <w:tabs>
        <w:tab w:val="num" w:pos="360"/>
      </w:tabs>
      <w:spacing w:before="240" w:after="60"/>
      <w:ind w:left="360" w:hanging="360"/>
      <w:jc w:val="both"/>
      <w:outlineLvl w:val="7"/>
    </w:pPr>
    <w:rPr>
      <w:rFonts w:ascii="Arial" w:eastAsia="Times New Roman" w:hAnsi="Arial"/>
      <w:i/>
      <w:sz w:val="20"/>
      <w:szCs w:val="20"/>
      <w:lang w:val="x-none" w:eastAsia="x-none"/>
    </w:rPr>
  </w:style>
  <w:style w:type="paragraph" w:styleId="Heading9">
    <w:name w:val="heading 9"/>
    <w:basedOn w:val="Normal"/>
    <w:next w:val="Normal"/>
    <w:link w:val="Heading9Char"/>
    <w:uiPriority w:val="99"/>
    <w:qFormat/>
    <w:rsid w:val="00DF1828"/>
    <w:pPr>
      <w:tabs>
        <w:tab w:val="num" w:pos="360"/>
      </w:tabs>
      <w:spacing w:before="240" w:after="60"/>
      <w:ind w:left="360" w:hanging="360"/>
      <w:jc w:val="both"/>
      <w:outlineLvl w:val="8"/>
    </w:pPr>
    <w:rPr>
      <w:rFonts w:ascii="Arial" w:eastAsia="Times New Roman" w:hAnsi="Arial"/>
      <w:i/>
      <w:sz w:val="1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F1828"/>
    <w:rPr>
      <w:rFonts w:ascii="Times New Roman" w:eastAsia="Times New Roman" w:hAnsi="Times New Roman"/>
      <w:b/>
      <w:bCs/>
      <w:lang w:val="en-GB"/>
    </w:rPr>
  </w:style>
  <w:style w:type="character" w:customStyle="1" w:styleId="Heading2Char">
    <w:name w:val="Heading 2 Char"/>
    <w:link w:val="Heading2"/>
    <w:rsid w:val="00DF1828"/>
    <w:rPr>
      <w:rFonts w:ascii="Times New Roman" w:eastAsia="Times New Roman" w:hAnsi="Times New Roman"/>
      <w:lang w:val="en-GB"/>
    </w:rPr>
  </w:style>
  <w:style w:type="character" w:customStyle="1" w:styleId="Heading3Char">
    <w:name w:val="Heading 3 Char"/>
    <w:link w:val="Heading3"/>
    <w:uiPriority w:val="1"/>
    <w:rsid w:val="00DF1828"/>
    <w:rPr>
      <w:rFonts w:ascii="Calibri" w:eastAsia="Calibri" w:hAnsi="Calibri"/>
      <w:sz w:val="23"/>
      <w:szCs w:val="23"/>
      <w:lang w:val="en-GB"/>
    </w:rPr>
  </w:style>
  <w:style w:type="character" w:customStyle="1" w:styleId="Heading4Char">
    <w:name w:val="Heading 4 Char"/>
    <w:link w:val="Heading4"/>
    <w:uiPriority w:val="1"/>
    <w:rsid w:val="00DF1828"/>
    <w:rPr>
      <w:rFonts w:ascii="Arial Narrow" w:eastAsia="Arial Narrow" w:hAnsi="Arial Narrow"/>
      <w:b/>
      <w:bCs/>
      <w:sz w:val="22"/>
      <w:szCs w:val="22"/>
      <w:lang w:val="en-GB"/>
    </w:rPr>
  </w:style>
  <w:style w:type="character" w:customStyle="1" w:styleId="Heading5Char">
    <w:name w:val="Heading 5 Char"/>
    <w:link w:val="Heading5"/>
    <w:uiPriority w:val="9"/>
    <w:rsid w:val="00DF1828"/>
    <w:rPr>
      <w:rFonts w:ascii="Arial Narrow" w:eastAsia="Arial Narrow" w:hAnsi="Arial Narrow"/>
      <w:b/>
      <w:bCs/>
      <w:i/>
      <w:sz w:val="22"/>
      <w:szCs w:val="22"/>
      <w:lang w:val="en-GB"/>
    </w:rPr>
  </w:style>
  <w:style w:type="character" w:customStyle="1" w:styleId="Heading6Char">
    <w:name w:val="Heading 6 Char"/>
    <w:link w:val="Heading6"/>
    <w:rsid w:val="005D5609"/>
    <w:rPr>
      <w:rFonts w:ascii="Times New Roman" w:eastAsia="Times New Roman" w:hAnsi="Times New Roman"/>
      <w:i/>
      <w:sz w:val="24"/>
      <w:szCs w:val="24"/>
      <w:u w:val="single"/>
      <w:lang w:val="x-none" w:eastAsia="x-none"/>
    </w:rPr>
  </w:style>
  <w:style w:type="character" w:customStyle="1" w:styleId="Heading7Char">
    <w:name w:val="Heading 7 Char"/>
    <w:link w:val="Heading7"/>
    <w:uiPriority w:val="99"/>
    <w:rsid w:val="00DF1828"/>
    <w:rPr>
      <w:rFonts w:ascii="Arial" w:eastAsia="Times New Roman" w:hAnsi="Arial" w:cs="Times New Roman"/>
      <w:sz w:val="20"/>
      <w:szCs w:val="20"/>
      <w:lang w:val="x-none" w:eastAsia="x-none"/>
    </w:rPr>
  </w:style>
  <w:style w:type="character" w:customStyle="1" w:styleId="Heading8Char">
    <w:name w:val="Heading 8 Char"/>
    <w:link w:val="Heading8"/>
    <w:uiPriority w:val="99"/>
    <w:rsid w:val="00DF1828"/>
    <w:rPr>
      <w:rFonts w:ascii="Arial" w:eastAsia="Times New Roman" w:hAnsi="Arial" w:cs="Times New Roman"/>
      <w:i/>
      <w:sz w:val="20"/>
      <w:szCs w:val="20"/>
      <w:lang w:val="x-none" w:eastAsia="x-none"/>
    </w:rPr>
  </w:style>
  <w:style w:type="character" w:customStyle="1" w:styleId="Heading9Char">
    <w:name w:val="Heading 9 Char"/>
    <w:link w:val="Heading9"/>
    <w:uiPriority w:val="99"/>
    <w:rsid w:val="00DF1828"/>
    <w:rPr>
      <w:rFonts w:ascii="Arial" w:eastAsia="Times New Roman" w:hAnsi="Arial" w:cs="Times New Roman"/>
      <w:i/>
      <w:sz w:val="18"/>
      <w:szCs w:val="20"/>
      <w:lang w:val="x-none" w:eastAsia="x-none"/>
    </w:rPr>
  </w:style>
  <w:style w:type="paragraph" w:styleId="BodyText">
    <w:name w:val="Body Text"/>
    <w:basedOn w:val="Normal"/>
    <w:link w:val="BodyTextChar"/>
    <w:uiPriority w:val="1"/>
    <w:qFormat/>
    <w:rsid w:val="00DF1828"/>
    <w:pPr>
      <w:widowControl w:val="0"/>
      <w:ind w:left="1380"/>
    </w:pPr>
    <w:rPr>
      <w:rFonts w:ascii="Arial Narrow" w:eastAsia="Arial Narrow" w:hAnsi="Arial Narrow"/>
      <w:sz w:val="22"/>
      <w:szCs w:val="22"/>
    </w:rPr>
  </w:style>
  <w:style w:type="character" w:customStyle="1" w:styleId="BodyTextChar">
    <w:name w:val="Body Text Char"/>
    <w:link w:val="BodyText"/>
    <w:uiPriority w:val="1"/>
    <w:rsid w:val="00DF1828"/>
    <w:rPr>
      <w:rFonts w:ascii="Arial Narrow" w:eastAsia="Arial Narrow" w:hAnsi="Arial Narrow"/>
      <w:sz w:val="22"/>
      <w:szCs w:val="22"/>
      <w:lang w:val="en-GB"/>
    </w:rPr>
  </w:style>
  <w:style w:type="paragraph" w:customStyle="1" w:styleId="ColorfulList-Accent11">
    <w:name w:val="Colorful List - Accent 11"/>
    <w:aliases w:val="List Paragraph (numbered (a)),Normal 1,List Paragraph 1,Akapit z listą BS,Bullets,List Paragraph1,Bullet1,NumberedParas,Dot pt,F5 List Paragraph,List Paragraph Char Char Char,Indicator Text,Numbered Para 1,Bullet 1"/>
    <w:basedOn w:val="Normal"/>
    <w:link w:val="ColorfulList-Accent1Char"/>
    <w:uiPriority w:val="34"/>
    <w:qFormat/>
    <w:rsid w:val="00DF1828"/>
    <w:pPr>
      <w:widowControl w:val="0"/>
    </w:pPr>
    <w:rPr>
      <w:sz w:val="22"/>
      <w:szCs w:val="22"/>
    </w:rPr>
  </w:style>
  <w:style w:type="character" w:customStyle="1" w:styleId="ColorfulList-Accent1Char">
    <w:name w:val="Colorful List - Accent 1 Char"/>
    <w:aliases w:val="List Paragraph (numbered (a)) Char,Normal 1 Char,List Paragraph 1 Char,Akapit z listą BS Char,Bullets Char,List Paragraph1 Char,Bullet1 Char,NumberedParas Char,Dot pt Char,F5 List Paragraph Char,Indicator Text Char"/>
    <w:link w:val="ColorfulList-Accent11"/>
    <w:uiPriority w:val="34"/>
    <w:qFormat/>
    <w:locked/>
    <w:rsid w:val="00DF1828"/>
    <w:rPr>
      <w:sz w:val="22"/>
      <w:szCs w:val="22"/>
      <w:lang w:val="en-GB"/>
    </w:rPr>
  </w:style>
  <w:style w:type="paragraph" w:customStyle="1" w:styleId="TableParagraph">
    <w:name w:val="Table Paragraph"/>
    <w:basedOn w:val="Normal"/>
    <w:uiPriority w:val="1"/>
    <w:qFormat/>
    <w:rsid w:val="00DF1828"/>
    <w:pPr>
      <w:widowControl w:val="0"/>
    </w:pPr>
    <w:rPr>
      <w:sz w:val="22"/>
      <w:szCs w:val="22"/>
    </w:rPr>
  </w:style>
  <w:style w:type="paragraph" w:styleId="Header">
    <w:name w:val="header"/>
    <w:basedOn w:val="Normal"/>
    <w:link w:val="HeaderChar"/>
    <w:uiPriority w:val="99"/>
    <w:unhideWhenUsed/>
    <w:rsid w:val="00DF1828"/>
    <w:pPr>
      <w:widowControl w:val="0"/>
      <w:tabs>
        <w:tab w:val="center" w:pos="4513"/>
        <w:tab w:val="right" w:pos="9026"/>
      </w:tabs>
    </w:pPr>
    <w:rPr>
      <w:sz w:val="22"/>
      <w:szCs w:val="22"/>
    </w:rPr>
  </w:style>
  <w:style w:type="character" w:customStyle="1" w:styleId="HeaderChar">
    <w:name w:val="Header Char"/>
    <w:link w:val="Header"/>
    <w:uiPriority w:val="99"/>
    <w:rsid w:val="00DF1828"/>
    <w:rPr>
      <w:sz w:val="22"/>
      <w:szCs w:val="22"/>
      <w:lang w:val="en-GB"/>
    </w:rPr>
  </w:style>
  <w:style w:type="paragraph" w:styleId="Footer">
    <w:name w:val="footer"/>
    <w:basedOn w:val="Normal"/>
    <w:link w:val="FooterChar"/>
    <w:uiPriority w:val="99"/>
    <w:unhideWhenUsed/>
    <w:rsid w:val="00DF1828"/>
    <w:pPr>
      <w:widowControl w:val="0"/>
      <w:tabs>
        <w:tab w:val="center" w:pos="4513"/>
        <w:tab w:val="right" w:pos="9026"/>
      </w:tabs>
    </w:pPr>
    <w:rPr>
      <w:sz w:val="22"/>
      <w:szCs w:val="22"/>
    </w:rPr>
  </w:style>
  <w:style w:type="character" w:customStyle="1" w:styleId="FooterChar">
    <w:name w:val="Footer Char"/>
    <w:link w:val="Footer"/>
    <w:uiPriority w:val="99"/>
    <w:rsid w:val="00DF1828"/>
    <w:rPr>
      <w:sz w:val="22"/>
      <w:szCs w:val="22"/>
      <w:lang w:val="en-GB"/>
    </w:rPr>
  </w:style>
  <w:style w:type="paragraph" w:styleId="BalloonText">
    <w:name w:val="Balloon Text"/>
    <w:basedOn w:val="Normal"/>
    <w:link w:val="BalloonTextChar"/>
    <w:uiPriority w:val="99"/>
    <w:semiHidden/>
    <w:unhideWhenUsed/>
    <w:rsid w:val="00DF1828"/>
    <w:pPr>
      <w:widowControl w:val="0"/>
    </w:pPr>
    <w:rPr>
      <w:rFonts w:ascii="Tahoma" w:hAnsi="Tahoma" w:cs="Tahoma"/>
      <w:sz w:val="16"/>
      <w:szCs w:val="16"/>
    </w:rPr>
  </w:style>
  <w:style w:type="character" w:customStyle="1" w:styleId="BalloonTextChar">
    <w:name w:val="Balloon Text Char"/>
    <w:link w:val="BalloonText"/>
    <w:uiPriority w:val="99"/>
    <w:semiHidden/>
    <w:rsid w:val="00DF1828"/>
    <w:rPr>
      <w:rFonts w:ascii="Tahoma" w:hAnsi="Tahoma" w:cs="Tahoma"/>
      <w:sz w:val="16"/>
      <w:szCs w:val="16"/>
      <w:lang w:val="en-GB"/>
    </w:rPr>
  </w:style>
  <w:style w:type="table" w:styleId="TableGrid">
    <w:name w:val="Table Grid"/>
    <w:basedOn w:val="TableNormal"/>
    <w:uiPriority w:val="59"/>
    <w:rsid w:val="00DF1828"/>
    <w:pPr>
      <w:widowControl w:val="0"/>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semiHidden/>
    <w:unhideWhenUsed/>
    <w:qFormat/>
    <w:rsid w:val="00DF1828"/>
    <w:pPr>
      <w:keepNext/>
      <w:keepLines/>
      <w:widowControl/>
      <w:spacing w:before="480" w:line="276" w:lineRule="auto"/>
      <w:ind w:left="0"/>
      <w:outlineLvl w:val="9"/>
    </w:pPr>
    <w:rPr>
      <w:rFonts w:ascii="Calibri Light" w:hAnsi="Calibri Light"/>
      <w:color w:val="2E74B5"/>
      <w:sz w:val="28"/>
      <w:szCs w:val="28"/>
      <w:lang w:eastAsia="ja-JP"/>
    </w:rPr>
  </w:style>
  <w:style w:type="paragraph" w:styleId="TOC1">
    <w:name w:val="toc 1"/>
    <w:basedOn w:val="Normal"/>
    <w:next w:val="Normal"/>
    <w:autoRedefine/>
    <w:uiPriority w:val="39"/>
    <w:unhideWhenUsed/>
    <w:qFormat/>
    <w:rsid w:val="00DF1828"/>
    <w:pPr>
      <w:widowControl w:val="0"/>
      <w:spacing w:after="100"/>
    </w:pPr>
    <w:rPr>
      <w:sz w:val="22"/>
      <w:szCs w:val="22"/>
    </w:rPr>
  </w:style>
  <w:style w:type="paragraph" w:styleId="TOC2">
    <w:name w:val="toc 2"/>
    <w:basedOn w:val="Normal"/>
    <w:next w:val="Normal"/>
    <w:autoRedefine/>
    <w:uiPriority w:val="39"/>
    <w:unhideWhenUsed/>
    <w:qFormat/>
    <w:rsid w:val="00DF1828"/>
    <w:pPr>
      <w:widowControl w:val="0"/>
      <w:spacing w:after="100"/>
      <w:ind w:left="220"/>
    </w:pPr>
    <w:rPr>
      <w:sz w:val="22"/>
      <w:szCs w:val="22"/>
    </w:rPr>
  </w:style>
  <w:style w:type="paragraph" w:styleId="TOC3">
    <w:name w:val="toc 3"/>
    <w:basedOn w:val="Normal"/>
    <w:next w:val="Normal"/>
    <w:autoRedefine/>
    <w:uiPriority w:val="39"/>
    <w:unhideWhenUsed/>
    <w:qFormat/>
    <w:rsid w:val="004D12D9"/>
    <w:pPr>
      <w:widowControl w:val="0"/>
      <w:tabs>
        <w:tab w:val="left" w:pos="1134"/>
        <w:tab w:val="right" w:leader="dot" w:pos="9632"/>
      </w:tabs>
      <w:spacing w:after="100"/>
      <w:ind w:left="567"/>
      <w:jc w:val="both"/>
    </w:pPr>
    <w:rPr>
      <w:sz w:val="22"/>
      <w:szCs w:val="22"/>
    </w:rPr>
  </w:style>
  <w:style w:type="character" w:styleId="Hyperlink">
    <w:name w:val="Hyperlink"/>
    <w:uiPriority w:val="99"/>
    <w:unhideWhenUsed/>
    <w:rsid w:val="00DF1828"/>
    <w:rPr>
      <w:color w:val="0563C1"/>
      <w:u w:val="single"/>
    </w:rPr>
  </w:style>
  <w:style w:type="paragraph" w:styleId="Caption">
    <w:name w:val="caption"/>
    <w:basedOn w:val="Normal"/>
    <w:next w:val="Normal"/>
    <w:uiPriority w:val="35"/>
    <w:qFormat/>
    <w:rsid w:val="00DF1828"/>
    <w:pPr>
      <w:widowControl w:val="0"/>
      <w:spacing w:after="200"/>
    </w:pPr>
    <w:rPr>
      <w:b/>
      <w:bCs/>
      <w:color w:val="5B9BD5"/>
      <w:sz w:val="18"/>
      <w:szCs w:val="18"/>
    </w:rPr>
  </w:style>
  <w:style w:type="paragraph" w:styleId="FootnoteText">
    <w:name w:val="footnote text"/>
    <w:aliases w:val="Footnote Text Char Char Char,Footnote Text Char Char,Fußnote,Testo nota a piè di pagina Carattere,Geneva 9,Font: Geneva 9,Boston 10,f,single space,FOOTNOTES,fn,ADB,pod carou,Char Char,Footnote Text1 Char Char,Char,Char Cha,Char Char Char,C"/>
    <w:basedOn w:val="Normal"/>
    <w:link w:val="FootnoteTextChar"/>
    <w:uiPriority w:val="99"/>
    <w:unhideWhenUsed/>
    <w:qFormat/>
    <w:rsid w:val="00DF1828"/>
    <w:pPr>
      <w:widowControl w:val="0"/>
    </w:pPr>
    <w:rPr>
      <w:sz w:val="20"/>
      <w:szCs w:val="20"/>
    </w:rPr>
  </w:style>
  <w:style w:type="character" w:customStyle="1" w:styleId="FootnoteTextChar">
    <w:name w:val="Footnote Text Char"/>
    <w:aliases w:val="Footnote Text Char Char Char Char,Footnote Text Char Char Char1,Fußnote Char,Testo nota a piè di pagina Carattere Char,Geneva 9 Char,Font: Geneva 9 Char,Boston 10 Char,f Char,single space Char,FOOTNOTES Char,fn Char,ADB Char,C Char"/>
    <w:link w:val="FootnoteText"/>
    <w:uiPriority w:val="99"/>
    <w:qFormat/>
    <w:rsid w:val="00DF1828"/>
    <w:rPr>
      <w:sz w:val="20"/>
      <w:szCs w:val="20"/>
      <w:lang w:val="en-GB"/>
    </w:rPr>
  </w:style>
  <w:style w:type="character" w:styleId="FootnoteReference">
    <w:name w:val="footnote reference"/>
    <w:aliases w:val="BVI fnr,16 Point,Superscript 6 Point,ftref,fr,Fußnotenzeichen DISS,Footnote,Footnote symbol,Char1 Char Char Char Char, Char1 Char Char Char Char,Odwołanie przypisu,nota pié di pagina,Footnote reference number,Times 10 Point,note TESI"/>
    <w:link w:val="BVIfnrCarCarCarCarChar"/>
    <w:uiPriority w:val="99"/>
    <w:unhideWhenUsed/>
    <w:qFormat/>
    <w:rsid w:val="00DF1828"/>
    <w:rPr>
      <w:vertAlign w:val="superscript"/>
    </w:rPr>
  </w:style>
  <w:style w:type="paragraph" w:customStyle="1" w:styleId="BVIfnrCarCarCarCarChar">
    <w:name w:val="BVI fnr Car Car Car Car Char"/>
    <w:basedOn w:val="Normal"/>
    <w:link w:val="FootnoteReference"/>
    <w:uiPriority w:val="99"/>
    <w:qFormat/>
    <w:rsid w:val="00763DBD"/>
    <w:pPr>
      <w:spacing w:after="160" w:line="240" w:lineRule="exact"/>
    </w:pPr>
    <w:rPr>
      <w:sz w:val="20"/>
      <w:szCs w:val="20"/>
      <w:vertAlign w:val="superscript"/>
      <w:lang w:val="sq-AL" w:eastAsia="sq-AL"/>
    </w:rPr>
  </w:style>
  <w:style w:type="paragraph" w:styleId="DocumentMap">
    <w:name w:val="Document Map"/>
    <w:basedOn w:val="Normal"/>
    <w:link w:val="DocumentMapChar"/>
    <w:uiPriority w:val="99"/>
    <w:semiHidden/>
    <w:unhideWhenUsed/>
    <w:rsid w:val="00DF1828"/>
    <w:pPr>
      <w:widowControl w:val="0"/>
    </w:pPr>
    <w:rPr>
      <w:rFonts w:ascii="Times New Roman" w:hAnsi="Times New Roman"/>
    </w:rPr>
  </w:style>
  <w:style w:type="character" w:customStyle="1" w:styleId="DocumentMapChar">
    <w:name w:val="Document Map Char"/>
    <w:link w:val="DocumentMap"/>
    <w:uiPriority w:val="99"/>
    <w:semiHidden/>
    <w:rsid w:val="00DF1828"/>
    <w:rPr>
      <w:rFonts w:ascii="Times New Roman" w:hAnsi="Times New Roman" w:cs="Times New Roman"/>
      <w:lang w:val="en-GB"/>
    </w:rPr>
  </w:style>
  <w:style w:type="character" w:styleId="PageNumber">
    <w:name w:val="page number"/>
    <w:uiPriority w:val="99"/>
    <w:semiHidden/>
    <w:unhideWhenUsed/>
    <w:rsid w:val="00DF1828"/>
  </w:style>
  <w:style w:type="character" w:customStyle="1" w:styleId="Notedebasdepage">
    <w:name w:val="Note de bas de page_"/>
    <w:link w:val="Notedebasdepage0"/>
    <w:uiPriority w:val="99"/>
    <w:rsid w:val="00DF1828"/>
    <w:rPr>
      <w:sz w:val="17"/>
      <w:szCs w:val="17"/>
      <w:shd w:val="clear" w:color="auto" w:fill="FFFFFF"/>
    </w:rPr>
  </w:style>
  <w:style w:type="paragraph" w:customStyle="1" w:styleId="Notedebasdepage0">
    <w:name w:val="Note de bas de page"/>
    <w:basedOn w:val="Normal"/>
    <w:link w:val="Notedebasdepage"/>
    <w:uiPriority w:val="99"/>
    <w:rsid w:val="00DF1828"/>
    <w:pPr>
      <w:widowControl w:val="0"/>
      <w:shd w:val="clear" w:color="auto" w:fill="FFFFFF"/>
      <w:spacing w:line="206" w:lineRule="exact"/>
      <w:ind w:hanging="180"/>
      <w:jc w:val="both"/>
    </w:pPr>
    <w:rPr>
      <w:sz w:val="17"/>
      <w:szCs w:val="17"/>
      <w:lang w:val="en-US"/>
    </w:rPr>
  </w:style>
  <w:style w:type="character" w:customStyle="1" w:styleId="Corpsdutexte2">
    <w:name w:val="Corps du texte (2)_"/>
    <w:link w:val="Corpsdutexte21"/>
    <w:uiPriority w:val="99"/>
    <w:rsid w:val="00DF1828"/>
    <w:rPr>
      <w:rFonts w:ascii="Arial" w:hAnsi="Arial" w:cs="Arial"/>
      <w:sz w:val="16"/>
      <w:szCs w:val="16"/>
      <w:shd w:val="clear" w:color="auto" w:fill="FFFFFF"/>
    </w:rPr>
  </w:style>
  <w:style w:type="paragraph" w:customStyle="1" w:styleId="Corpsdutexte21">
    <w:name w:val="Corps du texte (2)1"/>
    <w:basedOn w:val="Normal"/>
    <w:link w:val="Corpsdutexte2"/>
    <w:uiPriority w:val="99"/>
    <w:rsid w:val="00DF1828"/>
    <w:pPr>
      <w:widowControl w:val="0"/>
      <w:shd w:val="clear" w:color="auto" w:fill="FFFFFF"/>
      <w:spacing w:after="720" w:line="240" w:lineRule="atLeast"/>
      <w:jc w:val="right"/>
    </w:pPr>
    <w:rPr>
      <w:rFonts w:ascii="Arial" w:hAnsi="Arial" w:cs="Arial"/>
      <w:sz w:val="16"/>
      <w:szCs w:val="16"/>
      <w:lang w:val="en-US"/>
    </w:rPr>
  </w:style>
  <w:style w:type="character" w:customStyle="1" w:styleId="Corpsdutexte20">
    <w:name w:val="Corps du texte (2)"/>
    <w:uiPriority w:val="99"/>
    <w:rsid w:val="00DF1828"/>
    <w:rPr>
      <w:rFonts w:ascii="Arial" w:hAnsi="Arial" w:cs="Arial"/>
      <w:color w:val="000096"/>
      <w:sz w:val="16"/>
      <w:szCs w:val="16"/>
      <w:u w:val="none"/>
      <w:lang w:val="bg-BG" w:eastAsia="bg-BG"/>
    </w:rPr>
  </w:style>
  <w:style w:type="character" w:customStyle="1" w:styleId="Corpsdutexte24">
    <w:name w:val="Corps du texte (2)4"/>
    <w:uiPriority w:val="99"/>
    <w:rsid w:val="00DF1828"/>
    <w:rPr>
      <w:rFonts w:ascii="Arial" w:hAnsi="Arial" w:cs="Arial"/>
      <w:color w:val="4B4B4B"/>
      <w:sz w:val="16"/>
      <w:szCs w:val="16"/>
      <w:u w:val="none"/>
      <w:lang w:val="de-DE" w:eastAsia="de-DE"/>
    </w:rPr>
  </w:style>
  <w:style w:type="character" w:customStyle="1" w:styleId="Corpsdutexte3">
    <w:name w:val="Corps du texte (3)_"/>
    <w:link w:val="Corpsdutexte30"/>
    <w:uiPriority w:val="99"/>
    <w:rsid w:val="00DF1828"/>
    <w:rPr>
      <w:rFonts w:ascii="Arial" w:hAnsi="Arial" w:cs="Arial"/>
      <w:shd w:val="clear" w:color="auto" w:fill="FFFFFF"/>
      <w:lang w:val="fi-FI" w:eastAsia="fi-FI"/>
    </w:rPr>
  </w:style>
  <w:style w:type="paragraph" w:customStyle="1" w:styleId="Corpsdutexte30">
    <w:name w:val="Corps du texte (3)"/>
    <w:basedOn w:val="Normal"/>
    <w:link w:val="Corpsdutexte3"/>
    <w:uiPriority w:val="99"/>
    <w:rsid w:val="00DF1828"/>
    <w:pPr>
      <w:widowControl w:val="0"/>
      <w:shd w:val="clear" w:color="auto" w:fill="FFFFFF"/>
      <w:spacing w:before="720" w:after="60" w:line="240" w:lineRule="atLeast"/>
    </w:pPr>
    <w:rPr>
      <w:rFonts w:ascii="Arial" w:hAnsi="Arial" w:cs="Arial"/>
      <w:lang w:val="fi-FI" w:eastAsia="fi-FI"/>
    </w:rPr>
  </w:style>
  <w:style w:type="character" w:customStyle="1" w:styleId="Corpsdutexte4">
    <w:name w:val="Corps du texte (4)_"/>
    <w:link w:val="Corpsdutexte40"/>
    <w:uiPriority w:val="99"/>
    <w:rsid w:val="00DF1828"/>
    <w:rPr>
      <w:rFonts w:ascii="Arial" w:hAnsi="Arial" w:cs="Arial"/>
      <w:sz w:val="14"/>
      <w:szCs w:val="14"/>
      <w:shd w:val="clear" w:color="auto" w:fill="FFFFFF"/>
    </w:rPr>
  </w:style>
  <w:style w:type="paragraph" w:customStyle="1" w:styleId="Corpsdutexte40">
    <w:name w:val="Corps du texte (4)"/>
    <w:basedOn w:val="Normal"/>
    <w:link w:val="Corpsdutexte4"/>
    <w:uiPriority w:val="99"/>
    <w:rsid w:val="00DF1828"/>
    <w:pPr>
      <w:widowControl w:val="0"/>
      <w:shd w:val="clear" w:color="auto" w:fill="FFFFFF"/>
      <w:spacing w:before="60" w:after="5340" w:line="240" w:lineRule="atLeast"/>
    </w:pPr>
    <w:rPr>
      <w:rFonts w:ascii="Arial" w:hAnsi="Arial" w:cs="Arial"/>
      <w:sz w:val="14"/>
      <w:szCs w:val="14"/>
      <w:lang w:val="en-US"/>
    </w:rPr>
  </w:style>
  <w:style w:type="character" w:customStyle="1" w:styleId="Corpsdutexte5">
    <w:name w:val="Corps du texte (5)_"/>
    <w:link w:val="Corpsdutexte50"/>
    <w:uiPriority w:val="99"/>
    <w:rsid w:val="00DF1828"/>
    <w:rPr>
      <w:rFonts w:ascii="Times New Roman" w:hAnsi="Times New Roman" w:cs="Times New Roman"/>
      <w:b/>
      <w:bCs/>
      <w:sz w:val="31"/>
      <w:szCs w:val="31"/>
      <w:shd w:val="clear" w:color="auto" w:fill="FFFFFF"/>
      <w:lang w:val="de-DE" w:eastAsia="de-DE"/>
    </w:rPr>
  </w:style>
  <w:style w:type="paragraph" w:customStyle="1" w:styleId="Corpsdutexte50">
    <w:name w:val="Corps du texte (5)"/>
    <w:basedOn w:val="Normal"/>
    <w:link w:val="Corpsdutexte5"/>
    <w:uiPriority w:val="99"/>
    <w:rsid w:val="00DF1828"/>
    <w:pPr>
      <w:widowControl w:val="0"/>
      <w:shd w:val="clear" w:color="auto" w:fill="FFFFFF"/>
      <w:spacing w:before="5340" w:after="1800" w:line="370" w:lineRule="exact"/>
    </w:pPr>
    <w:rPr>
      <w:rFonts w:ascii="Times New Roman" w:hAnsi="Times New Roman"/>
      <w:b/>
      <w:bCs/>
      <w:sz w:val="31"/>
      <w:szCs w:val="31"/>
      <w:lang w:val="de-DE" w:eastAsia="de-DE"/>
    </w:rPr>
  </w:style>
  <w:style w:type="character" w:customStyle="1" w:styleId="Corpsdutexte6">
    <w:name w:val="Corps du texte (6)_"/>
    <w:link w:val="Corpsdutexte60"/>
    <w:uiPriority w:val="99"/>
    <w:rsid w:val="00DF1828"/>
    <w:rPr>
      <w:sz w:val="31"/>
      <w:szCs w:val="31"/>
      <w:shd w:val="clear" w:color="auto" w:fill="FFFFFF"/>
    </w:rPr>
  </w:style>
  <w:style w:type="paragraph" w:customStyle="1" w:styleId="Corpsdutexte60">
    <w:name w:val="Corps du texte (6)"/>
    <w:basedOn w:val="Normal"/>
    <w:link w:val="Corpsdutexte6"/>
    <w:uiPriority w:val="99"/>
    <w:rsid w:val="00DF1828"/>
    <w:pPr>
      <w:widowControl w:val="0"/>
      <w:shd w:val="clear" w:color="auto" w:fill="FFFFFF"/>
      <w:spacing w:before="1800" w:line="240" w:lineRule="atLeast"/>
    </w:pPr>
    <w:rPr>
      <w:sz w:val="31"/>
      <w:szCs w:val="31"/>
      <w:lang w:val="en-US"/>
    </w:rPr>
  </w:style>
  <w:style w:type="character" w:customStyle="1" w:styleId="Corpsdutexte">
    <w:name w:val="Corps du texte_"/>
    <w:link w:val="Corpsdutexte1"/>
    <w:uiPriority w:val="99"/>
    <w:rsid w:val="00DF1828"/>
    <w:rPr>
      <w:sz w:val="23"/>
      <w:szCs w:val="23"/>
      <w:shd w:val="clear" w:color="auto" w:fill="FFFFFF"/>
    </w:rPr>
  </w:style>
  <w:style w:type="paragraph" w:customStyle="1" w:styleId="Corpsdutexte1">
    <w:name w:val="Corps du texte1"/>
    <w:basedOn w:val="Normal"/>
    <w:link w:val="Corpsdutexte"/>
    <w:uiPriority w:val="99"/>
    <w:rsid w:val="00DF1828"/>
    <w:pPr>
      <w:widowControl w:val="0"/>
      <w:shd w:val="clear" w:color="auto" w:fill="FFFFFF"/>
      <w:spacing w:after="300" w:line="240" w:lineRule="atLeast"/>
      <w:jc w:val="both"/>
    </w:pPr>
    <w:rPr>
      <w:sz w:val="23"/>
      <w:szCs w:val="23"/>
      <w:lang w:val="en-US"/>
    </w:rPr>
  </w:style>
  <w:style w:type="character" w:customStyle="1" w:styleId="Corpsdutexte0">
    <w:name w:val="Corps du texte"/>
    <w:rsid w:val="00DF1828"/>
    <w:rPr>
      <w:sz w:val="23"/>
      <w:szCs w:val="23"/>
      <w:u w:val="single"/>
    </w:rPr>
  </w:style>
  <w:style w:type="character" w:customStyle="1" w:styleId="En-tteoupieddepage">
    <w:name w:val="En-tête ou pied de page_"/>
    <w:link w:val="En-tteoupieddepage0"/>
    <w:uiPriority w:val="99"/>
    <w:rsid w:val="00DF1828"/>
    <w:rPr>
      <w:rFonts w:ascii="Times New Roman" w:hAnsi="Times New Roman" w:cs="Times New Roman"/>
      <w:noProof/>
      <w:sz w:val="20"/>
      <w:szCs w:val="20"/>
      <w:shd w:val="clear" w:color="auto" w:fill="FFFFFF"/>
    </w:rPr>
  </w:style>
  <w:style w:type="paragraph" w:customStyle="1" w:styleId="En-tteoupieddepage0">
    <w:name w:val="En-tête ou pied de page"/>
    <w:basedOn w:val="Normal"/>
    <w:link w:val="En-tteoupieddepage"/>
    <w:uiPriority w:val="99"/>
    <w:rsid w:val="00DF1828"/>
    <w:pPr>
      <w:widowControl w:val="0"/>
      <w:shd w:val="clear" w:color="auto" w:fill="FFFFFF"/>
    </w:pPr>
    <w:rPr>
      <w:rFonts w:ascii="Times New Roman" w:hAnsi="Times New Roman"/>
      <w:noProof/>
      <w:sz w:val="20"/>
      <w:szCs w:val="20"/>
      <w:lang w:val="en-US"/>
    </w:rPr>
  </w:style>
  <w:style w:type="character" w:customStyle="1" w:styleId="En-tteoupieddepage11pt">
    <w:name w:val="En-tête ou pied de page + 11 pt"/>
    <w:uiPriority w:val="99"/>
    <w:rsid w:val="00DF1828"/>
    <w:rPr>
      <w:rFonts w:ascii="Times New Roman" w:hAnsi="Times New Roman" w:cs="Times New Roman"/>
      <w:noProof/>
      <w:sz w:val="22"/>
      <w:szCs w:val="22"/>
      <w:u w:val="none"/>
    </w:rPr>
  </w:style>
  <w:style w:type="character" w:customStyle="1" w:styleId="CorpsdutexteItalique">
    <w:name w:val="Corps du texte + Italique"/>
    <w:uiPriority w:val="99"/>
    <w:rsid w:val="00DF1828"/>
    <w:rPr>
      <w:i/>
      <w:iCs/>
      <w:sz w:val="23"/>
      <w:szCs w:val="23"/>
      <w:u w:val="none"/>
    </w:rPr>
  </w:style>
  <w:style w:type="character" w:customStyle="1" w:styleId="Corpsdutexte31">
    <w:name w:val="Corps du texte3"/>
    <w:uiPriority w:val="99"/>
    <w:rsid w:val="00DF1828"/>
    <w:rPr>
      <w:sz w:val="23"/>
      <w:szCs w:val="23"/>
      <w:u w:val="none"/>
    </w:rPr>
  </w:style>
  <w:style w:type="character" w:customStyle="1" w:styleId="CorpsdutexteGras">
    <w:name w:val="Corps du texte + Gras"/>
    <w:uiPriority w:val="99"/>
    <w:rsid w:val="00DF1828"/>
    <w:rPr>
      <w:rFonts w:ascii="Times New Roman" w:hAnsi="Times New Roman" w:cs="Times New Roman"/>
      <w:b/>
      <w:bCs/>
      <w:noProof/>
      <w:sz w:val="23"/>
      <w:szCs w:val="23"/>
      <w:u w:val="none"/>
    </w:rPr>
  </w:style>
  <w:style w:type="character" w:customStyle="1" w:styleId="CorpsdutexteGras4">
    <w:name w:val="Corps du texte + Gras4"/>
    <w:uiPriority w:val="99"/>
    <w:rsid w:val="00DF1828"/>
    <w:rPr>
      <w:b/>
      <w:bCs/>
      <w:sz w:val="23"/>
      <w:szCs w:val="23"/>
      <w:u w:val="single"/>
    </w:rPr>
  </w:style>
  <w:style w:type="character" w:customStyle="1" w:styleId="Corpsdutexte10pt">
    <w:name w:val="Corps du texte + 10 pt"/>
    <w:uiPriority w:val="99"/>
    <w:rsid w:val="00DF1828"/>
    <w:rPr>
      <w:color w:val="0000FF"/>
      <w:sz w:val="20"/>
      <w:szCs w:val="20"/>
      <w:u w:val="single"/>
    </w:rPr>
  </w:style>
  <w:style w:type="character" w:customStyle="1" w:styleId="Corpsdutexte7">
    <w:name w:val="Corps du texte (7)_"/>
    <w:link w:val="Corpsdutexte71"/>
    <w:uiPriority w:val="99"/>
    <w:rsid w:val="00DF1828"/>
    <w:rPr>
      <w:b/>
      <w:bCs/>
      <w:sz w:val="23"/>
      <w:szCs w:val="23"/>
      <w:shd w:val="clear" w:color="auto" w:fill="FFFFFF"/>
    </w:rPr>
  </w:style>
  <w:style w:type="paragraph" w:customStyle="1" w:styleId="Corpsdutexte71">
    <w:name w:val="Corps du texte (7)1"/>
    <w:basedOn w:val="Normal"/>
    <w:link w:val="Corpsdutexte7"/>
    <w:uiPriority w:val="99"/>
    <w:rsid w:val="00DF1828"/>
    <w:pPr>
      <w:widowControl w:val="0"/>
      <w:shd w:val="clear" w:color="auto" w:fill="FFFFFF"/>
      <w:spacing w:after="540" w:line="240" w:lineRule="atLeast"/>
      <w:jc w:val="center"/>
    </w:pPr>
    <w:rPr>
      <w:b/>
      <w:bCs/>
      <w:sz w:val="23"/>
      <w:szCs w:val="23"/>
      <w:lang w:val="en-US"/>
    </w:rPr>
  </w:style>
  <w:style w:type="character" w:customStyle="1" w:styleId="Corpsdutexte70">
    <w:name w:val="Corps du texte (7)"/>
    <w:uiPriority w:val="99"/>
    <w:rsid w:val="00DF1828"/>
    <w:rPr>
      <w:rFonts w:ascii="Times New Roman" w:hAnsi="Times New Roman" w:cs="Times New Roman"/>
      <w:b/>
      <w:bCs/>
      <w:sz w:val="23"/>
      <w:szCs w:val="23"/>
      <w:u w:val="single"/>
      <w:lang w:val="de-DE" w:eastAsia="de-DE"/>
    </w:rPr>
  </w:style>
  <w:style w:type="character" w:customStyle="1" w:styleId="Corpsdutexte710pt">
    <w:name w:val="Corps du texte (7) + 10 pt"/>
    <w:aliases w:val="Non Gras"/>
    <w:uiPriority w:val="99"/>
    <w:rsid w:val="00DF1828"/>
    <w:rPr>
      <w:b/>
      <w:bCs/>
      <w:sz w:val="20"/>
      <w:szCs w:val="20"/>
      <w:u w:val="none"/>
    </w:rPr>
  </w:style>
  <w:style w:type="character" w:customStyle="1" w:styleId="Corpsdutexte8">
    <w:name w:val="Corps du texte (8)_"/>
    <w:link w:val="Corpsdutexte80"/>
    <w:uiPriority w:val="99"/>
    <w:rsid w:val="00DF1828"/>
    <w:rPr>
      <w:i/>
      <w:iCs/>
      <w:sz w:val="21"/>
      <w:szCs w:val="21"/>
      <w:shd w:val="clear" w:color="auto" w:fill="FFFFFF"/>
    </w:rPr>
  </w:style>
  <w:style w:type="paragraph" w:customStyle="1" w:styleId="Corpsdutexte80">
    <w:name w:val="Corps du texte (8)"/>
    <w:basedOn w:val="Normal"/>
    <w:link w:val="Corpsdutexte8"/>
    <w:uiPriority w:val="99"/>
    <w:rsid w:val="00DF1828"/>
    <w:pPr>
      <w:widowControl w:val="0"/>
      <w:shd w:val="clear" w:color="auto" w:fill="FFFFFF"/>
      <w:spacing w:before="180" w:after="180" w:line="240" w:lineRule="atLeast"/>
      <w:ind w:hanging="340"/>
      <w:jc w:val="both"/>
    </w:pPr>
    <w:rPr>
      <w:i/>
      <w:iCs/>
      <w:sz w:val="21"/>
      <w:szCs w:val="21"/>
      <w:lang w:val="en-US"/>
    </w:rPr>
  </w:style>
  <w:style w:type="character" w:customStyle="1" w:styleId="Corpsdutexte8NonItalique">
    <w:name w:val="Corps du texte (8) + Non Italique"/>
    <w:uiPriority w:val="99"/>
    <w:rsid w:val="00DF1828"/>
    <w:rPr>
      <w:i/>
      <w:iCs/>
      <w:sz w:val="21"/>
      <w:szCs w:val="21"/>
      <w:u w:val="none"/>
    </w:rPr>
  </w:style>
  <w:style w:type="character" w:customStyle="1" w:styleId="Corpsdutexte710pt5">
    <w:name w:val="Corps du texte (7) + 10 pt5"/>
    <w:aliases w:val="Italique,Espacement 1 pt"/>
    <w:uiPriority w:val="99"/>
    <w:rsid w:val="00DF1828"/>
    <w:rPr>
      <w:rFonts w:ascii="Times New Roman" w:hAnsi="Times New Roman" w:cs="Times New Roman"/>
      <w:b/>
      <w:bCs/>
      <w:i/>
      <w:iCs/>
      <w:spacing w:val="20"/>
      <w:sz w:val="20"/>
      <w:szCs w:val="20"/>
      <w:u w:val="none"/>
      <w:lang w:val="sl-SI" w:eastAsia="sl-SI"/>
    </w:rPr>
  </w:style>
  <w:style w:type="character" w:customStyle="1" w:styleId="Corpsdutexte9">
    <w:name w:val="Corps du texte (9)_"/>
    <w:link w:val="Corpsdutexte90"/>
    <w:uiPriority w:val="99"/>
    <w:rsid w:val="00DF1828"/>
    <w:rPr>
      <w:b/>
      <w:bCs/>
      <w:i/>
      <w:iCs/>
      <w:sz w:val="21"/>
      <w:szCs w:val="21"/>
      <w:shd w:val="clear" w:color="auto" w:fill="FFFFFF"/>
    </w:rPr>
  </w:style>
  <w:style w:type="paragraph" w:customStyle="1" w:styleId="Corpsdutexte90">
    <w:name w:val="Corps du texte (9)"/>
    <w:basedOn w:val="Normal"/>
    <w:link w:val="Corpsdutexte9"/>
    <w:uiPriority w:val="99"/>
    <w:rsid w:val="00DF1828"/>
    <w:pPr>
      <w:widowControl w:val="0"/>
      <w:shd w:val="clear" w:color="auto" w:fill="FFFFFF"/>
      <w:spacing w:before="300" w:after="300" w:line="240" w:lineRule="atLeast"/>
      <w:jc w:val="both"/>
    </w:pPr>
    <w:rPr>
      <w:b/>
      <w:bCs/>
      <w:i/>
      <w:iCs/>
      <w:sz w:val="21"/>
      <w:szCs w:val="21"/>
      <w:lang w:val="en-US"/>
    </w:rPr>
  </w:style>
  <w:style w:type="character" w:customStyle="1" w:styleId="Corpsdutexte710pt4">
    <w:name w:val="Corps du texte (7) + 10 pt4"/>
    <w:aliases w:val="Non Gras2"/>
    <w:uiPriority w:val="99"/>
    <w:rsid w:val="00DF1828"/>
    <w:rPr>
      <w:b/>
      <w:bCs/>
      <w:sz w:val="20"/>
      <w:szCs w:val="20"/>
      <w:u w:val="none"/>
    </w:rPr>
  </w:style>
  <w:style w:type="character" w:customStyle="1" w:styleId="Corpsdutexte8NonItalique3">
    <w:name w:val="Corps du texte (8) + Non Italique3"/>
    <w:uiPriority w:val="99"/>
    <w:rsid w:val="00DF1828"/>
    <w:rPr>
      <w:i/>
      <w:iCs/>
      <w:sz w:val="21"/>
      <w:szCs w:val="21"/>
      <w:u w:val="none"/>
    </w:rPr>
  </w:style>
  <w:style w:type="character" w:customStyle="1" w:styleId="Corpsdutexte710pt3">
    <w:name w:val="Corps du texte (7) + 10 pt3"/>
    <w:aliases w:val="Italique2,Espacement 1 pt2"/>
    <w:uiPriority w:val="99"/>
    <w:rsid w:val="00DF1828"/>
    <w:rPr>
      <w:rFonts w:ascii="Times New Roman" w:hAnsi="Times New Roman" w:cs="Times New Roman"/>
      <w:b/>
      <w:bCs/>
      <w:i/>
      <w:iCs/>
      <w:spacing w:val="20"/>
      <w:sz w:val="20"/>
      <w:szCs w:val="20"/>
      <w:u w:val="none"/>
      <w:lang w:val="sl-SI" w:eastAsia="sl-SI"/>
    </w:rPr>
  </w:style>
  <w:style w:type="character" w:customStyle="1" w:styleId="Corpsdutexte8NonItalique2">
    <w:name w:val="Corps du texte (8) + Non Italique2"/>
    <w:uiPriority w:val="99"/>
    <w:rsid w:val="00DF1828"/>
    <w:rPr>
      <w:i/>
      <w:iCs/>
      <w:sz w:val="21"/>
      <w:szCs w:val="21"/>
      <w:u w:val="none"/>
    </w:rPr>
  </w:style>
  <w:style w:type="character" w:customStyle="1" w:styleId="Corpsdutexte710pt2">
    <w:name w:val="Corps du texte (7) + 10 pt2"/>
    <w:aliases w:val="Italique1,Espacement 1 pt1"/>
    <w:uiPriority w:val="99"/>
    <w:rsid w:val="00DF1828"/>
    <w:rPr>
      <w:rFonts w:ascii="Times New Roman" w:hAnsi="Times New Roman" w:cs="Times New Roman"/>
      <w:b/>
      <w:bCs/>
      <w:i/>
      <w:iCs/>
      <w:spacing w:val="20"/>
      <w:sz w:val="20"/>
      <w:szCs w:val="20"/>
      <w:u w:val="none"/>
      <w:lang w:val="sl-SI" w:eastAsia="sl-SI"/>
    </w:rPr>
  </w:style>
  <w:style w:type="character" w:customStyle="1" w:styleId="Corpsdutexte710pt1">
    <w:name w:val="Corps du texte (7) + 10 pt1"/>
    <w:aliases w:val="Non Gras1"/>
    <w:uiPriority w:val="99"/>
    <w:rsid w:val="00DF1828"/>
    <w:rPr>
      <w:b/>
      <w:bCs/>
      <w:sz w:val="20"/>
      <w:szCs w:val="20"/>
      <w:u w:val="none"/>
    </w:rPr>
  </w:style>
  <w:style w:type="character" w:customStyle="1" w:styleId="Corpsdutexte8NonItalique1">
    <w:name w:val="Corps du texte (8) + Non Italique1"/>
    <w:uiPriority w:val="99"/>
    <w:rsid w:val="00DF1828"/>
    <w:rPr>
      <w:i/>
      <w:iCs/>
      <w:sz w:val="21"/>
      <w:szCs w:val="21"/>
      <w:u w:val="none"/>
    </w:rPr>
  </w:style>
  <w:style w:type="character" w:customStyle="1" w:styleId="En-tte1">
    <w:name w:val="En-tête #1_"/>
    <w:link w:val="En-tte11"/>
    <w:uiPriority w:val="99"/>
    <w:rsid w:val="00DF1828"/>
    <w:rPr>
      <w:b/>
      <w:bCs/>
      <w:sz w:val="23"/>
      <w:szCs w:val="23"/>
      <w:shd w:val="clear" w:color="auto" w:fill="FFFFFF"/>
    </w:rPr>
  </w:style>
  <w:style w:type="paragraph" w:customStyle="1" w:styleId="En-tte11">
    <w:name w:val="En-tête #11"/>
    <w:basedOn w:val="Normal"/>
    <w:link w:val="En-tte1"/>
    <w:uiPriority w:val="99"/>
    <w:rsid w:val="00DF1828"/>
    <w:pPr>
      <w:widowControl w:val="0"/>
      <w:shd w:val="clear" w:color="auto" w:fill="FFFFFF"/>
      <w:spacing w:after="600" w:line="240" w:lineRule="atLeast"/>
      <w:ind w:hanging="360"/>
      <w:jc w:val="center"/>
      <w:outlineLvl w:val="0"/>
    </w:pPr>
    <w:rPr>
      <w:b/>
      <w:bCs/>
      <w:sz w:val="23"/>
      <w:szCs w:val="23"/>
      <w:lang w:val="en-US"/>
    </w:rPr>
  </w:style>
  <w:style w:type="character" w:customStyle="1" w:styleId="En-tte10">
    <w:name w:val="En-tête #1"/>
    <w:uiPriority w:val="99"/>
    <w:rsid w:val="00DF1828"/>
    <w:rPr>
      <w:b/>
      <w:bCs/>
      <w:sz w:val="23"/>
      <w:szCs w:val="23"/>
      <w:u w:val="single"/>
    </w:rPr>
  </w:style>
  <w:style w:type="character" w:customStyle="1" w:styleId="Corpsdutexte12">
    <w:name w:val="Corps du texte (12)_"/>
    <w:link w:val="Corpsdutexte120"/>
    <w:uiPriority w:val="99"/>
    <w:rsid w:val="00DF1828"/>
    <w:rPr>
      <w:i/>
      <w:iCs/>
      <w:sz w:val="23"/>
      <w:szCs w:val="23"/>
      <w:shd w:val="clear" w:color="auto" w:fill="FFFFFF"/>
    </w:rPr>
  </w:style>
  <w:style w:type="paragraph" w:customStyle="1" w:styleId="Corpsdutexte120">
    <w:name w:val="Corps du texte (12)"/>
    <w:basedOn w:val="Normal"/>
    <w:link w:val="Corpsdutexte12"/>
    <w:uiPriority w:val="99"/>
    <w:rsid w:val="00DF1828"/>
    <w:pPr>
      <w:widowControl w:val="0"/>
      <w:shd w:val="clear" w:color="auto" w:fill="FFFFFF"/>
      <w:spacing w:before="300" w:after="180" w:line="274" w:lineRule="exact"/>
      <w:ind w:hanging="360"/>
    </w:pPr>
    <w:rPr>
      <w:i/>
      <w:iCs/>
      <w:sz w:val="23"/>
      <w:szCs w:val="23"/>
      <w:lang w:val="en-US"/>
    </w:rPr>
  </w:style>
  <w:style w:type="character" w:customStyle="1" w:styleId="Corpsdutexte10">
    <w:name w:val="Corps du texte (10)_"/>
    <w:link w:val="Corpsdutexte101"/>
    <w:uiPriority w:val="99"/>
    <w:rsid w:val="00DF1828"/>
    <w:rPr>
      <w:rFonts w:ascii="Arial" w:hAnsi="Arial" w:cs="Arial"/>
      <w:b/>
      <w:bCs/>
      <w:sz w:val="17"/>
      <w:szCs w:val="17"/>
      <w:shd w:val="clear" w:color="auto" w:fill="FFFFFF"/>
    </w:rPr>
  </w:style>
  <w:style w:type="paragraph" w:customStyle="1" w:styleId="Corpsdutexte101">
    <w:name w:val="Corps du texte (10)1"/>
    <w:basedOn w:val="Normal"/>
    <w:link w:val="Corpsdutexte10"/>
    <w:uiPriority w:val="99"/>
    <w:rsid w:val="00DF1828"/>
    <w:pPr>
      <w:widowControl w:val="0"/>
      <w:shd w:val="clear" w:color="auto" w:fill="FFFFFF"/>
      <w:spacing w:line="240" w:lineRule="atLeast"/>
    </w:pPr>
    <w:rPr>
      <w:rFonts w:ascii="Arial" w:hAnsi="Arial" w:cs="Arial"/>
      <w:b/>
      <w:bCs/>
      <w:sz w:val="17"/>
      <w:szCs w:val="17"/>
      <w:lang w:val="en-US"/>
    </w:rPr>
  </w:style>
  <w:style w:type="character" w:customStyle="1" w:styleId="Corpsdutexte100">
    <w:name w:val="Corps du texte (10)"/>
    <w:uiPriority w:val="99"/>
    <w:rsid w:val="00DF1828"/>
    <w:rPr>
      <w:rFonts w:ascii="Arial" w:hAnsi="Arial" w:cs="Arial"/>
      <w:b/>
      <w:bCs/>
      <w:color w:val="FF0000"/>
      <w:sz w:val="17"/>
      <w:szCs w:val="17"/>
      <w:u w:val="none"/>
    </w:rPr>
  </w:style>
  <w:style w:type="character" w:customStyle="1" w:styleId="Corpsdutexte23">
    <w:name w:val="Corps du texte (2)3"/>
    <w:uiPriority w:val="99"/>
    <w:rsid w:val="00DF1828"/>
    <w:rPr>
      <w:rFonts w:ascii="Arial" w:hAnsi="Arial" w:cs="Arial"/>
      <w:color w:val="FF0000"/>
      <w:sz w:val="16"/>
      <w:szCs w:val="16"/>
      <w:u w:val="none"/>
    </w:rPr>
  </w:style>
  <w:style w:type="character" w:customStyle="1" w:styleId="Corpsdutexte22">
    <w:name w:val="Corps du texte (2)2"/>
    <w:uiPriority w:val="99"/>
    <w:rsid w:val="00DF1828"/>
    <w:rPr>
      <w:rFonts w:ascii="Arial" w:hAnsi="Arial" w:cs="Arial"/>
      <w:color w:val="FF0000"/>
      <w:sz w:val="16"/>
      <w:szCs w:val="16"/>
      <w:u w:val="none"/>
    </w:rPr>
  </w:style>
  <w:style w:type="character" w:customStyle="1" w:styleId="Corpsdutexte2Exact">
    <w:name w:val="Corps du texte (2) Exact"/>
    <w:uiPriority w:val="99"/>
    <w:rsid w:val="00DF1828"/>
    <w:rPr>
      <w:rFonts w:ascii="Arial" w:hAnsi="Arial" w:cs="Arial"/>
      <w:spacing w:val="5"/>
      <w:sz w:val="15"/>
      <w:szCs w:val="15"/>
      <w:u w:val="none"/>
    </w:rPr>
  </w:style>
  <w:style w:type="character" w:customStyle="1" w:styleId="Corpsdutexte13">
    <w:name w:val="Corps du texte (13)_"/>
    <w:link w:val="Corpsdutexte130"/>
    <w:uiPriority w:val="99"/>
    <w:rsid w:val="00DF1828"/>
    <w:rPr>
      <w:rFonts w:ascii="Times New Roman" w:hAnsi="Times New Roman" w:cs="Times New Roman"/>
      <w:sz w:val="17"/>
      <w:szCs w:val="17"/>
      <w:shd w:val="clear" w:color="auto" w:fill="FFFFFF"/>
      <w:lang w:val="sk-SK" w:eastAsia="sk-SK"/>
    </w:rPr>
  </w:style>
  <w:style w:type="paragraph" w:customStyle="1" w:styleId="Corpsdutexte130">
    <w:name w:val="Corps du texte (13)"/>
    <w:basedOn w:val="Normal"/>
    <w:link w:val="Corpsdutexte13"/>
    <w:uiPriority w:val="99"/>
    <w:rsid w:val="00DF1828"/>
    <w:pPr>
      <w:widowControl w:val="0"/>
      <w:shd w:val="clear" w:color="auto" w:fill="FFFFFF"/>
      <w:spacing w:line="240" w:lineRule="atLeast"/>
      <w:jc w:val="right"/>
    </w:pPr>
    <w:rPr>
      <w:rFonts w:ascii="Times New Roman" w:hAnsi="Times New Roman"/>
      <w:sz w:val="17"/>
      <w:szCs w:val="17"/>
      <w:lang w:val="sk-SK" w:eastAsia="sk-SK"/>
    </w:rPr>
  </w:style>
  <w:style w:type="character" w:customStyle="1" w:styleId="CorpsdutexteGras3">
    <w:name w:val="Corps du texte + Gras3"/>
    <w:uiPriority w:val="99"/>
    <w:rsid w:val="00DF1828"/>
    <w:rPr>
      <w:rFonts w:ascii="Times New Roman" w:hAnsi="Times New Roman" w:cs="Times New Roman"/>
      <w:b/>
      <w:bCs/>
      <w:sz w:val="23"/>
      <w:szCs w:val="23"/>
      <w:u w:val="none"/>
      <w:lang w:val="sl-SI" w:eastAsia="sl-SI"/>
    </w:rPr>
  </w:style>
  <w:style w:type="character" w:customStyle="1" w:styleId="CorpsdutexteGras2">
    <w:name w:val="Corps du texte + Gras2"/>
    <w:uiPriority w:val="99"/>
    <w:rsid w:val="00DF1828"/>
    <w:rPr>
      <w:rFonts w:ascii="Times New Roman" w:hAnsi="Times New Roman" w:cs="Times New Roman"/>
      <w:b/>
      <w:bCs/>
      <w:sz w:val="23"/>
      <w:szCs w:val="23"/>
      <w:u w:val="none"/>
      <w:lang w:val="sl-SI" w:eastAsia="sl-SI"/>
    </w:rPr>
  </w:style>
  <w:style w:type="character" w:customStyle="1" w:styleId="Corpsdutexte25">
    <w:name w:val="Corps du texte2"/>
    <w:uiPriority w:val="99"/>
    <w:rsid w:val="00DF1828"/>
    <w:rPr>
      <w:sz w:val="23"/>
      <w:szCs w:val="23"/>
      <w:u w:val="none"/>
    </w:rPr>
  </w:style>
  <w:style w:type="character" w:customStyle="1" w:styleId="CorpsdutexteItalique2">
    <w:name w:val="Corps du texte + Italique2"/>
    <w:uiPriority w:val="99"/>
    <w:rsid w:val="00DF1828"/>
    <w:rPr>
      <w:i/>
      <w:iCs/>
      <w:sz w:val="23"/>
      <w:szCs w:val="23"/>
      <w:u w:val="none"/>
    </w:rPr>
  </w:style>
  <w:style w:type="character" w:customStyle="1" w:styleId="CorpsdutexteItalique1">
    <w:name w:val="Corps du texte + Italique1"/>
    <w:uiPriority w:val="99"/>
    <w:rsid w:val="00DF1828"/>
    <w:rPr>
      <w:i/>
      <w:iCs/>
      <w:sz w:val="23"/>
      <w:szCs w:val="23"/>
      <w:u w:val="none"/>
    </w:rPr>
  </w:style>
  <w:style w:type="character" w:customStyle="1" w:styleId="Corpsdutexte11Exact">
    <w:name w:val="Corps du texte (11) Exact"/>
    <w:link w:val="Corpsdutexte11"/>
    <w:uiPriority w:val="99"/>
    <w:rsid w:val="00DF1828"/>
    <w:rPr>
      <w:rFonts w:ascii="Times New Roman" w:hAnsi="Times New Roman" w:cs="Times New Roman"/>
      <w:sz w:val="20"/>
      <w:szCs w:val="20"/>
      <w:shd w:val="clear" w:color="auto" w:fill="FFFFFF"/>
      <w:lang w:val="bg-BG" w:eastAsia="bg-BG"/>
    </w:rPr>
  </w:style>
  <w:style w:type="paragraph" w:customStyle="1" w:styleId="Corpsdutexte11">
    <w:name w:val="Corps du texte (11)"/>
    <w:basedOn w:val="Normal"/>
    <w:link w:val="Corpsdutexte11Exact"/>
    <w:uiPriority w:val="99"/>
    <w:rsid w:val="00DF1828"/>
    <w:pPr>
      <w:widowControl w:val="0"/>
      <w:shd w:val="clear" w:color="auto" w:fill="FFFFFF"/>
      <w:spacing w:line="240" w:lineRule="atLeast"/>
    </w:pPr>
    <w:rPr>
      <w:rFonts w:ascii="Times New Roman" w:hAnsi="Times New Roman"/>
      <w:sz w:val="20"/>
      <w:szCs w:val="20"/>
      <w:lang w:val="bg-BG" w:eastAsia="bg-BG"/>
    </w:rPr>
  </w:style>
  <w:style w:type="character" w:customStyle="1" w:styleId="CorpsdutexteGras1">
    <w:name w:val="Corps du texte + Gras1"/>
    <w:uiPriority w:val="99"/>
    <w:rsid w:val="00DF1828"/>
    <w:rPr>
      <w:rFonts w:ascii="Times New Roman" w:hAnsi="Times New Roman" w:cs="Times New Roman"/>
      <w:b/>
      <w:bCs/>
      <w:sz w:val="23"/>
      <w:szCs w:val="23"/>
      <w:u w:val="none"/>
      <w:lang w:val="sl-SI" w:eastAsia="sl-SI"/>
    </w:rPr>
  </w:style>
  <w:style w:type="character" w:customStyle="1" w:styleId="Corpsdutexte14">
    <w:name w:val="Corps du texte (14)_"/>
    <w:link w:val="Corpsdutexte140"/>
    <w:uiPriority w:val="99"/>
    <w:rsid w:val="00DF1828"/>
    <w:rPr>
      <w:rFonts w:ascii="Arial" w:hAnsi="Arial" w:cs="Arial"/>
      <w:b/>
      <w:bCs/>
      <w:i/>
      <w:iCs/>
      <w:sz w:val="17"/>
      <w:szCs w:val="17"/>
      <w:shd w:val="clear" w:color="auto" w:fill="FFFFFF"/>
    </w:rPr>
  </w:style>
  <w:style w:type="paragraph" w:customStyle="1" w:styleId="Corpsdutexte140">
    <w:name w:val="Corps du texte (14)"/>
    <w:basedOn w:val="Normal"/>
    <w:link w:val="Corpsdutexte14"/>
    <w:uiPriority w:val="99"/>
    <w:rsid w:val="00DF1828"/>
    <w:pPr>
      <w:widowControl w:val="0"/>
      <w:shd w:val="clear" w:color="auto" w:fill="FFFFFF"/>
      <w:spacing w:line="240" w:lineRule="atLeast"/>
      <w:jc w:val="center"/>
    </w:pPr>
    <w:rPr>
      <w:rFonts w:ascii="Arial" w:hAnsi="Arial" w:cs="Arial"/>
      <w:b/>
      <w:bCs/>
      <w:i/>
      <w:iCs/>
      <w:sz w:val="17"/>
      <w:szCs w:val="17"/>
      <w:lang w:val="en-US"/>
    </w:rPr>
  </w:style>
  <w:style w:type="character" w:customStyle="1" w:styleId="En-tte12">
    <w:name w:val="En-tête #12"/>
    <w:uiPriority w:val="99"/>
    <w:rsid w:val="00DF1828"/>
    <w:rPr>
      <w:rFonts w:ascii="Times New Roman" w:hAnsi="Times New Roman" w:cs="Times New Roman"/>
      <w:b/>
      <w:bCs/>
      <w:noProof/>
      <w:sz w:val="23"/>
      <w:szCs w:val="23"/>
      <w:u w:val="single"/>
    </w:rPr>
  </w:style>
  <w:style w:type="character" w:styleId="CommentReference">
    <w:name w:val="annotation reference"/>
    <w:uiPriority w:val="99"/>
    <w:unhideWhenUsed/>
    <w:qFormat/>
    <w:rsid w:val="00DF1828"/>
    <w:rPr>
      <w:sz w:val="16"/>
      <w:szCs w:val="16"/>
    </w:rPr>
  </w:style>
  <w:style w:type="paragraph" w:styleId="CommentText">
    <w:name w:val="annotation text"/>
    <w:basedOn w:val="Normal"/>
    <w:link w:val="CommentTextChar"/>
    <w:uiPriority w:val="99"/>
    <w:unhideWhenUsed/>
    <w:qFormat/>
    <w:rsid w:val="00DF1828"/>
    <w:pPr>
      <w:widowControl w:val="0"/>
    </w:pPr>
    <w:rPr>
      <w:rFonts w:ascii="Times New Roman" w:eastAsia="Times New Roman" w:hAnsi="Times New Roman"/>
      <w:color w:val="000000"/>
      <w:sz w:val="20"/>
      <w:szCs w:val="20"/>
    </w:rPr>
  </w:style>
  <w:style w:type="character" w:customStyle="1" w:styleId="CommentTextChar">
    <w:name w:val="Comment Text Char"/>
    <w:link w:val="CommentText"/>
    <w:uiPriority w:val="99"/>
    <w:qFormat/>
    <w:rsid w:val="00DF1828"/>
    <w:rPr>
      <w:rFonts w:ascii="Times New Roman" w:eastAsia="Times New Roman" w:hAnsi="Times New Roman" w:cs="Times New Roman"/>
      <w:color w:val="000000"/>
      <w:sz w:val="20"/>
      <w:szCs w:val="20"/>
      <w:lang w:val="en-GB"/>
    </w:rPr>
  </w:style>
  <w:style w:type="character" w:customStyle="1" w:styleId="CommentSubjectChar">
    <w:name w:val="Comment Subject Char"/>
    <w:link w:val="CommentSubject"/>
    <w:uiPriority w:val="99"/>
    <w:semiHidden/>
    <w:rsid w:val="00DF1828"/>
    <w:rPr>
      <w:rFonts w:ascii="Times New Roman" w:eastAsia="Times New Roman" w:hAnsi="Times New Roman" w:cs="Times New Roman"/>
      <w:b/>
      <w:bCs/>
      <w:color w:val="000000"/>
      <w:sz w:val="20"/>
      <w:szCs w:val="20"/>
      <w:lang w:val="en-GB"/>
    </w:rPr>
  </w:style>
  <w:style w:type="paragraph" w:styleId="CommentSubject">
    <w:name w:val="annotation subject"/>
    <w:basedOn w:val="CommentText"/>
    <w:next w:val="CommentText"/>
    <w:link w:val="CommentSubjectChar"/>
    <w:uiPriority w:val="99"/>
    <w:semiHidden/>
    <w:unhideWhenUsed/>
    <w:rsid w:val="00DF1828"/>
    <w:rPr>
      <w:b/>
      <w:bCs/>
    </w:rPr>
  </w:style>
  <w:style w:type="paragraph" w:customStyle="1" w:styleId="Logo">
    <w:name w:val="Logo"/>
    <w:basedOn w:val="Normal"/>
    <w:uiPriority w:val="99"/>
    <w:rsid w:val="00DF1828"/>
    <w:rPr>
      <w:rFonts w:ascii="Arial" w:eastAsia="Times New Roman" w:hAnsi="Arial"/>
      <w:sz w:val="26"/>
      <w:szCs w:val="20"/>
      <w:lang w:eastAsia="en-GB"/>
    </w:rPr>
  </w:style>
  <w:style w:type="paragraph" w:customStyle="1" w:styleId="ZDG">
    <w:name w:val="Z_DG"/>
    <w:basedOn w:val="Logo"/>
    <w:uiPriority w:val="99"/>
    <w:rsid w:val="00DF1828"/>
    <w:rPr>
      <w:sz w:val="16"/>
      <w:lang w:val="fr-FR"/>
    </w:rPr>
  </w:style>
  <w:style w:type="paragraph" w:customStyle="1" w:styleId="ZD">
    <w:name w:val="Z_D"/>
    <w:basedOn w:val="Logo"/>
    <w:uiPriority w:val="99"/>
    <w:rsid w:val="00DF1828"/>
    <w:rPr>
      <w:sz w:val="16"/>
      <w:lang w:val="fr-FR"/>
    </w:rPr>
  </w:style>
  <w:style w:type="paragraph" w:customStyle="1" w:styleId="ListBullet1">
    <w:name w:val="List Bullet 1"/>
    <w:basedOn w:val="Normal"/>
    <w:uiPriority w:val="99"/>
    <w:rsid w:val="00DF1828"/>
    <w:pPr>
      <w:numPr>
        <w:numId w:val="2"/>
      </w:numPr>
      <w:spacing w:after="240"/>
      <w:jc w:val="both"/>
    </w:pPr>
    <w:rPr>
      <w:rFonts w:ascii="Times New Roman" w:eastAsia="Times New Roman" w:hAnsi="Times New Roman"/>
      <w:szCs w:val="20"/>
    </w:rPr>
  </w:style>
  <w:style w:type="paragraph" w:styleId="TOC4">
    <w:name w:val="toc 4"/>
    <w:basedOn w:val="Normal"/>
    <w:next w:val="Normal"/>
    <w:autoRedefine/>
    <w:uiPriority w:val="39"/>
    <w:rsid w:val="00DF1828"/>
    <w:pPr>
      <w:ind w:left="720"/>
    </w:pPr>
    <w:rPr>
      <w:rFonts w:ascii="Times New Roman" w:eastAsia="Times New Roman" w:hAnsi="Times New Roman"/>
      <w:szCs w:val="20"/>
      <w:lang w:val="fr-FR" w:eastAsia="en-GB"/>
    </w:rPr>
  </w:style>
  <w:style w:type="paragraph" w:customStyle="1" w:styleId="Normal8pt">
    <w:name w:val="Normal + 8 pt"/>
    <w:aliases w:val="Before:  12 pt"/>
    <w:basedOn w:val="Normal"/>
    <w:uiPriority w:val="99"/>
    <w:rsid w:val="00DF1828"/>
    <w:pPr>
      <w:spacing w:before="240" w:after="180"/>
    </w:pPr>
    <w:rPr>
      <w:rFonts w:ascii="Times New Roman" w:eastAsia="Times New Roman" w:hAnsi="Times New Roman"/>
      <w:sz w:val="16"/>
      <w:szCs w:val="16"/>
      <w:lang w:eastAsia="en-GB"/>
    </w:rPr>
  </w:style>
  <w:style w:type="character" w:styleId="FollowedHyperlink">
    <w:name w:val="FollowedHyperlink"/>
    <w:rsid w:val="00DF1828"/>
    <w:rPr>
      <w:color w:val="800080"/>
      <w:u w:val="single"/>
    </w:rPr>
  </w:style>
  <w:style w:type="paragraph" w:customStyle="1" w:styleId="ZCom">
    <w:name w:val="Z_Com"/>
    <w:basedOn w:val="Normal"/>
    <w:next w:val="ZDGName"/>
    <w:uiPriority w:val="99"/>
    <w:rsid w:val="00DF1828"/>
    <w:pPr>
      <w:widowControl w:val="0"/>
      <w:autoSpaceDE w:val="0"/>
      <w:autoSpaceDN w:val="0"/>
      <w:ind w:right="85"/>
      <w:jc w:val="both"/>
    </w:pPr>
    <w:rPr>
      <w:rFonts w:ascii="Arial" w:eastAsia="Times New Roman" w:hAnsi="Arial" w:cs="Arial"/>
      <w:lang w:eastAsia="en-GB"/>
    </w:rPr>
  </w:style>
  <w:style w:type="paragraph" w:customStyle="1" w:styleId="ZDGName">
    <w:name w:val="Z_DGName"/>
    <w:basedOn w:val="Normal"/>
    <w:uiPriority w:val="99"/>
    <w:rsid w:val="00DF1828"/>
    <w:pPr>
      <w:widowControl w:val="0"/>
      <w:autoSpaceDE w:val="0"/>
      <w:autoSpaceDN w:val="0"/>
      <w:ind w:right="85"/>
    </w:pPr>
    <w:rPr>
      <w:rFonts w:ascii="Arial" w:eastAsia="Times New Roman" w:hAnsi="Arial" w:cs="Arial"/>
      <w:sz w:val="16"/>
      <w:szCs w:val="16"/>
      <w:lang w:eastAsia="en-GB"/>
    </w:rPr>
  </w:style>
  <w:style w:type="paragraph" w:customStyle="1" w:styleId="Heading4a">
    <w:name w:val="Heading 4a"/>
    <w:basedOn w:val="Heading3"/>
    <w:uiPriority w:val="99"/>
    <w:rsid w:val="00DF1828"/>
    <w:pPr>
      <w:keepNext/>
      <w:widowControl/>
      <w:tabs>
        <w:tab w:val="left" w:pos="510"/>
        <w:tab w:val="num" w:pos="851"/>
      </w:tabs>
      <w:spacing w:before="300" w:after="60"/>
      <w:ind w:left="851" w:hanging="567"/>
      <w:jc w:val="both"/>
    </w:pPr>
    <w:rPr>
      <w:rFonts w:ascii="Times New Roman Bold" w:eastAsia="Times New Roman" w:hAnsi="Times New Roman Bold"/>
      <w:b/>
      <w:lang w:val="x-none" w:eastAsia="x-none"/>
    </w:rPr>
  </w:style>
  <w:style w:type="character" w:customStyle="1" w:styleId="hps">
    <w:name w:val="hps"/>
    <w:rsid w:val="00DF1828"/>
  </w:style>
  <w:style w:type="paragraph" w:styleId="NormalWeb">
    <w:name w:val="Normal (Web)"/>
    <w:basedOn w:val="Normal"/>
    <w:uiPriority w:val="99"/>
    <w:unhideWhenUsed/>
    <w:rsid w:val="00DF1828"/>
    <w:pPr>
      <w:spacing w:before="100" w:beforeAutospacing="1" w:after="100" w:afterAutospacing="1"/>
    </w:pPr>
    <w:rPr>
      <w:rFonts w:ascii="Times New Roman" w:eastAsia="Times New Roman" w:hAnsi="Times New Roman"/>
    </w:rPr>
  </w:style>
  <w:style w:type="paragraph" w:customStyle="1" w:styleId="Default">
    <w:name w:val="Default"/>
    <w:rsid w:val="00DF1828"/>
    <w:pPr>
      <w:autoSpaceDE w:val="0"/>
      <w:autoSpaceDN w:val="0"/>
      <w:adjustRightInd w:val="0"/>
    </w:pPr>
    <w:rPr>
      <w:rFonts w:ascii="Times New Roman" w:hAnsi="Times New Roman"/>
      <w:color w:val="000000"/>
      <w:sz w:val="24"/>
      <w:szCs w:val="24"/>
      <w:lang w:val="en-US" w:eastAsia="en-US"/>
    </w:rPr>
  </w:style>
  <w:style w:type="paragraph" w:customStyle="1" w:styleId="MediumGrid21">
    <w:name w:val="Medium Grid 21"/>
    <w:link w:val="MediumGrid2Char"/>
    <w:uiPriority w:val="1"/>
    <w:qFormat/>
    <w:rsid w:val="00DF1828"/>
    <w:rPr>
      <w:rFonts w:ascii="Arial" w:hAnsi="Arial"/>
      <w:szCs w:val="22"/>
      <w:lang w:val="en-AU"/>
    </w:rPr>
  </w:style>
  <w:style w:type="character" w:customStyle="1" w:styleId="MediumGrid2Char">
    <w:name w:val="Medium Grid 2 Char"/>
    <w:link w:val="MediumGrid21"/>
    <w:uiPriority w:val="1"/>
    <w:rsid w:val="00DF1828"/>
    <w:rPr>
      <w:rFonts w:ascii="Arial" w:eastAsia="Calibri" w:hAnsi="Arial" w:cs="Times New Roman"/>
      <w:sz w:val="20"/>
      <w:szCs w:val="22"/>
      <w:lang w:val="en-AU" w:eastAsia="sq-AL"/>
    </w:rPr>
  </w:style>
  <w:style w:type="paragraph" w:customStyle="1" w:styleId="Body">
    <w:name w:val="Body"/>
    <w:uiPriority w:val="99"/>
    <w:rsid w:val="00DF1828"/>
    <w:pPr>
      <w:pBdr>
        <w:top w:val="nil"/>
        <w:left w:val="nil"/>
        <w:bottom w:val="nil"/>
        <w:right w:val="nil"/>
        <w:between w:val="nil"/>
        <w:bar w:val="nil"/>
      </w:pBdr>
      <w:spacing w:after="200" w:line="276" w:lineRule="auto"/>
    </w:pPr>
    <w:rPr>
      <w:rFonts w:cs="Calibri"/>
      <w:color w:val="000000"/>
      <w:sz w:val="22"/>
      <w:szCs w:val="22"/>
      <w:u w:color="000000"/>
      <w:bdr w:val="nil"/>
      <w:lang w:val="en-US" w:eastAsia="en-US"/>
    </w:rPr>
  </w:style>
  <w:style w:type="character" w:customStyle="1" w:styleId="longtext">
    <w:name w:val="long_text"/>
    <w:rsid w:val="00DF1828"/>
  </w:style>
  <w:style w:type="paragraph" w:styleId="Title">
    <w:name w:val="Title"/>
    <w:basedOn w:val="Normal"/>
    <w:next w:val="Normal"/>
    <w:link w:val="TitleChar"/>
    <w:uiPriority w:val="99"/>
    <w:qFormat/>
    <w:rsid w:val="00DF1828"/>
    <w:pPr>
      <w:pBdr>
        <w:bottom w:val="single" w:sz="8" w:space="4" w:color="4F81BD"/>
      </w:pBdr>
      <w:spacing w:after="300"/>
      <w:contextualSpacing/>
    </w:pPr>
    <w:rPr>
      <w:rFonts w:ascii="Cambria" w:eastAsia="Times New Roman" w:hAnsi="Cambria"/>
      <w:color w:val="17365D"/>
      <w:spacing w:val="5"/>
      <w:kern w:val="28"/>
      <w:sz w:val="52"/>
      <w:szCs w:val="52"/>
      <w:lang w:eastAsia="en-GB"/>
    </w:rPr>
  </w:style>
  <w:style w:type="character" w:customStyle="1" w:styleId="TitleChar">
    <w:name w:val="Title Char"/>
    <w:link w:val="Title"/>
    <w:uiPriority w:val="99"/>
    <w:rsid w:val="00DF1828"/>
    <w:rPr>
      <w:rFonts w:ascii="Cambria" w:eastAsia="Times New Roman" w:hAnsi="Cambria" w:cs="Times New Roman"/>
      <w:color w:val="17365D"/>
      <w:spacing w:val="5"/>
      <w:kern w:val="28"/>
      <w:sz w:val="52"/>
      <w:szCs w:val="52"/>
      <w:lang w:val="en-GB" w:eastAsia="en-GB"/>
    </w:rPr>
  </w:style>
  <w:style w:type="character" w:customStyle="1" w:styleId="Bodytext0">
    <w:name w:val="Body text_"/>
    <w:link w:val="BodyText189"/>
    <w:locked/>
    <w:rsid w:val="00DF1828"/>
    <w:rPr>
      <w:sz w:val="25"/>
      <w:szCs w:val="25"/>
      <w:shd w:val="clear" w:color="auto" w:fill="FFFFFF"/>
    </w:rPr>
  </w:style>
  <w:style w:type="paragraph" w:customStyle="1" w:styleId="BodyText189">
    <w:name w:val="Body Text189"/>
    <w:basedOn w:val="Normal"/>
    <w:link w:val="Bodytext0"/>
    <w:rsid w:val="00DF1828"/>
    <w:pPr>
      <w:shd w:val="clear" w:color="auto" w:fill="FFFFFF"/>
      <w:spacing w:before="420" w:after="240" w:line="322" w:lineRule="exact"/>
      <w:ind w:hanging="1420"/>
      <w:jc w:val="center"/>
    </w:pPr>
    <w:rPr>
      <w:sz w:val="25"/>
      <w:szCs w:val="25"/>
      <w:lang w:val="en-US"/>
    </w:rPr>
  </w:style>
  <w:style w:type="character" w:customStyle="1" w:styleId="BodyText3">
    <w:name w:val="Body Text3"/>
    <w:rsid w:val="00DF1828"/>
  </w:style>
  <w:style w:type="character" w:customStyle="1" w:styleId="BodytextBold">
    <w:name w:val="Body text + Bold"/>
    <w:aliases w:val="Italic"/>
    <w:rsid w:val="00DF1828"/>
    <w:rPr>
      <w:rFonts w:ascii="Times New Roman" w:hAnsi="Times New Roman" w:cs="Times New Roman"/>
      <w:b/>
      <w:bCs/>
      <w:i/>
      <w:iCs/>
      <w:spacing w:val="0"/>
      <w:sz w:val="25"/>
      <w:szCs w:val="25"/>
      <w:lang w:bidi="ar-SA"/>
    </w:rPr>
  </w:style>
  <w:style w:type="character" w:customStyle="1" w:styleId="BodytextArialUnicodeMS">
    <w:name w:val="Body text + Arial Unicode MS"/>
    <w:aliases w:val="7 pt"/>
    <w:rsid w:val="00DF1828"/>
    <w:rPr>
      <w:rFonts w:ascii="Arial Unicode MS" w:eastAsia="Arial Unicode MS" w:hAnsi="Arial Unicode MS" w:cs="Arial Unicode MS"/>
      <w:spacing w:val="0"/>
      <w:sz w:val="14"/>
      <w:szCs w:val="14"/>
      <w:lang w:bidi="ar-SA"/>
    </w:rPr>
  </w:style>
  <w:style w:type="paragraph" w:customStyle="1" w:styleId="BodyText2">
    <w:name w:val="Body Text2"/>
    <w:basedOn w:val="Normal"/>
    <w:uiPriority w:val="99"/>
    <w:rsid w:val="00DF1828"/>
    <w:pPr>
      <w:shd w:val="clear" w:color="auto" w:fill="FFFFFF"/>
      <w:spacing w:after="660" w:line="240" w:lineRule="atLeast"/>
      <w:ind w:hanging="340"/>
    </w:pPr>
    <w:rPr>
      <w:rFonts w:ascii="Arial" w:eastAsia="Times New Roman" w:hAnsi="Arial" w:cs="Arial"/>
      <w:color w:val="000000"/>
      <w:sz w:val="22"/>
      <w:szCs w:val="22"/>
    </w:rPr>
  </w:style>
  <w:style w:type="character" w:customStyle="1" w:styleId="Heading1714">
    <w:name w:val="Heading #1714"/>
    <w:rsid w:val="00DF1828"/>
    <w:rPr>
      <w:sz w:val="35"/>
      <w:szCs w:val="35"/>
      <w:lang w:bidi="ar-SA"/>
    </w:rPr>
  </w:style>
  <w:style w:type="character" w:customStyle="1" w:styleId="Bodytext4">
    <w:name w:val="Body text (4)"/>
    <w:rsid w:val="00DF1828"/>
    <w:rPr>
      <w:sz w:val="23"/>
      <w:szCs w:val="23"/>
      <w:lang w:bidi="ar-SA"/>
    </w:rPr>
  </w:style>
  <w:style w:type="paragraph" w:customStyle="1" w:styleId="1">
    <w:name w:val="Абзац списка1"/>
    <w:basedOn w:val="Normal"/>
    <w:uiPriority w:val="99"/>
    <w:rsid w:val="00DF1828"/>
    <w:pPr>
      <w:suppressAutoHyphens/>
      <w:spacing w:after="200" w:line="276" w:lineRule="auto"/>
      <w:ind w:left="720" w:firstLine="360"/>
    </w:pPr>
    <w:rPr>
      <w:rFonts w:eastAsia="SimSun"/>
      <w:sz w:val="22"/>
      <w:szCs w:val="22"/>
      <w:lang w:eastAsia="ar-SA"/>
    </w:rPr>
  </w:style>
  <w:style w:type="character" w:customStyle="1" w:styleId="alt-edited">
    <w:name w:val="alt-edited"/>
    <w:rsid w:val="00DF1828"/>
  </w:style>
  <w:style w:type="paragraph" w:styleId="BodyTextIndent2">
    <w:name w:val="Body Text Indent 2"/>
    <w:basedOn w:val="Normal"/>
    <w:link w:val="BodyTextIndent2Char"/>
    <w:uiPriority w:val="99"/>
    <w:rsid w:val="00DF1828"/>
    <w:pPr>
      <w:spacing w:after="120" w:line="480" w:lineRule="auto"/>
      <w:ind w:left="360"/>
    </w:pPr>
    <w:rPr>
      <w:rFonts w:ascii="Times New Roman" w:eastAsia="MS Mincho" w:hAnsi="Times New Roman"/>
      <w:sz w:val="20"/>
      <w:szCs w:val="20"/>
      <w:lang w:val="x-none" w:eastAsia="x-none"/>
    </w:rPr>
  </w:style>
  <w:style w:type="character" w:customStyle="1" w:styleId="BodyTextIndent2Char">
    <w:name w:val="Body Text Indent 2 Char"/>
    <w:link w:val="BodyTextIndent2"/>
    <w:uiPriority w:val="99"/>
    <w:rsid w:val="00DF1828"/>
    <w:rPr>
      <w:rFonts w:ascii="Times New Roman" w:eastAsia="MS Mincho" w:hAnsi="Times New Roman" w:cs="Times New Roman"/>
      <w:sz w:val="20"/>
      <w:szCs w:val="20"/>
      <w:lang w:val="x-none" w:eastAsia="x-none"/>
    </w:rPr>
  </w:style>
  <w:style w:type="character" w:customStyle="1" w:styleId="atn">
    <w:name w:val="atn"/>
    <w:rsid w:val="00DF1828"/>
  </w:style>
  <w:style w:type="character" w:customStyle="1" w:styleId="shorttext">
    <w:name w:val="short_text"/>
    <w:rsid w:val="00DF1828"/>
  </w:style>
  <w:style w:type="character" w:customStyle="1" w:styleId="hpsatn">
    <w:name w:val="hps atn"/>
    <w:uiPriority w:val="99"/>
    <w:rsid w:val="00DF1828"/>
  </w:style>
  <w:style w:type="paragraph" w:styleId="List">
    <w:name w:val="List"/>
    <w:basedOn w:val="Normal"/>
    <w:uiPriority w:val="99"/>
    <w:rsid w:val="00DF1828"/>
    <w:pPr>
      <w:suppressAutoHyphens/>
      <w:ind w:left="360" w:hanging="360"/>
    </w:pPr>
    <w:rPr>
      <w:rFonts w:ascii="Times New Roman" w:eastAsia="Times New Roman" w:hAnsi="Times New Roman"/>
      <w:lang w:eastAsia="zh-CN"/>
    </w:rPr>
  </w:style>
  <w:style w:type="character" w:customStyle="1" w:styleId="st">
    <w:name w:val="st"/>
    <w:rsid w:val="00DF1828"/>
  </w:style>
  <w:style w:type="character" w:styleId="Emphasis">
    <w:name w:val="Emphasis"/>
    <w:uiPriority w:val="20"/>
    <w:qFormat/>
    <w:rsid w:val="00DF1828"/>
    <w:rPr>
      <w:i/>
      <w:iCs/>
    </w:rPr>
  </w:style>
  <w:style w:type="paragraph" w:customStyle="1" w:styleId="paragraph">
    <w:name w:val="paragraph"/>
    <w:basedOn w:val="ColorfulList-Accent11"/>
    <w:uiPriority w:val="99"/>
    <w:rsid w:val="00DF1828"/>
    <w:pPr>
      <w:keepNext/>
      <w:widowControl/>
      <w:spacing w:after="200" w:line="276" w:lineRule="auto"/>
      <w:contextualSpacing/>
    </w:pPr>
    <w:rPr>
      <w:rFonts w:eastAsia="Times New Roman"/>
      <w:b/>
      <w:lang w:val="en-US" w:bidi="en-US"/>
    </w:rPr>
  </w:style>
  <w:style w:type="paragraph" w:styleId="ListBullet">
    <w:name w:val="List Bullet"/>
    <w:aliases w:val="List Bullet Char,List Bullet-Richard's,List Bullet Char1 Char Char,List Bullet Char Char Char Char,List Bullet Char Char1,List Bullet Char1 Char,List Bullet Char Char Char,List Bullet Char Char Char Char Char Char Char Char,List Bullet Char2"/>
    <w:basedOn w:val="Normal"/>
    <w:link w:val="ListBulletChar1"/>
    <w:uiPriority w:val="2"/>
    <w:qFormat/>
    <w:rsid w:val="00DF1828"/>
    <w:pPr>
      <w:tabs>
        <w:tab w:val="num" w:pos="720"/>
      </w:tabs>
      <w:spacing w:after="240" w:line="264" w:lineRule="auto"/>
      <w:ind w:left="720" w:hanging="720"/>
    </w:pPr>
    <w:rPr>
      <w:rFonts w:ascii="Times New Roman" w:hAnsi="Times New Roman"/>
    </w:rPr>
  </w:style>
  <w:style w:type="character" w:customStyle="1" w:styleId="ListBulletChar1">
    <w:name w:val="List Bullet Char1"/>
    <w:aliases w:val="List Bullet Char Char,List Bullet-Richard's Char,List Bullet Char1 Char Char Char,List Bullet Char Char Char Char Char,List Bullet Char Char1 Char,List Bullet Char1 Char Char1,List Bullet Char Char Char Char1,List Bullet Char2 Char"/>
    <w:link w:val="ListBullet"/>
    <w:uiPriority w:val="2"/>
    <w:rsid w:val="00DF1828"/>
    <w:rPr>
      <w:rFonts w:ascii="Times New Roman" w:hAnsi="Times New Roman"/>
      <w:sz w:val="24"/>
      <w:szCs w:val="24"/>
      <w:lang w:val="en-GB" w:eastAsia="en-US"/>
    </w:rPr>
  </w:style>
  <w:style w:type="paragraph" w:customStyle="1" w:styleId="LightGrid-Accent31">
    <w:name w:val="Light Grid - Accent 31"/>
    <w:basedOn w:val="Normal"/>
    <w:uiPriority w:val="34"/>
    <w:qFormat/>
    <w:rsid w:val="00DF1828"/>
    <w:pPr>
      <w:spacing w:after="200" w:line="276" w:lineRule="auto"/>
      <w:ind w:left="720"/>
      <w:contextualSpacing/>
      <w:jc w:val="both"/>
    </w:pPr>
    <w:rPr>
      <w:rFonts w:eastAsia="MS PGothic"/>
      <w:sz w:val="22"/>
      <w:szCs w:val="22"/>
      <w:lang w:eastAsia="zh-CN"/>
    </w:rPr>
  </w:style>
  <w:style w:type="paragraph" w:customStyle="1" w:styleId="BoxBullet">
    <w:name w:val="Box Bullet"/>
    <w:basedOn w:val="Normal"/>
    <w:uiPriority w:val="3"/>
    <w:qFormat/>
    <w:rsid w:val="00DF1828"/>
    <w:pPr>
      <w:spacing w:after="120"/>
      <w:ind w:left="720" w:hanging="360"/>
    </w:pPr>
    <w:rPr>
      <w:rFonts w:ascii="Segoe UI" w:eastAsia="MS Mincho" w:hAnsi="Segoe UI" w:cs="Segoe UI"/>
      <w:sz w:val="19"/>
      <w:szCs w:val="20"/>
      <w:lang w:val="en-US"/>
    </w:rPr>
  </w:style>
  <w:style w:type="paragraph" w:styleId="ListParagraph">
    <w:name w:val="List Paragraph"/>
    <w:aliases w:val="Bullet Points,Bullet Number,List Paragraph Char Char,MAIN CONTENT,Párrafo de lista,Recommendation,List Paragraph2,Graphic,Table/Figure Heading,Listeafsnit,Bullet List,FooterText,Colorful List Accent 1,numbered,Paragraphe de liste1,列出段落,L"/>
    <w:basedOn w:val="Normal"/>
    <w:link w:val="ListParagraphChar"/>
    <w:uiPriority w:val="34"/>
    <w:qFormat/>
    <w:rsid w:val="00FF2753"/>
    <w:pPr>
      <w:widowControl w:val="0"/>
      <w:ind w:left="2100" w:hanging="360"/>
    </w:pPr>
    <w:rPr>
      <w:rFonts w:ascii="Arial Narrow" w:eastAsia="Arial Narrow" w:hAnsi="Arial Narrow" w:cs="Arial Narrow"/>
      <w:sz w:val="22"/>
      <w:szCs w:val="22"/>
      <w:lang w:val="en-US"/>
    </w:rPr>
  </w:style>
  <w:style w:type="character" w:customStyle="1" w:styleId="ListParagraphChar">
    <w:name w:val="List Paragraph Char"/>
    <w:aliases w:val="Bullet Points Char,Bullet Number Char,List Paragraph Char Char Char1,MAIN CONTENT Char,Párrafo de lista Char,Recommendation Char,List Paragraph2 Char,Graphic Char,Table/Figure Heading Char,Listeafsnit Char,Bullet List Char,列出段落 Char"/>
    <w:link w:val="ListParagraph"/>
    <w:uiPriority w:val="34"/>
    <w:qFormat/>
    <w:rsid w:val="0000324D"/>
    <w:rPr>
      <w:rFonts w:ascii="Arial Narrow" w:eastAsia="Arial Narrow" w:hAnsi="Arial Narrow" w:cs="Arial Narrow"/>
      <w:sz w:val="22"/>
      <w:szCs w:val="22"/>
      <w:lang w:val="en-US" w:eastAsia="en-US"/>
    </w:rPr>
  </w:style>
  <w:style w:type="paragraph" w:customStyle="1" w:styleId="Cell">
    <w:name w:val="Cell"/>
    <w:basedOn w:val="Normal"/>
    <w:qFormat/>
    <w:rsid w:val="00FF2753"/>
    <w:rPr>
      <w:rFonts w:ascii="Arial" w:eastAsia="Times New Roman" w:hAnsi="Arial" w:cs="Arial"/>
      <w:sz w:val="18"/>
      <w:szCs w:val="18"/>
      <w:lang w:eastAsia="zh-CN"/>
    </w:rPr>
  </w:style>
  <w:style w:type="paragraph" w:styleId="TOCHeading">
    <w:name w:val="TOC Heading"/>
    <w:basedOn w:val="Heading1"/>
    <w:next w:val="Normal"/>
    <w:uiPriority w:val="39"/>
    <w:unhideWhenUsed/>
    <w:qFormat/>
    <w:rsid w:val="005D1E34"/>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val="en-US" w:eastAsia="ja-JP"/>
    </w:rPr>
  </w:style>
  <w:style w:type="character" w:styleId="Strong">
    <w:name w:val="Strong"/>
    <w:basedOn w:val="DefaultParagraphFont"/>
    <w:uiPriority w:val="22"/>
    <w:qFormat/>
    <w:rsid w:val="004B36BB"/>
    <w:rPr>
      <w:b/>
      <w:bCs/>
    </w:rPr>
  </w:style>
  <w:style w:type="paragraph" w:styleId="Revision">
    <w:name w:val="Revision"/>
    <w:hidden/>
    <w:uiPriority w:val="71"/>
    <w:semiHidden/>
    <w:rsid w:val="00D10763"/>
    <w:rPr>
      <w:sz w:val="24"/>
      <w:szCs w:val="24"/>
      <w:lang w:val="en-GB" w:eastAsia="en-US"/>
    </w:rPr>
  </w:style>
  <w:style w:type="paragraph" w:customStyle="1" w:styleId="BodyA">
    <w:name w:val="Body A"/>
    <w:uiPriority w:val="99"/>
    <w:rsid w:val="00950BEB"/>
    <w:pPr>
      <w:pBdr>
        <w:top w:val="nil"/>
        <w:left w:val="nil"/>
        <w:bottom w:val="nil"/>
        <w:right w:val="nil"/>
        <w:between w:val="nil"/>
        <w:bar w:val="nil"/>
      </w:pBdr>
      <w:spacing w:line="216" w:lineRule="auto"/>
      <w:jc w:val="both"/>
    </w:pPr>
    <w:rPr>
      <w:rFonts w:ascii="Times New Roman" w:eastAsia="Times New Roman" w:hAnsi="Times New Roman"/>
      <w:color w:val="000000"/>
      <w:sz w:val="24"/>
      <w:szCs w:val="24"/>
      <w:u w:color="000000"/>
      <w:bdr w:val="nil"/>
      <w:lang w:val="en-US" w:eastAsia="en-US"/>
    </w:rPr>
  </w:style>
  <w:style w:type="paragraph" w:customStyle="1" w:styleId="Pa22">
    <w:name w:val="Pa22"/>
    <w:basedOn w:val="Default"/>
    <w:next w:val="Default"/>
    <w:uiPriority w:val="99"/>
    <w:rsid w:val="005543C2"/>
    <w:pPr>
      <w:spacing w:line="241" w:lineRule="atLeast"/>
    </w:pPr>
    <w:rPr>
      <w:rFonts w:ascii="Times" w:eastAsiaTheme="minorHAnsi" w:hAnsi="Times" w:cs="Times"/>
      <w:color w:val="auto"/>
    </w:rPr>
  </w:style>
  <w:style w:type="table" w:customStyle="1" w:styleId="TableGrid1">
    <w:name w:val="Table Grid1"/>
    <w:basedOn w:val="TableNormal"/>
    <w:next w:val="TableGrid"/>
    <w:uiPriority w:val="59"/>
    <w:rsid w:val="001061C6"/>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A41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sq-AL" w:eastAsia="sq-AL"/>
    </w:rPr>
  </w:style>
  <w:style w:type="character" w:customStyle="1" w:styleId="HTMLPreformattedChar">
    <w:name w:val="HTML Preformatted Char"/>
    <w:basedOn w:val="DefaultParagraphFont"/>
    <w:link w:val="HTMLPreformatted"/>
    <w:uiPriority w:val="99"/>
    <w:rsid w:val="00A41B52"/>
    <w:rPr>
      <w:rFonts w:ascii="Courier New" w:eastAsia="Times New Roman" w:hAnsi="Courier New" w:cs="Courier New"/>
    </w:rPr>
  </w:style>
  <w:style w:type="character" w:customStyle="1" w:styleId="table0020gridchar">
    <w:name w:val="table_0020grid__char"/>
    <w:basedOn w:val="DefaultParagraphFont"/>
    <w:rsid w:val="00743563"/>
  </w:style>
  <w:style w:type="paragraph" w:customStyle="1" w:styleId="OCtext">
    <w:name w:val="OC text"/>
    <w:basedOn w:val="Normal"/>
    <w:uiPriority w:val="99"/>
    <w:qFormat/>
    <w:rsid w:val="00CE308D"/>
    <w:pPr>
      <w:shd w:val="clear" w:color="auto" w:fill="FFFFFF"/>
      <w:spacing w:after="240"/>
      <w:jc w:val="both"/>
    </w:pPr>
    <w:rPr>
      <w:rFonts w:ascii="Times New Roman" w:eastAsia="Times New Roman" w:hAnsi="Times New Roman"/>
      <w:color w:val="000000"/>
      <w:sz w:val="20"/>
      <w:lang w:eastAsia="en-GB"/>
    </w:rPr>
  </w:style>
  <w:style w:type="paragraph" w:styleId="NoSpacing">
    <w:name w:val="No Spacing"/>
    <w:uiPriority w:val="1"/>
    <w:qFormat/>
    <w:rsid w:val="0057176B"/>
    <w:rPr>
      <w:sz w:val="22"/>
      <w:szCs w:val="22"/>
      <w:lang w:val="en-US" w:eastAsia="en-US"/>
    </w:rPr>
  </w:style>
  <w:style w:type="character" w:customStyle="1" w:styleId="tlid-translation">
    <w:name w:val="tlid-translation"/>
    <w:basedOn w:val="DefaultParagraphFont"/>
    <w:rsid w:val="000969D0"/>
  </w:style>
  <w:style w:type="table" w:customStyle="1" w:styleId="PlainTable31">
    <w:name w:val="Plain Table 31"/>
    <w:basedOn w:val="TableNormal"/>
    <w:uiPriority w:val="43"/>
    <w:rsid w:val="00951413"/>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abletextChar">
    <w:name w:val="Table text Char"/>
    <w:link w:val="Tabletext"/>
    <w:rsid w:val="00C04499"/>
    <w:rPr>
      <w:rFonts w:cs="Arial"/>
      <w:color w:val="616264"/>
    </w:rPr>
  </w:style>
  <w:style w:type="paragraph" w:customStyle="1" w:styleId="Tabletext">
    <w:name w:val="Table text"/>
    <w:basedOn w:val="Normal"/>
    <w:link w:val="TabletextChar"/>
    <w:qFormat/>
    <w:rsid w:val="00C04499"/>
    <w:pPr>
      <w:jc w:val="center"/>
    </w:pPr>
    <w:rPr>
      <w:rFonts w:cs="Arial"/>
      <w:color w:val="616264"/>
      <w:sz w:val="20"/>
      <w:szCs w:val="20"/>
      <w:lang w:val="sq-AL" w:eastAsia="sq-AL"/>
    </w:rPr>
  </w:style>
  <w:style w:type="paragraph" w:customStyle="1" w:styleId="Char2">
    <w:name w:val="Char2"/>
    <w:basedOn w:val="Normal"/>
    <w:uiPriority w:val="99"/>
    <w:rsid w:val="0099131A"/>
    <w:pPr>
      <w:spacing w:after="160" w:line="240" w:lineRule="exact"/>
    </w:pPr>
    <w:rPr>
      <w:rFonts w:asciiTheme="minorHAnsi" w:eastAsiaTheme="minorHAnsi" w:hAnsiTheme="minorHAnsi" w:cstheme="minorBidi"/>
      <w:sz w:val="22"/>
      <w:szCs w:val="22"/>
      <w:vertAlign w:val="superscript"/>
      <w:lang w:val="en-US"/>
    </w:rPr>
  </w:style>
  <w:style w:type="character" w:customStyle="1" w:styleId="BulletedChar">
    <w:name w:val="Bulleted Char"/>
    <w:link w:val="Bulleted"/>
    <w:locked/>
    <w:rsid w:val="009A1A2A"/>
  </w:style>
  <w:style w:type="paragraph" w:customStyle="1" w:styleId="Bulleted">
    <w:name w:val="Bulleted"/>
    <w:basedOn w:val="Normal"/>
    <w:link w:val="BulletedChar"/>
    <w:qFormat/>
    <w:rsid w:val="009A1A2A"/>
    <w:rPr>
      <w:sz w:val="20"/>
      <w:szCs w:val="20"/>
      <w:lang w:val="sq-AL" w:eastAsia="sq-AL"/>
    </w:rPr>
  </w:style>
  <w:style w:type="character" w:customStyle="1" w:styleId="normalchar">
    <w:name w:val="normal__char"/>
    <w:basedOn w:val="DefaultParagraphFont"/>
    <w:rsid w:val="007200DC"/>
  </w:style>
  <w:style w:type="paragraph" w:customStyle="1" w:styleId="RowsHeading">
    <w:name w:val="Rows Heading"/>
    <w:basedOn w:val="Normal"/>
    <w:rsid w:val="000E44D7"/>
    <w:rPr>
      <w:rFonts w:ascii="Arial" w:hAnsi="Arial" w:cs="Arial"/>
      <w:sz w:val="18"/>
      <w:szCs w:val="18"/>
      <w:lang w:val="sq-AL" w:eastAsia="zh-CN"/>
    </w:rPr>
  </w:style>
  <w:style w:type="character" w:styleId="PlaceholderText">
    <w:name w:val="Placeholder Text"/>
    <w:basedOn w:val="DefaultParagraphFont"/>
    <w:uiPriority w:val="99"/>
    <w:unhideWhenUsed/>
    <w:rsid w:val="007D4888"/>
    <w:rPr>
      <w:color w:val="808080"/>
    </w:rPr>
  </w:style>
  <w:style w:type="table" w:styleId="GridTable1Light">
    <w:name w:val="Grid Table 1 Light"/>
    <w:basedOn w:val="TableNormal"/>
    <w:uiPriority w:val="46"/>
    <w:rsid w:val="005E1631"/>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903866"/>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03866"/>
    <w:rPr>
      <w:rFonts w:asciiTheme="minorHAnsi" w:eastAsiaTheme="minorHAnsi" w:hAnsiTheme="minorHAnsi" w:cstheme="minorBidi"/>
      <w:sz w:val="22"/>
      <w:szCs w:val="22"/>
      <w:lang w:val="en-US" w:eastAsia="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2">
    <w:name w:val="Pa2"/>
    <w:basedOn w:val="Normal"/>
    <w:next w:val="Normal"/>
    <w:uiPriority w:val="99"/>
    <w:rsid w:val="00364CA8"/>
    <w:pPr>
      <w:autoSpaceDE w:val="0"/>
      <w:autoSpaceDN w:val="0"/>
      <w:adjustRightInd w:val="0"/>
      <w:spacing w:line="241" w:lineRule="atLeast"/>
    </w:pPr>
    <w:rPr>
      <w:rFonts w:ascii="ARS Maquette Pro" w:eastAsiaTheme="minorHAnsi" w:hAnsi="ARS Maquette Pro" w:cstheme="minorBidi"/>
      <w:lang w:val="en-US"/>
    </w:rPr>
  </w:style>
  <w:style w:type="character" w:customStyle="1" w:styleId="A2">
    <w:name w:val="A2"/>
    <w:uiPriority w:val="99"/>
    <w:rsid w:val="00364CA8"/>
    <w:rPr>
      <w:rFonts w:cs="ARS Maquette Pro"/>
      <w:color w:val="000000"/>
      <w:sz w:val="22"/>
      <w:szCs w:val="22"/>
    </w:rPr>
  </w:style>
  <w:style w:type="character" w:customStyle="1" w:styleId="A10">
    <w:name w:val="A10"/>
    <w:uiPriority w:val="99"/>
    <w:rsid w:val="00364CA8"/>
    <w:rPr>
      <w:rFonts w:cs="ARS Maquette Pro"/>
      <w:color w:val="000000"/>
      <w:sz w:val="12"/>
      <w:szCs w:val="12"/>
    </w:rPr>
  </w:style>
  <w:style w:type="paragraph" w:customStyle="1" w:styleId="Text1">
    <w:name w:val="Text 1"/>
    <w:basedOn w:val="Normal"/>
    <w:qFormat/>
    <w:rsid w:val="00270CFE"/>
    <w:pPr>
      <w:suppressAutoHyphens/>
      <w:ind w:left="482"/>
    </w:pPr>
    <w:rPr>
      <w:rFonts w:ascii="Times New Roman" w:eastAsia="Times New Roman" w:hAnsi="Times New Roman"/>
      <w:lang w:eastAsia="en-GB"/>
    </w:rPr>
  </w:style>
  <w:style w:type="paragraph" w:styleId="EndnoteText">
    <w:name w:val="endnote text"/>
    <w:basedOn w:val="Normal"/>
    <w:link w:val="EndnoteTextChar"/>
    <w:uiPriority w:val="99"/>
    <w:semiHidden/>
    <w:unhideWhenUsed/>
    <w:rsid w:val="00762E16"/>
    <w:rPr>
      <w:sz w:val="20"/>
      <w:szCs w:val="20"/>
    </w:rPr>
  </w:style>
  <w:style w:type="character" w:customStyle="1" w:styleId="EndnoteTextChar">
    <w:name w:val="Endnote Text Char"/>
    <w:basedOn w:val="DefaultParagraphFont"/>
    <w:link w:val="EndnoteText"/>
    <w:uiPriority w:val="99"/>
    <w:semiHidden/>
    <w:rsid w:val="00762E16"/>
    <w:rPr>
      <w:lang w:val="en-GB" w:eastAsia="en-US"/>
    </w:rPr>
  </w:style>
  <w:style w:type="character" w:styleId="EndnoteReference">
    <w:name w:val="endnote reference"/>
    <w:basedOn w:val="DefaultParagraphFont"/>
    <w:uiPriority w:val="99"/>
    <w:semiHidden/>
    <w:unhideWhenUsed/>
    <w:rsid w:val="00762E16"/>
    <w:rPr>
      <w:vertAlign w:val="superscript"/>
    </w:rPr>
  </w:style>
  <w:style w:type="paragraph" w:customStyle="1" w:styleId="ECABullets">
    <w:name w:val="ECA Bullets"/>
    <w:basedOn w:val="Normal"/>
    <w:link w:val="ECABulletsChar"/>
    <w:qFormat/>
    <w:rsid w:val="002F736A"/>
    <w:pPr>
      <w:numPr>
        <w:numId w:val="9"/>
      </w:numPr>
      <w:spacing w:before="240" w:after="240"/>
    </w:pPr>
    <w:rPr>
      <w:rFonts w:ascii="Book Antiqua" w:eastAsia="Times New Roman" w:hAnsi="Book Antiqua"/>
      <w:sz w:val="22"/>
      <w:szCs w:val="20"/>
    </w:rPr>
  </w:style>
  <w:style w:type="paragraph" w:customStyle="1" w:styleId="ECABulletsSub">
    <w:name w:val="ECA Bullets Sub"/>
    <w:basedOn w:val="Normal"/>
    <w:qFormat/>
    <w:rsid w:val="002F736A"/>
    <w:pPr>
      <w:numPr>
        <w:ilvl w:val="1"/>
        <w:numId w:val="9"/>
      </w:numPr>
      <w:spacing w:before="240" w:after="240"/>
    </w:pPr>
    <w:rPr>
      <w:rFonts w:ascii="Book Antiqua" w:eastAsia="Times New Roman" w:hAnsi="Book Antiqua"/>
      <w:sz w:val="22"/>
      <w:szCs w:val="20"/>
    </w:rPr>
  </w:style>
  <w:style w:type="paragraph" w:customStyle="1" w:styleId="ECABulletsSub-Sub">
    <w:name w:val="ECA Bullets Sub-Sub"/>
    <w:basedOn w:val="Normal"/>
    <w:autoRedefine/>
    <w:qFormat/>
    <w:rsid w:val="002F736A"/>
    <w:pPr>
      <w:numPr>
        <w:ilvl w:val="2"/>
        <w:numId w:val="9"/>
      </w:numPr>
      <w:spacing w:after="240"/>
    </w:pPr>
    <w:rPr>
      <w:rFonts w:ascii="Book Antiqua" w:eastAsia="Times New Roman" w:hAnsi="Book Antiqua"/>
      <w:sz w:val="22"/>
      <w:szCs w:val="20"/>
    </w:rPr>
  </w:style>
  <w:style w:type="character" w:customStyle="1" w:styleId="ECABulletsChar">
    <w:name w:val="ECA Bullets Char"/>
    <w:link w:val="ECABullets"/>
    <w:rsid w:val="002F736A"/>
    <w:rPr>
      <w:rFonts w:ascii="Book Antiqua" w:eastAsia="Times New Roman" w:hAnsi="Book Antiqua"/>
      <w:sz w:val="22"/>
      <w:lang w:val="en-GB" w:eastAsia="en-US"/>
    </w:rPr>
  </w:style>
  <w:style w:type="table" w:customStyle="1" w:styleId="GridTable1Light1">
    <w:name w:val="Grid Table 1 Light1"/>
    <w:basedOn w:val="TableNormal"/>
    <w:uiPriority w:val="46"/>
    <w:rsid w:val="00352148"/>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viiyi">
    <w:name w:val="viiyi"/>
    <w:basedOn w:val="DefaultParagraphFont"/>
    <w:rsid w:val="00352148"/>
  </w:style>
  <w:style w:type="character" w:customStyle="1" w:styleId="jlqj4b">
    <w:name w:val="jlqj4b"/>
    <w:basedOn w:val="DefaultParagraphFont"/>
    <w:rsid w:val="00352148"/>
  </w:style>
  <w:style w:type="paragraph" w:customStyle="1" w:styleId="xmsonormal">
    <w:name w:val="x_msonormal"/>
    <w:basedOn w:val="Normal"/>
    <w:rsid w:val="00D022F4"/>
    <w:pPr>
      <w:spacing w:before="100" w:beforeAutospacing="1" w:after="100" w:afterAutospacing="1"/>
    </w:pPr>
    <w:rPr>
      <w:rFonts w:ascii="Times New Roman" w:eastAsia="Times New Roman" w:hAnsi="Times New Roman"/>
      <w:lang w:val="en-US"/>
    </w:rPr>
  </w:style>
  <w:style w:type="table" w:customStyle="1" w:styleId="TableGrid2">
    <w:name w:val="Table Grid2"/>
    <w:basedOn w:val="TableNormal"/>
    <w:next w:val="TableGrid"/>
    <w:uiPriority w:val="59"/>
    <w:rsid w:val="008725CE"/>
    <w:pPr>
      <w:widowControl w:val="0"/>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rt0xe">
    <w:name w:val="trt0xe"/>
    <w:basedOn w:val="Normal"/>
    <w:rsid w:val="0092752A"/>
    <w:pPr>
      <w:spacing w:before="100" w:beforeAutospacing="1" w:after="100" w:afterAutospacing="1"/>
    </w:pPr>
    <w:rPr>
      <w:rFonts w:ascii="Times New Roman" w:eastAsia="Times New Roman" w:hAnsi="Times New Roman"/>
      <w:lang w:val="en-US"/>
    </w:rPr>
  </w:style>
  <w:style w:type="table" w:customStyle="1" w:styleId="TableGrid11">
    <w:name w:val="Table Grid11"/>
    <w:basedOn w:val="TableNormal"/>
    <w:next w:val="TableGrid"/>
    <w:uiPriority w:val="59"/>
    <w:rsid w:val="004F59F4"/>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Normal"/>
    <w:next w:val="FootnoteText"/>
    <w:uiPriority w:val="99"/>
    <w:unhideWhenUsed/>
    <w:qFormat/>
    <w:rsid w:val="00A86175"/>
    <w:rPr>
      <w:rFonts w:asciiTheme="minorHAnsi" w:eastAsiaTheme="minorHAnsi" w:hAnsiTheme="minorHAnsi" w:cstheme="minorBidi"/>
      <w:sz w:val="20"/>
      <w:szCs w:val="20"/>
      <w:lang w:val="en-US"/>
    </w:rPr>
  </w:style>
  <w:style w:type="character" w:customStyle="1" w:styleId="FootnoteTextChar1">
    <w:name w:val="Footnote Text Char1"/>
    <w:aliases w:val="Footnote Text Char Char Char Char1,Footnote Text Char Char Char2,Fußnote Char1,Testo nota a piè di pagina Carattere Char1,Geneva 9 Char1,Font: Geneva 9 Char1,Boston 10 Char1,f Char1,single space Char1,FOOTNOTES Char1,fn Char1,C Char1"/>
    <w:basedOn w:val="DefaultParagraphFont"/>
    <w:uiPriority w:val="99"/>
    <w:semiHidden/>
    <w:rsid w:val="00A86175"/>
    <w:rPr>
      <w:sz w:val="20"/>
      <w:szCs w:val="20"/>
    </w:rPr>
  </w:style>
  <w:style w:type="character" w:customStyle="1" w:styleId="y2iqfc">
    <w:name w:val="y2iqfc"/>
    <w:basedOn w:val="DefaultParagraphFont"/>
    <w:rsid w:val="00A72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9572">
      <w:bodyDiv w:val="1"/>
      <w:marLeft w:val="0"/>
      <w:marRight w:val="0"/>
      <w:marTop w:val="0"/>
      <w:marBottom w:val="0"/>
      <w:divBdr>
        <w:top w:val="none" w:sz="0" w:space="0" w:color="auto"/>
        <w:left w:val="none" w:sz="0" w:space="0" w:color="auto"/>
        <w:bottom w:val="none" w:sz="0" w:space="0" w:color="auto"/>
        <w:right w:val="none" w:sz="0" w:space="0" w:color="auto"/>
      </w:divBdr>
    </w:div>
    <w:div w:id="159741038">
      <w:bodyDiv w:val="1"/>
      <w:marLeft w:val="0"/>
      <w:marRight w:val="0"/>
      <w:marTop w:val="0"/>
      <w:marBottom w:val="0"/>
      <w:divBdr>
        <w:top w:val="none" w:sz="0" w:space="0" w:color="auto"/>
        <w:left w:val="none" w:sz="0" w:space="0" w:color="auto"/>
        <w:bottom w:val="none" w:sz="0" w:space="0" w:color="auto"/>
        <w:right w:val="none" w:sz="0" w:space="0" w:color="auto"/>
      </w:divBdr>
    </w:div>
    <w:div w:id="358354704">
      <w:bodyDiv w:val="1"/>
      <w:marLeft w:val="0"/>
      <w:marRight w:val="0"/>
      <w:marTop w:val="0"/>
      <w:marBottom w:val="0"/>
      <w:divBdr>
        <w:top w:val="none" w:sz="0" w:space="0" w:color="auto"/>
        <w:left w:val="none" w:sz="0" w:space="0" w:color="auto"/>
        <w:bottom w:val="none" w:sz="0" w:space="0" w:color="auto"/>
        <w:right w:val="none" w:sz="0" w:space="0" w:color="auto"/>
      </w:divBdr>
    </w:div>
    <w:div w:id="472798126">
      <w:bodyDiv w:val="1"/>
      <w:marLeft w:val="0"/>
      <w:marRight w:val="0"/>
      <w:marTop w:val="0"/>
      <w:marBottom w:val="0"/>
      <w:divBdr>
        <w:top w:val="none" w:sz="0" w:space="0" w:color="auto"/>
        <w:left w:val="none" w:sz="0" w:space="0" w:color="auto"/>
        <w:bottom w:val="none" w:sz="0" w:space="0" w:color="auto"/>
        <w:right w:val="none" w:sz="0" w:space="0" w:color="auto"/>
      </w:divBdr>
    </w:div>
    <w:div w:id="575211775">
      <w:bodyDiv w:val="1"/>
      <w:marLeft w:val="0"/>
      <w:marRight w:val="0"/>
      <w:marTop w:val="0"/>
      <w:marBottom w:val="0"/>
      <w:divBdr>
        <w:top w:val="none" w:sz="0" w:space="0" w:color="auto"/>
        <w:left w:val="none" w:sz="0" w:space="0" w:color="auto"/>
        <w:bottom w:val="none" w:sz="0" w:space="0" w:color="auto"/>
        <w:right w:val="none" w:sz="0" w:space="0" w:color="auto"/>
      </w:divBdr>
    </w:div>
    <w:div w:id="687490555">
      <w:bodyDiv w:val="1"/>
      <w:marLeft w:val="0"/>
      <w:marRight w:val="0"/>
      <w:marTop w:val="0"/>
      <w:marBottom w:val="0"/>
      <w:divBdr>
        <w:top w:val="none" w:sz="0" w:space="0" w:color="auto"/>
        <w:left w:val="none" w:sz="0" w:space="0" w:color="auto"/>
        <w:bottom w:val="none" w:sz="0" w:space="0" w:color="auto"/>
        <w:right w:val="none" w:sz="0" w:space="0" w:color="auto"/>
      </w:divBdr>
    </w:div>
    <w:div w:id="741484845">
      <w:bodyDiv w:val="1"/>
      <w:marLeft w:val="0"/>
      <w:marRight w:val="0"/>
      <w:marTop w:val="0"/>
      <w:marBottom w:val="0"/>
      <w:divBdr>
        <w:top w:val="none" w:sz="0" w:space="0" w:color="auto"/>
        <w:left w:val="none" w:sz="0" w:space="0" w:color="auto"/>
        <w:bottom w:val="none" w:sz="0" w:space="0" w:color="auto"/>
        <w:right w:val="none" w:sz="0" w:space="0" w:color="auto"/>
      </w:divBdr>
    </w:div>
    <w:div w:id="760377178">
      <w:bodyDiv w:val="1"/>
      <w:marLeft w:val="0"/>
      <w:marRight w:val="0"/>
      <w:marTop w:val="0"/>
      <w:marBottom w:val="0"/>
      <w:divBdr>
        <w:top w:val="none" w:sz="0" w:space="0" w:color="auto"/>
        <w:left w:val="none" w:sz="0" w:space="0" w:color="auto"/>
        <w:bottom w:val="none" w:sz="0" w:space="0" w:color="auto"/>
        <w:right w:val="none" w:sz="0" w:space="0" w:color="auto"/>
      </w:divBdr>
    </w:div>
    <w:div w:id="761684368">
      <w:bodyDiv w:val="1"/>
      <w:marLeft w:val="0"/>
      <w:marRight w:val="0"/>
      <w:marTop w:val="0"/>
      <w:marBottom w:val="0"/>
      <w:divBdr>
        <w:top w:val="none" w:sz="0" w:space="0" w:color="auto"/>
        <w:left w:val="none" w:sz="0" w:space="0" w:color="auto"/>
        <w:bottom w:val="none" w:sz="0" w:space="0" w:color="auto"/>
        <w:right w:val="none" w:sz="0" w:space="0" w:color="auto"/>
      </w:divBdr>
    </w:div>
    <w:div w:id="787507907">
      <w:bodyDiv w:val="1"/>
      <w:marLeft w:val="0"/>
      <w:marRight w:val="0"/>
      <w:marTop w:val="0"/>
      <w:marBottom w:val="0"/>
      <w:divBdr>
        <w:top w:val="none" w:sz="0" w:space="0" w:color="auto"/>
        <w:left w:val="none" w:sz="0" w:space="0" w:color="auto"/>
        <w:bottom w:val="none" w:sz="0" w:space="0" w:color="auto"/>
        <w:right w:val="none" w:sz="0" w:space="0" w:color="auto"/>
      </w:divBdr>
    </w:div>
    <w:div w:id="793905997">
      <w:bodyDiv w:val="1"/>
      <w:marLeft w:val="0"/>
      <w:marRight w:val="0"/>
      <w:marTop w:val="0"/>
      <w:marBottom w:val="0"/>
      <w:divBdr>
        <w:top w:val="none" w:sz="0" w:space="0" w:color="auto"/>
        <w:left w:val="none" w:sz="0" w:space="0" w:color="auto"/>
        <w:bottom w:val="none" w:sz="0" w:space="0" w:color="auto"/>
        <w:right w:val="none" w:sz="0" w:space="0" w:color="auto"/>
      </w:divBdr>
    </w:div>
    <w:div w:id="798499894">
      <w:bodyDiv w:val="1"/>
      <w:marLeft w:val="0"/>
      <w:marRight w:val="0"/>
      <w:marTop w:val="0"/>
      <w:marBottom w:val="0"/>
      <w:divBdr>
        <w:top w:val="none" w:sz="0" w:space="0" w:color="auto"/>
        <w:left w:val="none" w:sz="0" w:space="0" w:color="auto"/>
        <w:bottom w:val="none" w:sz="0" w:space="0" w:color="auto"/>
        <w:right w:val="none" w:sz="0" w:space="0" w:color="auto"/>
      </w:divBdr>
    </w:div>
    <w:div w:id="845746835">
      <w:bodyDiv w:val="1"/>
      <w:marLeft w:val="0"/>
      <w:marRight w:val="0"/>
      <w:marTop w:val="0"/>
      <w:marBottom w:val="0"/>
      <w:divBdr>
        <w:top w:val="none" w:sz="0" w:space="0" w:color="auto"/>
        <w:left w:val="none" w:sz="0" w:space="0" w:color="auto"/>
        <w:bottom w:val="none" w:sz="0" w:space="0" w:color="auto"/>
        <w:right w:val="none" w:sz="0" w:space="0" w:color="auto"/>
      </w:divBdr>
    </w:div>
    <w:div w:id="894311811">
      <w:bodyDiv w:val="1"/>
      <w:marLeft w:val="0"/>
      <w:marRight w:val="0"/>
      <w:marTop w:val="0"/>
      <w:marBottom w:val="0"/>
      <w:divBdr>
        <w:top w:val="none" w:sz="0" w:space="0" w:color="auto"/>
        <w:left w:val="none" w:sz="0" w:space="0" w:color="auto"/>
        <w:bottom w:val="none" w:sz="0" w:space="0" w:color="auto"/>
        <w:right w:val="none" w:sz="0" w:space="0" w:color="auto"/>
      </w:divBdr>
    </w:div>
    <w:div w:id="920678869">
      <w:bodyDiv w:val="1"/>
      <w:marLeft w:val="0"/>
      <w:marRight w:val="0"/>
      <w:marTop w:val="0"/>
      <w:marBottom w:val="0"/>
      <w:divBdr>
        <w:top w:val="none" w:sz="0" w:space="0" w:color="auto"/>
        <w:left w:val="none" w:sz="0" w:space="0" w:color="auto"/>
        <w:bottom w:val="none" w:sz="0" w:space="0" w:color="auto"/>
        <w:right w:val="none" w:sz="0" w:space="0" w:color="auto"/>
      </w:divBdr>
    </w:div>
    <w:div w:id="921371757">
      <w:bodyDiv w:val="1"/>
      <w:marLeft w:val="0"/>
      <w:marRight w:val="0"/>
      <w:marTop w:val="0"/>
      <w:marBottom w:val="0"/>
      <w:divBdr>
        <w:top w:val="none" w:sz="0" w:space="0" w:color="auto"/>
        <w:left w:val="none" w:sz="0" w:space="0" w:color="auto"/>
        <w:bottom w:val="none" w:sz="0" w:space="0" w:color="auto"/>
        <w:right w:val="none" w:sz="0" w:space="0" w:color="auto"/>
      </w:divBdr>
    </w:div>
    <w:div w:id="993141797">
      <w:bodyDiv w:val="1"/>
      <w:marLeft w:val="0"/>
      <w:marRight w:val="0"/>
      <w:marTop w:val="0"/>
      <w:marBottom w:val="0"/>
      <w:divBdr>
        <w:top w:val="none" w:sz="0" w:space="0" w:color="auto"/>
        <w:left w:val="none" w:sz="0" w:space="0" w:color="auto"/>
        <w:bottom w:val="none" w:sz="0" w:space="0" w:color="auto"/>
        <w:right w:val="none" w:sz="0" w:space="0" w:color="auto"/>
      </w:divBdr>
    </w:div>
    <w:div w:id="1005324193">
      <w:bodyDiv w:val="1"/>
      <w:marLeft w:val="0"/>
      <w:marRight w:val="0"/>
      <w:marTop w:val="0"/>
      <w:marBottom w:val="0"/>
      <w:divBdr>
        <w:top w:val="none" w:sz="0" w:space="0" w:color="auto"/>
        <w:left w:val="none" w:sz="0" w:space="0" w:color="auto"/>
        <w:bottom w:val="none" w:sz="0" w:space="0" w:color="auto"/>
        <w:right w:val="none" w:sz="0" w:space="0" w:color="auto"/>
      </w:divBdr>
    </w:div>
    <w:div w:id="1019434826">
      <w:bodyDiv w:val="1"/>
      <w:marLeft w:val="0"/>
      <w:marRight w:val="0"/>
      <w:marTop w:val="0"/>
      <w:marBottom w:val="0"/>
      <w:divBdr>
        <w:top w:val="none" w:sz="0" w:space="0" w:color="auto"/>
        <w:left w:val="none" w:sz="0" w:space="0" w:color="auto"/>
        <w:bottom w:val="none" w:sz="0" w:space="0" w:color="auto"/>
        <w:right w:val="none" w:sz="0" w:space="0" w:color="auto"/>
      </w:divBdr>
    </w:div>
    <w:div w:id="1135877592">
      <w:bodyDiv w:val="1"/>
      <w:marLeft w:val="0"/>
      <w:marRight w:val="0"/>
      <w:marTop w:val="0"/>
      <w:marBottom w:val="0"/>
      <w:divBdr>
        <w:top w:val="none" w:sz="0" w:space="0" w:color="auto"/>
        <w:left w:val="none" w:sz="0" w:space="0" w:color="auto"/>
        <w:bottom w:val="none" w:sz="0" w:space="0" w:color="auto"/>
        <w:right w:val="none" w:sz="0" w:space="0" w:color="auto"/>
      </w:divBdr>
    </w:div>
    <w:div w:id="1137263902">
      <w:bodyDiv w:val="1"/>
      <w:marLeft w:val="0"/>
      <w:marRight w:val="0"/>
      <w:marTop w:val="0"/>
      <w:marBottom w:val="0"/>
      <w:divBdr>
        <w:top w:val="none" w:sz="0" w:space="0" w:color="auto"/>
        <w:left w:val="none" w:sz="0" w:space="0" w:color="auto"/>
        <w:bottom w:val="none" w:sz="0" w:space="0" w:color="auto"/>
        <w:right w:val="none" w:sz="0" w:space="0" w:color="auto"/>
      </w:divBdr>
    </w:div>
    <w:div w:id="1454976968">
      <w:bodyDiv w:val="1"/>
      <w:marLeft w:val="0"/>
      <w:marRight w:val="0"/>
      <w:marTop w:val="0"/>
      <w:marBottom w:val="0"/>
      <w:divBdr>
        <w:top w:val="none" w:sz="0" w:space="0" w:color="auto"/>
        <w:left w:val="none" w:sz="0" w:space="0" w:color="auto"/>
        <w:bottom w:val="none" w:sz="0" w:space="0" w:color="auto"/>
        <w:right w:val="none" w:sz="0" w:space="0" w:color="auto"/>
      </w:divBdr>
    </w:div>
    <w:div w:id="1646230620">
      <w:bodyDiv w:val="1"/>
      <w:marLeft w:val="0"/>
      <w:marRight w:val="0"/>
      <w:marTop w:val="0"/>
      <w:marBottom w:val="0"/>
      <w:divBdr>
        <w:top w:val="none" w:sz="0" w:space="0" w:color="auto"/>
        <w:left w:val="none" w:sz="0" w:space="0" w:color="auto"/>
        <w:bottom w:val="none" w:sz="0" w:space="0" w:color="auto"/>
        <w:right w:val="none" w:sz="0" w:space="0" w:color="auto"/>
      </w:divBdr>
    </w:div>
    <w:div w:id="1647510297">
      <w:bodyDiv w:val="1"/>
      <w:marLeft w:val="0"/>
      <w:marRight w:val="0"/>
      <w:marTop w:val="0"/>
      <w:marBottom w:val="0"/>
      <w:divBdr>
        <w:top w:val="none" w:sz="0" w:space="0" w:color="auto"/>
        <w:left w:val="none" w:sz="0" w:space="0" w:color="auto"/>
        <w:bottom w:val="none" w:sz="0" w:space="0" w:color="auto"/>
        <w:right w:val="none" w:sz="0" w:space="0" w:color="auto"/>
      </w:divBdr>
    </w:div>
    <w:div w:id="1756199493">
      <w:bodyDiv w:val="1"/>
      <w:marLeft w:val="0"/>
      <w:marRight w:val="0"/>
      <w:marTop w:val="0"/>
      <w:marBottom w:val="0"/>
      <w:divBdr>
        <w:top w:val="none" w:sz="0" w:space="0" w:color="auto"/>
        <w:left w:val="none" w:sz="0" w:space="0" w:color="auto"/>
        <w:bottom w:val="none" w:sz="0" w:space="0" w:color="auto"/>
        <w:right w:val="none" w:sz="0" w:space="0" w:color="auto"/>
      </w:divBdr>
    </w:div>
    <w:div w:id="1793327579">
      <w:bodyDiv w:val="1"/>
      <w:marLeft w:val="0"/>
      <w:marRight w:val="0"/>
      <w:marTop w:val="0"/>
      <w:marBottom w:val="0"/>
      <w:divBdr>
        <w:top w:val="none" w:sz="0" w:space="0" w:color="auto"/>
        <w:left w:val="none" w:sz="0" w:space="0" w:color="auto"/>
        <w:bottom w:val="none" w:sz="0" w:space="0" w:color="auto"/>
        <w:right w:val="none" w:sz="0" w:space="0" w:color="auto"/>
      </w:divBdr>
    </w:div>
    <w:div w:id="1800143794">
      <w:bodyDiv w:val="1"/>
      <w:marLeft w:val="0"/>
      <w:marRight w:val="0"/>
      <w:marTop w:val="0"/>
      <w:marBottom w:val="0"/>
      <w:divBdr>
        <w:top w:val="none" w:sz="0" w:space="0" w:color="auto"/>
        <w:left w:val="none" w:sz="0" w:space="0" w:color="auto"/>
        <w:bottom w:val="none" w:sz="0" w:space="0" w:color="auto"/>
        <w:right w:val="none" w:sz="0" w:space="0" w:color="auto"/>
      </w:divBdr>
    </w:div>
    <w:div w:id="1934194654">
      <w:bodyDiv w:val="1"/>
      <w:marLeft w:val="0"/>
      <w:marRight w:val="0"/>
      <w:marTop w:val="0"/>
      <w:marBottom w:val="0"/>
      <w:divBdr>
        <w:top w:val="none" w:sz="0" w:space="0" w:color="auto"/>
        <w:left w:val="none" w:sz="0" w:space="0" w:color="auto"/>
        <w:bottom w:val="none" w:sz="0" w:space="0" w:color="auto"/>
        <w:right w:val="none" w:sz="0" w:space="0" w:color="auto"/>
      </w:divBdr>
    </w:div>
    <w:div w:id="1935698707">
      <w:bodyDiv w:val="1"/>
      <w:marLeft w:val="0"/>
      <w:marRight w:val="0"/>
      <w:marTop w:val="0"/>
      <w:marBottom w:val="0"/>
      <w:divBdr>
        <w:top w:val="none" w:sz="0" w:space="0" w:color="auto"/>
        <w:left w:val="none" w:sz="0" w:space="0" w:color="auto"/>
        <w:bottom w:val="none" w:sz="0" w:space="0" w:color="auto"/>
        <w:right w:val="none" w:sz="0" w:space="0" w:color="auto"/>
      </w:divBdr>
    </w:div>
    <w:div w:id="2055619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onsultimipublik.gov.al/Konsultime/Detaje/35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instat.gov.al/en/publications/books/2020/labour-market-2019/" TargetMode="External"/><Relationship Id="rId13" Type="http://schemas.openxmlformats.org/officeDocument/2006/relationships/hyperlink" Target="http://www.instat.gov.al/en/themes/economy-and-finance/national-accounts-gdp/" TargetMode="External"/><Relationship Id="rId18" Type="http://schemas.openxmlformats.org/officeDocument/2006/relationships/hyperlink" Target="https://ec.europa.eu/eurostat/databrowser/view/NAMA_10_A64__custom_1349853/default/table?lang=en" TargetMode="External"/><Relationship Id="rId3" Type="http://schemas.openxmlformats.org/officeDocument/2006/relationships/hyperlink" Target="https://www.bankofalbania.org/Rreth_Bankes/Legjislacioni/Rregullore_Nr_36_Per_funksionimin_e_sistemit_te_pagesave_nderbankare_me_vlere_te_madhe-AIPS.html" TargetMode="External"/><Relationship Id="rId7" Type="http://schemas.openxmlformats.org/officeDocument/2006/relationships/hyperlink" Target="http://www.instat.gov.al/en/sdgs/quality-education/43-ensure-equal-access-for-all-women-and-men-to-affordable-and-quality-technical-vocational-and-tertiary-education-including-university/431-participation-rate-of-youth-and-adults-in-formal-and-non-formal-education-and-training-in-the-previous-12-months-by-sex/" TargetMode="External"/><Relationship Id="rId12" Type="http://schemas.openxmlformats.org/officeDocument/2006/relationships/hyperlink" Target="https://ec.europa.eu/eurostat/databrowser/view/NAMA_10_A64__custom_1349853/default/table?lang=en" TargetMode="External"/><Relationship Id="rId17" Type="http://schemas.openxmlformats.org/officeDocument/2006/relationships/hyperlink" Target="http://www.instat.gov.al/en/publications/books/2020/labour-market-2019/" TargetMode="External"/><Relationship Id="rId2" Type="http://schemas.openxmlformats.org/officeDocument/2006/relationships/hyperlink" Target="https://www.bankofalbania.org/rc/doc/16_NRepishti_AKSHI_electronicpayments_e_Albania_18144.pdf" TargetMode="External"/><Relationship Id="rId16" Type="http://schemas.openxmlformats.org/officeDocument/2006/relationships/hyperlink" Target="http://www.instat.gov.al/en/themes/economy-and-finance/national-accounts-gdp/" TargetMode="External"/><Relationship Id="rId20" Type="http://schemas.openxmlformats.org/officeDocument/2006/relationships/hyperlink" Target="http://www.instat.gov.al/en/publications/books/2020/labour-market-2019/" TargetMode="External"/><Relationship Id="rId1" Type="http://schemas.openxmlformats.org/officeDocument/2006/relationships/hyperlink" Target="https://www.bankofalbania.org/rc/doc/01_Government_payment_digitization_in_albania_NPC_15758.pptx" TargetMode="External"/><Relationship Id="rId6" Type="http://schemas.openxmlformats.org/officeDocument/2006/relationships/hyperlink" Target="http://www.instat.gov.al/en/sdgs/quality-education/43-ensure-equal-access-for-all-women-and-men-to-affordable-and-quality-technical-vocational-and-tertiary-education-including-university/431-participation-rate-of-youth-and-adults-in-formal-and-non-formal-education-and-training-in-the-previous-12-months-by-sex/" TargetMode="External"/><Relationship Id="rId11" Type="http://schemas.openxmlformats.org/officeDocument/2006/relationships/hyperlink" Target="http://www.instat.gov.al/en/publications/books/2020/labour-market-2019/" TargetMode="External"/><Relationship Id="rId5" Type="http://schemas.openxmlformats.org/officeDocument/2006/relationships/hyperlink" Target="https://ec.europa.eu/neighbourhood-enlargement/sites/near/files/communication_on_wb_economic_and_investment_plan_october_2020_en.pdf" TargetMode="External"/><Relationship Id="rId15" Type="http://schemas.openxmlformats.org/officeDocument/2006/relationships/hyperlink" Target="https://ec.europa.eu/eurostat/databrowser/view/NAMA_10_A64__custom_1349853/default/table?lang=en" TargetMode="External"/><Relationship Id="rId10" Type="http://schemas.openxmlformats.org/officeDocument/2006/relationships/hyperlink" Target="http://www.instat.gov.al/en/publications/books/2020/labour-market-2019/" TargetMode="External"/><Relationship Id="rId19" Type="http://schemas.openxmlformats.org/officeDocument/2006/relationships/hyperlink" Target="http://www.instat.gov.al/en/themes/economy-and-finance/national-accounts-gdp/" TargetMode="External"/><Relationship Id="rId4" Type="http://schemas.openxmlformats.org/officeDocument/2006/relationships/hyperlink" Target="https://eeas.europa.eu/delegations/albania/83464/regional-broadband-infrastructure-development-albania-closing-workshop_en" TargetMode="External"/><Relationship Id="rId9" Type="http://schemas.openxmlformats.org/officeDocument/2006/relationships/hyperlink" Target="http://www.instat.gov.al/en/publications/books/2020/labour-market-2019/" TargetMode="External"/><Relationship Id="rId14" Type="http://schemas.openxmlformats.org/officeDocument/2006/relationships/hyperlink" Target="http://www.instat.gov.al/en/publications/books/2020/labour-market-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61D8A-F7FB-4BCC-9004-A488DA901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109</Pages>
  <Words>53660</Words>
  <Characters>305862</Characters>
  <Application>Microsoft Office Word</Application>
  <DocSecurity>0</DocSecurity>
  <Lines>2548</Lines>
  <Paragraphs>717</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Economic Reforma Programme 2021-2023</vt:lpstr>
      <vt:lpstr>KUADRI I PËRGJITHSHËM POLITIK DHE OBJEKTIVAT</vt:lpstr>
      <vt:lpstr>ZBATIMI I UDHËZIMEVE POLITIKE</vt:lpstr>
      <vt:lpstr>    Rekomandimi 1</vt:lpstr>
      <vt:lpstr>    Rekomandimi 2</vt:lpstr>
      <vt:lpstr>    Rekomandimi 3</vt:lpstr>
      <vt:lpstr>    Rekomandimi 4</vt:lpstr>
      <vt:lpstr>    Rekomandimi 5</vt:lpstr>
      <vt:lpstr>    Rekomandimi 6</vt:lpstr>
      <vt:lpstr>KUADRI MAKROEKONOMIK</vt:lpstr>
      <vt:lpstr>    Zhvillimet e fundit ekonomike</vt:lpstr>
      <vt:lpstr>    Skenari makroekonomik afatmesëm</vt:lpstr>
      <vt:lpstr>    Skenari alternativ dhe rreziqet</vt:lpstr>
      <vt:lpstr>KUADRI FISKAL</vt:lpstr>
      <vt:lpstr>    Politikat strategjike dhe objektivat afatmesme</vt:lpstr>
      <vt:lpstr>    Implementimi i buxhetit për vitin 2020</vt:lpstr>
      <vt:lpstr>    Planet buxhetore për vitin e dorëzimit të ERP-së</vt:lpstr>
      <vt:lpstr>    Perspektiva buxhetore afatmesme</vt:lpstr>
      <vt:lpstr>    Bilanci strukturor</vt:lpstr>
      <vt:lpstr>    Niveli i borxhit dhe zhvillimet</vt:lpstr>
      <vt:lpstr>    Analiza e ndjeshmërisë dhe krahasimi me programin e mëparshëm</vt:lpstr>
      <vt:lpstr>    Cilësia e financave publike</vt:lpstr>
      <vt:lpstr>    Qeverisja fiskale dhe kuadri buxhetor</vt:lpstr>
      <vt:lpstr>    Qëndrueshmëria e financave publike</vt:lpstr>
      <vt:lpstr>REFORMAT STRUKTURORE PARËSORE NË 2022-2024</vt:lpstr>
      <vt:lpstr>    Përditësim mbi tre pengesat kryesore në konkurrueshmëri dhe rritje përfshirëse d</vt:lpstr>
      <vt:lpstr>        Sfida Kyçe #1</vt:lpstr>
      <vt:lpstr>        Sfida Kyçe #2</vt:lpstr>
    </vt:vector>
  </TitlesOfParts>
  <Company/>
  <LinksUpToDate>false</LinksUpToDate>
  <CharactersWithSpaces>358805</CharactersWithSpaces>
  <SharedDoc>false</SharedDoc>
  <HLinks>
    <vt:vector size="210" baseType="variant">
      <vt:variant>
        <vt:i4>3538996</vt:i4>
      </vt:variant>
      <vt:variant>
        <vt:i4>459</vt:i4>
      </vt:variant>
      <vt:variant>
        <vt:i4>0</vt:i4>
      </vt:variant>
      <vt:variant>
        <vt:i4>5</vt:i4>
      </vt:variant>
      <vt:variant>
        <vt:lpwstr>http://www.puna.gov.al/</vt:lpwstr>
      </vt:variant>
      <vt:variant>
        <vt:lpwstr/>
      </vt:variant>
      <vt:variant>
        <vt:i4>5111898</vt:i4>
      </vt:variant>
      <vt:variant>
        <vt:i4>456</vt:i4>
      </vt:variant>
      <vt:variant>
        <vt:i4>0</vt:i4>
      </vt:variant>
      <vt:variant>
        <vt:i4>5</vt:i4>
      </vt:variant>
      <vt:variant>
        <vt:lpwstr>https://www.e-albania.al/sherbimi.aspx?kodi=6093</vt:lpwstr>
      </vt:variant>
      <vt:variant>
        <vt:lpwstr/>
      </vt:variant>
      <vt:variant>
        <vt:i4>2031674</vt:i4>
      </vt:variant>
      <vt:variant>
        <vt:i4>182</vt:i4>
      </vt:variant>
      <vt:variant>
        <vt:i4>0</vt:i4>
      </vt:variant>
      <vt:variant>
        <vt:i4>5</vt:i4>
      </vt:variant>
      <vt:variant>
        <vt:lpwstr/>
      </vt:variant>
      <vt:variant>
        <vt:lpwstr>_Toc473552880</vt:lpwstr>
      </vt:variant>
      <vt:variant>
        <vt:i4>1048634</vt:i4>
      </vt:variant>
      <vt:variant>
        <vt:i4>176</vt:i4>
      </vt:variant>
      <vt:variant>
        <vt:i4>0</vt:i4>
      </vt:variant>
      <vt:variant>
        <vt:i4>5</vt:i4>
      </vt:variant>
      <vt:variant>
        <vt:lpwstr/>
      </vt:variant>
      <vt:variant>
        <vt:lpwstr>_Toc473552879</vt:lpwstr>
      </vt:variant>
      <vt:variant>
        <vt:i4>1048634</vt:i4>
      </vt:variant>
      <vt:variant>
        <vt:i4>170</vt:i4>
      </vt:variant>
      <vt:variant>
        <vt:i4>0</vt:i4>
      </vt:variant>
      <vt:variant>
        <vt:i4>5</vt:i4>
      </vt:variant>
      <vt:variant>
        <vt:lpwstr/>
      </vt:variant>
      <vt:variant>
        <vt:lpwstr>_Toc473552878</vt:lpwstr>
      </vt:variant>
      <vt:variant>
        <vt:i4>1048634</vt:i4>
      </vt:variant>
      <vt:variant>
        <vt:i4>164</vt:i4>
      </vt:variant>
      <vt:variant>
        <vt:i4>0</vt:i4>
      </vt:variant>
      <vt:variant>
        <vt:i4>5</vt:i4>
      </vt:variant>
      <vt:variant>
        <vt:lpwstr/>
      </vt:variant>
      <vt:variant>
        <vt:lpwstr>_Toc473552877</vt:lpwstr>
      </vt:variant>
      <vt:variant>
        <vt:i4>1048634</vt:i4>
      </vt:variant>
      <vt:variant>
        <vt:i4>158</vt:i4>
      </vt:variant>
      <vt:variant>
        <vt:i4>0</vt:i4>
      </vt:variant>
      <vt:variant>
        <vt:i4>5</vt:i4>
      </vt:variant>
      <vt:variant>
        <vt:lpwstr/>
      </vt:variant>
      <vt:variant>
        <vt:lpwstr>_Toc473552876</vt:lpwstr>
      </vt:variant>
      <vt:variant>
        <vt:i4>1048634</vt:i4>
      </vt:variant>
      <vt:variant>
        <vt:i4>152</vt:i4>
      </vt:variant>
      <vt:variant>
        <vt:i4>0</vt:i4>
      </vt:variant>
      <vt:variant>
        <vt:i4>5</vt:i4>
      </vt:variant>
      <vt:variant>
        <vt:lpwstr/>
      </vt:variant>
      <vt:variant>
        <vt:lpwstr>_Toc473552875</vt:lpwstr>
      </vt:variant>
      <vt:variant>
        <vt:i4>1048634</vt:i4>
      </vt:variant>
      <vt:variant>
        <vt:i4>146</vt:i4>
      </vt:variant>
      <vt:variant>
        <vt:i4>0</vt:i4>
      </vt:variant>
      <vt:variant>
        <vt:i4>5</vt:i4>
      </vt:variant>
      <vt:variant>
        <vt:lpwstr/>
      </vt:variant>
      <vt:variant>
        <vt:lpwstr>_Toc473552874</vt:lpwstr>
      </vt:variant>
      <vt:variant>
        <vt:i4>1048634</vt:i4>
      </vt:variant>
      <vt:variant>
        <vt:i4>140</vt:i4>
      </vt:variant>
      <vt:variant>
        <vt:i4>0</vt:i4>
      </vt:variant>
      <vt:variant>
        <vt:i4>5</vt:i4>
      </vt:variant>
      <vt:variant>
        <vt:lpwstr/>
      </vt:variant>
      <vt:variant>
        <vt:lpwstr>_Toc473552873</vt:lpwstr>
      </vt:variant>
      <vt:variant>
        <vt:i4>1048634</vt:i4>
      </vt:variant>
      <vt:variant>
        <vt:i4>134</vt:i4>
      </vt:variant>
      <vt:variant>
        <vt:i4>0</vt:i4>
      </vt:variant>
      <vt:variant>
        <vt:i4>5</vt:i4>
      </vt:variant>
      <vt:variant>
        <vt:lpwstr/>
      </vt:variant>
      <vt:variant>
        <vt:lpwstr>_Toc473552872</vt:lpwstr>
      </vt:variant>
      <vt:variant>
        <vt:i4>1048634</vt:i4>
      </vt:variant>
      <vt:variant>
        <vt:i4>128</vt:i4>
      </vt:variant>
      <vt:variant>
        <vt:i4>0</vt:i4>
      </vt:variant>
      <vt:variant>
        <vt:i4>5</vt:i4>
      </vt:variant>
      <vt:variant>
        <vt:lpwstr/>
      </vt:variant>
      <vt:variant>
        <vt:lpwstr>_Toc473552871</vt:lpwstr>
      </vt:variant>
      <vt:variant>
        <vt:i4>1048634</vt:i4>
      </vt:variant>
      <vt:variant>
        <vt:i4>122</vt:i4>
      </vt:variant>
      <vt:variant>
        <vt:i4>0</vt:i4>
      </vt:variant>
      <vt:variant>
        <vt:i4>5</vt:i4>
      </vt:variant>
      <vt:variant>
        <vt:lpwstr/>
      </vt:variant>
      <vt:variant>
        <vt:lpwstr>_Toc473552870</vt:lpwstr>
      </vt:variant>
      <vt:variant>
        <vt:i4>1114170</vt:i4>
      </vt:variant>
      <vt:variant>
        <vt:i4>116</vt:i4>
      </vt:variant>
      <vt:variant>
        <vt:i4>0</vt:i4>
      </vt:variant>
      <vt:variant>
        <vt:i4>5</vt:i4>
      </vt:variant>
      <vt:variant>
        <vt:lpwstr/>
      </vt:variant>
      <vt:variant>
        <vt:lpwstr>_Toc473552869</vt:lpwstr>
      </vt:variant>
      <vt:variant>
        <vt:i4>1114170</vt:i4>
      </vt:variant>
      <vt:variant>
        <vt:i4>110</vt:i4>
      </vt:variant>
      <vt:variant>
        <vt:i4>0</vt:i4>
      </vt:variant>
      <vt:variant>
        <vt:i4>5</vt:i4>
      </vt:variant>
      <vt:variant>
        <vt:lpwstr/>
      </vt:variant>
      <vt:variant>
        <vt:lpwstr>_Toc473552868</vt:lpwstr>
      </vt:variant>
      <vt:variant>
        <vt:i4>1114170</vt:i4>
      </vt:variant>
      <vt:variant>
        <vt:i4>104</vt:i4>
      </vt:variant>
      <vt:variant>
        <vt:i4>0</vt:i4>
      </vt:variant>
      <vt:variant>
        <vt:i4>5</vt:i4>
      </vt:variant>
      <vt:variant>
        <vt:lpwstr/>
      </vt:variant>
      <vt:variant>
        <vt:lpwstr>_Toc473552867</vt:lpwstr>
      </vt:variant>
      <vt:variant>
        <vt:i4>1114170</vt:i4>
      </vt:variant>
      <vt:variant>
        <vt:i4>98</vt:i4>
      </vt:variant>
      <vt:variant>
        <vt:i4>0</vt:i4>
      </vt:variant>
      <vt:variant>
        <vt:i4>5</vt:i4>
      </vt:variant>
      <vt:variant>
        <vt:lpwstr/>
      </vt:variant>
      <vt:variant>
        <vt:lpwstr>_Toc473552866</vt:lpwstr>
      </vt:variant>
      <vt:variant>
        <vt:i4>1114170</vt:i4>
      </vt:variant>
      <vt:variant>
        <vt:i4>92</vt:i4>
      </vt:variant>
      <vt:variant>
        <vt:i4>0</vt:i4>
      </vt:variant>
      <vt:variant>
        <vt:i4>5</vt:i4>
      </vt:variant>
      <vt:variant>
        <vt:lpwstr/>
      </vt:variant>
      <vt:variant>
        <vt:lpwstr>_Toc473552865</vt:lpwstr>
      </vt:variant>
      <vt:variant>
        <vt:i4>1114170</vt:i4>
      </vt:variant>
      <vt:variant>
        <vt:i4>86</vt:i4>
      </vt:variant>
      <vt:variant>
        <vt:i4>0</vt:i4>
      </vt:variant>
      <vt:variant>
        <vt:i4>5</vt:i4>
      </vt:variant>
      <vt:variant>
        <vt:lpwstr/>
      </vt:variant>
      <vt:variant>
        <vt:lpwstr>_Toc473552864</vt:lpwstr>
      </vt:variant>
      <vt:variant>
        <vt:i4>1114170</vt:i4>
      </vt:variant>
      <vt:variant>
        <vt:i4>80</vt:i4>
      </vt:variant>
      <vt:variant>
        <vt:i4>0</vt:i4>
      </vt:variant>
      <vt:variant>
        <vt:i4>5</vt:i4>
      </vt:variant>
      <vt:variant>
        <vt:lpwstr/>
      </vt:variant>
      <vt:variant>
        <vt:lpwstr>_Toc473552863</vt:lpwstr>
      </vt:variant>
      <vt:variant>
        <vt:i4>1114170</vt:i4>
      </vt:variant>
      <vt:variant>
        <vt:i4>74</vt:i4>
      </vt:variant>
      <vt:variant>
        <vt:i4>0</vt:i4>
      </vt:variant>
      <vt:variant>
        <vt:i4>5</vt:i4>
      </vt:variant>
      <vt:variant>
        <vt:lpwstr/>
      </vt:variant>
      <vt:variant>
        <vt:lpwstr>_Toc473552862</vt:lpwstr>
      </vt:variant>
      <vt:variant>
        <vt:i4>1114170</vt:i4>
      </vt:variant>
      <vt:variant>
        <vt:i4>68</vt:i4>
      </vt:variant>
      <vt:variant>
        <vt:i4>0</vt:i4>
      </vt:variant>
      <vt:variant>
        <vt:i4>5</vt:i4>
      </vt:variant>
      <vt:variant>
        <vt:lpwstr/>
      </vt:variant>
      <vt:variant>
        <vt:lpwstr>_Toc473552861</vt:lpwstr>
      </vt:variant>
      <vt:variant>
        <vt:i4>1114170</vt:i4>
      </vt:variant>
      <vt:variant>
        <vt:i4>62</vt:i4>
      </vt:variant>
      <vt:variant>
        <vt:i4>0</vt:i4>
      </vt:variant>
      <vt:variant>
        <vt:i4>5</vt:i4>
      </vt:variant>
      <vt:variant>
        <vt:lpwstr/>
      </vt:variant>
      <vt:variant>
        <vt:lpwstr>_Toc473552860</vt:lpwstr>
      </vt:variant>
      <vt:variant>
        <vt:i4>1179706</vt:i4>
      </vt:variant>
      <vt:variant>
        <vt:i4>56</vt:i4>
      </vt:variant>
      <vt:variant>
        <vt:i4>0</vt:i4>
      </vt:variant>
      <vt:variant>
        <vt:i4>5</vt:i4>
      </vt:variant>
      <vt:variant>
        <vt:lpwstr/>
      </vt:variant>
      <vt:variant>
        <vt:lpwstr>_Toc473552859</vt:lpwstr>
      </vt:variant>
      <vt:variant>
        <vt:i4>1179706</vt:i4>
      </vt:variant>
      <vt:variant>
        <vt:i4>50</vt:i4>
      </vt:variant>
      <vt:variant>
        <vt:i4>0</vt:i4>
      </vt:variant>
      <vt:variant>
        <vt:i4>5</vt:i4>
      </vt:variant>
      <vt:variant>
        <vt:lpwstr/>
      </vt:variant>
      <vt:variant>
        <vt:lpwstr>_Toc473552858</vt:lpwstr>
      </vt:variant>
      <vt:variant>
        <vt:i4>1179706</vt:i4>
      </vt:variant>
      <vt:variant>
        <vt:i4>44</vt:i4>
      </vt:variant>
      <vt:variant>
        <vt:i4>0</vt:i4>
      </vt:variant>
      <vt:variant>
        <vt:i4>5</vt:i4>
      </vt:variant>
      <vt:variant>
        <vt:lpwstr/>
      </vt:variant>
      <vt:variant>
        <vt:lpwstr>_Toc473552857</vt:lpwstr>
      </vt:variant>
      <vt:variant>
        <vt:i4>1179706</vt:i4>
      </vt:variant>
      <vt:variant>
        <vt:i4>38</vt:i4>
      </vt:variant>
      <vt:variant>
        <vt:i4>0</vt:i4>
      </vt:variant>
      <vt:variant>
        <vt:i4>5</vt:i4>
      </vt:variant>
      <vt:variant>
        <vt:lpwstr/>
      </vt:variant>
      <vt:variant>
        <vt:lpwstr>_Toc473552856</vt:lpwstr>
      </vt:variant>
      <vt:variant>
        <vt:i4>1179706</vt:i4>
      </vt:variant>
      <vt:variant>
        <vt:i4>32</vt:i4>
      </vt:variant>
      <vt:variant>
        <vt:i4>0</vt:i4>
      </vt:variant>
      <vt:variant>
        <vt:i4>5</vt:i4>
      </vt:variant>
      <vt:variant>
        <vt:lpwstr/>
      </vt:variant>
      <vt:variant>
        <vt:lpwstr>_Toc473552855</vt:lpwstr>
      </vt:variant>
      <vt:variant>
        <vt:i4>1179706</vt:i4>
      </vt:variant>
      <vt:variant>
        <vt:i4>26</vt:i4>
      </vt:variant>
      <vt:variant>
        <vt:i4>0</vt:i4>
      </vt:variant>
      <vt:variant>
        <vt:i4>5</vt:i4>
      </vt:variant>
      <vt:variant>
        <vt:lpwstr/>
      </vt:variant>
      <vt:variant>
        <vt:lpwstr>_Toc473552854</vt:lpwstr>
      </vt:variant>
      <vt:variant>
        <vt:i4>1179706</vt:i4>
      </vt:variant>
      <vt:variant>
        <vt:i4>20</vt:i4>
      </vt:variant>
      <vt:variant>
        <vt:i4>0</vt:i4>
      </vt:variant>
      <vt:variant>
        <vt:i4>5</vt:i4>
      </vt:variant>
      <vt:variant>
        <vt:lpwstr/>
      </vt:variant>
      <vt:variant>
        <vt:lpwstr>_Toc473552853</vt:lpwstr>
      </vt:variant>
      <vt:variant>
        <vt:i4>1179706</vt:i4>
      </vt:variant>
      <vt:variant>
        <vt:i4>14</vt:i4>
      </vt:variant>
      <vt:variant>
        <vt:i4>0</vt:i4>
      </vt:variant>
      <vt:variant>
        <vt:i4>5</vt:i4>
      </vt:variant>
      <vt:variant>
        <vt:lpwstr/>
      </vt:variant>
      <vt:variant>
        <vt:lpwstr>_Toc473552852</vt:lpwstr>
      </vt:variant>
      <vt:variant>
        <vt:i4>1179706</vt:i4>
      </vt:variant>
      <vt:variant>
        <vt:i4>8</vt:i4>
      </vt:variant>
      <vt:variant>
        <vt:i4>0</vt:i4>
      </vt:variant>
      <vt:variant>
        <vt:i4>5</vt:i4>
      </vt:variant>
      <vt:variant>
        <vt:lpwstr/>
      </vt:variant>
      <vt:variant>
        <vt:lpwstr>_Toc473552851</vt:lpwstr>
      </vt:variant>
      <vt:variant>
        <vt:i4>1179706</vt:i4>
      </vt:variant>
      <vt:variant>
        <vt:i4>2</vt:i4>
      </vt:variant>
      <vt:variant>
        <vt:i4>0</vt:i4>
      </vt:variant>
      <vt:variant>
        <vt:i4>5</vt:i4>
      </vt:variant>
      <vt:variant>
        <vt:lpwstr/>
      </vt:variant>
      <vt:variant>
        <vt:lpwstr>_Toc473552850</vt:lpwstr>
      </vt:variant>
      <vt:variant>
        <vt:i4>1179667</vt:i4>
      </vt:variant>
      <vt:variant>
        <vt:i4>3</vt:i4>
      </vt:variant>
      <vt:variant>
        <vt:i4>0</vt:i4>
      </vt:variant>
      <vt:variant>
        <vt:i4>5</vt:i4>
      </vt:variant>
      <vt:variant>
        <vt:lpwstr>http://www.arsimi.gov.al/files/userfiles/buxheti/2016/perditesime/Raporti_i_Monitorimit_12-mujori_Janar-Dhjetor_2015_30.01._2016_F_N_(4).pdf</vt:lpwstr>
      </vt:variant>
      <vt:variant>
        <vt:lpwstr/>
      </vt:variant>
      <vt:variant>
        <vt:i4>3407994</vt:i4>
      </vt:variant>
      <vt:variant>
        <vt:i4>0</vt:i4>
      </vt:variant>
      <vt:variant>
        <vt:i4>0</vt:i4>
      </vt:variant>
      <vt:variant>
        <vt:i4>5</vt:i4>
      </vt:variant>
      <vt:variant>
        <vt:lpwstr>http://www.akti.gov.al/dokumenta/strategjia_2009_2015.pdf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Reforma Programme 2021-2023</dc:title>
  <dc:subject/>
  <dc:creator>Elson Caka</dc:creator>
  <cp:keywords>ERP;Albania</cp:keywords>
  <dc:description/>
  <cp:lastModifiedBy>Elson Caka</cp:lastModifiedBy>
  <cp:revision>77</cp:revision>
  <cp:lastPrinted>2021-02-04T15:17:00Z</cp:lastPrinted>
  <dcterms:created xsi:type="dcterms:W3CDTF">2021-12-01T07:36:00Z</dcterms:created>
  <dcterms:modified xsi:type="dcterms:W3CDTF">2022-01-10T14:32:00Z</dcterms:modified>
</cp:coreProperties>
</file>