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DD1F" w14:textId="77777777" w:rsidR="008675CA" w:rsidRPr="004E44CB" w:rsidRDefault="00E54C97" w:rsidP="008675CA">
      <w:pPr>
        <w:pStyle w:val="Heading2"/>
        <w:jc w:val="center"/>
        <w:rPr>
          <w:rFonts w:ascii="Times New Roman" w:hAnsi="Times New Roman"/>
          <w:i w:val="0"/>
          <w:iCs/>
          <w:szCs w:val="24"/>
          <w:lang w:val="sq-AL"/>
        </w:rPr>
      </w:pPr>
      <w:r w:rsidRPr="004E44CB">
        <w:rPr>
          <w:rFonts w:ascii="Times New Roman" w:hAnsi="Times New Roman"/>
          <w:i w:val="0"/>
          <w:iCs/>
          <w:szCs w:val="24"/>
          <w:lang w:val="sq-AL"/>
        </w:rPr>
        <w:t>MODEL</w:t>
      </w:r>
      <w:r w:rsidR="00463C25" w:rsidRPr="004E44CB">
        <w:rPr>
          <w:rFonts w:ascii="Times New Roman" w:hAnsi="Times New Roman"/>
          <w:i w:val="0"/>
          <w:iCs/>
          <w:szCs w:val="24"/>
          <w:lang w:val="sq-AL"/>
        </w:rPr>
        <w:t xml:space="preserve">I </w:t>
      </w:r>
      <w:r w:rsidRPr="004E44CB">
        <w:rPr>
          <w:rFonts w:ascii="Times New Roman" w:hAnsi="Times New Roman"/>
          <w:i w:val="0"/>
          <w:iCs/>
          <w:szCs w:val="24"/>
          <w:lang w:val="sq-AL"/>
        </w:rPr>
        <w:t>P</w:t>
      </w:r>
      <w:r w:rsidR="00044810" w:rsidRPr="004E44CB">
        <w:rPr>
          <w:rFonts w:ascii="Times New Roman" w:hAnsi="Times New Roman"/>
          <w:i w:val="0"/>
          <w:iCs/>
          <w:szCs w:val="24"/>
          <w:lang w:val="sq-AL"/>
        </w:rPr>
        <w:t>Ë</w:t>
      </w:r>
      <w:r w:rsidRPr="004E44CB">
        <w:rPr>
          <w:rFonts w:ascii="Times New Roman" w:hAnsi="Times New Roman"/>
          <w:i w:val="0"/>
          <w:iCs/>
          <w:szCs w:val="24"/>
          <w:lang w:val="sq-AL"/>
        </w:rPr>
        <w:t>R DOKUMENTIN KONSULTATIV</w:t>
      </w:r>
    </w:p>
    <w:p w14:paraId="6372D3DD" w14:textId="1EF67086" w:rsidR="008675CA" w:rsidRPr="004E44CB" w:rsidRDefault="00E54C97" w:rsidP="001E4573">
      <w:pPr>
        <w:pStyle w:val="BodyText"/>
        <w:jc w:val="center"/>
        <w:rPr>
          <w:rFonts w:ascii="Times New Roman" w:hAnsi="Times New Roman"/>
          <w:b/>
          <w:sz w:val="24"/>
          <w:szCs w:val="24"/>
          <w:lang w:val="sq-AL"/>
        </w:rPr>
      </w:pPr>
      <w:r w:rsidRPr="004E44CB">
        <w:rPr>
          <w:rFonts w:ascii="Times New Roman" w:hAnsi="Times New Roman"/>
          <w:b/>
          <w:sz w:val="24"/>
          <w:szCs w:val="24"/>
          <w:lang w:val="sq-AL"/>
        </w:rPr>
        <w:t>P</w:t>
      </w:r>
      <w:r w:rsidR="00044810" w:rsidRPr="004E44CB">
        <w:rPr>
          <w:rFonts w:ascii="Times New Roman" w:hAnsi="Times New Roman"/>
          <w:b/>
          <w:sz w:val="24"/>
          <w:szCs w:val="24"/>
          <w:lang w:val="sq-AL"/>
        </w:rPr>
        <w:t>ë</w:t>
      </w:r>
      <w:r w:rsidRPr="004E44CB">
        <w:rPr>
          <w:rFonts w:ascii="Times New Roman" w:hAnsi="Times New Roman"/>
          <w:b/>
          <w:sz w:val="24"/>
          <w:szCs w:val="24"/>
          <w:lang w:val="sq-AL"/>
        </w:rPr>
        <w:t>r draftin</w:t>
      </w:r>
      <w:r w:rsidR="001E4573" w:rsidRPr="004E44CB">
        <w:rPr>
          <w:rFonts w:ascii="Times New Roman" w:hAnsi="Times New Roman"/>
          <w:b/>
          <w:sz w:val="24"/>
          <w:szCs w:val="24"/>
          <w:lang w:val="sq-AL"/>
        </w:rPr>
        <w:t xml:space="preserve"> </w:t>
      </w:r>
      <w:r w:rsidR="004E44CB" w:rsidRPr="004E44CB">
        <w:rPr>
          <w:rFonts w:ascii="Times New Roman" w:hAnsi="Times New Roman"/>
          <w:b/>
          <w:sz w:val="24"/>
          <w:szCs w:val="24"/>
          <w:lang w:val="sq-AL"/>
        </w:rPr>
        <w:t>e projektligjit “Për disa shtesa dhe ndryshime në ligjin nr.112/2020, “Për regjistrin e pronar</w:t>
      </w:r>
      <w:r w:rsidR="004E44CB">
        <w:rPr>
          <w:rFonts w:ascii="Times New Roman" w:hAnsi="Times New Roman"/>
          <w:b/>
          <w:sz w:val="24"/>
          <w:szCs w:val="24"/>
          <w:lang w:val="sq-AL"/>
        </w:rPr>
        <w:t>ë</w:t>
      </w:r>
      <w:r w:rsidR="004E44CB" w:rsidRPr="004E44CB">
        <w:rPr>
          <w:rFonts w:ascii="Times New Roman" w:hAnsi="Times New Roman"/>
          <w:b/>
          <w:sz w:val="24"/>
          <w:szCs w:val="24"/>
          <w:lang w:val="sq-AL"/>
        </w:rPr>
        <w:t xml:space="preserve">ve përfitues”, i ndryshuar” </w:t>
      </w:r>
      <w:r w:rsidR="008675CA" w:rsidRPr="004E44CB">
        <w:rPr>
          <w:rFonts w:ascii="Times New Roman" w:hAnsi="Times New Roman"/>
          <w:b/>
          <w:sz w:val="24"/>
          <w:szCs w:val="24"/>
          <w:lang w:val="sq-AL"/>
        </w:rPr>
        <w:t>:</w:t>
      </w:r>
    </w:p>
    <w:p w14:paraId="13928969" w14:textId="77777777" w:rsidR="004E44CB" w:rsidRPr="004E44CB" w:rsidRDefault="004E44CB" w:rsidP="001E4573">
      <w:pPr>
        <w:pStyle w:val="BodyText"/>
        <w:jc w:val="center"/>
        <w:rPr>
          <w:rFonts w:ascii="Times New Roman" w:hAnsi="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E44CB" w14:paraId="3BF55563" w14:textId="77777777" w:rsidTr="009F3A30">
        <w:tc>
          <w:tcPr>
            <w:tcW w:w="9212" w:type="dxa"/>
          </w:tcPr>
          <w:p w14:paraId="50BA76EE" w14:textId="77777777" w:rsidR="004016E3" w:rsidRDefault="004016E3" w:rsidP="004016E3">
            <w:pPr>
              <w:pStyle w:val="BodyText"/>
              <w:jc w:val="both"/>
              <w:rPr>
                <w:rFonts w:ascii="Times New Roman" w:hAnsi="Times New Roman"/>
                <w:b/>
                <w:sz w:val="24"/>
                <w:szCs w:val="24"/>
                <w:lang w:val="sq-AL"/>
              </w:rPr>
            </w:pPr>
          </w:p>
          <w:p w14:paraId="62E3D541" w14:textId="77777777" w:rsidR="004016E3" w:rsidRDefault="004016E3" w:rsidP="004016E3">
            <w:pPr>
              <w:pStyle w:val="BodyText"/>
              <w:spacing w:after="0"/>
              <w:jc w:val="both"/>
              <w:rPr>
                <w:i/>
              </w:rPr>
            </w:pPr>
            <w:r>
              <w:rPr>
                <w:rFonts w:ascii="Times New Roman" w:hAnsi="Times New Roman"/>
                <w:b/>
                <w:sz w:val="24"/>
                <w:szCs w:val="24"/>
                <w:lang w:val="sq-AL"/>
              </w:rPr>
              <w:t>S</w:t>
            </w:r>
            <w:r w:rsidRPr="00831C79">
              <w:rPr>
                <w:rFonts w:ascii="Times New Roman" w:hAnsi="Times New Roman"/>
                <w:b/>
                <w:sz w:val="24"/>
                <w:szCs w:val="24"/>
                <w:lang w:val="sq-AL"/>
              </w:rPr>
              <w:t>ubjektet raportuese</w:t>
            </w:r>
            <w:r w:rsidRPr="00831C79">
              <w:rPr>
                <w:rFonts w:ascii="Times New Roman" w:hAnsi="Times New Roman"/>
                <w:sz w:val="24"/>
                <w:szCs w:val="24"/>
                <w:lang w:val="sq-AL"/>
              </w:rPr>
              <w:t xml:space="preserve"> </w:t>
            </w:r>
            <w:r>
              <w:rPr>
                <w:rFonts w:ascii="Times New Roman" w:hAnsi="Times New Roman"/>
                <w:sz w:val="24"/>
                <w:szCs w:val="24"/>
                <w:lang w:val="sq-AL"/>
              </w:rPr>
              <w:t xml:space="preserve">: </w:t>
            </w:r>
            <w:r w:rsidRPr="002C2C87">
              <w:rPr>
                <w:rFonts w:ascii="Times New Roman" w:hAnsi="Times New Roman"/>
                <w:b/>
                <w:i/>
                <w:sz w:val="24"/>
                <w:szCs w:val="24"/>
                <w:lang w:val="sq-AL"/>
              </w:rPr>
              <w:t>a)</w:t>
            </w:r>
            <w:r>
              <w:rPr>
                <w:rFonts w:ascii="Times New Roman" w:hAnsi="Times New Roman"/>
                <w:i/>
                <w:sz w:val="24"/>
                <w:szCs w:val="24"/>
                <w:lang w:val="sq-AL"/>
              </w:rPr>
              <w:t xml:space="preserve"> </w:t>
            </w:r>
            <w:r w:rsidRPr="00831C79">
              <w:rPr>
                <w:rFonts w:ascii="Times New Roman" w:eastAsiaTheme="minorHAnsi" w:hAnsi="Times New Roman"/>
                <w:i/>
                <w:sz w:val="24"/>
                <w:szCs w:val="24"/>
                <w:lang w:val="sq-AL"/>
              </w:rPr>
              <w:t>shoqëritë më përgjegjësi të kufizuar;</w:t>
            </w:r>
            <w:r w:rsidRPr="00831C79">
              <w:rPr>
                <w:i/>
              </w:rPr>
              <w:t xml:space="preserve"> </w:t>
            </w:r>
          </w:p>
          <w:p w14:paraId="5EDB186A" w14:textId="77777777" w:rsidR="004016E3" w:rsidRDefault="004016E3" w:rsidP="004016E3">
            <w:pPr>
              <w:pStyle w:val="BodyText"/>
              <w:spacing w:after="0"/>
              <w:ind w:firstLine="2340"/>
              <w:jc w:val="both"/>
              <w:rPr>
                <w:rFonts w:ascii="Times New Roman" w:eastAsiaTheme="minorHAnsi" w:hAnsi="Times New Roman"/>
                <w:i/>
                <w:sz w:val="24"/>
                <w:szCs w:val="24"/>
                <w:lang w:val="sq-AL"/>
              </w:rPr>
            </w:pPr>
            <w:r w:rsidRPr="002C2C87">
              <w:rPr>
                <w:rFonts w:ascii="Times New Roman" w:eastAsiaTheme="minorHAnsi" w:hAnsi="Times New Roman"/>
                <w:b/>
                <w:i/>
                <w:sz w:val="24"/>
                <w:szCs w:val="24"/>
                <w:lang w:val="sq-AL"/>
              </w:rPr>
              <w:t>b)</w:t>
            </w:r>
            <w:r w:rsidRPr="00831C79">
              <w:rPr>
                <w:rFonts w:ascii="Times New Roman" w:eastAsiaTheme="minorHAnsi" w:hAnsi="Times New Roman"/>
                <w:i/>
                <w:sz w:val="24"/>
                <w:szCs w:val="24"/>
                <w:lang w:val="sq-AL"/>
              </w:rPr>
              <w:t xml:space="preserve"> shoqëritë aksionare; </w:t>
            </w:r>
          </w:p>
          <w:p w14:paraId="5B2A8C43" w14:textId="77777777" w:rsidR="004016E3" w:rsidRDefault="004016E3" w:rsidP="004016E3">
            <w:pPr>
              <w:pStyle w:val="BodyText"/>
              <w:spacing w:after="0"/>
              <w:ind w:firstLine="2340"/>
              <w:jc w:val="both"/>
              <w:rPr>
                <w:rFonts w:ascii="Times New Roman" w:eastAsiaTheme="minorHAnsi" w:hAnsi="Times New Roman"/>
                <w:i/>
                <w:sz w:val="24"/>
                <w:szCs w:val="24"/>
                <w:lang w:val="sq-AL"/>
              </w:rPr>
            </w:pPr>
            <w:r w:rsidRPr="002C2C87">
              <w:rPr>
                <w:rFonts w:ascii="Times New Roman" w:eastAsiaTheme="minorHAnsi" w:hAnsi="Times New Roman"/>
                <w:b/>
                <w:i/>
                <w:sz w:val="24"/>
                <w:szCs w:val="24"/>
                <w:lang w:val="sq-AL"/>
              </w:rPr>
              <w:t>c)</w:t>
            </w:r>
            <w:r w:rsidRPr="00831C79">
              <w:rPr>
                <w:rFonts w:ascii="Times New Roman" w:eastAsiaTheme="minorHAnsi" w:hAnsi="Times New Roman"/>
                <w:i/>
                <w:sz w:val="24"/>
                <w:szCs w:val="24"/>
                <w:lang w:val="sq-AL"/>
              </w:rPr>
              <w:t xml:space="preserve"> shoqëritë kolektive;</w:t>
            </w:r>
            <w:r>
              <w:rPr>
                <w:rFonts w:ascii="Times New Roman" w:eastAsiaTheme="minorHAnsi" w:hAnsi="Times New Roman"/>
                <w:i/>
                <w:sz w:val="24"/>
                <w:szCs w:val="24"/>
                <w:lang w:val="sq-AL"/>
              </w:rPr>
              <w:t xml:space="preserve"> </w:t>
            </w:r>
          </w:p>
          <w:p w14:paraId="4B2B68EF" w14:textId="77777777" w:rsidR="004016E3" w:rsidRDefault="004016E3" w:rsidP="004016E3">
            <w:pPr>
              <w:pStyle w:val="BodyText"/>
              <w:spacing w:after="0"/>
              <w:ind w:firstLine="2340"/>
              <w:jc w:val="both"/>
              <w:rPr>
                <w:rFonts w:ascii="Times New Roman" w:eastAsiaTheme="minorHAnsi" w:hAnsi="Times New Roman"/>
                <w:i/>
                <w:sz w:val="24"/>
                <w:szCs w:val="24"/>
                <w:lang w:val="sq-AL"/>
              </w:rPr>
            </w:pPr>
            <w:r w:rsidRPr="002C2C87">
              <w:rPr>
                <w:rFonts w:ascii="Times New Roman" w:eastAsiaTheme="minorHAnsi" w:hAnsi="Times New Roman"/>
                <w:b/>
                <w:i/>
                <w:sz w:val="24"/>
                <w:szCs w:val="24"/>
                <w:lang w:val="sq-AL"/>
              </w:rPr>
              <w:t>ç)</w:t>
            </w:r>
            <w:r w:rsidRPr="00831C79">
              <w:rPr>
                <w:rFonts w:ascii="Times New Roman" w:eastAsiaTheme="minorHAnsi" w:hAnsi="Times New Roman"/>
                <w:i/>
                <w:sz w:val="24"/>
                <w:szCs w:val="24"/>
                <w:lang w:val="sq-AL"/>
              </w:rPr>
              <w:t xml:space="preserve"> shoqëritë komandite;</w:t>
            </w:r>
            <w:r>
              <w:rPr>
                <w:rFonts w:ascii="Times New Roman" w:eastAsiaTheme="minorHAnsi" w:hAnsi="Times New Roman"/>
                <w:i/>
                <w:sz w:val="24"/>
                <w:szCs w:val="24"/>
                <w:lang w:val="sq-AL"/>
              </w:rPr>
              <w:t xml:space="preserve"> </w:t>
            </w:r>
          </w:p>
          <w:p w14:paraId="5CDE8196" w14:textId="77777777" w:rsidR="004016E3" w:rsidRDefault="004016E3" w:rsidP="004016E3">
            <w:pPr>
              <w:pStyle w:val="BodyText"/>
              <w:spacing w:after="0"/>
              <w:ind w:left="2610" w:hanging="270"/>
              <w:jc w:val="both"/>
              <w:rPr>
                <w:rFonts w:ascii="Times New Roman" w:eastAsiaTheme="minorHAnsi" w:hAnsi="Times New Roman"/>
                <w:i/>
                <w:sz w:val="24"/>
                <w:szCs w:val="24"/>
                <w:lang w:val="sq-AL"/>
              </w:rPr>
            </w:pPr>
            <w:r w:rsidRPr="002C2C87">
              <w:rPr>
                <w:rFonts w:ascii="Times New Roman" w:eastAsiaTheme="minorHAnsi" w:hAnsi="Times New Roman"/>
                <w:b/>
                <w:i/>
                <w:sz w:val="24"/>
                <w:szCs w:val="24"/>
                <w:lang w:val="sq-AL"/>
              </w:rPr>
              <w:t>d)</w:t>
            </w:r>
            <w:r w:rsidRPr="00831C79">
              <w:rPr>
                <w:rFonts w:ascii="Times New Roman" w:eastAsiaTheme="minorHAnsi" w:hAnsi="Times New Roman"/>
                <w:i/>
                <w:sz w:val="24"/>
                <w:szCs w:val="24"/>
                <w:lang w:val="sq-AL"/>
              </w:rPr>
              <w:t xml:space="preserve"> zyrat e përfaqësimit dhe degët e shoqërive të huaja;</w:t>
            </w:r>
            <w:r>
              <w:rPr>
                <w:rFonts w:ascii="Times New Roman" w:eastAsiaTheme="minorHAnsi" w:hAnsi="Times New Roman"/>
                <w:i/>
                <w:sz w:val="24"/>
                <w:szCs w:val="24"/>
                <w:lang w:val="sq-AL"/>
              </w:rPr>
              <w:t xml:space="preserve"> </w:t>
            </w:r>
            <w:r w:rsidRPr="00831C79">
              <w:rPr>
                <w:rFonts w:ascii="Times New Roman" w:eastAsiaTheme="minorHAnsi" w:hAnsi="Times New Roman"/>
                <w:i/>
                <w:sz w:val="24"/>
                <w:szCs w:val="24"/>
                <w:lang w:val="sq-AL"/>
              </w:rPr>
              <w:t>dh) shoqëritë e kursim-kreditit dhe unionet e tyre;</w:t>
            </w:r>
            <w:r>
              <w:rPr>
                <w:rFonts w:ascii="Times New Roman" w:eastAsiaTheme="minorHAnsi" w:hAnsi="Times New Roman"/>
                <w:i/>
                <w:sz w:val="24"/>
                <w:szCs w:val="24"/>
                <w:lang w:val="sq-AL"/>
              </w:rPr>
              <w:t xml:space="preserve"> </w:t>
            </w:r>
          </w:p>
          <w:p w14:paraId="24D5D5DD" w14:textId="77777777" w:rsidR="004016E3" w:rsidRDefault="004016E3" w:rsidP="004016E3">
            <w:pPr>
              <w:pStyle w:val="BodyText"/>
              <w:spacing w:after="0"/>
              <w:ind w:firstLine="2340"/>
              <w:jc w:val="both"/>
              <w:rPr>
                <w:rFonts w:ascii="Times New Roman" w:eastAsiaTheme="minorHAnsi" w:hAnsi="Times New Roman"/>
                <w:i/>
                <w:sz w:val="24"/>
                <w:szCs w:val="24"/>
                <w:lang w:val="sq-AL"/>
              </w:rPr>
            </w:pPr>
            <w:r w:rsidRPr="002C2C87">
              <w:rPr>
                <w:rFonts w:ascii="Times New Roman" w:eastAsiaTheme="minorHAnsi" w:hAnsi="Times New Roman"/>
                <w:b/>
                <w:i/>
                <w:sz w:val="24"/>
                <w:szCs w:val="24"/>
                <w:lang w:val="sq-AL"/>
              </w:rPr>
              <w:t>e)</w:t>
            </w:r>
            <w:r w:rsidRPr="00831C79">
              <w:rPr>
                <w:rFonts w:ascii="Times New Roman" w:eastAsiaTheme="minorHAnsi" w:hAnsi="Times New Roman"/>
                <w:i/>
                <w:sz w:val="24"/>
                <w:szCs w:val="24"/>
                <w:lang w:val="sq-AL"/>
              </w:rPr>
              <w:t xml:space="preserve"> shoqëritë e bashkëpunimit të ndërsjellë;</w:t>
            </w:r>
          </w:p>
          <w:p w14:paraId="7E7B632E" w14:textId="068BAF35" w:rsidR="004016E3" w:rsidRDefault="004016E3" w:rsidP="004016E3">
            <w:pPr>
              <w:pStyle w:val="BodyText"/>
              <w:spacing w:after="0"/>
              <w:ind w:firstLine="2340"/>
              <w:jc w:val="both"/>
              <w:rPr>
                <w:rFonts w:ascii="Times New Roman" w:eastAsiaTheme="minorHAnsi" w:hAnsi="Times New Roman"/>
                <w:i/>
                <w:sz w:val="24"/>
                <w:szCs w:val="24"/>
                <w:lang w:val="sq-AL"/>
              </w:rPr>
            </w:pPr>
            <w:r w:rsidRPr="002C2C87">
              <w:rPr>
                <w:rFonts w:ascii="Times New Roman" w:eastAsiaTheme="minorHAnsi" w:hAnsi="Times New Roman"/>
                <w:b/>
                <w:i/>
                <w:sz w:val="24"/>
                <w:szCs w:val="24"/>
                <w:lang w:val="sq-AL"/>
              </w:rPr>
              <w:t>ë)</w:t>
            </w:r>
            <w:r w:rsidRPr="00831C79">
              <w:rPr>
                <w:rFonts w:ascii="Times New Roman" w:eastAsiaTheme="minorHAnsi" w:hAnsi="Times New Roman"/>
                <w:i/>
                <w:sz w:val="24"/>
                <w:szCs w:val="24"/>
                <w:lang w:val="sq-AL"/>
              </w:rPr>
              <w:t xml:space="preserve"> shoqëritë e bashkëpunimit bujqësor</w:t>
            </w:r>
            <w:r>
              <w:rPr>
                <w:rFonts w:ascii="Times New Roman" w:eastAsiaTheme="minorHAnsi" w:hAnsi="Times New Roman"/>
                <w:i/>
                <w:sz w:val="24"/>
                <w:szCs w:val="24"/>
                <w:lang w:val="sq-AL"/>
              </w:rPr>
              <w:t>;</w:t>
            </w:r>
          </w:p>
          <w:p w14:paraId="37CD3329" w14:textId="77777777" w:rsidR="004016E3" w:rsidRDefault="004016E3" w:rsidP="004016E3">
            <w:pPr>
              <w:pStyle w:val="BodyText"/>
              <w:spacing w:after="0"/>
              <w:ind w:left="2610" w:hanging="270"/>
              <w:jc w:val="both"/>
              <w:rPr>
                <w:rFonts w:ascii="Times New Roman" w:eastAsiaTheme="minorHAnsi" w:hAnsi="Times New Roman"/>
                <w:i/>
                <w:sz w:val="24"/>
                <w:szCs w:val="24"/>
                <w:lang w:val="sq-AL"/>
              </w:rPr>
            </w:pPr>
            <w:r w:rsidRPr="002C2C87">
              <w:rPr>
                <w:rFonts w:ascii="Times New Roman" w:eastAsiaTheme="minorHAnsi" w:hAnsi="Times New Roman"/>
                <w:b/>
                <w:i/>
                <w:sz w:val="24"/>
                <w:szCs w:val="24"/>
                <w:lang w:val="sq-AL"/>
              </w:rPr>
              <w:t>f)</w:t>
            </w:r>
            <w:r w:rsidRPr="00831C79">
              <w:rPr>
                <w:rFonts w:ascii="Times New Roman" w:eastAsiaTheme="minorHAnsi" w:hAnsi="Times New Roman"/>
                <w:i/>
                <w:sz w:val="24"/>
                <w:szCs w:val="24"/>
                <w:lang w:val="sq-AL"/>
              </w:rPr>
              <w:t xml:space="preserve"> çdo subjekt tjetër juridik, i cili me ligj detyrohet të regjistrohet pranë QKB-së; </w:t>
            </w:r>
          </w:p>
          <w:p w14:paraId="2AAB4DE3" w14:textId="77777777" w:rsidR="004016E3" w:rsidRDefault="004016E3" w:rsidP="004016E3">
            <w:pPr>
              <w:pStyle w:val="BodyText"/>
              <w:spacing w:after="0"/>
              <w:ind w:left="2610" w:hanging="270"/>
              <w:jc w:val="both"/>
              <w:rPr>
                <w:rFonts w:ascii="Times New Roman" w:eastAsiaTheme="minorHAnsi" w:hAnsi="Times New Roman"/>
                <w:i/>
                <w:sz w:val="24"/>
                <w:szCs w:val="24"/>
                <w:lang w:val="sq-AL"/>
              </w:rPr>
            </w:pPr>
            <w:r w:rsidRPr="002C2C87">
              <w:rPr>
                <w:rFonts w:ascii="Times New Roman" w:eastAsiaTheme="minorHAnsi" w:hAnsi="Times New Roman"/>
                <w:b/>
                <w:i/>
                <w:sz w:val="24"/>
                <w:szCs w:val="24"/>
                <w:lang w:val="sq-AL"/>
              </w:rPr>
              <w:t>g)</w:t>
            </w:r>
            <w:r w:rsidRPr="00831C79">
              <w:rPr>
                <w:rFonts w:ascii="Times New Roman" w:eastAsiaTheme="minorHAnsi" w:hAnsi="Times New Roman"/>
                <w:i/>
                <w:sz w:val="24"/>
                <w:szCs w:val="24"/>
                <w:lang w:val="sq-AL"/>
              </w:rPr>
              <w:t xml:space="preserve"> organizatat jofitimprurëse, ku përfshihen fondacionet, shoqatat, qendrat, si dhe degët e</w:t>
            </w:r>
            <w:r>
              <w:rPr>
                <w:rFonts w:ascii="Times New Roman" w:eastAsiaTheme="minorHAnsi" w:hAnsi="Times New Roman"/>
                <w:i/>
                <w:sz w:val="24"/>
                <w:szCs w:val="24"/>
                <w:lang w:val="sq-AL"/>
              </w:rPr>
              <w:t xml:space="preserve"> </w:t>
            </w:r>
            <w:r w:rsidRPr="00831C79">
              <w:rPr>
                <w:rFonts w:ascii="Times New Roman" w:eastAsiaTheme="minorHAnsi" w:hAnsi="Times New Roman"/>
                <w:i/>
                <w:sz w:val="24"/>
                <w:szCs w:val="24"/>
                <w:lang w:val="sq-AL"/>
              </w:rPr>
              <w:t>organizatave jofitimprurëse të huaja, të regjistruara në regjistrin e organizatave jofitimprurëse në Republikën e Shqipërisë;</w:t>
            </w:r>
          </w:p>
          <w:p w14:paraId="522E28E6" w14:textId="08D7B9DC" w:rsidR="004016E3" w:rsidRPr="00831C79" w:rsidRDefault="004016E3" w:rsidP="004016E3">
            <w:pPr>
              <w:pStyle w:val="BodyText"/>
              <w:spacing w:after="0"/>
              <w:ind w:left="2610" w:hanging="270"/>
              <w:jc w:val="both"/>
              <w:rPr>
                <w:rFonts w:ascii="Times New Roman" w:eastAsiaTheme="minorHAnsi" w:hAnsi="Times New Roman"/>
                <w:sz w:val="24"/>
                <w:szCs w:val="24"/>
                <w:lang w:val="sq-AL"/>
              </w:rPr>
            </w:pPr>
            <w:r w:rsidRPr="002C2C87">
              <w:rPr>
                <w:rFonts w:ascii="Times New Roman" w:eastAsiaTheme="minorHAnsi" w:hAnsi="Times New Roman"/>
                <w:b/>
                <w:i/>
                <w:sz w:val="24"/>
                <w:szCs w:val="24"/>
                <w:lang w:val="sq-AL"/>
              </w:rPr>
              <w:t>gj)</w:t>
            </w:r>
            <w:r w:rsidRPr="00831C79">
              <w:rPr>
                <w:rFonts w:ascii="Times New Roman" w:eastAsiaTheme="minorHAnsi" w:hAnsi="Times New Roman"/>
                <w:i/>
                <w:sz w:val="24"/>
                <w:szCs w:val="24"/>
                <w:lang w:val="sq-AL"/>
              </w:rPr>
              <w:t xml:space="preserve"> personat juridikë dhe ndërmarrjet, aksionarët e të cilëve, përveç institucioneve qendrore dhe/ose vendore të Republikës së Shqipërisë, janë edhe individë/persona juridikë të tjerë shqiptarë dhe/ose të huaj.)</w:t>
            </w:r>
          </w:p>
          <w:p w14:paraId="7B667C06" w14:textId="77777777" w:rsidR="004016E3" w:rsidRDefault="004016E3" w:rsidP="004016E3">
            <w:pPr>
              <w:autoSpaceDE w:val="0"/>
              <w:autoSpaceDN w:val="0"/>
              <w:adjustRightInd w:val="0"/>
              <w:jc w:val="both"/>
              <w:rPr>
                <w:rFonts w:ascii="Times New Roman" w:hAnsi="Times New Roman"/>
                <w:b/>
                <w:sz w:val="24"/>
                <w:szCs w:val="24"/>
                <w:lang w:val="sq-AL"/>
              </w:rPr>
            </w:pPr>
          </w:p>
          <w:p w14:paraId="557B5576" w14:textId="3D41FC7C" w:rsidR="002C2C87" w:rsidRDefault="004016E3" w:rsidP="002C2C87">
            <w:pPr>
              <w:autoSpaceDE w:val="0"/>
              <w:autoSpaceDN w:val="0"/>
              <w:adjustRightInd w:val="0"/>
              <w:ind w:left="4320" w:hanging="4320"/>
              <w:jc w:val="both"/>
              <w:rPr>
                <w:rFonts w:ascii="Times New Roman" w:hAnsi="Times New Roman"/>
                <w:i/>
                <w:sz w:val="24"/>
                <w:szCs w:val="24"/>
                <w:lang w:val="sq-AL"/>
              </w:rPr>
            </w:pPr>
            <w:r>
              <w:rPr>
                <w:rFonts w:ascii="Times New Roman" w:hAnsi="Times New Roman"/>
                <w:b/>
                <w:sz w:val="24"/>
                <w:szCs w:val="24"/>
                <w:lang w:val="sq-AL"/>
              </w:rPr>
              <w:t>A</w:t>
            </w:r>
            <w:r w:rsidRPr="004016E3">
              <w:rPr>
                <w:rFonts w:ascii="Times New Roman" w:hAnsi="Times New Roman"/>
                <w:b/>
                <w:sz w:val="24"/>
                <w:szCs w:val="24"/>
                <w:lang w:val="sq-AL"/>
              </w:rPr>
              <w:t>utoritetet kompetente shtetërore</w:t>
            </w:r>
            <w:r w:rsidR="002C2C87">
              <w:rPr>
                <w:rFonts w:ascii="Times New Roman" w:hAnsi="Times New Roman"/>
                <w:b/>
                <w:sz w:val="24"/>
                <w:szCs w:val="24"/>
                <w:lang w:val="sq-AL"/>
              </w:rPr>
              <w:t>:</w:t>
            </w:r>
            <w:r w:rsidRPr="004016E3">
              <w:rPr>
                <w:rFonts w:ascii="Times New Roman" w:hAnsi="Times New Roman"/>
                <w:sz w:val="24"/>
                <w:szCs w:val="24"/>
                <w:lang w:val="sq-AL"/>
              </w:rPr>
              <w:t xml:space="preserve"> </w:t>
            </w:r>
            <w:r w:rsidRPr="004016E3">
              <w:rPr>
                <w:rFonts w:ascii="Times New Roman" w:hAnsi="Times New Roman"/>
                <w:i/>
                <w:sz w:val="24"/>
                <w:szCs w:val="24"/>
                <w:lang w:val="sq-AL"/>
              </w:rPr>
              <w:t>a) Drejtoria e Përgjithshme e Parandalimit të Pastrimit të Parave;</w:t>
            </w:r>
          </w:p>
          <w:p w14:paraId="18336652" w14:textId="77777777" w:rsidR="002C2C87" w:rsidRDefault="004016E3" w:rsidP="002C2C87">
            <w:pPr>
              <w:autoSpaceDE w:val="0"/>
              <w:autoSpaceDN w:val="0"/>
              <w:adjustRightInd w:val="0"/>
              <w:ind w:firstLine="3960"/>
              <w:jc w:val="both"/>
              <w:rPr>
                <w:rFonts w:ascii="Times New Roman" w:hAnsi="Times New Roman"/>
                <w:i/>
                <w:sz w:val="24"/>
                <w:szCs w:val="24"/>
                <w:lang w:val="sq-AL"/>
              </w:rPr>
            </w:pPr>
            <w:r w:rsidRPr="004016E3">
              <w:rPr>
                <w:rFonts w:ascii="Times New Roman" w:hAnsi="Times New Roman"/>
                <w:i/>
                <w:sz w:val="24"/>
                <w:szCs w:val="24"/>
                <w:lang w:val="sq-AL"/>
              </w:rPr>
              <w:t>b) Banka e Shqipërisë;</w:t>
            </w:r>
          </w:p>
          <w:p w14:paraId="358FFF4F" w14:textId="77777777" w:rsidR="002C2C87" w:rsidRDefault="004016E3" w:rsidP="002C2C87">
            <w:pPr>
              <w:autoSpaceDE w:val="0"/>
              <w:autoSpaceDN w:val="0"/>
              <w:adjustRightInd w:val="0"/>
              <w:ind w:firstLine="3960"/>
              <w:jc w:val="both"/>
              <w:rPr>
                <w:rFonts w:ascii="Times New Roman" w:hAnsi="Times New Roman"/>
                <w:i/>
                <w:sz w:val="24"/>
                <w:szCs w:val="24"/>
                <w:lang w:val="sq-AL"/>
              </w:rPr>
            </w:pPr>
            <w:r w:rsidRPr="004016E3">
              <w:rPr>
                <w:rFonts w:ascii="Times New Roman" w:hAnsi="Times New Roman"/>
                <w:i/>
                <w:sz w:val="24"/>
                <w:szCs w:val="24"/>
                <w:lang w:val="sq-AL"/>
              </w:rPr>
              <w:t>c) Drejtoria e Përgjithshme e Tatimeve;</w:t>
            </w:r>
          </w:p>
          <w:p w14:paraId="3758972C" w14:textId="77777777" w:rsidR="002C2C87" w:rsidRDefault="004016E3" w:rsidP="002C2C87">
            <w:pPr>
              <w:autoSpaceDE w:val="0"/>
              <w:autoSpaceDN w:val="0"/>
              <w:adjustRightInd w:val="0"/>
              <w:ind w:firstLine="3960"/>
              <w:jc w:val="both"/>
              <w:rPr>
                <w:rFonts w:ascii="Times New Roman" w:hAnsi="Times New Roman"/>
                <w:i/>
                <w:sz w:val="24"/>
                <w:szCs w:val="24"/>
                <w:lang w:val="sq-AL"/>
              </w:rPr>
            </w:pPr>
            <w:r w:rsidRPr="004016E3">
              <w:rPr>
                <w:rFonts w:ascii="Times New Roman" w:hAnsi="Times New Roman"/>
                <w:i/>
                <w:sz w:val="24"/>
                <w:szCs w:val="24"/>
                <w:lang w:val="sq-AL"/>
              </w:rPr>
              <w:t>ç) Autoriteti i Mbikëqyrjes Financiare;</w:t>
            </w:r>
          </w:p>
          <w:p w14:paraId="59FD8176" w14:textId="77777777" w:rsidR="002C2C87" w:rsidRDefault="004016E3" w:rsidP="002C2C87">
            <w:pPr>
              <w:autoSpaceDE w:val="0"/>
              <w:autoSpaceDN w:val="0"/>
              <w:adjustRightInd w:val="0"/>
              <w:ind w:firstLine="3960"/>
              <w:jc w:val="both"/>
              <w:rPr>
                <w:rFonts w:ascii="Times New Roman" w:hAnsi="Times New Roman"/>
                <w:i/>
                <w:sz w:val="24"/>
                <w:szCs w:val="24"/>
                <w:lang w:val="sq-AL"/>
              </w:rPr>
            </w:pPr>
            <w:r w:rsidRPr="004016E3">
              <w:rPr>
                <w:rFonts w:ascii="Times New Roman" w:hAnsi="Times New Roman"/>
                <w:i/>
                <w:sz w:val="24"/>
                <w:szCs w:val="24"/>
                <w:lang w:val="sq-AL"/>
              </w:rPr>
              <w:t>d) Drejtoria e Përgjithshme e Policisë së Shtetit;</w:t>
            </w:r>
          </w:p>
          <w:p w14:paraId="0C82E4C2" w14:textId="77777777" w:rsidR="002C2C87" w:rsidRDefault="004016E3" w:rsidP="002C2C87">
            <w:pPr>
              <w:autoSpaceDE w:val="0"/>
              <w:autoSpaceDN w:val="0"/>
              <w:adjustRightInd w:val="0"/>
              <w:ind w:firstLine="3960"/>
              <w:jc w:val="both"/>
              <w:rPr>
                <w:rFonts w:ascii="Times New Roman" w:hAnsi="Times New Roman"/>
                <w:i/>
                <w:sz w:val="24"/>
                <w:szCs w:val="24"/>
                <w:lang w:val="sq-AL"/>
              </w:rPr>
            </w:pPr>
            <w:r w:rsidRPr="004016E3">
              <w:rPr>
                <w:rFonts w:ascii="Times New Roman" w:hAnsi="Times New Roman"/>
                <w:i/>
                <w:sz w:val="24"/>
                <w:szCs w:val="24"/>
                <w:lang w:val="sq-AL"/>
              </w:rPr>
              <w:t>dh) Prokuroria;</w:t>
            </w:r>
          </w:p>
          <w:p w14:paraId="4FE3F27E" w14:textId="148E96F5" w:rsidR="004016E3" w:rsidRPr="004016E3" w:rsidRDefault="004016E3" w:rsidP="002C2C87">
            <w:pPr>
              <w:autoSpaceDE w:val="0"/>
              <w:autoSpaceDN w:val="0"/>
              <w:adjustRightInd w:val="0"/>
              <w:ind w:left="4320" w:hanging="360"/>
              <w:jc w:val="both"/>
              <w:rPr>
                <w:rFonts w:ascii="Times New Roman" w:hAnsi="Times New Roman"/>
                <w:sz w:val="24"/>
                <w:szCs w:val="24"/>
                <w:lang w:val="sq-AL"/>
              </w:rPr>
            </w:pPr>
            <w:r w:rsidRPr="004016E3">
              <w:rPr>
                <w:rFonts w:ascii="Times New Roman" w:hAnsi="Times New Roman"/>
                <w:i/>
                <w:sz w:val="24"/>
                <w:szCs w:val="24"/>
                <w:lang w:val="sq-AL"/>
              </w:rPr>
              <w:t>e) Struktura e Posaçme Kundër Korrupsionit dhe Krimit të Organizuar (SPAK))</w:t>
            </w:r>
          </w:p>
          <w:p w14:paraId="09A70DC4" w14:textId="77777777" w:rsidR="004016E3" w:rsidRDefault="004016E3" w:rsidP="004016E3">
            <w:pPr>
              <w:pStyle w:val="BodyText"/>
              <w:jc w:val="both"/>
              <w:rPr>
                <w:rFonts w:ascii="Times New Roman" w:hAnsi="Times New Roman"/>
                <w:b/>
                <w:sz w:val="24"/>
                <w:szCs w:val="24"/>
                <w:lang w:val="sq-AL"/>
              </w:rPr>
            </w:pPr>
          </w:p>
          <w:p w14:paraId="76DABE09" w14:textId="580F8424" w:rsidR="004016E3" w:rsidRPr="00831C79" w:rsidRDefault="004016E3" w:rsidP="004016E3">
            <w:pPr>
              <w:pStyle w:val="BodyText"/>
              <w:jc w:val="both"/>
              <w:rPr>
                <w:rFonts w:ascii="Times New Roman" w:hAnsi="Times New Roman"/>
                <w:sz w:val="24"/>
                <w:szCs w:val="24"/>
                <w:lang w:val="sq-AL"/>
              </w:rPr>
            </w:pPr>
            <w:r>
              <w:rPr>
                <w:rFonts w:ascii="Times New Roman" w:hAnsi="Times New Roman"/>
                <w:b/>
                <w:sz w:val="24"/>
                <w:szCs w:val="24"/>
                <w:lang w:val="sq-AL"/>
              </w:rPr>
              <w:t>S</w:t>
            </w:r>
            <w:r w:rsidRPr="00831C79">
              <w:rPr>
                <w:rFonts w:ascii="Times New Roman" w:hAnsi="Times New Roman"/>
                <w:b/>
                <w:sz w:val="24"/>
                <w:szCs w:val="24"/>
                <w:lang w:val="sq-AL"/>
              </w:rPr>
              <w:t>ubjektet e detyruara</w:t>
            </w:r>
            <w:r w:rsidR="002C2C87">
              <w:rPr>
                <w:rFonts w:ascii="Times New Roman" w:hAnsi="Times New Roman"/>
                <w:b/>
                <w:sz w:val="24"/>
                <w:szCs w:val="24"/>
                <w:lang w:val="sq-AL"/>
              </w:rPr>
              <w:t>:</w:t>
            </w:r>
            <w:r>
              <w:rPr>
                <w:rFonts w:ascii="Times New Roman" w:hAnsi="Times New Roman"/>
                <w:sz w:val="24"/>
                <w:szCs w:val="24"/>
                <w:lang w:val="sq-AL"/>
              </w:rPr>
              <w:t xml:space="preserve"> </w:t>
            </w:r>
            <w:r w:rsidRPr="00831C79">
              <w:rPr>
                <w:rFonts w:ascii="Times New Roman" w:hAnsi="Times New Roman"/>
                <w:i/>
                <w:sz w:val="24"/>
                <w:szCs w:val="24"/>
                <w:lang w:val="sq-AL"/>
              </w:rPr>
              <w:t>avokatë; noterë; financierë, kontabilistë, etj)</w:t>
            </w:r>
          </w:p>
          <w:p w14:paraId="107036DC" w14:textId="23B570C1" w:rsidR="001E4573" w:rsidRPr="004E44CB" w:rsidRDefault="004016E3" w:rsidP="004016E3">
            <w:pPr>
              <w:pStyle w:val="BodyText"/>
              <w:jc w:val="both"/>
              <w:rPr>
                <w:rFonts w:ascii="Times New Roman" w:hAnsi="Times New Roman"/>
                <w:sz w:val="24"/>
                <w:szCs w:val="24"/>
                <w:lang w:val="sq-AL"/>
              </w:rPr>
            </w:pPr>
            <w:r w:rsidRPr="00831C79">
              <w:rPr>
                <w:rFonts w:ascii="Times New Roman" w:hAnsi="Times New Roman"/>
                <w:b/>
                <w:sz w:val="24"/>
                <w:szCs w:val="24"/>
                <w:lang w:val="sq-AL"/>
              </w:rPr>
              <w:t xml:space="preserve">Dhomat e </w:t>
            </w:r>
            <w:r>
              <w:rPr>
                <w:rFonts w:ascii="Times New Roman" w:hAnsi="Times New Roman"/>
                <w:b/>
                <w:sz w:val="24"/>
                <w:szCs w:val="24"/>
                <w:lang w:val="sq-AL"/>
              </w:rPr>
              <w:t>T</w:t>
            </w:r>
            <w:r w:rsidRPr="00831C79">
              <w:rPr>
                <w:rFonts w:ascii="Times New Roman" w:hAnsi="Times New Roman"/>
                <w:b/>
                <w:sz w:val="24"/>
                <w:szCs w:val="24"/>
                <w:lang w:val="sq-AL"/>
              </w:rPr>
              <w:t>regtis</w:t>
            </w:r>
            <w:r>
              <w:rPr>
                <w:rFonts w:ascii="Times New Roman" w:hAnsi="Times New Roman"/>
                <w:b/>
                <w:sz w:val="24"/>
                <w:szCs w:val="24"/>
                <w:lang w:val="sq-AL"/>
              </w:rPr>
              <w:t>ë</w:t>
            </w:r>
          </w:p>
        </w:tc>
      </w:tr>
    </w:tbl>
    <w:p w14:paraId="4DD98B09" w14:textId="77777777" w:rsidR="008675CA" w:rsidRPr="004E44CB" w:rsidRDefault="008675CA" w:rsidP="008675CA">
      <w:pPr>
        <w:pStyle w:val="BodyText"/>
        <w:jc w:val="both"/>
        <w:rPr>
          <w:rFonts w:ascii="Times New Roman" w:hAnsi="Times New Roman"/>
          <w:sz w:val="24"/>
          <w:szCs w:val="24"/>
          <w:lang w:val="sq-AL"/>
        </w:rPr>
      </w:pPr>
    </w:p>
    <w:p w14:paraId="2DB7AA78" w14:textId="77777777" w:rsidR="008675CA" w:rsidRPr="004E44CB" w:rsidRDefault="00E54C97" w:rsidP="008675CA">
      <w:pPr>
        <w:pStyle w:val="BodyText"/>
        <w:jc w:val="both"/>
        <w:rPr>
          <w:rFonts w:ascii="Times New Roman" w:hAnsi="Times New Roman"/>
          <w:sz w:val="24"/>
          <w:szCs w:val="24"/>
          <w:lang w:val="sq-AL"/>
        </w:rPr>
      </w:pPr>
      <w:r w:rsidRPr="004E44CB">
        <w:rPr>
          <w:rFonts w:ascii="Times New Roman" w:hAnsi="Times New Roman"/>
          <w:sz w:val="24"/>
          <w:szCs w:val="24"/>
          <w:lang w:val="sq-AL"/>
        </w:rPr>
        <w:t>Kohëzgjatja e konsultimeve</w:t>
      </w:r>
      <w:r w:rsidR="008675CA" w:rsidRPr="004E44CB">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E44CB" w14:paraId="0A95A18B" w14:textId="77777777" w:rsidTr="009F3A30">
        <w:tc>
          <w:tcPr>
            <w:tcW w:w="9212" w:type="dxa"/>
          </w:tcPr>
          <w:p w14:paraId="7A137B08" w14:textId="77777777" w:rsidR="008675CA" w:rsidRDefault="008675CA" w:rsidP="009F3A30">
            <w:pPr>
              <w:pStyle w:val="BodyText"/>
              <w:jc w:val="both"/>
              <w:rPr>
                <w:rFonts w:ascii="Times New Roman" w:hAnsi="Times New Roman"/>
                <w:sz w:val="24"/>
                <w:szCs w:val="24"/>
                <w:lang w:val="sq-AL"/>
              </w:rPr>
            </w:pPr>
          </w:p>
          <w:p w14:paraId="5863E002" w14:textId="2D620E7E" w:rsidR="001E4573" w:rsidRPr="004E44CB" w:rsidRDefault="001439D2" w:rsidP="00F7743A">
            <w:pPr>
              <w:pStyle w:val="BodyText"/>
              <w:jc w:val="both"/>
              <w:rPr>
                <w:rFonts w:ascii="Times New Roman" w:hAnsi="Times New Roman"/>
                <w:sz w:val="24"/>
                <w:szCs w:val="24"/>
                <w:lang w:val="sq-AL"/>
              </w:rPr>
            </w:pPr>
            <w:r>
              <w:rPr>
                <w:rFonts w:ascii="Times New Roman" w:hAnsi="Times New Roman"/>
                <w:b/>
                <w:sz w:val="24"/>
                <w:szCs w:val="24"/>
                <w:lang w:val="sq-AL"/>
              </w:rPr>
              <w:t>20 ditë kalendarike</w:t>
            </w:r>
          </w:p>
        </w:tc>
      </w:tr>
    </w:tbl>
    <w:p w14:paraId="29630BCB" w14:textId="77777777" w:rsidR="008675CA" w:rsidRDefault="008675CA" w:rsidP="008675CA">
      <w:pPr>
        <w:pStyle w:val="BodyText"/>
        <w:jc w:val="both"/>
        <w:rPr>
          <w:rFonts w:ascii="Times New Roman" w:hAnsi="Times New Roman"/>
          <w:sz w:val="24"/>
          <w:szCs w:val="24"/>
          <w:lang w:val="sq-AL"/>
        </w:rPr>
      </w:pPr>
    </w:p>
    <w:p w14:paraId="16B82EFF" w14:textId="77777777" w:rsidR="004F74E7" w:rsidRDefault="004F74E7" w:rsidP="008675CA">
      <w:pPr>
        <w:pStyle w:val="BodyText"/>
        <w:jc w:val="both"/>
        <w:rPr>
          <w:rFonts w:ascii="Times New Roman" w:hAnsi="Times New Roman"/>
          <w:sz w:val="24"/>
          <w:szCs w:val="24"/>
          <w:lang w:val="sq-AL"/>
        </w:rPr>
      </w:pPr>
    </w:p>
    <w:p w14:paraId="32EFAE80" w14:textId="77777777" w:rsidR="004F74E7" w:rsidRDefault="004F74E7" w:rsidP="008675CA">
      <w:pPr>
        <w:pStyle w:val="BodyText"/>
        <w:jc w:val="both"/>
        <w:rPr>
          <w:rFonts w:ascii="Times New Roman" w:hAnsi="Times New Roman"/>
          <w:sz w:val="24"/>
          <w:szCs w:val="24"/>
          <w:lang w:val="sq-AL"/>
        </w:rPr>
      </w:pPr>
    </w:p>
    <w:p w14:paraId="30063161" w14:textId="77777777" w:rsidR="004F74E7" w:rsidRPr="004E44CB" w:rsidRDefault="004F74E7" w:rsidP="008675CA">
      <w:pPr>
        <w:pStyle w:val="BodyText"/>
        <w:jc w:val="both"/>
        <w:rPr>
          <w:rFonts w:ascii="Times New Roman" w:hAnsi="Times New Roman"/>
          <w:sz w:val="24"/>
          <w:szCs w:val="24"/>
          <w:lang w:val="sq-AL"/>
        </w:rPr>
      </w:pPr>
    </w:p>
    <w:p w14:paraId="57C82A5C" w14:textId="77777777" w:rsidR="008675CA" w:rsidRPr="00AB3625" w:rsidRDefault="00E54C97" w:rsidP="008675CA">
      <w:pPr>
        <w:pStyle w:val="BodyText"/>
        <w:jc w:val="both"/>
        <w:rPr>
          <w:rFonts w:ascii="Times New Roman" w:hAnsi="Times New Roman"/>
          <w:b/>
          <w:sz w:val="24"/>
          <w:szCs w:val="24"/>
          <w:lang w:val="sq-AL"/>
        </w:rPr>
      </w:pPr>
      <w:r w:rsidRPr="00AB3625">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E44CB" w14:paraId="0FF81B91" w14:textId="77777777" w:rsidTr="009F3A30">
        <w:tc>
          <w:tcPr>
            <w:tcW w:w="9212" w:type="dxa"/>
          </w:tcPr>
          <w:p w14:paraId="6FE50B5B" w14:textId="77777777" w:rsidR="004E44CB" w:rsidRDefault="004E44CB" w:rsidP="009F3A30">
            <w:pPr>
              <w:pStyle w:val="BodyText"/>
              <w:jc w:val="both"/>
              <w:rPr>
                <w:rFonts w:ascii="Times New Roman" w:hAnsi="Times New Roman"/>
                <w:i/>
                <w:sz w:val="24"/>
                <w:szCs w:val="24"/>
                <w:lang w:val="sq-AL"/>
              </w:rPr>
            </w:pPr>
          </w:p>
          <w:p w14:paraId="725A5EEA" w14:textId="1D3B6697" w:rsidR="004E44CB" w:rsidRPr="004E44CB" w:rsidRDefault="004E44CB" w:rsidP="004E44CB">
            <w:pPr>
              <w:pStyle w:val="BodyText"/>
              <w:jc w:val="both"/>
              <w:rPr>
                <w:rFonts w:ascii="Times New Roman" w:hAnsi="Times New Roman"/>
                <w:b/>
                <w:sz w:val="24"/>
                <w:szCs w:val="24"/>
                <w:lang w:val="sq-AL"/>
              </w:rPr>
            </w:pPr>
            <w:r w:rsidRPr="004E44CB">
              <w:rPr>
                <w:rFonts w:ascii="Times New Roman" w:hAnsi="Times New Roman"/>
                <w:b/>
                <w:sz w:val="24"/>
                <w:szCs w:val="24"/>
                <w:lang w:val="sq-AL"/>
              </w:rPr>
              <w:t>Me anë të emailit</w:t>
            </w:r>
            <w:r w:rsidR="001439D2">
              <w:rPr>
                <w:rFonts w:ascii="Times New Roman" w:hAnsi="Times New Roman"/>
                <w:b/>
                <w:sz w:val="24"/>
                <w:szCs w:val="24"/>
                <w:lang w:val="sq-AL"/>
              </w:rPr>
              <w:t xml:space="preserve"> :</w:t>
            </w:r>
            <w:bookmarkStart w:id="0" w:name="_GoBack"/>
            <w:bookmarkEnd w:id="0"/>
            <w:r w:rsidR="001439D2">
              <w:rPr>
                <w:rFonts w:ascii="Times New Roman" w:hAnsi="Times New Roman"/>
                <w:b/>
                <w:sz w:val="24"/>
                <w:szCs w:val="24"/>
                <w:lang w:val="sq-AL"/>
              </w:rPr>
              <w:t xml:space="preserve"> </w:t>
            </w:r>
            <w:hyperlink r:id="rId5" w:history="1">
              <w:r w:rsidR="004F74E7" w:rsidRPr="002F71F1">
                <w:rPr>
                  <w:rStyle w:val="Hyperlink"/>
                  <w:rFonts w:ascii="Times New Roman" w:hAnsi="Times New Roman"/>
                  <w:b/>
                  <w:sz w:val="24"/>
                  <w:szCs w:val="24"/>
                  <w:lang w:val="sq-AL"/>
                </w:rPr>
                <w:t>Saimir.Mucmataj@financa.gov.al</w:t>
              </w:r>
            </w:hyperlink>
            <w:r w:rsidR="004F74E7">
              <w:rPr>
                <w:rFonts w:ascii="Times New Roman" w:hAnsi="Times New Roman"/>
                <w:b/>
                <w:sz w:val="24"/>
                <w:szCs w:val="24"/>
                <w:lang w:val="sq-AL"/>
              </w:rPr>
              <w:t xml:space="preserve"> </w:t>
            </w:r>
          </w:p>
        </w:tc>
      </w:tr>
    </w:tbl>
    <w:p w14:paraId="3C463429" w14:textId="77777777" w:rsidR="008675CA" w:rsidRPr="004E44CB" w:rsidRDefault="008675CA" w:rsidP="008675CA">
      <w:pPr>
        <w:pStyle w:val="BodyText"/>
        <w:jc w:val="both"/>
        <w:rPr>
          <w:rFonts w:ascii="Times New Roman" w:hAnsi="Times New Roman"/>
          <w:sz w:val="24"/>
          <w:szCs w:val="24"/>
          <w:lang w:val="sq-AL"/>
        </w:rPr>
      </w:pPr>
    </w:p>
    <w:p w14:paraId="6C4BE25B" w14:textId="77777777" w:rsidR="008675CA" w:rsidRPr="00AB3625" w:rsidRDefault="00E54C97" w:rsidP="008675CA">
      <w:pPr>
        <w:pStyle w:val="BodyText"/>
        <w:jc w:val="both"/>
        <w:rPr>
          <w:rFonts w:ascii="Times New Roman" w:hAnsi="Times New Roman"/>
          <w:b/>
          <w:sz w:val="24"/>
          <w:szCs w:val="24"/>
          <w:lang w:val="sq-AL"/>
        </w:rPr>
      </w:pPr>
      <w:r w:rsidRPr="00AB3625">
        <w:rPr>
          <w:rFonts w:ascii="Times New Roman" w:hAnsi="Times New Roman"/>
          <w:b/>
          <w:sz w:val="24"/>
          <w:szCs w:val="24"/>
          <w:lang w:val="sq-AL"/>
        </w:rPr>
        <w:t>Kontakti</w:t>
      </w:r>
      <w:r w:rsidR="008675CA" w:rsidRPr="00AB362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E44CB" w14:paraId="12B24D1C" w14:textId="77777777" w:rsidTr="009F3A30">
        <w:tc>
          <w:tcPr>
            <w:tcW w:w="9212" w:type="dxa"/>
          </w:tcPr>
          <w:p w14:paraId="1FA8FD06" w14:textId="77777777" w:rsidR="004E44CB" w:rsidRDefault="004E44CB" w:rsidP="00E54C97">
            <w:pPr>
              <w:pStyle w:val="BodyText"/>
              <w:jc w:val="both"/>
              <w:rPr>
                <w:rFonts w:ascii="Times New Roman" w:hAnsi="Times New Roman"/>
                <w:i/>
                <w:sz w:val="24"/>
                <w:szCs w:val="24"/>
                <w:lang w:val="sq-AL"/>
              </w:rPr>
            </w:pPr>
          </w:p>
          <w:p w14:paraId="3637B89E" w14:textId="3DA396FB" w:rsidR="004E44CB" w:rsidRPr="004E44CB" w:rsidRDefault="001439D2" w:rsidP="00E54C97">
            <w:pPr>
              <w:pStyle w:val="BodyText"/>
              <w:jc w:val="both"/>
              <w:rPr>
                <w:rFonts w:ascii="Times New Roman" w:hAnsi="Times New Roman"/>
                <w:b/>
                <w:sz w:val="24"/>
                <w:szCs w:val="24"/>
                <w:lang w:val="sq-AL"/>
              </w:rPr>
            </w:pPr>
            <w:hyperlink r:id="rId6" w:history="1">
              <w:r w:rsidR="004F74E7" w:rsidRPr="002F71F1">
                <w:rPr>
                  <w:rStyle w:val="Hyperlink"/>
                  <w:rFonts w:ascii="Times New Roman" w:hAnsi="Times New Roman"/>
                  <w:b/>
                  <w:sz w:val="24"/>
                  <w:szCs w:val="24"/>
                  <w:lang w:val="sq-AL"/>
                </w:rPr>
                <w:t>Saimir.Mucmataj@financa.gov.al</w:t>
              </w:r>
            </w:hyperlink>
            <w:r w:rsidR="004F74E7">
              <w:rPr>
                <w:rFonts w:ascii="Times New Roman" w:hAnsi="Times New Roman"/>
                <w:b/>
                <w:sz w:val="24"/>
                <w:szCs w:val="24"/>
                <w:lang w:val="sq-AL"/>
              </w:rPr>
              <w:t xml:space="preserve"> </w:t>
            </w:r>
          </w:p>
        </w:tc>
      </w:tr>
    </w:tbl>
    <w:p w14:paraId="5D44D821" w14:textId="77777777" w:rsidR="008675CA" w:rsidRPr="004E44CB" w:rsidRDefault="008675CA" w:rsidP="008675CA">
      <w:pPr>
        <w:pStyle w:val="BodyText"/>
        <w:jc w:val="both"/>
        <w:rPr>
          <w:rFonts w:ascii="Times New Roman" w:hAnsi="Times New Roman"/>
          <w:sz w:val="24"/>
          <w:szCs w:val="24"/>
          <w:lang w:val="sq-AL"/>
        </w:rPr>
      </w:pPr>
    </w:p>
    <w:p w14:paraId="3524433B" w14:textId="77777777" w:rsidR="008675CA" w:rsidRPr="00AB3625" w:rsidRDefault="00E54C97" w:rsidP="008675CA">
      <w:pPr>
        <w:pStyle w:val="BodyText"/>
        <w:jc w:val="both"/>
        <w:rPr>
          <w:rFonts w:ascii="Times New Roman" w:hAnsi="Times New Roman"/>
          <w:b/>
          <w:sz w:val="24"/>
          <w:szCs w:val="24"/>
          <w:lang w:val="sq-AL"/>
        </w:rPr>
      </w:pPr>
      <w:r w:rsidRPr="00AB3625">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E44CB" w14:paraId="7239AD1E" w14:textId="77777777" w:rsidTr="009F3A30">
        <w:tc>
          <w:tcPr>
            <w:tcW w:w="9212" w:type="dxa"/>
          </w:tcPr>
          <w:p w14:paraId="584F133B" w14:textId="77777777" w:rsidR="00AB3625" w:rsidRDefault="00AB3625" w:rsidP="009F3A30">
            <w:pPr>
              <w:pStyle w:val="BodyText"/>
              <w:jc w:val="both"/>
              <w:rPr>
                <w:rFonts w:ascii="Times New Roman" w:hAnsi="Times New Roman"/>
                <w:i/>
                <w:sz w:val="24"/>
                <w:szCs w:val="24"/>
                <w:lang w:val="sq-AL"/>
              </w:rPr>
            </w:pPr>
          </w:p>
          <w:p w14:paraId="225A0334" w14:textId="5728C75B" w:rsidR="00E54C97" w:rsidRPr="004E44CB" w:rsidRDefault="00AB3625" w:rsidP="00D0157C">
            <w:pPr>
              <w:pStyle w:val="BodyText"/>
              <w:jc w:val="both"/>
              <w:rPr>
                <w:rFonts w:ascii="Times New Roman" w:hAnsi="Times New Roman"/>
                <w:sz w:val="24"/>
                <w:szCs w:val="24"/>
                <w:lang w:val="sq-AL"/>
              </w:rPr>
            </w:pPr>
            <w:r w:rsidRPr="00AB3625">
              <w:rPr>
                <w:rFonts w:ascii="Times New Roman" w:hAnsi="Times New Roman"/>
                <w:b/>
                <w:i/>
                <w:sz w:val="24"/>
                <w:szCs w:val="24"/>
                <w:lang w:val="sq-AL"/>
              </w:rPr>
              <w:t>Nuk do t</w:t>
            </w:r>
            <w:r>
              <w:rPr>
                <w:rFonts w:ascii="Times New Roman" w:hAnsi="Times New Roman"/>
                <w:b/>
                <w:i/>
                <w:sz w:val="24"/>
                <w:szCs w:val="24"/>
                <w:lang w:val="sq-AL"/>
              </w:rPr>
              <w:t xml:space="preserve">ë </w:t>
            </w:r>
            <w:r w:rsidRPr="00AB3625">
              <w:rPr>
                <w:rFonts w:ascii="Times New Roman" w:hAnsi="Times New Roman"/>
                <w:b/>
                <w:i/>
                <w:sz w:val="24"/>
                <w:szCs w:val="24"/>
                <w:lang w:val="sq-AL"/>
              </w:rPr>
              <w:t>ketë takime publike</w:t>
            </w:r>
          </w:p>
        </w:tc>
      </w:tr>
    </w:tbl>
    <w:p w14:paraId="29B33FD3" w14:textId="77777777" w:rsidR="008675CA" w:rsidRPr="004E44CB" w:rsidRDefault="008675CA" w:rsidP="008675CA">
      <w:pPr>
        <w:pStyle w:val="BodyText"/>
        <w:jc w:val="both"/>
        <w:rPr>
          <w:rFonts w:ascii="Times New Roman" w:hAnsi="Times New Roman"/>
          <w:sz w:val="24"/>
          <w:szCs w:val="24"/>
          <w:lang w:val="sq-AL"/>
        </w:rPr>
      </w:pPr>
    </w:p>
    <w:p w14:paraId="5CA45918" w14:textId="451A10C9" w:rsidR="008675CA" w:rsidRPr="00AB3625" w:rsidRDefault="00E54C97" w:rsidP="008675CA">
      <w:pPr>
        <w:pStyle w:val="BodyText"/>
        <w:jc w:val="both"/>
        <w:rPr>
          <w:rFonts w:ascii="Times New Roman" w:hAnsi="Times New Roman"/>
          <w:b/>
          <w:sz w:val="24"/>
          <w:szCs w:val="24"/>
          <w:lang w:val="sq-AL"/>
        </w:rPr>
      </w:pPr>
      <w:r w:rsidRPr="00AB3625">
        <w:rPr>
          <w:rFonts w:ascii="Times New Roman" w:hAnsi="Times New Roman"/>
          <w:b/>
          <w:sz w:val="24"/>
          <w:szCs w:val="24"/>
          <w:lang w:val="sq-AL"/>
        </w:rPr>
        <w:t>Sfondi i propozimit legjislativ</w:t>
      </w:r>
      <w:r w:rsidR="00AB362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E44CB" w14:paraId="5017327A" w14:textId="77777777" w:rsidTr="009F3A30">
        <w:tc>
          <w:tcPr>
            <w:tcW w:w="9212" w:type="dxa"/>
          </w:tcPr>
          <w:p w14:paraId="070874E5" w14:textId="77777777" w:rsidR="00AB3625" w:rsidRDefault="00AB3625" w:rsidP="009F3A30">
            <w:pPr>
              <w:pStyle w:val="BodyText"/>
              <w:jc w:val="both"/>
              <w:rPr>
                <w:rFonts w:ascii="Times New Roman" w:hAnsi="Times New Roman"/>
                <w:i/>
                <w:sz w:val="24"/>
                <w:szCs w:val="24"/>
                <w:lang w:val="sq-AL"/>
              </w:rPr>
            </w:pPr>
          </w:p>
          <w:p w14:paraId="75148394" w14:textId="77777777" w:rsidR="00D0157C" w:rsidRPr="00D0157C" w:rsidRDefault="00D0157C" w:rsidP="00D0157C">
            <w:pPr>
              <w:jc w:val="both"/>
              <w:rPr>
                <w:rFonts w:ascii="Times New Roman" w:hAnsi="Times New Roman"/>
                <w:b/>
                <w:sz w:val="24"/>
                <w:szCs w:val="24"/>
                <w:lang w:val="sq-AL"/>
              </w:rPr>
            </w:pPr>
            <w:r w:rsidRPr="00D0157C">
              <w:rPr>
                <w:rFonts w:ascii="Times New Roman" w:hAnsi="Times New Roman"/>
                <w:b/>
                <w:sz w:val="24"/>
                <w:szCs w:val="24"/>
                <w:lang w:val="sq-AL"/>
              </w:rPr>
              <w:t>Me miratimin e ligjit nr.112/2020, “Për regjistrin e pronarëve përfitues”, i ndryshuar, të gjitha subjektet raportuese të regjistruara në Republikën e Shqipërisë kanë detyrimin e regjistrimit të pronarëve përfitues në Regjistrin e Pronarëve Përfitues. Gjithashtu, ky ligj parashikoi se subjektet raportuese ekzistuese duhet të regjistronin të dhënat e pronarëve të tyre përfitues deri më datë 30.06.2021 (afat i shtyrë me anë të Aktit Normativ nr.12, datë 25.03.2021, miratuar me ligjin nr.55/2021). Ndërkohë, që bazuar në këtë ligj  subjektet raportuese të krijuara rishtazi kanë detyrimin të regjistrojnë pronarët e tyre përfitues brenda 30 ditëve kalendarike nga data e regjistrimit të subjekteve raportuese, në rastin e regjistrimit fillestar të pronarëve përfitues.</w:t>
            </w:r>
          </w:p>
          <w:p w14:paraId="2F08BAB4" w14:textId="77777777" w:rsidR="00D0157C" w:rsidRPr="00D0157C" w:rsidRDefault="00D0157C" w:rsidP="00D0157C">
            <w:pPr>
              <w:jc w:val="both"/>
              <w:rPr>
                <w:rFonts w:ascii="Times New Roman" w:hAnsi="Times New Roman"/>
                <w:b/>
                <w:sz w:val="20"/>
                <w:lang w:val="sq-AL"/>
              </w:rPr>
            </w:pPr>
          </w:p>
          <w:p w14:paraId="7CEF61A1" w14:textId="77777777" w:rsidR="00D0157C" w:rsidRPr="00D0157C" w:rsidRDefault="00D0157C" w:rsidP="00D0157C">
            <w:pPr>
              <w:jc w:val="both"/>
              <w:rPr>
                <w:rFonts w:ascii="Times New Roman" w:hAnsi="Times New Roman"/>
                <w:b/>
                <w:sz w:val="24"/>
                <w:szCs w:val="24"/>
                <w:lang w:val="sq-AL"/>
              </w:rPr>
            </w:pPr>
            <w:r w:rsidRPr="00D0157C">
              <w:rPr>
                <w:rFonts w:ascii="Times New Roman" w:hAnsi="Times New Roman"/>
                <w:b/>
                <w:sz w:val="24"/>
                <w:szCs w:val="24"/>
                <w:lang w:val="sq-AL"/>
              </w:rPr>
              <w:t>Megjithatë, nga analizimi i të dhënave të regjistruara në Regjistrin e Pronarëve Përfitues, rezulton se nga 59165 subjekte raportuese ekzistuese të regjistruara në Regjistrin Tregtar përpara datës së krijimit të Regjistrit të Pronarëve Përfitues,  prej të cilëve 8689 subjekte  me statusin pezulluar, bazuar në VKM nr.273/2021 kanë detyrimin të regjistrojnë pronarin përfitues në regjistrin e pronarit përfitues, përpara kërkesës për ndryshimin e statusit të tyre në regjistrin tregtar</w:t>
            </w:r>
            <w:r w:rsidRPr="00D0157C">
              <w:rPr>
                <w:rFonts w:ascii="Times New Roman" w:hAnsi="Times New Roman"/>
                <w:b/>
                <w:i/>
                <w:sz w:val="24"/>
                <w:szCs w:val="24"/>
                <w:lang w:val="sq-AL"/>
              </w:rPr>
              <w:t>,</w:t>
            </w:r>
            <w:r w:rsidRPr="00D0157C">
              <w:rPr>
                <w:rFonts w:ascii="Times New Roman" w:hAnsi="Times New Roman"/>
                <w:b/>
                <w:sz w:val="24"/>
                <w:szCs w:val="24"/>
                <w:lang w:val="sq-AL"/>
              </w:rPr>
              <w:t xml:space="preserve">  vetëm 21460 subjekte raportuese ekzistuese kanë regjistruar të dhënat e pronarëve të tyre përfitues në regjistër deri më datë 10.11.2021. </w:t>
            </w:r>
          </w:p>
          <w:p w14:paraId="06816051" w14:textId="77777777" w:rsidR="00D0157C" w:rsidRPr="00D0157C" w:rsidRDefault="00D0157C" w:rsidP="00D0157C">
            <w:pPr>
              <w:jc w:val="both"/>
              <w:rPr>
                <w:rFonts w:ascii="Times New Roman" w:hAnsi="Times New Roman"/>
                <w:b/>
                <w:sz w:val="20"/>
                <w:lang w:val="sq-AL"/>
              </w:rPr>
            </w:pPr>
          </w:p>
          <w:p w14:paraId="2C58BC99" w14:textId="77777777" w:rsidR="00D0157C" w:rsidRPr="00D0157C" w:rsidRDefault="00D0157C" w:rsidP="00D0157C">
            <w:pPr>
              <w:jc w:val="both"/>
              <w:rPr>
                <w:rFonts w:ascii="Times New Roman" w:hAnsi="Times New Roman"/>
                <w:b/>
                <w:sz w:val="24"/>
                <w:szCs w:val="24"/>
                <w:lang w:val="sq-AL"/>
              </w:rPr>
            </w:pPr>
            <w:r w:rsidRPr="00D0157C">
              <w:rPr>
                <w:rFonts w:ascii="Times New Roman" w:hAnsi="Times New Roman"/>
                <w:b/>
                <w:sz w:val="24"/>
                <w:szCs w:val="24"/>
                <w:lang w:val="sq-AL"/>
              </w:rPr>
              <w:t>Gjithashtu, nga 4861 Organizata Jofitimprurëse ekzistuese të regjistruara në Regjistrin e Organizatave Jofitimprurëse, vetëm 1961 Organizata Jofitimprurëse kanë regjistruar të dhënat e pronarëve të tyre përfitues në regjistër.</w:t>
            </w:r>
          </w:p>
          <w:p w14:paraId="634803C2" w14:textId="77777777" w:rsidR="00D0157C" w:rsidRPr="00D0157C" w:rsidRDefault="00D0157C" w:rsidP="00D0157C">
            <w:pPr>
              <w:jc w:val="both"/>
              <w:rPr>
                <w:rFonts w:ascii="Times New Roman" w:hAnsi="Times New Roman"/>
                <w:b/>
                <w:sz w:val="20"/>
                <w:lang w:val="sq-AL"/>
              </w:rPr>
            </w:pPr>
          </w:p>
          <w:p w14:paraId="5CC522EF" w14:textId="77777777" w:rsidR="00D0157C" w:rsidRPr="00D0157C" w:rsidRDefault="00D0157C" w:rsidP="00D0157C">
            <w:pPr>
              <w:jc w:val="both"/>
              <w:rPr>
                <w:rFonts w:ascii="Times New Roman" w:hAnsi="Times New Roman"/>
                <w:b/>
                <w:sz w:val="24"/>
                <w:szCs w:val="24"/>
                <w:lang w:val="sq-AL"/>
              </w:rPr>
            </w:pPr>
            <w:r w:rsidRPr="00D0157C">
              <w:rPr>
                <w:rFonts w:ascii="Times New Roman" w:hAnsi="Times New Roman"/>
                <w:b/>
                <w:sz w:val="24"/>
                <w:szCs w:val="24"/>
                <w:lang w:val="sq-AL"/>
              </w:rPr>
              <w:t>Ndërkohë, nga analiza e bërë rezulton se  nga 2869 subjekte raportuese të krijuara rishtazi pas krijimit të Regjistrit të Pronarëve Përfitues (gjatë periudhës kohore 01.02.2021-10.11.2021), vetëm 1972 subjekte kanë regjistruar të dhënat e pronarëve të tyre përfitues në regjistër</w:t>
            </w:r>
            <w:r w:rsidRPr="00D0157C">
              <w:rPr>
                <w:rFonts w:ascii="Times New Roman" w:hAnsi="Times New Roman"/>
                <w:b/>
                <w:sz w:val="24"/>
                <w:szCs w:val="24"/>
              </w:rPr>
              <w:t xml:space="preserve"> </w:t>
            </w:r>
            <w:r w:rsidRPr="00D0157C">
              <w:rPr>
                <w:rFonts w:ascii="Times New Roman" w:hAnsi="Times New Roman"/>
                <w:b/>
                <w:sz w:val="24"/>
                <w:szCs w:val="24"/>
                <w:lang w:val="sq-AL"/>
              </w:rPr>
              <w:t xml:space="preserve">brenda 30 ditëve kalendarike nga data e regjistrimit të tyre në regjistrin tregtar. </w:t>
            </w:r>
          </w:p>
          <w:p w14:paraId="11DA1586" w14:textId="77777777" w:rsidR="00D0157C" w:rsidRPr="00D0157C" w:rsidRDefault="00D0157C" w:rsidP="00D0157C">
            <w:pPr>
              <w:jc w:val="both"/>
              <w:rPr>
                <w:rFonts w:ascii="Times New Roman" w:hAnsi="Times New Roman"/>
                <w:b/>
                <w:sz w:val="20"/>
                <w:lang w:val="sq-AL"/>
              </w:rPr>
            </w:pPr>
          </w:p>
          <w:p w14:paraId="082CC9C1" w14:textId="58E79BA8" w:rsidR="00D0157C" w:rsidRPr="00D0157C" w:rsidRDefault="00D0157C" w:rsidP="00D0157C">
            <w:pPr>
              <w:jc w:val="both"/>
              <w:rPr>
                <w:rFonts w:ascii="Times New Roman" w:hAnsi="Times New Roman"/>
                <w:b/>
                <w:sz w:val="20"/>
                <w:lang w:val="sq-AL"/>
              </w:rPr>
            </w:pPr>
            <w:r w:rsidRPr="00D0157C">
              <w:rPr>
                <w:rFonts w:ascii="Times New Roman" w:hAnsi="Times New Roman"/>
                <w:b/>
                <w:sz w:val="24"/>
                <w:szCs w:val="24"/>
                <w:lang w:val="sq-AL"/>
              </w:rPr>
              <w:t xml:space="preserve">Me qëllim rregullimin e kësaj situate dhe zbatimin e rekomandimeve të ekspertëve të MONEYVAL, të cilët kërkojnë që Shqipëria të krijojë mekanizma që të sigurojnë një numër sa më të lartë të subjekteve raportuese që regjistrojnë të dhënat e pronarëve të tyre përfitues, u vlerësua ndërmarrja e disa shtesave dhe ndryshimeve në ligjin ekzistues nr.112/2020, “Për regjistrin e pronarëve përfitues”, i ndryshuar. </w:t>
            </w:r>
          </w:p>
          <w:p w14:paraId="7590D3B8" w14:textId="77777777" w:rsidR="001E4573" w:rsidRPr="004F74E7" w:rsidRDefault="001E4573" w:rsidP="004F74E7">
            <w:pPr>
              <w:jc w:val="both"/>
              <w:rPr>
                <w:rFonts w:ascii="Times New Roman" w:hAnsi="Times New Roman"/>
                <w:i/>
                <w:sz w:val="24"/>
                <w:szCs w:val="24"/>
                <w:lang w:val="sq-AL"/>
              </w:rPr>
            </w:pPr>
          </w:p>
        </w:tc>
      </w:tr>
    </w:tbl>
    <w:p w14:paraId="24F85D3F" w14:textId="77777777" w:rsidR="008675CA" w:rsidRPr="004E44CB" w:rsidRDefault="008675CA" w:rsidP="008675CA">
      <w:pPr>
        <w:pStyle w:val="BodyText"/>
        <w:jc w:val="both"/>
        <w:rPr>
          <w:rFonts w:ascii="Times New Roman" w:hAnsi="Times New Roman"/>
          <w:sz w:val="24"/>
          <w:szCs w:val="24"/>
          <w:lang w:val="sq-AL"/>
        </w:rPr>
      </w:pPr>
    </w:p>
    <w:p w14:paraId="034FED24" w14:textId="77777777" w:rsidR="008675CA" w:rsidRPr="00AB3625" w:rsidRDefault="00E54C97" w:rsidP="008675CA">
      <w:pPr>
        <w:pStyle w:val="BodyText"/>
        <w:jc w:val="both"/>
        <w:rPr>
          <w:rFonts w:ascii="Times New Roman" w:hAnsi="Times New Roman"/>
          <w:b/>
          <w:sz w:val="24"/>
          <w:szCs w:val="24"/>
          <w:lang w:val="sq-AL"/>
        </w:rPr>
      </w:pPr>
      <w:r w:rsidRPr="00AB3625">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E44CB" w14:paraId="59FC2C08" w14:textId="77777777" w:rsidTr="009F3A30">
        <w:tc>
          <w:tcPr>
            <w:tcW w:w="9212" w:type="dxa"/>
          </w:tcPr>
          <w:p w14:paraId="6A7928AB" w14:textId="77777777" w:rsidR="00AB3625" w:rsidRDefault="00AB3625" w:rsidP="009F3A30">
            <w:pPr>
              <w:pStyle w:val="BodyText"/>
              <w:jc w:val="both"/>
              <w:rPr>
                <w:rFonts w:ascii="Times New Roman" w:hAnsi="Times New Roman"/>
                <w:i/>
                <w:sz w:val="24"/>
                <w:szCs w:val="24"/>
                <w:lang w:val="sq-AL"/>
              </w:rPr>
            </w:pPr>
          </w:p>
          <w:p w14:paraId="6EDDF4B8" w14:textId="66CD7FAA" w:rsidR="00AB3625" w:rsidRPr="00AB3625" w:rsidRDefault="00AB3625" w:rsidP="00AB3625">
            <w:pPr>
              <w:jc w:val="both"/>
              <w:rPr>
                <w:rFonts w:ascii="Times New Roman" w:hAnsi="Times New Roman"/>
                <w:b/>
                <w:sz w:val="24"/>
                <w:szCs w:val="24"/>
                <w:lang w:val="sq-AL"/>
              </w:rPr>
            </w:pPr>
            <w:r w:rsidRPr="00AB3625">
              <w:rPr>
                <w:rFonts w:ascii="Times New Roman" w:hAnsi="Times New Roman"/>
                <w:b/>
                <w:sz w:val="24"/>
                <w:szCs w:val="24"/>
                <w:lang w:val="sq-AL"/>
              </w:rPr>
              <w:t xml:space="preserve">Projektligji synon të nxisë rritjen e numrit e raportimeve të pronarëve përfitues, si dhe  zbatimin e rekomandimeve të ekspertëve të MONEYVAL, të cilët kërkojnë që Shqipëria të krijojë mekanizma për sigurimin e një numri sa më të lartë të subjekteve raportuese që regjistrojnë të dhënat e pronarëve të tyre përfitues, u vlerësua ndërmarrja e disa shtesave dhe ndryshimeve në ligjin ekzistues nr.112/2020, “Për regjistrin e pronarëve përfitues”, i ndryshuar. </w:t>
            </w:r>
          </w:p>
          <w:p w14:paraId="54021EC5" w14:textId="77777777" w:rsidR="00AB3625" w:rsidRPr="00AB3625" w:rsidRDefault="00AB3625" w:rsidP="00AB3625">
            <w:pPr>
              <w:jc w:val="both"/>
              <w:rPr>
                <w:rFonts w:ascii="Times New Roman" w:hAnsi="Times New Roman"/>
                <w:b/>
                <w:sz w:val="20"/>
                <w:lang w:val="sq-AL"/>
              </w:rPr>
            </w:pPr>
          </w:p>
          <w:p w14:paraId="70634301" w14:textId="77777777" w:rsidR="00AB3625" w:rsidRPr="00AB3625" w:rsidRDefault="00AB3625" w:rsidP="00AB3625">
            <w:pPr>
              <w:jc w:val="both"/>
              <w:rPr>
                <w:rFonts w:ascii="Times New Roman" w:hAnsi="Times New Roman"/>
                <w:b/>
                <w:sz w:val="24"/>
                <w:szCs w:val="24"/>
                <w:lang w:val="sq-AL"/>
              </w:rPr>
            </w:pPr>
            <w:r w:rsidRPr="00AB3625">
              <w:rPr>
                <w:rFonts w:ascii="Times New Roman" w:hAnsi="Times New Roman"/>
                <w:b/>
                <w:sz w:val="24"/>
                <w:szCs w:val="24"/>
                <w:lang w:val="sq-AL"/>
              </w:rPr>
              <w:t>Më konkretisht, ky projektligj parashikon ndryshimet si më poshtë:</w:t>
            </w:r>
          </w:p>
          <w:p w14:paraId="2B0E7C98" w14:textId="77777777" w:rsidR="00AB3625" w:rsidRPr="00AB3625" w:rsidRDefault="00AB3625" w:rsidP="00AB3625">
            <w:pPr>
              <w:pStyle w:val="ListParagraph"/>
              <w:spacing w:after="0" w:line="240" w:lineRule="auto"/>
              <w:ind w:left="360"/>
              <w:jc w:val="both"/>
              <w:rPr>
                <w:rFonts w:ascii="Times New Roman" w:hAnsi="Times New Roman" w:cs="Times New Roman"/>
                <w:b/>
                <w:sz w:val="20"/>
                <w:szCs w:val="20"/>
                <w:lang w:val="sq-AL"/>
              </w:rPr>
            </w:pPr>
          </w:p>
          <w:p w14:paraId="65CE972D" w14:textId="77777777" w:rsidR="00AB3625" w:rsidRPr="00AB3625" w:rsidRDefault="00AB3625" w:rsidP="00AB3625">
            <w:pPr>
              <w:pStyle w:val="ListParagraph"/>
              <w:numPr>
                <w:ilvl w:val="0"/>
                <w:numId w:val="1"/>
              </w:numPr>
              <w:spacing w:after="0" w:line="240" w:lineRule="auto"/>
              <w:jc w:val="both"/>
              <w:rPr>
                <w:rFonts w:ascii="Times New Roman" w:hAnsi="Times New Roman" w:cs="Times New Roman"/>
                <w:b/>
                <w:sz w:val="24"/>
                <w:szCs w:val="24"/>
                <w:lang w:val="sq-AL"/>
              </w:rPr>
            </w:pPr>
            <w:r w:rsidRPr="00AB3625">
              <w:rPr>
                <w:rFonts w:ascii="Times New Roman" w:hAnsi="Times New Roman" w:cs="Times New Roman"/>
                <w:b/>
                <w:sz w:val="24"/>
                <w:szCs w:val="24"/>
                <w:lang w:val="sq-AL"/>
              </w:rPr>
              <w:t>mundësinë e popullimit automatik të regjistrit të pronarëve përfitues nga Qendra Kombëtare e Biznesit për subjektet raportuese që kanë pronësi direkte, duke ju referuar gjendjes se ortakërisë të regjistruar në regjistrin tregtar për subjektet raportuese me pronësi direkte.</w:t>
            </w:r>
          </w:p>
          <w:p w14:paraId="418A8FE2" w14:textId="77777777" w:rsidR="00AB3625" w:rsidRPr="00AB3625" w:rsidRDefault="00AB3625" w:rsidP="00AB3625">
            <w:pPr>
              <w:pStyle w:val="ListParagraph"/>
              <w:numPr>
                <w:ilvl w:val="0"/>
                <w:numId w:val="1"/>
              </w:numPr>
              <w:spacing w:after="0" w:line="240" w:lineRule="auto"/>
              <w:jc w:val="both"/>
              <w:rPr>
                <w:rFonts w:ascii="Times New Roman" w:hAnsi="Times New Roman" w:cs="Times New Roman"/>
                <w:b/>
                <w:sz w:val="24"/>
                <w:szCs w:val="24"/>
                <w:lang w:val="sq-AL"/>
              </w:rPr>
            </w:pPr>
            <w:r w:rsidRPr="00AB3625">
              <w:rPr>
                <w:rFonts w:ascii="Times New Roman" w:hAnsi="Times New Roman" w:cs="Times New Roman"/>
                <w:b/>
                <w:sz w:val="24"/>
                <w:szCs w:val="24"/>
                <w:lang w:val="sq-AL"/>
              </w:rPr>
              <w:t>shtyrjen e afatit për raportimin fillestar të pronarëve përfitues nga subjektet raportuese ekzistuese me pronësi indirekte të regjistruara në Regjistrin Tregtar dhe nga Organizatat Jofitimprurëse, deri më datë 01.04.2022.</w:t>
            </w:r>
          </w:p>
          <w:p w14:paraId="7BBEB893" w14:textId="24AA894A" w:rsidR="00AB3625" w:rsidRPr="00AB3625" w:rsidRDefault="00AB3625" w:rsidP="00AB3625">
            <w:pPr>
              <w:pStyle w:val="ListParagraph"/>
              <w:numPr>
                <w:ilvl w:val="0"/>
                <w:numId w:val="1"/>
              </w:numPr>
              <w:spacing w:after="0" w:line="240" w:lineRule="auto"/>
              <w:jc w:val="both"/>
              <w:rPr>
                <w:rFonts w:ascii="Times New Roman" w:hAnsi="Times New Roman" w:cs="Times New Roman"/>
                <w:b/>
                <w:sz w:val="24"/>
                <w:szCs w:val="24"/>
                <w:lang w:val="sq-AL"/>
              </w:rPr>
            </w:pPr>
            <w:r w:rsidRPr="00AB3625">
              <w:rPr>
                <w:rFonts w:ascii="Times New Roman" w:hAnsi="Times New Roman" w:cs="Times New Roman"/>
                <w:b/>
                <w:sz w:val="24"/>
                <w:szCs w:val="24"/>
                <w:lang w:val="sq-AL"/>
              </w:rPr>
              <w:t xml:space="preserve">shtyrjen e afatit për raportimin fillestar të pronarëve përfitues nga subjektet raportuese që regjistrohen rishtazi, nga brenda 30 ditëve kalendarike nga data e regjistrimit të subjekteve raportuese, në brenda 40 ditëve kalendarike nga data e regjistrimit të subjekteve raportuese. Kjo shtyrje afati është bërë për arsye se  aktualisht koha për t’u pajisur me nënshkrim elektronik, është 7-10 ditë, dhe kjo gjë krijon pengesa dhe vonesa për subjektet raportuese për regjistrimin e të dhënave të pronarëve të tyre përfitues në regjistër. </w:t>
            </w:r>
          </w:p>
          <w:p w14:paraId="5EBBD9AF" w14:textId="77777777" w:rsidR="00AB3625" w:rsidRPr="00AB3625" w:rsidRDefault="00AB3625" w:rsidP="00AB3625">
            <w:pPr>
              <w:pStyle w:val="ListParagraph"/>
              <w:numPr>
                <w:ilvl w:val="0"/>
                <w:numId w:val="1"/>
              </w:numPr>
              <w:spacing w:after="0" w:line="240" w:lineRule="auto"/>
              <w:jc w:val="both"/>
              <w:rPr>
                <w:rFonts w:ascii="Times New Roman" w:hAnsi="Times New Roman" w:cs="Times New Roman"/>
                <w:b/>
                <w:sz w:val="24"/>
                <w:szCs w:val="24"/>
                <w:lang w:val="sq-AL"/>
              </w:rPr>
            </w:pPr>
            <w:r w:rsidRPr="00AB3625">
              <w:rPr>
                <w:rFonts w:ascii="Times New Roman" w:hAnsi="Times New Roman" w:cs="Times New Roman"/>
                <w:b/>
                <w:sz w:val="24"/>
                <w:szCs w:val="24"/>
                <w:lang w:val="sq-AL"/>
              </w:rPr>
              <w:t>faljen e gjobave të vendosura nga QKB-ja përpara hyrjes në fuqi të projektligjit, në lidhje me mos përmbushjen e detyrimit për raportimin fillestar të pronarëve përfitues nga subjektet raportuese, me kusht që raportimi të kryhet prej tyre deri më datë 01.04.2022.</w:t>
            </w:r>
          </w:p>
          <w:p w14:paraId="679AF932" w14:textId="463CC6FC" w:rsidR="00AB3625" w:rsidRPr="00AB3625" w:rsidRDefault="00AB3625" w:rsidP="00AB3625">
            <w:pPr>
              <w:pStyle w:val="ListParagraph"/>
              <w:numPr>
                <w:ilvl w:val="0"/>
                <w:numId w:val="1"/>
              </w:numPr>
              <w:spacing w:after="0" w:line="240" w:lineRule="auto"/>
              <w:jc w:val="both"/>
              <w:rPr>
                <w:rFonts w:ascii="Times New Roman" w:hAnsi="Times New Roman" w:cs="Times New Roman"/>
                <w:b/>
                <w:sz w:val="24"/>
                <w:szCs w:val="24"/>
                <w:lang w:val="sq-AL"/>
              </w:rPr>
            </w:pPr>
            <w:r w:rsidRPr="00AB3625">
              <w:rPr>
                <w:rFonts w:ascii="Times New Roman" w:hAnsi="Times New Roman" w:cs="Times New Roman"/>
                <w:b/>
                <w:sz w:val="24"/>
                <w:szCs w:val="24"/>
                <w:lang w:val="sq-AL"/>
              </w:rPr>
              <w:t xml:space="preserve">përshkallëzimin e masës së kundërvajtjeve administrative që do të vendosen në vijim të hyrjes në fuqi të projektligjit, mbi bazën e vonesës në përmbushjen e detyrimit të raportimit fillestar të pronarëve përfitues nga subjektet raportuese që regjistrohen rishtazi. Ky përshkallëzim bëhet me qëllim mundësimin e rritjes së numrit të subjekteve raportuese që regjistrojnë të dhënat e pronarëve të tyre përfitues në regjistër. </w:t>
            </w:r>
          </w:p>
          <w:p w14:paraId="3F56DF36" w14:textId="4A4959F7" w:rsidR="00AB3625" w:rsidRPr="00AB3625" w:rsidRDefault="00AB3625" w:rsidP="00AB3625">
            <w:pPr>
              <w:pStyle w:val="ListParagraph"/>
              <w:numPr>
                <w:ilvl w:val="0"/>
                <w:numId w:val="1"/>
              </w:numPr>
              <w:spacing w:after="0" w:line="240" w:lineRule="auto"/>
              <w:jc w:val="both"/>
              <w:rPr>
                <w:rFonts w:ascii="Times New Roman" w:hAnsi="Times New Roman" w:cs="Times New Roman"/>
                <w:b/>
                <w:sz w:val="24"/>
                <w:szCs w:val="24"/>
                <w:lang w:val="sq-AL"/>
              </w:rPr>
            </w:pPr>
            <w:r w:rsidRPr="00AB3625">
              <w:rPr>
                <w:rFonts w:ascii="Times New Roman" w:hAnsi="Times New Roman" w:cs="Times New Roman"/>
                <w:b/>
                <w:sz w:val="24"/>
                <w:szCs w:val="24"/>
                <w:lang w:val="sq-AL"/>
              </w:rPr>
              <w:t xml:space="preserve">parashikimin e procedurës së pezullimit të aplikimit për një afat 30 ditor, në rast të aplikimeve të paplota. Kjo risi u mundëson subjekteve raportuese të rregullojnë të metat e konstatuara në aplikim gjatë afatit të pezullimit dhe të regjistrojnë të dhënat e pronarëve të tyre përfitues, si dhe të evitojnë marrjen e gjobave. </w:t>
            </w:r>
          </w:p>
          <w:p w14:paraId="02BDF19D" w14:textId="7803F134" w:rsidR="00AB3625" w:rsidRPr="00AB3625" w:rsidRDefault="00AB3625" w:rsidP="00AB3625">
            <w:pPr>
              <w:pStyle w:val="ListParagraph"/>
              <w:numPr>
                <w:ilvl w:val="0"/>
                <w:numId w:val="1"/>
              </w:numPr>
              <w:spacing w:after="0" w:line="240" w:lineRule="auto"/>
              <w:jc w:val="both"/>
              <w:rPr>
                <w:rFonts w:ascii="Times New Roman" w:hAnsi="Times New Roman" w:cs="Times New Roman"/>
                <w:b/>
                <w:sz w:val="24"/>
                <w:szCs w:val="24"/>
                <w:lang w:val="sq-AL"/>
              </w:rPr>
            </w:pPr>
            <w:r w:rsidRPr="00AB3625">
              <w:rPr>
                <w:rFonts w:ascii="Times New Roman" w:hAnsi="Times New Roman" w:cs="Times New Roman"/>
                <w:b/>
                <w:sz w:val="24"/>
                <w:szCs w:val="24"/>
                <w:lang w:val="sq-AL"/>
              </w:rPr>
              <w:t xml:space="preserve">heqjen e gjobës për administratorin në rastin e mosregjistrimit të të dhënave të pronarëve përfitues të subjekteve raportuese brenda afatit ligjor, dhe përfshirja e </w:t>
            </w:r>
            <w:r w:rsidRPr="00AB3625">
              <w:rPr>
                <w:rFonts w:ascii="Times New Roman" w:hAnsi="Times New Roman" w:cs="Times New Roman"/>
                <w:b/>
                <w:sz w:val="24"/>
                <w:szCs w:val="24"/>
                <w:lang w:val="sq-AL"/>
              </w:rPr>
              <w:lastRenderedPageBreak/>
              <w:t>vlerës së kësaj gjobe në gjobat e vendosura ndaj subjekteve raportuese, duke mundësuar vjeljen e kësaj shume nga subjektit raportues. Ky ndryshim është parë i arsyeshëm për t’u bërë për arsye se aktualisht, QKB-ja e ka të pamundur të vjelë nga përfaqësuesi ligjor, kundërvajtjet administrative të vendosura, pasi e vetmja mënyrë për vjeljen e gjobave është ndërprerja e shërbimeve për subjektin raportues.</w:t>
            </w:r>
          </w:p>
          <w:p w14:paraId="11268FC7" w14:textId="77777777" w:rsidR="001E4573" w:rsidRPr="004F74E7" w:rsidRDefault="00AB3625" w:rsidP="004F74E7">
            <w:pPr>
              <w:pStyle w:val="ListParagraph"/>
              <w:numPr>
                <w:ilvl w:val="0"/>
                <w:numId w:val="1"/>
              </w:numPr>
              <w:spacing w:after="0" w:line="240" w:lineRule="auto"/>
              <w:jc w:val="both"/>
              <w:rPr>
                <w:rFonts w:ascii="Times New Roman" w:hAnsi="Times New Roman"/>
                <w:sz w:val="24"/>
                <w:szCs w:val="24"/>
                <w:lang w:val="sq-AL"/>
              </w:rPr>
            </w:pPr>
            <w:r w:rsidRPr="00AB3625">
              <w:rPr>
                <w:rFonts w:ascii="Times New Roman" w:hAnsi="Times New Roman" w:cs="Times New Roman"/>
                <w:b/>
                <w:sz w:val="24"/>
                <w:szCs w:val="24"/>
                <w:lang w:val="sq-AL"/>
              </w:rPr>
              <w:t>lejimi i ofrimit të shërbimit të ndryshimit/riemërimit të administratorit ose të përfaqësuesit ligjor të subjekteve raportuese në rastet kur ndaj subjekteve raportuese është vendosur gjobë dhe është ndërprerë shërbimi në regjistrin tregtar dhe në Regjistrin e Organizatave Jofitimprurëse. Ky parashikim është bërë pasi parashikimi aktual ligjor krijon problematika të shumta duke qenë se subjektet raportues e kanë të pamundur të emërojnë një përfaqësues të ri për të përmbushuri detyrimet e raportimit, pasi ato nuk marrin shërbim nga regjistrin tregtar ose në regjistrin e organizatave jofitimprurëse për arsye se ato nuk kanë regjistruar pronarët e tyre përfitues brenda afateve ligjore.</w:t>
            </w:r>
          </w:p>
          <w:p w14:paraId="7A7AF454" w14:textId="484B7078" w:rsidR="004F74E7" w:rsidRPr="004E44CB" w:rsidRDefault="004F74E7" w:rsidP="004F74E7">
            <w:pPr>
              <w:pStyle w:val="ListParagraph"/>
              <w:spacing w:after="0" w:line="240" w:lineRule="auto"/>
              <w:ind w:left="360"/>
              <w:jc w:val="both"/>
              <w:rPr>
                <w:rFonts w:ascii="Times New Roman" w:hAnsi="Times New Roman"/>
                <w:sz w:val="24"/>
                <w:szCs w:val="24"/>
                <w:lang w:val="sq-AL"/>
              </w:rPr>
            </w:pPr>
          </w:p>
        </w:tc>
      </w:tr>
    </w:tbl>
    <w:p w14:paraId="3A320FF0" w14:textId="77777777" w:rsidR="008675CA" w:rsidRPr="004E44CB" w:rsidRDefault="008675CA" w:rsidP="008675CA">
      <w:pPr>
        <w:pStyle w:val="BodyText"/>
        <w:jc w:val="both"/>
        <w:rPr>
          <w:rFonts w:ascii="Times New Roman" w:hAnsi="Times New Roman"/>
          <w:i/>
          <w:sz w:val="24"/>
          <w:szCs w:val="24"/>
          <w:lang w:val="sq-AL"/>
        </w:rPr>
      </w:pPr>
    </w:p>
    <w:p w14:paraId="2D9A4CA5" w14:textId="77777777" w:rsidR="008675CA" w:rsidRPr="00A461AC" w:rsidRDefault="00E54C97" w:rsidP="008675CA">
      <w:pPr>
        <w:pStyle w:val="BodyText"/>
        <w:jc w:val="both"/>
        <w:rPr>
          <w:rFonts w:ascii="Times New Roman" w:hAnsi="Times New Roman"/>
          <w:b/>
          <w:sz w:val="24"/>
          <w:szCs w:val="24"/>
          <w:lang w:val="sq-AL"/>
        </w:rPr>
      </w:pPr>
      <w:r w:rsidRPr="00A461AC">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E44CB" w14:paraId="6F85D1AB" w14:textId="77777777" w:rsidTr="009F3A30">
        <w:tc>
          <w:tcPr>
            <w:tcW w:w="9212" w:type="dxa"/>
          </w:tcPr>
          <w:p w14:paraId="7607B2CB" w14:textId="0C4ABA8A" w:rsidR="001E4573" w:rsidRDefault="001E4573" w:rsidP="009F3A30">
            <w:pPr>
              <w:pStyle w:val="BodyText"/>
              <w:jc w:val="both"/>
              <w:rPr>
                <w:rFonts w:ascii="Times New Roman" w:hAnsi="Times New Roman"/>
                <w:i/>
                <w:sz w:val="24"/>
                <w:szCs w:val="24"/>
                <w:lang w:val="sq-AL"/>
              </w:rPr>
            </w:pPr>
          </w:p>
          <w:p w14:paraId="3D4086F2" w14:textId="29E2ECA4" w:rsidR="001E4573" w:rsidRPr="004E44CB" w:rsidRDefault="009444DA" w:rsidP="009444DA">
            <w:pPr>
              <w:pStyle w:val="BodyText"/>
              <w:jc w:val="both"/>
              <w:rPr>
                <w:rFonts w:ascii="Times New Roman" w:hAnsi="Times New Roman"/>
                <w:i/>
                <w:sz w:val="24"/>
                <w:szCs w:val="24"/>
                <w:lang w:val="sq-AL"/>
              </w:rPr>
            </w:pPr>
            <w:r w:rsidRPr="009444DA">
              <w:rPr>
                <w:rFonts w:ascii="Times New Roman" w:hAnsi="Times New Roman"/>
                <w:b/>
                <w:sz w:val="24"/>
                <w:szCs w:val="24"/>
                <w:lang w:val="sq-AL"/>
              </w:rPr>
              <w:t>Nuk ka pyetje specifike</w:t>
            </w:r>
          </w:p>
        </w:tc>
      </w:tr>
    </w:tbl>
    <w:p w14:paraId="7BC99291" w14:textId="77777777" w:rsidR="008675CA" w:rsidRPr="004E44CB" w:rsidRDefault="008675CA" w:rsidP="008675CA">
      <w:pPr>
        <w:pStyle w:val="BodyText"/>
        <w:jc w:val="both"/>
        <w:rPr>
          <w:rFonts w:ascii="Times New Roman" w:hAnsi="Times New Roman"/>
          <w:b/>
          <w:sz w:val="24"/>
          <w:szCs w:val="24"/>
          <w:lang w:val="sq-AL"/>
        </w:rPr>
      </w:pPr>
    </w:p>
    <w:p w14:paraId="7F08B1D8" w14:textId="77777777" w:rsidR="008675CA" w:rsidRDefault="008675CA"/>
    <w:sectPr w:rsidR="008675CA" w:rsidSect="00453F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2041A"/>
    <w:multiLevelType w:val="hybridMultilevel"/>
    <w:tmpl w:val="ED72C7CA"/>
    <w:lvl w:ilvl="0" w:tplc="50D2D80E">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5DBA0248"/>
    <w:multiLevelType w:val="hybridMultilevel"/>
    <w:tmpl w:val="E4505708"/>
    <w:lvl w:ilvl="0" w:tplc="681A0AC6">
      <w:start w:val="1"/>
      <w:numFmt w:val="lowerLetter"/>
      <w:lvlText w:val="%1)"/>
      <w:lvlJc w:val="left"/>
      <w:pPr>
        <w:ind w:left="360" w:hanging="360"/>
      </w:pPr>
      <w:rPr>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nsid w:val="63FC7D8F"/>
    <w:multiLevelType w:val="hybridMultilevel"/>
    <w:tmpl w:val="7AB4D150"/>
    <w:lvl w:ilvl="0" w:tplc="08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44810"/>
    <w:rsid w:val="00103C86"/>
    <w:rsid w:val="001439D2"/>
    <w:rsid w:val="001E4573"/>
    <w:rsid w:val="002C2C87"/>
    <w:rsid w:val="004016E3"/>
    <w:rsid w:val="00453FEB"/>
    <w:rsid w:val="00463C25"/>
    <w:rsid w:val="004C5AE2"/>
    <w:rsid w:val="004E44CB"/>
    <w:rsid w:val="004F74E7"/>
    <w:rsid w:val="00574E6C"/>
    <w:rsid w:val="00785430"/>
    <w:rsid w:val="008675CA"/>
    <w:rsid w:val="009444DA"/>
    <w:rsid w:val="009F7E27"/>
    <w:rsid w:val="00A461AC"/>
    <w:rsid w:val="00AB3625"/>
    <w:rsid w:val="00BC317E"/>
    <w:rsid w:val="00BD2CC2"/>
    <w:rsid w:val="00CC3D10"/>
    <w:rsid w:val="00D0157C"/>
    <w:rsid w:val="00E54B03"/>
    <w:rsid w:val="00E54C97"/>
    <w:rsid w:val="00F774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D164D053-0685-4D6C-96BC-CB8E9675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paragraph" w:styleId="ListParagraph">
    <w:name w:val="List Paragraph"/>
    <w:basedOn w:val="Normal"/>
    <w:uiPriority w:val="34"/>
    <w:qFormat/>
    <w:rsid w:val="00AB3625"/>
    <w:pPr>
      <w:spacing w:after="160" w:line="259" w:lineRule="auto"/>
      <w:ind w:left="720"/>
      <w:contextualSpacing/>
    </w:pPr>
    <w:rPr>
      <w:rFonts w:asciiTheme="minorHAnsi" w:eastAsiaTheme="minorHAnsi" w:hAnsiTheme="minorHAnsi" w:cstheme="minorBidi"/>
      <w:szCs w:val="22"/>
    </w:rPr>
  </w:style>
  <w:style w:type="character" w:styleId="Hyperlink">
    <w:name w:val="Hyperlink"/>
    <w:basedOn w:val="DefaultParagraphFont"/>
    <w:uiPriority w:val="99"/>
    <w:unhideWhenUsed/>
    <w:rsid w:val="004F74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imir.Mucmataj@financa.gov.al" TargetMode="External"/><Relationship Id="rId5" Type="http://schemas.openxmlformats.org/officeDocument/2006/relationships/hyperlink" Target="mailto:Saimir.Mucmataj@financ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Megi Melani</cp:lastModifiedBy>
  <cp:revision>3</cp:revision>
  <dcterms:created xsi:type="dcterms:W3CDTF">2021-12-02T14:03:00Z</dcterms:created>
  <dcterms:modified xsi:type="dcterms:W3CDTF">2021-12-02T14:04:00Z</dcterms:modified>
</cp:coreProperties>
</file>