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4E7606" w14:paraId="6A134219" w14:textId="77777777" w:rsidTr="52509E66">
        <w:trPr>
          <w:trHeight w:val="336"/>
        </w:trPr>
        <w:tc>
          <w:tcPr>
            <w:tcW w:w="7887"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71C36A07" w14:textId="77777777" w:rsidR="005A0687" w:rsidRDefault="005A0687" w:rsidP="009D1E23">
            <w:pPr>
              <w:rPr>
                <w:rFonts w:ascii="Times New Roman" w:hAnsi="Times New Roman"/>
                <w:b/>
                <w:szCs w:val="22"/>
                <w:lang w:val="sq-AL"/>
              </w:rPr>
            </w:pPr>
            <w:bookmarkStart w:id="0" w:name="EvidenceHead"/>
            <w:bookmarkStart w:id="1" w:name="_GoBack"/>
            <w:bookmarkEnd w:id="1"/>
            <w:r>
              <w:rPr>
                <w:rFonts w:ascii="Times New Roman" w:hAnsi="Times New Roman"/>
                <w:b/>
                <w:szCs w:val="22"/>
                <w:lang w:val="sq-AL"/>
              </w:rPr>
              <w:t xml:space="preserve"> </w:t>
            </w:r>
          </w:p>
          <w:p w14:paraId="22355C35" w14:textId="0E7F6859" w:rsidR="006210CC" w:rsidRPr="00045A08" w:rsidRDefault="009D1E23" w:rsidP="009D1E23">
            <w:pPr>
              <w:rPr>
                <w:rFonts w:ascii="Times New Roman" w:hAnsi="Times New Roman"/>
                <w:b/>
                <w:szCs w:val="22"/>
                <w:lang w:val="sq-AL"/>
              </w:rPr>
            </w:pPr>
            <w:r w:rsidRPr="004E7606">
              <w:rPr>
                <w:rFonts w:ascii="Times New Roman" w:hAnsi="Times New Roman"/>
                <w:b/>
                <w:szCs w:val="22"/>
                <w:lang w:val="sq-AL"/>
              </w:rPr>
              <w:t>RAPORTI I VLERËSIMIT TË NDIKIMIT</w:t>
            </w:r>
            <w:r w:rsidR="00B66F00" w:rsidRPr="004E7606">
              <w:rPr>
                <w:rFonts w:ascii="Times New Roman" w:hAnsi="Times New Roman"/>
                <w:b/>
                <w:szCs w:val="22"/>
                <w:lang w:val="sq-AL"/>
              </w:rPr>
              <w:t xml:space="preserve"> </w:t>
            </w:r>
            <w:r w:rsidR="006210CC" w:rsidRPr="004E7606">
              <w:rPr>
                <w:rFonts w:ascii="Times New Roman" w:hAnsi="Times New Roman"/>
                <w:b/>
                <w:szCs w:val="22"/>
                <w:lang w:val="sq-AL"/>
              </w:rPr>
              <w:t xml:space="preserve"> </w:t>
            </w:r>
            <w:r w:rsidRPr="004E7606">
              <w:rPr>
                <w:rFonts w:ascii="Times New Roman" w:hAnsi="Times New Roman"/>
                <w:b/>
                <w:szCs w:val="22"/>
                <w:lang w:val="sq-AL"/>
              </w:rPr>
              <w:t xml:space="preserve"> </w:t>
            </w:r>
          </w:p>
        </w:tc>
        <w:tc>
          <w:tcPr>
            <w:tcW w:w="1129"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41F2675" w14:textId="77777777" w:rsidR="006210CC" w:rsidRPr="004E7606" w:rsidRDefault="006210CC" w:rsidP="006210CC">
            <w:pPr>
              <w:ind w:right="-188"/>
              <w:jc w:val="right"/>
              <w:rPr>
                <w:rFonts w:ascii="Times New Roman" w:hAnsi="Times New Roman"/>
                <w:b/>
                <w:color w:val="000000" w:themeColor="text1"/>
                <w:szCs w:val="22"/>
                <w:lang w:val="sq-AL"/>
              </w:rPr>
            </w:pPr>
          </w:p>
        </w:tc>
      </w:tr>
      <w:tr w:rsidR="00505C05" w:rsidRPr="004E7606" w14:paraId="6C802D86" w14:textId="77777777" w:rsidTr="52509E6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DBB2FD" w14:textId="77777777" w:rsidR="00A45021" w:rsidRPr="004E7606" w:rsidRDefault="00D32A3B" w:rsidP="00A73619">
            <w:pPr>
              <w:rPr>
                <w:rFonts w:ascii="Times New Roman" w:hAnsi="Times New Roman"/>
                <w:b/>
                <w:szCs w:val="22"/>
                <w:lang w:val="sq-AL"/>
              </w:rPr>
            </w:pPr>
            <w:r w:rsidRPr="004E7606">
              <w:rPr>
                <w:rFonts w:ascii="Times New Roman" w:hAnsi="Times New Roman"/>
                <w:b/>
                <w:szCs w:val="22"/>
                <w:lang w:val="sq-AL"/>
              </w:rPr>
              <w:t>EMËRTIMI I PROPOZIMIT TË POLITIKËS</w:t>
            </w:r>
            <w:r w:rsidR="00A45021" w:rsidRPr="004E7606">
              <w:rPr>
                <w:rFonts w:ascii="Times New Roman" w:hAnsi="Times New Roman"/>
                <w:b/>
                <w:szCs w:val="22"/>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6E820E" w14:textId="18B7C476" w:rsidR="00A45021" w:rsidRPr="004E7606" w:rsidRDefault="00613507" w:rsidP="008B628D">
            <w:pPr>
              <w:rPr>
                <w:rFonts w:ascii="Times New Roman" w:hAnsi="Times New Roman"/>
                <w:szCs w:val="22"/>
                <w:lang w:val="sq-AL"/>
              </w:rPr>
            </w:pPr>
            <w:r w:rsidRPr="004E7606">
              <w:rPr>
                <w:rFonts w:ascii="Times New Roman" w:hAnsi="Times New Roman"/>
                <w:szCs w:val="22"/>
                <w:lang w:val="sq-AL"/>
              </w:rPr>
              <w:t>Projektligj “</w:t>
            </w:r>
            <w:r w:rsidR="00531531" w:rsidRPr="00531531">
              <w:rPr>
                <w:rFonts w:ascii="Times New Roman" w:hAnsi="Times New Roman"/>
                <w:szCs w:val="22"/>
                <w:lang w:val="sq-AL"/>
              </w:rPr>
              <w:t>PËR MENAXHIMI</w:t>
            </w:r>
            <w:r w:rsidR="007769D1">
              <w:rPr>
                <w:rFonts w:ascii="Times New Roman" w:hAnsi="Times New Roman"/>
                <w:szCs w:val="22"/>
                <w:lang w:val="sq-AL"/>
              </w:rPr>
              <w:t>N</w:t>
            </w:r>
            <w:r w:rsidR="00531531" w:rsidRPr="00531531">
              <w:rPr>
                <w:rFonts w:ascii="Times New Roman" w:hAnsi="Times New Roman"/>
                <w:szCs w:val="22"/>
                <w:lang w:val="sq-AL"/>
              </w:rPr>
              <w:t xml:space="preserve"> </w:t>
            </w:r>
            <w:r w:rsidR="007769D1">
              <w:rPr>
                <w:rFonts w:ascii="Times New Roman" w:hAnsi="Times New Roman"/>
                <w:szCs w:val="22"/>
                <w:lang w:val="sq-AL"/>
              </w:rPr>
              <w:t>E</w:t>
            </w:r>
            <w:r w:rsidR="00531531" w:rsidRPr="00531531">
              <w:rPr>
                <w:rFonts w:ascii="Times New Roman" w:hAnsi="Times New Roman"/>
                <w:szCs w:val="22"/>
                <w:lang w:val="sq-AL"/>
              </w:rPr>
              <w:t xml:space="preserve"> GARANCIVE DHE KREDIVE TË PAKTHYERA</w:t>
            </w:r>
            <w:r w:rsidRPr="004E7606">
              <w:rPr>
                <w:rFonts w:ascii="Times New Roman" w:hAnsi="Times New Roman"/>
                <w:szCs w:val="22"/>
                <w:lang w:val="sq-AL"/>
              </w:rPr>
              <w:t>”</w:t>
            </w:r>
          </w:p>
        </w:tc>
      </w:tr>
      <w:tr w:rsidR="00505C05" w:rsidRPr="004E7606" w14:paraId="55868597" w14:textId="77777777" w:rsidTr="52509E6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5F50BD" w14:textId="77777777" w:rsidR="00A45021" w:rsidRPr="004E7606" w:rsidRDefault="00C46B3C" w:rsidP="00C46B3C">
            <w:pPr>
              <w:rPr>
                <w:rFonts w:ascii="Times New Roman" w:hAnsi="Times New Roman"/>
                <w:b/>
                <w:szCs w:val="22"/>
                <w:lang w:val="sq-AL"/>
              </w:rPr>
            </w:pPr>
            <w:r w:rsidRPr="004E7606">
              <w:rPr>
                <w:rFonts w:ascii="Times New Roman" w:hAnsi="Times New Roman"/>
                <w:b/>
                <w:szCs w:val="22"/>
                <w:lang w:val="sq-AL"/>
              </w:rPr>
              <w:t xml:space="preserve">MINISTRIA </w:t>
            </w:r>
            <w:r w:rsidR="008C604A" w:rsidRPr="004E7606">
              <w:rPr>
                <w:rFonts w:ascii="Times New Roman" w:hAnsi="Times New Roman"/>
                <w:b/>
                <w:szCs w:val="22"/>
                <w:lang w:val="sq-AL"/>
              </w:rPr>
              <w:t>UDHËHEQËSE</w:t>
            </w:r>
            <w:r w:rsidRPr="004E7606">
              <w:rPr>
                <w:rFonts w:ascii="Times New Roman" w:hAnsi="Times New Roman"/>
                <w:b/>
                <w:szCs w:val="22"/>
                <w:lang w:val="sq-AL"/>
              </w:rPr>
              <w:t xml:space="preserve"> </w:t>
            </w:r>
            <w:r w:rsidR="00A45021" w:rsidRPr="004E7606">
              <w:rPr>
                <w:rFonts w:ascii="Times New Roman" w:hAnsi="Times New Roman"/>
                <w:b/>
                <w:szCs w:val="22"/>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A91B3B" w14:textId="77777777" w:rsidR="00A45021" w:rsidRPr="004E7606" w:rsidRDefault="00F76AE4" w:rsidP="005E05A6">
            <w:pPr>
              <w:rPr>
                <w:rFonts w:ascii="Times New Roman" w:hAnsi="Times New Roman"/>
                <w:b/>
                <w:szCs w:val="22"/>
                <w:lang w:val="sq-AL"/>
              </w:rPr>
            </w:pPr>
            <w:r w:rsidRPr="004E7606">
              <w:rPr>
                <w:rFonts w:ascii="Times New Roman" w:hAnsi="Times New Roman"/>
                <w:szCs w:val="22"/>
                <w:lang w:val="sq-AL"/>
              </w:rPr>
              <w:t>Ministria e Financave dhe Ekonomisë</w:t>
            </w:r>
          </w:p>
        </w:tc>
      </w:tr>
      <w:tr w:rsidR="00505C05" w:rsidRPr="004E7606" w14:paraId="01E0AB5E" w14:textId="77777777" w:rsidTr="52509E6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4BFE5EC" w14:textId="77777777" w:rsidR="00A45021" w:rsidRPr="004E7606" w:rsidRDefault="00C6728D" w:rsidP="00C6728D">
            <w:pPr>
              <w:rPr>
                <w:rFonts w:ascii="Times New Roman" w:hAnsi="Times New Roman"/>
                <w:b/>
                <w:szCs w:val="22"/>
                <w:lang w:val="sq-AL"/>
              </w:rPr>
            </w:pPr>
            <w:r w:rsidRPr="004E7606">
              <w:rPr>
                <w:rFonts w:ascii="Times New Roman" w:hAnsi="Times New Roman"/>
                <w:b/>
                <w:szCs w:val="22"/>
                <w:lang w:val="sq-AL"/>
              </w:rPr>
              <w:t>FAZA</w:t>
            </w:r>
            <w:r w:rsidR="00573E8A" w:rsidRPr="004E7606">
              <w:rPr>
                <w:rFonts w:ascii="Times New Roman" w:hAnsi="Times New Roman"/>
                <w:b/>
                <w:szCs w:val="22"/>
                <w:lang w:val="sq-AL"/>
              </w:rPr>
              <w:t xml:space="preserve"> </w:t>
            </w:r>
            <w:r w:rsidRPr="004E7606">
              <w:rPr>
                <w:rFonts w:ascii="Times New Roman" w:hAnsi="Times New Roman"/>
                <w:b/>
                <w:szCs w:val="22"/>
                <w:lang w:val="sq-AL"/>
              </w:rPr>
              <w:t>E</w:t>
            </w:r>
            <w:r w:rsidR="00C46B3C" w:rsidRPr="004E7606">
              <w:rPr>
                <w:rFonts w:ascii="Times New Roman" w:hAnsi="Times New Roman"/>
                <w:b/>
                <w:szCs w:val="22"/>
                <w:lang w:val="sq-AL"/>
              </w:rPr>
              <w:t xml:space="preserve"> POLITIK</w:t>
            </w:r>
            <w:r w:rsidR="00573E8A" w:rsidRPr="004E7606">
              <w:rPr>
                <w:rFonts w:ascii="Times New Roman" w:hAnsi="Times New Roman"/>
                <w:b/>
                <w:szCs w:val="22"/>
                <w:lang w:val="sq-AL"/>
              </w:rPr>
              <w:t>Ë</w:t>
            </w:r>
            <w:r w:rsidR="00C46B3C" w:rsidRPr="004E7606">
              <w:rPr>
                <w:rFonts w:ascii="Times New Roman" w:hAnsi="Times New Roman"/>
                <w:b/>
                <w:szCs w:val="22"/>
                <w:lang w:val="sq-AL"/>
              </w:rPr>
              <w:t>S</w:t>
            </w:r>
            <w:r w:rsidR="00A45021" w:rsidRPr="004E7606">
              <w:rPr>
                <w:rFonts w:ascii="Times New Roman" w:hAnsi="Times New Roman"/>
                <w:b/>
                <w:szCs w:val="22"/>
                <w:lang w:val="sq-AL"/>
              </w:rPr>
              <w:t>/</w:t>
            </w:r>
            <w:r w:rsidR="009811C8" w:rsidRPr="004E7606">
              <w:rPr>
                <w:rFonts w:ascii="Times New Roman" w:hAnsi="Times New Roman"/>
                <w:b/>
                <w:szCs w:val="22"/>
                <w:lang w:val="sq-AL"/>
              </w:rPr>
              <w:t>VLERËSIMIT</w:t>
            </w:r>
            <w:r w:rsidR="00C46B3C" w:rsidRPr="004E7606">
              <w:rPr>
                <w:rFonts w:ascii="Times New Roman" w:hAnsi="Times New Roman"/>
                <w:b/>
                <w:szCs w:val="22"/>
                <w:lang w:val="sq-AL"/>
              </w:rPr>
              <w:t xml:space="preserve"> T</w:t>
            </w:r>
            <w:r w:rsidR="00573E8A" w:rsidRPr="004E7606">
              <w:rPr>
                <w:rFonts w:ascii="Times New Roman" w:hAnsi="Times New Roman"/>
                <w:b/>
                <w:szCs w:val="22"/>
                <w:lang w:val="sq-AL"/>
              </w:rPr>
              <w:t>Ë</w:t>
            </w:r>
            <w:r w:rsidR="00C46B3C" w:rsidRPr="004E7606">
              <w:rPr>
                <w:rFonts w:ascii="Times New Roman" w:hAnsi="Times New Roman"/>
                <w:b/>
                <w:szCs w:val="22"/>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E45012" w14:textId="77777777" w:rsidR="00A45021" w:rsidRPr="004E7606" w:rsidRDefault="00613507" w:rsidP="00F76AE4">
            <w:pPr>
              <w:rPr>
                <w:rFonts w:ascii="Times New Roman" w:hAnsi="Times New Roman"/>
                <w:szCs w:val="22"/>
                <w:lang w:val="sq-AL"/>
              </w:rPr>
            </w:pPr>
            <w:r w:rsidRPr="004E7606">
              <w:rPr>
                <w:rFonts w:ascii="Times New Roman" w:hAnsi="Times New Roman"/>
                <w:szCs w:val="22"/>
                <w:lang w:val="sq-AL"/>
              </w:rPr>
              <w:t>Zhvillim</w:t>
            </w:r>
          </w:p>
        </w:tc>
      </w:tr>
      <w:tr w:rsidR="00505C05" w:rsidRPr="004E7606" w14:paraId="4B943AF1" w14:textId="77777777" w:rsidTr="52509E6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1AED1F" w14:textId="77777777" w:rsidR="00A45021" w:rsidRPr="004E7606" w:rsidRDefault="00C46B3C" w:rsidP="00C46B3C">
            <w:pPr>
              <w:rPr>
                <w:rFonts w:ascii="Times New Roman" w:hAnsi="Times New Roman"/>
                <w:b/>
                <w:szCs w:val="22"/>
                <w:lang w:val="sq-AL"/>
              </w:rPr>
            </w:pPr>
            <w:r w:rsidRPr="004E7606">
              <w:rPr>
                <w:rFonts w:ascii="Times New Roman" w:hAnsi="Times New Roman"/>
                <w:b/>
                <w:szCs w:val="22"/>
                <w:lang w:val="sq-AL"/>
              </w:rPr>
              <w:t>BURIMI I PROPOZIMIT T</w:t>
            </w:r>
            <w:r w:rsidR="00573E8A" w:rsidRPr="004E7606">
              <w:rPr>
                <w:rFonts w:ascii="Times New Roman" w:hAnsi="Times New Roman"/>
                <w:b/>
                <w:szCs w:val="22"/>
                <w:lang w:val="sq-AL"/>
              </w:rPr>
              <w:t>Ë</w:t>
            </w:r>
            <w:r w:rsidRPr="004E7606">
              <w:rPr>
                <w:rFonts w:ascii="Times New Roman" w:hAnsi="Times New Roman"/>
                <w:b/>
                <w:szCs w:val="22"/>
                <w:lang w:val="sq-AL"/>
              </w:rPr>
              <w:t xml:space="preserve"> POLITIK</w:t>
            </w:r>
            <w:r w:rsidR="00573E8A" w:rsidRPr="004E7606">
              <w:rPr>
                <w:rFonts w:ascii="Times New Roman" w:hAnsi="Times New Roman"/>
                <w:b/>
                <w:szCs w:val="22"/>
                <w:lang w:val="sq-AL"/>
              </w:rPr>
              <w:t>Ë</w:t>
            </w:r>
            <w:r w:rsidRPr="004E7606">
              <w:rPr>
                <w:rFonts w:ascii="Times New Roman" w:hAnsi="Times New Roman"/>
                <w:b/>
                <w:szCs w:val="22"/>
                <w:lang w:val="sq-AL"/>
              </w:rPr>
              <w:t>S</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078C0A" w14:textId="016B779B" w:rsidR="00655F43" w:rsidRPr="004E7606" w:rsidRDefault="0053786C" w:rsidP="006D19E1">
            <w:pPr>
              <w:jc w:val="both"/>
              <w:rPr>
                <w:rFonts w:ascii="Times New Roman" w:hAnsi="Times New Roman"/>
                <w:szCs w:val="22"/>
                <w:lang w:val="sq-AL"/>
              </w:rPr>
            </w:pPr>
            <w:r>
              <w:rPr>
                <w:rFonts w:ascii="Times New Roman" w:hAnsi="Times New Roman"/>
                <w:szCs w:val="22"/>
                <w:lang w:val="sq-AL"/>
              </w:rPr>
              <w:t>I</w:t>
            </w:r>
            <w:r w:rsidR="00613507" w:rsidRPr="004E7606">
              <w:rPr>
                <w:rFonts w:ascii="Times New Roman" w:hAnsi="Times New Roman"/>
                <w:szCs w:val="22"/>
                <w:lang w:val="sq-AL"/>
              </w:rPr>
              <w:t xml:space="preserve"> brendshëm </w:t>
            </w:r>
          </w:p>
        </w:tc>
      </w:tr>
      <w:tr w:rsidR="00505C05" w:rsidRPr="004E7606" w14:paraId="4956ADC4" w14:textId="77777777" w:rsidTr="52509E6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0A60B31" w14:textId="77777777" w:rsidR="00A45021" w:rsidRPr="004E7606" w:rsidRDefault="00426704" w:rsidP="00983237">
            <w:pPr>
              <w:jc w:val="both"/>
              <w:rPr>
                <w:rFonts w:ascii="Times New Roman" w:hAnsi="Times New Roman"/>
                <w:b/>
                <w:szCs w:val="22"/>
                <w:lang w:val="sq-AL"/>
              </w:rPr>
            </w:pPr>
            <w:r w:rsidRPr="004E7606">
              <w:rPr>
                <w:rFonts w:ascii="Times New Roman" w:hAnsi="Times New Roman"/>
                <w:b/>
                <w:szCs w:val="22"/>
                <w:lang w:val="sq-AL"/>
              </w:rPr>
              <w:t>DIREKTIV</w:t>
            </w:r>
            <w:r w:rsidR="00B61CA7" w:rsidRPr="004E7606">
              <w:rPr>
                <w:rFonts w:ascii="Times New Roman" w:hAnsi="Times New Roman"/>
                <w:b/>
                <w:szCs w:val="22"/>
                <w:lang w:val="sq-AL"/>
              </w:rPr>
              <w:t>Ë</w:t>
            </w:r>
            <w:r w:rsidR="00A45021" w:rsidRPr="004E7606">
              <w:rPr>
                <w:rFonts w:ascii="Times New Roman" w:hAnsi="Times New Roman"/>
                <w:b/>
                <w:szCs w:val="22"/>
                <w:lang w:val="sq-AL"/>
              </w:rPr>
              <w:t>/R</w:t>
            </w:r>
            <w:r w:rsidRPr="004E7606">
              <w:rPr>
                <w:rFonts w:ascii="Times New Roman" w:hAnsi="Times New Roman"/>
                <w:b/>
                <w:szCs w:val="22"/>
                <w:lang w:val="sq-AL"/>
              </w:rPr>
              <w:t>R</w:t>
            </w:r>
            <w:r w:rsidR="00A45021" w:rsidRPr="004E7606">
              <w:rPr>
                <w:rFonts w:ascii="Times New Roman" w:hAnsi="Times New Roman"/>
                <w:b/>
                <w:szCs w:val="22"/>
                <w:lang w:val="sq-AL"/>
              </w:rPr>
              <w:t>EGUL</w:t>
            </w:r>
            <w:r w:rsidRPr="004E7606">
              <w:rPr>
                <w:rFonts w:ascii="Times New Roman" w:hAnsi="Times New Roman"/>
                <w:b/>
                <w:szCs w:val="22"/>
                <w:lang w:val="sq-AL"/>
              </w:rPr>
              <w:t>LORE E BE-së</w:t>
            </w:r>
            <w:r w:rsidR="00A45021" w:rsidRPr="004E7606">
              <w:rPr>
                <w:rFonts w:ascii="Times New Roman" w:hAnsi="Times New Roman"/>
                <w:b/>
                <w:szCs w:val="22"/>
                <w:lang w:val="sq-AL"/>
              </w:rPr>
              <w:t xml:space="preserve">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080FE5" w14:textId="77777777" w:rsidR="00A45021" w:rsidRPr="004E7606" w:rsidRDefault="008B628D" w:rsidP="00307A3E">
            <w:pPr>
              <w:jc w:val="both"/>
              <w:rPr>
                <w:rFonts w:ascii="Times New Roman" w:hAnsi="Times New Roman"/>
                <w:szCs w:val="22"/>
                <w:lang w:val="sq-AL"/>
              </w:rPr>
            </w:pPr>
            <w:r>
              <w:rPr>
                <w:rFonts w:ascii="Times New Roman" w:hAnsi="Times New Roman"/>
                <w:szCs w:val="22"/>
                <w:lang w:val="sq-AL"/>
              </w:rPr>
              <w:t>Jo e zbatueshme</w:t>
            </w:r>
          </w:p>
        </w:tc>
      </w:tr>
      <w:tr w:rsidR="00505C05" w:rsidRPr="004E7606" w14:paraId="33ED04C4" w14:textId="77777777" w:rsidTr="52509E66">
        <w:trPr>
          <w:trHeight w:val="696"/>
        </w:trPr>
        <w:tc>
          <w:tcPr>
            <w:tcW w:w="507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1D550F6C" w14:textId="77777777" w:rsidR="00A45021" w:rsidRPr="004E7606" w:rsidRDefault="00426704" w:rsidP="006210CC">
            <w:pPr>
              <w:rPr>
                <w:rFonts w:ascii="Times New Roman" w:hAnsi="Times New Roman"/>
                <w:b/>
                <w:szCs w:val="22"/>
                <w:lang w:val="sq-AL"/>
              </w:rPr>
            </w:pPr>
            <w:r w:rsidRPr="004E7606">
              <w:rPr>
                <w:rFonts w:ascii="Times New Roman" w:hAnsi="Times New Roman"/>
                <w:b/>
                <w:szCs w:val="22"/>
                <w:lang w:val="sq-AL"/>
              </w:rPr>
              <w:t>PUBLIKIMET DHE STRATEGJITË E LIDHURA</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33D6631" w14:textId="77777777" w:rsidR="00BA2A38" w:rsidRPr="004E7606" w:rsidRDefault="00BA2A38" w:rsidP="00F76AE4">
            <w:pPr>
              <w:jc w:val="both"/>
              <w:rPr>
                <w:rFonts w:ascii="Times New Roman" w:hAnsi="Times New Roman"/>
                <w:szCs w:val="22"/>
                <w:lang w:val="sq-AL"/>
              </w:rPr>
            </w:pPr>
          </w:p>
          <w:p w14:paraId="45865C56" w14:textId="77777777" w:rsidR="00613507" w:rsidRPr="004E7606" w:rsidRDefault="00355912" w:rsidP="001E7335">
            <w:pPr>
              <w:jc w:val="both"/>
              <w:rPr>
                <w:rFonts w:ascii="Times New Roman" w:hAnsi="Times New Roman"/>
                <w:szCs w:val="22"/>
                <w:lang w:val="sq-AL"/>
              </w:rPr>
            </w:pPr>
            <w:r w:rsidRPr="004E7606">
              <w:rPr>
                <w:rFonts w:ascii="Times New Roman" w:hAnsi="Times New Roman"/>
                <w:szCs w:val="22"/>
                <w:lang w:val="sq-AL"/>
              </w:rPr>
              <w:t>Jo e zbatueshme</w:t>
            </w:r>
          </w:p>
          <w:p w14:paraId="4E9136B8" w14:textId="77777777" w:rsidR="00A45021" w:rsidRPr="004E7606" w:rsidRDefault="00A45021" w:rsidP="00613507">
            <w:pPr>
              <w:jc w:val="both"/>
              <w:rPr>
                <w:rFonts w:ascii="Times New Roman" w:hAnsi="Times New Roman"/>
                <w:szCs w:val="22"/>
                <w:lang w:val="sq-AL"/>
              </w:rPr>
            </w:pPr>
          </w:p>
        </w:tc>
      </w:tr>
      <w:tr w:rsidR="00505C05" w:rsidRPr="004E7606" w14:paraId="07D76901" w14:textId="77777777" w:rsidTr="52509E6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6DC9777" w14:textId="77777777" w:rsidR="00A45021" w:rsidRPr="004E7606" w:rsidRDefault="00C6728D" w:rsidP="006210CC">
            <w:pPr>
              <w:rPr>
                <w:rFonts w:ascii="Times New Roman" w:hAnsi="Times New Roman"/>
                <w:b/>
                <w:szCs w:val="22"/>
                <w:lang w:val="sq-AL"/>
              </w:rPr>
            </w:pPr>
            <w:r w:rsidRPr="004E7606">
              <w:rPr>
                <w:rFonts w:ascii="Times New Roman" w:hAnsi="Times New Roman"/>
                <w:b/>
                <w:szCs w:val="22"/>
                <w:lang w:val="sq-AL"/>
              </w:rPr>
              <w:t>DATA</w:t>
            </w:r>
            <w:r w:rsidR="00426704" w:rsidRPr="004E7606">
              <w:rPr>
                <w:rFonts w:ascii="Times New Roman" w:hAnsi="Times New Roman"/>
                <w:b/>
                <w:szCs w:val="22"/>
                <w:lang w:val="sq-AL"/>
              </w:rPr>
              <w:t xml:space="preserve"> E KONSULTIMIT PUBLIK</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AB75E9" w14:textId="089BEFF6" w:rsidR="00A45021" w:rsidRPr="004E7606" w:rsidRDefault="00C43EE9" w:rsidP="0053786C">
            <w:pPr>
              <w:rPr>
                <w:rFonts w:ascii="Times New Roman" w:hAnsi="Times New Roman"/>
                <w:lang w:val="sq-AL"/>
              </w:rPr>
            </w:pPr>
            <w:r w:rsidRPr="00C43EE9">
              <w:rPr>
                <w:rFonts w:ascii="Times New Roman" w:hAnsi="Times New Roman"/>
                <w:lang w:val="sq-AL"/>
              </w:rPr>
              <w:t>1</w:t>
            </w:r>
            <w:r w:rsidR="0053786C">
              <w:rPr>
                <w:rFonts w:ascii="Times New Roman" w:hAnsi="Times New Roman"/>
                <w:lang w:val="sq-AL"/>
              </w:rPr>
              <w:t>.12.</w:t>
            </w:r>
            <w:r w:rsidRPr="00C43EE9">
              <w:rPr>
                <w:rFonts w:ascii="Times New Roman" w:hAnsi="Times New Roman"/>
                <w:lang w:val="sq-AL"/>
              </w:rPr>
              <w:t>2021-1</w:t>
            </w:r>
            <w:r w:rsidR="0053786C">
              <w:rPr>
                <w:rFonts w:ascii="Times New Roman" w:hAnsi="Times New Roman"/>
                <w:lang w:val="sq-AL"/>
              </w:rPr>
              <w:t>.01</w:t>
            </w:r>
            <w:r w:rsidRPr="00C43EE9">
              <w:rPr>
                <w:rFonts w:ascii="Times New Roman" w:hAnsi="Times New Roman"/>
                <w:lang w:val="sq-AL"/>
              </w:rPr>
              <w:t>2022</w:t>
            </w:r>
          </w:p>
        </w:tc>
      </w:tr>
      <w:tr w:rsidR="00505C05" w:rsidRPr="004E7606" w14:paraId="4A716106" w14:textId="77777777" w:rsidTr="52509E6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E3FA7E" w14:textId="77777777" w:rsidR="00A45021" w:rsidRPr="004E7606" w:rsidRDefault="00A45021" w:rsidP="006210CC">
            <w:pPr>
              <w:rPr>
                <w:rFonts w:ascii="Times New Roman" w:hAnsi="Times New Roman"/>
                <w:b/>
                <w:szCs w:val="22"/>
                <w:lang w:val="sq-AL"/>
              </w:rPr>
            </w:pPr>
            <w:r w:rsidRPr="004E7606">
              <w:rPr>
                <w:rFonts w:ascii="Times New Roman" w:hAnsi="Times New Roman"/>
                <w:b/>
                <w:szCs w:val="22"/>
                <w:lang w:val="sq-AL"/>
              </w:rPr>
              <w:t>DAT</w:t>
            </w:r>
            <w:r w:rsidR="00C6728D" w:rsidRPr="004E7606">
              <w:rPr>
                <w:rFonts w:ascii="Times New Roman" w:hAnsi="Times New Roman"/>
                <w:b/>
                <w:szCs w:val="22"/>
                <w:lang w:val="sq-AL"/>
              </w:rPr>
              <w:t>A</w:t>
            </w:r>
            <w:r w:rsidR="00467950" w:rsidRPr="004E7606">
              <w:rPr>
                <w:rFonts w:ascii="Times New Roman" w:hAnsi="Times New Roman"/>
                <w:b/>
                <w:szCs w:val="22"/>
                <w:lang w:val="sq-AL"/>
              </w:rPr>
              <w:t xml:space="preserve"> </w:t>
            </w:r>
            <w:r w:rsidRPr="004E7606">
              <w:rPr>
                <w:rFonts w:ascii="Times New Roman" w:hAnsi="Times New Roman"/>
                <w:b/>
                <w:szCs w:val="22"/>
                <w:lang w:val="sq-AL"/>
              </w:rPr>
              <w:t xml:space="preserve">E </w:t>
            </w:r>
            <w:r w:rsidR="008C604A" w:rsidRPr="004E7606">
              <w:rPr>
                <w:rFonts w:ascii="Times New Roman" w:hAnsi="Times New Roman"/>
                <w:b/>
                <w:szCs w:val="22"/>
                <w:lang w:val="sq-AL"/>
              </w:rPr>
              <w:t>VLERËSIMIT</w:t>
            </w:r>
            <w:r w:rsidR="00467950" w:rsidRPr="004E7606">
              <w:rPr>
                <w:rFonts w:ascii="Times New Roman" w:hAnsi="Times New Roman"/>
                <w:b/>
                <w:szCs w:val="22"/>
                <w:lang w:val="sq-AL"/>
              </w:rPr>
              <w:t xml:space="preserve"> T</w:t>
            </w:r>
            <w:r w:rsidR="00573E8A" w:rsidRPr="004E7606">
              <w:rPr>
                <w:rFonts w:ascii="Times New Roman" w:hAnsi="Times New Roman"/>
                <w:b/>
                <w:szCs w:val="22"/>
                <w:lang w:val="sq-AL"/>
              </w:rPr>
              <w:t>Ë</w:t>
            </w:r>
            <w:r w:rsidR="00467950" w:rsidRPr="004E7606">
              <w:rPr>
                <w:rFonts w:ascii="Times New Roman" w:hAnsi="Times New Roman"/>
                <w:b/>
                <w:szCs w:val="22"/>
                <w:lang w:val="sq-AL"/>
              </w:rPr>
              <w:t xml:space="preserve"> NDIKIMIT </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0D9747" w14:textId="77777777" w:rsidR="00A45021" w:rsidRPr="004E7606" w:rsidRDefault="00A45021" w:rsidP="005566EC">
            <w:pPr>
              <w:jc w:val="both"/>
              <w:rPr>
                <w:rFonts w:ascii="Times New Roman" w:hAnsi="Times New Roman"/>
                <w:szCs w:val="22"/>
                <w:lang w:val="sq-AL"/>
              </w:rPr>
            </w:pPr>
          </w:p>
        </w:tc>
      </w:tr>
      <w:tr w:rsidR="00505C05" w:rsidRPr="004E7606" w14:paraId="7D27F227" w14:textId="77777777" w:rsidTr="52509E66">
        <w:tc>
          <w:tcPr>
            <w:tcW w:w="5070"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A40209" w14:textId="77777777" w:rsidR="00A45021" w:rsidRPr="004E7606" w:rsidRDefault="00A45021" w:rsidP="006210CC">
            <w:pPr>
              <w:rPr>
                <w:rFonts w:ascii="Times New Roman" w:hAnsi="Times New Roman"/>
                <w:b/>
                <w:szCs w:val="22"/>
                <w:lang w:val="sq-AL"/>
              </w:rPr>
            </w:pPr>
            <w:r w:rsidRPr="004E7606">
              <w:rPr>
                <w:rFonts w:ascii="Times New Roman" w:hAnsi="Times New Roman"/>
                <w:b/>
                <w:szCs w:val="22"/>
                <w:lang w:val="sq-AL"/>
              </w:rPr>
              <w:t>A</w:t>
            </w:r>
            <w:r w:rsidR="00467950" w:rsidRPr="004E7606">
              <w:rPr>
                <w:rFonts w:ascii="Times New Roman" w:hAnsi="Times New Roman"/>
                <w:b/>
                <w:szCs w:val="22"/>
                <w:lang w:val="sq-AL"/>
              </w:rPr>
              <w:t xml:space="preserve"> E KA SHQYRTUAR KRYEMINISTRIA </w:t>
            </w:r>
            <w:r w:rsidR="008C604A" w:rsidRPr="004E7606">
              <w:rPr>
                <w:rFonts w:ascii="Times New Roman" w:hAnsi="Times New Roman"/>
                <w:b/>
                <w:szCs w:val="22"/>
                <w:lang w:val="sq-AL"/>
              </w:rPr>
              <w:t>VLERËSIMIN</w:t>
            </w:r>
            <w:r w:rsidR="00467950" w:rsidRPr="004E7606">
              <w:rPr>
                <w:rFonts w:ascii="Times New Roman" w:hAnsi="Times New Roman"/>
                <w:b/>
                <w:szCs w:val="22"/>
                <w:lang w:val="sq-AL"/>
              </w:rPr>
              <w:t xml:space="preserve"> E NDIKIMIT</w:t>
            </w:r>
            <w:r w:rsidRPr="004E7606">
              <w:rPr>
                <w:rFonts w:ascii="Times New Roman" w:hAnsi="Times New Roman"/>
                <w:b/>
                <w:szCs w:val="22"/>
                <w:lang w:val="sq-AL"/>
              </w:rPr>
              <w:t xml:space="preserve">? </w:t>
            </w:r>
          </w:p>
          <w:p w14:paraId="00EF11D4" w14:textId="77777777" w:rsidR="00A45021" w:rsidRPr="004E7606" w:rsidRDefault="008C604A" w:rsidP="00467950">
            <w:pPr>
              <w:rPr>
                <w:rFonts w:ascii="Times New Roman" w:hAnsi="Times New Roman"/>
                <w:b/>
                <w:szCs w:val="22"/>
                <w:lang w:val="sq-AL"/>
              </w:rPr>
            </w:pPr>
            <w:r w:rsidRPr="004E7606">
              <w:rPr>
                <w:rFonts w:ascii="Times New Roman" w:hAnsi="Times New Roman"/>
                <w:b/>
                <w:szCs w:val="22"/>
                <w:lang w:val="sq-AL"/>
              </w:rPr>
              <w:t>NËSE</w:t>
            </w:r>
            <w:r w:rsidR="00467950" w:rsidRPr="004E7606">
              <w:rPr>
                <w:rFonts w:ascii="Times New Roman" w:hAnsi="Times New Roman"/>
                <w:b/>
                <w:szCs w:val="22"/>
                <w:lang w:val="sq-AL"/>
              </w:rPr>
              <w:t xml:space="preserve"> PO, JEPNI </w:t>
            </w:r>
            <w:r w:rsidRPr="004E7606">
              <w:rPr>
                <w:rFonts w:ascii="Times New Roman" w:hAnsi="Times New Roman"/>
                <w:b/>
                <w:szCs w:val="22"/>
                <w:lang w:val="sq-AL"/>
              </w:rPr>
              <w:t>DATËN</w:t>
            </w:r>
            <w:r w:rsidR="00467950" w:rsidRPr="004E7606">
              <w:rPr>
                <w:rFonts w:ascii="Times New Roman" w:hAnsi="Times New Roman"/>
                <w:b/>
                <w:szCs w:val="22"/>
                <w:lang w:val="sq-AL"/>
              </w:rPr>
              <w:t xml:space="preserve"> E SHQYRTIMIT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B04F18" w14:textId="615178C9" w:rsidR="0053786C" w:rsidRDefault="0053786C" w:rsidP="00BA2A38">
            <w:pPr>
              <w:rPr>
                <w:rFonts w:ascii="Times New Roman" w:hAnsi="Times New Roman"/>
                <w:szCs w:val="22"/>
                <w:lang w:val="sq-AL"/>
              </w:rPr>
            </w:pPr>
            <w:r>
              <w:rPr>
                <w:rFonts w:ascii="Times New Roman" w:hAnsi="Times New Roman"/>
                <w:szCs w:val="22"/>
                <w:lang w:val="sq-AL"/>
              </w:rPr>
              <w:t>Po</w:t>
            </w:r>
          </w:p>
          <w:p w14:paraId="6E8B9D8C" w14:textId="41D751D7" w:rsidR="0053786C" w:rsidRPr="004E7606" w:rsidRDefault="0053786C" w:rsidP="00BA2A38">
            <w:pPr>
              <w:rPr>
                <w:rFonts w:ascii="Times New Roman" w:hAnsi="Times New Roman"/>
                <w:szCs w:val="22"/>
                <w:lang w:val="sq-AL"/>
              </w:rPr>
            </w:pPr>
            <w:r>
              <w:rPr>
                <w:rFonts w:ascii="Times New Roman" w:hAnsi="Times New Roman"/>
                <w:szCs w:val="22"/>
                <w:lang w:val="sq-AL"/>
              </w:rPr>
              <w:t>07.04.2023</w:t>
            </w:r>
          </w:p>
        </w:tc>
      </w:tr>
      <w:tr w:rsidR="00505C05" w:rsidRPr="004E7606" w14:paraId="6671827C" w14:textId="77777777" w:rsidTr="52509E6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081B5F0" w14:textId="6BB4A703" w:rsidR="00A45021" w:rsidRPr="004E7606" w:rsidRDefault="00EB034B" w:rsidP="00EB034B">
            <w:pPr>
              <w:rPr>
                <w:rFonts w:ascii="Times New Roman" w:hAnsi="Times New Roman"/>
                <w:b/>
                <w:szCs w:val="22"/>
                <w:lang w:val="sq-AL"/>
              </w:rPr>
            </w:pPr>
            <w:r w:rsidRPr="004E7606">
              <w:rPr>
                <w:rFonts w:ascii="Times New Roman" w:hAnsi="Times New Roman"/>
                <w:b/>
                <w:szCs w:val="22"/>
                <w:lang w:val="sq-AL"/>
              </w:rPr>
              <w:t xml:space="preserve">NUMRI I </w:t>
            </w:r>
            <w:r w:rsidR="008C604A" w:rsidRPr="004E7606">
              <w:rPr>
                <w:rFonts w:ascii="Times New Roman" w:hAnsi="Times New Roman"/>
                <w:b/>
                <w:szCs w:val="22"/>
                <w:lang w:val="sq-AL"/>
              </w:rPr>
              <w:t>VLERËSIMIT</w:t>
            </w:r>
            <w:r w:rsidRPr="004E7606">
              <w:rPr>
                <w:rFonts w:ascii="Times New Roman" w:hAnsi="Times New Roman"/>
                <w:b/>
                <w:szCs w:val="22"/>
                <w:lang w:val="sq-AL"/>
              </w:rPr>
              <w:t xml:space="preserve"> T</w:t>
            </w:r>
            <w:r w:rsidR="00573E8A" w:rsidRPr="004E7606">
              <w:rPr>
                <w:rFonts w:ascii="Times New Roman" w:hAnsi="Times New Roman"/>
                <w:b/>
                <w:szCs w:val="22"/>
                <w:lang w:val="sq-AL"/>
              </w:rPr>
              <w:t>Ë</w:t>
            </w:r>
            <w:r w:rsidRPr="004E7606">
              <w:rPr>
                <w:rFonts w:ascii="Times New Roman" w:hAnsi="Times New Roman"/>
                <w:b/>
                <w:szCs w:val="22"/>
                <w:lang w:val="sq-AL"/>
              </w:rPr>
              <w:t xml:space="preserve"> NDIKIMIT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2D5DBB" w14:textId="23236D89" w:rsidR="00A45021" w:rsidRPr="004E7606" w:rsidRDefault="0053786C" w:rsidP="008B628D">
            <w:pPr>
              <w:rPr>
                <w:rFonts w:ascii="Times New Roman" w:hAnsi="Times New Roman"/>
                <w:szCs w:val="22"/>
                <w:lang w:val="sq-AL"/>
              </w:rPr>
            </w:pPr>
            <w:r>
              <w:rPr>
                <w:rFonts w:ascii="Times New Roman" w:hAnsi="Times New Roman"/>
                <w:szCs w:val="22"/>
                <w:lang w:val="sq-AL"/>
              </w:rPr>
              <w:t>2023 – MFE- Nr. 3</w:t>
            </w:r>
          </w:p>
        </w:tc>
      </w:tr>
      <w:tr w:rsidR="00505C05" w:rsidRPr="004E7606" w14:paraId="401E28DC" w14:textId="77777777" w:rsidTr="52509E66">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A7B331" w14:textId="77777777" w:rsidR="00A45021" w:rsidRPr="004E7606" w:rsidRDefault="00EB034B" w:rsidP="00A45021">
            <w:pPr>
              <w:rPr>
                <w:rFonts w:ascii="Times New Roman" w:hAnsi="Times New Roman"/>
                <w:b/>
                <w:szCs w:val="22"/>
                <w:lang w:val="sq-AL"/>
              </w:rPr>
            </w:pPr>
            <w:r w:rsidRPr="004E7606">
              <w:rPr>
                <w:rFonts w:ascii="Times New Roman" w:hAnsi="Times New Roman"/>
                <w:b/>
                <w:szCs w:val="22"/>
                <w:lang w:val="sq-AL"/>
              </w:rPr>
              <w:t xml:space="preserve">TE </w:t>
            </w:r>
            <w:r w:rsidR="008C604A" w:rsidRPr="004E7606">
              <w:rPr>
                <w:rFonts w:ascii="Times New Roman" w:hAnsi="Times New Roman"/>
                <w:b/>
                <w:szCs w:val="22"/>
                <w:lang w:val="sq-AL"/>
              </w:rPr>
              <w:t>DHËNA</w:t>
            </w:r>
            <w:r w:rsidRPr="004E7606">
              <w:rPr>
                <w:rFonts w:ascii="Times New Roman" w:hAnsi="Times New Roman"/>
                <w:b/>
                <w:szCs w:val="22"/>
                <w:lang w:val="sq-AL"/>
              </w:rPr>
              <w:t xml:space="preserve"> KONTAKTI</w:t>
            </w:r>
            <w:r w:rsidR="00A45021" w:rsidRPr="004E7606">
              <w:rPr>
                <w:rFonts w:ascii="Times New Roman" w:hAnsi="Times New Roman"/>
                <w:b/>
                <w:szCs w:val="22"/>
                <w:lang w:val="sq-AL"/>
              </w:rPr>
              <w:t xml:space="preserve"> </w:t>
            </w:r>
          </w:p>
          <w:p w14:paraId="5B921C64" w14:textId="77777777" w:rsidR="00A45021" w:rsidRPr="004E7606" w:rsidRDefault="00A45021" w:rsidP="00C6728D">
            <w:pPr>
              <w:rPr>
                <w:rFonts w:ascii="Times New Roman" w:hAnsi="Times New Roman"/>
                <w:b/>
                <w:szCs w:val="22"/>
                <w:lang w:val="sq-AL"/>
              </w:rPr>
            </w:pPr>
            <w:r w:rsidRPr="004E7606">
              <w:rPr>
                <w:rFonts w:ascii="Times New Roman" w:hAnsi="Times New Roman"/>
                <w:b/>
                <w:szCs w:val="22"/>
                <w:lang w:val="sq-AL"/>
              </w:rPr>
              <w:t>(</w:t>
            </w:r>
            <w:r w:rsidR="008C604A" w:rsidRPr="004E7606">
              <w:rPr>
                <w:rFonts w:ascii="Times New Roman" w:hAnsi="Times New Roman"/>
                <w:b/>
                <w:szCs w:val="22"/>
                <w:lang w:val="sq-AL"/>
              </w:rPr>
              <w:t>EMR</w:t>
            </w:r>
            <w:r w:rsidR="00775531" w:rsidRPr="004E7606">
              <w:rPr>
                <w:rFonts w:ascii="Times New Roman" w:hAnsi="Times New Roman"/>
                <w:b/>
                <w:szCs w:val="22"/>
                <w:lang w:val="sq-AL"/>
              </w:rPr>
              <w:t>I</w:t>
            </w:r>
            <w:r w:rsidRPr="004E7606">
              <w:rPr>
                <w:rFonts w:ascii="Times New Roman" w:hAnsi="Times New Roman"/>
                <w:b/>
                <w:szCs w:val="22"/>
                <w:lang w:val="sq-AL"/>
              </w:rPr>
              <w:t>, E</w:t>
            </w:r>
            <w:r w:rsidR="00EB034B" w:rsidRPr="004E7606">
              <w:rPr>
                <w:rFonts w:ascii="Times New Roman" w:hAnsi="Times New Roman"/>
                <w:b/>
                <w:szCs w:val="22"/>
                <w:lang w:val="sq-AL"/>
              </w:rPr>
              <w:t>-MAIL, NUMRI I TELEF</w:t>
            </w:r>
            <w:r w:rsidRPr="004E7606">
              <w:rPr>
                <w:rFonts w:ascii="Times New Roman" w:hAnsi="Times New Roman"/>
                <w:b/>
                <w:szCs w:val="22"/>
                <w:lang w:val="sq-AL"/>
              </w:rPr>
              <w:t>O</w:t>
            </w:r>
            <w:r w:rsidR="00EB034B" w:rsidRPr="004E7606">
              <w:rPr>
                <w:rFonts w:ascii="Times New Roman" w:hAnsi="Times New Roman"/>
                <w:b/>
                <w:szCs w:val="22"/>
                <w:lang w:val="sq-AL"/>
              </w:rPr>
              <w:t>NIT T</w:t>
            </w:r>
            <w:r w:rsidR="00573E8A" w:rsidRPr="004E7606">
              <w:rPr>
                <w:rFonts w:ascii="Times New Roman" w:hAnsi="Times New Roman"/>
                <w:b/>
                <w:szCs w:val="22"/>
                <w:lang w:val="sq-AL"/>
              </w:rPr>
              <w:t>Ë</w:t>
            </w:r>
            <w:r w:rsidR="00EB034B" w:rsidRPr="004E7606">
              <w:rPr>
                <w:rFonts w:ascii="Times New Roman" w:hAnsi="Times New Roman"/>
                <w:b/>
                <w:szCs w:val="22"/>
                <w:lang w:val="sq-AL"/>
              </w:rPr>
              <w:t xml:space="preserve"> </w:t>
            </w:r>
            <w:r w:rsidR="00C6728D" w:rsidRPr="004E7606">
              <w:rPr>
                <w:rFonts w:ascii="Times New Roman" w:hAnsi="Times New Roman"/>
                <w:b/>
                <w:szCs w:val="22"/>
                <w:lang w:val="sq-AL"/>
              </w:rPr>
              <w:t>PERSONIT TË KONTAKTIT)</w:t>
            </w:r>
          </w:p>
        </w:tc>
        <w:tc>
          <w:tcPr>
            <w:tcW w:w="39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580E02" w14:textId="77777777" w:rsidR="008B628D" w:rsidRPr="004E7606" w:rsidRDefault="00F50DA6" w:rsidP="008B628D">
            <w:pPr>
              <w:jc w:val="both"/>
              <w:rPr>
                <w:rFonts w:ascii="Times New Roman" w:hAnsi="Times New Roman"/>
                <w:szCs w:val="22"/>
                <w:lang w:val="sq-AL"/>
              </w:rPr>
            </w:pPr>
            <w:r>
              <w:rPr>
                <w:rFonts w:ascii="Times New Roman" w:hAnsi="Times New Roman"/>
                <w:szCs w:val="22"/>
                <w:lang w:val="sq-AL"/>
              </w:rPr>
              <w:t>Saimir Muçmataj</w:t>
            </w:r>
          </w:p>
        </w:tc>
      </w:tr>
      <w:tr w:rsidR="006210CC" w:rsidRPr="004E7606" w14:paraId="3B215E7A" w14:textId="77777777" w:rsidTr="52509E66">
        <w:trPr>
          <w:trHeight w:val="16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25A5C" w14:textId="1B5C520C" w:rsidR="005A0687" w:rsidRPr="004E7606" w:rsidRDefault="005A0687" w:rsidP="006210CC">
            <w:pPr>
              <w:jc w:val="both"/>
              <w:rPr>
                <w:rFonts w:ascii="Times New Roman" w:hAnsi="Times New Roman"/>
                <w:b/>
                <w:szCs w:val="22"/>
                <w:lang w:val="sq-AL"/>
              </w:rPr>
            </w:pPr>
          </w:p>
        </w:tc>
      </w:tr>
      <w:tr w:rsidR="006210CC" w:rsidRPr="004E7606" w14:paraId="110059C9" w14:textId="77777777" w:rsidTr="52509E66">
        <w:trPr>
          <w:trHeight w:val="35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324D1C" w14:textId="77777777" w:rsidR="006210CC" w:rsidRPr="004E7606" w:rsidRDefault="006210CC" w:rsidP="006210CC">
            <w:pPr>
              <w:jc w:val="both"/>
              <w:rPr>
                <w:rFonts w:ascii="Times New Roman" w:hAnsi="Times New Roman"/>
                <w:b/>
                <w:szCs w:val="22"/>
                <w:lang w:val="sq-AL"/>
              </w:rPr>
            </w:pPr>
            <w:r w:rsidRPr="004E7606">
              <w:rPr>
                <w:rFonts w:ascii="Times New Roman" w:hAnsi="Times New Roman"/>
                <w:b/>
                <w:szCs w:val="22"/>
                <w:lang w:val="sq-AL"/>
              </w:rPr>
              <w:t>P</w:t>
            </w:r>
            <w:r w:rsidR="00EB034B" w:rsidRPr="004E7606">
              <w:rPr>
                <w:rFonts w:ascii="Times New Roman" w:hAnsi="Times New Roman"/>
                <w:b/>
                <w:szCs w:val="22"/>
                <w:lang w:val="sq-AL"/>
              </w:rPr>
              <w:t>JESA</w:t>
            </w:r>
            <w:r w:rsidRPr="004E7606">
              <w:rPr>
                <w:rFonts w:ascii="Times New Roman" w:hAnsi="Times New Roman"/>
                <w:b/>
                <w:szCs w:val="22"/>
                <w:lang w:val="sq-AL"/>
              </w:rPr>
              <w:t xml:space="preserve"> 1: </w:t>
            </w:r>
            <w:r w:rsidR="008C604A" w:rsidRPr="004E7606">
              <w:rPr>
                <w:rFonts w:ascii="Times New Roman" w:hAnsi="Times New Roman"/>
                <w:b/>
                <w:szCs w:val="22"/>
                <w:lang w:val="sq-AL"/>
              </w:rPr>
              <w:t>PËRMBLEDHJE</w:t>
            </w:r>
            <w:r w:rsidR="00EB034B" w:rsidRPr="004E7606">
              <w:rPr>
                <w:rFonts w:ascii="Times New Roman" w:hAnsi="Times New Roman"/>
                <w:b/>
                <w:szCs w:val="22"/>
                <w:lang w:val="sq-AL"/>
              </w:rPr>
              <w:t xml:space="preserve"> </w:t>
            </w:r>
            <w:r w:rsidRPr="004E7606">
              <w:rPr>
                <w:rFonts w:ascii="Times New Roman" w:hAnsi="Times New Roman"/>
                <w:b/>
                <w:szCs w:val="22"/>
                <w:lang w:val="sq-AL"/>
              </w:rPr>
              <w:t>E</w:t>
            </w:r>
            <w:r w:rsidR="00EB034B" w:rsidRPr="004E7606">
              <w:rPr>
                <w:rFonts w:ascii="Times New Roman" w:hAnsi="Times New Roman"/>
                <w:b/>
                <w:szCs w:val="22"/>
                <w:lang w:val="sq-AL"/>
              </w:rPr>
              <w:t>KZEK</w:t>
            </w:r>
            <w:r w:rsidRPr="004E7606">
              <w:rPr>
                <w:rFonts w:ascii="Times New Roman" w:hAnsi="Times New Roman"/>
                <w:b/>
                <w:szCs w:val="22"/>
                <w:lang w:val="sq-AL"/>
              </w:rPr>
              <w:t xml:space="preserve">UTIVE  </w:t>
            </w:r>
          </w:p>
          <w:p w14:paraId="46C4D608" w14:textId="77777777" w:rsidR="00F6064C" w:rsidRPr="004E7606" w:rsidRDefault="00C04319" w:rsidP="00C04319">
            <w:pPr>
              <w:jc w:val="both"/>
              <w:rPr>
                <w:rFonts w:ascii="Times New Roman" w:hAnsi="Times New Roman"/>
                <w:b/>
                <w:szCs w:val="22"/>
                <w:lang w:val="sq-AL"/>
              </w:rPr>
            </w:pPr>
            <w:r w:rsidRPr="004E7606">
              <w:rPr>
                <w:rFonts w:ascii="Times New Roman" w:hAnsi="Times New Roman"/>
                <w:b/>
                <w:szCs w:val="22"/>
                <w:lang w:val="sq-AL"/>
              </w:rPr>
              <w:t>(Maksimumi 2 faqe)</w:t>
            </w:r>
          </w:p>
          <w:p w14:paraId="0853C6DA" w14:textId="77777777" w:rsidR="00E44985" w:rsidRPr="004E7606" w:rsidRDefault="00E44985" w:rsidP="00C04319">
            <w:pPr>
              <w:jc w:val="both"/>
              <w:rPr>
                <w:rFonts w:ascii="Times New Roman" w:hAnsi="Times New Roman"/>
                <w:b/>
                <w:szCs w:val="22"/>
                <w:lang w:val="sq-AL"/>
              </w:rPr>
            </w:pPr>
          </w:p>
        </w:tc>
      </w:tr>
      <w:tr w:rsidR="006210CC" w:rsidRPr="004E7606" w14:paraId="03393338" w14:textId="77777777" w:rsidTr="52509E66">
        <w:trPr>
          <w:trHeight w:val="552"/>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3D86" w14:textId="77777777" w:rsidR="006210CC" w:rsidRPr="004E7606" w:rsidRDefault="52509E66" w:rsidP="658D74BF">
            <w:pPr>
              <w:jc w:val="both"/>
              <w:rPr>
                <w:rFonts w:ascii="Times New Roman" w:hAnsi="Times New Roman"/>
                <w:b/>
                <w:bCs/>
                <w:lang w:val="sq-AL"/>
              </w:rPr>
            </w:pPr>
            <w:r w:rsidRPr="52509E66">
              <w:rPr>
                <w:rFonts w:ascii="Times New Roman" w:hAnsi="Times New Roman"/>
                <w:b/>
                <w:bCs/>
                <w:lang w:val="sq-AL"/>
              </w:rPr>
              <w:t>PËRKUFIZIMI I PROBLEMIT</w:t>
            </w:r>
          </w:p>
          <w:p w14:paraId="5A221EC9" w14:textId="6B14EC4B" w:rsidR="00C04319" w:rsidRPr="003560AC" w:rsidRDefault="00C04319" w:rsidP="00C04319">
            <w:pPr>
              <w:jc w:val="both"/>
              <w:rPr>
                <w:rFonts w:ascii="Times New Roman" w:hAnsi="Times New Roman"/>
                <w:i/>
                <w:sz w:val="20"/>
                <w:lang w:val="sq-AL"/>
              </w:rPr>
            </w:pPr>
            <w:r w:rsidRPr="003560AC">
              <w:rPr>
                <w:rFonts w:ascii="Times New Roman" w:hAnsi="Times New Roman"/>
                <w:i/>
                <w:sz w:val="20"/>
                <w:lang w:val="sq-AL"/>
              </w:rPr>
              <w:t xml:space="preserve">Cili është problemi në shqyrtim dhe cilat janë shkaqet e tij? Pse është e nevojshme ndërhyrja </w:t>
            </w:r>
            <w:r w:rsidR="00CA4E17">
              <w:rPr>
                <w:rFonts w:ascii="Times New Roman" w:hAnsi="Times New Roman"/>
                <w:i/>
                <w:sz w:val="20"/>
                <w:lang w:val="sq-AL"/>
              </w:rPr>
              <w:t xml:space="preserve">e </w:t>
            </w:r>
            <w:r w:rsidRPr="003560AC">
              <w:rPr>
                <w:rFonts w:ascii="Times New Roman" w:hAnsi="Times New Roman"/>
                <w:i/>
                <w:sz w:val="20"/>
                <w:lang w:val="sq-AL"/>
              </w:rPr>
              <w:t xml:space="preserve">qeverisë? </w:t>
            </w:r>
          </w:p>
          <w:p w14:paraId="6A03EE71" w14:textId="77777777" w:rsidR="006D342F" w:rsidRDefault="006D342F" w:rsidP="00C04319">
            <w:pPr>
              <w:jc w:val="both"/>
              <w:rPr>
                <w:rFonts w:ascii="Times New Roman" w:hAnsi="Times New Roman"/>
                <w:szCs w:val="22"/>
                <w:lang w:val="sq-AL"/>
              </w:rPr>
            </w:pPr>
          </w:p>
          <w:p w14:paraId="23BBA484" w14:textId="5840EE70" w:rsidR="003B0315" w:rsidRPr="003B0315" w:rsidRDefault="003B0315" w:rsidP="003B0315">
            <w:pPr>
              <w:jc w:val="both"/>
              <w:rPr>
                <w:rFonts w:ascii="Times New Roman" w:hAnsi="Times New Roman"/>
                <w:sz w:val="24"/>
                <w:szCs w:val="24"/>
                <w:lang w:val="sq-AL"/>
              </w:rPr>
            </w:pPr>
            <w:r w:rsidRPr="003B0315">
              <w:rPr>
                <w:rFonts w:ascii="Times New Roman" w:hAnsi="Times New Roman"/>
                <w:sz w:val="24"/>
                <w:szCs w:val="24"/>
                <w:lang w:val="sq-AL"/>
              </w:rPr>
              <w:t>Kuadri ligjor aktual, nuk mundëson rregullimet e nevojshme për ti kaluar në ndjekje</w:t>
            </w:r>
            <w:r w:rsidR="003F6B1C">
              <w:rPr>
                <w:rFonts w:ascii="Times New Roman" w:hAnsi="Times New Roman"/>
                <w:sz w:val="24"/>
                <w:szCs w:val="24"/>
                <w:lang w:val="sq-AL"/>
              </w:rPr>
              <w:t xml:space="preserve"> </w:t>
            </w:r>
            <w:r w:rsidR="003F6B1C" w:rsidRPr="003F6B1C">
              <w:rPr>
                <w:rFonts w:ascii="Times New Roman" w:hAnsi="Times New Roman"/>
                <w:sz w:val="24"/>
                <w:szCs w:val="24"/>
                <w:lang w:val="sq-AL"/>
              </w:rPr>
              <w:t>Agjenci</w:t>
            </w:r>
            <w:r w:rsidR="003F6B1C">
              <w:rPr>
                <w:rFonts w:ascii="Times New Roman" w:hAnsi="Times New Roman"/>
                <w:sz w:val="24"/>
                <w:szCs w:val="24"/>
                <w:lang w:val="sq-AL"/>
              </w:rPr>
              <w:t>së</w:t>
            </w:r>
            <w:r w:rsidR="003F6B1C" w:rsidRPr="003F6B1C">
              <w:rPr>
                <w:rFonts w:ascii="Times New Roman" w:hAnsi="Times New Roman"/>
                <w:sz w:val="24"/>
                <w:szCs w:val="24"/>
                <w:lang w:val="sq-AL"/>
              </w:rPr>
              <w:t xml:space="preserve"> </w:t>
            </w:r>
            <w:r w:rsidR="003F6B1C">
              <w:rPr>
                <w:rFonts w:ascii="Times New Roman" w:hAnsi="Times New Roman"/>
                <w:sz w:val="24"/>
                <w:szCs w:val="24"/>
                <w:lang w:val="sq-AL"/>
              </w:rPr>
              <w:t>së</w:t>
            </w:r>
            <w:r w:rsidR="003F6B1C" w:rsidRPr="003F6B1C">
              <w:rPr>
                <w:rFonts w:ascii="Times New Roman" w:hAnsi="Times New Roman"/>
                <w:sz w:val="24"/>
                <w:szCs w:val="24"/>
                <w:lang w:val="sq-AL"/>
              </w:rPr>
              <w:t xml:space="preserve"> Menaxhimit të Garancive dhe Kredive të Pakthyera</w:t>
            </w:r>
            <w:r w:rsidR="003F6B1C">
              <w:rPr>
                <w:rFonts w:ascii="Times New Roman" w:hAnsi="Times New Roman"/>
                <w:sz w:val="24"/>
                <w:szCs w:val="24"/>
                <w:lang w:val="sq-AL"/>
              </w:rPr>
              <w:t>, (në vijim</w:t>
            </w:r>
            <w:r w:rsidRPr="003B0315">
              <w:rPr>
                <w:rFonts w:ascii="Times New Roman" w:hAnsi="Times New Roman"/>
                <w:sz w:val="24"/>
                <w:szCs w:val="24"/>
                <w:lang w:val="sq-AL"/>
              </w:rPr>
              <w:t xml:space="preserve"> AMGKP</w:t>
            </w:r>
            <w:r w:rsidR="003F6B1C">
              <w:rPr>
                <w:rFonts w:ascii="Times New Roman" w:hAnsi="Times New Roman"/>
                <w:sz w:val="24"/>
                <w:szCs w:val="24"/>
                <w:lang w:val="sq-AL"/>
              </w:rPr>
              <w:t>)</w:t>
            </w:r>
            <w:r w:rsidRPr="003B0315">
              <w:rPr>
                <w:rFonts w:ascii="Times New Roman" w:hAnsi="Times New Roman"/>
                <w:sz w:val="24"/>
                <w:szCs w:val="24"/>
                <w:lang w:val="sq-AL"/>
              </w:rPr>
              <w:t xml:space="preserve"> një sërë funksionesh për menaxhimin e skemave të Garancive Sovrane, këto të lëshuara për ti ardhur në ndihmë biznesit në situatën e Covid 19, apo çdo skemë të ngjashme që mund të jetë e nevojshme në të ardhmen të miratohet. </w:t>
            </w:r>
          </w:p>
          <w:p w14:paraId="70A31CB0" w14:textId="77777777" w:rsidR="003B0315" w:rsidRPr="003B0315" w:rsidRDefault="003B0315" w:rsidP="003B0315">
            <w:pPr>
              <w:jc w:val="both"/>
              <w:rPr>
                <w:rFonts w:ascii="Times New Roman" w:hAnsi="Times New Roman"/>
                <w:sz w:val="24"/>
                <w:szCs w:val="24"/>
                <w:lang w:val="sq-AL"/>
              </w:rPr>
            </w:pPr>
          </w:p>
          <w:p w14:paraId="3C9089BE" w14:textId="77777777" w:rsidR="003B0315" w:rsidRPr="003B0315" w:rsidRDefault="003B0315" w:rsidP="003B0315">
            <w:pPr>
              <w:jc w:val="both"/>
              <w:rPr>
                <w:rFonts w:ascii="Times New Roman" w:hAnsi="Times New Roman"/>
                <w:sz w:val="24"/>
                <w:szCs w:val="24"/>
                <w:lang w:val="sq-AL"/>
              </w:rPr>
            </w:pPr>
            <w:r w:rsidRPr="003B0315">
              <w:rPr>
                <w:rFonts w:ascii="Times New Roman" w:hAnsi="Times New Roman"/>
                <w:sz w:val="24"/>
                <w:szCs w:val="24"/>
                <w:lang w:val="sq-AL"/>
              </w:rPr>
              <w:t>Gjithashtu nuk siguron menaxhim efektiv të skemave të veçanta të garancive shtetërore të huase në një kohë të arsyeshme, duke rezultuar në gjendjen aktuale ku afatet tejkalohen.</w:t>
            </w:r>
          </w:p>
          <w:p w14:paraId="100116F7" w14:textId="77777777" w:rsidR="003B0315" w:rsidRPr="003B0315" w:rsidRDefault="003B0315" w:rsidP="003B0315">
            <w:pPr>
              <w:jc w:val="both"/>
              <w:rPr>
                <w:rFonts w:ascii="Times New Roman" w:hAnsi="Times New Roman"/>
                <w:sz w:val="24"/>
                <w:szCs w:val="24"/>
                <w:lang w:val="sq-AL"/>
              </w:rPr>
            </w:pPr>
            <w:r w:rsidRPr="003B0315">
              <w:rPr>
                <w:rFonts w:ascii="Times New Roman" w:hAnsi="Times New Roman"/>
                <w:sz w:val="24"/>
                <w:szCs w:val="24"/>
                <w:lang w:val="sq-AL"/>
              </w:rPr>
              <w:t xml:space="preserve">Konkretisht, Agjencia trajton detyrimet e rreth 10 mijë debitorëve, që janë transferuar që nga viti 1998 prej ish-bankave shtetërore të nivelit të dytë dhe INSIG sh.a. </w:t>
            </w:r>
          </w:p>
          <w:p w14:paraId="14DACC83" w14:textId="77777777" w:rsidR="003B0315" w:rsidRPr="003B0315" w:rsidRDefault="003B0315" w:rsidP="003B0315">
            <w:pPr>
              <w:jc w:val="both"/>
              <w:rPr>
                <w:rFonts w:ascii="Times New Roman" w:hAnsi="Times New Roman"/>
                <w:sz w:val="24"/>
                <w:szCs w:val="24"/>
                <w:lang w:val="sq-AL"/>
              </w:rPr>
            </w:pPr>
            <w:r w:rsidRPr="003B0315">
              <w:rPr>
                <w:rFonts w:ascii="Times New Roman" w:hAnsi="Times New Roman"/>
                <w:sz w:val="24"/>
                <w:szCs w:val="24"/>
                <w:lang w:val="sq-AL"/>
              </w:rPr>
              <w:t>Kjo zvarritje që bie në sy, vjen si rezultat i mos azhornimit efektiv të ligjit, ndër vite.</w:t>
            </w:r>
          </w:p>
          <w:p w14:paraId="0856C110" w14:textId="28E47BB5" w:rsidR="0000418A" w:rsidRPr="00CA4E17" w:rsidRDefault="003B0315" w:rsidP="003B0315">
            <w:pPr>
              <w:spacing w:after="160" w:line="276" w:lineRule="auto"/>
              <w:jc w:val="both"/>
              <w:rPr>
                <w:rFonts w:ascii="Times New Roman" w:eastAsia="Calibri" w:hAnsi="Times New Roman"/>
                <w:highlight w:val="green"/>
                <w:lang w:val="sq-AL"/>
              </w:rPr>
            </w:pPr>
            <w:r w:rsidRPr="003B0315">
              <w:rPr>
                <w:rFonts w:ascii="Times New Roman" w:hAnsi="Times New Roman"/>
                <w:sz w:val="24"/>
                <w:szCs w:val="24"/>
                <w:lang w:val="sq-AL"/>
              </w:rPr>
              <w:t xml:space="preserve">Problem tjetër, paraqet dhe mungesa e raportimit/monitorimit sipas kuadrit ligjor ekzistues. Ky është një nga faktorët që mendohet se ka ndikuar në akumulimin e dhjetëra mijërave debitorëve, të cilët janë akoma në proces trajtimi. </w:t>
            </w:r>
          </w:p>
        </w:tc>
      </w:tr>
      <w:tr w:rsidR="006210CC" w:rsidRPr="004E7606" w14:paraId="7C4FC787" w14:textId="77777777" w:rsidTr="52509E66">
        <w:trPr>
          <w:trHeight w:val="543"/>
        </w:trPr>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ABDB" w14:textId="77777777" w:rsidR="006210CC" w:rsidRPr="004E7606" w:rsidRDefault="52509E66" w:rsidP="658D74BF">
            <w:pPr>
              <w:jc w:val="both"/>
              <w:rPr>
                <w:rFonts w:ascii="Times New Roman" w:hAnsi="Times New Roman"/>
                <w:b/>
                <w:bCs/>
                <w:lang w:val="sq-AL"/>
              </w:rPr>
            </w:pPr>
            <w:r w:rsidRPr="52509E66">
              <w:rPr>
                <w:rFonts w:ascii="Times New Roman" w:hAnsi="Times New Roman"/>
                <w:b/>
                <w:bCs/>
                <w:lang w:val="sq-AL"/>
              </w:rPr>
              <w:t>OBJEKTIVAT</w:t>
            </w:r>
          </w:p>
          <w:p w14:paraId="64C3D975" w14:textId="77777777" w:rsidR="00BA2A38" w:rsidRPr="003560AC" w:rsidRDefault="00BA2A38" w:rsidP="006210CC">
            <w:pPr>
              <w:jc w:val="both"/>
              <w:rPr>
                <w:rFonts w:ascii="Times New Roman" w:hAnsi="Times New Roman"/>
                <w:b/>
                <w:sz w:val="20"/>
                <w:lang w:val="sq-AL"/>
              </w:rPr>
            </w:pPr>
            <w:r w:rsidRPr="003560AC">
              <w:rPr>
                <w:rFonts w:ascii="Times New Roman" w:hAnsi="Times New Roman"/>
                <w:i/>
                <w:sz w:val="20"/>
                <w:lang w:val="sq-AL"/>
              </w:rPr>
              <w:t>Cilat janë objektivat dhe efektet e synuara të propozimit?</w:t>
            </w:r>
          </w:p>
          <w:p w14:paraId="487A59BC" w14:textId="77777777" w:rsidR="000A5DD1" w:rsidRPr="004E7606" w:rsidRDefault="000A5DD1" w:rsidP="006210CC">
            <w:pPr>
              <w:jc w:val="both"/>
              <w:rPr>
                <w:rFonts w:ascii="Times New Roman" w:hAnsi="Times New Roman"/>
                <w:b/>
                <w:szCs w:val="22"/>
                <w:lang w:val="sq-AL"/>
              </w:rPr>
            </w:pPr>
          </w:p>
          <w:p w14:paraId="52EF30A3" w14:textId="17716534" w:rsidR="0040580E" w:rsidRPr="00FC5874" w:rsidRDefault="000A5DD1" w:rsidP="00FC5874">
            <w:pPr>
              <w:autoSpaceDE w:val="0"/>
              <w:autoSpaceDN w:val="0"/>
              <w:adjustRightInd w:val="0"/>
              <w:jc w:val="both"/>
              <w:rPr>
                <w:rFonts w:ascii="Times New Roman" w:hAnsi="Times New Roman"/>
                <w:sz w:val="24"/>
                <w:szCs w:val="24"/>
                <w:lang w:val="sq-AL"/>
              </w:rPr>
            </w:pPr>
            <w:r w:rsidRPr="00FC5874">
              <w:rPr>
                <w:rFonts w:ascii="Times New Roman" w:hAnsi="Times New Roman"/>
                <w:sz w:val="24"/>
                <w:szCs w:val="24"/>
                <w:lang w:val="sq-AL"/>
              </w:rPr>
              <w:t>Objektivat e propozimit janë</w:t>
            </w:r>
            <w:r w:rsidR="00FC5874" w:rsidRPr="00FC5874">
              <w:rPr>
                <w:rFonts w:ascii="Times New Roman" w:hAnsi="Times New Roman"/>
                <w:sz w:val="24"/>
                <w:szCs w:val="24"/>
                <w:lang w:val="sq-AL"/>
              </w:rPr>
              <w:t>:</w:t>
            </w:r>
          </w:p>
          <w:p w14:paraId="74442DF1" w14:textId="77777777" w:rsidR="00FC5874" w:rsidRPr="00FC5874" w:rsidRDefault="00FC5874" w:rsidP="00FC5874">
            <w:pPr>
              <w:autoSpaceDE w:val="0"/>
              <w:autoSpaceDN w:val="0"/>
              <w:adjustRightInd w:val="0"/>
              <w:jc w:val="both"/>
              <w:rPr>
                <w:rFonts w:ascii="Times New Roman" w:hAnsi="Times New Roman"/>
                <w:sz w:val="24"/>
                <w:szCs w:val="24"/>
                <w:lang w:val="sq-AL"/>
              </w:rPr>
            </w:pPr>
          </w:p>
          <w:p w14:paraId="30670C91" w14:textId="77777777" w:rsidR="00FC5874" w:rsidRPr="00FC5874" w:rsidRDefault="00FC5874" w:rsidP="00FC5874">
            <w:pPr>
              <w:autoSpaceDE w:val="0"/>
              <w:autoSpaceDN w:val="0"/>
              <w:adjustRightInd w:val="0"/>
              <w:jc w:val="both"/>
              <w:rPr>
                <w:rFonts w:ascii="Times New Roman" w:hAnsi="Times New Roman"/>
                <w:color w:val="000000"/>
                <w:sz w:val="24"/>
                <w:szCs w:val="24"/>
                <w:lang w:val="de-DE" w:eastAsia="sq-AL"/>
              </w:rPr>
            </w:pPr>
            <w:r w:rsidRPr="00FC5874">
              <w:rPr>
                <w:rFonts w:ascii="Times New Roman" w:hAnsi="Times New Roman"/>
                <w:color w:val="000000"/>
                <w:sz w:val="24"/>
                <w:szCs w:val="24"/>
                <w:lang w:val="de-DE" w:eastAsia="sq-AL"/>
              </w:rPr>
              <w:t>•</w:t>
            </w:r>
            <w:r w:rsidRPr="00FC5874">
              <w:rPr>
                <w:rFonts w:ascii="Times New Roman" w:hAnsi="Times New Roman"/>
                <w:color w:val="000000"/>
                <w:sz w:val="24"/>
                <w:szCs w:val="24"/>
                <w:lang w:val="de-DE" w:eastAsia="sq-AL"/>
              </w:rPr>
              <w:tab/>
              <w:t>Sigurimi i menaxhimit sa më efektiv të skemave të veçanta të garancive;</w:t>
            </w:r>
          </w:p>
          <w:p w14:paraId="1FD5B17D" w14:textId="5B7E397C" w:rsidR="00B337E7" w:rsidRDefault="00FC5874" w:rsidP="00FC5874">
            <w:pPr>
              <w:autoSpaceDE w:val="0"/>
              <w:autoSpaceDN w:val="0"/>
              <w:adjustRightInd w:val="0"/>
              <w:jc w:val="both"/>
              <w:rPr>
                <w:rFonts w:ascii="Times New Roman" w:hAnsi="Times New Roman"/>
                <w:color w:val="000000"/>
                <w:sz w:val="24"/>
                <w:szCs w:val="24"/>
                <w:lang w:val="de-DE" w:eastAsia="sq-AL"/>
              </w:rPr>
            </w:pPr>
            <w:r w:rsidRPr="00FC5874">
              <w:rPr>
                <w:rFonts w:ascii="Times New Roman" w:hAnsi="Times New Roman"/>
                <w:color w:val="000000"/>
                <w:sz w:val="24"/>
                <w:szCs w:val="24"/>
                <w:lang w:val="de-DE" w:eastAsia="sq-AL"/>
              </w:rPr>
              <w:t>•</w:t>
            </w:r>
            <w:r w:rsidRPr="00FC5874">
              <w:rPr>
                <w:rFonts w:ascii="Times New Roman" w:hAnsi="Times New Roman"/>
                <w:color w:val="000000"/>
                <w:sz w:val="24"/>
                <w:szCs w:val="24"/>
                <w:lang w:val="de-DE" w:eastAsia="sq-AL"/>
              </w:rPr>
              <w:tab/>
            </w:r>
            <w:r w:rsidR="006054D0" w:rsidRPr="00F846CF">
              <w:rPr>
                <w:rFonts w:ascii="Times New Roman" w:hAnsi="Times New Roman"/>
                <w:color w:val="000000"/>
                <w:sz w:val="24"/>
                <w:szCs w:val="24"/>
                <w:lang w:val="de-DE" w:eastAsia="sq-AL"/>
              </w:rPr>
              <w:t xml:space="preserve">Kthimi i 50% të garancive shtetërore të huase në një kohë të përshpejtuar </w:t>
            </w:r>
            <w:r w:rsidR="00EC7C0E" w:rsidRPr="00F846CF">
              <w:rPr>
                <w:rFonts w:ascii="Times New Roman" w:hAnsi="Times New Roman"/>
                <w:color w:val="000000"/>
                <w:sz w:val="24"/>
                <w:szCs w:val="24"/>
                <w:lang w:val="de-DE" w:eastAsia="sq-AL"/>
              </w:rPr>
              <w:t>brenda vitit 2025</w:t>
            </w:r>
            <w:r w:rsidR="006054D0" w:rsidRPr="00F846CF">
              <w:rPr>
                <w:rFonts w:ascii="Times New Roman" w:hAnsi="Times New Roman"/>
                <w:color w:val="000000"/>
                <w:sz w:val="24"/>
                <w:szCs w:val="24"/>
                <w:lang w:val="de-DE" w:eastAsia="sq-AL"/>
              </w:rPr>
              <w:t>, duke rregulluar gjendjen aktuale ku afatet tejkalohen.</w:t>
            </w:r>
          </w:p>
          <w:p w14:paraId="633361DD" w14:textId="5E1D29B3" w:rsidR="00FC5874" w:rsidRDefault="00FC5874" w:rsidP="00FC5874">
            <w:pPr>
              <w:autoSpaceDE w:val="0"/>
              <w:autoSpaceDN w:val="0"/>
              <w:adjustRightInd w:val="0"/>
              <w:jc w:val="both"/>
              <w:rPr>
                <w:rFonts w:ascii="Times New Roman" w:hAnsi="Times New Roman"/>
                <w:color w:val="000000"/>
                <w:szCs w:val="22"/>
                <w:lang w:val="de-DE" w:eastAsia="sq-AL"/>
              </w:rPr>
            </w:pPr>
            <w:r w:rsidRPr="00FC5874">
              <w:rPr>
                <w:rFonts w:ascii="Times New Roman" w:hAnsi="Times New Roman"/>
                <w:color w:val="000000"/>
                <w:sz w:val="24"/>
                <w:szCs w:val="24"/>
                <w:lang w:val="de-DE" w:eastAsia="sq-AL"/>
              </w:rPr>
              <w:lastRenderedPageBreak/>
              <w:t>•</w:t>
            </w:r>
            <w:r w:rsidRPr="00FC5874">
              <w:rPr>
                <w:rFonts w:ascii="Times New Roman" w:hAnsi="Times New Roman"/>
                <w:color w:val="000000"/>
                <w:sz w:val="24"/>
                <w:szCs w:val="24"/>
                <w:lang w:val="de-DE" w:eastAsia="sq-AL"/>
              </w:rPr>
              <w:tab/>
              <w:t>Garantimi i trajtimit të kredive të transferuara nga bankat tregtare të nivelit të dytë, me kapital tërësisht shtetëror mbas privatizimit të tyre dhe portofolit të investimeve të kryera në banesa nga shoqëria INSIG sh.a para privatizimit të saj brenda vitit 2025.</w:t>
            </w:r>
            <w:r w:rsidRPr="00FC5874">
              <w:rPr>
                <w:rFonts w:ascii="Times New Roman" w:hAnsi="Times New Roman"/>
                <w:color w:val="000000"/>
                <w:szCs w:val="22"/>
                <w:lang w:val="de-DE" w:eastAsia="sq-AL"/>
              </w:rPr>
              <w:t xml:space="preserve">   </w:t>
            </w:r>
          </w:p>
          <w:p w14:paraId="31C20BE9" w14:textId="4F7C00B1" w:rsidR="00FC5874" w:rsidRPr="003B0315" w:rsidRDefault="00FC5874" w:rsidP="00FC5874">
            <w:pPr>
              <w:autoSpaceDE w:val="0"/>
              <w:autoSpaceDN w:val="0"/>
              <w:adjustRightInd w:val="0"/>
              <w:jc w:val="both"/>
              <w:rPr>
                <w:rFonts w:ascii="Times New Roman" w:hAnsi="Times New Roman"/>
                <w:color w:val="000000"/>
                <w:szCs w:val="22"/>
                <w:lang w:val="de-DE" w:eastAsia="sq-AL"/>
              </w:rPr>
            </w:pPr>
          </w:p>
        </w:tc>
      </w:tr>
      <w:tr w:rsidR="006210CC" w:rsidRPr="004E7606" w14:paraId="6CD949A2"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676BD" w14:textId="77777777" w:rsidR="006210CC" w:rsidRPr="004E7606" w:rsidRDefault="52509E66" w:rsidP="658D74BF">
            <w:pPr>
              <w:jc w:val="both"/>
              <w:rPr>
                <w:rFonts w:ascii="Times New Roman" w:hAnsi="Times New Roman"/>
                <w:b/>
                <w:bCs/>
                <w:lang w:val="sq-AL"/>
              </w:rPr>
            </w:pPr>
            <w:r w:rsidRPr="52509E66">
              <w:rPr>
                <w:rFonts w:ascii="Times New Roman" w:hAnsi="Times New Roman"/>
                <w:b/>
                <w:bCs/>
                <w:lang w:val="sq-AL"/>
              </w:rPr>
              <w:lastRenderedPageBreak/>
              <w:t>OPSIONET E POLITIKAVE</w:t>
            </w:r>
          </w:p>
          <w:p w14:paraId="5C25EB54" w14:textId="77777777" w:rsidR="00FC3EC5" w:rsidRPr="003560AC" w:rsidRDefault="000B0370" w:rsidP="00B64C3E">
            <w:pPr>
              <w:jc w:val="both"/>
              <w:rPr>
                <w:rFonts w:ascii="Times New Roman" w:hAnsi="Times New Roman"/>
                <w:i/>
                <w:sz w:val="20"/>
                <w:lang w:val="sq-AL"/>
              </w:rPr>
            </w:pPr>
            <w:r w:rsidRPr="003560AC">
              <w:rPr>
                <w:rFonts w:ascii="Times New Roman" w:hAnsi="Times New Roman"/>
                <w:i/>
                <w:sz w:val="20"/>
                <w:lang w:val="sq-AL"/>
              </w:rPr>
              <w:t xml:space="preserve">Cilat janë opsionet kryesore të politikave, duke përfshirë </w:t>
            </w:r>
            <w:r w:rsidR="00453AB4" w:rsidRPr="003560AC">
              <w:rPr>
                <w:rFonts w:ascii="Times New Roman" w:hAnsi="Times New Roman"/>
                <w:i/>
                <w:sz w:val="20"/>
                <w:lang w:val="sq-AL"/>
              </w:rPr>
              <w:t>mënyrat</w:t>
            </w:r>
            <w:r w:rsidRPr="003560AC">
              <w:rPr>
                <w:rFonts w:ascii="Times New Roman" w:hAnsi="Times New Roman"/>
                <w:i/>
                <w:sz w:val="20"/>
                <w:lang w:val="sq-AL"/>
              </w:rPr>
              <w:t xml:space="preserve"> ndaj rregullimit? Duhet të bë</w:t>
            </w:r>
            <w:r w:rsidR="00B64C3E" w:rsidRPr="003560AC">
              <w:rPr>
                <w:rFonts w:ascii="Times New Roman" w:hAnsi="Times New Roman"/>
                <w:i/>
                <w:sz w:val="20"/>
                <w:lang w:val="sq-AL"/>
              </w:rPr>
              <w:t xml:space="preserve">ni </w:t>
            </w:r>
            <w:r w:rsidRPr="003560AC">
              <w:rPr>
                <w:rFonts w:ascii="Times New Roman" w:hAnsi="Times New Roman"/>
                <w:i/>
                <w:sz w:val="20"/>
                <w:lang w:val="sq-AL"/>
              </w:rPr>
              <w:t>krahasimi</w:t>
            </w:r>
            <w:r w:rsidR="00B64C3E" w:rsidRPr="003560AC">
              <w:rPr>
                <w:rFonts w:ascii="Times New Roman" w:hAnsi="Times New Roman"/>
                <w:i/>
                <w:sz w:val="20"/>
                <w:lang w:val="sq-AL"/>
              </w:rPr>
              <w:t xml:space="preserve">n e </w:t>
            </w:r>
            <w:r w:rsidRPr="003560AC">
              <w:rPr>
                <w:rFonts w:ascii="Times New Roman" w:hAnsi="Times New Roman"/>
                <w:i/>
                <w:sz w:val="20"/>
                <w:lang w:val="sq-AL"/>
              </w:rPr>
              <w:t>avantazheve/përfitimeve</w:t>
            </w:r>
            <w:r w:rsidR="009811C8" w:rsidRPr="003560AC">
              <w:rPr>
                <w:rFonts w:ascii="Times New Roman" w:hAnsi="Times New Roman"/>
                <w:i/>
                <w:sz w:val="20"/>
                <w:lang w:val="sq-AL"/>
              </w:rPr>
              <w:t xml:space="preserve"> </w:t>
            </w:r>
            <w:r w:rsidRPr="003560AC">
              <w:rPr>
                <w:rFonts w:ascii="Times New Roman" w:hAnsi="Times New Roman"/>
                <w:i/>
                <w:sz w:val="20"/>
                <w:lang w:val="sq-AL"/>
              </w:rPr>
              <w:t xml:space="preserve">kryesore dhe </w:t>
            </w:r>
            <w:r w:rsidR="00B64C3E" w:rsidRPr="003560AC">
              <w:rPr>
                <w:rFonts w:ascii="Times New Roman" w:hAnsi="Times New Roman"/>
                <w:i/>
                <w:sz w:val="20"/>
                <w:lang w:val="sq-AL"/>
              </w:rPr>
              <w:t>të</w:t>
            </w:r>
            <w:r w:rsidR="009C75E3" w:rsidRPr="003560AC">
              <w:rPr>
                <w:rFonts w:ascii="Times New Roman" w:hAnsi="Times New Roman"/>
                <w:i/>
                <w:sz w:val="20"/>
                <w:lang w:val="sq-AL"/>
              </w:rPr>
              <w:t xml:space="preserve"> diz</w:t>
            </w:r>
            <w:r w:rsidRPr="003560AC">
              <w:rPr>
                <w:rFonts w:ascii="Times New Roman" w:hAnsi="Times New Roman"/>
                <w:i/>
                <w:sz w:val="20"/>
                <w:lang w:val="sq-AL"/>
              </w:rPr>
              <w:t>avantazheve/kostove të opsioneve të mundshme. Duhet të përcakton</w:t>
            </w:r>
            <w:r w:rsidR="00B64C3E" w:rsidRPr="003560AC">
              <w:rPr>
                <w:rFonts w:ascii="Times New Roman" w:hAnsi="Times New Roman"/>
                <w:i/>
                <w:sz w:val="20"/>
                <w:lang w:val="sq-AL"/>
              </w:rPr>
              <w:t>i</w:t>
            </w:r>
            <w:r w:rsidRPr="003560AC">
              <w:rPr>
                <w:rFonts w:ascii="Times New Roman" w:hAnsi="Times New Roman"/>
                <w:i/>
                <w:sz w:val="20"/>
                <w:lang w:val="sq-AL"/>
              </w:rPr>
              <w:t xml:space="preserve"> detajet në lidhje me opsionin e preferuar.</w:t>
            </w:r>
          </w:p>
          <w:p w14:paraId="35C1D7F9" w14:textId="7C432C6E" w:rsidR="00453AB4" w:rsidRDefault="00453AB4" w:rsidP="00B64C3E">
            <w:pPr>
              <w:jc w:val="both"/>
              <w:rPr>
                <w:rFonts w:ascii="Times New Roman" w:hAnsi="Times New Roman"/>
                <w:i/>
                <w:szCs w:val="22"/>
                <w:lang w:val="sq-AL"/>
              </w:rPr>
            </w:pPr>
          </w:p>
          <w:p w14:paraId="368E1EB6" w14:textId="0D9392FF" w:rsidR="00152841" w:rsidRPr="00152841" w:rsidRDefault="00152841" w:rsidP="00152841">
            <w:pPr>
              <w:jc w:val="both"/>
              <w:rPr>
                <w:rFonts w:ascii="Times New Roman" w:hAnsi="Times New Roman"/>
                <w:b/>
                <w:sz w:val="24"/>
                <w:szCs w:val="24"/>
                <w:lang w:val="sq-AL"/>
              </w:rPr>
            </w:pPr>
            <w:r w:rsidRPr="00152841">
              <w:rPr>
                <w:rFonts w:ascii="Times New Roman" w:hAnsi="Times New Roman"/>
                <w:b/>
                <w:sz w:val="24"/>
                <w:szCs w:val="24"/>
                <w:lang w:val="sq-AL"/>
              </w:rPr>
              <w:t>Opsioni 0 (status quo)</w:t>
            </w:r>
            <w:r w:rsidR="003162AD">
              <w:rPr>
                <w:rFonts w:ascii="Times New Roman" w:hAnsi="Times New Roman"/>
                <w:b/>
                <w:sz w:val="24"/>
                <w:szCs w:val="24"/>
                <w:lang w:val="sq-AL"/>
              </w:rPr>
              <w:t xml:space="preserve">: </w:t>
            </w:r>
            <w:r w:rsidR="003162AD">
              <w:rPr>
                <w:rStyle w:val="normaltextrun"/>
                <w:rFonts w:eastAsiaTheme="majorEastAsia"/>
                <w:color w:val="000000"/>
                <w:shd w:val="clear" w:color="auto" w:fill="FFFFFF"/>
              </w:rPr>
              <w:t xml:space="preserve">Nuk ndërhyhet me ndryshim apo politikë të re dhe vijohet me kuadrin ligjor ekzistues e konkretisht me zbatimin e ligjit </w:t>
            </w:r>
            <w:r w:rsidR="003162AD" w:rsidRPr="00152841">
              <w:rPr>
                <w:rFonts w:ascii="Times New Roman" w:hAnsi="Times New Roman"/>
                <w:sz w:val="24"/>
                <w:szCs w:val="24"/>
                <w:lang w:val="sq-AL"/>
              </w:rPr>
              <w:t>nr.8894, datë 14.05.2002 “Për Agjencinë e Trajtimit të Kredive”</w:t>
            </w:r>
            <w:r w:rsidR="003162AD">
              <w:rPr>
                <w:rFonts w:ascii="Times New Roman" w:hAnsi="Times New Roman"/>
                <w:sz w:val="24"/>
                <w:szCs w:val="24"/>
                <w:lang w:val="sq-AL"/>
              </w:rPr>
              <w:t xml:space="preserve">, i ndryshuar dhe ligjit </w:t>
            </w:r>
            <w:r w:rsidR="003162AD">
              <w:rPr>
                <w:rFonts w:ascii="Times New Roman" w:hAnsi="Times New Roman"/>
                <w:b/>
                <w:sz w:val="24"/>
                <w:szCs w:val="24"/>
                <w:lang w:val="sq-AL"/>
              </w:rPr>
              <w:t xml:space="preserve">nr. 8894, datë 14.05.2002 </w:t>
            </w:r>
            <w:r w:rsidR="003162AD" w:rsidRPr="00152841">
              <w:rPr>
                <w:rFonts w:ascii="Times New Roman" w:hAnsi="Times New Roman"/>
                <w:sz w:val="24"/>
                <w:szCs w:val="24"/>
                <w:lang w:val="sq-AL"/>
              </w:rPr>
              <w:t>“Për huamarrjen shtetërore, borxhin shtetëror dhe garancitë shtetërore të huasë në Republikën e Shqipërisë”, i ndryshuar</w:t>
            </w:r>
            <w:r w:rsidR="003162AD">
              <w:rPr>
                <w:rFonts w:ascii="Times New Roman" w:hAnsi="Times New Roman"/>
                <w:sz w:val="24"/>
                <w:szCs w:val="24"/>
                <w:lang w:val="sq-AL"/>
              </w:rPr>
              <w:t xml:space="preserve">. </w:t>
            </w:r>
          </w:p>
          <w:p w14:paraId="053CFE3E" w14:textId="7916B4A0"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Ligji nr.8894, datë 14.05.2002 “Për Agjencinë e Trajtimit të Kredive”</w:t>
            </w:r>
            <w:r w:rsidR="00733DA6">
              <w:rPr>
                <w:rFonts w:ascii="Times New Roman" w:hAnsi="Times New Roman"/>
                <w:sz w:val="24"/>
                <w:szCs w:val="24"/>
                <w:lang w:val="sq-AL"/>
              </w:rPr>
              <w:t>, i ndryshuar,</w:t>
            </w:r>
            <w:r w:rsidRPr="00152841">
              <w:rPr>
                <w:rFonts w:ascii="Times New Roman" w:hAnsi="Times New Roman"/>
                <w:sz w:val="24"/>
                <w:szCs w:val="24"/>
                <w:lang w:val="sq-AL"/>
              </w:rPr>
              <w:t xml:space="preserve"> duke qënë një ligj i vjetër në kohë, i cili ka si qëllim krijimin e kuadrit ligjor për menaxhimin e skemave të veçanta të garancive shtetërore të huasë dhe të kthimit të tyre, nuk parashikon rregullimin e procedurave të lindura nga emetimi i skemave të garancive shtetërore në përfititm të biznesit në situatën e Covid-19. Për shumë kohë, qysh nga momenti i krijimit të saj në vitin ’98, Agjencia e Trajtimit të Kredive ka operuar mbi bazën e një kuadri ligjor jo të plotë. </w:t>
            </w:r>
          </w:p>
          <w:p w14:paraId="0FF24700" w14:textId="77777777" w:rsidR="00152841" w:rsidRPr="00152841" w:rsidRDefault="00152841" w:rsidP="00152841">
            <w:pPr>
              <w:jc w:val="both"/>
              <w:rPr>
                <w:rFonts w:ascii="Times New Roman" w:hAnsi="Times New Roman"/>
                <w:sz w:val="24"/>
                <w:szCs w:val="24"/>
                <w:lang w:val="sq-AL"/>
              </w:rPr>
            </w:pPr>
          </w:p>
          <w:p w14:paraId="5C9A807F"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 xml:space="preserve">Kuadri ligjor aktual, nuk mundëson rregullimet 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 </w:t>
            </w:r>
          </w:p>
          <w:p w14:paraId="2E407C80"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Gjithashtu nuk siguron menaxhim efektiv të skemave të veçanta të garancive shtetërore të huase në një kohë të arsyeshme, duke rezultuar në gjendjen aktuale ku afatet tejkalohen.</w:t>
            </w:r>
          </w:p>
          <w:p w14:paraId="279B7976" w14:textId="77777777" w:rsidR="00152841" w:rsidRPr="00152841" w:rsidRDefault="00152841" w:rsidP="00152841">
            <w:pPr>
              <w:jc w:val="both"/>
              <w:rPr>
                <w:rFonts w:ascii="Times New Roman" w:hAnsi="Times New Roman"/>
                <w:sz w:val="24"/>
                <w:szCs w:val="24"/>
                <w:lang w:val="sq-AL"/>
              </w:rPr>
            </w:pPr>
          </w:p>
          <w:p w14:paraId="128F5D57" w14:textId="717B05DE" w:rsidR="00152841" w:rsidRPr="00152841" w:rsidRDefault="00152841" w:rsidP="00152841">
            <w:pPr>
              <w:jc w:val="both"/>
              <w:rPr>
                <w:rFonts w:ascii="Times New Roman" w:hAnsi="Times New Roman"/>
                <w:b/>
                <w:sz w:val="24"/>
                <w:szCs w:val="24"/>
                <w:lang w:val="sq-AL"/>
              </w:rPr>
            </w:pPr>
            <w:r w:rsidRPr="00152841">
              <w:rPr>
                <w:rFonts w:ascii="Times New Roman" w:hAnsi="Times New Roman"/>
                <w:b/>
                <w:sz w:val="24"/>
                <w:szCs w:val="24"/>
                <w:lang w:val="sq-AL"/>
              </w:rPr>
              <w:t xml:space="preserve">Opsioni 1 </w:t>
            </w:r>
            <w:r w:rsidR="00D572BA">
              <w:rPr>
                <w:rFonts w:ascii="Times New Roman" w:hAnsi="Times New Roman"/>
                <w:b/>
                <w:sz w:val="24"/>
                <w:szCs w:val="24"/>
                <w:lang w:val="sq-AL"/>
              </w:rPr>
              <w:t>Ndryshimi i ligjit nr. 8894, dat</w:t>
            </w:r>
            <w:r w:rsidR="003162AD">
              <w:rPr>
                <w:rFonts w:ascii="Times New Roman" w:hAnsi="Times New Roman"/>
                <w:b/>
                <w:sz w:val="24"/>
                <w:szCs w:val="24"/>
                <w:lang w:val="sq-AL"/>
              </w:rPr>
              <w:t>ë</w:t>
            </w:r>
            <w:r w:rsidR="00D572BA">
              <w:rPr>
                <w:rFonts w:ascii="Times New Roman" w:hAnsi="Times New Roman"/>
                <w:b/>
                <w:sz w:val="24"/>
                <w:szCs w:val="24"/>
                <w:lang w:val="sq-AL"/>
              </w:rPr>
              <w:t xml:space="preserve"> 14.05.2002 </w:t>
            </w:r>
            <w:r w:rsidR="00D572BA" w:rsidRPr="00152841">
              <w:rPr>
                <w:rFonts w:ascii="Times New Roman" w:hAnsi="Times New Roman"/>
                <w:sz w:val="24"/>
                <w:szCs w:val="24"/>
                <w:lang w:val="sq-AL"/>
              </w:rPr>
              <w:t>“Për huamarrjen shtetërore, borxhin shtetëror dhe garancitë shtetërore të huasë në Republikën e Shqipërisë”, i ndryshuar,</w:t>
            </w:r>
            <w:r w:rsidRPr="00152841">
              <w:rPr>
                <w:rFonts w:ascii="Times New Roman" w:hAnsi="Times New Roman"/>
                <w:b/>
                <w:sz w:val="24"/>
                <w:szCs w:val="24"/>
                <w:lang w:val="sq-AL"/>
              </w:rPr>
              <w:t xml:space="preserve">: </w:t>
            </w:r>
          </w:p>
          <w:p w14:paraId="20FC924C"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 xml:space="preserve">Ligji ekzistues, (8894, dt.14.05.2002), duke qënë një ligj i vjetër në kohë, nuk kryen një rregullim efikas për trajtimin e kredive të këqija, por edhe për skemat e vecanta të garancisë. Konkretisht, nenet e ligjit sikundër është aktualisht janë organizuar jo konform rregullave të teknikës legjislative, duke krijuar probleme gjatë zbatimit të ligjit. </w:t>
            </w:r>
          </w:p>
          <w:p w14:paraId="14853039"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 xml:space="preserve">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 </w:t>
            </w:r>
          </w:p>
          <w:p w14:paraId="5497C08A"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Në këtë kontekst agjencisë, nëpërmjet ndryshimeve ligjore të propozuara i kalojnë për t’u menaxhuar sipas nenit 4, aktivitetet/funksionet e mëposhtme:</w:t>
            </w:r>
          </w:p>
          <w:p w14:paraId="5CC2530F" w14:textId="77777777" w:rsidR="00152841" w:rsidRP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Menaxhimin e skemave të veçanta të garancive të huas, kthimin e garancive shtetërore të huas, kthimin e huave dhe nënhuave të garantuara nga ministri përgjegjës për financat, verifikimin e aftësisë paguese të subjekteve huamarrëse që kanë përfituar nga garancitë, huatë dhe nënhuatë të garantuara nga ministri pergjegjes per financat, trajtimin e kredive, të transferuara nga bankat tregtare të nivelit të dytë, me kapital tërësisht shtetëror mbas privatizimit të tyre, si dhe trajtimin e portofolit të investimeve të kryera në banesa nga shoqëria INSIG sh.a para privatizimit të saj.</w:t>
            </w:r>
          </w:p>
          <w:p w14:paraId="69FE1C32" w14:textId="77777777" w:rsidR="00152841" w:rsidRPr="00152841" w:rsidRDefault="00152841" w:rsidP="00152841">
            <w:pPr>
              <w:jc w:val="both"/>
              <w:rPr>
                <w:rFonts w:ascii="Times New Roman" w:hAnsi="Times New Roman"/>
                <w:sz w:val="24"/>
                <w:szCs w:val="24"/>
                <w:lang w:val="sq-AL"/>
              </w:rPr>
            </w:pPr>
          </w:p>
          <w:p w14:paraId="548C8979" w14:textId="77777777" w:rsidR="00152841" w:rsidRPr="00152841" w:rsidRDefault="00152841" w:rsidP="00152841">
            <w:pPr>
              <w:jc w:val="both"/>
              <w:rPr>
                <w:rFonts w:ascii="Times New Roman" w:hAnsi="Times New Roman"/>
                <w:sz w:val="24"/>
                <w:szCs w:val="24"/>
                <w:lang w:val="sq-AL"/>
              </w:rPr>
            </w:pPr>
          </w:p>
          <w:p w14:paraId="2E82C299" w14:textId="77777777" w:rsidR="00152841" w:rsidRPr="00152841" w:rsidRDefault="00152841" w:rsidP="00152841">
            <w:pPr>
              <w:jc w:val="both"/>
              <w:rPr>
                <w:rFonts w:ascii="Times New Roman" w:hAnsi="Times New Roman"/>
                <w:b/>
                <w:sz w:val="24"/>
                <w:szCs w:val="24"/>
                <w:lang w:val="sq-AL"/>
              </w:rPr>
            </w:pPr>
            <w:r w:rsidRPr="00152841">
              <w:rPr>
                <w:rFonts w:ascii="Times New Roman" w:hAnsi="Times New Roman"/>
                <w:b/>
                <w:sz w:val="24"/>
                <w:szCs w:val="24"/>
                <w:lang w:val="sq-AL"/>
              </w:rPr>
              <w:lastRenderedPageBreak/>
              <w:t>Opsioni nr.2 Ndryshimi i ligjit aktual  nr.8894, datë 14.05.2002 “Për Agjencinë e Trajtimit të Kredive”);</w:t>
            </w:r>
          </w:p>
          <w:p w14:paraId="697020AD" w14:textId="77777777" w:rsidR="00152841" w:rsidRPr="00152841" w:rsidRDefault="00152841" w:rsidP="00152841">
            <w:pPr>
              <w:jc w:val="both"/>
              <w:rPr>
                <w:rFonts w:ascii="Times New Roman" w:hAnsi="Times New Roman"/>
                <w:sz w:val="24"/>
                <w:szCs w:val="24"/>
                <w:lang w:val="sq-AL"/>
              </w:rPr>
            </w:pPr>
          </w:p>
          <w:p w14:paraId="0DA2766D" w14:textId="123C879F" w:rsidR="00152841" w:rsidRDefault="00152841" w:rsidP="00152841">
            <w:pPr>
              <w:jc w:val="both"/>
              <w:rPr>
                <w:rFonts w:ascii="Times New Roman" w:hAnsi="Times New Roman"/>
                <w:sz w:val="24"/>
                <w:szCs w:val="24"/>
                <w:lang w:val="sq-AL"/>
              </w:rPr>
            </w:pPr>
            <w:r w:rsidRPr="00152841">
              <w:rPr>
                <w:rFonts w:ascii="Times New Roman" w:hAnsi="Times New Roman"/>
                <w:sz w:val="24"/>
                <w:szCs w:val="24"/>
                <w:lang w:val="sq-AL"/>
              </w:rPr>
              <w:t xml:space="preserve">Bazuar në Manualin e Hartimit të Legjislacionit, për shkak të ndryshimeve të shumta të nevojshme për të rregulluar kuadrin ligjor nuk preferohet ky opsion. Duke qënë se ndryshimi prek më tepër se 50% të aktit, ndryshimet e shumta do të sillnin konfuzion të mëtejshëm ligjor në perceptimin dhe kuptimin e ndryshimeve ligjore duke dëmtuar interesat e drejtpërdrejta të qytetarëve dhe bizneseve në pozita debiti. </w:t>
            </w:r>
          </w:p>
          <w:p w14:paraId="372BA006" w14:textId="1FA6E80A" w:rsidR="00152841" w:rsidRDefault="00152841" w:rsidP="00152841">
            <w:pPr>
              <w:jc w:val="both"/>
              <w:rPr>
                <w:rFonts w:ascii="Times New Roman" w:hAnsi="Times New Roman"/>
                <w:sz w:val="24"/>
                <w:szCs w:val="24"/>
                <w:lang w:val="sq-AL"/>
              </w:rPr>
            </w:pPr>
          </w:p>
          <w:p w14:paraId="42706BA6" w14:textId="07F466FE" w:rsidR="0067260C" w:rsidRDefault="0067260C" w:rsidP="0067260C">
            <w:pPr>
              <w:pStyle w:val="CommentText"/>
              <w:rPr>
                <w:rFonts w:ascii="Times New Roman" w:hAnsi="Times New Roman"/>
                <w:b/>
                <w:sz w:val="24"/>
                <w:szCs w:val="24"/>
                <w:lang w:val="sq-AL"/>
              </w:rPr>
            </w:pPr>
            <w:r w:rsidRPr="00596295">
              <w:rPr>
                <w:rFonts w:ascii="Times New Roman" w:hAnsi="Times New Roman"/>
                <w:b/>
                <w:sz w:val="24"/>
                <w:szCs w:val="24"/>
                <w:lang w:val="sq-AL"/>
              </w:rPr>
              <w:t xml:space="preserve">Opsioni </w:t>
            </w:r>
            <w:r>
              <w:rPr>
                <w:rFonts w:ascii="Times New Roman" w:hAnsi="Times New Roman"/>
                <w:b/>
                <w:sz w:val="24"/>
                <w:szCs w:val="24"/>
                <w:lang w:val="sq-AL"/>
              </w:rPr>
              <w:t>3 -</w:t>
            </w:r>
            <w:r w:rsidRPr="00596295">
              <w:rPr>
                <w:rFonts w:ascii="Times New Roman" w:hAnsi="Times New Roman"/>
                <w:b/>
                <w:sz w:val="24"/>
                <w:szCs w:val="24"/>
                <w:lang w:val="sq-AL"/>
              </w:rPr>
              <w:t xml:space="preserve"> </w:t>
            </w:r>
            <w:r>
              <w:rPr>
                <w:rFonts w:ascii="Times New Roman" w:hAnsi="Times New Roman"/>
                <w:b/>
                <w:sz w:val="24"/>
                <w:szCs w:val="24"/>
                <w:lang w:val="sq-AL"/>
              </w:rPr>
              <w:t>Hartimi i nj</w:t>
            </w:r>
            <w:r w:rsidR="003162AD">
              <w:rPr>
                <w:rFonts w:ascii="Times New Roman" w:hAnsi="Times New Roman"/>
                <w:b/>
                <w:sz w:val="24"/>
                <w:szCs w:val="24"/>
                <w:lang w:val="sq-AL"/>
              </w:rPr>
              <w:t>ë</w:t>
            </w:r>
            <w:r>
              <w:rPr>
                <w:rFonts w:ascii="Times New Roman" w:hAnsi="Times New Roman"/>
                <w:b/>
                <w:sz w:val="24"/>
                <w:szCs w:val="24"/>
                <w:lang w:val="sq-AL"/>
              </w:rPr>
              <w:t xml:space="preserve"> ligji t</w:t>
            </w:r>
            <w:r w:rsidR="003162AD">
              <w:rPr>
                <w:rFonts w:ascii="Times New Roman" w:hAnsi="Times New Roman"/>
                <w:b/>
                <w:sz w:val="24"/>
                <w:szCs w:val="24"/>
                <w:lang w:val="sq-AL"/>
              </w:rPr>
              <w:t>ë</w:t>
            </w:r>
            <w:r>
              <w:rPr>
                <w:rFonts w:ascii="Times New Roman" w:hAnsi="Times New Roman"/>
                <w:b/>
                <w:sz w:val="24"/>
                <w:szCs w:val="24"/>
                <w:lang w:val="sq-AL"/>
              </w:rPr>
              <w:t xml:space="preserve"> ri</w:t>
            </w:r>
            <w:r w:rsidR="003162AD">
              <w:rPr>
                <w:rFonts w:ascii="Times New Roman" w:hAnsi="Times New Roman"/>
                <w:b/>
                <w:sz w:val="24"/>
                <w:szCs w:val="24"/>
                <w:lang w:val="sq-AL"/>
              </w:rPr>
              <w:t>.</w:t>
            </w:r>
          </w:p>
          <w:p w14:paraId="6DDE92C6" w14:textId="77777777" w:rsidR="0067260C" w:rsidRDefault="0067260C" w:rsidP="0067260C">
            <w:pPr>
              <w:pStyle w:val="CommentText"/>
              <w:rPr>
                <w:rFonts w:ascii="Times New Roman" w:hAnsi="Times New Roman"/>
                <w:b/>
                <w:sz w:val="24"/>
                <w:szCs w:val="24"/>
                <w:lang w:val="sq-AL"/>
              </w:rPr>
            </w:pPr>
          </w:p>
          <w:p w14:paraId="0EB19D1C" w14:textId="349620A7" w:rsidR="0067260C" w:rsidRDefault="0067260C" w:rsidP="0067260C">
            <w:pPr>
              <w:pStyle w:val="CommentText"/>
              <w:rPr>
                <w:rFonts w:ascii="Times New Roman" w:hAnsi="Times New Roman"/>
                <w:b/>
                <w:color w:val="0D0D0D" w:themeColor="text1" w:themeTint="F2"/>
                <w:sz w:val="24"/>
                <w:szCs w:val="24"/>
                <w:lang w:val="sq-AL"/>
              </w:rPr>
            </w:pPr>
            <w:r w:rsidRPr="005B7795">
              <w:rPr>
                <w:rFonts w:ascii="Times New Roman" w:hAnsi="Times New Roman"/>
                <w:b/>
                <w:color w:val="0D0D0D" w:themeColor="text1" w:themeTint="F2"/>
                <w:sz w:val="24"/>
                <w:szCs w:val="24"/>
                <w:lang w:val="sq-AL"/>
              </w:rPr>
              <w:t>Nj</w:t>
            </w:r>
            <w:r w:rsidR="003162AD">
              <w:rPr>
                <w:rFonts w:ascii="Times New Roman" w:hAnsi="Times New Roman"/>
                <w:b/>
                <w:color w:val="0D0D0D" w:themeColor="text1" w:themeTint="F2"/>
                <w:sz w:val="24"/>
                <w:szCs w:val="24"/>
                <w:lang w:val="sq-AL"/>
              </w:rPr>
              <w:t>ë</w:t>
            </w:r>
            <w:r w:rsidRPr="005B7795">
              <w:rPr>
                <w:rFonts w:ascii="Times New Roman" w:hAnsi="Times New Roman"/>
                <w:b/>
                <w:color w:val="0D0D0D" w:themeColor="text1" w:themeTint="F2"/>
                <w:sz w:val="24"/>
                <w:szCs w:val="24"/>
                <w:lang w:val="sq-AL"/>
              </w:rPr>
              <w:t xml:space="preserve"> opsion tjet</w:t>
            </w:r>
            <w:r w:rsidR="003162AD">
              <w:rPr>
                <w:rFonts w:ascii="Times New Roman" w:hAnsi="Times New Roman"/>
                <w:b/>
                <w:color w:val="0D0D0D" w:themeColor="text1" w:themeTint="F2"/>
                <w:sz w:val="24"/>
                <w:szCs w:val="24"/>
                <w:lang w:val="sq-AL"/>
              </w:rPr>
              <w:t>ë</w:t>
            </w:r>
            <w:r w:rsidRPr="005B7795">
              <w:rPr>
                <w:rFonts w:ascii="Times New Roman" w:hAnsi="Times New Roman"/>
                <w:b/>
                <w:color w:val="0D0D0D" w:themeColor="text1" w:themeTint="F2"/>
                <w:sz w:val="24"/>
                <w:szCs w:val="24"/>
                <w:lang w:val="sq-AL"/>
              </w:rPr>
              <w:t>r i konsedurar p</w:t>
            </w:r>
            <w:r w:rsidR="003162AD">
              <w:rPr>
                <w:rFonts w:ascii="Times New Roman" w:hAnsi="Times New Roman"/>
                <w:b/>
                <w:color w:val="0D0D0D" w:themeColor="text1" w:themeTint="F2"/>
                <w:sz w:val="24"/>
                <w:szCs w:val="24"/>
                <w:lang w:val="sq-AL"/>
              </w:rPr>
              <w:t>ë</w:t>
            </w:r>
            <w:r w:rsidRPr="005B7795">
              <w:rPr>
                <w:rFonts w:ascii="Times New Roman" w:hAnsi="Times New Roman"/>
                <w:b/>
                <w:color w:val="0D0D0D" w:themeColor="text1" w:themeTint="F2"/>
                <w:sz w:val="24"/>
                <w:szCs w:val="24"/>
                <w:lang w:val="sq-AL"/>
              </w:rPr>
              <w:t>r</w:t>
            </w:r>
            <w:r>
              <w:rPr>
                <w:rFonts w:ascii="Times New Roman" w:hAnsi="Times New Roman"/>
                <w:b/>
                <w:color w:val="0D0D0D" w:themeColor="text1" w:themeTint="F2"/>
                <w:sz w:val="24"/>
                <w:szCs w:val="24"/>
                <w:lang w:val="sq-AL"/>
              </w:rPr>
              <w:t xml:space="preserve"> rregullimin e situat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s aktuale </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sht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edhe hartimi i nj</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ligji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ri. Hartimi i nj</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ligji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r</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sisht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ri do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ishte nj</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m</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nyr</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p</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r adresimin e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gjitha problematikave t</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konstatuara deri m</w:t>
            </w:r>
            <w:r w:rsidR="003162AD">
              <w:rPr>
                <w:rFonts w:ascii="Times New Roman" w:hAnsi="Times New Roman"/>
                <w:b/>
                <w:color w:val="0D0D0D" w:themeColor="text1" w:themeTint="F2"/>
                <w:sz w:val="24"/>
                <w:szCs w:val="24"/>
                <w:lang w:val="sq-AL"/>
              </w:rPr>
              <w:t>ë</w:t>
            </w:r>
            <w:r>
              <w:rPr>
                <w:rFonts w:ascii="Times New Roman" w:hAnsi="Times New Roman"/>
                <w:b/>
                <w:color w:val="0D0D0D" w:themeColor="text1" w:themeTint="F2"/>
                <w:sz w:val="24"/>
                <w:szCs w:val="24"/>
                <w:lang w:val="sq-AL"/>
              </w:rPr>
              <w:t xml:space="preserve"> tani.</w:t>
            </w:r>
          </w:p>
          <w:p w14:paraId="4EE4F34B" w14:textId="77777777" w:rsidR="0067260C" w:rsidRDefault="0067260C" w:rsidP="0067260C">
            <w:pPr>
              <w:pStyle w:val="CommentText"/>
              <w:rPr>
                <w:rFonts w:ascii="Times New Roman" w:hAnsi="Times New Roman"/>
                <w:b/>
                <w:color w:val="0D0D0D" w:themeColor="text1" w:themeTint="F2"/>
                <w:sz w:val="24"/>
                <w:szCs w:val="24"/>
                <w:lang w:val="sq-AL"/>
              </w:rPr>
            </w:pPr>
          </w:p>
          <w:p w14:paraId="40565FF5" w14:textId="77777777" w:rsidR="0067260C" w:rsidRDefault="0067260C" w:rsidP="0067260C">
            <w:pPr>
              <w:spacing w:line="276" w:lineRule="auto"/>
              <w:jc w:val="both"/>
              <w:rPr>
                <w:rFonts w:ascii="Times New Roman" w:hAnsi="Times New Roman"/>
                <w:b/>
                <w:sz w:val="24"/>
                <w:szCs w:val="24"/>
                <w:lang w:val="sq-AL"/>
              </w:rPr>
            </w:pPr>
          </w:p>
          <w:p w14:paraId="4CAC206E" w14:textId="104D18A6" w:rsidR="0067260C" w:rsidRDefault="0067260C" w:rsidP="0067260C">
            <w:pPr>
              <w:spacing w:line="276" w:lineRule="auto"/>
              <w:jc w:val="both"/>
              <w:rPr>
                <w:rFonts w:ascii="Times New Roman" w:hAnsi="Times New Roman"/>
                <w:b/>
                <w:sz w:val="24"/>
                <w:szCs w:val="24"/>
                <w:lang w:val="sq-AL"/>
              </w:rPr>
            </w:pPr>
            <w:r>
              <w:rPr>
                <w:rFonts w:ascii="Times New Roman" w:hAnsi="Times New Roman"/>
                <w:b/>
                <w:sz w:val="24"/>
                <w:szCs w:val="24"/>
                <w:lang w:val="sq-AL"/>
              </w:rPr>
              <w:t>N</w:t>
            </w:r>
            <w:r w:rsidRPr="0055682E">
              <w:rPr>
                <w:rFonts w:ascii="Times New Roman" w:hAnsi="Times New Roman"/>
                <w:b/>
                <w:sz w:val="24"/>
                <w:szCs w:val="24"/>
                <w:lang w:val="sq-AL"/>
              </w:rPr>
              <w:t xml:space="preserve">ëpërmjet </w:t>
            </w:r>
            <w:r>
              <w:rPr>
                <w:rFonts w:ascii="Times New Roman" w:hAnsi="Times New Roman"/>
                <w:b/>
                <w:sz w:val="24"/>
                <w:szCs w:val="24"/>
                <w:lang w:val="sq-AL"/>
              </w:rPr>
              <w:t>politikës së propozuar parashikohet q</w:t>
            </w:r>
            <w:r w:rsidR="003162AD">
              <w:rPr>
                <w:rFonts w:ascii="Times New Roman" w:hAnsi="Times New Roman"/>
                <w:b/>
                <w:sz w:val="24"/>
                <w:szCs w:val="24"/>
                <w:lang w:val="sq-AL"/>
              </w:rPr>
              <w:t>ë</w:t>
            </w:r>
            <w:r>
              <w:rPr>
                <w:rFonts w:ascii="Times New Roman" w:hAnsi="Times New Roman"/>
                <w:b/>
                <w:sz w:val="24"/>
                <w:szCs w:val="24"/>
                <w:lang w:val="sq-AL"/>
              </w:rPr>
              <w:t xml:space="preserve"> ATK-s</w:t>
            </w:r>
            <w:r w:rsidR="003162AD">
              <w:rPr>
                <w:rFonts w:ascii="Times New Roman" w:hAnsi="Times New Roman"/>
                <w:b/>
                <w:sz w:val="24"/>
                <w:szCs w:val="24"/>
                <w:lang w:val="sq-AL"/>
              </w:rPr>
              <w:t>ë</w:t>
            </w:r>
            <w:r>
              <w:rPr>
                <w:rFonts w:ascii="Times New Roman" w:hAnsi="Times New Roman"/>
                <w:b/>
                <w:sz w:val="24"/>
                <w:szCs w:val="24"/>
                <w:lang w:val="sq-AL"/>
              </w:rPr>
              <w:t xml:space="preserve"> do t’i </w:t>
            </w:r>
            <w:r w:rsidRPr="0055682E">
              <w:rPr>
                <w:rFonts w:ascii="Times New Roman" w:hAnsi="Times New Roman"/>
                <w:b/>
                <w:sz w:val="24"/>
                <w:szCs w:val="24"/>
                <w:lang w:val="sq-AL"/>
              </w:rPr>
              <w:t>kalojnë për t’u menaxhuar, aktivitetet/funksionet e mëposhtme:</w:t>
            </w:r>
          </w:p>
          <w:p w14:paraId="0265016B" w14:textId="77777777" w:rsidR="0067260C" w:rsidRPr="0055682E" w:rsidRDefault="0067260C" w:rsidP="0067260C">
            <w:pPr>
              <w:spacing w:line="276" w:lineRule="auto"/>
              <w:jc w:val="both"/>
              <w:rPr>
                <w:rFonts w:ascii="Times New Roman" w:hAnsi="Times New Roman"/>
                <w:b/>
                <w:sz w:val="24"/>
                <w:szCs w:val="24"/>
                <w:lang w:val="sq-AL"/>
              </w:rPr>
            </w:pPr>
          </w:p>
          <w:p w14:paraId="77F41719" w14:textId="77777777" w:rsidR="0067260C" w:rsidRPr="009937EE" w:rsidRDefault="0067260C" w:rsidP="0067260C">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menaxhimin e skemave të veçanta të garancive të huas;</w:t>
            </w:r>
          </w:p>
          <w:p w14:paraId="6A2700E2" w14:textId="77777777" w:rsidR="0067260C" w:rsidRPr="009937EE" w:rsidRDefault="0067260C" w:rsidP="0067260C">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kthimin e garancive shtetërore të huas;</w:t>
            </w:r>
          </w:p>
          <w:p w14:paraId="7559D71C" w14:textId="77777777" w:rsidR="0067260C" w:rsidRPr="009937EE" w:rsidRDefault="0067260C" w:rsidP="0067260C">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kthimin e huave dhe nënhuave të garantuara nga ministri përgjegjës për financat;</w:t>
            </w:r>
          </w:p>
          <w:p w14:paraId="129E346D" w14:textId="77777777" w:rsidR="0067260C" w:rsidRPr="009937EE" w:rsidRDefault="0067260C" w:rsidP="0067260C">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verifikimin e aftësisë paguese të subjekteve huamarrëse që kanë përfituar nga garancitë, huatë dhe nënhuatë të garantuara nga ministri pergjegjes per financat;</w:t>
            </w:r>
          </w:p>
          <w:p w14:paraId="5A4DF8C3" w14:textId="77777777" w:rsidR="0067260C" w:rsidRPr="009937EE" w:rsidRDefault="0067260C" w:rsidP="0067260C">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trajtimi i kredive, të transferuara nga bankat tregtare të nivelit të dytë, me kapital tërësisht shtetëror mbas privatizimit të tyre;</w:t>
            </w:r>
          </w:p>
          <w:p w14:paraId="7C4D2F65" w14:textId="77777777" w:rsidR="0067260C" w:rsidRPr="00193A00" w:rsidRDefault="0067260C" w:rsidP="00193A00">
            <w:pPr>
              <w:pStyle w:val="ListParagraph"/>
              <w:numPr>
                <w:ilvl w:val="0"/>
                <w:numId w:val="24"/>
              </w:numPr>
              <w:spacing w:line="276" w:lineRule="auto"/>
              <w:jc w:val="both"/>
              <w:rPr>
                <w:rFonts w:ascii="Times New Roman" w:hAnsi="Times New Roman"/>
                <w:sz w:val="24"/>
                <w:szCs w:val="24"/>
                <w:lang w:val="sq-AL"/>
              </w:rPr>
            </w:pPr>
            <w:r w:rsidRPr="00193A00">
              <w:rPr>
                <w:rFonts w:ascii="Times New Roman" w:hAnsi="Times New Roman"/>
                <w:sz w:val="24"/>
                <w:szCs w:val="24"/>
                <w:lang w:val="sq-AL"/>
              </w:rPr>
              <w:t>trajtimin e portofolit të investimeve të kryera në banesa nga shoqëria INSIG sh.a para privatizimit të saj.Për këtë arsye propozohet hartimi i ligjit të ri, “Për Menaxhimin e Garancive dhe Kredive të Pakthyera”.</w:t>
            </w:r>
          </w:p>
          <w:p w14:paraId="38203EBC" w14:textId="045CC443" w:rsidR="0067260C" w:rsidRPr="005B7795" w:rsidRDefault="0067260C" w:rsidP="00193A00">
            <w:pPr>
              <w:spacing w:line="276" w:lineRule="auto"/>
              <w:jc w:val="both"/>
              <w:rPr>
                <w:rFonts w:ascii="Times New Roman" w:hAnsi="Times New Roman"/>
                <w:sz w:val="24"/>
                <w:szCs w:val="24"/>
                <w:lang w:val="sq-AL"/>
              </w:rPr>
            </w:pPr>
            <w:r>
              <w:rPr>
                <w:rFonts w:ascii="Times New Roman" w:hAnsi="Times New Roman"/>
                <w:sz w:val="24"/>
                <w:szCs w:val="24"/>
                <w:lang w:val="sq-AL"/>
              </w:rPr>
              <w:t>K</w:t>
            </w:r>
            <w:r w:rsidR="003162AD">
              <w:rPr>
                <w:rFonts w:ascii="Times New Roman" w:hAnsi="Times New Roman"/>
                <w:sz w:val="24"/>
                <w:szCs w:val="24"/>
                <w:lang w:val="sq-AL"/>
              </w:rPr>
              <w:t>ë</w:t>
            </w:r>
            <w:r>
              <w:rPr>
                <w:rFonts w:ascii="Times New Roman" w:hAnsi="Times New Roman"/>
                <w:sz w:val="24"/>
                <w:szCs w:val="24"/>
                <w:lang w:val="sq-AL"/>
              </w:rPr>
              <w:t>to funksione do t</w:t>
            </w:r>
            <w:r w:rsidR="003162AD">
              <w:rPr>
                <w:rFonts w:ascii="Times New Roman" w:hAnsi="Times New Roman"/>
                <w:sz w:val="24"/>
                <w:szCs w:val="24"/>
                <w:lang w:val="sq-AL"/>
              </w:rPr>
              <w:t>ë</w:t>
            </w:r>
            <w:r>
              <w:rPr>
                <w:rFonts w:ascii="Times New Roman" w:hAnsi="Times New Roman"/>
                <w:sz w:val="24"/>
                <w:szCs w:val="24"/>
                <w:lang w:val="sq-AL"/>
              </w:rPr>
              <w:t xml:space="preserve"> mund t’i atribuoheshin n</w:t>
            </w:r>
            <w:r w:rsidR="003162AD">
              <w:rPr>
                <w:rFonts w:ascii="Times New Roman" w:hAnsi="Times New Roman"/>
                <w:sz w:val="24"/>
                <w:szCs w:val="24"/>
                <w:lang w:val="sq-AL"/>
              </w:rPr>
              <w:t>ë</w:t>
            </w:r>
            <w:r>
              <w:rPr>
                <w:rFonts w:ascii="Times New Roman" w:hAnsi="Times New Roman"/>
                <w:sz w:val="24"/>
                <w:szCs w:val="24"/>
                <w:lang w:val="sq-AL"/>
              </w:rPr>
              <w:t>p</w:t>
            </w:r>
            <w:r w:rsidR="003162AD">
              <w:rPr>
                <w:rFonts w:ascii="Times New Roman" w:hAnsi="Times New Roman"/>
                <w:sz w:val="24"/>
                <w:szCs w:val="24"/>
                <w:lang w:val="sq-AL"/>
              </w:rPr>
              <w:t>ë</w:t>
            </w:r>
            <w:r>
              <w:rPr>
                <w:rFonts w:ascii="Times New Roman" w:hAnsi="Times New Roman"/>
                <w:sz w:val="24"/>
                <w:szCs w:val="24"/>
                <w:lang w:val="sq-AL"/>
              </w:rPr>
              <w:t>rmjet hartimit dhe miratimit t</w:t>
            </w:r>
            <w:r w:rsidR="003162AD">
              <w:rPr>
                <w:rFonts w:ascii="Times New Roman" w:hAnsi="Times New Roman"/>
                <w:sz w:val="24"/>
                <w:szCs w:val="24"/>
                <w:lang w:val="sq-AL"/>
              </w:rPr>
              <w:t>ë</w:t>
            </w:r>
            <w:r>
              <w:rPr>
                <w:rFonts w:ascii="Times New Roman" w:hAnsi="Times New Roman"/>
                <w:sz w:val="24"/>
                <w:szCs w:val="24"/>
                <w:lang w:val="sq-AL"/>
              </w:rPr>
              <w:t xml:space="preserve"> nj</w:t>
            </w:r>
            <w:r w:rsidR="003162AD">
              <w:rPr>
                <w:rFonts w:ascii="Times New Roman" w:hAnsi="Times New Roman"/>
                <w:sz w:val="24"/>
                <w:szCs w:val="24"/>
                <w:lang w:val="sq-AL"/>
              </w:rPr>
              <w:t>ë</w:t>
            </w:r>
            <w:r>
              <w:rPr>
                <w:rFonts w:ascii="Times New Roman" w:hAnsi="Times New Roman"/>
                <w:sz w:val="24"/>
                <w:szCs w:val="24"/>
                <w:lang w:val="sq-AL"/>
              </w:rPr>
              <w:t xml:space="preserve"> ligji t</w:t>
            </w:r>
            <w:r w:rsidR="003162AD">
              <w:rPr>
                <w:rFonts w:ascii="Times New Roman" w:hAnsi="Times New Roman"/>
                <w:sz w:val="24"/>
                <w:szCs w:val="24"/>
                <w:lang w:val="sq-AL"/>
              </w:rPr>
              <w:t>ë</w:t>
            </w:r>
            <w:r>
              <w:rPr>
                <w:rFonts w:ascii="Times New Roman" w:hAnsi="Times New Roman"/>
                <w:sz w:val="24"/>
                <w:szCs w:val="24"/>
                <w:lang w:val="sq-AL"/>
              </w:rPr>
              <w:t xml:space="preserve"> ri lidhur me menaxhimin e garancive dhe kredive t</w:t>
            </w:r>
            <w:r w:rsidR="003162AD">
              <w:rPr>
                <w:rFonts w:ascii="Times New Roman" w:hAnsi="Times New Roman"/>
                <w:sz w:val="24"/>
                <w:szCs w:val="24"/>
                <w:lang w:val="sq-AL"/>
              </w:rPr>
              <w:t>ë</w:t>
            </w:r>
            <w:r>
              <w:rPr>
                <w:rFonts w:ascii="Times New Roman" w:hAnsi="Times New Roman"/>
                <w:sz w:val="24"/>
                <w:szCs w:val="24"/>
                <w:lang w:val="sq-AL"/>
              </w:rPr>
              <w:t xml:space="preserve"> pakthyera shtet</w:t>
            </w:r>
            <w:r w:rsidR="003162AD">
              <w:rPr>
                <w:rFonts w:ascii="Times New Roman" w:hAnsi="Times New Roman"/>
                <w:sz w:val="24"/>
                <w:szCs w:val="24"/>
                <w:lang w:val="sq-AL"/>
              </w:rPr>
              <w:t>ë</w:t>
            </w:r>
            <w:r>
              <w:rPr>
                <w:rFonts w:ascii="Times New Roman" w:hAnsi="Times New Roman"/>
                <w:sz w:val="24"/>
                <w:szCs w:val="24"/>
                <w:lang w:val="sq-AL"/>
              </w:rPr>
              <w:t>rore.</w:t>
            </w:r>
          </w:p>
          <w:p w14:paraId="3707D483" w14:textId="77777777" w:rsidR="0067260C" w:rsidRDefault="0067260C" w:rsidP="00152841">
            <w:pPr>
              <w:jc w:val="both"/>
              <w:rPr>
                <w:rFonts w:ascii="Times New Roman" w:hAnsi="Times New Roman"/>
                <w:sz w:val="24"/>
                <w:szCs w:val="24"/>
                <w:lang w:val="sq-AL"/>
              </w:rPr>
            </w:pPr>
          </w:p>
          <w:p w14:paraId="39A52950" w14:textId="77777777" w:rsidR="00152841" w:rsidRDefault="00152841" w:rsidP="00152841">
            <w:pPr>
              <w:jc w:val="both"/>
              <w:rPr>
                <w:rFonts w:ascii="Times New Roman" w:hAnsi="Times New Roman"/>
                <w:sz w:val="24"/>
                <w:szCs w:val="24"/>
                <w:lang w:val="sq-AL"/>
              </w:rPr>
            </w:pPr>
          </w:p>
          <w:p w14:paraId="06D9CEA5" w14:textId="086E5D98" w:rsidR="00BF4547" w:rsidRPr="00323DD6" w:rsidRDefault="00BF4547" w:rsidP="0067260C">
            <w:pPr>
              <w:jc w:val="both"/>
              <w:rPr>
                <w:rFonts w:ascii="Times New Roman" w:hAnsi="Times New Roman"/>
                <w:szCs w:val="22"/>
                <w:lang w:val="sq-AL"/>
              </w:rPr>
            </w:pPr>
          </w:p>
        </w:tc>
      </w:tr>
      <w:tr w:rsidR="00A84726" w:rsidRPr="004E7606" w14:paraId="0CC3B1E3"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AC6CF" w14:textId="77777777" w:rsidR="00A84726" w:rsidRPr="004E7606" w:rsidRDefault="52509E66" w:rsidP="658D74BF">
            <w:pPr>
              <w:jc w:val="both"/>
              <w:rPr>
                <w:rFonts w:ascii="Times New Roman" w:hAnsi="Times New Roman"/>
                <w:b/>
                <w:bCs/>
                <w:lang w:val="sq-AL"/>
              </w:rPr>
            </w:pPr>
            <w:r w:rsidRPr="52509E66">
              <w:rPr>
                <w:rFonts w:ascii="Times New Roman" w:hAnsi="Times New Roman"/>
                <w:b/>
                <w:bCs/>
                <w:lang w:val="sq-AL"/>
              </w:rPr>
              <w:lastRenderedPageBreak/>
              <w:t>ANALIZA E NDIKIMEVE</w:t>
            </w:r>
          </w:p>
          <w:p w14:paraId="57D9CFE2" w14:textId="77777777" w:rsidR="00535DD5" w:rsidRPr="003560AC" w:rsidRDefault="000B0370" w:rsidP="00535DD5">
            <w:pPr>
              <w:jc w:val="both"/>
              <w:rPr>
                <w:rStyle w:val="CommentReference"/>
                <w:rFonts w:ascii="Times New Roman" w:hAnsi="Times New Roman"/>
                <w:sz w:val="20"/>
                <w:szCs w:val="20"/>
                <w:lang w:val="sq-AL"/>
              </w:rPr>
            </w:pPr>
            <w:r w:rsidRPr="009373FB">
              <w:rPr>
                <w:rFonts w:ascii="Times New Roman" w:hAnsi="Times New Roman"/>
                <w:i/>
                <w:sz w:val="20"/>
                <w:lang w:val="sq-AL"/>
              </w:rPr>
              <w:t xml:space="preserve">Cilat janë ndikimet e opsionit të preferuar? Kjo duhet të përfshijë ndikimet </w:t>
            </w:r>
            <w:r w:rsidR="00D26002" w:rsidRPr="009373FB">
              <w:rPr>
                <w:rFonts w:ascii="Times New Roman" w:hAnsi="Times New Roman"/>
                <w:i/>
                <w:sz w:val="20"/>
                <w:lang w:val="sq-AL"/>
              </w:rPr>
              <w:t xml:space="preserve">me vlerë </w:t>
            </w:r>
            <w:r w:rsidRPr="009373FB">
              <w:rPr>
                <w:rFonts w:ascii="Times New Roman" w:hAnsi="Times New Roman"/>
                <w:i/>
                <w:sz w:val="20"/>
                <w:lang w:val="sq-AL"/>
              </w:rPr>
              <w:t>monetar</w:t>
            </w:r>
            <w:r w:rsidR="00D26002" w:rsidRPr="009373FB">
              <w:rPr>
                <w:rFonts w:ascii="Times New Roman" w:hAnsi="Times New Roman"/>
                <w:i/>
                <w:sz w:val="20"/>
                <w:lang w:val="sq-AL"/>
              </w:rPr>
              <w:t xml:space="preserve">e të përcaktuar </w:t>
            </w:r>
            <w:r w:rsidR="00573E8A" w:rsidRPr="009373FB">
              <w:rPr>
                <w:rFonts w:ascii="Times New Roman" w:hAnsi="Times New Roman"/>
                <w:i/>
                <w:sz w:val="20"/>
                <w:lang w:val="sq-AL"/>
              </w:rPr>
              <w:t xml:space="preserve">dhe </w:t>
            </w:r>
            <w:r w:rsidR="00D26002" w:rsidRPr="009373FB">
              <w:rPr>
                <w:rFonts w:ascii="Times New Roman" w:hAnsi="Times New Roman"/>
                <w:i/>
                <w:sz w:val="20"/>
                <w:lang w:val="sq-AL"/>
              </w:rPr>
              <w:t xml:space="preserve">ndikimet pa vlerë monetare të përcaktuar </w:t>
            </w:r>
            <w:r w:rsidRPr="009373FB">
              <w:rPr>
                <w:rFonts w:ascii="Times New Roman" w:hAnsi="Times New Roman"/>
                <w:i/>
                <w:sz w:val="20"/>
                <w:lang w:val="sq-AL"/>
              </w:rPr>
              <w:t>mbi buxhetin dhe bizneset</w:t>
            </w:r>
            <w:r w:rsidR="00B61CA7" w:rsidRPr="009373FB">
              <w:rPr>
                <w:rFonts w:ascii="Times New Roman" w:hAnsi="Times New Roman"/>
                <w:i/>
                <w:sz w:val="20"/>
                <w:lang w:val="sq-AL"/>
              </w:rPr>
              <w:t>.</w:t>
            </w:r>
          </w:p>
          <w:p w14:paraId="5A090564" w14:textId="2747D77E" w:rsidR="000B6151" w:rsidRDefault="00535DD5" w:rsidP="0040580E">
            <w:pPr>
              <w:jc w:val="both"/>
              <w:rPr>
                <w:rFonts w:ascii="Times New Roman" w:hAnsi="Times New Roman"/>
                <w:szCs w:val="22"/>
                <w:lang w:val="sq-AL"/>
              </w:rPr>
            </w:pPr>
            <w:r w:rsidRPr="004E7606">
              <w:rPr>
                <w:rFonts w:ascii="Times New Roman" w:hAnsi="Times New Roman"/>
                <w:szCs w:val="22"/>
                <w:lang w:val="sq-AL"/>
              </w:rPr>
              <w:t xml:space="preserve"> </w:t>
            </w:r>
          </w:p>
          <w:p w14:paraId="650BD7FC" w14:textId="77777777" w:rsidR="0067260C"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Për shtetin:</w:t>
            </w:r>
          </w:p>
          <w:p w14:paraId="1269C56D" w14:textId="77777777" w:rsidR="0067260C"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 xml:space="preserve">Kjo politikë ka një ndikim të drejtpërdrejtë pozitiv në ekonominë e shtetit shqiptar (Buxhetin e Shtetit), sepse do të ketë një rikthim të </w:t>
            </w:r>
            <w:r w:rsidRPr="00293355">
              <w:rPr>
                <w:rFonts w:ascii="Times New Roman" w:hAnsi="Times New Roman"/>
                <w:sz w:val="24"/>
                <w:szCs w:val="24"/>
                <w:lang w:val="sq-AL"/>
              </w:rPr>
              <w:t>fonde</w:t>
            </w:r>
            <w:r>
              <w:rPr>
                <w:rFonts w:ascii="Times New Roman" w:hAnsi="Times New Roman"/>
                <w:sz w:val="24"/>
                <w:szCs w:val="24"/>
                <w:lang w:val="sq-AL"/>
              </w:rPr>
              <w:t>ve të alokuara nga shteti për bizneset në kuadër të garancive shtetërore dhe nënhuave,</w:t>
            </w:r>
            <w:r w:rsidRPr="00293355">
              <w:rPr>
                <w:rFonts w:ascii="Times New Roman" w:hAnsi="Times New Roman"/>
                <w:sz w:val="24"/>
                <w:szCs w:val="24"/>
                <w:lang w:val="sq-AL"/>
              </w:rPr>
              <w:t xml:space="preserve"> </w:t>
            </w:r>
            <w:r>
              <w:rPr>
                <w:rFonts w:ascii="Times New Roman" w:hAnsi="Times New Roman"/>
                <w:sz w:val="24"/>
                <w:szCs w:val="24"/>
                <w:lang w:val="sq-AL"/>
              </w:rPr>
              <w:t>në</w:t>
            </w:r>
            <w:r w:rsidRPr="00293355">
              <w:rPr>
                <w:rFonts w:ascii="Times New Roman" w:hAnsi="Times New Roman"/>
                <w:sz w:val="24"/>
                <w:szCs w:val="24"/>
                <w:lang w:val="sq-AL"/>
              </w:rPr>
              <w:t xml:space="preserve"> buxheti</w:t>
            </w:r>
            <w:r>
              <w:rPr>
                <w:rFonts w:ascii="Times New Roman" w:hAnsi="Times New Roman"/>
                <w:sz w:val="24"/>
                <w:szCs w:val="24"/>
                <w:lang w:val="sq-AL"/>
              </w:rPr>
              <w:t>n</w:t>
            </w:r>
            <w:r w:rsidRPr="00293355">
              <w:rPr>
                <w:rFonts w:ascii="Times New Roman" w:hAnsi="Times New Roman"/>
                <w:sz w:val="24"/>
                <w:szCs w:val="24"/>
                <w:lang w:val="sq-AL"/>
              </w:rPr>
              <w:t xml:space="preserve"> </w:t>
            </w:r>
            <w:r>
              <w:rPr>
                <w:rFonts w:ascii="Times New Roman" w:hAnsi="Times New Roman"/>
                <w:sz w:val="24"/>
                <w:szCs w:val="24"/>
                <w:lang w:val="sq-AL"/>
              </w:rPr>
              <w:t>e</w:t>
            </w:r>
            <w:r w:rsidRPr="00293355">
              <w:rPr>
                <w:rFonts w:ascii="Times New Roman" w:hAnsi="Times New Roman"/>
                <w:sz w:val="24"/>
                <w:szCs w:val="24"/>
                <w:lang w:val="sq-AL"/>
              </w:rPr>
              <w:t xml:space="preserve"> shtetit</w:t>
            </w:r>
            <w:r>
              <w:rPr>
                <w:rFonts w:ascii="Times New Roman" w:hAnsi="Times New Roman"/>
                <w:sz w:val="24"/>
                <w:szCs w:val="24"/>
                <w:lang w:val="sq-AL"/>
              </w:rPr>
              <w:t xml:space="preserve">. Në këtë mënyrë këto fonde do të mund të përdoren për t’i ardhur në ndihmë sektorëve të tjerë ekonomikë. </w:t>
            </w:r>
          </w:p>
          <w:p w14:paraId="7EC7A921" w14:textId="72A24FD3" w:rsidR="0067260C"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Gjithashtu, n</w:t>
            </w:r>
            <w:r w:rsidRPr="00293355">
              <w:rPr>
                <w:rFonts w:ascii="Times New Roman" w:hAnsi="Times New Roman"/>
                <w:sz w:val="24"/>
                <w:szCs w:val="24"/>
                <w:lang w:val="sq-AL"/>
              </w:rPr>
              <w:t>dërhyrj</w:t>
            </w:r>
            <w:r>
              <w:rPr>
                <w:rFonts w:ascii="Times New Roman" w:hAnsi="Times New Roman"/>
                <w:sz w:val="24"/>
                <w:szCs w:val="24"/>
                <w:lang w:val="sq-AL"/>
              </w:rPr>
              <w:t>et</w:t>
            </w:r>
            <w:r w:rsidRPr="00293355">
              <w:rPr>
                <w:rFonts w:ascii="Times New Roman" w:hAnsi="Times New Roman"/>
                <w:sz w:val="24"/>
                <w:szCs w:val="24"/>
                <w:lang w:val="sq-AL"/>
              </w:rPr>
              <w:t xml:space="preserve"> e synuar</w:t>
            </w:r>
            <w:r>
              <w:rPr>
                <w:rFonts w:ascii="Times New Roman" w:hAnsi="Times New Roman"/>
                <w:sz w:val="24"/>
                <w:szCs w:val="24"/>
                <w:lang w:val="sq-AL"/>
              </w:rPr>
              <w:t>a</w:t>
            </w:r>
            <w:r w:rsidRPr="00293355">
              <w:rPr>
                <w:rFonts w:ascii="Times New Roman" w:hAnsi="Times New Roman"/>
                <w:sz w:val="24"/>
                <w:szCs w:val="24"/>
                <w:lang w:val="sq-AL"/>
              </w:rPr>
              <w:t xml:space="preserve"> në </w:t>
            </w:r>
            <w:r>
              <w:rPr>
                <w:rFonts w:ascii="Times New Roman" w:hAnsi="Times New Roman"/>
                <w:sz w:val="24"/>
                <w:szCs w:val="24"/>
                <w:lang w:val="sq-AL"/>
              </w:rPr>
              <w:t>kuadrin ligjor</w:t>
            </w:r>
            <w:r w:rsidRPr="00293355">
              <w:rPr>
                <w:rFonts w:ascii="Times New Roman" w:hAnsi="Times New Roman"/>
                <w:sz w:val="24"/>
                <w:szCs w:val="24"/>
                <w:lang w:val="sq-AL"/>
              </w:rPr>
              <w:t>, prekin veprimtarinë e Ministrisë së Financave dhe Ekonomisë</w:t>
            </w:r>
            <w:r>
              <w:rPr>
                <w:rFonts w:ascii="Times New Roman" w:hAnsi="Times New Roman"/>
                <w:sz w:val="24"/>
                <w:szCs w:val="24"/>
                <w:lang w:val="sq-AL"/>
              </w:rPr>
              <w:t xml:space="preserve"> dhe Agjencin</w:t>
            </w:r>
            <w:r w:rsidR="003162AD">
              <w:rPr>
                <w:rFonts w:ascii="Times New Roman" w:hAnsi="Times New Roman"/>
                <w:sz w:val="24"/>
                <w:szCs w:val="24"/>
                <w:lang w:val="sq-AL"/>
              </w:rPr>
              <w:t>ë</w:t>
            </w:r>
            <w:r>
              <w:rPr>
                <w:rFonts w:ascii="Times New Roman" w:hAnsi="Times New Roman"/>
                <w:sz w:val="24"/>
                <w:szCs w:val="24"/>
                <w:lang w:val="sq-AL"/>
              </w:rPr>
              <w:t xml:space="preserve"> e Trajtimit t</w:t>
            </w:r>
            <w:r w:rsidR="003162AD">
              <w:rPr>
                <w:rFonts w:ascii="Times New Roman" w:hAnsi="Times New Roman"/>
                <w:sz w:val="24"/>
                <w:szCs w:val="24"/>
                <w:lang w:val="sq-AL"/>
              </w:rPr>
              <w:t>ë</w:t>
            </w:r>
            <w:r>
              <w:rPr>
                <w:rFonts w:ascii="Times New Roman" w:hAnsi="Times New Roman"/>
                <w:sz w:val="24"/>
                <w:szCs w:val="24"/>
                <w:lang w:val="sq-AL"/>
              </w:rPr>
              <w:t xml:space="preserve"> Kredive</w:t>
            </w:r>
            <w:r w:rsidRPr="00293355">
              <w:rPr>
                <w:rFonts w:ascii="Times New Roman" w:hAnsi="Times New Roman"/>
                <w:sz w:val="24"/>
                <w:szCs w:val="24"/>
                <w:lang w:val="sq-AL"/>
              </w:rPr>
              <w:t xml:space="preserve"> në drejtim të një menaxhimi më efektiv të veprimtarisë së menaxhimit të </w:t>
            </w:r>
            <w:r>
              <w:rPr>
                <w:rFonts w:ascii="Times New Roman" w:hAnsi="Times New Roman"/>
                <w:sz w:val="24"/>
                <w:szCs w:val="24"/>
                <w:lang w:val="sq-AL"/>
              </w:rPr>
              <w:t>kredive dhe garancive.</w:t>
            </w:r>
          </w:p>
          <w:p w14:paraId="4CB06294" w14:textId="5A92ED23" w:rsidR="0067260C" w:rsidRDefault="0067260C" w:rsidP="0067260C">
            <w:pPr>
              <w:pStyle w:val="BodyText"/>
              <w:spacing w:line="276" w:lineRule="auto"/>
              <w:jc w:val="both"/>
              <w:rPr>
                <w:rFonts w:ascii="Times New Roman" w:hAnsi="Times New Roman"/>
                <w:sz w:val="24"/>
                <w:szCs w:val="24"/>
                <w:lang w:val="sq-AL"/>
              </w:rPr>
            </w:pPr>
            <w:r w:rsidRPr="4157CBF5">
              <w:rPr>
                <w:rFonts w:ascii="Times New Roman" w:hAnsi="Times New Roman"/>
                <w:sz w:val="24"/>
                <w:szCs w:val="24"/>
                <w:lang w:val="sq-AL"/>
              </w:rPr>
              <w:t>Sqarojmë se</w:t>
            </w:r>
            <w:r>
              <w:rPr>
                <w:rFonts w:ascii="Times New Roman" w:hAnsi="Times New Roman"/>
                <w:sz w:val="24"/>
                <w:szCs w:val="24"/>
                <w:lang w:val="sq-AL"/>
              </w:rPr>
              <w:t>,</w:t>
            </w:r>
            <w:r w:rsidRPr="4157CBF5">
              <w:rPr>
                <w:rFonts w:ascii="Times New Roman" w:hAnsi="Times New Roman"/>
                <w:sz w:val="24"/>
                <w:szCs w:val="24"/>
                <w:lang w:val="sq-AL"/>
              </w:rPr>
              <w:t xml:space="preserve"> ndërhyrjet e synuara</w:t>
            </w:r>
            <w:r>
              <w:rPr>
                <w:rFonts w:ascii="Times New Roman" w:hAnsi="Times New Roman"/>
                <w:sz w:val="24"/>
                <w:szCs w:val="24"/>
                <w:lang w:val="sq-AL"/>
              </w:rPr>
              <w:t xml:space="preserve"> nuk paraqesin kosto shtes</w:t>
            </w:r>
            <w:r w:rsidR="003162AD">
              <w:rPr>
                <w:rFonts w:ascii="Times New Roman" w:hAnsi="Times New Roman"/>
                <w:sz w:val="24"/>
                <w:szCs w:val="24"/>
                <w:lang w:val="sq-AL"/>
              </w:rPr>
              <w:t>ë</w:t>
            </w:r>
            <w:r>
              <w:rPr>
                <w:rFonts w:ascii="Times New Roman" w:hAnsi="Times New Roman"/>
                <w:sz w:val="24"/>
                <w:szCs w:val="24"/>
                <w:lang w:val="sq-AL"/>
              </w:rPr>
              <w:t xml:space="preserve"> p</w:t>
            </w:r>
            <w:r w:rsidR="003162AD">
              <w:rPr>
                <w:rFonts w:ascii="Times New Roman" w:hAnsi="Times New Roman"/>
                <w:sz w:val="24"/>
                <w:szCs w:val="24"/>
                <w:lang w:val="sq-AL"/>
              </w:rPr>
              <w:t>ë</w:t>
            </w:r>
            <w:r>
              <w:rPr>
                <w:rFonts w:ascii="Times New Roman" w:hAnsi="Times New Roman"/>
                <w:sz w:val="24"/>
                <w:szCs w:val="24"/>
                <w:lang w:val="sq-AL"/>
              </w:rPr>
              <w:t>r Buxhetin e Shtetit n</w:t>
            </w:r>
            <w:r w:rsidR="003162AD">
              <w:rPr>
                <w:rFonts w:ascii="Times New Roman" w:hAnsi="Times New Roman"/>
                <w:sz w:val="24"/>
                <w:szCs w:val="24"/>
                <w:lang w:val="sq-AL"/>
              </w:rPr>
              <w:t>ë</w:t>
            </w:r>
            <w:r>
              <w:rPr>
                <w:rFonts w:ascii="Times New Roman" w:hAnsi="Times New Roman"/>
                <w:sz w:val="24"/>
                <w:szCs w:val="24"/>
                <w:lang w:val="sq-AL"/>
              </w:rPr>
              <w:t xml:space="preserve"> drejtim t</w:t>
            </w:r>
            <w:r w:rsidR="003162AD">
              <w:rPr>
                <w:rFonts w:ascii="Times New Roman" w:hAnsi="Times New Roman"/>
                <w:sz w:val="24"/>
                <w:szCs w:val="24"/>
                <w:lang w:val="sq-AL"/>
              </w:rPr>
              <w:t>ë</w:t>
            </w:r>
            <w:r>
              <w:rPr>
                <w:rFonts w:ascii="Times New Roman" w:hAnsi="Times New Roman"/>
                <w:sz w:val="24"/>
                <w:szCs w:val="24"/>
                <w:lang w:val="sq-AL"/>
              </w:rPr>
              <w:t xml:space="preserve"> ngritjes s</w:t>
            </w:r>
            <w:r w:rsidR="003162AD">
              <w:rPr>
                <w:rFonts w:ascii="Times New Roman" w:hAnsi="Times New Roman"/>
                <w:sz w:val="24"/>
                <w:szCs w:val="24"/>
                <w:lang w:val="sq-AL"/>
              </w:rPr>
              <w:t>ë</w:t>
            </w:r>
            <w:r>
              <w:rPr>
                <w:rFonts w:ascii="Times New Roman" w:hAnsi="Times New Roman"/>
                <w:sz w:val="24"/>
                <w:szCs w:val="24"/>
                <w:lang w:val="sq-AL"/>
              </w:rPr>
              <w:t xml:space="preserve"> nj</w:t>
            </w:r>
            <w:r w:rsidR="003162AD">
              <w:rPr>
                <w:rFonts w:ascii="Times New Roman" w:hAnsi="Times New Roman"/>
                <w:sz w:val="24"/>
                <w:szCs w:val="24"/>
                <w:lang w:val="sq-AL"/>
              </w:rPr>
              <w:t>ë</w:t>
            </w:r>
            <w:r>
              <w:rPr>
                <w:rFonts w:ascii="Times New Roman" w:hAnsi="Times New Roman"/>
                <w:sz w:val="24"/>
                <w:szCs w:val="24"/>
                <w:lang w:val="sq-AL"/>
              </w:rPr>
              <w:t xml:space="preserve"> infrastrukture t</w:t>
            </w:r>
            <w:r w:rsidR="003162AD">
              <w:rPr>
                <w:rFonts w:ascii="Times New Roman" w:hAnsi="Times New Roman"/>
                <w:sz w:val="24"/>
                <w:szCs w:val="24"/>
                <w:lang w:val="sq-AL"/>
              </w:rPr>
              <w:t>ë</w:t>
            </w:r>
            <w:r>
              <w:rPr>
                <w:rFonts w:ascii="Times New Roman" w:hAnsi="Times New Roman"/>
                <w:sz w:val="24"/>
                <w:szCs w:val="24"/>
                <w:lang w:val="sq-AL"/>
              </w:rPr>
              <w:t xml:space="preserve"> re, ngritjen e strukturave dhe rekrutimin e nj</w:t>
            </w:r>
            <w:r w:rsidR="003162AD">
              <w:rPr>
                <w:rFonts w:ascii="Times New Roman" w:hAnsi="Times New Roman"/>
                <w:sz w:val="24"/>
                <w:szCs w:val="24"/>
                <w:lang w:val="sq-AL"/>
              </w:rPr>
              <w:t>ë</w:t>
            </w:r>
            <w:r>
              <w:rPr>
                <w:rFonts w:ascii="Times New Roman" w:hAnsi="Times New Roman"/>
                <w:sz w:val="24"/>
                <w:szCs w:val="24"/>
                <w:lang w:val="sq-AL"/>
              </w:rPr>
              <w:t xml:space="preserve"> personeli t</w:t>
            </w:r>
            <w:r w:rsidR="003162AD">
              <w:rPr>
                <w:rFonts w:ascii="Times New Roman" w:hAnsi="Times New Roman"/>
                <w:sz w:val="24"/>
                <w:szCs w:val="24"/>
                <w:lang w:val="sq-AL"/>
              </w:rPr>
              <w:t>ë</w:t>
            </w:r>
            <w:r>
              <w:rPr>
                <w:rFonts w:ascii="Times New Roman" w:hAnsi="Times New Roman"/>
                <w:sz w:val="24"/>
                <w:szCs w:val="24"/>
                <w:lang w:val="sq-AL"/>
              </w:rPr>
              <w:t xml:space="preserve"> ri</w:t>
            </w:r>
            <w:r>
              <w:t xml:space="preserve">, pasi </w:t>
            </w:r>
            <w:r w:rsidRPr="4157CBF5">
              <w:rPr>
                <w:rFonts w:ascii="Times New Roman" w:hAnsi="Times New Roman"/>
                <w:sz w:val="24"/>
                <w:szCs w:val="24"/>
                <w:lang w:val="sq-AL"/>
              </w:rPr>
              <w:t>infrastruktura dhe personeli</w:t>
            </w:r>
            <w:r>
              <w:rPr>
                <w:rFonts w:ascii="Times New Roman" w:hAnsi="Times New Roman"/>
                <w:sz w:val="24"/>
                <w:szCs w:val="24"/>
                <w:lang w:val="sq-AL"/>
              </w:rPr>
              <w:t xml:space="preserve"> (sipas nje strukture t</w:t>
            </w:r>
            <w:r w:rsidR="003162AD">
              <w:rPr>
                <w:rFonts w:ascii="Times New Roman" w:hAnsi="Times New Roman"/>
                <w:sz w:val="24"/>
                <w:szCs w:val="24"/>
                <w:lang w:val="sq-AL"/>
              </w:rPr>
              <w:t>ë</w:t>
            </w:r>
            <w:r>
              <w:rPr>
                <w:rFonts w:ascii="Times New Roman" w:hAnsi="Times New Roman"/>
                <w:sz w:val="24"/>
                <w:szCs w:val="24"/>
                <w:lang w:val="sq-AL"/>
              </w:rPr>
              <w:t xml:space="preserve"> miratuar)</w:t>
            </w:r>
            <w:r w:rsidRPr="4157CBF5">
              <w:rPr>
                <w:rFonts w:ascii="Times New Roman" w:hAnsi="Times New Roman"/>
                <w:sz w:val="24"/>
                <w:szCs w:val="24"/>
                <w:lang w:val="sq-AL"/>
              </w:rPr>
              <w:t xml:space="preserve"> ekzistojnë tashm</w:t>
            </w:r>
            <w:r>
              <w:rPr>
                <w:rFonts w:ascii="Times New Roman" w:hAnsi="Times New Roman"/>
                <w:sz w:val="24"/>
                <w:szCs w:val="24"/>
                <w:lang w:val="sq-AL"/>
              </w:rPr>
              <w:t>ë</w:t>
            </w:r>
            <w:r w:rsidRPr="4157CBF5">
              <w:rPr>
                <w:rFonts w:ascii="Times New Roman" w:hAnsi="Times New Roman"/>
                <w:sz w:val="24"/>
                <w:szCs w:val="24"/>
                <w:lang w:val="sq-AL"/>
              </w:rPr>
              <w:t xml:space="preserve"> tek ATK, duke patur specializimin e duhur në menaxhimin efektiv të kredive dhe garancive. </w:t>
            </w:r>
            <w:r>
              <w:rPr>
                <w:rFonts w:ascii="Times New Roman" w:hAnsi="Times New Roman"/>
                <w:sz w:val="24"/>
                <w:szCs w:val="24"/>
                <w:lang w:val="sq-AL"/>
              </w:rPr>
              <w:t>K</w:t>
            </w:r>
            <w:r w:rsidR="003162AD">
              <w:rPr>
                <w:rFonts w:ascii="Times New Roman" w:hAnsi="Times New Roman"/>
                <w:sz w:val="24"/>
                <w:szCs w:val="24"/>
                <w:lang w:val="sq-AL"/>
              </w:rPr>
              <w:t>ë</w:t>
            </w:r>
            <w:r>
              <w:rPr>
                <w:rFonts w:ascii="Times New Roman" w:hAnsi="Times New Roman"/>
                <w:sz w:val="24"/>
                <w:szCs w:val="24"/>
                <w:lang w:val="sq-AL"/>
              </w:rPr>
              <w:t>to struktura tashm</w:t>
            </w:r>
            <w:r w:rsidR="003162AD">
              <w:rPr>
                <w:rFonts w:ascii="Times New Roman" w:hAnsi="Times New Roman"/>
                <w:sz w:val="24"/>
                <w:szCs w:val="24"/>
                <w:lang w:val="sq-AL"/>
              </w:rPr>
              <w:t>ë</w:t>
            </w:r>
            <w:r>
              <w:rPr>
                <w:rFonts w:ascii="Times New Roman" w:hAnsi="Times New Roman"/>
                <w:sz w:val="24"/>
                <w:szCs w:val="24"/>
                <w:lang w:val="sq-AL"/>
              </w:rPr>
              <w:t xml:space="preserve"> jan</w:t>
            </w:r>
            <w:r w:rsidR="003162AD">
              <w:rPr>
                <w:rFonts w:ascii="Times New Roman" w:hAnsi="Times New Roman"/>
                <w:sz w:val="24"/>
                <w:szCs w:val="24"/>
                <w:lang w:val="sq-AL"/>
              </w:rPr>
              <w:t>ë</w:t>
            </w:r>
            <w:r>
              <w:rPr>
                <w:rFonts w:ascii="Times New Roman" w:hAnsi="Times New Roman"/>
                <w:sz w:val="24"/>
                <w:szCs w:val="24"/>
                <w:lang w:val="sq-AL"/>
              </w:rPr>
              <w:t xml:space="preserve"> funksionale dhe efikase n</w:t>
            </w:r>
            <w:r w:rsidR="003162AD">
              <w:rPr>
                <w:rFonts w:ascii="Times New Roman" w:hAnsi="Times New Roman"/>
                <w:sz w:val="24"/>
                <w:szCs w:val="24"/>
                <w:lang w:val="sq-AL"/>
              </w:rPr>
              <w:t>ë</w:t>
            </w:r>
            <w:r>
              <w:rPr>
                <w:rFonts w:ascii="Times New Roman" w:hAnsi="Times New Roman"/>
                <w:sz w:val="24"/>
                <w:szCs w:val="24"/>
                <w:lang w:val="sq-AL"/>
              </w:rPr>
              <w:t xml:space="preserve"> trajtimin e kredive (kryesisht me probleme) dhe p</w:t>
            </w:r>
            <w:r w:rsidR="003162AD">
              <w:rPr>
                <w:rFonts w:ascii="Times New Roman" w:hAnsi="Times New Roman"/>
                <w:sz w:val="24"/>
                <w:szCs w:val="24"/>
                <w:lang w:val="sq-AL"/>
              </w:rPr>
              <w:t>ë</w:t>
            </w:r>
            <w:r>
              <w:rPr>
                <w:rFonts w:ascii="Times New Roman" w:hAnsi="Times New Roman"/>
                <w:sz w:val="24"/>
                <w:szCs w:val="24"/>
                <w:lang w:val="sq-AL"/>
              </w:rPr>
              <w:t>r ATK çdo vit alokohet nj</w:t>
            </w:r>
            <w:r w:rsidR="003162AD">
              <w:rPr>
                <w:rFonts w:ascii="Times New Roman" w:hAnsi="Times New Roman"/>
                <w:sz w:val="24"/>
                <w:szCs w:val="24"/>
                <w:lang w:val="sq-AL"/>
              </w:rPr>
              <w:t>ë</w:t>
            </w:r>
            <w:r>
              <w:rPr>
                <w:rFonts w:ascii="Times New Roman" w:hAnsi="Times New Roman"/>
                <w:sz w:val="24"/>
                <w:szCs w:val="24"/>
                <w:lang w:val="sq-AL"/>
              </w:rPr>
              <w:t xml:space="preserve"> fond i caktuar n</w:t>
            </w:r>
            <w:r w:rsidR="003162AD">
              <w:rPr>
                <w:rFonts w:ascii="Times New Roman" w:hAnsi="Times New Roman"/>
                <w:sz w:val="24"/>
                <w:szCs w:val="24"/>
                <w:lang w:val="sq-AL"/>
              </w:rPr>
              <w:t>ë</w:t>
            </w:r>
            <w:r>
              <w:rPr>
                <w:rFonts w:ascii="Times New Roman" w:hAnsi="Times New Roman"/>
                <w:sz w:val="24"/>
                <w:szCs w:val="24"/>
                <w:lang w:val="sq-AL"/>
              </w:rPr>
              <w:t xml:space="preserve"> Buxhetin e Shtetit, p</w:t>
            </w:r>
            <w:r w:rsidR="003162AD">
              <w:rPr>
                <w:rFonts w:ascii="Times New Roman" w:hAnsi="Times New Roman"/>
                <w:sz w:val="24"/>
                <w:szCs w:val="24"/>
                <w:lang w:val="sq-AL"/>
              </w:rPr>
              <w:t>ë</w:t>
            </w:r>
            <w:r>
              <w:rPr>
                <w:rFonts w:ascii="Times New Roman" w:hAnsi="Times New Roman"/>
                <w:sz w:val="24"/>
                <w:szCs w:val="24"/>
                <w:lang w:val="sq-AL"/>
              </w:rPr>
              <w:t>r funksionimin e k</w:t>
            </w:r>
            <w:r w:rsidR="003162AD">
              <w:rPr>
                <w:rFonts w:ascii="Times New Roman" w:hAnsi="Times New Roman"/>
                <w:sz w:val="24"/>
                <w:szCs w:val="24"/>
                <w:lang w:val="sq-AL"/>
              </w:rPr>
              <w:t>ë</w:t>
            </w:r>
            <w:r>
              <w:rPr>
                <w:rFonts w:ascii="Times New Roman" w:hAnsi="Times New Roman"/>
                <w:sz w:val="24"/>
                <w:szCs w:val="24"/>
                <w:lang w:val="sq-AL"/>
              </w:rPr>
              <w:t>tij institucioni. Si çdo vit, edhe p</w:t>
            </w:r>
            <w:r w:rsidR="003162AD">
              <w:rPr>
                <w:rFonts w:ascii="Times New Roman" w:hAnsi="Times New Roman"/>
                <w:sz w:val="24"/>
                <w:szCs w:val="24"/>
                <w:lang w:val="sq-AL"/>
              </w:rPr>
              <w:t>ë</w:t>
            </w:r>
            <w:r>
              <w:rPr>
                <w:rFonts w:ascii="Times New Roman" w:hAnsi="Times New Roman"/>
                <w:sz w:val="24"/>
                <w:szCs w:val="24"/>
                <w:lang w:val="sq-AL"/>
              </w:rPr>
              <w:t xml:space="preserve">r vitin 2023 </w:t>
            </w:r>
            <w:r w:rsidR="003162AD">
              <w:rPr>
                <w:rFonts w:ascii="Times New Roman" w:hAnsi="Times New Roman"/>
                <w:sz w:val="24"/>
                <w:szCs w:val="24"/>
                <w:lang w:val="sq-AL"/>
              </w:rPr>
              <w:t>ë</w:t>
            </w:r>
            <w:r>
              <w:rPr>
                <w:rFonts w:ascii="Times New Roman" w:hAnsi="Times New Roman"/>
                <w:sz w:val="24"/>
                <w:szCs w:val="24"/>
                <w:lang w:val="sq-AL"/>
              </w:rPr>
              <w:t>sht</w:t>
            </w:r>
            <w:r w:rsidR="003162AD">
              <w:rPr>
                <w:rFonts w:ascii="Times New Roman" w:hAnsi="Times New Roman"/>
                <w:sz w:val="24"/>
                <w:szCs w:val="24"/>
                <w:lang w:val="sq-AL"/>
              </w:rPr>
              <w:t>ë</w:t>
            </w:r>
            <w:r>
              <w:rPr>
                <w:rFonts w:ascii="Times New Roman" w:hAnsi="Times New Roman"/>
                <w:sz w:val="24"/>
                <w:szCs w:val="24"/>
                <w:lang w:val="sq-AL"/>
              </w:rPr>
              <w:t xml:space="preserve"> parashikuar dhe alokuar fondi buxhetor p</w:t>
            </w:r>
            <w:r w:rsidR="003162AD">
              <w:rPr>
                <w:rFonts w:ascii="Times New Roman" w:hAnsi="Times New Roman"/>
                <w:sz w:val="24"/>
                <w:szCs w:val="24"/>
                <w:lang w:val="sq-AL"/>
              </w:rPr>
              <w:t>ë</w:t>
            </w:r>
            <w:r>
              <w:rPr>
                <w:rFonts w:ascii="Times New Roman" w:hAnsi="Times New Roman"/>
                <w:sz w:val="24"/>
                <w:szCs w:val="24"/>
                <w:lang w:val="sq-AL"/>
              </w:rPr>
              <w:t>r ATK, ku si pjes</w:t>
            </w:r>
            <w:r w:rsidR="003162AD">
              <w:rPr>
                <w:rFonts w:ascii="Times New Roman" w:hAnsi="Times New Roman"/>
                <w:sz w:val="24"/>
                <w:szCs w:val="24"/>
                <w:lang w:val="sq-AL"/>
              </w:rPr>
              <w:t>ë</w:t>
            </w:r>
            <w:r>
              <w:rPr>
                <w:rFonts w:ascii="Times New Roman" w:hAnsi="Times New Roman"/>
                <w:sz w:val="24"/>
                <w:szCs w:val="24"/>
                <w:lang w:val="sq-AL"/>
              </w:rPr>
              <w:t xml:space="preserve"> e shpenzimeve p</w:t>
            </w:r>
            <w:r w:rsidR="003162AD">
              <w:rPr>
                <w:rFonts w:ascii="Times New Roman" w:hAnsi="Times New Roman"/>
                <w:sz w:val="24"/>
                <w:szCs w:val="24"/>
                <w:lang w:val="sq-AL"/>
              </w:rPr>
              <w:t>ë</w:t>
            </w:r>
            <w:r>
              <w:rPr>
                <w:rFonts w:ascii="Times New Roman" w:hAnsi="Times New Roman"/>
                <w:sz w:val="24"/>
                <w:szCs w:val="24"/>
                <w:lang w:val="sq-AL"/>
              </w:rPr>
              <w:t>rfshihen edhe pagat e punonj</w:t>
            </w:r>
            <w:r w:rsidR="003162AD">
              <w:rPr>
                <w:rFonts w:ascii="Times New Roman" w:hAnsi="Times New Roman"/>
                <w:sz w:val="24"/>
                <w:szCs w:val="24"/>
                <w:lang w:val="sq-AL"/>
              </w:rPr>
              <w:t>ë</w:t>
            </w:r>
            <w:r>
              <w:rPr>
                <w:rFonts w:ascii="Times New Roman" w:hAnsi="Times New Roman"/>
                <w:sz w:val="24"/>
                <w:szCs w:val="24"/>
                <w:lang w:val="sq-AL"/>
              </w:rPr>
              <w:t>sve, si dhe rekrutimi i punonj</w:t>
            </w:r>
            <w:r w:rsidR="003162AD">
              <w:rPr>
                <w:rFonts w:ascii="Times New Roman" w:hAnsi="Times New Roman"/>
                <w:sz w:val="24"/>
                <w:szCs w:val="24"/>
                <w:lang w:val="sq-AL"/>
              </w:rPr>
              <w:t>ë</w:t>
            </w:r>
            <w:r>
              <w:rPr>
                <w:rFonts w:ascii="Times New Roman" w:hAnsi="Times New Roman"/>
                <w:sz w:val="24"/>
                <w:szCs w:val="24"/>
                <w:lang w:val="sq-AL"/>
              </w:rPr>
              <w:t>sve t</w:t>
            </w:r>
            <w:r w:rsidR="003162AD">
              <w:rPr>
                <w:rFonts w:ascii="Times New Roman" w:hAnsi="Times New Roman"/>
                <w:sz w:val="24"/>
                <w:szCs w:val="24"/>
                <w:lang w:val="sq-AL"/>
              </w:rPr>
              <w:t>ë</w:t>
            </w:r>
            <w:r>
              <w:rPr>
                <w:rFonts w:ascii="Times New Roman" w:hAnsi="Times New Roman"/>
                <w:sz w:val="24"/>
                <w:szCs w:val="24"/>
                <w:lang w:val="sq-AL"/>
              </w:rPr>
              <w:t xml:space="preserve"> rinj pran</w:t>
            </w:r>
            <w:r w:rsidR="003162AD">
              <w:rPr>
                <w:rFonts w:ascii="Times New Roman" w:hAnsi="Times New Roman"/>
                <w:sz w:val="24"/>
                <w:szCs w:val="24"/>
                <w:lang w:val="sq-AL"/>
              </w:rPr>
              <w:t>ë</w:t>
            </w:r>
            <w:r>
              <w:rPr>
                <w:rFonts w:ascii="Times New Roman" w:hAnsi="Times New Roman"/>
                <w:sz w:val="24"/>
                <w:szCs w:val="24"/>
                <w:lang w:val="sq-AL"/>
              </w:rPr>
              <w:t xml:space="preserve"> k</w:t>
            </w:r>
            <w:r w:rsidR="003162AD">
              <w:rPr>
                <w:rFonts w:ascii="Times New Roman" w:hAnsi="Times New Roman"/>
                <w:sz w:val="24"/>
                <w:szCs w:val="24"/>
                <w:lang w:val="sq-AL"/>
              </w:rPr>
              <w:t>ë</w:t>
            </w:r>
            <w:r>
              <w:rPr>
                <w:rFonts w:ascii="Times New Roman" w:hAnsi="Times New Roman"/>
                <w:sz w:val="24"/>
                <w:szCs w:val="24"/>
                <w:lang w:val="sq-AL"/>
              </w:rPr>
              <w:t>tij institucioni, bazuar n</w:t>
            </w:r>
            <w:r w:rsidR="003162AD">
              <w:rPr>
                <w:rFonts w:ascii="Times New Roman" w:hAnsi="Times New Roman"/>
                <w:sz w:val="24"/>
                <w:szCs w:val="24"/>
                <w:lang w:val="sq-AL"/>
              </w:rPr>
              <w:t>ë</w:t>
            </w:r>
            <w:r>
              <w:rPr>
                <w:rFonts w:ascii="Times New Roman" w:hAnsi="Times New Roman"/>
                <w:sz w:val="24"/>
                <w:szCs w:val="24"/>
                <w:lang w:val="sq-AL"/>
              </w:rPr>
              <w:t xml:space="preserve"> struktur</w:t>
            </w:r>
            <w:r w:rsidR="003162AD">
              <w:rPr>
                <w:rFonts w:ascii="Times New Roman" w:hAnsi="Times New Roman"/>
                <w:sz w:val="24"/>
                <w:szCs w:val="24"/>
                <w:lang w:val="sq-AL"/>
              </w:rPr>
              <w:t>ë</w:t>
            </w:r>
            <w:r>
              <w:rPr>
                <w:rFonts w:ascii="Times New Roman" w:hAnsi="Times New Roman"/>
                <w:sz w:val="24"/>
                <w:szCs w:val="24"/>
                <w:lang w:val="sq-AL"/>
              </w:rPr>
              <w:t>n e miratuar dhe sipas nevoja q</w:t>
            </w:r>
            <w:r w:rsidR="003162AD">
              <w:rPr>
                <w:rFonts w:ascii="Times New Roman" w:hAnsi="Times New Roman"/>
                <w:sz w:val="24"/>
                <w:szCs w:val="24"/>
                <w:lang w:val="sq-AL"/>
              </w:rPr>
              <w:t>ë</w:t>
            </w:r>
            <w:r>
              <w:rPr>
                <w:rFonts w:ascii="Times New Roman" w:hAnsi="Times New Roman"/>
                <w:sz w:val="24"/>
                <w:szCs w:val="24"/>
                <w:lang w:val="sq-AL"/>
              </w:rPr>
              <w:t xml:space="preserve"> do t</w:t>
            </w:r>
            <w:r w:rsidR="003162AD">
              <w:rPr>
                <w:rFonts w:ascii="Times New Roman" w:hAnsi="Times New Roman"/>
                <w:sz w:val="24"/>
                <w:szCs w:val="24"/>
                <w:lang w:val="sq-AL"/>
              </w:rPr>
              <w:t>ë</w:t>
            </w:r>
            <w:r>
              <w:rPr>
                <w:rFonts w:ascii="Times New Roman" w:hAnsi="Times New Roman"/>
                <w:sz w:val="24"/>
                <w:szCs w:val="24"/>
                <w:lang w:val="sq-AL"/>
              </w:rPr>
              <w:t xml:space="preserve"> paraqiten gjat</w:t>
            </w:r>
            <w:r w:rsidR="003162AD">
              <w:rPr>
                <w:rFonts w:ascii="Times New Roman" w:hAnsi="Times New Roman"/>
                <w:sz w:val="24"/>
                <w:szCs w:val="24"/>
                <w:lang w:val="sq-AL"/>
              </w:rPr>
              <w:t>ë</w:t>
            </w:r>
            <w:r>
              <w:rPr>
                <w:rFonts w:ascii="Times New Roman" w:hAnsi="Times New Roman"/>
                <w:sz w:val="24"/>
                <w:szCs w:val="24"/>
                <w:lang w:val="sq-AL"/>
              </w:rPr>
              <w:t xml:space="preserve"> vitit kalendarik. P</w:t>
            </w:r>
            <w:r w:rsidR="003162AD">
              <w:rPr>
                <w:rFonts w:ascii="Times New Roman" w:hAnsi="Times New Roman"/>
                <w:sz w:val="24"/>
                <w:szCs w:val="24"/>
                <w:lang w:val="sq-AL"/>
              </w:rPr>
              <w:t>ë</w:t>
            </w:r>
            <w:r>
              <w:rPr>
                <w:rFonts w:ascii="Times New Roman" w:hAnsi="Times New Roman"/>
                <w:sz w:val="24"/>
                <w:szCs w:val="24"/>
                <w:lang w:val="sq-AL"/>
              </w:rPr>
              <w:t>r k</w:t>
            </w:r>
            <w:r w:rsidR="003162AD">
              <w:rPr>
                <w:rFonts w:ascii="Times New Roman" w:hAnsi="Times New Roman"/>
                <w:sz w:val="24"/>
                <w:szCs w:val="24"/>
                <w:lang w:val="sq-AL"/>
              </w:rPr>
              <w:t>ë</w:t>
            </w:r>
            <w:r>
              <w:rPr>
                <w:rFonts w:ascii="Times New Roman" w:hAnsi="Times New Roman"/>
                <w:sz w:val="24"/>
                <w:szCs w:val="24"/>
                <w:lang w:val="sq-AL"/>
              </w:rPr>
              <w:t>t</w:t>
            </w:r>
            <w:r w:rsidR="003162AD">
              <w:rPr>
                <w:rFonts w:ascii="Times New Roman" w:hAnsi="Times New Roman"/>
                <w:sz w:val="24"/>
                <w:szCs w:val="24"/>
                <w:lang w:val="sq-AL"/>
              </w:rPr>
              <w:t>ë</w:t>
            </w:r>
            <w:r>
              <w:rPr>
                <w:rFonts w:ascii="Times New Roman" w:hAnsi="Times New Roman"/>
                <w:sz w:val="24"/>
                <w:szCs w:val="24"/>
                <w:lang w:val="sq-AL"/>
              </w:rPr>
              <w:t xml:space="preserve"> arsye, ne k</w:t>
            </w:r>
            <w:r w:rsidR="003162AD">
              <w:rPr>
                <w:rFonts w:ascii="Times New Roman" w:hAnsi="Times New Roman"/>
                <w:sz w:val="24"/>
                <w:szCs w:val="24"/>
                <w:lang w:val="sq-AL"/>
              </w:rPr>
              <w:t>ë</w:t>
            </w:r>
            <w:r>
              <w:rPr>
                <w:rFonts w:ascii="Times New Roman" w:hAnsi="Times New Roman"/>
                <w:sz w:val="24"/>
                <w:szCs w:val="24"/>
                <w:lang w:val="sq-AL"/>
              </w:rPr>
              <w:t>t</w:t>
            </w:r>
            <w:r w:rsidR="003162AD">
              <w:rPr>
                <w:rFonts w:ascii="Times New Roman" w:hAnsi="Times New Roman"/>
                <w:sz w:val="24"/>
                <w:szCs w:val="24"/>
                <w:lang w:val="sq-AL"/>
              </w:rPr>
              <w:t>ë</w:t>
            </w:r>
            <w:r>
              <w:rPr>
                <w:rFonts w:ascii="Times New Roman" w:hAnsi="Times New Roman"/>
                <w:sz w:val="24"/>
                <w:szCs w:val="24"/>
                <w:lang w:val="sq-AL"/>
              </w:rPr>
              <w:t xml:space="preserve"> drejtim nuk parashikohet t</w:t>
            </w:r>
            <w:r w:rsidR="003162AD">
              <w:rPr>
                <w:rFonts w:ascii="Times New Roman" w:hAnsi="Times New Roman"/>
                <w:sz w:val="24"/>
                <w:szCs w:val="24"/>
                <w:lang w:val="sq-AL"/>
              </w:rPr>
              <w:t>ë</w:t>
            </w:r>
            <w:r>
              <w:rPr>
                <w:rFonts w:ascii="Times New Roman" w:hAnsi="Times New Roman"/>
                <w:sz w:val="24"/>
                <w:szCs w:val="24"/>
                <w:lang w:val="sq-AL"/>
              </w:rPr>
              <w:t xml:space="preserve"> ket</w:t>
            </w:r>
            <w:r w:rsidR="003162AD">
              <w:rPr>
                <w:rFonts w:ascii="Times New Roman" w:hAnsi="Times New Roman"/>
                <w:sz w:val="24"/>
                <w:szCs w:val="24"/>
                <w:lang w:val="sq-AL"/>
              </w:rPr>
              <w:t>ë</w:t>
            </w:r>
            <w:r>
              <w:rPr>
                <w:rFonts w:ascii="Times New Roman" w:hAnsi="Times New Roman"/>
                <w:sz w:val="24"/>
                <w:szCs w:val="24"/>
                <w:lang w:val="sq-AL"/>
              </w:rPr>
              <w:t xml:space="preserve"> kosto shtes</w:t>
            </w:r>
            <w:r w:rsidR="003162AD">
              <w:rPr>
                <w:rFonts w:ascii="Times New Roman" w:hAnsi="Times New Roman"/>
                <w:sz w:val="24"/>
                <w:szCs w:val="24"/>
                <w:lang w:val="sq-AL"/>
              </w:rPr>
              <w:t>ë</w:t>
            </w:r>
            <w:r>
              <w:rPr>
                <w:rFonts w:ascii="Times New Roman" w:hAnsi="Times New Roman"/>
                <w:sz w:val="24"/>
                <w:szCs w:val="24"/>
                <w:lang w:val="sq-AL"/>
              </w:rPr>
              <w:t xml:space="preserve"> n</w:t>
            </w:r>
            <w:r w:rsidR="003162AD">
              <w:rPr>
                <w:rFonts w:ascii="Times New Roman" w:hAnsi="Times New Roman"/>
                <w:sz w:val="24"/>
                <w:szCs w:val="24"/>
                <w:lang w:val="sq-AL"/>
              </w:rPr>
              <w:t>ë</w:t>
            </w:r>
            <w:r>
              <w:rPr>
                <w:rFonts w:ascii="Times New Roman" w:hAnsi="Times New Roman"/>
                <w:sz w:val="24"/>
                <w:szCs w:val="24"/>
                <w:lang w:val="sq-AL"/>
              </w:rPr>
              <w:t xml:space="preserve"> Buxhetin e Shtetit.</w:t>
            </w:r>
          </w:p>
          <w:p w14:paraId="25C2B0E4" w14:textId="77777777" w:rsidR="0067260C" w:rsidRDefault="0067260C" w:rsidP="0067260C">
            <w:pPr>
              <w:pStyle w:val="BodyText"/>
              <w:spacing w:line="276" w:lineRule="auto"/>
              <w:jc w:val="both"/>
              <w:rPr>
                <w:rFonts w:ascii="Times New Roman" w:hAnsi="Times New Roman"/>
                <w:sz w:val="24"/>
                <w:szCs w:val="24"/>
                <w:lang w:val="sq-AL"/>
              </w:rPr>
            </w:pPr>
          </w:p>
          <w:p w14:paraId="3908EE99" w14:textId="239501A3" w:rsidR="0067260C"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Analiza e kryer m</w:t>
            </w:r>
            <w:r w:rsidR="003162AD">
              <w:rPr>
                <w:rFonts w:ascii="Times New Roman" w:hAnsi="Times New Roman"/>
                <w:sz w:val="24"/>
                <w:szCs w:val="24"/>
                <w:lang w:val="sq-AL"/>
              </w:rPr>
              <w:t>ë</w:t>
            </w:r>
            <w:r>
              <w:rPr>
                <w:rFonts w:ascii="Times New Roman" w:hAnsi="Times New Roman"/>
                <w:sz w:val="24"/>
                <w:szCs w:val="24"/>
                <w:lang w:val="sq-AL"/>
              </w:rPr>
              <w:t xml:space="preserve"> posht</w:t>
            </w:r>
            <w:r w:rsidR="003162AD">
              <w:rPr>
                <w:rFonts w:ascii="Times New Roman" w:hAnsi="Times New Roman"/>
                <w:sz w:val="24"/>
                <w:szCs w:val="24"/>
                <w:lang w:val="sq-AL"/>
              </w:rPr>
              <w:t>ë</w:t>
            </w:r>
            <w:r>
              <w:rPr>
                <w:rFonts w:ascii="Times New Roman" w:hAnsi="Times New Roman"/>
                <w:sz w:val="24"/>
                <w:szCs w:val="24"/>
                <w:lang w:val="sq-AL"/>
              </w:rPr>
              <w:t xml:space="preserve"> bazohet mbi p</w:t>
            </w:r>
            <w:r w:rsidR="003162AD">
              <w:rPr>
                <w:rFonts w:ascii="Times New Roman" w:hAnsi="Times New Roman"/>
                <w:sz w:val="24"/>
                <w:szCs w:val="24"/>
                <w:lang w:val="sq-AL"/>
              </w:rPr>
              <w:t>ë</w:t>
            </w:r>
            <w:r>
              <w:rPr>
                <w:rFonts w:ascii="Times New Roman" w:hAnsi="Times New Roman"/>
                <w:sz w:val="24"/>
                <w:szCs w:val="24"/>
                <w:lang w:val="sq-AL"/>
              </w:rPr>
              <w:t>rllogaritje hipotetike n</w:t>
            </w:r>
            <w:r w:rsidR="003162AD">
              <w:rPr>
                <w:rFonts w:ascii="Times New Roman" w:hAnsi="Times New Roman"/>
                <w:sz w:val="24"/>
                <w:szCs w:val="24"/>
                <w:lang w:val="sq-AL"/>
              </w:rPr>
              <w:t>ë</w:t>
            </w:r>
            <w:r>
              <w:rPr>
                <w:rFonts w:ascii="Times New Roman" w:hAnsi="Times New Roman"/>
                <w:sz w:val="24"/>
                <w:szCs w:val="24"/>
                <w:lang w:val="sq-AL"/>
              </w:rPr>
              <w:t xml:space="preserve"> form</w:t>
            </w:r>
            <w:r w:rsidR="003162AD">
              <w:rPr>
                <w:rFonts w:ascii="Times New Roman" w:hAnsi="Times New Roman"/>
                <w:sz w:val="24"/>
                <w:szCs w:val="24"/>
                <w:lang w:val="sq-AL"/>
              </w:rPr>
              <w:t>ë</w:t>
            </w:r>
            <w:r>
              <w:rPr>
                <w:rFonts w:ascii="Times New Roman" w:hAnsi="Times New Roman"/>
                <w:sz w:val="24"/>
                <w:szCs w:val="24"/>
                <w:lang w:val="sq-AL"/>
              </w:rPr>
              <w:t>n e p</w:t>
            </w:r>
            <w:r w:rsidR="003162AD">
              <w:rPr>
                <w:rFonts w:ascii="Times New Roman" w:hAnsi="Times New Roman"/>
                <w:sz w:val="24"/>
                <w:szCs w:val="24"/>
                <w:lang w:val="sq-AL"/>
              </w:rPr>
              <w:t>ë</w:t>
            </w:r>
            <w:r>
              <w:rPr>
                <w:rFonts w:ascii="Times New Roman" w:hAnsi="Times New Roman"/>
                <w:sz w:val="24"/>
                <w:szCs w:val="24"/>
                <w:lang w:val="sq-AL"/>
              </w:rPr>
              <w:t>rfitimeve direkte si forme e kthimit t</w:t>
            </w:r>
            <w:r w:rsidR="003162AD">
              <w:rPr>
                <w:rFonts w:ascii="Times New Roman" w:hAnsi="Times New Roman"/>
                <w:sz w:val="24"/>
                <w:szCs w:val="24"/>
                <w:lang w:val="sq-AL"/>
              </w:rPr>
              <w:t>ë</w:t>
            </w:r>
            <w:r>
              <w:rPr>
                <w:rFonts w:ascii="Times New Roman" w:hAnsi="Times New Roman"/>
                <w:sz w:val="24"/>
                <w:szCs w:val="24"/>
                <w:lang w:val="sq-AL"/>
              </w:rPr>
              <w:t xml:space="preserve"> detyrimeve t</w:t>
            </w:r>
            <w:r w:rsidR="003162AD">
              <w:rPr>
                <w:rFonts w:ascii="Times New Roman" w:hAnsi="Times New Roman"/>
                <w:sz w:val="24"/>
                <w:szCs w:val="24"/>
                <w:lang w:val="sq-AL"/>
              </w:rPr>
              <w:t>ë</w:t>
            </w:r>
            <w:r>
              <w:rPr>
                <w:rFonts w:ascii="Times New Roman" w:hAnsi="Times New Roman"/>
                <w:sz w:val="24"/>
                <w:szCs w:val="24"/>
                <w:lang w:val="sq-AL"/>
              </w:rPr>
              <w:t xml:space="preserve"> prapambetura n</w:t>
            </w:r>
            <w:r w:rsidR="003162AD">
              <w:rPr>
                <w:rFonts w:ascii="Times New Roman" w:hAnsi="Times New Roman"/>
                <w:sz w:val="24"/>
                <w:szCs w:val="24"/>
                <w:lang w:val="sq-AL"/>
              </w:rPr>
              <w:t>ë</w:t>
            </w:r>
            <w:r>
              <w:rPr>
                <w:rFonts w:ascii="Times New Roman" w:hAnsi="Times New Roman"/>
                <w:sz w:val="24"/>
                <w:szCs w:val="24"/>
                <w:lang w:val="sq-AL"/>
              </w:rPr>
              <w:t xml:space="preserve"> kuad</w:t>
            </w:r>
            <w:r w:rsidR="003162AD">
              <w:rPr>
                <w:rFonts w:ascii="Times New Roman" w:hAnsi="Times New Roman"/>
                <w:sz w:val="24"/>
                <w:szCs w:val="24"/>
                <w:lang w:val="sq-AL"/>
              </w:rPr>
              <w:t>ë</w:t>
            </w:r>
            <w:r>
              <w:rPr>
                <w:rFonts w:ascii="Times New Roman" w:hAnsi="Times New Roman"/>
                <w:sz w:val="24"/>
                <w:szCs w:val="24"/>
                <w:lang w:val="sq-AL"/>
              </w:rPr>
              <w:t>r t</w:t>
            </w:r>
            <w:r w:rsidR="003162AD">
              <w:rPr>
                <w:rFonts w:ascii="Times New Roman" w:hAnsi="Times New Roman"/>
                <w:sz w:val="24"/>
                <w:szCs w:val="24"/>
                <w:lang w:val="sq-AL"/>
              </w:rPr>
              <w:t>ë</w:t>
            </w:r>
            <w:r>
              <w:rPr>
                <w:rFonts w:ascii="Times New Roman" w:hAnsi="Times New Roman"/>
                <w:sz w:val="24"/>
                <w:szCs w:val="24"/>
                <w:lang w:val="sq-AL"/>
              </w:rPr>
              <w:t xml:space="preserve"> garancive sovrane. Logjika e ndjekur p</w:t>
            </w:r>
            <w:r w:rsidR="003162AD">
              <w:rPr>
                <w:rFonts w:ascii="Times New Roman" w:hAnsi="Times New Roman"/>
                <w:sz w:val="24"/>
                <w:szCs w:val="24"/>
                <w:lang w:val="sq-AL"/>
              </w:rPr>
              <w:t>ë</w:t>
            </w:r>
            <w:r>
              <w:rPr>
                <w:rFonts w:ascii="Times New Roman" w:hAnsi="Times New Roman"/>
                <w:sz w:val="24"/>
                <w:szCs w:val="24"/>
                <w:lang w:val="sq-AL"/>
              </w:rPr>
              <w:t>r analizimin e kostove p</w:t>
            </w:r>
            <w:r w:rsidR="003162AD">
              <w:rPr>
                <w:rFonts w:ascii="Times New Roman" w:hAnsi="Times New Roman"/>
                <w:sz w:val="24"/>
                <w:szCs w:val="24"/>
                <w:lang w:val="sq-AL"/>
              </w:rPr>
              <w:t>ë</w:t>
            </w:r>
            <w:r>
              <w:rPr>
                <w:rFonts w:ascii="Times New Roman" w:hAnsi="Times New Roman"/>
                <w:sz w:val="24"/>
                <w:szCs w:val="24"/>
                <w:lang w:val="sq-AL"/>
              </w:rPr>
              <w:t>r Buxhetin e Shtetit dhe p</w:t>
            </w:r>
            <w:r w:rsidR="003162AD">
              <w:rPr>
                <w:rFonts w:ascii="Times New Roman" w:hAnsi="Times New Roman"/>
                <w:sz w:val="24"/>
                <w:szCs w:val="24"/>
                <w:lang w:val="sq-AL"/>
              </w:rPr>
              <w:t>ë</w:t>
            </w:r>
            <w:r>
              <w:rPr>
                <w:rFonts w:ascii="Times New Roman" w:hAnsi="Times New Roman"/>
                <w:sz w:val="24"/>
                <w:szCs w:val="24"/>
                <w:lang w:val="sq-AL"/>
              </w:rPr>
              <w:t>rfitimeve paraqitet si m</w:t>
            </w:r>
            <w:r w:rsidR="003162AD">
              <w:rPr>
                <w:rFonts w:ascii="Times New Roman" w:hAnsi="Times New Roman"/>
                <w:sz w:val="24"/>
                <w:szCs w:val="24"/>
                <w:lang w:val="sq-AL"/>
              </w:rPr>
              <w:t>ë</w:t>
            </w:r>
            <w:r>
              <w:rPr>
                <w:rFonts w:ascii="Times New Roman" w:hAnsi="Times New Roman"/>
                <w:sz w:val="24"/>
                <w:szCs w:val="24"/>
                <w:lang w:val="sq-AL"/>
              </w:rPr>
              <w:t xml:space="preserve"> posht</w:t>
            </w:r>
            <w:r w:rsidR="003162AD">
              <w:rPr>
                <w:rFonts w:ascii="Times New Roman" w:hAnsi="Times New Roman"/>
                <w:sz w:val="24"/>
                <w:szCs w:val="24"/>
                <w:lang w:val="sq-AL"/>
              </w:rPr>
              <w:t>ë</w:t>
            </w:r>
            <w:r>
              <w:rPr>
                <w:rFonts w:ascii="Times New Roman" w:hAnsi="Times New Roman"/>
                <w:sz w:val="24"/>
                <w:szCs w:val="24"/>
                <w:lang w:val="sq-AL"/>
              </w:rPr>
              <w:t xml:space="preserve"> vijon:.</w:t>
            </w:r>
          </w:p>
          <w:p w14:paraId="26B64045" w14:textId="77777777" w:rsidR="0067260C" w:rsidRDefault="0067260C" w:rsidP="0067260C">
            <w:pPr>
              <w:pStyle w:val="BodyText"/>
              <w:spacing w:line="276" w:lineRule="auto"/>
              <w:jc w:val="both"/>
              <w:rPr>
                <w:rFonts w:ascii="Times New Roman" w:hAnsi="Times New Roman"/>
                <w:sz w:val="24"/>
                <w:szCs w:val="24"/>
                <w:lang w:val="sq-AL"/>
              </w:rPr>
            </w:pPr>
          </w:p>
          <w:p w14:paraId="38CC64FE" w14:textId="300F8812" w:rsidR="0067260C" w:rsidRPr="00074443" w:rsidRDefault="0067260C" w:rsidP="0067260C">
            <w:pPr>
              <w:tabs>
                <w:tab w:val="left" w:pos="6720"/>
              </w:tabs>
              <w:jc w:val="both"/>
              <w:rPr>
                <w:rFonts w:ascii="Times New Roman" w:eastAsia="Calibri" w:hAnsi="Times New Roman"/>
                <w:color w:val="000000" w:themeColor="text1"/>
                <w:sz w:val="24"/>
                <w:szCs w:val="24"/>
              </w:rPr>
            </w:pPr>
            <w:proofErr w:type="gramStart"/>
            <w:r w:rsidRPr="00074443">
              <w:rPr>
                <w:rFonts w:ascii="Times New Roman" w:eastAsia="Calibri" w:hAnsi="Times New Roman"/>
                <w:b/>
                <w:bCs/>
                <w:color w:val="000000" w:themeColor="text1"/>
                <w:sz w:val="24"/>
                <w:szCs w:val="24"/>
              </w:rPr>
              <w:t>1)</w:t>
            </w:r>
            <w:r w:rsidRPr="00074443">
              <w:rPr>
                <w:rFonts w:ascii="Times New Roman" w:eastAsia="Calibri" w:hAnsi="Times New Roman"/>
                <w:color w:val="000000" w:themeColor="text1"/>
                <w:sz w:val="24"/>
                <w:szCs w:val="24"/>
              </w:rPr>
              <w:t>Të</w:t>
            </w:r>
            <w:proofErr w:type="gramEnd"/>
            <w:r w:rsidRPr="00074443">
              <w:rPr>
                <w:rFonts w:ascii="Times New Roman" w:eastAsia="Calibri" w:hAnsi="Times New Roman"/>
                <w:color w:val="000000" w:themeColor="text1"/>
                <w:sz w:val="24"/>
                <w:szCs w:val="24"/>
              </w:rPr>
              <w:t xml:space="preserve"> ardhurat janë parashikuar mesatarisht sipasportofolit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ri që do të alokohet në vazhdim. </w:t>
            </w:r>
          </w:p>
          <w:p w14:paraId="144B3A85" w14:textId="688AD146"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Referuar të dhënave të marra nga Drejtoria e Borxhit pranë MFE rezulton se gjendja e stokut për garancitë Sovrane, deri më 31.01.2023, n</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totalrezulton si më poshtë: </w:t>
            </w:r>
          </w:p>
          <w:p w14:paraId="2510B66B"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GS1 (Garancia Sovrane 1 =  23,172,298.82 Lekë) </w:t>
            </w:r>
          </w:p>
          <w:p w14:paraId="0D32DFE5"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GS2 (Garancia Sovrane 2 =  6,198,898,752 Lekë - Stoku sipas MFE - së 60% i garantuar) </w:t>
            </w:r>
          </w:p>
          <w:p w14:paraId="73C4106E"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GS3 (Garancia Sovrane 3 =  374,065,885.89 Lekë – Stoku sipas MFE-së 60% i garantuar) </w:t>
            </w:r>
          </w:p>
          <w:p w14:paraId="43B74DA9"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Totali i stokut të 3 Garancive = 6,596,136,935 Lekë.</w:t>
            </w:r>
          </w:p>
          <w:p w14:paraId="6A2B366A"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p>
          <w:p w14:paraId="16D3818A"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Pra, referuar të dhënave statistikore, duke u bazuar në faqen zyrtare të Bankës së Shqipërisë, rezulton se huatë me probleme bruto, ndaj totalit të huave në %, ose ndryshe e quajtur përqindja e kredive me probleme rezulton se mesatarja e 6-të viteve të fundit është rreth 8%. Pra, ne, nga totali i stokut synojmë që 8% të shumës së garancive t’i kemi në trajtim. </w:t>
            </w:r>
          </w:p>
          <w:p w14:paraId="4B1D365E"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3ABB8692" w14:textId="6E1C23BC"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Portofoli i marrë në trajtim nga Agjencinë e Menaxhimit të Garancive dhe Kredive të Pakthyera = 8%*6,596,136,935 (totali i stokut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3 garancive</w:t>
            </w:r>
            <w:proofErr w:type="gramStart"/>
            <w:r w:rsidRPr="00074443">
              <w:rPr>
                <w:rFonts w:ascii="Times New Roman" w:eastAsia="Calibri" w:hAnsi="Times New Roman"/>
                <w:color w:val="000000" w:themeColor="text1"/>
                <w:sz w:val="24"/>
                <w:szCs w:val="24"/>
              </w:rPr>
              <w:t>)=</w:t>
            </w:r>
            <w:proofErr w:type="gramEnd"/>
            <w:r w:rsidRPr="00074443">
              <w:rPr>
                <w:rFonts w:ascii="Times New Roman" w:eastAsia="Calibri" w:hAnsi="Times New Roman"/>
                <w:color w:val="000000" w:themeColor="text1"/>
                <w:sz w:val="24"/>
                <w:szCs w:val="24"/>
              </w:rPr>
              <w:t xml:space="preserve"> 527,690,954.8 lekë (hua me problem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marra n</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trajtim nga struktura p</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rgjegj</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se p</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r trajtimin e garancive sovrane). </w:t>
            </w:r>
          </w:p>
          <w:p w14:paraId="47266163"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p>
          <w:p w14:paraId="2672DE58" w14:textId="77777777" w:rsidR="0067260C" w:rsidRPr="00074443" w:rsidRDefault="0067260C" w:rsidP="0067260C">
            <w:pPr>
              <w:tabs>
                <w:tab w:val="left" w:pos="6720"/>
              </w:tabs>
              <w:jc w:val="both"/>
              <w:rPr>
                <w:rFonts w:ascii="Times New Roman" w:eastAsia="Calibri" w:hAnsi="Times New Roman"/>
                <w:b/>
                <w:color w:val="000000" w:themeColor="text1"/>
                <w:sz w:val="24"/>
                <w:szCs w:val="24"/>
              </w:rPr>
            </w:pPr>
          </w:p>
          <w:p w14:paraId="1FC8A578"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b/>
                <w:color w:val="000000" w:themeColor="text1"/>
                <w:sz w:val="24"/>
                <w:szCs w:val="24"/>
              </w:rPr>
              <w:t>2)</w:t>
            </w:r>
            <w:r w:rsidRPr="00074443">
              <w:rPr>
                <w:rFonts w:ascii="Times New Roman" w:eastAsia="Calibri" w:hAnsi="Times New Roman"/>
                <w:color w:val="000000" w:themeColor="text1"/>
                <w:sz w:val="24"/>
                <w:szCs w:val="24"/>
              </w:rPr>
              <w:t xml:space="preserve"> Çdo fundvit, ATK parashikon buxhetin dhe planin e arkëtimeve për vitin pasardhës. Referuar edhe pritshmërive të JSO-ve (Jurist dhe Specialist Operacional) që meren enkas me trajtimin e borxhit dhe që e njohin imtësisht situatën e debitorëve dhe zonave në portofolet respektive që kanë në trajtim, kanë referuar në total shumën për realizimin e targetit vjetor në 90,000,000 lekë. Pra, ATK rikuperon 1,53% të portofolit në total gjatë një viti pune. Në të njëjtat kushte kemi vepruar edhe për të përllogaritur rikuperimin e portofolit të garancive. Nëse e marim të mirëqenë, që Portofoli i marrë në trajtim nga Agjencinë e Menaxhimit të Garancive dhe Kredive të Pakthyera është 527,690,954.8 lekë, është ndjekur e njëjta logjikë si në trajtimin e portofolit të mbetur të ATK-së. </w:t>
            </w:r>
          </w:p>
          <w:p w14:paraId="6F80BBB7"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lastRenderedPageBreak/>
              <w:t xml:space="preserve"> </w:t>
            </w:r>
          </w:p>
          <w:p w14:paraId="38AE547E" w14:textId="520D7B5F"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Të ardhura nga Viti i parë Garancia Sovrane = 527,690,954.8 lekë (portofoli i huave me problem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marra n</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trajtim) *0,0153 (norma e rikuperimit) = 8,073,671.6 lekë, që do të rikuperohen vetëm nga portofoli i garancive. </w:t>
            </w:r>
          </w:p>
          <w:p w14:paraId="12EC26BD"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0896E6A6" w14:textId="28D0F908"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Pra, të ardhurat në total për Agjencinë e Menaxhimit të Garancive dhe Kredive të Pakthyera do të jenë = 8,073,671.6 lek</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nga garancia sovrane në vitin e par</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w:t>
            </w:r>
          </w:p>
          <w:p w14:paraId="201B1472"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49EC1E59" w14:textId="3562071F"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Sa u përket llogaritjes së të ardhurave për vitet në vijim është ndjekur e njëjta logjikë, duke zbritur nga portofoli aktual (527,690,954.8 lek</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të ardhurat që pretendohen të mblidhen në vitin e pare (pra 8,073,671.6 lek</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shumëzuar me kthimin e portofolit me 1,53% (shpjeguar m</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lart faktori).  </w:t>
            </w:r>
          </w:p>
          <w:p w14:paraId="02551A5F"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p>
          <w:p w14:paraId="15E1606B" w14:textId="2231F37F"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Llogaritja e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ardhurave q</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planifikohen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ark</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tohen </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sht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kryer p</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r nj</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periudh</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5 vjeçare.</w:t>
            </w:r>
          </w:p>
          <w:p w14:paraId="023C9B4E"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p>
          <w:p w14:paraId="6A1EACD1" w14:textId="5AC3937B" w:rsidR="0067260C" w:rsidRPr="00074443" w:rsidRDefault="0067260C" w:rsidP="0067260C">
            <w:pPr>
              <w:shd w:val="clear" w:color="auto" w:fill="FFFFFF"/>
              <w:jc w:val="both"/>
              <w:rPr>
                <w:rFonts w:ascii="Calibri" w:eastAsia="Calibri" w:hAnsi="Calibri" w:cs="Calibri"/>
                <w:color w:val="000000" w:themeColor="text1"/>
                <w:szCs w:val="22"/>
                <w:lang w:val="en-US"/>
              </w:rPr>
            </w:pPr>
            <w:r w:rsidRPr="00074443">
              <w:rPr>
                <w:rFonts w:ascii="Times New Roman" w:eastAsia="Calibri" w:hAnsi="Times New Roman"/>
                <w:b/>
                <w:bCs/>
                <w:color w:val="000000" w:themeColor="text1"/>
                <w:sz w:val="24"/>
                <w:szCs w:val="24"/>
                <w:lang w:val="sq-AL"/>
              </w:rPr>
              <w:t>3)</w:t>
            </w:r>
            <w:r w:rsidRPr="00074443">
              <w:rPr>
                <w:rFonts w:ascii="Times New Roman" w:eastAsia="Calibri" w:hAnsi="Times New Roman"/>
                <w:color w:val="000000" w:themeColor="text1"/>
                <w:sz w:val="24"/>
                <w:szCs w:val="24"/>
                <w:lang w:val="sq-AL"/>
              </w:rPr>
              <w:t xml:space="preserve"> Për trajtimin e rreth 11,000 debitorëve dhe realizimin e targetit prej 90,000,000 lekëve (totali i portofolit q</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aktualisht </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sht</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n</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trajtim nga ATK), në ATK aktualisht Sektori Juridik dhe Operacional që angazhohet maksimalisht përbëhet nga 7 Specialistë. (Pra, 7 Juristë dhe Specialistë Operacional angazhohen maksimalisht për realizimin e targetit vjetor që është 90,000,000 lekë për trajtimin e kredive sipas Ligjit 8894, datë 14.05.2002), të cilët krahas punës në terren realizojnë edhe detyrat e tjera funaksionale. Nëse shtojmë edhe afërsisht 584 debitorë në stok aktualisht nga garancitë, duke pasur edhe një rritje të portofolit, nisur edhe nga prioriteti që do të ketë trajtimi i tyre për t’u rikuperuar, atëherë lind nevoja që të shtohen në staf edhe 1-2 specialistë. Pra, për një Sektor Juridik dhe Operacional më të plotë dhe efektiv, nevojitet edhe shtimi i dy specialistëve, të cilët të ndihmojnë në trajtimin e garancive, por edhe në kreditë që trajton aktualisht ATK. Plot</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simi i nevojave institucionale edhe me 2 specialist</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t</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tjer</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sht</w:t>
            </w:r>
            <w:r w:rsidR="003162AD" w:rsidRPr="00074443">
              <w:rPr>
                <w:rFonts w:ascii="Times New Roman" w:eastAsia="Calibri" w:hAnsi="Times New Roman"/>
                <w:color w:val="000000" w:themeColor="text1"/>
                <w:sz w:val="24"/>
                <w:szCs w:val="24"/>
                <w:lang w:val="sq-AL"/>
              </w:rPr>
              <w:t>ë</w:t>
            </w:r>
            <w:r w:rsidRPr="00074443">
              <w:rPr>
                <w:rFonts w:ascii="Times New Roman" w:eastAsia="Calibri" w:hAnsi="Times New Roman"/>
                <w:color w:val="000000" w:themeColor="text1"/>
                <w:sz w:val="24"/>
                <w:szCs w:val="24"/>
                <w:lang w:val="sq-AL"/>
              </w:rPr>
              <w:t xml:space="preserve"> </w:t>
            </w:r>
          </w:p>
          <w:p w14:paraId="35D8B195"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p>
          <w:p w14:paraId="552181EF" w14:textId="77777777" w:rsidR="0067260C" w:rsidRPr="00074443" w:rsidRDefault="0067260C" w:rsidP="0067260C">
            <w:pPr>
              <w:shd w:val="clear" w:color="auto" w:fill="FFFFFF"/>
              <w:jc w:val="both"/>
              <w:rPr>
                <w:rFonts w:ascii="Calibri" w:eastAsia="Calibri" w:hAnsi="Calibri" w:cs="Calibri"/>
                <w:color w:val="000000" w:themeColor="text1"/>
                <w:szCs w:val="22"/>
                <w:lang w:val="en-US"/>
              </w:rPr>
            </w:pPr>
            <w:r w:rsidRPr="00074443">
              <w:rPr>
                <w:rFonts w:ascii="Times New Roman" w:eastAsia="Calibri" w:hAnsi="Times New Roman"/>
                <w:b/>
                <w:color w:val="000000" w:themeColor="text1"/>
                <w:sz w:val="24"/>
                <w:szCs w:val="24"/>
              </w:rPr>
              <w:t>4)</w:t>
            </w:r>
            <w:r w:rsidRPr="00074443">
              <w:rPr>
                <w:rFonts w:ascii="Times New Roman" w:eastAsia="Calibri" w:hAnsi="Times New Roman"/>
                <w:color w:val="000000" w:themeColor="text1"/>
                <w:sz w:val="24"/>
                <w:szCs w:val="24"/>
                <w:lang w:val="sq-AL"/>
              </w:rPr>
              <w:t xml:space="preserve"> Aktualisht Sistemi Elektronik i Kreditit që ATK përdor ka funksionalitet në dy departamente, por njëkohësisht ka ndërlidhje me sistemin Financa 5. Funksionon si një database me të dhënat e secilit debitor. Gjithashtu jep të dhëna për të ndihmuar procesin e punës, pasi ka të regjistruar të gjitha hapat e një veprimi. Për të pasur një Sistem më të integruar në funksionalitet, do të marrim parasysh kërkesat që do të ketë Institucioni në ndërtimin e tij. </w:t>
            </w:r>
          </w:p>
          <w:p w14:paraId="0182A1BE" w14:textId="00BBF0E0"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Kosto shtesë që mund të duhet për ndërtimin e një ndërfaqje brenda sistemit të kreditit me të cilin ATK operon aktualisht n</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vlera hipotetike p</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rllogaritet të jetë rreth 1,2 - 2 milionë lekë.</w:t>
            </w:r>
          </w:p>
          <w:p w14:paraId="0B83A96E" w14:textId="10276682"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Ndërsa për një sistem “Upgrade”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ri, për të ndërtuar një database e cila do të mbajë të dhënat (ATK + garancitë sovrane), kostoja mund të varioj</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nga 4 - 4</w:t>
            </w:r>
            <w:proofErr w:type="gramStart"/>
            <w:r w:rsidRPr="00074443">
              <w:rPr>
                <w:rFonts w:ascii="Times New Roman" w:eastAsia="Calibri" w:hAnsi="Times New Roman"/>
                <w:color w:val="000000" w:themeColor="text1"/>
                <w:sz w:val="24"/>
                <w:szCs w:val="24"/>
              </w:rPr>
              <w:t>,5</w:t>
            </w:r>
            <w:proofErr w:type="gramEnd"/>
            <w:r w:rsidRPr="00074443">
              <w:rPr>
                <w:rFonts w:ascii="Times New Roman" w:eastAsia="Calibri" w:hAnsi="Times New Roman"/>
                <w:color w:val="000000" w:themeColor="text1"/>
                <w:sz w:val="24"/>
                <w:szCs w:val="24"/>
              </w:rPr>
              <w:t xml:space="preserve"> milionë lekë .</w:t>
            </w:r>
          </w:p>
          <w:p w14:paraId="5507854D" w14:textId="77777777" w:rsidR="0067260C" w:rsidRPr="00074443" w:rsidRDefault="0067260C" w:rsidP="0067260C">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Referuar vlerave të mësipërme, saktësojmë se meren parasysh nga kërkesat që do të vijnë në bazë edhe të fushave të caktuara për të regjistruar të dhënat e subjeketev kredimarrës. </w:t>
            </w:r>
          </w:p>
          <w:p w14:paraId="1C91C3FD" w14:textId="77777777" w:rsidR="0067260C" w:rsidRDefault="0067260C" w:rsidP="0067260C">
            <w:pPr>
              <w:pStyle w:val="BodyText"/>
              <w:spacing w:line="276" w:lineRule="auto"/>
              <w:jc w:val="both"/>
              <w:rPr>
                <w:rFonts w:ascii="Times New Roman" w:hAnsi="Times New Roman"/>
                <w:sz w:val="24"/>
                <w:szCs w:val="24"/>
                <w:lang w:val="sq-AL"/>
              </w:rPr>
            </w:pPr>
          </w:p>
          <w:p w14:paraId="1F187703" w14:textId="77777777" w:rsidR="0067260C"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Për bizneset dhe subjektet që kanë përfituar nga garancitë shtetërore dhe nënhuatë:</w:t>
            </w:r>
          </w:p>
          <w:p w14:paraId="089A671D" w14:textId="77777777" w:rsidR="0067260C" w:rsidRDefault="0067260C" w:rsidP="0067260C">
            <w:pPr>
              <w:pStyle w:val="BodyText"/>
              <w:spacing w:line="276" w:lineRule="auto"/>
              <w:jc w:val="both"/>
              <w:rPr>
                <w:rFonts w:ascii="Times New Roman" w:hAnsi="Times New Roman"/>
                <w:sz w:val="24"/>
                <w:szCs w:val="24"/>
                <w:lang w:val="sq-AL"/>
              </w:rPr>
            </w:pPr>
            <w:r w:rsidRPr="00293355">
              <w:rPr>
                <w:rFonts w:ascii="Times New Roman" w:hAnsi="Times New Roman"/>
                <w:sz w:val="24"/>
                <w:szCs w:val="24"/>
                <w:lang w:val="sq-AL"/>
              </w:rPr>
              <w:t>Vlerësohet se nga ndërhyrja e synuar në politikë, mund të preken bizneset apo subjektet me kapital shtetëror të cil</w:t>
            </w:r>
            <w:r>
              <w:rPr>
                <w:rFonts w:ascii="Times New Roman" w:hAnsi="Times New Roman"/>
                <w:sz w:val="24"/>
                <w:szCs w:val="24"/>
                <w:lang w:val="sq-AL"/>
              </w:rPr>
              <w:t>ë</w:t>
            </w:r>
            <w:r w:rsidRPr="00293355">
              <w:rPr>
                <w:rFonts w:ascii="Times New Roman" w:hAnsi="Times New Roman"/>
                <w:sz w:val="24"/>
                <w:szCs w:val="24"/>
                <w:lang w:val="sq-AL"/>
              </w:rPr>
              <w:t>t kanë përfituar nga garancitë shtetërore dhe nënhuatë</w:t>
            </w:r>
            <w:r>
              <w:rPr>
                <w:rFonts w:ascii="Times New Roman" w:hAnsi="Times New Roman"/>
                <w:sz w:val="24"/>
                <w:szCs w:val="24"/>
                <w:lang w:val="sq-AL"/>
              </w:rPr>
              <w:t xml:space="preserve"> dhe</w:t>
            </w:r>
            <w:r w:rsidRPr="00293355">
              <w:rPr>
                <w:rFonts w:ascii="Times New Roman" w:hAnsi="Times New Roman"/>
                <w:sz w:val="24"/>
                <w:szCs w:val="24"/>
                <w:lang w:val="sq-AL"/>
              </w:rPr>
              <w:t xml:space="preserve"> të cil</w:t>
            </w:r>
            <w:r>
              <w:rPr>
                <w:rFonts w:ascii="Times New Roman" w:hAnsi="Times New Roman"/>
                <w:sz w:val="24"/>
                <w:szCs w:val="24"/>
                <w:lang w:val="sq-AL"/>
              </w:rPr>
              <w:t>ë</w:t>
            </w:r>
            <w:r w:rsidRPr="00293355">
              <w:rPr>
                <w:rFonts w:ascii="Times New Roman" w:hAnsi="Times New Roman"/>
                <w:sz w:val="24"/>
                <w:szCs w:val="24"/>
                <w:lang w:val="sq-AL"/>
              </w:rPr>
              <w:t>ve do t</w:t>
            </w:r>
            <w:r>
              <w:rPr>
                <w:rFonts w:ascii="Times New Roman" w:hAnsi="Times New Roman"/>
                <w:sz w:val="24"/>
                <w:szCs w:val="24"/>
                <w:lang w:val="sq-AL"/>
              </w:rPr>
              <w:t>’</w:t>
            </w:r>
            <w:r w:rsidRPr="00293355">
              <w:rPr>
                <w:rFonts w:ascii="Times New Roman" w:hAnsi="Times New Roman"/>
                <w:sz w:val="24"/>
                <w:szCs w:val="24"/>
                <w:lang w:val="sq-AL"/>
              </w:rPr>
              <w:t>u mblidhen</w:t>
            </w:r>
            <w:r>
              <w:rPr>
                <w:rFonts w:ascii="Times New Roman" w:hAnsi="Times New Roman"/>
                <w:sz w:val="24"/>
                <w:szCs w:val="24"/>
                <w:lang w:val="sq-AL"/>
              </w:rPr>
              <w:t xml:space="preserve"> </w:t>
            </w:r>
            <w:r w:rsidRPr="00293355">
              <w:rPr>
                <w:rFonts w:ascii="Times New Roman" w:hAnsi="Times New Roman"/>
                <w:sz w:val="24"/>
                <w:szCs w:val="24"/>
                <w:lang w:val="sq-AL"/>
              </w:rPr>
              <w:t>nëpërmjet mekanizmave që synohen të ngrihen</w:t>
            </w:r>
            <w:r>
              <w:rPr>
                <w:rFonts w:ascii="Times New Roman" w:hAnsi="Times New Roman"/>
                <w:sz w:val="24"/>
                <w:szCs w:val="24"/>
                <w:lang w:val="sq-AL"/>
              </w:rPr>
              <w:t>,</w:t>
            </w:r>
            <w:r w:rsidRPr="00293355">
              <w:rPr>
                <w:rFonts w:ascii="Times New Roman" w:hAnsi="Times New Roman"/>
                <w:sz w:val="24"/>
                <w:szCs w:val="24"/>
                <w:lang w:val="sq-AL"/>
              </w:rPr>
              <w:t xml:space="preserve"> detyrimet që këto biznese apo subjekte do kenë krijuar</w:t>
            </w:r>
            <w:r>
              <w:rPr>
                <w:rFonts w:ascii="Times New Roman" w:hAnsi="Times New Roman"/>
                <w:sz w:val="24"/>
                <w:szCs w:val="24"/>
                <w:lang w:val="sq-AL"/>
              </w:rPr>
              <w:t xml:space="preserve"> kundrejt buxhetit të shtetit. </w:t>
            </w:r>
            <w:r w:rsidRPr="00293355">
              <w:rPr>
                <w:rFonts w:ascii="Times New Roman" w:hAnsi="Times New Roman"/>
                <w:sz w:val="24"/>
                <w:szCs w:val="24"/>
                <w:lang w:val="sq-AL"/>
              </w:rPr>
              <w:t xml:space="preserve">Impakti në financat e këtyre subjekteve është plotësisht i justifikuar dhe mbështetur në marrëveshjet përkatëse të financimit apo garancisë me anë të së cilave këto biznese apo subjekte kanë përfituar fonde me terma të favorshme, me detyrimin e kthimit ndaj kreditorit apo garantuesit sipas rastit. </w:t>
            </w:r>
          </w:p>
          <w:p w14:paraId="26727FC8" w14:textId="77777777" w:rsidR="0067260C" w:rsidRPr="00293355" w:rsidRDefault="0067260C" w:rsidP="0067260C">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lastRenderedPageBreak/>
              <w:t>H</w:t>
            </w:r>
            <w:r w:rsidRPr="00465602">
              <w:rPr>
                <w:rFonts w:ascii="Times New Roman" w:hAnsi="Times New Roman"/>
                <w:sz w:val="24"/>
                <w:szCs w:val="24"/>
                <w:lang w:val="sq-AL"/>
              </w:rPr>
              <w:t xml:space="preserve">artimi i </w:t>
            </w:r>
            <w:r>
              <w:rPr>
                <w:rFonts w:ascii="Times New Roman" w:hAnsi="Times New Roman"/>
                <w:sz w:val="24"/>
                <w:szCs w:val="24"/>
                <w:lang w:val="sq-AL"/>
              </w:rPr>
              <w:t>projekt</w:t>
            </w:r>
            <w:r w:rsidRPr="00465602">
              <w:rPr>
                <w:rFonts w:ascii="Times New Roman" w:hAnsi="Times New Roman"/>
                <w:sz w:val="24"/>
                <w:szCs w:val="24"/>
                <w:lang w:val="sq-AL"/>
              </w:rPr>
              <w:t>ligjit të ri, “Për Menaxhimin e Garancive dhe Kredive të Pakthyera”</w:t>
            </w:r>
            <w:r>
              <w:rPr>
                <w:rFonts w:ascii="Times New Roman" w:hAnsi="Times New Roman"/>
                <w:sz w:val="24"/>
                <w:szCs w:val="24"/>
                <w:lang w:val="sq-AL"/>
              </w:rPr>
              <w:t xml:space="preserve"> nuk pritet të</w:t>
            </w:r>
            <w:r w:rsidRPr="00465602">
              <w:rPr>
                <w:rFonts w:ascii="Times New Roman" w:hAnsi="Times New Roman"/>
                <w:sz w:val="24"/>
                <w:szCs w:val="24"/>
                <w:lang w:val="sq-AL"/>
              </w:rPr>
              <w:t xml:space="preserve"> </w:t>
            </w:r>
            <w:r>
              <w:rPr>
                <w:rFonts w:ascii="Times New Roman" w:hAnsi="Times New Roman"/>
                <w:sz w:val="24"/>
                <w:szCs w:val="24"/>
                <w:lang w:val="sq-AL"/>
              </w:rPr>
              <w:t>ketë ndikim të drejtpërdrejtë në konkurrencë</w:t>
            </w:r>
            <w:r w:rsidRPr="00465602">
              <w:rPr>
                <w:rFonts w:ascii="Times New Roman" w:hAnsi="Times New Roman"/>
                <w:sz w:val="24"/>
                <w:szCs w:val="24"/>
                <w:lang w:val="sq-AL"/>
              </w:rPr>
              <w:t>.</w:t>
            </w:r>
          </w:p>
          <w:p w14:paraId="119CD0A2" w14:textId="77777777" w:rsidR="0067260C" w:rsidRDefault="0067260C" w:rsidP="0067260C">
            <w:pPr>
              <w:pStyle w:val="BodyText"/>
              <w:spacing w:line="276" w:lineRule="auto"/>
              <w:jc w:val="both"/>
              <w:rPr>
                <w:rFonts w:ascii="Times New Roman" w:hAnsi="Times New Roman"/>
                <w:sz w:val="24"/>
                <w:szCs w:val="24"/>
                <w:lang w:val="sq-AL"/>
              </w:rPr>
            </w:pPr>
          </w:p>
          <w:p w14:paraId="47FC9A70" w14:textId="77777777" w:rsidR="0067260C" w:rsidRPr="005B7795" w:rsidRDefault="0067260C" w:rsidP="0067260C">
            <w:pPr>
              <w:pStyle w:val="BodyText"/>
              <w:spacing w:line="276" w:lineRule="auto"/>
              <w:jc w:val="both"/>
              <w:rPr>
                <w:rFonts w:ascii="Times New Roman" w:hAnsi="Times New Roman"/>
                <w:b/>
                <w:sz w:val="24"/>
                <w:szCs w:val="24"/>
                <w:lang w:val="sq-AL"/>
              </w:rPr>
            </w:pPr>
            <w:r w:rsidRPr="005B7795">
              <w:rPr>
                <w:rFonts w:ascii="Times New Roman" w:hAnsi="Times New Roman"/>
                <w:b/>
                <w:sz w:val="24"/>
                <w:szCs w:val="24"/>
                <w:lang w:val="sq-AL"/>
              </w:rPr>
              <w:t>Ndikimi social:</w:t>
            </w:r>
          </w:p>
          <w:p w14:paraId="40BD8E62" w14:textId="77777777" w:rsidR="0067260C" w:rsidRDefault="0067260C" w:rsidP="0067260C">
            <w:pPr>
              <w:pStyle w:val="BodyText"/>
              <w:spacing w:line="276" w:lineRule="auto"/>
              <w:jc w:val="both"/>
              <w:rPr>
                <w:rFonts w:ascii="Times New Roman" w:hAnsi="Times New Roman"/>
                <w:sz w:val="24"/>
                <w:szCs w:val="24"/>
                <w:highlight w:val="red"/>
                <w:lang w:val="sq-AL"/>
              </w:rPr>
            </w:pPr>
            <w:r w:rsidRPr="00293355">
              <w:rPr>
                <w:rFonts w:ascii="Times New Roman" w:hAnsi="Times New Roman"/>
                <w:sz w:val="24"/>
                <w:szCs w:val="24"/>
                <w:lang w:val="sq-AL"/>
              </w:rPr>
              <w:t>Gjithashtu vlerësohet se ndërhyrjet do të kenë një impakt indirekt pozitiv në shoqëri në kushtet ku fondet e buxhetit të shtetit, që janë fonde të taksapaguesve shqiptarë, dhe të cilat janë dhënë për të mbështetur subjekte private apo ato me kapital publik, do të mund të kthehen dhe të përdoren për qëllime në përfitim të popullsisë, në formën e shërbimeve publike apo investimeve publike.</w:t>
            </w:r>
          </w:p>
          <w:p w14:paraId="430C1B52" w14:textId="77777777" w:rsidR="0067260C" w:rsidRPr="005B0C86" w:rsidRDefault="0067260C" w:rsidP="0067260C">
            <w:pPr>
              <w:tabs>
                <w:tab w:val="left" w:pos="6720"/>
              </w:tabs>
              <w:jc w:val="both"/>
              <w:rPr>
                <w:rFonts w:ascii="Times New Roman" w:eastAsia="Calibri" w:hAnsi="Times New Roman"/>
                <w:sz w:val="24"/>
                <w:szCs w:val="24"/>
              </w:rPr>
            </w:pPr>
            <w:r w:rsidRPr="005B0C86">
              <w:rPr>
                <w:rFonts w:ascii="Times New Roman" w:eastAsia="Calibri" w:hAnsi="Times New Roman"/>
                <w:sz w:val="24"/>
                <w:szCs w:val="24"/>
              </w:rPr>
              <w:t>Politika e re ndikon pozitivisht te qytetarët dhe bizneset, pasi pikërisht këto kategori janë personat përfitues të skemave të veçanta të garancive të huas dhe debitorët e portofolit të kredive të transferuara nga bankat tregtare të nivelit të dytë, me kapital tërësisht shtetëror mbas privatizimit të tyre, dhe ligji i ri mundëson mekanizmat dhe strukturën e posaçme për mbledhjen e detyrimeve të akumuluara nga subjektet përfituese të garancive dhe nënhuave, si dhe garanton rikuperimin e kredive në një kohë të përshpejtuar, duke ndikuar pozitivisht në lehtësimin e pozitave të tyre.</w:t>
            </w:r>
          </w:p>
          <w:p w14:paraId="2A2FF481" w14:textId="1DBCFA6D" w:rsidR="00F078F3" w:rsidRPr="004E7606" w:rsidRDefault="00F078F3" w:rsidP="00F078F3">
            <w:pPr>
              <w:spacing w:line="276" w:lineRule="auto"/>
              <w:jc w:val="both"/>
              <w:rPr>
                <w:rFonts w:ascii="Times New Roman" w:hAnsi="Times New Roman"/>
                <w:i/>
                <w:szCs w:val="22"/>
                <w:lang w:val="sq-AL"/>
              </w:rPr>
            </w:pPr>
          </w:p>
        </w:tc>
      </w:tr>
      <w:tr w:rsidR="00A84726" w:rsidRPr="004E7606" w14:paraId="17E63381"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0DB5" w14:textId="77777777" w:rsidR="00A84726" w:rsidRPr="004E7606" w:rsidRDefault="658D74BF" w:rsidP="658D74BF">
            <w:pPr>
              <w:jc w:val="both"/>
              <w:rPr>
                <w:rFonts w:ascii="Times New Roman" w:hAnsi="Times New Roman"/>
                <w:b/>
                <w:bCs/>
                <w:lang w:val="sq-AL"/>
              </w:rPr>
            </w:pPr>
            <w:r w:rsidRPr="658D74BF">
              <w:rPr>
                <w:rFonts w:ascii="Times New Roman" w:hAnsi="Times New Roman"/>
                <w:b/>
                <w:bCs/>
                <w:lang w:val="sq-AL"/>
              </w:rPr>
              <w:lastRenderedPageBreak/>
              <w:t xml:space="preserve">ARSYETIMI I OPSIONIT TË PREFERUAR </w:t>
            </w:r>
          </w:p>
          <w:p w14:paraId="79F6B417" w14:textId="77777777" w:rsidR="00A84726" w:rsidRPr="00172B31" w:rsidRDefault="00D26002" w:rsidP="00A84726">
            <w:pPr>
              <w:jc w:val="both"/>
              <w:rPr>
                <w:rFonts w:ascii="Times New Roman" w:hAnsi="Times New Roman"/>
                <w:i/>
                <w:sz w:val="20"/>
                <w:lang w:val="sq-AL"/>
              </w:rPr>
            </w:pPr>
            <w:r w:rsidRPr="00172B31">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172B31">
              <w:rPr>
                <w:rFonts w:ascii="Times New Roman" w:hAnsi="Times New Roman"/>
                <w:i/>
                <w:sz w:val="20"/>
                <w:lang w:val="sq-AL"/>
              </w:rPr>
              <w:t>.</w:t>
            </w:r>
          </w:p>
          <w:p w14:paraId="0867C04F" w14:textId="77777777" w:rsidR="00A84726" w:rsidRPr="004E7606" w:rsidRDefault="00A84726" w:rsidP="00A84726">
            <w:pPr>
              <w:jc w:val="both"/>
              <w:rPr>
                <w:rFonts w:ascii="Times New Roman" w:hAnsi="Times New Roman"/>
                <w:b/>
                <w:szCs w:val="22"/>
                <w:lang w:val="sq-AL"/>
              </w:rPr>
            </w:pPr>
          </w:p>
          <w:p w14:paraId="733513C4" w14:textId="77777777" w:rsidR="0044530B" w:rsidRDefault="0044530B" w:rsidP="0044530B">
            <w:pPr>
              <w:spacing w:line="276" w:lineRule="auto"/>
              <w:jc w:val="both"/>
              <w:rPr>
                <w:rFonts w:ascii="Times New Roman" w:hAnsi="Times New Roman"/>
                <w:sz w:val="24"/>
                <w:szCs w:val="24"/>
              </w:rPr>
            </w:pPr>
            <w:r w:rsidRPr="0046376A">
              <w:rPr>
                <w:rFonts w:ascii="Times New Roman" w:hAnsi="Times New Roman"/>
                <w:sz w:val="24"/>
                <w:szCs w:val="24"/>
              </w:rPr>
              <w:t>Opsioni i preferuar është opsioni nr.</w:t>
            </w:r>
            <w:r>
              <w:rPr>
                <w:rFonts w:ascii="Times New Roman" w:hAnsi="Times New Roman"/>
                <w:sz w:val="24"/>
                <w:szCs w:val="24"/>
              </w:rPr>
              <w:t>3</w:t>
            </w:r>
            <w:r w:rsidRPr="0046376A">
              <w:rPr>
                <w:rFonts w:ascii="Times New Roman" w:hAnsi="Times New Roman"/>
                <w:sz w:val="24"/>
                <w:szCs w:val="24"/>
              </w:rPr>
              <w:t xml:space="preserve">, konkretisht hartimi i ligjit të ri </w:t>
            </w:r>
            <w:r w:rsidRPr="0014130C">
              <w:rPr>
                <w:rFonts w:ascii="Times New Roman" w:hAnsi="Times New Roman"/>
                <w:sz w:val="24"/>
                <w:szCs w:val="24"/>
              </w:rPr>
              <w:t>“Për Menaxhimin e Garancive dhe Kredive të Pakthyera”</w:t>
            </w:r>
            <w:r>
              <w:rPr>
                <w:rFonts w:ascii="Times New Roman" w:hAnsi="Times New Roman"/>
                <w:sz w:val="24"/>
                <w:szCs w:val="24"/>
              </w:rPr>
              <w:t>.</w:t>
            </w:r>
          </w:p>
          <w:p w14:paraId="56443C37" w14:textId="77777777" w:rsidR="0044530B" w:rsidRDefault="0044530B" w:rsidP="0044530B">
            <w:pPr>
              <w:spacing w:line="276" w:lineRule="auto"/>
              <w:jc w:val="both"/>
              <w:rPr>
                <w:rFonts w:ascii="Times New Roman" w:hAnsi="Times New Roman"/>
                <w:sz w:val="24"/>
                <w:szCs w:val="24"/>
              </w:rPr>
            </w:pPr>
            <w:r w:rsidRPr="005F0870">
              <w:rPr>
                <w:rFonts w:ascii="Times New Roman" w:hAnsi="Times New Roman"/>
                <w:sz w:val="24"/>
                <w:szCs w:val="24"/>
              </w:rPr>
              <w:t>Nëpërmjet hartimit të ligjit të ri, i jepet zgjidhje problematikave të menaxhimit efektiv të skemave të veçanta të garancive si dhe problemeve të trajtimit të portofolit të kredive në një kohë të arsyeshme, duke mundësuar mekanizmat dhe strukturën e posaçme për mbledhjen e detyrimeve të akumuluara nga subjektet përfituese të garancive dhe nënhuave, si dhe garantimin e rikuperimit të kredive në një kohë të përshpejtuar, duke rregulluar kështu gj</w:t>
            </w:r>
            <w:r>
              <w:rPr>
                <w:rFonts w:ascii="Times New Roman" w:hAnsi="Times New Roman"/>
                <w:sz w:val="24"/>
                <w:szCs w:val="24"/>
              </w:rPr>
              <w:t>e</w:t>
            </w:r>
            <w:r w:rsidRPr="005F0870">
              <w:rPr>
                <w:rFonts w:ascii="Times New Roman" w:hAnsi="Times New Roman"/>
                <w:sz w:val="24"/>
                <w:szCs w:val="24"/>
              </w:rPr>
              <w:t>ndjen aktuale.</w:t>
            </w:r>
            <w:r>
              <w:rPr>
                <w:rFonts w:ascii="Times New Roman" w:hAnsi="Times New Roman"/>
                <w:sz w:val="24"/>
                <w:szCs w:val="24"/>
              </w:rPr>
              <w:t xml:space="preserve"> </w:t>
            </w:r>
          </w:p>
          <w:p w14:paraId="12C6E71F" w14:textId="6C385FFE" w:rsidR="0044530B" w:rsidRDefault="0044530B" w:rsidP="0044530B">
            <w:pPr>
              <w:spacing w:line="276" w:lineRule="auto"/>
              <w:jc w:val="both"/>
              <w:rPr>
                <w:rFonts w:ascii="Times New Roman" w:hAnsi="Times New Roman"/>
                <w:sz w:val="24"/>
                <w:szCs w:val="24"/>
              </w:rPr>
            </w:pPr>
            <w:r>
              <w:rPr>
                <w:rFonts w:ascii="Times New Roman" w:hAnsi="Times New Roman"/>
                <w:sz w:val="24"/>
                <w:szCs w:val="24"/>
              </w:rPr>
              <w:t>Opsioni 1 dhe Opsioni 2 nuk preferohen krahasuar me Opsionin 3, pasi do t</w:t>
            </w:r>
            <w:r w:rsidR="003162AD">
              <w:rPr>
                <w:rFonts w:ascii="Times New Roman" w:hAnsi="Times New Roman"/>
                <w:sz w:val="24"/>
                <w:szCs w:val="24"/>
              </w:rPr>
              <w:t>ë</w:t>
            </w:r>
            <w:r>
              <w:rPr>
                <w:rFonts w:ascii="Times New Roman" w:hAnsi="Times New Roman"/>
                <w:sz w:val="24"/>
                <w:szCs w:val="24"/>
              </w:rPr>
              <w:t xml:space="preserve"> nevojitej kryerja e ndryshimeve t</w:t>
            </w:r>
            <w:r w:rsidR="003162AD">
              <w:rPr>
                <w:rFonts w:ascii="Times New Roman" w:hAnsi="Times New Roman"/>
                <w:sz w:val="24"/>
                <w:szCs w:val="24"/>
              </w:rPr>
              <w:t>ë</w:t>
            </w:r>
            <w:r>
              <w:rPr>
                <w:rFonts w:ascii="Times New Roman" w:hAnsi="Times New Roman"/>
                <w:sz w:val="24"/>
                <w:szCs w:val="24"/>
              </w:rPr>
              <w:t xml:space="preserve"> konsiderueshme dhe k</w:t>
            </w:r>
            <w:r w:rsidR="003162AD">
              <w:rPr>
                <w:rFonts w:ascii="Times New Roman" w:hAnsi="Times New Roman"/>
                <w:sz w:val="24"/>
                <w:szCs w:val="24"/>
              </w:rPr>
              <w:t>ë</w:t>
            </w:r>
            <w:r>
              <w:rPr>
                <w:rFonts w:ascii="Times New Roman" w:hAnsi="Times New Roman"/>
                <w:sz w:val="24"/>
                <w:szCs w:val="24"/>
              </w:rPr>
              <w:t>to ndryshime do t</w:t>
            </w:r>
            <w:r w:rsidR="003162AD">
              <w:rPr>
                <w:rFonts w:ascii="Times New Roman" w:hAnsi="Times New Roman"/>
                <w:sz w:val="24"/>
                <w:szCs w:val="24"/>
              </w:rPr>
              <w:t>ë</w:t>
            </w:r>
            <w:r>
              <w:rPr>
                <w:rFonts w:ascii="Times New Roman" w:hAnsi="Times New Roman"/>
                <w:sz w:val="24"/>
                <w:szCs w:val="24"/>
              </w:rPr>
              <w:t xml:space="preserve"> preknin m</w:t>
            </w:r>
            <w:r w:rsidR="003162AD">
              <w:rPr>
                <w:rFonts w:ascii="Times New Roman" w:hAnsi="Times New Roman"/>
                <w:sz w:val="24"/>
                <w:szCs w:val="24"/>
              </w:rPr>
              <w:t>ë</w:t>
            </w:r>
            <w:r>
              <w:rPr>
                <w:rFonts w:ascii="Times New Roman" w:hAnsi="Times New Roman"/>
                <w:sz w:val="24"/>
                <w:szCs w:val="24"/>
              </w:rPr>
              <w:t xml:space="preserve"> shum</w:t>
            </w:r>
            <w:r w:rsidR="003162AD">
              <w:rPr>
                <w:rFonts w:ascii="Times New Roman" w:hAnsi="Times New Roman"/>
                <w:sz w:val="24"/>
                <w:szCs w:val="24"/>
              </w:rPr>
              <w:t>ë</w:t>
            </w:r>
            <w:r>
              <w:rPr>
                <w:rFonts w:ascii="Times New Roman" w:hAnsi="Times New Roman"/>
                <w:sz w:val="24"/>
                <w:szCs w:val="24"/>
              </w:rPr>
              <w:t xml:space="preserve"> se 50% t</w:t>
            </w:r>
            <w:r w:rsidR="003162AD">
              <w:rPr>
                <w:rFonts w:ascii="Times New Roman" w:hAnsi="Times New Roman"/>
                <w:sz w:val="24"/>
                <w:szCs w:val="24"/>
              </w:rPr>
              <w:t>ë</w:t>
            </w:r>
            <w:r>
              <w:rPr>
                <w:rFonts w:ascii="Times New Roman" w:hAnsi="Times New Roman"/>
                <w:sz w:val="24"/>
                <w:szCs w:val="24"/>
              </w:rPr>
              <w:t xml:space="preserve"> p</w:t>
            </w:r>
            <w:r w:rsidR="003162AD">
              <w:rPr>
                <w:rFonts w:ascii="Times New Roman" w:hAnsi="Times New Roman"/>
                <w:sz w:val="24"/>
                <w:szCs w:val="24"/>
              </w:rPr>
              <w:t>ë</w:t>
            </w:r>
            <w:r>
              <w:rPr>
                <w:rFonts w:ascii="Times New Roman" w:hAnsi="Times New Roman"/>
                <w:sz w:val="24"/>
                <w:szCs w:val="24"/>
              </w:rPr>
              <w:t>rmbajtjes s</w:t>
            </w:r>
            <w:r w:rsidR="003162AD">
              <w:rPr>
                <w:rFonts w:ascii="Times New Roman" w:hAnsi="Times New Roman"/>
                <w:sz w:val="24"/>
                <w:szCs w:val="24"/>
              </w:rPr>
              <w:t>ë</w:t>
            </w:r>
            <w:r>
              <w:rPr>
                <w:rFonts w:ascii="Times New Roman" w:hAnsi="Times New Roman"/>
                <w:sz w:val="24"/>
                <w:szCs w:val="24"/>
              </w:rPr>
              <w:t xml:space="preserve"> ligjeve ekzistuese, n</w:t>
            </w:r>
            <w:r w:rsidR="003162AD">
              <w:rPr>
                <w:rFonts w:ascii="Times New Roman" w:hAnsi="Times New Roman"/>
                <w:sz w:val="24"/>
                <w:szCs w:val="24"/>
              </w:rPr>
              <w:t>ë</w:t>
            </w:r>
            <w:r>
              <w:rPr>
                <w:rFonts w:ascii="Times New Roman" w:hAnsi="Times New Roman"/>
                <w:sz w:val="24"/>
                <w:szCs w:val="24"/>
              </w:rPr>
              <w:t xml:space="preserve"> kuad</w:t>
            </w:r>
            <w:r w:rsidR="003162AD">
              <w:rPr>
                <w:rFonts w:ascii="Times New Roman" w:hAnsi="Times New Roman"/>
                <w:sz w:val="24"/>
                <w:szCs w:val="24"/>
              </w:rPr>
              <w:t>ë</w:t>
            </w:r>
            <w:r>
              <w:rPr>
                <w:rFonts w:ascii="Times New Roman" w:hAnsi="Times New Roman"/>
                <w:sz w:val="24"/>
                <w:szCs w:val="24"/>
              </w:rPr>
              <w:t>r t</w:t>
            </w:r>
            <w:r w:rsidR="003162AD">
              <w:rPr>
                <w:rFonts w:ascii="Times New Roman" w:hAnsi="Times New Roman"/>
                <w:sz w:val="24"/>
                <w:szCs w:val="24"/>
              </w:rPr>
              <w:t>ë</w:t>
            </w:r>
            <w:r>
              <w:rPr>
                <w:rFonts w:ascii="Times New Roman" w:hAnsi="Times New Roman"/>
                <w:sz w:val="24"/>
                <w:szCs w:val="24"/>
              </w:rPr>
              <w:t xml:space="preserve"> teknik</w:t>
            </w:r>
            <w:r w:rsidR="003162AD">
              <w:rPr>
                <w:rFonts w:ascii="Times New Roman" w:hAnsi="Times New Roman"/>
                <w:sz w:val="24"/>
                <w:szCs w:val="24"/>
              </w:rPr>
              <w:t>ë</w:t>
            </w:r>
            <w:r>
              <w:rPr>
                <w:rFonts w:ascii="Times New Roman" w:hAnsi="Times New Roman"/>
                <w:sz w:val="24"/>
                <w:szCs w:val="24"/>
              </w:rPr>
              <w:t>s legjislative (Manualit</w:t>
            </w:r>
            <w:r w:rsidRPr="00CD5594">
              <w:rPr>
                <w:rFonts w:ascii="Times New Roman" w:hAnsi="Times New Roman"/>
                <w:sz w:val="24"/>
                <w:szCs w:val="24"/>
              </w:rPr>
              <w:t xml:space="preserve"> </w:t>
            </w:r>
            <w:r>
              <w:rPr>
                <w:rFonts w:ascii="Times New Roman" w:hAnsi="Times New Roman"/>
                <w:sz w:val="24"/>
                <w:szCs w:val="24"/>
              </w:rPr>
              <w:t>t</w:t>
            </w:r>
            <w:r w:rsidR="003162AD">
              <w:rPr>
                <w:rFonts w:ascii="Times New Roman" w:hAnsi="Times New Roman"/>
                <w:sz w:val="24"/>
                <w:szCs w:val="24"/>
              </w:rPr>
              <w:t>ë</w:t>
            </w:r>
            <w:r w:rsidRPr="00CD5594">
              <w:rPr>
                <w:rFonts w:ascii="Times New Roman" w:hAnsi="Times New Roman"/>
                <w:sz w:val="24"/>
                <w:szCs w:val="24"/>
              </w:rPr>
              <w:t xml:space="preserve"> Hartimit të Legjislacionit</w:t>
            </w:r>
            <w:r>
              <w:rPr>
                <w:rFonts w:ascii="Times New Roman" w:hAnsi="Times New Roman"/>
                <w:sz w:val="24"/>
                <w:szCs w:val="24"/>
              </w:rPr>
              <w:t xml:space="preserve">) </w:t>
            </w:r>
            <w:r w:rsidR="003162AD">
              <w:rPr>
                <w:rFonts w:ascii="Times New Roman" w:hAnsi="Times New Roman"/>
                <w:sz w:val="24"/>
                <w:szCs w:val="24"/>
              </w:rPr>
              <w:t>ë</w:t>
            </w:r>
            <w:r>
              <w:rPr>
                <w:rFonts w:ascii="Times New Roman" w:hAnsi="Times New Roman"/>
                <w:sz w:val="24"/>
                <w:szCs w:val="24"/>
              </w:rPr>
              <w:t>sht</w:t>
            </w:r>
            <w:r w:rsidR="003162AD">
              <w:rPr>
                <w:rFonts w:ascii="Times New Roman" w:hAnsi="Times New Roman"/>
                <w:sz w:val="24"/>
                <w:szCs w:val="24"/>
              </w:rPr>
              <w:t>ë</w:t>
            </w:r>
            <w:r>
              <w:rPr>
                <w:rFonts w:ascii="Times New Roman" w:hAnsi="Times New Roman"/>
                <w:sz w:val="24"/>
                <w:szCs w:val="24"/>
              </w:rPr>
              <w:t xml:space="preserve"> e pamundur t</w:t>
            </w:r>
            <w:r w:rsidR="003162AD">
              <w:rPr>
                <w:rFonts w:ascii="Times New Roman" w:hAnsi="Times New Roman"/>
                <w:sz w:val="24"/>
                <w:szCs w:val="24"/>
              </w:rPr>
              <w:t>ë</w:t>
            </w:r>
            <w:r>
              <w:rPr>
                <w:rFonts w:ascii="Times New Roman" w:hAnsi="Times New Roman"/>
                <w:sz w:val="24"/>
                <w:szCs w:val="24"/>
              </w:rPr>
              <w:t xml:space="preserve"> konsiderohet Opsioni 1 dhe Opsioni 2. Gjithashtu k</w:t>
            </w:r>
            <w:r w:rsidR="003162AD">
              <w:rPr>
                <w:rFonts w:ascii="Times New Roman" w:hAnsi="Times New Roman"/>
                <w:sz w:val="24"/>
                <w:szCs w:val="24"/>
              </w:rPr>
              <w:t>ë</w:t>
            </w:r>
            <w:r>
              <w:rPr>
                <w:rFonts w:ascii="Times New Roman" w:hAnsi="Times New Roman"/>
                <w:sz w:val="24"/>
                <w:szCs w:val="24"/>
              </w:rPr>
              <w:t>to ligje kan</w:t>
            </w:r>
            <w:r w:rsidR="003162AD">
              <w:rPr>
                <w:rFonts w:ascii="Times New Roman" w:hAnsi="Times New Roman"/>
                <w:sz w:val="24"/>
                <w:szCs w:val="24"/>
              </w:rPr>
              <w:t>ë</w:t>
            </w:r>
            <w:r>
              <w:rPr>
                <w:rFonts w:ascii="Times New Roman" w:hAnsi="Times New Roman"/>
                <w:sz w:val="24"/>
                <w:szCs w:val="24"/>
              </w:rPr>
              <w:t xml:space="preserve"> p</w:t>
            </w:r>
            <w:r w:rsidR="003162AD">
              <w:rPr>
                <w:rFonts w:ascii="Times New Roman" w:hAnsi="Times New Roman"/>
                <w:sz w:val="24"/>
                <w:szCs w:val="24"/>
              </w:rPr>
              <w:t>ë</w:t>
            </w:r>
            <w:r>
              <w:rPr>
                <w:rFonts w:ascii="Times New Roman" w:hAnsi="Times New Roman"/>
                <w:sz w:val="24"/>
                <w:szCs w:val="24"/>
              </w:rPr>
              <w:t>suar ndryshime edhe m</w:t>
            </w:r>
            <w:r w:rsidR="003162AD">
              <w:rPr>
                <w:rFonts w:ascii="Times New Roman" w:hAnsi="Times New Roman"/>
                <w:sz w:val="24"/>
                <w:szCs w:val="24"/>
              </w:rPr>
              <w:t>ë</w:t>
            </w:r>
            <w:r>
              <w:rPr>
                <w:rFonts w:ascii="Times New Roman" w:hAnsi="Times New Roman"/>
                <w:sz w:val="24"/>
                <w:szCs w:val="24"/>
              </w:rPr>
              <w:t xml:space="preserve"> par</w:t>
            </w:r>
            <w:r w:rsidR="003162AD">
              <w:rPr>
                <w:rFonts w:ascii="Times New Roman" w:hAnsi="Times New Roman"/>
                <w:sz w:val="24"/>
                <w:szCs w:val="24"/>
              </w:rPr>
              <w:t>ë</w:t>
            </w:r>
            <w:r>
              <w:rPr>
                <w:rFonts w:ascii="Times New Roman" w:hAnsi="Times New Roman"/>
                <w:sz w:val="24"/>
                <w:szCs w:val="24"/>
              </w:rPr>
              <w:t xml:space="preserve"> dhe nd</w:t>
            </w:r>
            <w:r w:rsidR="003162AD">
              <w:rPr>
                <w:rFonts w:ascii="Times New Roman" w:hAnsi="Times New Roman"/>
                <w:sz w:val="24"/>
                <w:szCs w:val="24"/>
              </w:rPr>
              <w:t>ë</w:t>
            </w:r>
            <w:r>
              <w:rPr>
                <w:rFonts w:ascii="Times New Roman" w:hAnsi="Times New Roman"/>
                <w:sz w:val="24"/>
                <w:szCs w:val="24"/>
              </w:rPr>
              <w:t>rhyrjet e propozuara do t</w:t>
            </w:r>
            <w:r w:rsidR="003162AD">
              <w:rPr>
                <w:rFonts w:ascii="Times New Roman" w:hAnsi="Times New Roman"/>
                <w:sz w:val="24"/>
                <w:szCs w:val="24"/>
              </w:rPr>
              <w:t>ë</w:t>
            </w:r>
            <w:r>
              <w:rPr>
                <w:rFonts w:ascii="Times New Roman" w:hAnsi="Times New Roman"/>
                <w:sz w:val="24"/>
                <w:szCs w:val="24"/>
              </w:rPr>
              <w:t xml:space="preserve"> krijonin shum</w:t>
            </w:r>
            <w:r w:rsidR="003162AD">
              <w:rPr>
                <w:rFonts w:ascii="Times New Roman" w:hAnsi="Times New Roman"/>
                <w:sz w:val="24"/>
                <w:szCs w:val="24"/>
              </w:rPr>
              <w:t>ë</w:t>
            </w:r>
            <w:r>
              <w:rPr>
                <w:rFonts w:ascii="Times New Roman" w:hAnsi="Times New Roman"/>
                <w:sz w:val="24"/>
                <w:szCs w:val="24"/>
              </w:rPr>
              <w:t xml:space="preserve"> paqart</w:t>
            </w:r>
            <w:r w:rsidR="003162AD">
              <w:rPr>
                <w:rFonts w:ascii="Times New Roman" w:hAnsi="Times New Roman"/>
                <w:sz w:val="24"/>
                <w:szCs w:val="24"/>
              </w:rPr>
              <w:t>ë</w:t>
            </w:r>
            <w:r>
              <w:rPr>
                <w:rFonts w:ascii="Times New Roman" w:hAnsi="Times New Roman"/>
                <w:sz w:val="24"/>
                <w:szCs w:val="24"/>
              </w:rPr>
              <w:t>si dhe konfuzion ligjor p</w:t>
            </w:r>
            <w:r w:rsidR="003162AD">
              <w:rPr>
                <w:rFonts w:ascii="Times New Roman" w:hAnsi="Times New Roman"/>
                <w:sz w:val="24"/>
                <w:szCs w:val="24"/>
              </w:rPr>
              <w:t>ë</w:t>
            </w:r>
            <w:r>
              <w:rPr>
                <w:rFonts w:ascii="Times New Roman" w:hAnsi="Times New Roman"/>
                <w:sz w:val="24"/>
                <w:szCs w:val="24"/>
              </w:rPr>
              <w:t>r lexuesin.</w:t>
            </w:r>
          </w:p>
          <w:p w14:paraId="739D3B45" w14:textId="77777777" w:rsidR="0044530B" w:rsidRDefault="0044530B" w:rsidP="0044530B">
            <w:pPr>
              <w:spacing w:line="276" w:lineRule="auto"/>
              <w:jc w:val="both"/>
              <w:rPr>
                <w:rFonts w:ascii="Times New Roman" w:hAnsi="Times New Roman"/>
                <w:sz w:val="24"/>
                <w:szCs w:val="24"/>
              </w:rPr>
            </w:pPr>
          </w:p>
          <w:p w14:paraId="71F7A9F1" w14:textId="77777777" w:rsidR="0044530B" w:rsidRPr="0014130C" w:rsidRDefault="0044530B" w:rsidP="0044530B">
            <w:pPr>
              <w:spacing w:line="276" w:lineRule="auto"/>
              <w:jc w:val="both"/>
              <w:rPr>
                <w:rFonts w:ascii="Times New Roman" w:hAnsi="Times New Roman"/>
                <w:sz w:val="24"/>
                <w:szCs w:val="24"/>
              </w:rPr>
            </w:pPr>
          </w:p>
          <w:p w14:paraId="453F87B3" w14:textId="77777777" w:rsidR="0044530B" w:rsidRPr="00334837" w:rsidRDefault="0044530B" w:rsidP="0044530B">
            <w:pPr>
              <w:spacing w:line="276" w:lineRule="auto"/>
              <w:jc w:val="both"/>
              <w:rPr>
                <w:rFonts w:ascii="Times New Roman" w:hAnsi="Times New Roman"/>
                <w:sz w:val="24"/>
                <w:szCs w:val="24"/>
              </w:rPr>
            </w:pPr>
            <w:r w:rsidRPr="0014130C">
              <w:rPr>
                <w:rFonts w:ascii="Times New Roman" w:hAnsi="Times New Roman"/>
                <w:sz w:val="24"/>
                <w:szCs w:val="24"/>
              </w:rPr>
              <w:t>Për sa i përket ndikimeve pa vlerë monetare, shprehemi se opsioni nr.</w:t>
            </w:r>
            <w:r>
              <w:rPr>
                <w:rFonts w:ascii="Times New Roman" w:hAnsi="Times New Roman"/>
                <w:sz w:val="24"/>
                <w:szCs w:val="24"/>
              </w:rPr>
              <w:t>3</w:t>
            </w:r>
            <w:r w:rsidRPr="0014130C">
              <w:rPr>
                <w:rFonts w:ascii="Times New Roman" w:hAnsi="Times New Roman"/>
                <w:sz w:val="24"/>
                <w:szCs w:val="24"/>
              </w:rPr>
              <w:t>, ndikon pozitivisht te qytetarët dhe bizneset, pasi pikërisht këto kategori janë personat përfitues të skemave të veçanta të garancive të huas dhe debitorët e portofolit të kredive të transferuara nga bankat tregtare të nivelit të dytë, me kapital tërësisht shtetëror mbas privatizimit të tyre, dhe ligji i ri mundëson mekanizmat dhe strukturën e posaçme për mbledhjen e detyrimeve të akumuluara nga subjektet përfituese të garancive dhe nënhuave, si dhe garanton rikuperimin e kredive në një kohë të përshpejtuar.</w:t>
            </w:r>
          </w:p>
          <w:p w14:paraId="3145AF53" w14:textId="77777777" w:rsidR="0044530B" w:rsidRDefault="0044530B" w:rsidP="0044530B">
            <w:pPr>
              <w:jc w:val="both"/>
              <w:rPr>
                <w:rFonts w:ascii="Times New Roman" w:hAnsi="Times New Roman"/>
                <w:i/>
                <w:sz w:val="20"/>
                <w:lang w:val="sq-AL"/>
              </w:rPr>
            </w:pPr>
          </w:p>
          <w:p w14:paraId="5963E010" w14:textId="33E8515C" w:rsidR="0044530B" w:rsidRDefault="0044530B" w:rsidP="0044530B">
            <w:pPr>
              <w:spacing w:line="276" w:lineRule="auto"/>
              <w:jc w:val="both"/>
              <w:rPr>
                <w:rFonts w:ascii="Times New Roman" w:hAnsi="Times New Roman"/>
                <w:szCs w:val="22"/>
                <w:lang w:val="sq-AL"/>
              </w:rPr>
            </w:pPr>
            <w:r>
              <w:rPr>
                <w:rFonts w:ascii="Times New Roman" w:hAnsi="Times New Roman"/>
                <w:szCs w:val="22"/>
                <w:lang w:val="sq-AL"/>
              </w:rPr>
              <w:t>Sa m</w:t>
            </w:r>
            <w:r w:rsidR="003162AD">
              <w:rPr>
                <w:rFonts w:ascii="Times New Roman" w:hAnsi="Times New Roman"/>
                <w:szCs w:val="22"/>
                <w:lang w:val="sq-AL"/>
              </w:rPr>
              <w:t>ë</w:t>
            </w:r>
            <w:r>
              <w:rPr>
                <w:rFonts w:ascii="Times New Roman" w:hAnsi="Times New Roman"/>
                <w:szCs w:val="22"/>
                <w:lang w:val="sq-AL"/>
              </w:rPr>
              <w:t xml:space="preserve"> sip</w:t>
            </w:r>
            <w:r w:rsidR="003162AD">
              <w:rPr>
                <w:rFonts w:ascii="Times New Roman" w:hAnsi="Times New Roman"/>
                <w:szCs w:val="22"/>
                <w:lang w:val="sq-AL"/>
              </w:rPr>
              <w:t>ë</w:t>
            </w:r>
            <w:r>
              <w:rPr>
                <w:rFonts w:ascii="Times New Roman" w:hAnsi="Times New Roman"/>
                <w:szCs w:val="22"/>
                <w:lang w:val="sq-AL"/>
              </w:rPr>
              <w:t>r, vler</w:t>
            </w:r>
            <w:r w:rsidR="003162AD">
              <w:rPr>
                <w:rFonts w:ascii="Times New Roman" w:hAnsi="Times New Roman"/>
                <w:szCs w:val="22"/>
                <w:lang w:val="sq-AL"/>
              </w:rPr>
              <w:t>ë</w:t>
            </w:r>
            <w:r>
              <w:rPr>
                <w:rFonts w:ascii="Times New Roman" w:hAnsi="Times New Roman"/>
                <w:szCs w:val="22"/>
                <w:lang w:val="sq-AL"/>
              </w:rPr>
              <w:t>sojm</w:t>
            </w:r>
            <w:r w:rsidR="003162AD">
              <w:rPr>
                <w:rFonts w:ascii="Times New Roman" w:hAnsi="Times New Roman"/>
                <w:szCs w:val="22"/>
                <w:lang w:val="sq-AL"/>
              </w:rPr>
              <w:t>ë</w:t>
            </w:r>
            <w:r>
              <w:rPr>
                <w:rFonts w:ascii="Times New Roman" w:hAnsi="Times New Roman"/>
                <w:szCs w:val="22"/>
                <w:lang w:val="sq-AL"/>
              </w:rPr>
              <w:t xml:space="preserve"> se Opsioni 3 esht</w:t>
            </w:r>
            <w:r w:rsidR="003162AD">
              <w:rPr>
                <w:rFonts w:ascii="Times New Roman" w:hAnsi="Times New Roman"/>
                <w:szCs w:val="22"/>
                <w:lang w:val="sq-AL"/>
              </w:rPr>
              <w:t>ë</w:t>
            </w:r>
            <w:r>
              <w:rPr>
                <w:rFonts w:ascii="Times New Roman" w:hAnsi="Times New Roman"/>
                <w:szCs w:val="22"/>
                <w:lang w:val="sq-AL"/>
              </w:rPr>
              <w:t xml:space="preserve"> opsioni i preferuar.</w:t>
            </w:r>
          </w:p>
          <w:p w14:paraId="3C5A5DD3" w14:textId="77777777" w:rsidR="0081224E" w:rsidRDefault="0081224E" w:rsidP="00C62D95">
            <w:pPr>
              <w:spacing w:line="276" w:lineRule="auto"/>
              <w:jc w:val="both"/>
              <w:rPr>
                <w:rFonts w:ascii="Times New Roman" w:hAnsi="Times New Roman"/>
                <w:bCs/>
                <w:color w:val="FF0000"/>
                <w:sz w:val="24"/>
                <w:szCs w:val="24"/>
                <w:lang w:val="sq-AL"/>
              </w:rPr>
            </w:pPr>
          </w:p>
          <w:p w14:paraId="3A1C6D98" w14:textId="77777777" w:rsidR="0081224E" w:rsidRPr="00172B31" w:rsidRDefault="0081224E" w:rsidP="00C62D95">
            <w:pPr>
              <w:spacing w:line="276" w:lineRule="auto"/>
              <w:jc w:val="both"/>
              <w:rPr>
                <w:rFonts w:ascii="Times New Roman" w:hAnsi="Times New Roman"/>
                <w:sz w:val="24"/>
                <w:szCs w:val="24"/>
                <w:lang w:val="sq-AL"/>
              </w:rPr>
            </w:pPr>
          </w:p>
          <w:p w14:paraId="19DEAAEB" w14:textId="77777777" w:rsidR="00C1415C" w:rsidRPr="004E7606" w:rsidRDefault="00D26002" w:rsidP="00A84726">
            <w:pPr>
              <w:jc w:val="both"/>
              <w:rPr>
                <w:rFonts w:ascii="Times New Roman" w:hAnsi="Times New Roman"/>
                <w:b/>
                <w:szCs w:val="22"/>
                <w:lang w:val="sq-AL"/>
              </w:rPr>
            </w:pPr>
            <w:r w:rsidRPr="004E7606">
              <w:rPr>
                <w:rFonts w:ascii="Times New Roman" w:hAnsi="Times New Roman"/>
                <w:b/>
                <w:szCs w:val="22"/>
                <w:lang w:val="sq-AL"/>
              </w:rPr>
              <w:t xml:space="preserve">Kostoja </w:t>
            </w:r>
            <w:r w:rsidR="00CA1086" w:rsidRPr="004E7606">
              <w:rPr>
                <w:rFonts w:ascii="Times New Roman" w:hAnsi="Times New Roman"/>
                <w:b/>
                <w:szCs w:val="22"/>
                <w:lang w:val="sq-AL"/>
              </w:rPr>
              <w:t xml:space="preserve">e përllogaritur në </w:t>
            </w:r>
            <w:r w:rsidRPr="004E7606">
              <w:rPr>
                <w:rFonts w:ascii="Times New Roman" w:hAnsi="Times New Roman"/>
                <w:b/>
                <w:szCs w:val="22"/>
                <w:lang w:val="sq-AL"/>
              </w:rPr>
              <w:t>total</w:t>
            </w:r>
            <w:r w:rsidR="00CA1086" w:rsidRPr="004E7606">
              <w:rPr>
                <w:rFonts w:ascii="Times New Roman" w:hAnsi="Times New Roman"/>
                <w:b/>
                <w:szCs w:val="22"/>
                <w:lang w:val="sq-AL"/>
              </w:rPr>
              <w:t xml:space="preserve"> e opsionit të preferuar mbi</w:t>
            </w:r>
            <w:r w:rsidRPr="004E7606">
              <w:rPr>
                <w:rFonts w:ascii="Times New Roman" w:hAnsi="Times New Roman"/>
                <w:b/>
                <w:szCs w:val="22"/>
                <w:lang w:val="sq-AL"/>
              </w:rPr>
              <w:t xml:space="preserve"> buxheti</w:t>
            </w:r>
            <w:r w:rsidR="00CA1086" w:rsidRPr="004E7606">
              <w:rPr>
                <w:rFonts w:ascii="Times New Roman" w:hAnsi="Times New Roman"/>
                <w:b/>
                <w:szCs w:val="22"/>
                <w:lang w:val="sq-AL"/>
              </w:rPr>
              <w:t>n</w:t>
            </w:r>
            <w:r w:rsidRPr="004E7606">
              <w:rPr>
                <w:rFonts w:ascii="Times New Roman" w:hAnsi="Times New Roman"/>
                <w:b/>
                <w:szCs w:val="22"/>
                <w:lang w:val="sq-AL"/>
              </w:rPr>
              <w:t xml:space="preserve"> e shtetit gjatë periudhës 3-vjeçare menjëherë pas miratimit të ligjit (kostoja </w:t>
            </w:r>
            <w:r w:rsidR="00CA1086" w:rsidRPr="004E7606">
              <w:rPr>
                <w:rFonts w:ascii="Times New Roman" w:hAnsi="Times New Roman"/>
                <w:b/>
                <w:szCs w:val="22"/>
                <w:lang w:val="sq-AL"/>
              </w:rPr>
              <w:t xml:space="preserve">në </w:t>
            </w:r>
            <w:r w:rsidRPr="004E7606">
              <w:rPr>
                <w:rFonts w:ascii="Times New Roman" w:hAnsi="Times New Roman"/>
                <w:b/>
                <w:szCs w:val="22"/>
                <w:lang w:val="sq-AL"/>
              </w:rPr>
              <w:t>total në lek, çmimet aktuale, në terma nominalë</w:t>
            </w:r>
            <w:r w:rsidR="00C1415C" w:rsidRPr="004E7606">
              <w:rPr>
                <w:rFonts w:ascii="Times New Roman" w:hAnsi="Times New Roman"/>
                <w:b/>
                <w:szCs w:val="22"/>
                <w:lang w:val="sq-AL"/>
              </w:rPr>
              <w:t>):</w:t>
            </w:r>
          </w:p>
          <w:p w14:paraId="0E4FC427" w14:textId="77777777" w:rsidR="00C62D95" w:rsidRPr="004E7606" w:rsidRDefault="00C62D95" w:rsidP="00A84726">
            <w:pPr>
              <w:jc w:val="both"/>
              <w:rPr>
                <w:rFonts w:ascii="Times New Roman" w:hAnsi="Times New Roman"/>
                <w:b/>
                <w:szCs w:val="22"/>
                <w:lang w:val="sq-AL"/>
              </w:rPr>
            </w:pPr>
          </w:p>
          <w:tbl>
            <w:tblPr>
              <w:tblStyle w:val="TableGrid"/>
              <w:tblW w:w="0" w:type="auto"/>
              <w:tblLook w:val="04A0" w:firstRow="1" w:lastRow="0" w:firstColumn="1" w:lastColumn="0" w:noHBand="0" w:noVBand="1"/>
            </w:tblPr>
            <w:tblGrid>
              <w:gridCol w:w="2928"/>
              <w:gridCol w:w="2928"/>
              <w:gridCol w:w="2929"/>
            </w:tblGrid>
            <w:tr w:rsidR="00C1415C" w:rsidRPr="004E7606" w14:paraId="4AF15E9E" w14:textId="77777777" w:rsidTr="658D74BF">
              <w:tc>
                <w:tcPr>
                  <w:tcW w:w="2928" w:type="dxa"/>
                  <w:shd w:val="clear" w:color="auto" w:fill="D9D9D9" w:themeFill="background1" w:themeFillShade="D9"/>
                </w:tcPr>
                <w:p w14:paraId="2524CA49" w14:textId="3BD0B865" w:rsidR="00C1415C" w:rsidRPr="004E7606" w:rsidRDefault="658D74BF" w:rsidP="658D74BF">
                  <w:pPr>
                    <w:jc w:val="center"/>
                    <w:rPr>
                      <w:rFonts w:ascii="Times New Roman" w:hAnsi="Times New Roman"/>
                      <w:b/>
                      <w:bCs/>
                      <w:lang w:val="sq-AL"/>
                    </w:rPr>
                  </w:pPr>
                  <w:r w:rsidRPr="658D74BF">
                    <w:rPr>
                      <w:rFonts w:ascii="Times New Roman" w:hAnsi="Times New Roman"/>
                      <w:b/>
                      <w:bCs/>
                      <w:lang w:val="sq-AL"/>
                    </w:rPr>
                    <w:t>Viti 20</w:t>
                  </w:r>
                  <w:r w:rsidR="00637C84">
                    <w:rPr>
                      <w:rFonts w:ascii="Times New Roman" w:hAnsi="Times New Roman"/>
                      <w:b/>
                      <w:bCs/>
                      <w:lang w:val="sq-AL"/>
                    </w:rPr>
                    <w:t>23</w:t>
                  </w:r>
                  <w:r w:rsidR="00A85A30">
                    <w:rPr>
                      <w:rFonts w:ascii="Times New Roman" w:hAnsi="Times New Roman"/>
                      <w:b/>
                      <w:bCs/>
                      <w:lang w:val="sq-AL"/>
                    </w:rPr>
                    <w:t xml:space="preserve"> (lekë)</w:t>
                  </w:r>
                </w:p>
              </w:tc>
              <w:tc>
                <w:tcPr>
                  <w:tcW w:w="2928" w:type="dxa"/>
                  <w:shd w:val="clear" w:color="auto" w:fill="D9D9D9" w:themeFill="background1" w:themeFillShade="D9"/>
                </w:tcPr>
                <w:p w14:paraId="0F711C41" w14:textId="78AC51D9" w:rsidR="00C1415C" w:rsidRPr="004E7606" w:rsidRDefault="00CA1086" w:rsidP="00674B77">
                  <w:pPr>
                    <w:jc w:val="center"/>
                    <w:rPr>
                      <w:rFonts w:ascii="Times New Roman" w:hAnsi="Times New Roman"/>
                      <w:b/>
                      <w:szCs w:val="22"/>
                      <w:lang w:val="sq-AL"/>
                    </w:rPr>
                  </w:pPr>
                  <w:r w:rsidRPr="004E7606">
                    <w:rPr>
                      <w:rFonts w:ascii="Times New Roman" w:hAnsi="Times New Roman"/>
                      <w:b/>
                      <w:szCs w:val="22"/>
                      <w:lang w:val="sq-AL"/>
                    </w:rPr>
                    <w:t>Viti</w:t>
                  </w:r>
                  <w:r w:rsidR="00C1415C" w:rsidRPr="004E7606">
                    <w:rPr>
                      <w:rFonts w:ascii="Times New Roman" w:hAnsi="Times New Roman"/>
                      <w:b/>
                      <w:szCs w:val="22"/>
                      <w:lang w:val="sq-AL"/>
                    </w:rPr>
                    <w:t xml:space="preserve"> </w:t>
                  </w:r>
                  <w:r w:rsidR="003B3680" w:rsidRPr="004E7606">
                    <w:rPr>
                      <w:rFonts w:ascii="Times New Roman" w:hAnsi="Times New Roman"/>
                      <w:b/>
                      <w:szCs w:val="22"/>
                      <w:lang w:val="sq-AL"/>
                    </w:rPr>
                    <w:t>202</w:t>
                  </w:r>
                  <w:r w:rsidR="00637C84">
                    <w:rPr>
                      <w:rFonts w:ascii="Times New Roman" w:hAnsi="Times New Roman"/>
                      <w:b/>
                      <w:szCs w:val="22"/>
                      <w:lang w:val="sq-AL"/>
                    </w:rPr>
                    <w:t>4</w:t>
                  </w:r>
                  <w:r w:rsidR="00A85A30">
                    <w:rPr>
                      <w:rFonts w:ascii="Times New Roman" w:hAnsi="Times New Roman"/>
                      <w:b/>
                      <w:szCs w:val="22"/>
                      <w:lang w:val="sq-AL"/>
                    </w:rPr>
                    <w:t xml:space="preserve"> </w:t>
                  </w:r>
                  <w:r w:rsidR="00A85A30">
                    <w:rPr>
                      <w:rFonts w:ascii="Times New Roman" w:hAnsi="Times New Roman"/>
                      <w:b/>
                      <w:bCs/>
                      <w:lang w:val="sq-AL"/>
                    </w:rPr>
                    <w:t>(lekë)</w:t>
                  </w:r>
                </w:p>
              </w:tc>
              <w:tc>
                <w:tcPr>
                  <w:tcW w:w="2929" w:type="dxa"/>
                  <w:shd w:val="clear" w:color="auto" w:fill="D9D9D9" w:themeFill="background1" w:themeFillShade="D9"/>
                </w:tcPr>
                <w:p w14:paraId="015592E7" w14:textId="26BA02D3" w:rsidR="00C1415C" w:rsidRPr="004E7606" w:rsidRDefault="658D74BF" w:rsidP="658D74BF">
                  <w:pPr>
                    <w:jc w:val="center"/>
                    <w:rPr>
                      <w:rFonts w:ascii="Times New Roman" w:hAnsi="Times New Roman"/>
                      <w:b/>
                      <w:bCs/>
                      <w:lang w:val="sq-AL"/>
                    </w:rPr>
                  </w:pPr>
                  <w:r w:rsidRPr="658D74BF">
                    <w:rPr>
                      <w:rFonts w:ascii="Times New Roman" w:hAnsi="Times New Roman"/>
                      <w:b/>
                      <w:bCs/>
                      <w:lang w:val="sq-AL"/>
                    </w:rPr>
                    <w:t>Viti 202</w:t>
                  </w:r>
                  <w:r w:rsidR="00637C84">
                    <w:rPr>
                      <w:rFonts w:ascii="Times New Roman" w:hAnsi="Times New Roman"/>
                      <w:b/>
                      <w:bCs/>
                      <w:lang w:val="sq-AL"/>
                    </w:rPr>
                    <w:t>5</w:t>
                  </w:r>
                  <w:r w:rsidR="00A85A30">
                    <w:rPr>
                      <w:rFonts w:ascii="Times New Roman" w:hAnsi="Times New Roman"/>
                      <w:b/>
                      <w:bCs/>
                      <w:lang w:val="sq-AL"/>
                    </w:rPr>
                    <w:t xml:space="preserve"> (lekë)</w:t>
                  </w:r>
                </w:p>
              </w:tc>
            </w:tr>
            <w:tr w:rsidR="00C1415C" w:rsidRPr="004E7606" w14:paraId="075F054C" w14:textId="77777777" w:rsidTr="658D74BF">
              <w:tc>
                <w:tcPr>
                  <w:tcW w:w="2928" w:type="dxa"/>
                </w:tcPr>
                <w:p w14:paraId="28C79DCE" w14:textId="74F42714" w:rsidR="00C1415C" w:rsidRPr="0081224E" w:rsidRDefault="0067260C" w:rsidP="00CA1086">
                  <w:pPr>
                    <w:jc w:val="center"/>
                    <w:rPr>
                      <w:rFonts w:ascii="Times New Roman" w:hAnsi="Times New Roman"/>
                      <w:szCs w:val="22"/>
                      <w:lang w:val="sq-AL"/>
                    </w:rPr>
                  </w:pPr>
                  <w:r>
                    <w:rPr>
                      <w:rFonts w:ascii="Times New Roman" w:hAnsi="Times New Roman"/>
                      <w:szCs w:val="22"/>
                      <w:lang w:val="sq-AL"/>
                    </w:rPr>
                    <w:t>6</w:t>
                  </w:r>
                </w:p>
              </w:tc>
              <w:tc>
                <w:tcPr>
                  <w:tcW w:w="2928" w:type="dxa"/>
                </w:tcPr>
                <w:p w14:paraId="0CFDB4F1" w14:textId="558C145D" w:rsidR="00C1415C" w:rsidRPr="0081224E" w:rsidRDefault="0067260C" w:rsidP="0081224E">
                  <w:pPr>
                    <w:jc w:val="center"/>
                    <w:rPr>
                      <w:rFonts w:ascii="Times New Roman" w:hAnsi="Times New Roman"/>
                      <w:color w:val="000000"/>
                      <w:szCs w:val="22"/>
                    </w:rPr>
                  </w:pPr>
                  <w:r>
                    <w:rPr>
                      <w:rFonts w:ascii="Times New Roman" w:hAnsi="Times New Roman"/>
                      <w:color w:val="000000"/>
                      <w:szCs w:val="22"/>
                    </w:rPr>
                    <w:t>0</w:t>
                  </w:r>
                </w:p>
              </w:tc>
              <w:tc>
                <w:tcPr>
                  <w:tcW w:w="2929" w:type="dxa"/>
                </w:tcPr>
                <w:p w14:paraId="7C133180" w14:textId="79F6156A" w:rsidR="00C1415C" w:rsidRPr="0081224E" w:rsidRDefault="0067260C" w:rsidP="00A8036A">
                  <w:pPr>
                    <w:jc w:val="center"/>
                    <w:rPr>
                      <w:rFonts w:ascii="Times New Roman" w:hAnsi="Times New Roman"/>
                      <w:szCs w:val="22"/>
                      <w:lang w:val="sq-AL"/>
                    </w:rPr>
                  </w:pPr>
                  <w:r>
                    <w:rPr>
                      <w:rFonts w:ascii="Times New Roman" w:hAnsi="Times New Roman"/>
                      <w:color w:val="000000"/>
                      <w:szCs w:val="22"/>
                    </w:rPr>
                    <w:t>0</w:t>
                  </w:r>
                </w:p>
              </w:tc>
            </w:tr>
            <w:tr w:rsidR="00C62D95" w:rsidRPr="004E7606" w14:paraId="605D3815" w14:textId="77777777" w:rsidTr="658D74BF">
              <w:tc>
                <w:tcPr>
                  <w:tcW w:w="2928" w:type="dxa"/>
                </w:tcPr>
                <w:p w14:paraId="635AE995" w14:textId="77777777" w:rsidR="00C62D95" w:rsidRPr="004E7606" w:rsidRDefault="00C62D95" w:rsidP="00C62D95">
                  <w:pPr>
                    <w:rPr>
                      <w:rFonts w:ascii="Times New Roman" w:hAnsi="Times New Roman"/>
                      <w:b/>
                      <w:szCs w:val="22"/>
                      <w:lang w:val="sq-AL"/>
                    </w:rPr>
                  </w:pPr>
                </w:p>
              </w:tc>
              <w:tc>
                <w:tcPr>
                  <w:tcW w:w="2928" w:type="dxa"/>
                </w:tcPr>
                <w:p w14:paraId="31BFE314" w14:textId="77777777" w:rsidR="00C62D95" w:rsidRPr="004E7606" w:rsidRDefault="00C62D95" w:rsidP="00A8036A">
                  <w:pPr>
                    <w:jc w:val="center"/>
                    <w:rPr>
                      <w:rFonts w:ascii="Times New Roman" w:hAnsi="Times New Roman"/>
                      <w:b/>
                      <w:szCs w:val="22"/>
                      <w:lang w:val="sq-AL"/>
                    </w:rPr>
                  </w:pPr>
                </w:p>
              </w:tc>
              <w:tc>
                <w:tcPr>
                  <w:tcW w:w="2929" w:type="dxa"/>
                </w:tcPr>
                <w:p w14:paraId="297749F6" w14:textId="77777777" w:rsidR="00C62D95" w:rsidRPr="004E7606" w:rsidRDefault="00C62D95" w:rsidP="00A8036A">
                  <w:pPr>
                    <w:jc w:val="center"/>
                    <w:rPr>
                      <w:rFonts w:ascii="Times New Roman" w:hAnsi="Times New Roman"/>
                      <w:b/>
                      <w:szCs w:val="22"/>
                      <w:lang w:val="sq-AL"/>
                    </w:rPr>
                  </w:pPr>
                </w:p>
              </w:tc>
            </w:tr>
          </w:tbl>
          <w:p w14:paraId="733D7609" w14:textId="77777777" w:rsidR="00C1415C" w:rsidRPr="004E7606" w:rsidRDefault="00C1415C" w:rsidP="00A84726">
            <w:pPr>
              <w:jc w:val="both"/>
              <w:rPr>
                <w:rFonts w:ascii="Times New Roman" w:hAnsi="Times New Roman"/>
                <w:b/>
                <w:szCs w:val="22"/>
                <w:lang w:val="sq-AL"/>
              </w:rPr>
            </w:pPr>
          </w:p>
        </w:tc>
      </w:tr>
      <w:tr w:rsidR="00A84726" w:rsidRPr="004E7606" w14:paraId="7C434369"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A21FB" w14:textId="77777777" w:rsidR="00A84726" w:rsidRDefault="00A84726" w:rsidP="00A84726">
            <w:pPr>
              <w:jc w:val="both"/>
              <w:rPr>
                <w:rFonts w:ascii="Times New Roman" w:hAnsi="Times New Roman"/>
                <w:b/>
                <w:szCs w:val="22"/>
                <w:lang w:val="sq-AL"/>
              </w:rPr>
            </w:pPr>
          </w:p>
          <w:p w14:paraId="49DF3C2F" w14:textId="6B19A814" w:rsidR="00A02DE4" w:rsidRPr="00A02DE4" w:rsidRDefault="00A02DE4" w:rsidP="00A84726">
            <w:pPr>
              <w:jc w:val="both"/>
              <w:rPr>
                <w:rFonts w:ascii="Times New Roman" w:hAnsi="Times New Roman"/>
                <w:sz w:val="24"/>
                <w:szCs w:val="24"/>
                <w:lang w:val="sq-AL"/>
              </w:rPr>
            </w:pPr>
            <w:r w:rsidRPr="00A02DE4">
              <w:rPr>
                <w:rFonts w:ascii="Times New Roman" w:hAnsi="Times New Roman"/>
                <w:sz w:val="24"/>
                <w:szCs w:val="24"/>
                <w:lang w:val="sq-AL"/>
              </w:rPr>
              <w:t>Shifrat e paraqitura në tabelë për Vitet 2023, 2024, 2025 kanë ardhur si rrjedhojë e shumës së shpenzimeve për zërat e detajuara dhe analizuar në bazë të nevoja</w:t>
            </w:r>
            <w:r w:rsidR="006C0ADA">
              <w:rPr>
                <w:rFonts w:ascii="Times New Roman" w:hAnsi="Times New Roman"/>
                <w:sz w:val="24"/>
                <w:szCs w:val="24"/>
                <w:lang w:val="sq-AL"/>
              </w:rPr>
              <w:t>ve</w:t>
            </w:r>
            <w:r w:rsidRPr="00A02DE4">
              <w:rPr>
                <w:rFonts w:ascii="Times New Roman" w:hAnsi="Times New Roman"/>
                <w:sz w:val="24"/>
                <w:szCs w:val="24"/>
                <w:lang w:val="sq-AL"/>
              </w:rPr>
              <w:t xml:space="preserve"> të institucionit.</w:t>
            </w:r>
          </w:p>
          <w:p w14:paraId="6BEE0793" w14:textId="70A07758" w:rsidR="00A02DE4" w:rsidRPr="00A02DE4" w:rsidRDefault="00A02DE4" w:rsidP="00A02DE4">
            <w:pPr>
              <w:shd w:val="clear" w:color="auto" w:fill="FFFFFF"/>
              <w:jc w:val="both"/>
              <w:rPr>
                <w:rFonts w:ascii="Times New Roman" w:hAnsi="Times New Roman"/>
                <w:color w:val="000000"/>
                <w:sz w:val="24"/>
                <w:szCs w:val="24"/>
              </w:rPr>
            </w:pPr>
            <w:r w:rsidRPr="00A02DE4">
              <w:rPr>
                <w:rStyle w:val="contentpasted0"/>
                <w:rFonts w:ascii="Times New Roman" w:eastAsiaTheme="majorEastAsia" w:hAnsi="Times New Roman"/>
                <w:color w:val="212121"/>
                <w:sz w:val="24"/>
                <w:szCs w:val="24"/>
                <w:shd w:val="clear" w:color="auto" w:fill="FFFFFF"/>
              </w:rPr>
              <w:t xml:space="preserve">Në krahasim me dy vitet 2024 dhe 2025, për </w:t>
            </w:r>
            <w:r w:rsidR="00AC7323">
              <w:rPr>
                <w:rStyle w:val="contentpasted0"/>
                <w:rFonts w:ascii="Times New Roman" w:eastAsiaTheme="majorEastAsia" w:hAnsi="Times New Roman"/>
                <w:color w:val="212121"/>
                <w:sz w:val="24"/>
                <w:szCs w:val="24"/>
                <w:shd w:val="clear" w:color="auto" w:fill="FFFFFF"/>
              </w:rPr>
              <w:t>v</w:t>
            </w:r>
            <w:r w:rsidRPr="00A02DE4">
              <w:rPr>
                <w:rStyle w:val="contentpasted0"/>
                <w:rFonts w:ascii="Times New Roman" w:eastAsiaTheme="majorEastAsia" w:hAnsi="Times New Roman"/>
                <w:color w:val="212121"/>
                <w:sz w:val="24"/>
                <w:szCs w:val="24"/>
                <w:shd w:val="clear" w:color="auto" w:fill="FFFFFF"/>
              </w:rPr>
              <w:t xml:space="preserve">itin 2023 është lënë shifra në shumën </w:t>
            </w:r>
            <w:r w:rsidR="0067260C">
              <w:rPr>
                <w:rStyle w:val="contentpasted0"/>
                <w:rFonts w:ascii="Times New Roman" w:eastAsiaTheme="majorEastAsia" w:hAnsi="Times New Roman"/>
                <w:color w:val="212121"/>
                <w:sz w:val="24"/>
                <w:szCs w:val="24"/>
                <w:shd w:val="clear" w:color="auto" w:fill="FFFFFF"/>
              </w:rPr>
              <w:t>6 milion lek</w:t>
            </w:r>
            <w:r w:rsidR="003162AD">
              <w:rPr>
                <w:rStyle w:val="contentpasted0"/>
                <w:rFonts w:ascii="Times New Roman" w:eastAsiaTheme="majorEastAsia" w:hAnsi="Times New Roman"/>
                <w:color w:val="212121"/>
                <w:sz w:val="24"/>
                <w:szCs w:val="24"/>
                <w:shd w:val="clear" w:color="auto" w:fill="FFFFFF"/>
              </w:rPr>
              <w:t>ë</w:t>
            </w:r>
            <w:r w:rsidRPr="00A02DE4">
              <w:rPr>
                <w:rStyle w:val="contentpasted0"/>
                <w:rFonts w:ascii="Times New Roman" w:eastAsiaTheme="majorEastAsia" w:hAnsi="Times New Roman"/>
                <w:color w:val="212121"/>
                <w:sz w:val="24"/>
                <w:szCs w:val="24"/>
                <w:shd w:val="clear" w:color="auto" w:fill="FFFFFF"/>
              </w:rPr>
              <w:t xml:space="preserve"> për buxhetin, pasi vitin e parë janë parashikuar si zëra, shpenzimet për buxhetin (1 herë), konkretisht implementimi i një sistemi si dhe një automjet shtesë për nevoja institucionale. </w:t>
            </w:r>
          </w:p>
          <w:p w14:paraId="25A58173" w14:textId="77777777" w:rsidR="00A02DE4" w:rsidRPr="00A02DE4" w:rsidRDefault="00A02DE4" w:rsidP="00A02DE4">
            <w:pPr>
              <w:shd w:val="clear" w:color="auto" w:fill="FFFFFF"/>
              <w:jc w:val="both"/>
              <w:rPr>
                <w:rFonts w:ascii="Times New Roman" w:hAnsi="Times New Roman"/>
                <w:color w:val="000000"/>
                <w:sz w:val="24"/>
                <w:szCs w:val="24"/>
              </w:rPr>
            </w:pPr>
            <w:r w:rsidRPr="00A02DE4">
              <w:rPr>
                <w:rFonts w:ascii="Times New Roman" w:hAnsi="Times New Roman"/>
                <w:color w:val="212121"/>
                <w:sz w:val="24"/>
                <w:szCs w:val="24"/>
                <w:shd w:val="clear" w:color="auto" w:fill="FFFFFF"/>
              </w:rPr>
              <w:t> </w:t>
            </w:r>
          </w:p>
          <w:p w14:paraId="5963D3BF" w14:textId="3C2F2D68" w:rsidR="00A02DE4" w:rsidRPr="00A02DE4" w:rsidRDefault="00A02DE4" w:rsidP="00A02DE4">
            <w:pPr>
              <w:shd w:val="clear" w:color="auto" w:fill="FFFFFF"/>
              <w:jc w:val="both"/>
              <w:rPr>
                <w:rFonts w:ascii="Times New Roman" w:hAnsi="Times New Roman"/>
                <w:color w:val="000000"/>
                <w:sz w:val="24"/>
                <w:szCs w:val="24"/>
              </w:rPr>
            </w:pPr>
            <w:r w:rsidRPr="00A02DE4">
              <w:rPr>
                <w:rStyle w:val="contentpasted0"/>
                <w:rFonts w:ascii="Times New Roman" w:eastAsiaTheme="majorEastAsia" w:hAnsi="Times New Roman"/>
                <w:color w:val="212121"/>
                <w:sz w:val="24"/>
                <w:szCs w:val="24"/>
                <w:shd w:val="clear" w:color="auto" w:fill="FFFFFF"/>
              </w:rPr>
              <w:t>Përllogaritja e kostove në tabelë i referohe</w:t>
            </w:r>
            <w:r w:rsidR="00AC7323">
              <w:rPr>
                <w:rStyle w:val="contentpasted0"/>
                <w:rFonts w:ascii="Times New Roman" w:eastAsiaTheme="majorEastAsia" w:hAnsi="Times New Roman"/>
                <w:color w:val="212121"/>
                <w:sz w:val="24"/>
                <w:szCs w:val="24"/>
                <w:shd w:val="clear" w:color="auto" w:fill="FFFFFF"/>
              </w:rPr>
              <w:t>t</w:t>
            </w:r>
            <w:r w:rsidRPr="00A02DE4">
              <w:rPr>
                <w:rStyle w:val="contentpasted0"/>
                <w:rFonts w:ascii="Times New Roman" w:eastAsiaTheme="majorEastAsia" w:hAnsi="Times New Roman"/>
                <w:color w:val="212121"/>
                <w:sz w:val="24"/>
                <w:szCs w:val="24"/>
                <w:shd w:val="clear" w:color="auto" w:fill="FFFFFF"/>
              </w:rPr>
              <w:t xml:space="preserve"> një buxheti vjetor </w:t>
            </w:r>
            <w:r w:rsidR="00AC7323">
              <w:rPr>
                <w:rStyle w:val="contentpasted0"/>
                <w:rFonts w:ascii="Times New Roman" w:eastAsiaTheme="majorEastAsia" w:hAnsi="Times New Roman"/>
                <w:color w:val="212121"/>
                <w:sz w:val="24"/>
                <w:szCs w:val="24"/>
                <w:shd w:val="clear" w:color="auto" w:fill="FFFFFF"/>
              </w:rPr>
              <w:t>t</w:t>
            </w:r>
            <w:r w:rsidR="00AC7323">
              <w:rPr>
                <w:rStyle w:val="contentpasted0"/>
                <w:rFonts w:eastAsiaTheme="majorEastAsia"/>
                <w:color w:val="212121"/>
                <w:szCs w:val="24"/>
                <w:shd w:val="clear" w:color="auto" w:fill="FFFFFF"/>
              </w:rPr>
              <w:t>ë</w:t>
            </w:r>
            <w:r w:rsidRPr="00A02DE4">
              <w:rPr>
                <w:rStyle w:val="contentpasted0"/>
                <w:rFonts w:ascii="Times New Roman" w:eastAsiaTheme="majorEastAsia" w:hAnsi="Times New Roman"/>
                <w:color w:val="212121"/>
                <w:sz w:val="24"/>
                <w:szCs w:val="24"/>
                <w:shd w:val="clear" w:color="auto" w:fill="FFFFFF"/>
              </w:rPr>
              <w:t xml:space="preserve"> nevojshëm për mbarëvajtjen me sukses të instititucionit.  </w:t>
            </w:r>
          </w:p>
          <w:p w14:paraId="6B9D8A99" w14:textId="77777777" w:rsidR="00A02DE4" w:rsidRDefault="00A02DE4" w:rsidP="00A84726">
            <w:pPr>
              <w:jc w:val="both"/>
              <w:rPr>
                <w:rFonts w:ascii="Times New Roman" w:hAnsi="Times New Roman"/>
                <w:b/>
                <w:szCs w:val="22"/>
                <w:lang w:val="sq-AL"/>
              </w:rPr>
            </w:pPr>
          </w:p>
          <w:p w14:paraId="755295A1" w14:textId="6156614A" w:rsidR="00A02DE4" w:rsidRPr="004E7606" w:rsidRDefault="00A02DE4" w:rsidP="00A84726">
            <w:pPr>
              <w:jc w:val="both"/>
              <w:rPr>
                <w:rFonts w:ascii="Times New Roman" w:hAnsi="Times New Roman"/>
                <w:b/>
                <w:szCs w:val="22"/>
                <w:lang w:val="sq-AL"/>
              </w:rPr>
            </w:pPr>
          </w:p>
        </w:tc>
      </w:tr>
      <w:tr w:rsidR="00A84726" w:rsidRPr="004E7606" w14:paraId="2390B70C"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E1226" w14:textId="77777777" w:rsidR="00A84726" w:rsidRPr="004E7606" w:rsidRDefault="658D74BF" w:rsidP="658D74BF">
            <w:pPr>
              <w:spacing w:line="276" w:lineRule="auto"/>
              <w:jc w:val="both"/>
              <w:rPr>
                <w:rFonts w:ascii="Times New Roman" w:hAnsi="Times New Roman"/>
                <w:b/>
                <w:bCs/>
                <w:lang w:val="sq-AL"/>
              </w:rPr>
            </w:pPr>
            <w:r w:rsidRPr="658D74BF">
              <w:rPr>
                <w:rFonts w:ascii="Times New Roman" w:hAnsi="Times New Roman"/>
                <w:b/>
                <w:bCs/>
                <w:lang w:val="sq-AL"/>
              </w:rPr>
              <w:t>KONSULTIMI</w:t>
            </w:r>
          </w:p>
          <w:p w14:paraId="6E8B1125" w14:textId="77777777" w:rsidR="008428C8" w:rsidRPr="00172B31" w:rsidRDefault="00CA1086" w:rsidP="00F857E3">
            <w:pPr>
              <w:spacing w:line="276" w:lineRule="auto"/>
              <w:jc w:val="both"/>
              <w:rPr>
                <w:rFonts w:ascii="Times New Roman" w:hAnsi="Times New Roman"/>
                <w:i/>
                <w:sz w:val="20"/>
                <w:lang w:val="sq-AL"/>
              </w:rPr>
            </w:pPr>
            <w:r w:rsidRPr="00172B31">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172B31">
              <w:rPr>
                <w:rFonts w:ascii="Times New Roman" w:hAnsi="Times New Roman"/>
                <w:i/>
                <w:sz w:val="20"/>
                <w:lang w:val="sq-AL"/>
              </w:rPr>
              <w:t>?)</w:t>
            </w:r>
          </w:p>
          <w:p w14:paraId="64F35A45" w14:textId="55C3B622" w:rsidR="00514863" w:rsidRDefault="52509E66" w:rsidP="00927A29">
            <w:pPr>
              <w:spacing w:line="276" w:lineRule="auto"/>
              <w:jc w:val="both"/>
              <w:rPr>
                <w:rFonts w:ascii="Times New Roman" w:hAnsi="Times New Roman"/>
                <w:sz w:val="24"/>
                <w:szCs w:val="24"/>
                <w:lang w:val="sq-AL"/>
              </w:rPr>
            </w:pPr>
            <w:r w:rsidRPr="002C7E6C">
              <w:rPr>
                <w:rFonts w:ascii="Times New Roman" w:hAnsi="Times New Roman"/>
                <w:sz w:val="24"/>
                <w:szCs w:val="24"/>
                <w:lang w:val="sq-AL"/>
              </w:rPr>
              <w:t>Ndërhyrja e synuar është hedhur për konsultim publik në Regjistrin Eelektronik të Njoftimeve dhe Konsultimit Publik</w:t>
            </w:r>
            <w:r w:rsidR="007F4273">
              <w:rPr>
                <w:rFonts w:ascii="Times New Roman" w:hAnsi="Times New Roman"/>
                <w:sz w:val="24"/>
                <w:szCs w:val="24"/>
                <w:lang w:val="sq-AL"/>
              </w:rPr>
              <w:t xml:space="preserve"> në harkun kohor </w:t>
            </w:r>
            <w:r w:rsidR="007F4273" w:rsidRPr="00533008">
              <w:rPr>
                <w:rFonts w:ascii="Times New Roman" w:hAnsi="Times New Roman"/>
                <w:color w:val="000000" w:themeColor="text1"/>
                <w:sz w:val="24"/>
                <w:szCs w:val="24"/>
                <w:lang w:val="sq-AL"/>
              </w:rPr>
              <w:t>1 dhjetor 2021-1 janar 2022</w:t>
            </w:r>
            <w:r w:rsidRPr="002C7E6C">
              <w:rPr>
                <w:rFonts w:ascii="Times New Roman" w:hAnsi="Times New Roman"/>
                <w:sz w:val="24"/>
                <w:szCs w:val="24"/>
                <w:lang w:val="sq-AL"/>
              </w:rPr>
              <w:t xml:space="preserve"> ku nuk ka pasur komente/sugjerime prej palëvë të interesuara. </w:t>
            </w:r>
            <w:r w:rsidR="00927A29">
              <w:rPr>
                <w:rFonts w:ascii="Times New Roman" w:hAnsi="Times New Roman"/>
                <w:sz w:val="24"/>
                <w:szCs w:val="24"/>
                <w:lang w:val="sq-AL"/>
              </w:rPr>
              <w:t>Pavarësisht që</w:t>
            </w:r>
            <w:r w:rsidR="00927A29" w:rsidRPr="002C7E6C">
              <w:rPr>
                <w:rFonts w:ascii="Times New Roman" w:hAnsi="Times New Roman"/>
                <w:sz w:val="24"/>
                <w:szCs w:val="24"/>
                <w:lang w:val="sq-AL"/>
              </w:rPr>
              <w:t xml:space="preserve"> nuk kemi marrë asnjë koment</w:t>
            </w:r>
            <w:r w:rsidR="00927A29">
              <w:rPr>
                <w:rFonts w:ascii="Times New Roman" w:hAnsi="Times New Roman"/>
                <w:sz w:val="24"/>
                <w:szCs w:val="24"/>
                <w:lang w:val="sq-AL"/>
              </w:rPr>
              <w:t xml:space="preserve"> nga procesi i konsultimit publik, n</w:t>
            </w:r>
            <w:r w:rsidR="002C7E6C" w:rsidRPr="002C7E6C">
              <w:rPr>
                <w:rFonts w:ascii="Times New Roman" w:hAnsi="Times New Roman"/>
                <w:sz w:val="24"/>
                <w:szCs w:val="24"/>
                <w:lang w:val="sq-AL"/>
              </w:rPr>
              <w:t xml:space="preserve">ë hartimin e këtij projektligji eshtë marrë mendimi i Ministrisë së Drejtësisë, Bankës së Shqipërisë, Shoqatës Shqiptare të Bankave, Departamentit të Administratës Publike, Agjencisë Shtetërore të Kadastrës dhe Agjencisë Kombetare të Shoqërisë së Informacionit. </w:t>
            </w:r>
          </w:p>
          <w:p w14:paraId="502F1715" w14:textId="77777777" w:rsidR="002E2D11" w:rsidRDefault="002E2D11" w:rsidP="00927A29">
            <w:pPr>
              <w:spacing w:line="276" w:lineRule="auto"/>
              <w:jc w:val="both"/>
              <w:rPr>
                <w:rFonts w:ascii="Times New Roman" w:hAnsi="Times New Roman"/>
                <w:sz w:val="24"/>
                <w:szCs w:val="24"/>
                <w:lang w:val="sq-AL"/>
              </w:rPr>
            </w:pPr>
          </w:p>
          <w:p w14:paraId="78FB2416" w14:textId="39956D93" w:rsidR="00514863" w:rsidRDefault="002E2D11" w:rsidP="00927A29">
            <w:pPr>
              <w:spacing w:line="276" w:lineRule="auto"/>
              <w:jc w:val="both"/>
              <w:rPr>
                <w:rFonts w:ascii="Times New Roman" w:hAnsi="Times New Roman"/>
                <w:b/>
                <w:sz w:val="24"/>
                <w:szCs w:val="24"/>
                <w:lang w:val="sq-AL"/>
              </w:rPr>
            </w:pPr>
            <w:r w:rsidRPr="002E2D11">
              <w:rPr>
                <w:rFonts w:ascii="Times New Roman" w:hAnsi="Times New Roman"/>
                <w:b/>
                <w:sz w:val="24"/>
                <w:szCs w:val="24"/>
                <w:lang w:val="sq-AL"/>
              </w:rPr>
              <w:t>Historiku i komenteve/sugjerimeve si vijon:</w:t>
            </w:r>
          </w:p>
          <w:p w14:paraId="34997E4A" w14:textId="77777777" w:rsidR="002E2D11" w:rsidRPr="002E2D11" w:rsidRDefault="002E2D11" w:rsidP="00927A29">
            <w:pPr>
              <w:spacing w:line="276" w:lineRule="auto"/>
              <w:jc w:val="both"/>
              <w:rPr>
                <w:rFonts w:ascii="Times New Roman" w:hAnsi="Times New Roman"/>
                <w:b/>
                <w:sz w:val="24"/>
                <w:szCs w:val="24"/>
                <w:lang w:val="sq-AL"/>
              </w:rPr>
            </w:pPr>
          </w:p>
          <w:p w14:paraId="1158EDB5"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Ky projektligj u dërgua për mendim pranë Ministrisë së Drejtësisë, Avokaturës së Shtetit, Ministrit të Shtetit për Mbrojtjen e Sipërmarrjes, Bankës Së Shqipërisë, Shoqatës Shqipëtare Të Bankave, Drejtorisë Së Përgjithshme Të Përmbarimit.</w:t>
            </w:r>
          </w:p>
          <w:p w14:paraId="1BA3F7C5"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Avokatura e shtetit u shpreh se nuk ka kompetencë për dhenien  e mendimit për projektligjin.</w:t>
            </w:r>
          </w:p>
          <w:p w14:paraId="7C651130"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Ministri i Shtetit për Mbrojtjen e Sipërmarrjes shprehu mendim pozitiv për projektligjin e përcjelle për mendim. </w:t>
            </w:r>
          </w:p>
          <w:p w14:paraId="4C51495C"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Ministria e Drejtësisë, Banka e Shqipërisë dhe Shoqata Shqipëtare e Bankave kanë bërë sugjerime, për të cilat sqarojmë se ligji është ripunuar në tërësi dhe të gjitha sugjerimet janë reflektuar.</w:t>
            </w:r>
          </w:p>
          <w:p w14:paraId="6578300D"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Në këto kushte, në datën 6.6.2022, projektligji iu nis për bashkërendim Ministrisë së Drejtësisë, Bankës së Shqipërisë dhe Shoqatës Shqiptare të Bankave. </w:t>
            </w:r>
          </w:p>
          <w:p w14:paraId="4ED85690" w14:textId="77777777" w:rsidR="00514863" w:rsidRPr="00514863" w:rsidRDefault="00514863" w:rsidP="00514863">
            <w:pPr>
              <w:spacing w:line="276" w:lineRule="auto"/>
              <w:jc w:val="both"/>
              <w:rPr>
                <w:rFonts w:ascii="Times New Roman" w:hAnsi="Times New Roman"/>
                <w:sz w:val="24"/>
                <w:szCs w:val="24"/>
                <w:lang w:val="sq-AL"/>
              </w:rPr>
            </w:pPr>
          </w:p>
          <w:p w14:paraId="5C7DA51B" w14:textId="333CA585"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Shoqata Shqiptare e Bankave ka sjellë komente që lidhen kryesisht me kundërshtimin e tyre të faktit të kalimit të “mjeteve ligjore” pranë </w:t>
            </w:r>
            <w:r w:rsidR="00805137">
              <w:rPr>
                <w:rFonts w:ascii="Times New Roman" w:hAnsi="Times New Roman"/>
                <w:sz w:val="24"/>
                <w:szCs w:val="24"/>
                <w:lang w:val="sq-AL"/>
              </w:rPr>
              <w:t xml:space="preserve">Ministrisë së Financave dhe Ekonomisë (në vijim </w:t>
            </w:r>
            <w:r w:rsidRPr="00514863">
              <w:rPr>
                <w:rFonts w:ascii="Times New Roman" w:hAnsi="Times New Roman"/>
                <w:sz w:val="24"/>
                <w:szCs w:val="24"/>
                <w:lang w:val="sq-AL"/>
              </w:rPr>
              <w:t>MFE</w:t>
            </w:r>
            <w:r w:rsidR="00805137">
              <w:rPr>
                <w:rFonts w:ascii="Times New Roman" w:hAnsi="Times New Roman"/>
                <w:sz w:val="24"/>
                <w:szCs w:val="24"/>
                <w:lang w:val="sq-AL"/>
              </w:rPr>
              <w:t>)</w:t>
            </w:r>
            <w:r w:rsidRPr="00514863">
              <w:rPr>
                <w:rFonts w:ascii="Times New Roman" w:hAnsi="Times New Roman"/>
                <w:sz w:val="24"/>
                <w:szCs w:val="24"/>
                <w:lang w:val="sq-AL"/>
              </w:rPr>
              <w:t xml:space="preserve"> dhe Agjencisë, në rastet kur kredia nuk kthehet dhe kryhet pagesa e garancisë </w:t>
            </w:r>
            <w:r w:rsidRPr="00514863">
              <w:rPr>
                <w:rFonts w:ascii="Times New Roman" w:hAnsi="Times New Roman"/>
                <w:sz w:val="24"/>
                <w:szCs w:val="24"/>
                <w:lang w:val="sq-AL"/>
              </w:rPr>
              <w:lastRenderedPageBreak/>
              <w:t xml:space="preserve">ndaj institucionit huadhënës sipas legjislacionit për huamarrjen shtetërore, borxhin shtetëror dhe garancitë shtetërore të huasë. </w:t>
            </w:r>
          </w:p>
          <w:p w14:paraId="5B33F1FF"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Për sa më sipër, këto komente janë shqyrtuar me kujdes, dhe në vlerësimin që përmbajtja e projektligjit është në përputhje me qëllimin për të cilin ai po propozohet dhe në respektim të kuadrit ligjor në fuqi, nuk janë reflektuar. </w:t>
            </w:r>
          </w:p>
          <w:p w14:paraId="72D7A0C5" w14:textId="77777777" w:rsidR="00514863" w:rsidRPr="00514863" w:rsidRDefault="00514863" w:rsidP="00514863">
            <w:pPr>
              <w:spacing w:line="276" w:lineRule="auto"/>
              <w:jc w:val="both"/>
              <w:rPr>
                <w:rFonts w:ascii="Times New Roman" w:hAnsi="Times New Roman"/>
                <w:sz w:val="24"/>
                <w:szCs w:val="24"/>
                <w:lang w:val="sq-AL"/>
              </w:rPr>
            </w:pPr>
          </w:p>
          <w:p w14:paraId="553F9D4D"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Në datën 14.06.2022, Ministria e Drejtësisë është shprehur dakord me miratimin e projektligjit nga Këshilli i Ministrave në formën dhe përmbajtjen e propozuar, duke sugjeruar çështjet e zbatimit të unifikuar të teknikës legjislative dhe terminologjinë juridike të projektaktit, komente këto që janë reflektuar në përmbajtjen e tij. </w:t>
            </w:r>
          </w:p>
          <w:p w14:paraId="04827702" w14:textId="77777777" w:rsidR="00514863" w:rsidRPr="00514863" w:rsidRDefault="00514863" w:rsidP="00514863">
            <w:pPr>
              <w:spacing w:line="276" w:lineRule="auto"/>
              <w:jc w:val="both"/>
              <w:rPr>
                <w:rFonts w:ascii="Times New Roman" w:hAnsi="Times New Roman"/>
                <w:sz w:val="24"/>
                <w:szCs w:val="24"/>
                <w:lang w:val="sq-AL"/>
              </w:rPr>
            </w:pPr>
          </w:p>
          <w:p w14:paraId="6CA1C524"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23.11.2022, projektligji iu nis për bashkërendim Ministrisë së Drejtësisë, Bankës së Shqipërisë, Shoqatës Shqiptare të Bankave, Departamentit të Administratës Publike, Agjencisë Shtetërore të Kadastrës dhe Agjencisë Kombetare të Shoqërisë së Informacionit.</w:t>
            </w:r>
          </w:p>
          <w:p w14:paraId="1514EB45" w14:textId="77777777" w:rsidR="00514863" w:rsidRPr="00514863" w:rsidRDefault="00514863" w:rsidP="00514863">
            <w:pPr>
              <w:spacing w:line="276" w:lineRule="auto"/>
              <w:jc w:val="both"/>
              <w:rPr>
                <w:rFonts w:ascii="Times New Roman" w:hAnsi="Times New Roman"/>
                <w:sz w:val="24"/>
                <w:szCs w:val="24"/>
                <w:lang w:val="sq-AL"/>
              </w:rPr>
            </w:pPr>
          </w:p>
          <w:p w14:paraId="5E926CD6"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30.11.2022, Ministria e Drejtësisë është shprehur dakord me miratimin e projektligjit nga Këshilli i Ministrave në formën dhe përmbajtjen e propozuar, duke sugjeruar çështjet e zbatimit të unifikuar të teknikës legjislative dhe terminologjinë juridike të projektaktit, komente këto që janë reflektuar në përmbajtjen e tij.</w:t>
            </w:r>
          </w:p>
          <w:p w14:paraId="60D86A6A" w14:textId="77777777" w:rsidR="00514863" w:rsidRPr="00514863" w:rsidRDefault="00514863" w:rsidP="00514863">
            <w:pPr>
              <w:spacing w:line="276" w:lineRule="auto"/>
              <w:jc w:val="both"/>
              <w:rPr>
                <w:rFonts w:ascii="Times New Roman" w:hAnsi="Times New Roman"/>
                <w:sz w:val="24"/>
                <w:szCs w:val="24"/>
                <w:lang w:val="sq-AL"/>
              </w:rPr>
            </w:pPr>
          </w:p>
          <w:p w14:paraId="69773E92"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Në datën 05.12.2022, Agjencia Shtetërore e Kadastrës ka sjellë një koment, i cili është reflektuar. </w:t>
            </w:r>
          </w:p>
          <w:p w14:paraId="1EA84D9E" w14:textId="77777777" w:rsidR="00514863" w:rsidRPr="00514863" w:rsidRDefault="00514863" w:rsidP="00514863">
            <w:pPr>
              <w:spacing w:line="276" w:lineRule="auto"/>
              <w:jc w:val="both"/>
              <w:rPr>
                <w:rFonts w:ascii="Times New Roman" w:hAnsi="Times New Roman"/>
                <w:sz w:val="24"/>
                <w:szCs w:val="24"/>
                <w:lang w:val="sq-AL"/>
              </w:rPr>
            </w:pPr>
          </w:p>
          <w:p w14:paraId="39B6736D"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07.12.2022, Agjencia Kombetare e Shoqërisë së Informacionit ka sjellë komente, konkretisht: “Sjellim në vëmendjen tuaj se, akti ligjor kuadër i cili përcakton rregullat bazë për krijimin, administrimin e bazave të të dhënave shtetërore dhe ndërveprimin ndërmjet tyre  është ligji nr. 10325, datë 23.9.2010 “Për bazat e të dhënave shtetërore””.</w:t>
            </w:r>
          </w:p>
          <w:p w14:paraId="2776EBF3"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Sqarojmë përsëri se në këtë rast, nuk bëhet aspak fjalë për një bazë të dhënash shtetërore, sipas ligjit nr.10325/2010 “Për bazat e të dhënave shtetërore”, por për një sistem elektronik ekzistues që shërben për monitorimin e kredive që trajtohen nga agjencia.</w:t>
            </w:r>
          </w:p>
          <w:p w14:paraId="18468A78" w14:textId="77777777" w:rsidR="00514863" w:rsidRPr="00514863" w:rsidRDefault="00514863" w:rsidP="00514863">
            <w:pPr>
              <w:spacing w:line="276" w:lineRule="auto"/>
              <w:jc w:val="both"/>
              <w:rPr>
                <w:rFonts w:ascii="Times New Roman" w:hAnsi="Times New Roman"/>
                <w:sz w:val="24"/>
                <w:szCs w:val="24"/>
                <w:lang w:val="sq-AL"/>
              </w:rPr>
            </w:pPr>
          </w:p>
          <w:p w14:paraId="653AD21E"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15.12.2022, Banka e Shqipërisë ka sjellë komente, konkretisht u kërkua saktësimi i procedurës përmbarimore, dhe për këtë qëllim nenet 9 dhe 10 të ligjit janë riformuluar për të shmangur çdo paqartësi.</w:t>
            </w:r>
          </w:p>
          <w:p w14:paraId="1C9BAF67"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Dhe sugjerimi për periodicitetin dhe mënyrën e raportimit në Bankën e Shqipërisë është reflektuar në tekst.</w:t>
            </w:r>
          </w:p>
          <w:p w14:paraId="1BA4C87A" w14:textId="77777777" w:rsidR="00514863" w:rsidRPr="00514863" w:rsidRDefault="00514863" w:rsidP="00514863">
            <w:pPr>
              <w:spacing w:line="276" w:lineRule="auto"/>
              <w:jc w:val="both"/>
              <w:rPr>
                <w:rFonts w:ascii="Times New Roman" w:hAnsi="Times New Roman"/>
                <w:sz w:val="24"/>
                <w:szCs w:val="24"/>
                <w:lang w:val="sq-AL"/>
              </w:rPr>
            </w:pPr>
          </w:p>
          <w:p w14:paraId="1BABC3CB"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05.12.2022, Departamenti i Administratës Publike ka bërë sugjerime në lidhje me rregullimin e marrëdhënies së punës së titullarit, nëpunësve dhe punonjësve të agjencisë si dhe për titullin e projektligjit.</w:t>
            </w:r>
          </w:p>
          <w:p w14:paraId="27830390"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Sqarojmë se këto komente nuk mund të reflektohen pasi është e preferueshme të vazhdohet status quo-ja, pra marrëdhëniet e punës së Agjencisë të vazhdojnë të rregullohen sipas Kodit të Punës, për shkak të vazhdueshmërisë të proceseve të punës që realizon kjo Agjenci. Për sa më sipër, këto komente janë shqyrtuar me kujdes, dhe në vlerësimin që përmbajtja e </w:t>
            </w:r>
            <w:r w:rsidRPr="00514863">
              <w:rPr>
                <w:rFonts w:ascii="Times New Roman" w:hAnsi="Times New Roman"/>
                <w:sz w:val="24"/>
                <w:szCs w:val="24"/>
                <w:lang w:val="sq-AL"/>
              </w:rPr>
              <w:lastRenderedPageBreak/>
              <w:t>projektligjit është në përputhje me qëllimin për të cilin ai po propozohet dhe në respektim të kuadrit ligjor në fuqi, nuk janë reflektuar.</w:t>
            </w:r>
          </w:p>
          <w:p w14:paraId="09EC952B"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31.01.2023, projektligji iu nis për bashkërendim Ministrisë së Drejtësisë, Bankës së Shqipërisë, Shoqatës Shqiptare të Bankave, Departamentit të Administratës Publike, Agjencisë Shtetërore të Kadastrës dhe Agjencisë Kombetare të Shoqërisë së Informacionit.</w:t>
            </w:r>
          </w:p>
          <w:p w14:paraId="542356CE" w14:textId="77777777" w:rsidR="00514863" w:rsidRPr="00514863" w:rsidRDefault="00514863" w:rsidP="00514863">
            <w:pPr>
              <w:spacing w:line="276" w:lineRule="auto"/>
              <w:jc w:val="both"/>
              <w:rPr>
                <w:rFonts w:ascii="Times New Roman" w:hAnsi="Times New Roman"/>
                <w:sz w:val="24"/>
                <w:szCs w:val="24"/>
                <w:lang w:val="sq-AL"/>
              </w:rPr>
            </w:pPr>
          </w:p>
          <w:p w14:paraId="6AC601E9"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01.02.2023 Shoqata Shqiptare e Bankave shpreh dakordësinë.</w:t>
            </w:r>
          </w:p>
          <w:p w14:paraId="5BB5FF4E"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08.02.2023 Banka e Shqipërisë shpreh dakordësinë.</w:t>
            </w:r>
          </w:p>
          <w:p w14:paraId="38907E49"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08.02.2023 Agjencia Shtetërore e Kadastrës shpreh dakordësinë.</w:t>
            </w:r>
          </w:p>
          <w:p w14:paraId="1A499335" w14:textId="77777777" w:rsidR="00514863" w:rsidRPr="00514863" w:rsidRDefault="00514863" w:rsidP="00514863">
            <w:pPr>
              <w:spacing w:line="276" w:lineRule="auto"/>
              <w:jc w:val="both"/>
              <w:rPr>
                <w:rFonts w:ascii="Times New Roman" w:hAnsi="Times New Roman"/>
                <w:sz w:val="24"/>
                <w:szCs w:val="24"/>
                <w:lang w:val="sq-AL"/>
              </w:rPr>
            </w:pPr>
          </w:p>
          <w:p w14:paraId="284288F5"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03.02.2023 Departamenti i Administratës Publike ka bërë komente, konkretisht:</w:t>
            </w:r>
          </w:p>
          <w:p w14:paraId="1B8CD51B"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1.</w:t>
            </w:r>
            <w:r w:rsidRPr="00514863">
              <w:rPr>
                <w:rFonts w:ascii="Times New Roman" w:hAnsi="Times New Roman"/>
                <w:sz w:val="24"/>
                <w:szCs w:val="24"/>
                <w:lang w:val="sq-AL"/>
              </w:rPr>
              <w:tab/>
              <w:t>Sugjeron që titulli të ndryshojë, si dhe të hiqet krijimi i agjencisë nga përmbajtja e projektligjit, sugjerime këto, që janë reflektuar plotësisht.</w:t>
            </w:r>
          </w:p>
          <w:p w14:paraId="7330189E"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2.</w:t>
            </w:r>
            <w:r w:rsidRPr="00514863">
              <w:rPr>
                <w:rFonts w:ascii="Times New Roman" w:hAnsi="Times New Roman"/>
                <w:sz w:val="24"/>
                <w:szCs w:val="24"/>
                <w:lang w:val="sq-AL"/>
              </w:rPr>
              <w:tab/>
              <w:t>Lidhur me marrëdhëniet e punës së titullarit, nëpunësve dhe punonjësve të ATK-së që aktualisht janë rregulluar sipas Kodit të Punës, sugjerohet një analizë e qëllimit të ekzistencës së agjencisë, funksioneve, përgjegjësive dhe detyrave të saj, si dhe kohëzgjatjes së ekzistencës së agjencisë si e tërë apo një pjese të funksioneve të saj. Varësisht kësaj analize, të bëhen ndryshimet e nevojshme në tekstin e projektligjit në lidhje me rregullimin e marrëdhënies së punësimit të titullarit dhe nëpunësve të tjerë të agjencisë, si dhe të jepet arsyetimi i detajuar në relacionin e projektligjit.</w:t>
            </w:r>
          </w:p>
          <w:p w14:paraId="7ED16A40" w14:textId="77777777" w:rsidR="00514863" w:rsidRPr="00514863" w:rsidRDefault="00514863" w:rsidP="00514863">
            <w:pPr>
              <w:spacing w:line="276" w:lineRule="auto"/>
              <w:jc w:val="both"/>
              <w:rPr>
                <w:rFonts w:ascii="Times New Roman" w:hAnsi="Times New Roman"/>
                <w:sz w:val="24"/>
                <w:szCs w:val="24"/>
                <w:lang w:val="sq-AL"/>
              </w:rPr>
            </w:pPr>
          </w:p>
          <w:p w14:paraId="42E610C3"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 xml:space="preserve">Në datën 08.02.2023 Ministria e Drejtësisë shpreh dakordësinë, me rekomandimin që në përputhje me parashikimet e pikës 2 të nenit 6 të ligjit nr.90/2012 “Për organizimin dhe funksionimin e administratës shtetërore”, të rishikohet nisma ligjore ku Agjencia të krijohet nëpërmjet miratimit të një projektvendimi dhe jo projektligji, rekomandim ky që është reflektuar. </w:t>
            </w:r>
          </w:p>
          <w:p w14:paraId="0F1DE36E"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lidhje me rekomandimin e dytë, ku sugjerohet që marrëdhëniet e punës së Agjencisë të rregullohen nëpërmjet ligjit nr.152/2013 “Për nëpunësin civil”, të ndryshuar dhe jo Kodit të Punës, shprehim të njëjtat argumenta si ato drejtuar DAP, pra theksojmë se me ligjin e ri që rregullon fushën e kthimit të garancive shtetërore të huasë, si dhe kthimin e kredive të prapambetura, natyra e përkohshme e Agjencisë nuk do ndryshojë dhe për këtë arsye Agjencia do vijojë të funksionojë me Kod Pune.</w:t>
            </w:r>
          </w:p>
          <w:p w14:paraId="08AABD98" w14:textId="77777777" w:rsidR="00514863" w:rsidRPr="00514863" w:rsidRDefault="00514863" w:rsidP="00514863">
            <w:pPr>
              <w:spacing w:line="276" w:lineRule="auto"/>
              <w:jc w:val="both"/>
              <w:rPr>
                <w:rFonts w:ascii="Times New Roman" w:hAnsi="Times New Roman"/>
                <w:sz w:val="24"/>
                <w:szCs w:val="24"/>
                <w:lang w:val="sq-AL"/>
              </w:rPr>
            </w:pPr>
          </w:p>
          <w:p w14:paraId="19382066"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datën 15.02.2023 Agjencia Kombëtare e Shoqërisë së Informacionit me anë të shkresës me nr.prot 882, datë 15.02.2023 kërkon sqarime në lidhje me sistemin ekzistues dhe nësë ky sistem është bazuar në kuptim të ligjit për bazat e të dhënave shtetërore.</w:t>
            </w:r>
          </w:p>
          <w:p w14:paraId="193FBB07" w14:textId="77777777" w:rsidR="00514863" w:rsidRPr="00514863" w:rsidRDefault="00514863" w:rsidP="00514863">
            <w:pPr>
              <w:spacing w:line="276" w:lineRule="auto"/>
              <w:jc w:val="both"/>
              <w:rPr>
                <w:rFonts w:ascii="Times New Roman" w:hAnsi="Times New Roman"/>
                <w:sz w:val="24"/>
                <w:szCs w:val="24"/>
                <w:lang w:val="sq-AL"/>
              </w:rPr>
            </w:pPr>
            <w:r w:rsidRPr="00514863">
              <w:rPr>
                <w:rFonts w:ascii="Times New Roman" w:hAnsi="Times New Roman"/>
                <w:sz w:val="24"/>
                <w:szCs w:val="24"/>
                <w:lang w:val="sq-AL"/>
              </w:rPr>
              <w:t>Në lidhje me sa kërkohet, ju informojmë së është shtuar në nenin 7 të projektligjit, pika 3 ku përcaktohet se të dhënat e garancive administrohen në “Regjistrin për Kthimin e Garancive Shtetrore” dhe se ky sistem krijohet me vendim të Këshillit të Minitrave sipas përcaktimeve të ligjit në fuqi për bazat e të dhënave shtetërore.</w:t>
            </w:r>
          </w:p>
          <w:p w14:paraId="3CF6CA71" w14:textId="77777777" w:rsidR="00514863" w:rsidRPr="00514863" w:rsidRDefault="00514863" w:rsidP="00514863">
            <w:pPr>
              <w:spacing w:line="276" w:lineRule="auto"/>
              <w:jc w:val="both"/>
              <w:rPr>
                <w:rFonts w:ascii="Times New Roman" w:hAnsi="Times New Roman"/>
                <w:sz w:val="24"/>
                <w:szCs w:val="24"/>
                <w:lang w:val="sq-AL"/>
              </w:rPr>
            </w:pPr>
          </w:p>
          <w:p w14:paraId="62C13527" w14:textId="77777777" w:rsidR="00514863" w:rsidRPr="00193A00" w:rsidRDefault="00514863" w:rsidP="00514863">
            <w:pPr>
              <w:spacing w:line="276" w:lineRule="auto"/>
              <w:jc w:val="both"/>
              <w:rPr>
                <w:rFonts w:ascii="Times New Roman" w:hAnsi="Times New Roman"/>
                <w:sz w:val="24"/>
                <w:szCs w:val="24"/>
                <w:lang w:val="sq-AL"/>
              </w:rPr>
            </w:pPr>
            <w:r w:rsidRPr="00193A00">
              <w:rPr>
                <w:rFonts w:ascii="Times New Roman" w:hAnsi="Times New Roman"/>
                <w:sz w:val="24"/>
                <w:szCs w:val="24"/>
                <w:lang w:val="sq-AL"/>
              </w:rPr>
              <w:t>Në datën 03.03.2023, projektligji iu rinis për bashkërendim Ministrisë së Drejtësisë, Departamentit të Administratës Publike dhe Agjencisë Kombetare të Shoqërisë së Informacionit.</w:t>
            </w:r>
          </w:p>
          <w:p w14:paraId="1EC531BE" w14:textId="09BC8691" w:rsidR="00514863" w:rsidRPr="00193A00" w:rsidRDefault="00514863" w:rsidP="00514863">
            <w:pPr>
              <w:spacing w:line="276" w:lineRule="auto"/>
              <w:jc w:val="both"/>
              <w:rPr>
                <w:rFonts w:ascii="Times New Roman" w:hAnsi="Times New Roman"/>
                <w:sz w:val="24"/>
                <w:szCs w:val="24"/>
                <w:lang w:val="sq-AL"/>
              </w:rPr>
            </w:pPr>
            <w:r w:rsidRPr="00193A00">
              <w:rPr>
                <w:rFonts w:ascii="Times New Roman" w:hAnsi="Times New Roman"/>
                <w:sz w:val="24"/>
                <w:szCs w:val="24"/>
                <w:lang w:val="sq-AL"/>
              </w:rPr>
              <w:t>Të gjitha institucionet e lartpërmëndura dhanë dakordësinë për projektligjin.</w:t>
            </w:r>
          </w:p>
          <w:p w14:paraId="20831A21" w14:textId="77777777" w:rsidR="00792343" w:rsidRPr="00193A00" w:rsidRDefault="00792343" w:rsidP="00514863">
            <w:pPr>
              <w:spacing w:line="276" w:lineRule="auto"/>
              <w:jc w:val="both"/>
              <w:rPr>
                <w:rFonts w:ascii="Times New Roman" w:hAnsi="Times New Roman"/>
                <w:sz w:val="24"/>
                <w:szCs w:val="24"/>
                <w:lang w:val="sq-AL"/>
              </w:rPr>
            </w:pPr>
          </w:p>
          <w:p w14:paraId="74EF8365" w14:textId="74B1CBB7" w:rsidR="002B28C4" w:rsidRPr="00792343" w:rsidRDefault="002B28C4" w:rsidP="00927A29">
            <w:pPr>
              <w:spacing w:line="276" w:lineRule="auto"/>
              <w:jc w:val="both"/>
              <w:rPr>
                <w:rFonts w:ascii="Times New Roman" w:hAnsi="Times New Roman"/>
                <w:b/>
                <w:lang w:val="sq-AL"/>
              </w:rPr>
            </w:pPr>
            <w:r w:rsidRPr="00193A00">
              <w:rPr>
                <w:rFonts w:ascii="Times New Roman" w:hAnsi="Times New Roman"/>
                <w:lang w:val="sq-AL"/>
              </w:rPr>
              <w:t>Pavar</w:t>
            </w:r>
            <w:r w:rsidRPr="00193A00">
              <w:rPr>
                <w:rFonts w:ascii="Times New Roman" w:hAnsi="Times New Roman"/>
                <w:sz w:val="24"/>
                <w:szCs w:val="24"/>
                <w:lang w:val="sq-AL"/>
              </w:rPr>
              <w:t xml:space="preserve">ësisht që ka kaluar mbi një vit nga konsultimi i fundit, thelbi i projektligjit mbetet i pandryshuar, për këtë arsye </w:t>
            </w:r>
            <w:r w:rsidR="00514863" w:rsidRPr="00193A00">
              <w:rPr>
                <w:rFonts w:ascii="Times New Roman" w:hAnsi="Times New Roman"/>
                <w:sz w:val="24"/>
                <w:szCs w:val="24"/>
                <w:lang w:val="sq-AL"/>
              </w:rPr>
              <w:t>është menduar të procedohet me hapat e mëtejshëm.</w:t>
            </w:r>
          </w:p>
        </w:tc>
      </w:tr>
      <w:tr w:rsidR="00A84726" w:rsidRPr="004E7606" w14:paraId="4738C568" w14:textId="77777777" w:rsidTr="52509E66">
        <w:tc>
          <w:tcPr>
            <w:tcW w:w="9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B1CDB" w14:textId="77777777" w:rsidR="00A84726" w:rsidRPr="004E7606" w:rsidRDefault="658D74BF" w:rsidP="658D74BF">
            <w:pPr>
              <w:jc w:val="both"/>
              <w:rPr>
                <w:rFonts w:ascii="Times New Roman" w:hAnsi="Times New Roman"/>
                <w:b/>
                <w:bCs/>
                <w:lang w:val="sq-AL"/>
              </w:rPr>
            </w:pPr>
            <w:r w:rsidRPr="658D74BF">
              <w:rPr>
                <w:rFonts w:ascii="Times New Roman" w:hAnsi="Times New Roman"/>
                <w:b/>
                <w:bCs/>
                <w:lang w:val="sq-AL"/>
              </w:rPr>
              <w:lastRenderedPageBreak/>
              <w:t>ZBATIMI DHE MONITORIMI</w:t>
            </w:r>
          </w:p>
          <w:p w14:paraId="6586F9DB" w14:textId="0486D4A2" w:rsidR="004E3F73" w:rsidRDefault="00CA1086" w:rsidP="52509E66">
            <w:pPr>
              <w:spacing w:line="276" w:lineRule="auto"/>
              <w:jc w:val="both"/>
              <w:rPr>
                <w:rFonts w:ascii="Times New Roman" w:hAnsi="Times New Roman"/>
                <w:sz w:val="24"/>
                <w:szCs w:val="24"/>
                <w:lang w:val="sq-AL"/>
              </w:rPr>
            </w:pPr>
            <w:r w:rsidRPr="00172B31">
              <w:rPr>
                <w:rFonts w:ascii="Times New Roman" w:hAnsi="Times New Roman"/>
                <w:i/>
                <w:sz w:val="20"/>
                <w:lang w:val="sq-AL"/>
              </w:rPr>
              <w:t>Si do të organiz</w:t>
            </w:r>
            <w:r w:rsidR="00217F27" w:rsidRPr="00172B31">
              <w:rPr>
                <w:rFonts w:ascii="Times New Roman" w:hAnsi="Times New Roman"/>
                <w:i/>
                <w:sz w:val="20"/>
                <w:lang w:val="sq-AL"/>
              </w:rPr>
              <w:t>ohen</w:t>
            </w:r>
            <w:r w:rsidRPr="00172B31">
              <w:rPr>
                <w:rFonts w:ascii="Times New Roman" w:hAnsi="Times New Roman"/>
                <w:i/>
                <w:sz w:val="20"/>
                <w:lang w:val="sq-AL"/>
              </w:rPr>
              <w:t xml:space="preserve"> zbatimi dhe monitorimi</w:t>
            </w:r>
            <w:r w:rsidR="00A84726" w:rsidRPr="00172B31">
              <w:rPr>
                <w:rFonts w:ascii="Times New Roman" w:hAnsi="Times New Roman"/>
                <w:i/>
                <w:sz w:val="20"/>
                <w:lang w:val="sq-AL"/>
              </w:rPr>
              <w:t>?</w:t>
            </w:r>
          </w:p>
          <w:p w14:paraId="262BF0A9" w14:textId="134F91D4" w:rsidR="00E9407E" w:rsidRPr="004E3F73" w:rsidRDefault="00E9407E" w:rsidP="004E3F73">
            <w:pPr>
              <w:shd w:val="clear" w:color="auto" w:fill="FFFFFF" w:themeFill="background1"/>
              <w:spacing w:line="276" w:lineRule="auto"/>
              <w:contextualSpacing/>
              <w:jc w:val="both"/>
              <w:rPr>
                <w:rFonts w:ascii="Times New Roman" w:hAnsi="Times New Roman"/>
                <w:sz w:val="24"/>
                <w:szCs w:val="24"/>
                <w:lang w:val="sq-AL"/>
              </w:rPr>
            </w:pPr>
            <w:bookmarkStart w:id="2" w:name="_Hlk131758250"/>
            <w:r w:rsidRPr="4157CBF5">
              <w:rPr>
                <w:rFonts w:ascii="Times New Roman" w:hAnsi="Times New Roman"/>
                <w:sz w:val="24"/>
                <w:szCs w:val="24"/>
              </w:rPr>
              <w:t xml:space="preserve">Me zbatimin e aktit të ri, ngarkohet Ministria e Financave dhe Ekonomisë dhe institucionet e tjera që kanë detyrime në përputhje me parashikimet e ligjit “Për Menaxhimin e Garancive dhe Kredive të Pakthyera”. </w:t>
            </w:r>
            <w:r w:rsidRPr="4157CBF5">
              <w:rPr>
                <w:rFonts w:ascii="Times New Roman" w:eastAsiaTheme="majorEastAsia" w:hAnsi="Times New Roman"/>
                <w:sz w:val="24"/>
                <w:szCs w:val="24"/>
                <w:lang w:val="sq-AL"/>
              </w:rPr>
              <w:t xml:space="preserve">Institucioni që ngarkohet me menaxhimin e skemave të veçanta të garancisë do jetë Agjencia e Menaxhimit të Garancive dhe kredive të pakthyera, person juridik publik, buxhetor, në varësi të Ministrit përgjegjës për financat, me seli në Tiranë. </w:t>
            </w:r>
          </w:p>
          <w:p w14:paraId="6AA683E4" w14:textId="249A1F97" w:rsidR="004E3F73" w:rsidRDefault="00660B6B" w:rsidP="52509E66">
            <w:pPr>
              <w:spacing w:line="276" w:lineRule="auto"/>
              <w:jc w:val="both"/>
              <w:rPr>
                <w:rFonts w:ascii="Times New Roman" w:hAnsi="Times New Roman"/>
                <w:sz w:val="24"/>
                <w:szCs w:val="24"/>
                <w:lang w:val="sq-AL"/>
              </w:rPr>
            </w:pPr>
            <w:bookmarkStart w:id="3" w:name="_Hlk131684781"/>
            <w:r w:rsidRPr="00660B6B">
              <w:rPr>
                <w:rFonts w:ascii="Times New Roman" w:hAnsi="Times New Roman"/>
                <w:sz w:val="24"/>
                <w:szCs w:val="24"/>
                <w:lang w:val="sq-AL"/>
              </w:rPr>
              <w:t xml:space="preserve">Agjencia </w:t>
            </w:r>
            <w:r>
              <w:rPr>
                <w:rFonts w:ascii="Times New Roman" w:hAnsi="Times New Roman"/>
                <w:sz w:val="24"/>
                <w:szCs w:val="24"/>
                <w:lang w:val="sq-AL"/>
              </w:rPr>
              <w:t xml:space="preserve">gjithashtu </w:t>
            </w:r>
            <w:r w:rsidRPr="00660B6B">
              <w:rPr>
                <w:rFonts w:ascii="Times New Roman" w:hAnsi="Times New Roman"/>
                <w:sz w:val="24"/>
                <w:szCs w:val="24"/>
                <w:lang w:val="sq-AL"/>
              </w:rPr>
              <w:t>raporton te Regjistri i Kredive dhe zbaton kriteret e klasifikimit për bankat dhe Institucionet financiare jo-banka, në mënyrë qe këto hua/kredi/detyrime të figurojnë në Regjistrin e Kredive edhe pasi t'i transferohen Agjencisë me qëllim qe informacioni në Regjistrin e Kredive për këta huamarrës të jetë i plotë.</w:t>
            </w:r>
          </w:p>
          <w:p w14:paraId="47BAB84D" w14:textId="77777777" w:rsidR="00C61E7B" w:rsidRDefault="00C61E7B" w:rsidP="52509E66">
            <w:pPr>
              <w:spacing w:line="276" w:lineRule="auto"/>
              <w:jc w:val="both"/>
              <w:rPr>
                <w:rFonts w:ascii="Times New Roman" w:hAnsi="Times New Roman"/>
                <w:sz w:val="24"/>
                <w:szCs w:val="24"/>
                <w:lang w:val="sq-AL"/>
              </w:rPr>
            </w:pPr>
          </w:p>
          <w:p w14:paraId="7F726B5D" w14:textId="506F112A" w:rsidR="00E9407E" w:rsidRDefault="00E9407E" w:rsidP="00E9407E">
            <w:pPr>
              <w:pStyle w:val="Style1-BodyText"/>
              <w:spacing w:line="276" w:lineRule="auto"/>
              <w:rPr>
                <w:rFonts w:ascii="Times New Roman" w:hAnsi="Times New Roman" w:cs="Times New Roman"/>
                <w:sz w:val="24"/>
                <w:szCs w:val="22"/>
              </w:rPr>
            </w:pPr>
            <w:r>
              <w:rPr>
                <w:rFonts w:ascii="Times New Roman" w:hAnsi="Times New Roman" w:cs="Times New Roman"/>
                <w:sz w:val="24"/>
                <w:szCs w:val="22"/>
              </w:rPr>
              <w:t>Një sërë masash do ndërmerren n</w:t>
            </w:r>
            <w:r w:rsidRPr="00851754">
              <w:rPr>
                <w:rFonts w:ascii="Times New Roman" w:hAnsi="Times New Roman" w:cs="Times New Roman"/>
                <w:sz w:val="24"/>
                <w:szCs w:val="22"/>
              </w:rPr>
              <w:t>ëpërmjet hartimit të ligjit të ri, “Për Menaxhimin e Garancive dhe Kredive të Pakthyera”</w:t>
            </w:r>
            <w:r>
              <w:rPr>
                <w:rFonts w:ascii="Times New Roman" w:hAnsi="Times New Roman" w:cs="Times New Roman"/>
                <w:sz w:val="24"/>
                <w:szCs w:val="22"/>
              </w:rPr>
              <w:t>, që do i</w:t>
            </w:r>
            <w:r w:rsidRPr="00851754">
              <w:rPr>
                <w:rFonts w:ascii="Times New Roman" w:hAnsi="Times New Roman" w:cs="Times New Roman"/>
                <w:sz w:val="24"/>
                <w:szCs w:val="22"/>
              </w:rPr>
              <w:t xml:space="preserve"> j</w:t>
            </w:r>
            <w:r>
              <w:rPr>
                <w:rFonts w:ascii="Times New Roman" w:hAnsi="Times New Roman" w:cs="Times New Roman"/>
                <w:sz w:val="24"/>
                <w:szCs w:val="22"/>
              </w:rPr>
              <w:t>a</w:t>
            </w:r>
            <w:r w:rsidRPr="00851754">
              <w:rPr>
                <w:rFonts w:ascii="Times New Roman" w:hAnsi="Times New Roman" w:cs="Times New Roman"/>
                <w:sz w:val="24"/>
                <w:szCs w:val="22"/>
              </w:rPr>
              <w:t>p</w:t>
            </w:r>
            <w:r>
              <w:rPr>
                <w:rFonts w:ascii="Times New Roman" w:hAnsi="Times New Roman" w:cs="Times New Roman"/>
                <w:sz w:val="24"/>
                <w:szCs w:val="22"/>
              </w:rPr>
              <w:t>in</w:t>
            </w:r>
            <w:r w:rsidRPr="00851754">
              <w:rPr>
                <w:rFonts w:ascii="Times New Roman" w:hAnsi="Times New Roman" w:cs="Times New Roman"/>
                <w:sz w:val="24"/>
                <w:szCs w:val="22"/>
              </w:rPr>
              <w:t xml:space="preserve"> zgjidhje problematikave të menaxhimit efektiv të skemave të veçanta të garancive si dhe problemeve të trajtimit të portofolit të kredive në një kohë të arsyeshme</w:t>
            </w:r>
            <w:r>
              <w:rPr>
                <w:rFonts w:ascii="Times New Roman" w:hAnsi="Times New Roman" w:cs="Times New Roman"/>
                <w:sz w:val="24"/>
                <w:szCs w:val="22"/>
              </w:rPr>
              <w:t>.</w:t>
            </w:r>
            <w:r w:rsidRPr="00851754">
              <w:t xml:space="preserve"> </w:t>
            </w:r>
            <w:r>
              <w:rPr>
                <w:rFonts w:ascii="Times New Roman" w:hAnsi="Times New Roman" w:cs="Times New Roman"/>
                <w:sz w:val="24"/>
                <w:szCs w:val="22"/>
              </w:rPr>
              <w:t>Kuadri i ri ligjor i</w:t>
            </w:r>
            <w:r w:rsidRPr="00851754">
              <w:rPr>
                <w:rFonts w:ascii="Times New Roman" w:hAnsi="Times New Roman" w:cs="Times New Roman"/>
                <w:sz w:val="24"/>
                <w:szCs w:val="22"/>
              </w:rPr>
              <w:t xml:space="preserve"> kal</w:t>
            </w:r>
            <w:r>
              <w:rPr>
                <w:rFonts w:ascii="Times New Roman" w:hAnsi="Times New Roman" w:cs="Times New Roman"/>
                <w:sz w:val="24"/>
                <w:szCs w:val="22"/>
              </w:rPr>
              <w:t>on</w:t>
            </w:r>
            <w:r w:rsidRPr="00851754">
              <w:rPr>
                <w:rFonts w:ascii="Times New Roman" w:hAnsi="Times New Roman" w:cs="Times New Roman"/>
                <w:sz w:val="24"/>
                <w:szCs w:val="22"/>
              </w:rPr>
              <w:t xml:space="preserve"> në ndjekje AMGKP-së një sërë funksionesh për menaxhimin e skemave të Garancive Sovrane, këto të lëshuara për ti ardhur në ndihmë biznesit në situatën e Covid 19, apo çdo skemë të ngjashme që mund të jetë e nevojshme në të ardhmen të miratohet</w:t>
            </w:r>
            <w:r>
              <w:rPr>
                <w:rFonts w:ascii="Times New Roman" w:hAnsi="Times New Roman" w:cs="Times New Roman"/>
                <w:sz w:val="24"/>
                <w:szCs w:val="22"/>
              </w:rPr>
              <w:t>, si dhe</w:t>
            </w:r>
            <w:r w:rsidRPr="00851754">
              <w:rPr>
                <w:rFonts w:ascii="Times New Roman" w:hAnsi="Times New Roman" w:cs="Times New Roman"/>
                <w:sz w:val="24"/>
                <w:szCs w:val="22"/>
              </w:rPr>
              <w:t xml:space="preserve"> siguron menaxhim </w:t>
            </w:r>
            <w:r>
              <w:rPr>
                <w:rFonts w:ascii="Times New Roman" w:hAnsi="Times New Roman" w:cs="Times New Roman"/>
                <w:sz w:val="24"/>
                <w:szCs w:val="22"/>
              </w:rPr>
              <w:t xml:space="preserve">më </w:t>
            </w:r>
            <w:r w:rsidRPr="00851754">
              <w:rPr>
                <w:rFonts w:ascii="Times New Roman" w:hAnsi="Times New Roman" w:cs="Times New Roman"/>
                <w:sz w:val="24"/>
                <w:szCs w:val="22"/>
              </w:rPr>
              <w:t xml:space="preserve">efektiv të skemave të veçanta të garancive </w:t>
            </w:r>
            <w:r>
              <w:rPr>
                <w:rFonts w:ascii="Times New Roman" w:hAnsi="Times New Roman" w:cs="Times New Roman"/>
                <w:sz w:val="24"/>
                <w:szCs w:val="22"/>
              </w:rPr>
              <w:t>duke i dhënë zgjidhje problemit në</w:t>
            </w:r>
            <w:r w:rsidRPr="00851754">
              <w:rPr>
                <w:rFonts w:ascii="Times New Roman" w:hAnsi="Times New Roman" w:cs="Times New Roman"/>
                <w:sz w:val="24"/>
                <w:szCs w:val="22"/>
              </w:rPr>
              <w:t xml:space="preserve"> një kohë të arsyeshme, </w:t>
            </w:r>
            <w:r>
              <w:rPr>
                <w:rFonts w:ascii="Times New Roman" w:hAnsi="Times New Roman" w:cs="Times New Roman"/>
                <w:sz w:val="24"/>
                <w:szCs w:val="22"/>
              </w:rPr>
              <w:t>më anë të strukturimit efikas të funksioneve të agjencisë.</w:t>
            </w:r>
          </w:p>
          <w:p w14:paraId="638DDC3F" w14:textId="4FF2626E" w:rsidR="00E9407E" w:rsidRPr="00193A00" w:rsidRDefault="00E9407E" w:rsidP="00E9407E">
            <w:pPr>
              <w:pStyle w:val="Style1-BodyText"/>
              <w:spacing w:line="276" w:lineRule="auto"/>
              <w:rPr>
                <w:rFonts w:ascii="Times New Roman" w:hAnsi="Times New Roman" w:cs="Times New Roman"/>
                <w:sz w:val="24"/>
                <w:lang w:val="sq-AL"/>
              </w:rPr>
            </w:pPr>
            <w:r w:rsidRPr="4157CBF5">
              <w:rPr>
                <w:rFonts w:ascii="Times New Roman" w:hAnsi="Times New Roman" w:cs="Times New Roman"/>
                <w:sz w:val="24"/>
                <w:lang w:val="sq-AL"/>
              </w:rPr>
              <w:t xml:space="preserve">Monitorimi në lidhje me performancën e veprimtarisë që realizon Agjencia e Menaxhimit të Garancive dhe Kredive të Pakthyera do të mundësohet nëpërmjet raportimit periodik pranë niveleve drejtuese të vetë agjencisë, raportimeve periodike mbi treguesit e borxhit dhe analizën me baza 15-ditore, mujore, apo dhe tremujore të performancës. Po në baza 15-ditore përgatit dhe informon nivelet drejtuese mbi analizën e treguesve dhe performacës për periudhën përkatëse. Drejtoria informon në mënyrë të vazhduar nivelet drejtuese të hierarkisë në lidhje me nivelin e detyrimeve të subjekteve që kanë përfituar nga Garancitë Sovrane apo nënhuatë. </w:t>
            </w:r>
          </w:p>
          <w:bookmarkEnd w:id="3"/>
          <w:p w14:paraId="26510F84" w14:textId="71E55185" w:rsidR="0084464F" w:rsidRPr="00336F29" w:rsidRDefault="0084464F" w:rsidP="0084464F">
            <w:pPr>
              <w:spacing w:line="276" w:lineRule="auto"/>
              <w:jc w:val="both"/>
              <w:rPr>
                <w:lang w:val="sq-AL"/>
              </w:rPr>
            </w:pPr>
          </w:p>
          <w:bookmarkEnd w:id="2"/>
          <w:p w14:paraId="0DBDD8F4" w14:textId="1498CE49" w:rsidR="007E3504" w:rsidRPr="004E7606" w:rsidRDefault="007E3504" w:rsidP="007E3504">
            <w:pPr>
              <w:pStyle w:val="Style1-BodyText"/>
              <w:spacing w:line="276" w:lineRule="auto"/>
              <w:rPr>
                <w:rFonts w:ascii="Times New Roman" w:hAnsi="Times New Roman" w:cs="Times New Roman"/>
                <w:szCs w:val="22"/>
              </w:rPr>
            </w:pPr>
          </w:p>
        </w:tc>
      </w:tr>
    </w:tbl>
    <w:p w14:paraId="67FA0C88" w14:textId="77777777" w:rsidR="00C6728D" w:rsidRPr="004E7606" w:rsidRDefault="00C6728D">
      <w:pPr>
        <w:rPr>
          <w:rFonts w:ascii="Times New Roman" w:hAnsi="Times New Roman"/>
          <w:szCs w:val="22"/>
          <w:lang w:val="sq-AL"/>
        </w:rPr>
      </w:pPr>
    </w:p>
    <w:p w14:paraId="7EBFB0DE" w14:textId="77777777" w:rsidR="00C6728D" w:rsidRPr="004E7606" w:rsidRDefault="00C6728D">
      <w:pPr>
        <w:rPr>
          <w:rFonts w:ascii="Times New Roman" w:hAnsi="Times New Roman"/>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4E7606" w14:paraId="31FE46F2"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F13155" w14:textId="77777777" w:rsidR="006210CC" w:rsidRPr="004E7606" w:rsidRDefault="004454DC" w:rsidP="00BF5937">
            <w:pPr>
              <w:jc w:val="both"/>
              <w:rPr>
                <w:rFonts w:ascii="Times New Roman" w:hAnsi="Times New Roman"/>
                <w:b/>
                <w:szCs w:val="22"/>
                <w:lang w:val="sq-AL"/>
              </w:rPr>
            </w:pPr>
            <w:r w:rsidRPr="004E7606">
              <w:rPr>
                <w:rFonts w:ascii="Times New Roman" w:hAnsi="Times New Roman"/>
                <w:b/>
                <w:szCs w:val="22"/>
                <w:lang w:val="sq-AL"/>
              </w:rPr>
              <w:t xml:space="preserve">PJESA </w:t>
            </w:r>
            <w:r w:rsidR="006210CC" w:rsidRPr="004E7606">
              <w:rPr>
                <w:rFonts w:ascii="Times New Roman" w:hAnsi="Times New Roman"/>
                <w:b/>
                <w:szCs w:val="22"/>
                <w:lang w:val="sq-AL"/>
              </w:rPr>
              <w:t xml:space="preserve">2: </w:t>
            </w:r>
            <w:r w:rsidR="00BF5937" w:rsidRPr="004E7606">
              <w:rPr>
                <w:rFonts w:ascii="Times New Roman" w:hAnsi="Times New Roman"/>
                <w:b/>
                <w:szCs w:val="22"/>
                <w:lang w:val="sq-AL"/>
              </w:rPr>
              <w:t xml:space="preserve">BAZA KRYESORE E </w:t>
            </w:r>
            <w:r w:rsidR="008C604A" w:rsidRPr="004E7606">
              <w:rPr>
                <w:rFonts w:ascii="Times New Roman" w:hAnsi="Times New Roman"/>
                <w:b/>
                <w:szCs w:val="22"/>
                <w:lang w:val="sq-AL"/>
              </w:rPr>
              <w:t>ANALIZËS</w:t>
            </w:r>
            <w:r w:rsidR="00BF5937" w:rsidRPr="004E7606">
              <w:rPr>
                <w:rFonts w:ascii="Times New Roman" w:hAnsi="Times New Roman"/>
                <w:b/>
                <w:szCs w:val="22"/>
                <w:lang w:val="sq-AL"/>
              </w:rPr>
              <w:t xml:space="preserve"> DHE E </w:t>
            </w:r>
            <w:r w:rsidR="00E63EFD" w:rsidRPr="004E7606">
              <w:rPr>
                <w:rFonts w:ascii="Times New Roman" w:hAnsi="Times New Roman"/>
                <w:b/>
                <w:szCs w:val="22"/>
                <w:lang w:val="sq-AL"/>
              </w:rPr>
              <w:t xml:space="preserve">PROVAVE </w:t>
            </w:r>
          </w:p>
        </w:tc>
      </w:tr>
    </w:tbl>
    <w:p w14:paraId="02F48D2E" w14:textId="77777777" w:rsidR="00217F27" w:rsidRPr="004E7606" w:rsidRDefault="00217F27" w:rsidP="0013699E">
      <w:pPr>
        <w:pStyle w:val="Heading1"/>
        <w:rPr>
          <w:rFonts w:ascii="Times New Roman" w:hAnsi="Times New Roman" w:cs="Times New Roman"/>
          <w:sz w:val="22"/>
          <w:szCs w:val="22"/>
          <w:lang w:val="sq-AL"/>
        </w:rPr>
      </w:pPr>
      <w:bookmarkStart w:id="4" w:name="_Toc506919731"/>
    </w:p>
    <w:p w14:paraId="7AD8DA53" w14:textId="77777777" w:rsidR="00D52EE9" w:rsidRPr="004E7606" w:rsidRDefault="4157CBF5" w:rsidP="0013699E">
      <w:pPr>
        <w:pStyle w:val="Heading1"/>
        <w:rPr>
          <w:rFonts w:ascii="Times New Roman" w:hAnsi="Times New Roman" w:cs="Times New Roman"/>
          <w:sz w:val="22"/>
          <w:szCs w:val="22"/>
          <w:lang w:val="sq-AL"/>
        </w:rPr>
      </w:pPr>
      <w:r w:rsidRPr="4157CBF5">
        <w:rPr>
          <w:rFonts w:ascii="Times New Roman" w:hAnsi="Times New Roman" w:cs="Times New Roman"/>
          <w:sz w:val="22"/>
          <w:szCs w:val="22"/>
          <w:lang w:val="sq-AL"/>
        </w:rPr>
        <w:t>Historik</w:t>
      </w:r>
      <w:bookmarkEnd w:id="4"/>
    </w:p>
    <w:p w14:paraId="6C3CA055" w14:textId="77777777" w:rsidR="00C1415C" w:rsidRPr="005C09FF" w:rsidRDefault="00BF5937" w:rsidP="00666EF9">
      <w:pPr>
        <w:pStyle w:val="NoSpacing"/>
        <w:numPr>
          <w:ilvl w:val="0"/>
          <w:numId w:val="8"/>
        </w:numPr>
        <w:rPr>
          <w:rStyle w:val="Strong"/>
          <w:rFonts w:ascii="Times New Roman" w:hAnsi="Times New Roman"/>
          <w:b w:val="0"/>
          <w:i/>
          <w:sz w:val="20"/>
          <w:lang w:val="sq-AL"/>
        </w:rPr>
      </w:pPr>
      <w:bookmarkStart w:id="5" w:name="_Toc506919732"/>
      <w:r w:rsidRPr="005C09FF">
        <w:rPr>
          <w:rStyle w:val="Strong"/>
          <w:rFonts w:ascii="Times New Roman" w:hAnsi="Times New Roman"/>
          <w:b w:val="0"/>
          <w:i/>
          <w:sz w:val="20"/>
          <w:lang w:val="sq-AL"/>
        </w:rPr>
        <w:t>Jepni kontekstin e politikës</w:t>
      </w:r>
      <w:bookmarkEnd w:id="5"/>
    </w:p>
    <w:p w14:paraId="6CDFC94C" w14:textId="77777777" w:rsidR="0047660C" w:rsidRPr="004E7606" w:rsidRDefault="0047660C" w:rsidP="00700064">
      <w:pPr>
        <w:spacing w:line="276" w:lineRule="auto"/>
        <w:jc w:val="both"/>
        <w:rPr>
          <w:rFonts w:ascii="Times New Roman" w:eastAsia="Calibri" w:hAnsi="Times New Roman"/>
          <w:szCs w:val="22"/>
          <w:lang w:val="sq-AL"/>
        </w:rPr>
      </w:pPr>
    </w:p>
    <w:sdt>
      <w:sdtPr>
        <w:rPr>
          <w:rFonts w:ascii="Times New Roman" w:eastAsiaTheme="majorEastAsia" w:hAnsi="Times New Roman"/>
          <w:sz w:val="24"/>
          <w:szCs w:val="24"/>
        </w:rPr>
        <w:id w:val="183797412"/>
        <w:placeholder>
          <w:docPart w:val="97D317651B324F20A76C2F3A6EE198CE"/>
        </w:placeholder>
      </w:sdtPr>
      <w:sdtEndPr>
        <w:rPr>
          <w:rFonts w:ascii="Arial" w:hAnsi="Arial"/>
          <w:color w:val="C0504D" w:themeColor="accent2"/>
          <w:sz w:val="22"/>
          <w:szCs w:val="20"/>
        </w:rPr>
      </w:sdtEndPr>
      <w:sdtContent>
        <w:p w14:paraId="0C310FA0" w14:textId="120BF9C7" w:rsidR="00E4476E" w:rsidRPr="00837F09" w:rsidRDefault="00FA34DD" w:rsidP="00D266EE">
          <w:pPr>
            <w:spacing w:before="240" w:line="276" w:lineRule="auto"/>
            <w:jc w:val="both"/>
            <w:rPr>
              <w:rStyle w:val="normaltextrun"/>
              <w:rFonts w:ascii="Times New Roman" w:eastAsiaTheme="majorEastAsia" w:hAnsi="Times New Roman"/>
              <w:sz w:val="24"/>
            </w:rPr>
          </w:pPr>
          <w:r w:rsidRPr="00837F09">
            <w:rPr>
              <w:rStyle w:val="normaltextrun"/>
              <w:rFonts w:ascii="Times New Roman" w:eastAsiaTheme="majorEastAsia" w:hAnsi="Times New Roman"/>
              <w:sz w:val="24"/>
            </w:rPr>
            <w:t xml:space="preserve">Që nga momenti i krijimit të saj në vitin ’98, Agjencia e Trajtimit të Kredive ka operuar mbi bazën e një kuadri ligjor jo të plotë. Deri në fund të vitit </w:t>
          </w:r>
          <w:r w:rsidR="0028480B" w:rsidRPr="00837F09">
            <w:rPr>
              <w:rStyle w:val="normaltextrun"/>
              <w:rFonts w:ascii="Times New Roman" w:eastAsiaTheme="majorEastAsia" w:hAnsi="Times New Roman"/>
              <w:sz w:val="24"/>
            </w:rPr>
            <w:t>20</w:t>
          </w:r>
          <w:r w:rsidRPr="00837F09">
            <w:rPr>
              <w:rStyle w:val="normaltextrun"/>
              <w:rFonts w:ascii="Times New Roman" w:eastAsiaTheme="majorEastAsia" w:hAnsi="Times New Roman"/>
              <w:sz w:val="24"/>
            </w:rPr>
            <w:t xml:space="preserve">05, pra për gati 7 </w:t>
          </w:r>
          <w:r w:rsidR="006D7DE7" w:rsidRPr="00837F09">
            <w:rPr>
              <w:rStyle w:val="normaltextrun"/>
              <w:rFonts w:ascii="Times New Roman" w:eastAsiaTheme="majorEastAsia" w:hAnsi="Times New Roman"/>
              <w:sz w:val="24"/>
            </w:rPr>
            <w:t>vite</w:t>
          </w:r>
          <w:r w:rsidRPr="00837F09">
            <w:rPr>
              <w:rStyle w:val="normaltextrun"/>
              <w:rFonts w:ascii="Times New Roman" w:eastAsiaTheme="majorEastAsia" w:hAnsi="Times New Roman"/>
              <w:sz w:val="24"/>
            </w:rPr>
            <w:t xml:space="preserve">, aktet nënligjore ku ATK-ja e bazonte veprimtarinë e saj për trajtimin e portofolit të huave të transferuara nga ish-bankat shtetërore të nivelit të dytë dhe INSIG sh.a., ishin udhëzime të </w:t>
          </w:r>
          <w:r w:rsidRPr="00837F09">
            <w:rPr>
              <w:rStyle w:val="normaltextrun"/>
              <w:rFonts w:ascii="Times New Roman" w:eastAsiaTheme="majorEastAsia" w:hAnsi="Times New Roman"/>
              <w:sz w:val="24"/>
            </w:rPr>
            <w:lastRenderedPageBreak/>
            <w:t xml:space="preserve">miratuara me vendim të Këshillit Mbikëqyrës. Auditet e ndryshme të Ministrisë së Financave dhe KLSH-së, asnjëherë nuk e kishin konsideruar të parregullt këtë lloj infrastrukture ligjore, mbi bazën e të cilës punohej në ATK-në e atyre viteve. Vetëm Këshilli i ri Mbikëqyrës që u konstitua në fillim të vitit ’06, i vlerësoi si të paligjshme udhëzimet e miratuara nga kolegët e tyre të mëparshëm. </w:t>
          </w:r>
        </w:p>
        <w:p w14:paraId="61A9D096" w14:textId="0E598376" w:rsidR="00E4476E" w:rsidRPr="00837F09" w:rsidRDefault="00FA34DD" w:rsidP="00D266EE">
          <w:pPr>
            <w:spacing w:before="240" w:line="276" w:lineRule="auto"/>
            <w:jc w:val="both"/>
            <w:rPr>
              <w:rStyle w:val="normaltextrun"/>
              <w:rFonts w:ascii="Times New Roman" w:eastAsiaTheme="majorEastAsia" w:hAnsi="Times New Roman"/>
              <w:sz w:val="24"/>
            </w:rPr>
          </w:pPr>
          <w:r w:rsidRPr="00837F09">
            <w:rPr>
              <w:rStyle w:val="normaltextrun"/>
              <w:rFonts w:ascii="Times New Roman" w:eastAsiaTheme="majorEastAsia" w:hAnsi="Times New Roman"/>
              <w:sz w:val="24"/>
            </w:rPr>
            <w:t>Në Ligjin Nr. 8894, datë 14</w:t>
          </w:r>
          <w:r w:rsidR="007E4A79"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05</w:t>
          </w:r>
          <w:r w:rsidR="007E4A79"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2002 “Për Agjencinë e Trajtimit të Kredive”, i ndryshuar</w:t>
          </w:r>
          <w:r w:rsidR="007E4A79" w:rsidRPr="00837F09">
            <w:rPr>
              <w:rStyle w:val="normaltextrun"/>
              <w:rFonts w:ascii="Times New Roman" w:eastAsiaTheme="majorEastAsia" w:hAnsi="Times New Roman"/>
              <w:sz w:val="24"/>
            </w:rPr>
            <w:t>,</w:t>
          </w:r>
          <w:r w:rsidR="00E4476E" w:rsidRPr="00837F09">
            <w:rPr>
              <w:rStyle w:val="normaltextrun"/>
              <w:rFonts w:ascii="Times New Roman" w:eastAsiaTheme="majorEastAsia" w:hAnsi="Times New Roman"/>
              <w:sz w:val="24"/>
            </w:rPr>
            <w:t xml:space="preserve"> nuk p</w:t>
          </w:r>
          <w:r w:rsidR="007E4A79" w:rsidRPr="00837F09">
            <w:rPr>
              <w:rStyle w:val="normaltextrun"/>
              <w:rFonts w:ascii="Times New Roman" w:eastAsiaTheme="majorEastAsia" w:hAnsi="Times New Roman"/>
              <w:sz w:val="24"/>
            </w:rPr>
            <w:t>ë</w:t>
          </w:r>
          <w:r w:rsidR="00E4476E" w:rsidRPr="00837F09">
            <w:rPr>
              <w:rStyle w:val="normaltextrun"/>
              <w:rFonts w:ascii="Times New Roman" w:eastAsiaTheme="majorEastAsia" w:hAnsi="Times New Roman"/>
              <w:sz w:val="24"/>
            </w:rPr>
            <w:t xml:space="preserve">rcaktohej </w:t>
          </w:r>
          <w:r w:rsidRPr="00837F09">
            <w:rPr>
              <w:rStyle w:val="normaltextrun"/>
              <w:rFonts w:ascii="Times New Roman" w:eastAsiaTheme="majorEastAsia" w:hAnsi="Times New Roman"/>
              <w:sz w:val="24"/>
            </w:rPr>
            <w:t>mënyr</w:t>
          </w:r>
          <w:r w:rsidR="00E4476E" w:rsidRPr="00837F09">
            <w:rPr>
              <w:rStyle w:val="normaltextrun"/>
              <w:rFonts w:ascii="Times New Roman" w:eastAsiaTheme="majorEastAsia" w:hAnsi="Times New Roman"/>
              <w:sz w:val="24"/>
            </w:rPr>
            <w:t>a</w:t>
          </w:r>
          <w:r w:rsidRPr="00837F09">
            <w:rPr>
              <w:rStyle w:val="normaltextrun"/>
              <w:rFonts w:ascii="Times New Roman" w:eastAsiaTheme="majorEastAsia" w:hAnsi="Times New Roman"/>
              <w:sz w:val="24"/>
            </w:rPr>
            <w:t xml:space="preserve"> dhe kompetencat e nxjerrjes së akteve nënligjore, aq më tepër të thuhej që kjo e drejtë i njihej Këshillit Mbikëqyrës. Në këto kushte u bë emergjente kërkesa për ndryshimet e duhura ligjore e nënligjore, e diktuar kjo edhe nga venitja e alternativës për trajtimin ekonomik apo vullnetar të debitorëve. Megjithatë, ndryshimet e duhura ligjore arritën të realizoheshin pas daljes së Ligjit </w:t>
          </w:r>
          <w:r w:rsidR="00820C34" w:rsidRPr="00837F09">
            <w:rPr>
              <w:rStyle w:val="normaltextrun"/>
              <w:rFonts w:ascii="Times New Roman" w:eastAsiaTheme="majorEastAsia" w:hAnsi="Times New Roman"/>
              <w:sz w:val="24"/>
            </w:rPr>
            <w:t>me n</w:t>
          </w:r>
          <w:r w:rsidRPr="00837F09">
            <w:rPr>
              <w:rStyle w:val="normaltextrun"/>
              <w:rFonts w:ascii="Times New Roman" w:eastAsiaTheme="majorEastAsia" w:hAnsi="Times New Roman"/>
              <w:sz w:val="24"/>
            </w:rPr>
            <w:t>r.9731, datë 10</w:t>
          </w:r>
          <w:r w:rsidR="00DD1100"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05</w:t>
          </w:r>
          <w:r w:rsidR="00DD1100"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2007, ndryshime të cilat përveç zgjerimit të objektit të veprimtarisë së ATK-së, duke e lënë të hapur mundësinë që këtij institucioni t’i transferohen me ligj të veçantë për trajtim edhe aset</w:t>
          </w:r>
          <w:r w:rsidR="00E90348" w:rsidRPr="00837F09">
            <w:rPr>
              <w:rStyle w:val="normaltextrun"/>
              <w:rFonts w:ascii="Times New Roman" w:eastAsiaTheme="majorEastAsia" w:hAnsi="Times New Roman"/>
              <w:sz w:val="24"/>
            </w:rPr>
            <w:t>e</w:t>
          </w:r>
          <w:r w:rsidRPr="00837F09">
            <w:rPr>
              <w:rStyle w:val="normaltextrun"/>
              <w:rFonts w:ascii="Times New Roman" w:eastAsiaTheme="majorEastAsia" w:hAnsi="Times New Roman"/>
              <w:sz w:val="24"/>
            </w:rPr>
            <w:t xml:space="preserve"> të tjera, përveç kredive dhe aseteve të ish-bankave të nivelit të dytë me kapital tërësisht shtetëror apo portofolit të investimeve në banesa, të kryera nga INSIG sh.a. Gjithashtu, në nenin 18 të këtij ligji u sanksionua edhe detyrimi i nxjerrjes së akteve nënligjore nga Këshilli i Ministrave brenda një afati 90 ditor. Kjo detyrë u realizua me vonesë për shkak të drejtimit problematik dhe inkompetent të ATK-së në periudhën qershor ’07 – prill ’08. Kështu që </w:t>
          </w:r>
          <w:r w:rsidR="00E4476E" w:rsidRPr="00837F09">
            <w:rPr>
              <w:rStyle w:val="normaltextrun"/>
              <w:rFonts w:ascii="Times New Roman" w:eastAsiaTheme="majorEastAsia" w:hAnsi="Times New Roman"/>
              <w:sz w:val="24"/>
            </w:rPr>
            <w:t>miratimi i</w:t>
          </w:r>
          <w:r w:rsidRPr="00837F09">
            <w:rPr>
              <w:rStyle w:val="normaltextrun"/>
              <w:rFonts w:ascii="Times New Roman" w:eastAsiaTheme="majorEastAsia" w:hAnsi="Times New Roman"/>
              <w:sz w:val="24"/>
            </w:rPr>
            <w:t xml:space="preserve"> VKM-së në zbatim të Ligjit Nr. 9731, datë 10</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05</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 xml:space="preserve">2007 </w:t>
          </w:r>
          <w:r w:rsidR="00E4476E" w:rsidRPr="00837F09">
            <w:rPr>
              <w:rStyle w:val="normaltextrun"/>
              <w:rFonts w:ascii="Times New Roman" w:eastAsiaTheme="majorEastAsia" w:hAnsi="Times New Roman"/>
              <w:sz w:val="24"/>
            </w:rPr>
            <w:t>mban</w:t>
          </w:r>
          <w:r w:rsidRPr="00837F09">
            <w:rPr>
              <w:rStyle w:val="normaltextrun"/>
              <w:rFonts w:ascii="Times New Roman" w:eastAsiaTheme="majorEastAsia" w:hAnsi="Times New Roman"/>
              <w:sz w:val="24"/>
            </w:rPr>
            <w:t xml:space="preserve"> datën 16</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07</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2008, ndërsa Udhëzimi përkatës i Ministrit të Financave u miratua në datën 06</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10</w:t>
          </w:r>
          <w:r w:rsidR="00A03C17"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 xml:space="preserve">2008. Ndërkohë, këto akte nënligjore, të përgatitura në një moment jo fort të përshtatshëm drejtimi dhe organizimi të ATK-së, nuk arritën t’u japin zgjidhje tërësore dhe afatgjatë problemeve të krijuara kohë pas kohe në trajtimin e detyrimeve të mbetura debitore. </w:t>
          </w:r>
          <w:r w:rsidR="00820C34" w:rsidRPr="00837F09">
            <w:rPr>
              <w:rStyle w:val="normaltextrun"/>
              <w:rFonts w:ascii="Times New Roman" w:eastAsiaTheme="majorEastAsia" w:hAnsi="Times New Roman"/>
              <w:sz w:val="24"/>
            </w:rPr>
            <w:t xml:space="preserve"> </w:t>
          </w:r>
        </w:p>
        <w:p w14:paraId="409323E7" w14:textId="7EF974BA" w:rsidR="00E4476E" w:rsidRPr="00837F09" w:rsidRDefault="00E4476E" w:rsidP="00D266EE">
          <w:pPr>
            <w:spacing w:before="240" w:line="276" w:lineRule="auto"/>
            <w:jc w:val="both"/>
            <w:rPr>
              <w:rStyle w:val="normaltextrun"/>
              <w:rFonts w:ascii="Times New Roman" w:eastAsiaTheme="majorEastAsia" w:hAnsi="Times New Roman"/>
              <w:sz w:val="24"/>
            </w:rPr>
          </w:pPr>
          <w:r w:rsidRPr="00837F09">
            <w:rPr>
              <w:rStyle w:val="normaltextrun"/>
              <w:rFonts w:ascii="Times New Roman" w:eastAsiaTheme="majorEastAsia" w:hAnsi="Times New Roman"/>
              <w:sz w:val="24"/>
            </w:rPr>
            <w:t>Nj</w:t>
          </w:r>
          <w:r w:rsidR="00857738" w:rsidRPr="00837F09">
            <w:rPr>
              <w:rStyle w:val="normaltextrun"/>
              <w:rFonts w:ascii="Times New Roman" w:eastAsiaTheme="majorEastAsia" w:hAnsi="Times New Roman"/>
              <w:sz w:val="24"/>
            </w:rPr>
            <w:t>ë</w:t>
          </w:r>
          <w:r w:rsidRPr="00837F09">
            <w:rPr>
              <w:rStyle w:val="normaltextrun"/>
              <w:rFonts w:ascii="Times New Roman" w:eastAsiaTheme="majorEastAsia" w:hAnsi="Times New Roman"/>
              <w:sz w:val="24"/>
            </w:rPr>
            <w:t xml:space="preserve"> tjet</w:t>
          </w:r>
          <w:r w:rsidR="00857738" w:rsidRPr="00837F09">
            <w:rPr>
              <w:rStyle w:val="normaltextrun"/>
              <w:rFonts w:ascii="Times New Roman" w:eastAsiaTheme="majorEastAsia" w:hAnsi="Times New Roman"/>
              <w:sz w:val="24"/>
            </w:rPr>
            <w:t>ë</w:t>
          </w:r>
          <w:r w:rsidRPr="00837F09">
            <w:rPr>
              <w:rStyle w:val="normaltextrun"/>
              <w:rFonts w:ascii="Times New Roman" w:eastAsiaTheme="majorEastAsia" w:hAnsi="Times New Roman"/>
              <w:sz w:val="24"/>
            </w:rPr>
            <w:t>r problematik</w:t>
          </w:r>
          <w:r w:rsidR="00857738" w:rsidRPr="00837F09">
            <w:rPr>
              <w:rStyle w:val="normaltextrun"/>
              <w:rFonts w:ascii="Times New Roman" w:eastAsiaTheme="majorEastAsia" w:hAnsi="Times New Roman"/>
              <w:sz w:val="24"/>
            </w:rPr>
            <w:t>ë</w:t>
          </w:r>
          <w:r w:rsidRPr="00837F09">
            <w:rPr>
              <w:rStyle w:val="normaltextrun"/>
              <w:rFonts w:ascii="Times New Roman" w:eastAsiaTheme="majorEastAsia" w:hAnsi="Times New Roman"/>
              <w:sz w:val="24"/>
            </w:rPr>
            <w:t xml:space="preserve"> lidhur me sa trajtuam m</w:t>
          </w:r>
          <w:r w:rsidR="00857738" w:rsidRPr="00837F09">
            <w:rPr>
              <w:rStyle w:val="normaltextrun"/>
              <w:rFonts w:ascii="Times New Roman" w:eastAsiaTheme="majorEastAsia" w:hAnsi="Times New Roman"/>
              <w:sz w:val="24"/>
            </w:rPr>
            <w:t>ë</w:t>
          </w:r>
          <w:r w:rsidRPr="00837F09">
            <w:rPr>
              <w:rStyle w:val="normaltextrun"/>
              <w:rFonts w:ascii="Times New Roman" w:eastAsiaTheme="majorEastAsia" w:hAnsi="Times New Roman"/>
              <w:sz w:val="24"/>
            </w:rPr>
            <w:t xml:space="preserve"> lart ishte se</w:t>
          </w:r>
          <w:r w:rsidR="00FA34DD" w:rsidRPr="00837F09">
            <w:rPr>
              <w:rStyle w:val="normaltextrun"/>
              <w:rFonts w:ascii="Times New Roman" w:eastAsiaTheme="majorEastAsia" w:hAnsi="Times New Roman"/>
              <w:sz w:val="24"/>
            </w:rPr>
            <w:t xml:space="preserve"> këto akte nënligjore e shtrinin efektin e tyre deri në 30</w:t>
          </w:r>
          <w:r w:rsidR="00857738" w:rsidRPr="00837F09">
            <w:rPr>
              <w:rStyle w:val="normaltextrun"/>
              <w:rFonts w:ascii="Times New Roman" w:eastAsiaTheme="majorEastAsia" w:hAnsi="Times New Roman"/>
              <w:sz w:val="24"/>
            </w:rPr>
            <w:t>.</w:t>
          </w:r>
          <w:r w:rsidR="00FA34DD" w:rsidRPr="00837F09">
            <w:rPr>
              <w:rStyle w:val="normaltextrun"/>
              <w:rFonts w:ascii="Times New Roman" w:eastAsiaTheme="majorEastAsia" w:hAnsi="Times New Roman"/>
              <w:sz w:val="24"/>
            </w:rPr>
            <w:t>04</w:t>
          </w:r>
          <w:r w:rsidR="00857738" w:rsidRPr="00837F09">
            <w:rPr>
              <w:rStyle w:val="normaltextrun"/>
              <w:rFonts w:ascii="Times New Roman" w:eastAsiaTheme="majorEastAsia" w:hAnsi="Times New Roman"/>
              <w:sz w:val="24"/>
            </w:rPr>
            <w:t>.</w:t>
          </w:r>
          <w:r w:rsidR="00FA34DD" w:rsidRPr="00837F09">
            <w:rPr>
              <w:rStyle w:val="normaltextrun"/>
              <w:rFonts w:ascii="Times New Roman" w:eastAsiaTheme="majorEastAsia" w:hAnsi="Times New Roman"/>
              <w:sz w:val="24"/>
            </w:rPr>
            <w:t>2009; pra për një periudhë kohore jo më shumë se 6 muaj, ndërkohë që numri i debitorëve të mbetur në ATK kërkon vite të tëra pune dhe veprimtarie për t’u trajtuar.</w:t>
          </w:r>
          <w:r w:rsidR="00FA34DD" w:rsidRPr="00837F09">
            <w:rPr>
              <w:rStyle w:val="normaltextrun"/>
              <w:rFonts w:ascii="Times New Roman" w:eastAsiaTheme="majorEastAsia" w:hAnsi="Times New Roman"/>
              <w:sz w:val="24"/>
              <w:shd w:val="clear" w:color="auto" w:fill="FFFFFF"/>
            </w:rPr>
            <w:t xml:space="preserve"> </w:t>
          </w:r>
          <w:r w:rsidR="00FA34DD" w:rsidRPr="00837F09">
            <w:rPr>
              <w:rStyle w:val="normaltextrun"/>
              <w:rFonts w:ascii="Times New Roman" w:eastAsiaTheme="majorEastAsia" w:hAnsi="Times New Roman"/>
              <w:sz w:val="24"/>
            </w:rPr>
            <w:t xml:space="preserve">Mjafton të kujtojmë se bëhej fjalë për më shumë se 13 mijë debitorë nga afro 19 mijë të tillë, që janë transferuar qysh nga vitit ‘98 prej ish-bankave shtetërore të nivelit të dytë dhe INSIG sh.a. Nëse bëjmë një llogari të thjeshtë, duke u nisur nga fakti që për 10-11 vjet janë mbyllur vetëm një e treta e numrit të përgjithshëm të debitorëve, atëherë duhen edhe afro 20 vjet të tjera kohë për ta përfunduar totalisht një mision të tillë. Ndërkohë, ligji e lë ta hapur mundësinë për të marrë e trajtuar detyrime të tjera debitore, përveç portofolit të kredive që është transferuar tashmë në ATK. </w:t>
          </w:r>
        </w:p>
        <w:p w14:paraId="5EF1DD2F" w14:textId="25DDD594" w:rsidR="00FA34DD" w:rsidRDefault="00FA34DD" w:rsidP="00D266EE">
          <w:pPr>
            <w:spacing w:before="240" w:line="276" w:lineRule="auto"/>
            <w:jc w:val="both"/>
            <w:rPr>
              <w:rStyle w:val="normaltextrun"/>
              <w:rFonts w:ascii="Times New Roman" w:eastAsiaTheme="majorEastAsia" w:hAnsi="Times New Roman"/>
              <w:sz w:val="24"/>
            </w:rPr>
          </w:pPr>
          <w:r w:rsidRPr="00837F09">
            <w:rPr>
              <w:rStyle w:val="normaltextrun"/>
              <w:rFonts w:ascii="Times New Roman" w:eastAsiaTheme="majorEastAsia" w:hAnsi="Times New Roman"/>
              <w:sz w:val="24"/>
            </w:rPr>
            <w:t>Nga ana tjetër, kuadri nënligjor për të cilin po flasim ka pasur edhe mangësi të natyrës së mosreferimit të plotë ndaj kërkesave të Ligjit Nr. 9731, datë 10</w:t>
          </w:r>
          <w:r w:rsidR="00837F09"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05</w:t>
          </w:r>
          <w:r w:rsidR="00837F09" w:rsidRPr="00837F09">
            <w:rPr>
              <w:rStyle w:val="normaltextrun"/>
              <w:rFonts w:ascii="Times New Roman" w:eastAsiaTheme="majorEastAsia" w:hAnsi="Times New Roman"/>
              <w:sz w:val="24"/>
            </w:rPr>
            <w:t>.</w:t>
          </w:r>
          <w:r w:rsidRPr="00837F09">
            <w:rPr>
              <w:rStyle w:val="normaltextrun"/>
              <w:rFonts w:ascii="Times New Roman" w:eastAsiaTheme="majorEastAsia" w:hAnsi="Times New Roman"/>
              <w:sz w:val="24"/>
            </w:rPr>
            <w:t>2007, ku bie në sy “harresa” lidhur me të drejtën e Agjencisë për shitjen e sendeve të kaluara në pronësi të saj pas ezaurimit përfundimtar të procedurave përmbarimore në ekzekutimin e detyrueshëm ligjor, sikundër përcaktohet në nenin 5, pika “c” e këtij ligji.</w:t>
          </w:r>
        </w:p>
        <w:p w14:paraId="4A574936" w14:textId="3FDC3AE0" w:rsidR="00B35728" w:rsidRPr="00837F09" w:rsidRDefault="00B35728" w:rsidP="00D266EE">
          <w:pPr>
            <w:spacing w:before="240" w:line="276" w:lineRule="auto"/>
            <w:jc w:val="both"/>
            <w:rPr>
              <w:rFonts w:ascii="Times New Roman" w:eastAsiaTheme="majorEastAsia" w:hAnsi="Times New Roman"/>
              <w:sz w:val="24"/>
            </w:rPr>
          </w:pPr>
          <w:r w:rsidRPr="00B35728">
            <w:rPr>
              <w:rFonts w:ascii="Times New Roman" w:eastAsiaTheme="majorEastAsia" w:hAnsi="Times New Roman"/>
              <w:sz w:val="24"/>
            </w:rPr>
            <w:t xml:space="preserve">Këto mangësi u bënë shkak që të fillojë puna për hartimin e akteve të reja nënligjore, qoftë edhe për faktin se aktet e mëparshme e humbën fuqinë në 30/04/2009, për shkak të përfundimit të afateve të përcaktuara n ë këto akte. Në punën për hartimin e VKM-së së re dhe Udhëzimit përkatës të Ministrit të Financave u mbajt parasysh, jo vetëm eliminimi i vakumit ligjor të </w:t>
          </w:r>
          <w:r w:rsidRPr="00B35728">
            <w:rPr>
              <w:rFonts w:ascii="Times New Roman" w:eastAsiaTheme="majorEastAsia" w:hAnsi="Times New Roman"/>
              <w:sz w:val="24"/>
            </w:rPr>
            <w:lastRenderedPageBreak/>
            <w:t>krijuar, por edhe korrigjimi i mangësive të krijuara në aktet e mëparshme nënligjore, si shtimi i institucioneve bashkëpunuese dhe sanksionimi i të drejtës për shitjen me ankand të sendeve që kalojnë në pronësi të ATK-së. Këto akte nënligjore u përgatitën dhe miratuan, ku VKM-ja Nr. 681 mban datën 11/06/2009, kurse Udhëzimi Nr. 35 i Ministrit të Financave mban datën 14/07/2009, do t’i shërbenin ATK-së për një periudhë të gjatë kohe për të bazuar dhe organizuar punën lidhur me trajtimin e portofolit të mbetur të kredidhënies së bankave të nivelit të dytë me kapital tërësisht shtetëror dhe INSIG sh.a. Si kriter bazë për hartimin e këtyre akteve nënligjore është mbajtur parasysh vendosja e kushteve stimuluese për debitorët, që shlyejnë vullnetarisht dhe sa më shpejt detyrimin, duke i penalizuar gradualisht në vartësi të afatit kohor që zgjedhin për të likuiduar me këste. Natyrisht vendosja e penaliteteve të përshkallëzuara (përqindja e interesave që do të shlyhet mbi principalin e transferuar) kishte si synim të vetëm stimulimin e debitorëve që paraqiten për të likuiduar sa më shpejt detyrimin, me qëllim që të përfitojnë sa më shumë lehtësi në faljen e interesave, gjobave dhe kamatëvonesave. Këto përshkallëzime në faljen e interesave, gjobave dhe kamatëvonesave janë 90% për të gjitha kreditë me principal të transferuar deri në 3 milionë lekë apo pavarësisht nga shuma e principalit të transferuar edhe për kreditë e dhëna për mekanikë bujqësore, në fushën e prodhimit dhe përpunimit të produkteve bujqësore e blegtorale, etj., dhe 80% për të gjitha kreditë me principal të transferuar mbi 3 milionë lekë.</w:t>
          </w:r>
        </w:p>
        <w:p w14:paraId="6931D9E7" w14:textId="2E981655" w:rsidR="002270A9" w:rsidRPr="00074443" w:rsidRDefault="00FD7CD1" w:rsidP="00D266EE">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Ministria e Financave dhe Ekonomisë, në rrethanat e krijuara nga pandemia Covid 19 emetoi dy skema garancie në përfitim të biznesit për të zbutur efektin negativ ndaj biznesit nga masat e ndërmarra nga Qeveria në drejtim të parandalimit të përhapjes së sëmundjes. Dy skemat kolektive të garancive ishin një instrument i pa-aplikuar më parë nga MFE, por që u desh të alpikoheshin në këtë situatë si një instrument i përdorur gjerësisht nga vendet për të suportuar bizneset e prekura. Ligji aktual i borxhit, si dhe strukturat ekzistuese që administrojnë garancitë shtetërore nuk janë të përshtatshme/mjaftueshme për të përballuar këto lloj instrumentesh, ndaj lindi nevoja për ndryshimin e qasjes në këtë fushëme qëllimin për të mundësuar gjithë kapacitetet e nevojshme për këto lloj skemash.</w:t>
          </w:r>
        </w:p>
        <w:p w14:paraId="1B9D910D" w14:textId="77777777" w:rsidR="002270A9" w:rsidRDefault="002270A9" w:rsidP="00D266EE">
          <w:pPr>
            <w:spacing w:before="240" w:line="276" w:lineRule="auto"/>
            <w:jc w:val="both"/>
            <w:rPr>
              <w:rFonts w:ascii="Times New Roman" w:eastAsiaTheme="majorEastAsia" w:hAnsi="Times New Roman"/>
              <w:color w:val="0070C0"/>
              <w:sz w:val="24"/>
              <w:szCs w:val="24"/>
            </w:rPr>
          </w:pPr>
        </w:p>
        <w:p w14:paraId="0C043DAA" w14:textId="6840D4C0" w:rsidR="002270A9" w:rsidRDefault="002270A9" w:rsidP="002270A9">
          <w:pPr>
            <w:spacing w:after="150" w:line="270" w:lineRule="atLeast"/>
            <w:jc w:val="both"/>
            <w:textAlignment w:val="baseline"/>
            <w:rPr>
              <w:rFonts w:ascii="Times New Roman" w:hAnsi="Times New Roman"/>
              <w:color w:val="000000"/>
              <w:sz w:val="24"/>
              <w:szCs w:val="24"/>
              <w:lang w:val="en-US"/>
            </w:rPr>
          </w:pPr>
          <w:r w:rsidRPr="00193A00">
            <w:rPr>
              <w:rFonts w:ascii="Times New Roman" w:hAnsi="Times New Roman"/>
              <w:sz w:val="24"/>
              <w:szCs w:val="24"/>
            </w:rPr>
            <w:t>Në vjim të zbatimit të planit financiar për rimëkëmbjen nga Covid-19 u miratua</w:t>
          </w:r>
          <w:r>
            <w:rPr>
              <w:rFonts w:ascii="Times New Roman" w:hAnsi="Times New Roman"/>
              <w:sz w:val="24"/>
              <w:szCs w:val="24"/>
            </w:rPr>
            <w:t xml:space="preserve"> skema e pare e garancisë shtetërore në përfitim të biznesit, nëpërmjet</w:t>
          </w:r>
          <w:r w:rsidRPr="00193A00">
            <w:rPr>
              <w:rFonts w:ascii="Times New Roman" w:hAnsi="Times New Roman"/>
              <w:sz w:val="24"/>
              <w:szCs w:val="24"/>
            </w:rPr>
            <w:t xml:space="preserve"> VKM Nr. 277 datë 06.04.2020 e cila parashikon</w:t>
          </w:r>
          <w:r>
            <w:rPr>
              <w:rFonts w:ascii="Times New Roman" w:hAnsi="Times New Roman"/>
              <w:sz w:val="24"/>
              <w:szCs w:val="24"/>
            </w:rPr>
            <w:t>te l</w:t>
          </w:r>
          <w:r w:rsidRPr="00193A00">
            <w:rPr>
              <w:rFonts w:ascii="Times New Roman" w:hAnsi="Times New Roman"/>
              <w:sz w:val="24"/>
              <w:szCs w:val="24"/>
            </w:rPr>
            <w:t>injën e garancisë shtetërore, në vlerën 11.000.000.000 (njëmbëdhjetë miliardë) lekë, në favor të 12 bankave të nivelit të dytë, pjesë e skemës së garancisë që do të mundësojë huadhënien për të përballuar pagat e tregtarëve ose të shoqërive tregtare, aktiviteti i të cilave është mbyllur ose është ndikuar me ulje të xhiros, si pasojë e vendimeve të Këshillit të Ministrave dhe urdhrave të nxjerra nga Ministria e Shëndetësisë dhe Mbrojtjes Sociale, në kuadër të menaxhimit të situatës së krijuar nga COVID-19.</w:t>
          </w:r>
          <w:r>
            <w:rPr>
              <w:rFonts w:ascii="Times New Roman" w:hAnsi="Times New Roman"/>
              <w:sz w:val="24"/>
              <w:szCs w:val="24"/>
            </w:rPr>
            <w:t xml:space="preserve"> </w:t>
          </w:r>
          <w:r w:rsidRPr="00E84458">
            <w:rPr>
              <w:rFonts w:ascii="Times New Roman" w:hAnsi="Times New Roman"/>
              <w:sz w:val="24"/>
              <w:szCs w:val="24"/>
              <w:u w:val="single"/>
            </w:rPr>
            <w:t>(https://aida.gov.al/images/PDF/Covid-19/Paketa%20nr.1.pdf)</w:t>
          </w:r>
          <w:r>
            <w:rPr>
              <w:rFonts w:ascii="Times New Roman" w:hAnsi="Times New Roman"/>
              <w:sz w:val="24"/>
              <w:szCs w:val="24"/>
            </w:rPr>
            <w:t>.</w:t>
          </w:r>
        </w:p>
        <w:p w14:paraId="1C93D1A9" w14:textId="6FC5B819" w:rsidR="002270A9" w:rsidRPr="00193A00" w:rsidRDefault="002270A9" w:rsidP="002270A9">
          <w:pPr>
            <w:spacing w:after="150" w:line="270" w:lineRule="atLeast"/>
            <w:jc w:val="both"/>
            <w:textAlignment w:val="baseline"/>
            <w:rPr>
              <w:rFonts w:ascii="Times New Roman" w:hAnsi="Times New Roman"/>
              <w:color w:val="000000"/>
              <w:sz w:val="24"/>
              <w:szCs w:val="24"/>
              <w:lang w:val="en-US"/>
            </w:rPr>
          </w:pPr>
          <w:r>
            <w:rPr>
              <w:rFonts w:ascii="Times New Roman" w:hAnsi="Times New Roman"/>
              <w:color w:val="000000"/>
              <w:sz w:val="24"/>
              <w:szCs w:val="24"/>
              <w:lang w:val="en-US"/>
            </w:rPr>
            <w:t xml:space="preserve">Pas miratimit dhe implementimit të skemës së pare të garancisë shtetërore, </w:t>
          </w:r>
          <w:r w:rsidRPr="00193A00">
            <w:rPr>
              <w:rFonts w:ascii="Times New Roman" w:hAnsi="Times New Roman"/>
              <w:color w:val="000000"/>
              <w:sz w:val="24"/>
              <w:szCs w:val="24"/>
              <w:lang w:val="en-US"/>
            </w:rPr>
            <w:t>Këshilli i Ministrave miratoi vendimin e propozuar nga Ministria e Financave dhe Ek</w:t>
          </w:r>
          <w:r>
            <w:rPr>
              <w:rFonts w:ascii="Times New Roman" w:hAnsi="Times New Roman"/>
              <w:color w:val="000000"/>
              <w:sz w:val="24"/>
              <w:szCs w:val="24"/>
              <w:lang w:val="en-US"/>
            </w:rPr>
            <w:t>onomisë, përmes të cilit synohej</w:t>
          </w:r>
          <w:r w:rsidRPr="00193A00">
            <w:rPr>
              <w:rFonts w:ascii="Times New Roman" w:hAnsi="Times New Roman"/>
              <w:color w:val="000000"/>
              <w:sz w:val="24"/>
              <w:szCs w:val="24"/>
              <w:lang w:val="en-US"/>
            </w:rPr>
            <w:t xml:space="preserve"> rimbursimi i interesave të huave që do të jenë pjesë e garancisë së parë shtetërore të huasë me bankat e nivelit të dytë për pagat e bizneseve që janë prekur nga situata e krijuar si pasoj</w:t>
          </w:r>
          <w:r w:rsidR="008B4D37">
            <w:rPr>
              <w:rFonts w:ascii="Times New Roman" w:hAnsi="Times New Roman"/>
              <w:color w:val="000000"/>
              <w:sz w:val="24"/>
              <w:szCs w:val="24"/>
              <w:lang w:val="en-US"/>
            </w:rPr>
            <w:t xml:space="preserve">ë e pandemisë COVID-19 në vend, nëpërmjet VKM nr. 370, datë 06.05.2020, </w:t>
          </w:r>
          <w:r w:rsidRPr="00193A00">
            <w:rPr>
              <w:rFonts w:ascii="Times New Roman" w:hAnsi="Times New Roman"/>
              <w:color w:val="000000"/>
              <w:sz w:val="24"/>
              <w:szCs w:val="24"/>
              <w:lang w:val="en-US"/>
            </w:rPr>
            <w:t xml:space="preserve">“Për disa shtesa dhe ndryshime në vendimin Nr. 277, datë 6.4.2020, “Për miratimin e Garancisë Shtetërore të Huasë me Bankat e Nivelit të Dytë për Pagat e Tregtarëve ose Shoqërive Tregtare, aktiviteti i të cilave është prekur nga vendimet e Këshillit të Ministrave, në kuadër të </w:t>
          </w:r>
          <w:r w:rsidRPr="00193A00">
            <w:rPr>
              <w:rFonts w:ascii="Times New Roman" w:hAnsi="Times New Roman"/>
              <w:color w:val="000000"/>
              <w:sz w:val="24"/>
              <w:szCs w:val="24"/>
              <w:lang w:val="en-US"/>
            </w:rPr>
            <w:lastRenderedPageBreak/>
            <w:t>menaxhimit të situatës së krijuar nga COVID-19, si edhe për përcaktimin e kushteve e të kritereve të marrëveshjes së garancisë dhe</w:t>
          </w:r>
          <w:r w:rsidR="008B4D37">
            <w:rPr>
              <w:rFonts w:ascii="Times New Roman" w:hAnsi="Times New Roman"/>
              <w:color w:val="000000"/>
              <w:sz w:val="24"/>
              <w:szCs w:val="24"/>
              <w:lang w:val="en-US"/>
            </w:rPr>
            <w:t xml:space="preserve"> marrëveshjes së mirëkuptimit”.</w:t>
          </w:r>
        </w:p>
        <w:p w14:paraId="6DDEF55E" w14:textId="708818D8" w:rsidR="002270A9" w:rsidRPr="00193A00" w:rsidRDefault="008B4D37" w:rsidP="002270A9">
          <w:pPr>
            <w:spacing w:after="150" w:line="270" w:lineRule="atLeast"/>
            <w:jc w:val="both"/>
            <w:textAlignment w:val="baseline"/>
            <w:rPr>
              <w:rFonts w:ascii="Times New Roman" w:hAnsi="Times New Roman"/>
              <w:color w:val="000000"/>
              <w:sz w:val="24"/>
              <w:szCs w:val="24"/>
              <w:lang w:val="en-US"/>
            </w:rPr>
          </w:pPr>
          <w:r>
            <w:rPr>
              <w:rFonts w:ascii="Times New Roman" w:hAnsi="Times New Roman"/>
              <w:color w:val="000000"/>
              <w:sz w:val="24"/>
              <w:szCs w:val="24"/>
              <w:lang w:val="en-US"/>
            </w:rPr>
            <w:t>Qëllimi i këtij vendimi ishte të rimbursonte</w:t>
          </w:r>
          <w:r w:rsidR="002270A9" w:rsidRPr="00193A00">
            <w:rPr>
              <w:rFonts w:ascii="Times New Roman" w:hAnsi="Times New Roman"/>
              <w:color w:val="000000"/>
              <w:sz w:val="24"/>
              <w:szCs w:val="24"/>
              <w:lang w:val="en-US"/>
            </w:rPr>
            <w:t xml:space="preserve"> interesat e huave që do të jenë pjesë e garancisë së parë shtetërore të huasë, e cila </w:t>
          </w:r>
          <w:r>
            <w:rPr>
              <w:rFonts w:ascii="Times New Roman" w:hAnsi="Times New Roman"/>
              <w:color w:val="000000"/>
              <w:sz w:val="24"/>
              <w:szCs w:val="24"/>
              <w:lang w:val="en-US"/>
            </w:rPr>
            <w:t>ishte</w:t>
          </w:r>
          <w:r w:rsidR="002270A9" w:rsidRPr="00193A00">
            <w:rPr>
              <w:rFonts w:ascii="Times New Roman" w:hAnsi="Times New Roman"/>
              <w:color w:val="000000"/>
              <w:sz w:val="24"/>
              <w:szCs w:val="24"/>
              <w:lang w:val="en-US"/>
            </w:rPr>
            <w:t xml:space="preserve"> miratuar nëpërmjet vendimit Nr.277, datë 6.4.2020. Rimbursimi i interesave të huave </w:t>
          </w:r>
          <w:r>
            <w:rPr>
              <w:rFonts w:ascii="Times New Roman" w:hAnsi="Times New Roman"/>
              <w:color w:val="000000"/>
              <w:sz w:val="24"/>
              <w:szCs w:val="24"/>
              <w:lang w:val="en-US"/>
            </w:rPr>
            <w:t>kishte si qëllim</w:t>
          </w:r>
          <w:r w:rsidR="002270A9" w:rsidRPr="00193A00">
            <w:rPr>
              <w:rFonts w:ascii="Times New Roman" w:hAnsi="Times New Roman"/>
              <w:color w:val="000000"/>
              <w:sz w:val="24"/>
              <w:szCs w:val="24"/>
              <w:lang w:val="en-US"/>
            </w:rPr>
            <w:t xml:space="preserve"> të redukto</w:t>
          </w:r>
          <w:r>
            <w:rPr>
              <w:rFonts w:ascii="Times New Roman" w:hAnsi="Times New Roman"/>
              <w:color w:val="000000"/>
              <w:sz w:val="24"/>
              <w:szCs w:val="24"/>
              <w:lang w:val="en-US"/>
            </w:rPr>
            <w:t>nte</w:t>
          </w:r>
          <w:r w:rsidR="002270A9" w:rsidRPr="00193A00">
            <w:rPr>
              <w:rFonts w:ascii="Times New Roman" w:hAnsi="Times New Roman"/>
              <w:color w:val="000000"/>
              <w:sz w:val="24"/>
              <w:szCs w:val="24"/>
              <w:lang w:val="en-US"/>
            </w:rPr>
            <w:t xml:space="preserve"> barrën e tregtarëve dhe shoqërive tregtare që përfitojnë nga kjo Marrëveshje Garancie.</w:t>
          </w:r>
        </w:p>
        <w:p w14:paraId="1D780119" w14:textId="77777777" w:rsidR="002270A9" w:rsidRPr="00193A00" w:rsidRDefault="002270A9" w:rsidP="002270A9">
          <w:pPr>
            <w:spacing w:after="150" w:line="270" w:lineRule="atLeast"/>
            <w:jc w:val="both"/>
            <w:textAlignment w:val="baseline"/>
            <w:rPr>
              <w:rFonts w:ascii="Times New Roman" w:hAnsi="Times New Roman"/>
              <w:color w:val="000000"/>
              <w:sz w:val="24"/>
              <w:szCs w:val="24"/>
              <w:lang w:val="en-US"/>
            </w:rPr>
          </w:pPr>
          <w:r w:rsidRPr="00193A00">
            <w:rPr>
              <w:rFonts w:ascii="Times New Roman" w:hAnsi="Times New Roman"/>
              <w:color w:val="000000"/>
              <w:sz w:val="24"/>
              <w:szCs w:val="24"/>
              <w:lang w:val="en-US"/>
            </w:rPr>
            <w:t> </w:t>
          </w:r>
        </w:p>
        <w:p w14:paraId="5F0358FD" w14:textId="19BB5BE3" w:rsidR="002270A9" w:rsidRPr="00193A00" w:rsidRDefault="002270A9" w:rsidP="002270A9">
          <w:pPr>
            <w:spacing w:after="150" w:line="270" w:lineRule="atLeast"/>
            <w:jc w:val="both"/>
            <w:textAlignment w:val="baseline"/>
            <w:rPr>
              <w:rFonts w:ascii="Times New Roman" w:hAnsi="Times New Roman"/>
              <w:color w:val="000000"/>
              <w:sz w:val="24"/>
              <w:szCs w:val="24"/>
              <w:lang w:val="en-US"/>
            </w:rPr>
          </w:pPr>
          <w:r w:rsidRPr="00193A00">
            <w:rPr>
              <w:rFonts w:ascii="Times New Roman" w:hAnsi="Times New Roman"/>
              <w:color w:val="000000"/>
              <w:sz w:val="24"/>
              <w:szCs w:val="24"/>
              <w:lang w:val="en-US"/>
            </w:rPr>
            <w:t xml:space="preserve">Ky vendim është në përputhje të plotë me Programin Politik të Këshillit të Ministrave për mbështetjen e sektorit privat, duke synuar zbutjen e efekteve financiare të krijuara nga masat e marra nga qeveria në kuadër të parandalimit të përhapjes së COVID-19.  Miratimi i këtij vendimi </w:t>
          </w:r>
          <w:r w:rsidR="008B4D37">
            <w:rPr>
              <w:rFonts w:ascii="Times New Roman" w:hAnsi="Times New Roman"/>
              <w:color w:val="000000"/>
              <w:sz w:val="24"/>
              <w:szCs w:val="24"/>
              <w:lang w:val="en-US"/>
            </w:rPr>
            <w:t>erdhi</w:t>
          </w:r>
          <w:r w:rsidRPr="00193A00">
            <w:rPr>
              <w:rFonts w:ascii="Times New Roman" w:hAnsi="Times New Roman"/>
              <w:color w:val="000000"/>
              <w:sz w:val="24"/>
              <w:szCs w:val="24"/>
              <w:lang w:val="en-US"/>
            </w:rPr>
            <w:t xml:space="preserve"> si nevojë e emergjencës së krijuar në kuadër të përballimit të situ</w:t>
          </w:r>
          <w:r w:rsidR="008B4D37">
            <w:rPr>
              <w:rFonts w:ascii="Times New Roman" w:hAnsi="Times New Roman"/>
              <w:color w:val="000000"/>
              <w:sz w:val="24"/>
              <w:szCs w:val="24"/>
              <w:lang w:val="en-US"/>
            </w:rPr>
            <w:t>atës së shkaktuar nga COVID-19. Kjo skemë pati</w:t>
          </w:r>
          <w:r w:rsidRPr="00193A00">
            <w:rPr>
              <w:rFonts w:ascii="Times New Roman" w:hAnsi="Times New Roman"/>
              <w:color w:val="000000"/>
              <w:sz w:val="24"/>
              <w:szCs w:val="24"/>
              <w:lang w:val="en-US"/>
            </w:rPr>
            <w:t xml:space="preserve"> një ndikim të rëndësishëm në sektorin privat në sigurimin e fondeve për vijimësinë e pagesës së punonjësve. Përparësia e </w:t>
          </w:r>
          <w:r w:rsidR="008B4D37">
            <w:rPr>
              <w:rFonts w:ascii="Times New Roman" w:hAnsi="Times New Roman"/>
              <w:color w:val="000000"/>
              <w:sz w:val="24"/>
              <w:szCs w:val="24"/>
              <w:lang w:val="en-US"/>
            </w:rPr>
            <w:t>kësaj skeme garancie</w:t>
          </w:r>
          <w:r w:rsidRPr="00193A00">
            <w:rPr>
              <w:rFonts w:ascii="Times New Roman" w:hAnsi="Times New Roman"/>
              <w:color w:val="000000"/>
              <w:sz w:val="24"/>
              <w:szCs w:val="24"/>
              <w:lang w:val="en-US"/>
            </w:rPr>
            <w:t xml:space="preserve"> konsiston</w:t>
          </w:r>
          <w:r w:rsidR="008B4D37">
            <w:rPr>
              <w:rFonts w:ascii="Times New Roman" w:hAnsi="Times New Roman"/>
              <w:color w:val="000000"/>
              <w:sz w:val="24"/>
              <w:szCs w:val="24"/>
              <w:lang w:val="en-US"/>
            </w:rPr>
            <w:t>te</w:t>
          </w:r>
          <w:r w:rsidRPr="00193A00">
            <w:rPr>
              <w:rFonts w:ascii="Times New Roman" w:hAnsi="Times New Roman"/>
              <w:color w:val="000000"/>
              <w:sz w:val="24"/>
              <w:szCs w:val="24"/>
              <w:lang w:val="en-US"/>
            </w:rPr>
            <w:t xml:space="preserve"> në lehtësimin afatshkurtër të pasojave ekonomike të krijuara nga përhapja e COVID 19. Qëllimi kryesor i kësaj skeme </w:t>
          </w:r>
          <w:r w:rsidR="008B4D37">
            <w:rPr>
              <w:rFonts w:ascii="Times New Roman" w:hAnsi="Times New Roman"/>
              <w:color w:val="000000"/>
              <w:sz w:val="24"/>
              <w:szCs w:val="24"/>
              <w:lang w:val="en-US"/>
            </w:rPr>
            <w:t>ishte</w:t>
          </w:r>
          <w:r w:rsidRPr="00193A00">
            <w:rPr>
              <w:rFonts w:ascii="Times New Roman" w:hAnsi="Times New Roman"/>
              <w:color w:val="000000"/>
              <w:sz w:val="24"/>
              <w:szCs w:val="24"/>
              <w:lang w:val="en-US"/>
            </w:rPr>
            <w:t xml:space="preserve"> mbështetja e tregtarëve dhe shoqërive tregtare duke bërë të mundur mosndërprerjen e pagave për punonjësit e tyre, si edhe duke garantuar një pikënisje më të sigurt për tregtarët dhe shoqëritë tregtare në momentin e rifillimit të aktivitetit pas përfundimit të si</w:t>
          </w:r>
          <w:r w:rsidR="008B4D37">
            <w:rPr>
              <w:rFonts w:ascii="Times New Roman" w:hAnsi="Times New Roman"/>
              <w:color w:val="000000"/>
              <w:sz w:val="24"/>
              <w:szCs w:val="24"/>
              <w:lang w:val="en-US"/>
            </w:rPr>
            <w:t>tuatës së krijuar nga COVID-19.</w:t>
          </w:r>
        </w:p>
        <w:p w14:paraId="0F3AFD04" w14:textId="4892AF49" w:rsidR="008B4D37" w:rsidRPr="00193A00" w:rsidRDefault="008B4D37" w:rsidP="00193A00">
          <w:pPr>
            <w:spacing w:after="150" w:line="270" w:lineRule="atLeast"/>
            <w:jc w:val="both"/>
            <w:textAlignment w:val="baseline"/>
            <w:rPr>
              <w:rFonts w:ascii="Times New Roman" w:hAnsi="Times New Roman"/>
              <w:color w:val="000000"/>
              <w:sz w:val="24"/>
              <w:szCs w:val="24"/>
              <w:lang w:val="en-US"/>
            </w:rPr>
          </w:pPr>
          <w:r>
            <w:rPr>
              <w:rFonts w:ascii="Times New Roman" w:hAnsi="Times New Roman"/>
              <w:color w:val="000000"/>
              <w:sz w:val="24"/>
              <w:szCs w:val="24"/>
              <w:lang w:val="en-US"/>
            </w:rPr>
            <w:t>Këto skema (miratuar me VKM e lartpërmendura) u hartuan</w:t>
          </w:r>
          <w:r w:rsidR="002270A9" w:rsidRPr="00193A00">
            <w:rPr>
              <w:rFonts w:ascii="Times New Roman" w:hAnsi="Times New Roman"/>
              <w:color w:val="000000"/>
              <w:sz w:val="24"/>
              <w:szCs w:val="24"/>
              <w:lang w:val="en-US"/>
            </w:rPr>
            <w:t xml:space="preserve"> në përputhje me  Nenin 100 të Kushtetutës; Nenin 34-43 të Ligjit Nr. 9665, datë 18.12.2006, “Për huamarrjen shtetërore, borxhin shtetëror dhe garancitë shtetërore të huasë në Republikën e Shqipërisë”, të ndryshuar; Nenin 57 të ligjit Nr. 9936, datë 26.06.2008, “Për menaxhimin e sistemit buxhetor në Republikën e Shqipërisë”, të ndryshuar;  Ligjin Nr.7850, datë 29.07.1994 “Për Kodin Civil të Republikës së Shqipërisë”, të ndryshuar; Aktin Normativ Nr. 6, datë 21.03.2020 “Për disa ndryshime dhe shtesa në Ligjin Nr. 88/2019”; si edhe me pikën 6, të Vendimit Nr. 243, datë 24.03.2020 “Për shpalljen e gjendjes së fatkeqësisë natyrore”</w:t>
          </w:r>
          <w:r>
            <w:rPr>
              <w:rFonts w:ascii="Times New Roman" w:hAnsi="Times New Roman"/>
              <w:color w:val="000000"/>
              <w:sz w:val="24"/>
              <w:szCs w:val="24"/>
              <w:lang w:val="en-US"/>
            </w:rPr>
            <w:t>. (</w:t>
          </w:r>
          <w:r w:rsidRPr="00E84458">
            <w:rPr>
              <w:rFonts w:ascii="Times New Roman" w:hAnsi="Times New Roman"/>
              <w:color w:val="000000"/>
              <w:sz w:val="24"/>
              <w:szCs w:val="24"/>
              <w:u w:val="single"/>
              <w:lang w:val="en-US"/>
            </w:rPr>
            <w:t>https://financa.gov.al/miratohet-vendimi-rimbursohen-interesat-e-huave-te-garancise-shteterore-te-huase-me-bankat-e-nivelit-te-dyte-per-pagat-e-bizneseve-te-prekur-nga-covid-19/</w:t>
          </w:r>
          <w:r>
            <w:rPr>
              <w:rFonts w:ascii="Times New Roman" w:hAnsi="Times New Roman"/>
              <w:color w:val="000000"/>
              <w:sz w:val="24"/>
              <w:szCs w:val="24"/>
              <w:lang w:val="en-US"/>
            </w:rPr>
            <w:t>).</w:t>
          </w:r>
        </w:p>
        <w:p w14:paraId="1FE5EF69" w14:textId="1296E00E" w:rsidR="00C839B6" w:rsidRPr="00074443" w:rsidRDefault="00C839B6" w:rsidP="00C839B6">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Procesi i huamarrjes shtetërore dhe ai i lëshimit të garancive shtetërore të huasë rregullohet nga ligji i miratuar nga Kuvendi i Republikës së Shqipërisë në vitin 2006, dhe konkretisht Ligji Nr. 9665, datë 18.12.2006 “Për Huamarrjen Shtetërore, Borxhin Shtetëror dhe Garancitë Shtetërore të Huasë në Republikën e Shqipërisë”</w:t>
          </w:r>
          <w:r w:rsidR="009E068B" w:rsidRPr="00074443">
            <w:rPr>
              <w:rFonts w:ascii="Times New Roman" w:eastAsiaTheme="majorEastAsia" w:hAnsi="Times New Roman"/>
              <w:color w:val="000000" w:themeColor="text1"/>
              <w:sz w:val="24"/>
              <w:szCs w:val="24"/>
            </w:rPr>
            <w:t>, i ndryshuar</w:t>
          </w:r>
          <w:r w:rsidRPr="00074443">
            <w:rPr>
              <w:rFonts w:ascii="Times New Roman" w:eastAsiaTheme="majorEastAsia" w:hAnsi="Times New Roman"/>
              <w:color w:val="000000" w:themeColor="text1"/>
              <w:sz w:val="24"/>
              <w:szCs w:val="24"/>
            </w:rPr>
            <w:t xml:space="preserve">. Mbështetur në këtë ligj, dhe aktet nënligjore që kanë dalë në zbatim të tij, Ministria e Financave dhe Ekonomisë realizon aktivitetin e huamarrjes në tregun e brendshëm, në tregjet ndërkombëtare, realizon huamarrjen nëpërmjet marrëveshjeve ndërkombëtare si dhe lëshon garanci shtetërore të huasë si brenda vendit, por edhe jashtë tij në bashkëpunim me institucione financiare ndërkombëtare. </w:t>
          </w:r>
        </w:p>
        <w:p w14:paraId="0EA42BFA" w14:textId="47FBC43C" w:rsidR="00C839B6" w:rsidRPr="00074443" w:rsidRDefault="00C839B6" w:rsidP="00C839B6">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Procesi i lëshimit të garancive rregullohet konkretisht në kreun VII të ligjit, nenet 34-43 të tij. Ministria e Financave dhe Ekonomisë, mbështetur në këtë ligj lëshon garanci shtetërore për subjekte përfituese, me paraqitjen e kërkesës të subjektit të interesuar dhe në bazë të një analize ekonomike financiare të realizuar mbështetur në dokumentacionin e paraqitur. Garancia shtetërore nënshkruhet nga Ministri i Financave dhe Ekonomisë pas miratimit të saj nga Këshilli i Ministrave. Ministria e Financave dhe Ekonomisë ruan dokumentacionin përkatës për garancitë e lëshuara, kryen pagesat nga garancia kur ajo thiret nga kreditori në përputhje me kuadrin ligjor, ligjin përkatës si dhe marrëveshjen përkatëse të garancisë.</w:t>
          </w:r>
        </w:p>
        <w:p w14:paraId="1E922D03" w14:textId="68D58D6D" w:rsidR="002246D5" w:rsidRPr="00074443" w:rsidRDefault="002246D5" w:rsidP="00E00371">
          <w:pPr>
            <w:rPr>
              <w:rFonts w:ascii="Times New Roman" w:eastAsiaTheme="majorEastAsia" w:hAnsi="Times New Roman"/>
              <w:color w:val="000000" w:themeColor="text1"/>
              <w:sz w:val="24"/>
              <w:szCs w:val="24"/>
            </w:rPr>
          </w:pPr>
        </w:p>
        <w:p w14:paraId="639F776C" w14:textId="10F39C9D" w:rsidR="002246D5" w:rsidRPr="00074443" w:rsidRDefault="002246D5" w:rsidP="002246D5">
          <w:pPr>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lastRenderedPageBreak/>
            <w:t>Ndryshimet e fundit në ligjin që rregullon huamarrjen, borxhin shtetëror dhe garancitë shtetërore të huasë u bënë me ligjin nr. 92/2022, datë 22.12.2022 “Për disa ndryshime dhe shtesa në ligjin nr. 9665, datë 18.12.2006, “Për Huamarrjen Shtetërore, Borxhin Shtetëror dhe Garancitë Shtetërore të Huas në Republikën e Shqipërisë”.</w:t>
          </w:r>
        </w:p>
        <w:p w14:paraId="1CF6EEA7" w14:textId="77777777" w:rsidR="009A56F6" w:rsidRDefault="009A56F6" w:rsidP="002246D5">
          <w:pPr>
            <w:rPr>
              <w:rFonts w:ascii="Times New Roman" w:eastAsiaTheme="majorEastAsia" w:hAnsi="Times New Roman"/>
              <w:color w:val="0070C0"/>
              <w:sz w:val="24"/>
              <w:szCs w:val="24"/>
            </w:rPr>
          </w:pPr>
        </w:p>
        <w:p w14:paraId="179A6617" w14:textId="2D3F7903" w:rsidR="002246D5" w:rsidRPr="00074443" w:rsidRDefault="009A56F6" w:rsidP="002246D5">
          <w:pPr>
            <w:spacing w:before="240" w:line="276" w:lineRule="auto"/>
            <w:jc w:val="both"/>
            <w:rPr>
              <w:rFonts w:ascii="Times New Roman" w:hAnsi="Times New Roman"/>
              <w:sz w:val="24"/>
              <w:szCs w:val="24"/>
              <w:lang w:val="sq-AL"/>
            </w:rPr>
          </w:pPr>
          <w:r>
            <w:rPr>
              <w:rFonts w:ascii="Times New Roman" w:hAnsi="Times New Roman"/>
              <w:sz w:val="24"/>
              <w:szCs w:val="24"/>
              <w:lang w:val="sq-AL"/>
            </w:rPr>
            <w:t>Gjithashtu, l</w:t>
          </w:r>
          <w:r w:rsidRPr="004A789A">
            <w:rPr>
              <w:rFonts w:ascii="Times New Roman" w:hAnsi="Times New Roman"/>
              <w:sz w:val="24"/>
              <w:szCs w:val="24"/>
              <w:lang w:val="sq-AL"/>
            </w:rPr>
            <w:t>igji nr.8894, datë 14.05.2002 “Për Agjencinë e Trajtimit të Kredive” duke qënë një ligj i vjetër në kohë</w:t>
          </w:r>
          <w:r>
            <w:rPr>
              <w:rFonts w:ascii="Times New Roman" w:hAnsi="Times New Roman"/>
              <w:sz w:val="24"/>
              <w:szCs w:val="24"/>
              <w:lang w:val="sq-AL"/>
            </w:rPr>
            <w:t>,</w:t>
          </w:r>
          <w:r w:rsidRPr="004A789A">
            <w:rPr>
              <w:rFonts w:ascii="Times New Roman" w:hAnsi="Times New Roman"/>
              <w:sz w:val="24"/>
              <w:szCs w:val="24"/>
              <w:lang w:val="sq-AL"/>
            </w:rPr>
            <w:t xml:space="preserve"> ka operuar mbi bazën e një kuadri ligjor jo të plotë.</w:t>
          </w:r>
          <w:r>
            <w:rPr>
              <w:rFonts w:ascii="Times New Roman" w:hAnsi="Times New Roman"/>
              <w:sz w:val="24"/>
              <w:szCs w:val="24"/>
              <w:lang w:val="sq-AL"/>
            </w:rPr>
            <w:t xml:space="preserve"> </w:t>
          </w:r>
          <w:r w:rsidRPr="00122A20">
            <w:rPr>
              <w:rFonts w:ascii="Times New Roman" w:hAnsi="Times New Roman"/>
              <w:sz w:val="24"/>
              <w:szCs w:val="24"/>
              <w:lang w:val="sq-AL"/>
            </w:rPr>
            <w:t>Këto mangësi u bënë shkak që të fillojë puna për hartimin e akteve të reja nënligjore, qoftë edhe për faktin se aktet e mëparshme e humbën fuqinë në 30/04/2009</w:t>
          </w:r>
          <w:r>
            <w:rPr>
              <w:rFonts w:ascii="Times New Roman" w:hAnsi="Times New Roman"/>
              <w:sz w:val="24"/>
              <w:szCs w:val="24"/>
              <w:lang w:val="sq-AL"/>
            </w:rPr>
            <w:t>, për shkak të përfundimit të afateve të përcaktuara në këto akte</w:t>
          </w:r>
          <w:r w:rsidRPr="00122A20">
            <w:rPr>
              <w:rFonts w:ascii="Times New Roman" w:hAnsi="Times New Roman"/>
              <w:sz w:val="24"/>
              <w:szCs w:val="24"/>
              <w:lang w:val="sq-AL"/>
            </w:rPr>
            <w:t xml:space="preserve">. Në punën për hartimin e VKM-së së re dhe Udhëzimit përkatës të Ministrit të Financave u mbajt parasysh, jo vetëm eliminimi i vakumit ligjor të krijuar, por edhe korrigjimi i mangësive të krijuara në aktet e mëparshme nënligjore, si shtimi i institucioneve bashkëpunuese dhe sanksionimi i të drejtës për shitjen me ankand të sendeve që kalojnë në pronësi të ATK-së. </w:t>
          </w:r>
          <w:r>
            <w:rPr>
              <w:rFonts w:ascii="Times New Roman" w:hAnsi="Times New Roman"/>
              <w:sz w:val="24"/>
              <w:szCs w:val="24"/>
              <w:lang w:val="sq-AL"/>
            </w:rPr>
            <w:t>K</w:t>
          </w:r>
          <w:r w:rsidRPr="00122A20">
            <w:rPr>
              <w:rFonts w:ascii="Times New Roman" w:hAnsi="Times New Roman"/>
              <w:sz w:val="24"/>
              <w:szCs w:val="24"/>
              <w:lang w:val="sq-AL"/>
            </w:rPr>
            <w:t>ëto akte nënligjore u përgatitën dhe miratuan, ku VKM-ja Nr. 681 mban datën 11/06/2009, kurse Udhëzimi Nr. 35 i Ministrit të Financave mban datën 14/07/2009, do t’i shërbe</w:t>
          </w:r>
          <w:r>
            <w:rPr>
              <w:rFonts w:ascii="Times New Roman" w:hAnsi="Times New Roman"/>
              <w:sz w:val="24"/>
              <w:szCs w:val="24"/>
              <w:lang w:val="sq-AL"/>
            </w:rPr>
            <w:t>nin</w:t>
          </w:r>
          <w:r w:rsidRPr="00122A20">
            <w:rPr>
              <w:rFonts w:ascii="Times New Roman" w:hAnsi="Times New Roman"/>
              <w:sz w:val="24"/>
              <w:szCs w:val="24"/>
              <w:lang w:val="sq-AL"/>
            </w:rPr>
            <w:t xml:space="preserve"> ATK-së për një periudhë të gjatë kohe për të bazuar dhe organizuar punën lidhur me trajtimin e portofolit të mbetur të kredidhënies së bankave të nivelit të dytë me kapital tërësisht shtetëror dhe INSIG sh.a. Si kriter bazë për hartimin e këtyre akteve nënligjore është mbajtur parasysh vendosja e kushteve stimuluese për debitorët, që shlyejnë vullnetarisht dhe sa më shpejt detyrimin, duke i penalizuar gradualisht në vartësi të afatit kohor që zgjedhin për të likuiduar me këste. Natyrisht vendosja e penaliteteve të përshkallëzuara (përqindja e interesave që do të shlyhet mbi principalin e transferuar) k</w:t>
          </w:r>
          <w:r>
            <w:rPr>
              <w:rFonts w:ascii="Times New Roman" w:hAnsi="Times New Roman"/>
              <w:sz w:val="24"/>
              <w:szCs w:val="24"/>
              <w:lang w:val="sq-AL"/>
            </w:rPr>
            <w:t>ishte</w:t>
          </w:r>
          <w:r w:rsidRPr="00122A20">
            <w:rPr>
              <w:rFonts w:ascii="Times New Roman" w:hAnsi="Times New Roman"/>
              <w:sz w:val="24"/>
              <w:szCs w:val="24"/>
              <w:lang w:val="sq-AL"/>
            </w:rPr>
            <w:t xml:space="preserve"> si synim të vetëm stimulimin e debitorëve që paraqiten për të likuiduar sa më shpejt detyrimin, me qëllim që të përfitojnë sa më shumë lehtësi në faljen e interesave, gjobave dhe kamatëvonesave. Këto përshkallëzime në faljen e interesave, gjobave dhe kamatëvonesave janë 90% për të gjitha kreditë me principal të transferuar deri në 3 milionë lekë apo pavarësisht nga shuma e principalit të transferuar edhe për kreditë e dhëna për mekanikë bujqësore, në fushën e prodhimit dhe përpunimit të produkteve bujqësore e blegtorale, etj., dhe 80% për të gjitha kreditë me principal të transferuar mbi 3 milionë lekë. </w:t>
          </w:r>
        </w:p>
        <w:p w14:paraId="229E7EE9" w14:textId="575DB05E" w:rsidR="00AF6E5C" w:rsidRPr="00702DB3" w:rsidRDefault="00CF08ED" w:rsidP="00702DB3">
          <w:pPr>
            <w:spacing w:before="240" w:line="276" w:lineRule="auto"/>
            <w:jc w:val="both"/>
            <w:rPr>
              <w:szCs w:val="24"/>
              <w:lang w:val="sq-AL"/>
            </w:rPr>
          </w:pPr>
        </w:p>
      </w:sdtContent>
    </w:sdt>
    <w:p w14:paraId="172A893E" w14:textId="77777777" w:rsidR="00C50922" w:rsidRPr="004E7606" w:rsidRDefault="00BF5937" w:rsidP="0068176A">
      <w:pPr>
        <w:pStyle w:val="Heading1"/>
        <w:ind w:firstLine="66"/>
        <w:jc w:val="both"/>
        <w:rPr>
          <w:rFonts w:ascii="Times New Roman" w:hAnsi="Times New Roman" w:cs="Times New Roman"/>
          <w:sz w:val="22"/>
          <w:szCs w:val="22"/>
          <w:lang w:val="sq-AL"/>
        </w:rPr>
      </w:pPr>
      <w:r w:rsidRPr="004E7606">
        <w:rPr>
          <w:rFonts w:ascii="Times New Roman" w:hAnsi="Times New Roman" w:cs="Times New Roman"/>
          <w:sz w:val="22"/>
          <w:szCs w:val="22"/>
          <w:lang w:val="sq-AL"/>
        </w:rPr>
        <w:t>Problemi në shqyrtim</w:t>
      </w:r>
    </w:p>
    <w:p w14:paraId="55DFE085" w14:textId="77777777" w:rsidR="008D1611" w:rsidRPr="005C09FF" w:rsidRDefault="008D1611" w:rsidP="0068176A">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Përshkruani natyrën e problemit</w:t>
      </w:r>
      <w:r w:rsidR="00573E8A" w:rsidRPr="005C09FF">
        <w:rPr>
          <w:rStyle w:val="Strong"/>
          <w:rFonts w:ascii="Times New Roman" w:hAnsi="Times New Roman"/>
          <w:b w:val="0"/>
          <w:i/>
          <w:sz w:val="20"/>
          <w:lang w:val="sq-AL"/>
        </w:rPr>
        <w:t>.</w:t>
      </w:r>
    </w:p>
    <w:p w14:paraId="08B535B9" w14:textId="77777777" w:rsidR="008D1611" w:rsidRPr="005C09FF" w:rsidRDefault="008D1611" w:rsidP="0068176A">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Identifikoni shkaqet e problemit</w:t>
      </w:r>
      <w:r w:rsidR="00573E8A" w:rsidRPr="005C09FF">
        <w:rPr>
          <w:rStyle w:val="Strong"/>
          <w:rFonts w:ascii="Times New Roman" w:hAnsi="Times New Roman"/>
          <w:b w:val="0"/>
          <w:i/>
          <w:sz w:val="20"/>
          <w:lang w:val="sq-AL"/>
        </w:rPr>
        <w:t>.</w:t>
      </w:r>
    </w:p>
    <w:p w14:paraId="2ADAA0CC" w14:textId="0FFBEC9A" w:rsidR="008D1611" w:rsidRPr="005C09FF" w:rsidRDefault="008D1611" w:rsidP="0068176A">
      <w:pPr>
        <w:pStyle w:val="NoSpacing"/>
        <w:numPr>
          <w:ilvl w:val="0"/>
          <w:numId w:val="8"/>
        </w:numPr>
        <w:jc w:val="both"/>
        <w:rPr>
          <w:rStyle w:val="Strong"/>
          <w:rFonts w:ascii="Times New Roman" w:hAnsi="Times New Roman"/>
          <w:b w:val="0"/>
          <w:i/>
          <w:sz w:val="20"/>
          <w:lang w:val="sq-AL"/>
        </w:rPr>
      </w:pPr>
      <w:r w:rsidRPr="005C09FF">
        <w:rPr>
          <w:rStyle w:val="Strong"/>
          <w:rFonts w:ascii="Times New Roman" w:hAnsi="Times New Roman"/>
          <w:b w:val="0"/>
          <w:i/>
          <w:sz w:val="20"/>
          <w:lang w:val="sq-AL"/>
        </w:rPr>
        <w:t>Përshk</w:t>
      </w:r>
      <w:r w:rsidR="00C06A30">
        <w:rPr>
          <w:rStyle w:val="Strong"/>
          <w:rFonts w:ascii="Times New Roman" w:hAnsi="Times New Roman"/>
          <w:b w:val="0"/>
          <w:i/>
          <w:sz w:val="20"/>
          <w:lang w:val="sq-AL"/>
        </w:rPr>
        <w:t xml:space="preserve"> </w:t>
      </w:r>
      <w:r w:rsidRPr="005C09FF">
        <w:rPr>
          <w:rStyle w:val="Strong"/>
          <w:rFonts w:ascii="Times New Roman" w:hAnsi="Times New Roman"/>
          <w:b w:val="0"/>
          <w:i/>
          <w:sz w:val="20"/>
          <w:lang w:val="sq-AL"/>
        </w:rPr>
        <w:t>shtrirjen e problemit</w:t>
      </w:r>
      <w:r w:rsidR="00573E8A" w:rsidRPr="005C09FF">
        <w:rPr>
          <w:rStyle w:val="Strong"/>
          <w:rFonts w:ascii="Times New Roman" w:hAnsi="Times New Roman"/>
          <w:b w:val="0"/>
          <w:i/>
          <w:sz w:val="20"/>
          <w:lang w:val="sq-AL"/>
        </w:rPr>
        <w:t>.</w:t>
      </w:r>
    </w:p>
    <w:p w14:paraId="20577A7E" w14:textId="77777777" w:rsidR="008D1611" w:rsidRPr="005C09FF" w:rsidRDefault="6F3B9A98" w:rsidP="6F3B9A98">
      <w:pPr>
        <w:pStyle w:val="NoSpacing"/>
        <w:numPr>
          <w:ilvl w:val="0"/>
          <w:numId w:val="8"/>
        </w:numPr>
        <w:jc w:val="both"/>
        <w:rPr>
          <w:rStyle w:val="Strong"/>
          <w:rFonts w:ascii="Times New Roman" w:hAnsi="Times New Roman"/>
          <w:b w:val="0"/>
          <w:bCs w:val="0"/>
          <w:i/>
          <w:iCs/>
          <w:sz w:val="20"/>
          <w:lang w:val="sq-AL"/>
        </w:rPr>
      </w:pPr>
      <w:r w:rsidRPr="6F3B9A98">
        <w:rPr>
          <w:rStyle w:val="Strong"/>
          <w:rFonts w:ascii="Times New Roman" w:hAnsi="Times New Roman"/>
          <w:b w:val="0"/>
          <w:bCs w:val="0"/>
          <w:i/>
          <w:iCs/>
          <w:sz w:val="20"/>
          <w:lang w:val="sq-AL"/>
        </w:rPr>
        <w:t xml:space="preserve">Identifikoni </w:t>
      </w:r>
      <w:bookmarkStart w:id="6" w:name="_Hlk131685322"/>
      <w:r w:rsidRPr="6F3B9A98">
        <w:rPr>
          <w:rStyle w:val="Strong"/>
          <w:rFonts w:ascii="Times New Roman" w:hAnsi="Times New Roman"/>
          <w:b w:val="0"/>
          <w:bCs w:val="0"/>
          <w:i/>
          <w:iCs/>
          <w:sz w:val="20"/>
          <w:lang w:val="sq-AL"/>
        </w:rPr>
        <w:t>grupet e prekura nga ky problem - qeveria / biznesi / shoqëria civile / qytetarët.</w:t>
      </w:r>
      <w:bookmarkEnd w:id="6"/>
    </w:p>
    <w:p w14:paraId="5702F915" w14:textId="77777777" w:rsidR="0013699E" w:rsidRPr="005C09FF" w:rsidRDefault="00573E8A" w:rsidP="0068176A">
      <w:pPr>
        <w:pStyle w:val="NoSpacing"/>
        <w:numPr>
          <w:ilvl w:val="0"/>
          <w:numId w:val="8"/>
        </w:numPr>
        <w:jc w:val="both"/>
        <w:rPr>
          <w:rFonts w:ascii="Times New Roman" w:eastAsiaTheme="majorEastAsia" w:hAnsi="Times New Roman"/>
          <w:i/>
          <w:sz w:val="20"/>
          <w:lang w:val="sq-AL"/>
        </w:rPr>
      </w:pPr>
      <w:bookmarkStart w:id="7" w:name="_Hlk131685655"/>
      <w:r w:rsidRPr="005C09FF">
        <w:rPr>
          <w:rStyle w:val="Strong"/>
          <w:rFonts w:ascii="Times New Roman" w:hAnsi="Times New Roman"/>
          <w:b w:val="0"/>
          <w:i/>
          <w:sz w:val="20"/>
          <w:lang w:val="sq-AL"/>
        </w:rPr>
        <w:t>Vlerësoni</w:t>
      </w:r>
      <w:r w:rsidR="008D1611" w:rsidRPr="005C09FF">
        <w:rPr>
          <w:rStyle w:val="Strong"/>
          <w:rFonts w:ascii="Times New Roman" w:hAnsi="Times New Roman"/>
          <w:b w:val="0"/>
          <w:i/>
          <w:sz w:val="20"/>
          <w:lang w:val="sq-AL"/>
        </w:rPr>
        <w:t xml:space="preserve"> nëse problemi mund të </w:t>
      </w:r>
      <w:r w:rsidR="00871FC1" w:rsidRPr="005C09FF">
        <w:rPr>
          <w:rStyle w:val="Strong"/>
          <w:rFonts w:ascii="Times New Roman" w:hAnsi="Times New Roman"/>
          <w:b w:val="0"/>
          <w:i/>
          <w:sz w:val="20"/>
          <w:lang w:val="sq-AL"/>
        </w:rPr>
        <w:t>trajtohet</w:t>
      </w:r>
      <w:r w:rsidR="008D1611" w:rsidRPr="005C09FF">
        <w:rPr>
          <w:rStyle w:val="Strong"/>
          <w:rFonts w:ascii="Times New Roman" w:hAnsi="Times New Roman"/>
          <w:b w:val="0"/>
          <w:i/>
          <w:sz w:val="20"/>
          <w:lang w:val="sq-AL"/>
        </w:rPr>
        <w:t xml:space="preserve"> ose jo përmes një ndryshimi të politikave</w:t>
      </w:r>
      <w:r w:rsidRPr="005C09FF">
        <w:rPr>
          <w:rStyle w:val="Strong"/>
          <w:rFonts w:ascii="Times New Roman" w:hAnsi="Times New Roman"/>
          <w:b w:val="0"/>
          <w:i/>
          <w:sz w:val="20"/>
          <w:lang w:val="sq-AL"/>
        </w:rPr>
        <w:t>.</w:t>
      </w:r>
    </w:p>
    <w:bookmarkEnd w:id="7"/>
    <w:p w14:paraId="281A7525" w14:textId="77777777" w:rsidR="00C62D95" w:rsidRPr="004E7606" w:rsidRDefault="00C62D95" w:rsidP="0068176A">
      <w:pPr>
        <w:spacing w:line="276" w:lineRule="auto"/>
        <w:jc w:val="both"/>
        <w:rPr>
          <w:rFonts w:ascii="Times New Roman" w:hAnsi="Times New Roman"/>
          <w:szCs w:val="22"/>
          <w:lang w:val="sq-AL"/>
        </w:rPr>
      </w:pPr>
    </w:p>
    <w:p w14:paraId="25FCC268" w14:textId="61666E24" w:rsidR="004F30E1" w:rsidRDefault="004F30E1" w:rsidP="004F30E1">
      <w:pPr>
        <w:spacing w:line="276" w:lineRule="auto"/>
        <w:jc w:val="both"/>
        <w:rPr>
          <w:rFonts w:ascii="Times New Roman" w:hAnsi="Times New Roman"/>
          <w:sz w:val="24"/>
          <w:szCs w:val="24"/>
          <w:lang w:val="sq-AL"/>
        </w:rPr>
      </w:pPr>
      <w:bookmarkStart w:id="8" w:name="_Hlk127959687"/>
      <w:r w:rsidRPr="004F30E1">
        <w:rPr>
          <w:rFonts w:ascii="Times New Roman" w:hAnsi="Times New Roman"/>
          <w:sz w:val="24"/>
          <w:szCs w:val="24"/>
          <w:lang w:val="sq-AL"/>
        </w:rPr>
        <w:t xml:space="preserve">Ligji nr.8894, datë 14.05.2002 “Për Agjencinë e Trajtimit të Kredive” duke qënë një ligj i vjetër në kohë, i cili ka si qëllim krijimin e kuadrit ligjor për menaxhimin e skemave të veçanta të garancive shtetërore të huasë dhe të kthimit të tyre, nuk parashikon rregullimin e procedurave të lindura nga emetimi i skemave të garancive shtetërore në përfititm të biznesit në situatën e Covid-19. Për shumë kohë, qysh nga momenti i krijimit të saj në vitin ’98, Agjencia e Trajtimit të Kredive ka operuar mbi bazën e një kuadri ligjor jo të plotë </w:t>
      </w:r>
      <w:r w:rsidR="00134E24">
        <w:rPr>
          <w:rFonts w:ascii="Times New Roman" w:hAnsi="Times New Roman"/>
          <w:sz w:val="24"/>
          <w:szCs w:val="24"/>
          <w:lang w:val="sq-AL"/>
        </w:rPr>
        <w:t>dhe të</w:t>
      </w:r>
      <w:r w:rsidR="00134E24" w:rsidRPr="00134E24">
        <w:rPr>
          <w:rFonts w:ascii="Times New Roman" w:hAnsi="Times New Roman"/>
          <w:sz w:val="24"/>
          <w:szCs w:val="24"/>
          <w:lang w:val="sq-AL"/>
        </w:rPr>
        <w:t xml:space="preserve"> organizuar jo konform rregullave të teknikës legjislative, duke krijuar probleme gjatë zbatimit të ligjit.</w:t>
      </w:r>
    </w:p>
    <w:p w14:paraId="5581E1AC" w14:textId="77777777" w:rsidR="0053786C" w:rsidRDefault="0053786C" w:rsidP="004F30E1">
      <w:pPr>
        <w:spacing w:line="276" w:lineRule="auto"/>
        <w:jc w:val="both"/>
        <w:rPr>
          <w:rFonts w:ascii="Times New Roman" w:hAnsi="Times New Roman"/>
          <w:sz w:val="24"/>
          <w:szCs w:val="24"/>
          <w:lang w:val="sq-AL"/>
        </w:rPr>
      </w:pPr>
    </w:p>
    <w:p w14:paraId="1C0307C8" w14:textId="77777777" w:rsidR="0053786C" w:rsidRPr="00D266EE" w:rsidRDefault="0053786C" w:rsidP="0053786C">
      <w:pPr>
        <w:spacing w:before="240" w:line="276" w:lineRule="auto"/>
        <w:jc w:val="both"/>
        <w:rPr>
          <w:rFonts w:ascii="Times New Roman" w:eastAsiaTheme="majorEastAsia" w:hAnsi="Times New Roman"/>
          <w:sz w:val="24"/>
          <w:szCs w:val="24"/>
        </w:rPr>
      </w:pPr>
      <w:r>
        <w:rPr>
          <w:rFonts w:ascii="Times New Roman" w:eastAsiaTheme="majorEastAsia" w:hAnsi="Times New Roman"/>
          <w:sz w:val="24"/>
          <w:szCs w:val="24"/>
        </w:rPr>
        <w:lastRenderedPageBreak/>
        <w:t>Nga e</w:t>
      </w:r>
      <w:r w:rsidRPr="00D266EE">
        <w:rPr>
          <w:rFonts w:ascii="Times New Roman" w:eastAsiaTheme="majorEastAsia" w:hAnsi="Times New Roman"/>
          <w:sz w:val="24"/>
          <w:szCs w:val="24"/>
        </w:rPr>
        <w:t xml:space="preserve">metimi i </w:t>
      </w:r>
      <w:r>
        <w:rPr>
          <w:rFonts w:ascii="Times New Roman" w:eastAsiaTheme="majorEastAsia" w:hAnsi="Times New Roman"/>
          <w:sz w:val="24"/>
          <w:szCs w:val="24"/>
        </w:rPr>
        <w:t>këtyre</w:t>
      </w:r>
      <w:r w:rsidRPr="00D266EE">
        <w:rPr>
          <w:rFonts w:ascii="Times New Roman" w:eastAsiaTheme="majorEastAsia" w:hAnsi="Times New Roman"/>
          <w:sz w:val="24"/>
          <w:szCs w:val="24"/>
        </w:rPr>
        <w:t xml:space="preserve"> skemave të garancisë sovrane </w:t>
      </w:r>
      <w:r>
        <w:rPr>
          <w:rFonts w:ascii="Times New Roman" w:eastAsiaTheme="majorEastAsia" w:hAnsi="Times New Roman"/>
          <w:sz w:val="24"/>
          <w:szCs w:val="24"/>
        </w:rPr>
        <w:t xml:space="preserve">u </w:t>
      </w:r>
      <w:r w:rsidRPr="00D266EE">
        <w:rPr>
          <w:rFonts w:ascii="Times New Roman" w:eastAsiaTheme="majorEastAsia" w:hAnsi="Times New Roman"/>
          <w:sz w:val="24"/>
          <w:szCs w:val="24"/>
        </w:rPr>
        <w:t>evidentuan disa problematika kryesore, si në drejtim të mungeses se kapaciteteve organike të Ministrisë së Financave dhe Ekonomisë, por edhe në drejtim të mangësive që paraqet kuadri rregullator në fuqi, në lidhje me skema të tilla g</w:t>
      </w:r>
      <w:r>
        <w:rPr>
          <w:rFonts w:ascii="Times New Roman" w:eastAsiaTheme="majorEastAsia" w:hAnsi="Times New Roman"/>
          <w:sz w:val="24"/>
          <w:szCs w:val="24"/>
        </w:rPr>
        <w:t xml:space="preserve">arancish të pa emetuara më parë. </w:t>
      </w:r>
      <w:r w:rsidRPr="00D266EE">
        <w:rPr>
          <w:rFonts w:ascii="Times New Roman" w:eastAsiaTheme="majorEastAsia" w:hAnsi="Times New Roman"/>
          <w:sz w:val="24"/>
          <w:szCs w:val="24"/>
        </w:rPr>
        <w:t>Së pari skemat sollën vështirësi në administrimin e të dhënave të cilat raportohen nga 12 bankat të perfshira në transaksionet e kredidhë</w:t>
      </w:r>
      <w:r>
        <w:rPr>
          <w:rFonts w:ascii="Times New Roman" w:eastAsiaTheme="majorEastAsia" w:hAnsi="Times New Roman"/>
          <w:sz w:val="24"/>
          <w:szCs w:val="24"/>
        </w:rPr>
        <w:t xml:space="preserve">nies për secilën prej skemave. </w:t>
      </w:r>
      <w:r w:rsidRPr="00D266EE">
        <w:rPr>
          <w:rFonts w:ascii="Times New Roman" w:eastAsiaTheme="majorEastAsia" w:hAnsi="Times New Roman"/>
          <w:sz w:val="24"/>
          <w:szCs w:val="24"/>
        </w:rPr>
        <w:t xml:space="preserve">Numri i përfituesve nga këto skema ishte i madh, rreth 1100 kontrata kredie të lidhura, dhe përpunimi dhe rakordimi i të dhënave është i pamundur të realizohet me strukturën e drejtorisë së borxhit pranë MFE. Së dyti, për implementimin e këtyre lloj skemave, </w:t>
      </w:r>
      <w:r>
        <w:rPr>
          <w:rFonts w:ascii="Times New Roman" w:eastAsiaTheme="majorEastAsia" w:hAnsi="Times New Roman"/>
          <w:sz w:val="24"/>
          <w:szCs w:val="24"/>
        </w:rPr>
        <w:t>MFE nuk ka një strukture</w:t>
      </w:r>
      <w:r w:rsidRPr="00D266EE">
        <w:rPr>
          <w:rFonts w:ascii="Times New Roman" w:eastAsiaTheme="majorEastAsia" w:hAnsi="Times New Roman"/>
          <w:sz w:val="24"/>
          <w:szCs w:val="24"/>
        </w:rPr>
        <w:t xml:space="preserve"> të posaçme që të monitorojë zbatimin e tyre në përputhje me kriteret e vendosura në këto garanci të miratuara. Së treti, me implementimin e këtyre skemave, lind gjithashtu</w:t>
      </w:r>
      <w:r>
        <w:rPr>
          <w:rFonts w:ascii="Times New Roman" w:eastAsiaTheme="majorEastAsia" w:hAnsi="Times New Roman"/>
          <w:sz w:val="24"/>
          <w:szCs w:val="24"/>
        </w:rPr>
        <w:t xml:space="preserve"> problem i mungesës së një struk</w:t>
      </w:r>
      <w:r w:rsidRPr="00D266EE">
        <w:rPr>
          <w:rFonts w:ascii="Times New Roman" w:eastAsiaTheme="majorEastAsia" w:hAnsi="Times New Roman"/>
          <w:sz w:val="24"/>
          <w:szCs w:val="24"/>
        </w:rPr>
        <w:t xml:space="preserve">ture të specializuar për rekuperimin e vlerave monetare pas pagesës së këtyre garancive nga MFE. Jo vetëm për këto skema, por për të gjitha garancitë në tërësi, MFE nuk ka infrastrukturën e nevojshme për të mundësuar mbledhjen e fondeve të paguara nga Garancitë, apo edhe nga kreditë e nënhuazuara. </w:t>
      </w:r>
    </w:p>
    <w:p w14:paraId="5F4671B6" w14:textId="2CB831E4" w:rsidR="00AB74AD" w:rsidRDefault="0053786C" w:rsidP="004F30E1">
      <w:pPr>
        <w:spacing w:line="276" w:lineRule="auto"/>
        <w:jc w:val="both"/>
        <w:rPr>
          <w:rFonts w:ascii="Times New Roman" w:hAnsi="Times New Roman"/>
          <w:sz w:val="24"/>
          <w:szCs w:val="24"/>
          <w:lang w:val="sq-AL"/>
        </w:rPr>
      </w:pPr>
      <w:r w:rsidRPr="00D266EE">
        <w:rPr>
          <w:rFonts w:ascii="Times New Roman" w:eastAsiaTheme="majorEastAsia" w:hAnsi="Times New Roman"/>
          <w:sz w:val="24"/>
          <w:szCs w:val="24"/>
        </w:rPr>
        <w:t>Gjithashtu, Ligji që rregullon huamarrjen, borxhin shtetëror dhe garancitë shtetërore të huasë nuk ka parashikimet e nevojshme për lëshimin e skemave kolektive të garancive si ato të emetuara në kushtet e p</w:t>
      </w:r>
      <w:r>
        <w:rPr>
          <w:rFonts w:ascii="Times New Roman" w:eastAsiaTheme="majorEastAsia" w:hAnsi="Times New Roman"/>
          <w:sz w:val="24"/>
          <w:szCs w:val="24"/>
        </w:rPr>
        <w:t>andemisë. Ligji parashikon vlerë</w:t>
      </w:r>
      <w:r w:rsidRPr="00D266EE">
        <w:rPr>
          <w:rFonts w:ascii="Times New Roman" w:eastAsiaTheme="majorEastAsia" w:hAnsi="Times New Roman"/>
          <w:sz w:val="24"/>
          <w:szCs w:val="24"/>
        </w:rPr>
        <w:t xml:space="preserve">simin e riskut dhe miratimin nga </w:t>
      </w:r>
      <w:r>
        <w:rPr>
          <w:rFonts w:ascii="Times New Roman" w:eastAsiaTheme="majorEastAsia" w:hAnsi="Times New Roman"/>
          <w:sz w:val="24"/>
          <w:szCs w:val="24"/>
        </w:rPr>
        <w:t>MFE të garancive rast pas rasti pë</w:t>
      </w:r>
      <w:r w:rsidRPr="00D266EE">
        <w:rPr>
          <w:rFonts w:ascii="Times New Roman" w:eastAsiaTheme="majorEastAsia" w:hAnsi="Times New Roman"/>
          <w:sz w:val="24"/>
          <w:szCs w:val="24"/>
        </w:rPr>
        <w:t xml:space="preserve">r çdo huamarrës, gjë e cila nuk është e mundur të bëhet nga MFE për këto lloj skemash, </w:t>
      </w:r>
      <w:r>
        <w:rPr>
          <w:rFonts w:ascii="Times New Roman" w:eastAsiaTheme="majorEastAsia" w:hAnsi="Times New Roman"/>
          <w:sz w:val="24"/>
          <w:szCs w:val="24"/>
        </w:rPr>
        <w:t xml:space="preserve">ku vlerësimi është i mundur të </w:t>
      </w:r>
      <w:r w:rsidRPr="00D266EE">
        <w:rPr>
          <w:rFonts w:ascii="Times New Roman" w:eastAsiaTheme="majorEastAsia" w:hAnsi="Times New Roman"/>
          <w:sz w:val="24"/>
          <w:szCs w:val="24"/>
        </w:rPr>
        <w:t>realizohet vetëm nga institucionet kredidhënëse.</w:t>
      </w:r>
    </w:p>
    <w:p w14:paraId="6CBAD9E2" w14:textId="6F605FC1" w:rsidR="004F30E1" w:rsidRDefault="004F30E1" w:rsidP="004F30E1">
      <w:pPr>
        <w:spacing w:line="276" w:lineRule="auto"/>
        <w:jc w:val="both"/>
        <w:rPr>
          <w:rFonts w:ascii="Times New Roman" w:hAnsi="Times New Roman"/>
          <w:sz w:val="24"/>
          <w:szCs w:val="24"/>
          <w:lang w:val="sq-AL"/>
        </w:rPr>
      </w:pPr>
      <w:bookmarkStart w:id="9" w:name="_Hlk131686068"/>
      <w:r w:rsidRPr="004F30E1">
        <w:rPr>
          <w:rFonts w:ascii="Times New Roman" w:hAnsi="Times New Roman"/>
          <w:sz w:val="24"/>
          <w:szCs w:val="24"/>
          <w:lang w:val="sq-AL"/>
        </w:rPr>
        <w:t xml:space="preserve">Kuadri ligjor aktual, nuk mundëson rregullimet 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 </w:t>
      </w:r>
    </w:p>
    <w:p w14:paraId="3D3E50E0" w14:textId="77777777" w:rsidR="00AB74AD" w:rsidRPr="004F30E1" w:rsidRDefault="00AB74AD" w:rsidP="004F30E1">
      <w:pPr>
        <w:spacing w:line="276" w:lineRule="auto"/>
        <w:jc w:val="both"/>
        <w:rPr>
          <w:rFonts w:ascii="Times New Roman" w:hAnsi="Times New Roman"/>
          <w:sz w:val="24"/>
          <w:szCs w:val="24"/>
          <w:lang w:val="sq-AL"/>
        </w:rPr>
      </w:pPr>
    </w:p>
    <w:p w14:paraId="0CAFD699" w14:textId="5745A597" w:rsidR="004F30E1" w:rsidRDefault="004F30E1" w:rsidP="004F30E1">
      <w:pPr>
        <w:spacing w:line="276" w:lineRule="auto"/>
        <w:jc w:val="both"/>
        <w:rPr>
          <w:rFonts w:ascii="Times New Roman" w:hAnsi="Times New Roman"/>
          <w:sz w:val="24"/>
          <w:szCs w:val="24"/>
          <w:lang w:val="sq-AL"/>
        </w:rPr>
      </w:pPr>
      <w:r w:rsidRPr="004F30E1">
        <w:rPr>
          <w:rFonts w:ascii="Times New Roman" w:hAnsi="Times New Roman"/>
          <w:sz w:val="24"/>
          <w:szCs w:val="24"/>
          <w:lang w:val="sq-AL"/>
        </w:rPr>
        <w:t>Gjithashtu nuk siguron menaxhim efektiv të skemave të veçanta të garancive shtetërore të huase në një kohë të arsyeshme, duke rezultuar në gjendjen aktuale ku afatet tejkalohen.</w:t>
      </w:r>
    </w:p>
    <w:bookmarkEnd w:id="8"/>
    <w:bookmarkEnd w:id="9"/>
    <w:p w14:paraId="304BC433" w14:textId="77777777" w:rsidR="008F1161" w:rsidRDefault="000D5C7F" w:rsidP="002535B4">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Konkretisht, </w:t>
      </w:r>
      <w:bookmarkStart w:id="10" w:name="_Hlk131758738"/>
      <w:r>
        <w:rPr>
          <w:rFonts w:ascii="Times New Roman" w:hAnsi="Times New Roman"/>
          <w:sz w:val="24"/>
          <w:szCs w:val="24"/>
          <w:lang w:val="sq-AL"/>
        </w:rPr>
        <w:t xml:space="preserve">Agjencia trajton detyrimet e rreth 10 mijë debitorëve, </w:t>
      </w:r>
      <w:r w:rsidR="6F3B9A98" w:rsidRPr="6F3B9A98">
        <w:rPr>
          <w:rFonts w:ascii="Times New Roman" w:hAnsi="Times New Roman"/>
          <w:sz w:val="24"/>
          <w:szCs w:val="24"/>
          <w:lang w:val="sq-AL"/>
        </w:rPr>
        <w:t xml:space="preserve">që janë transferuar </w:t>
      </w:r>
      <w:r>
        <w:rPr>
          <w:rFonts w:ascii="Times New Roman" w:hAnsi="Times New Roman"/>
          <w:sz w:val="24"/>
          <w:szCs w:val="24"/>
          <w:lang w:val="sq-AL"/>
        </w:rPr>
        <w:t>që</w:t>
      </w:r>
      <w:r w:rsidR="6F3B9A98" w:rsidRPr="6F3B9A98">
        <w:rPr>
          <w:rFonts w:ascii="Times New Roman" w:hAnsi="Times New Roman"/>
          <w:sz w:val="24"/>
          <w:szCs w:val="24"/>
          <w:lang w:val="sq-AL"/>
        </w:rPr>
        <w:t xml:space="preserve"> nga viti </w:t>
      </w:r>
      <w:r>
        <w:rPr>
          <w:rFonts w:ascii="Times New Roman" w:hAnsi="Times New Roman"/>
          <w:sz w:val="24"/>
          <w:szCs w:val="24"/>
          <w:lang w:val="sq-AL"/>
        </w:rPr>
        <w:t>19</w:t>
      </w:r>
      <w:r w:rsidR="6F3B9A98" w:rsidRPr="6F3B9A98">
        <w:rPr>
          <w:rFonts w:ascii="Times New Roman" w:hAnsi="Times New Roman"/>
          <w:sz w:val="24"/>
          <w:szCs w:val="24"/>
          <w:lang w:val="sq-AL"/>
        </w:rPr>
        <w:t xml:space="preserve">98 prej ish-bankave shtetërore të nivelit të dytë dhe INSIG sh.a. </w:t>
      </w:r>
    </w:p>
    <w:bookmarkEnd w:id="10"/>
    <w:p w14:paraId="144EF35E" w14:textId="5D3031FC" w:rsidR="008F1161" w:rsidRDefault="008F1161" w:rsidP="002535B4">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Kjo zvarritje që bie në sy, vjen si rezultat i </w:t>
      </w:r>
      <w:r w:rsidR="00AB74AD">
        <w:rPr>
          <w:rFonts w:ascii="Times New Roman" w:hAnsi="Times New Roman"/>
          <w:sz w:val="24"/>
          <w:szCs w:val="24"/>
          <w:lang w:val="sq-AL"/>
        </w:rPr>
        <w:t xml:space="preserve">mos azhornimit efektiv të ligjit, </w:t>
      </w:r>
      <w:r w:rsidR="00CB532D">
        <w:rPr>
          <w:rFonts w:ascii="Times New Roman" w:hAnsi="Times New Roman"/>
          <w:sz w:val="24"/>
          <w:szCs w:val="24"/>
          <w:lang w:val="sq-AL"/>
        </w:rPr>
        <w:t>q</w:t>
      </w:r>
      <w:r w:rsidR="00B02D1F">
        <w:rPr>
          <w:rFonts w:ascii="Times New Roman" w:hAnsi="Times New Roman"/>
          <w:sz w:val="24"/>
          <w:szCs w:val="24"/>
          <w:lang w:val="sq-AL"/>
        </w:rPr>
        <w:t>ë nga viti 2007</w:t>
      </w:r>
      <w:r w:rsidR="00AB74AD">
        <w:rPr>
          <w:rFonts w:ascii="Times New Roman" w:hAnsi="Times New Roman"/>
          <w:sz w:val="24"/>
          <w:szCs w:val="24"/>
          <w:lang w:val="sq-AL"/>
        </w:rPr>
        <w:t>.</w:t>
      </w:r>
    </w:p>
    <w:p w14:paraId="0F261EDB" w14:textId="11E2C9B7" w:rsidR="004F30E1" w:rsidRDefault="00AB74AD" w:rsidP="00AB74AD">
      <w:pPr>
        <w:spacing w:line="276" w:lineRule="auto"/>
        <w:jc w:val="both"/>
        <w:rPr>
          <w:rFonts w:ascii="Times New Roman" w:hAnsi="Times New Roman"/>
          <w:sz w:val="24"/>
          <w:szCs w:val="24"/>
          <w:lang w:val="sq-AL"/>
        </w:rPr>
      </w:pPr>
      <w:r>
        <w:rPr>
          <w:rFonts w:ascii="Times New Roman" w:hAnsi="Times New Roman"/>
          <w:sz w:val="24"/>
          <w:szCs w:val="24"/>
          <w:lang w:val="sq-AL"/>
        </w:rPr>
        <w:t>Problem tjetër, paraqet dhe mungesa e raportimit/monitorimit sipas kuadrit ligjor e</w:t>
      </w:r>
      <w:r w:rsidR="004444BC">
        <w:rPr>
          <w:rFonts w:ascii="Times New Roman" w:hAnsi="Times New Roman"/>
          <w:sz w:val="24"/>
          <w:szCs w:val="24"/>
          <w:lang w:val="sq-AL"/>
        </w:rPr>
        <w:t>k</w:t>
      </w:r>
      <w:r>
        <w:rPr>
          <w:rFonts w:ascii="Times New Roman" w:hAnsi="Times New Roman"/>
          <w:sz w:val="24"/>
          <w:szCs w:val="24"/>
          <w:lang w:val="sq-AL"/>
        </w:rPr>
        <w:t xml:space="preserve">zistues. Ky është një nga faktorët që mendohet se ka ndikuar në akumulimin e dhjetëra mijërave debitorëve, të cilët janë akoma në proces trajtimi. </w:t>
      </w:r>
    </w:p>
    <w:p w14:paraId="3363C2B5" w14:textId="77777777" w:rsidR="004444BC" w:rsidRDefault="004444BC" w:rsidP="00AB74AD">
      <w:pPr>
        <w:spacing w:line="276" w:lineRule="auto"/>
        <w:jc w:val="both"/>
        <w:rPr>
          <w:rFonts w:ascii="Times New Roman" w:hAnsi="Times New Roman"/>
          <w:sz w:val="24"/>
          <w:szCs w:val="24"/>
          <w:lang w:val="sq-AL"/>
        </w:rPr>
      </w:pPr>
    </w:p>
    <w:p w14:paraId="5F821ABC" w14:textId="7D19AE27" w:rsidR="00AB74AD" w:rsidRDefault="004444BC" w:rsidP="002535B4">
      <w:pPr>
        <w:spacing w:line="276" w:lineRule="auto"/>
        <w:jc w:val="both"/>
        <w:rPr>
          <w:rFonts w:ascii="Times New Roman" w:hAnsi="Times New Roman"/>
          <w:sz w:val="24"/>
          <w:szCs w:val="24"/>
          <w:lang w:val="sq-AL"/>
        </w:rPr>
      </w:pPr>
      <w:r>
        <w:rPr>
          <w:rFonts w:ascii="Times New Roman" w:hAnsi="Times New Roman"/>
          <w:sz w:val="24"/>
          <w:szCs w:val="24"/>
          <w:lang w:val="sq-AL"/>
        </w:rPr>
        <w:t>G</w:t>
      </w:r>
      <w:r w:rsidRPr="004444BC">
        <w:rPr>
          <w:rFonts w:ascii="Times New Roman" w:hAnsi="Times New Roman"/>
          <w:sz w:val="24"/>
          <w:szCs w:val="24"/>
          <w:lang w:val="sq-AL"/>
        </w:rPr>
        <w:t>rupet e prekura nga problem</w:t>
      </w:r>
      <w:r>
        <w:rPr>
          <w:rFonts w:ascii="Times New Roman" w:hAnsi="Times New Roman"/>
          <w:sz w:val="24"/>
          <w:szCs w:val="24"/>
          <w:lang w:val="sq-AL"/>
        </w:rPr>
        <w:t>et e lartpërmendura janë</w:t>
      </w:r>
      <w:r w:rsidRPr="004444BC">
        <w:rPr>
          <w:rFonts w:ascii="Times New Roman" w:hAnsi="Times New Roman"/>
          <w:sz w:val="24"/>
          <w:szCs w:val="24"/>
          <w:lang w:val="sq-AL"/>
        </w:rPr>
        <w:t xml:space="preserve"> </w:t>
      </w:r>
      <w:r w:rsidR="0053786C">
        <w:rPr>
          <w:rFonts w:ascii="Times New Roman" w:hAnsi="Times New Roman"/>
          <w:sz w:val="24"/>
          <w:szCs w:val="24"/>
          <w:lang w:val="sq-AL"/>
        </w:rPr>
        <w:t xml:space="preserve">shteti, </w:t>
      </w:r>
      <w:r w:rsidRPr="004444BC">
        <w:rPr>
          <w:rFonts w:ascii="Times New Roman" w:hAnsi="Times New Roman"/>
          <w:sz w:val="24"/>
          <w:szCs w:val="24"/>
          <w:lang w:val="sq-AL"/>
        </w:rPr>
        <w:t>qytetarët</w:t>
      </w:r>
      <w:r>
        <w:rPr>
          <w:rFonts w:ascii="Times New Roman" w:hAnsi="Times New Roman"/>
          <w:sz w:val="24"/>
          <w:szCs w:val="24"/>
          <w:lang w:val="sq-AL"/>
        </w:rPr>
        <w:t xml:space="preserve"> dhe bizneset. Kjo për arsyen se pikërisht </w:t>
      </w:r>
      <w:r w:rsidR="00D83CB2">
        <w:rPr>
          <w:rFonts w:ascii="Times New Roman" w:hAnsi="Times New Roman"/>
          <w:sz w:val="24"/>
          <w:szCs w:val="24"/>
          <w:lang w:val="sq-AL"/>
        </w:rPr>
        <w:t xml:space="preserve">këto kategori janë personat përfitues të </w:t>
      </w:r>
      <w:r w:rsidR="00D83CB2" w:rsidRPr="00D83CB2">
        <w:rPr>
          <w:rFonts w:ascii="Times New Roman" w:hAnsi="Times New Roman"/>
          <w:sz w:val="24"/>
          <w:szCs w:val="24"/>
          <w:lang w:val="sq-AL"/>
        </w:rPr>
        <w:t>skemave të veçanta të garancive të huas</w:t>
      </w:r>
      <w:r w:rsidR="00D83CB2">
        <w:rPr>
          <w:rFonts w:ascii="Times New Roman" w:hAnsi="Times New Roman"/>
          <w:sz w:val="24"/>
          <w:szCs w:val="24"/>
          <w:lang w:val="sq-AL"/>
        </w:rPr>
        <w:t xml:space="preserve"> dhe debitorët e portofolit të kredive </w:t>
      </w:r>
      <w:r w:rsidR="00D83CB2" w:rsidRPr="00D83CB2">
        <w:rPr>
          <w:rFonts w:ascii="Times New Roman" w:hAnsi="Times New Roman"/>
          <w:sz w:val="24"/>
          <w:szCs w:val="24"/>
          <w:lang w:val="sq-AL"/>
        </w:rPr>
        <w:t>të transferuara nga bankat tregtare të nivelit të dytë, me kapital tërësisht shtetëror mbas privatizimit të tyre</w:t>
      </w:r>
      <w:r w:rsidR="00511BFC">
        <w:rPr>
          <w:rFonts w:ascii="Times New Roman" w:hAnsi="Times New Roman"/>
          <w:sz w:val="24"/>
          <w:szCs w:val="24"/>
          <w:lang w:val="sq-AL"/>
        </w:rPr>
        <w:t>.</w:t>
      </w:r>
    </w:p>
    <w:p w14:paraId="146AF45D" w14:textId="662D5F3C" w:rsidR="00511BFC" w:rsidRDefault="00511BFC" w:rsidP="002535B4">
      <w:pPr>
        <w:spacing w:line="276" w:lineRule="auto"/>
        <w:jc w:val="both"/>
        <w:rPr>
          <w:rFonts w:ascii="Times New Roman" w:hAnsi="Times New Roman"/>
          <w:sz w:val="24"/>
          <w:szCs w:val="24"/>
          <w:lang w:val="sq-AL"/>
        </w:rPr>
      </w:pPr>
    </w:p>
    <w:p w14:paraId="75AB7DA0" w14:textId="0B329C0A" w:rsidR="00511BFC" w:rsidRDefault="00511BFC" w:rsidP="002535B4">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Këtyre problematikave mund t’i jepet një zgjidhje efikase </w:t>
      </w:r>
      <w:r w:rsidRPr="00511BFC">
        <w:rPr>
          <w:rFonts w:ascii="Times New Roman" w:hAnsi="Times New Roman"/>
          <w:sz w:val="24"/>
          <w:szCs w:val="24"/>
          <w:lang w:val="sq-AL"/>
        </w:rPr>
        <w:t xml:space="preserve">përmes </w:t>
      </w:r>
      <w:r w:rsidR="0053786C">
        <w:rPr>
          <w:rFonts w:ascii="Times New Roman" w:hAnsi="Times New Roman"/>
          <w:sz w:val="24"/>
          <w:szCs w:val="24"/>
          <w:lang w:val="sq-AL"/>
        </w:rPr>
        <w:t>politike</w:t>
      </w:r>
      <w:r>
        <w:rPr>
          <w:rFonts w:ascii="Times New Roman" w:hAnsi="Times New Roman"/>
          <w:sz w:val="24"/>
          <w:szCs w:val="24"/>
          <w:lang w:val="sq-AL"/>
        </w:rPr>
        <w:t xml:space="preserve"> të r</w:t>
      </w:r>
      <w:r w:rsidR="0053786C">
        <w:rPr>
          <w:rFonts w:ascii="Times New Roman" w:hAnsi="Times New Roman"/>
          <w:sz w:val="24"/>
          <w:szCs w:val="24"/>
          <w:lang w:val="sq-AL"/>
        </w:rPr>
        <w:t>e</w:t>
      </w:r>
      <w:r>
        <w:rPr>
          <w:rFonts w:ascii="Times New Roman" w:hAnsi="Times New Roman"/>
          <w:sz w:val="24"/>
          <w:szCs w:val="24"/>
          <w:lang w:val="sq-AL"/>
        </w:rPr>
        <w:t xml:space="preserve">, që </w:t>
      </w:r>
      <w:r w:rsidRPr="00511BFC">
        <w:rPr>
          <w:rFonts w:ascii="Times New Roman" w:hAnsi="Times New Roman"/>
          <w:sz w:val="24"/>
          <w:szCs w:val="24"/>
          <w:lang w:val="sq-AL"/>
        </w:rPr>
        <w:t>mundëso</w:t>
      </w:r>
      <w:r>
        <w:rPr>
          <w:rFonts w:ascii="Times New Roman" w:hAnsi="Times New Roman"/>
          <w:sz w:val="24"/>
          <w:szCs w:val="24"/>
          <w:lang w:val="sq-AL"/>
        </w:rPr>
        <w:t>n</w:t>
      </w:r>
      <w:r w:rsidRPr="00511BFC">
        <w:rPr>
          <w:rFonts w:ascii="Times New Roman" w:hAnsi="Times New Roman"/>
          <w:sz w:val="24"/>
          <w:szCs w:val="24"/>
          <w:lang w:val="sq-AL"/>
        </w:rPr>
        <w:t xml:space="preserve"> mekanizmat dhe strukturën e posaçme për mbledhjen e detyrimeve të akumuluara nga subjektet përfituese të garancive dhe nënhuave, </w:t>
      </w:r>
      <w:r>
        <w:rPr>
          <w:rFonts w:ascii="Times New Roman" w:hAnsi="Times New Roman"/>
          <w:sz w:val="24"/>
          <w:szCs w:val="24"/>
          <w:lang w:val="sq-AL"/>
        </w:rPr>
        <w:t>si dhe q</w:t>
      </w:r>
      <w:r w:rsidR="00E6263B">
        <w:rPr>
          <w:rFonts w:ascii="Times New Roman" w:hAnsi="Times New Roman"/>
          <w:sz w:val="24"/>
          <w:szCs w:val="24"/>
          <w:lang w:val="sq-AL"/>
        </w:rPr>
        <w:t>ë</w:t>
      </w:r>
      <w:r>
        <w:rPr>
          <w:rFonts w:ascii="Times New Roman" w:hAnsi="Times New Roman"/>
          <w:sz w:val="24"/>
          <w:szCs w:val="24"/>
          <w:lang w:val="sq-AL"/>
        </w:rPr>
        <w:t xml:space="preserve"> garanton rikuperimin e kredive</w:t>
      </w:r>
      <w:r w:rsidRPr="00511BFC">
        <w:rPr>
          <w:rFonts w:ascii="Times New Roman" w:hAnsi="Times New Roman"/>
          <w:sz w:val="24"/>
          <w:szCs w:val="24"/>
          <w:lang w:val="sq-AL"/>
        </w:rPr>
        <w:t xml:space="preserve"> në një kohë të përshpejtuar, duke rregulluar</w:t>
      </w:r>
      <w:r w:rsidR="007D4660">
        <w:rPr>
          <w:rFonts w:ascii="Times New Roman" w:hAnsi="Times New Roman"/>
          <w:sz w:val="24"/>
          <w:szCs w:val="24"/>
          <w:lang w:val="sq-AL"/>
        </w:rPr>
        <w:t xml:space="preserve"> kështu</w:t>
      </w:r>
      <w:r w:rsidRPr="00511BFC">
        <w:rPr>
          <w:rFonts w:ascii="Times New Roman" w:hAnsi="Times New Roman"/>
          <w:sz w:val="24"/>
          <w:szCs w:val="24"/>
          <w:lang w:val="sq-AL"/>
        </w:rPr>
        <w:t xml:space="preserve"> gj</w:t>
      </w:r>
      <w:r w:rsidR="007D4660">
        <w:rPr>
          <w:rFonts w:ascii="Times New Roman" w:hAnsi="Times New Roman"/>
          <w:sz w:val="24"/>
          <w:szCs w:val="24"/>
          <w:lang w:val="sq-AL"/>
        </w:rPr>
        <w:t>ë</w:t>
      </w:r>
      <w:r w:rsidRPr="00511BFC">
        <w:rPr>
          <w:rFonts w:ascii="Times New Roman" w:hAnsi="Times New Roman"/>
          <w:sz w:val="24"/>
          <w:szCs w:val="24"/>
          <w:lang w:val="sq-AL"/>
        </w:rPr>
        <w:t>ndjen aktuale</w:t>
      </w:r>
      <w:r w:rsidR="007D4660">
        <w:rPr>
          <w:rFonts w:ascii="Times New Roman" w:hAnsi="Times New Roman"/>
          <w:sz w:val="24"/>
          <w:szCs w:val="24"/>
          <w:lang w:val="sq-AL"/>
        </w:rPr>
        <w:t>.</w:t>
      </w:r>
      <w:r w:rsidRPr="00511BFC">
        <w:rPr>
          <w:rFonts w:ascii="Times New Roman" w:hAnsi="Times New Roman"/>
          <w:sz w:val="24"/>
          <w:szCs w:val="24"/>
          <w:lang w:val="sq-AL"/>
        </w:rPr>
        <w:t xml:space="preserve"> </w:t>
      </w:r>
    </w:p>
    <w:p w14:paraId="18349106" w14:textId="7B7BF63F" w:rsidR="00063CA2" w:rsidRDefault="00063CA2" w:rsidP="002535B4">
      <w:pPr>
        <w:pStyle w:val="CommentText"/>
      </w:pPr>
    </w:p>
    <w:p w14:paraId="7898501B" w14:textId="75719075" w:rsidR="005C09FF" w:rsidRPr="005C09FF" w:rsidRDefault="005C09FF" w:rsidP="005C09FF">
      <w:pPr>
        <w:spacing w:line="276" w:lineRule="auto"/>
        <w:jc w:val="both"/>
        <w:rPr>
          <w:rFonts w:ascii="Times New Roman" w:hAnsi="Times New Roman"/>
          <w:bCs/>
          <w:sz w:val="24"/>
          <w:szCs w:val="24"/>
          <w:lang w:val="sq-AL"/>
        </w:rPr>
      </w:pPr>
    </w:p>
    <w:p w14:paraId="064613C6" w14:textId="77777777" w:rsidR="00343683" w:rsidRPr="004E7606" w:rsidRDefault="008D1611" w:rsidP="008D1611">
      <w:pPr>
        <w:pStyle w:val="Heading1"/>
        <w:ind w:firstLine="66"/>
        <w:rPr>
          <w:rFonts w:ascii="Times New Roman" w:hAnsi="Times New Roman" w:cs="Times New Roman"/>
          <w:sz w:val="22"/>
          <w:szCs w:val="22"/>
          <w:lang w:val="sq-AL"/>
        </w:rPr>
      </w:pPr>
      <w:bookmarkStart w:id="11" w:name="_Toc506919734"/>
      <w:r w:rsidRPr="004E7606">
        <w:rPr>
          <w:rFonts w:ascii="Times New Roman" w:hAnsi="Times New Roman" w:cs="Times New Roman"/>
          <w:sz w:val="22"/>
          <w:szCs w:val="22"/>
          <w:lang w:val="sq-AL"/>
        </w:rPr>
        <w:lastRenderedPageBreak/>
        <w:t xml:space="preserve">Arsyeja e ndërhyrjes </w:t>
      </w:r>
      <w:bookmarkEnd w:id="11"/>
    </w:p>
    <w:p w14:paraId="49713F10" w14:textId="77777777" w:rsidR="00D55BD1" w:rsidRPr="004E7606" w:rsidRDefault="00D55BD1" w:rsidP="00D55BD1">
      <w:pPr>
        <w:rPr>
          <w:rFonts w:ascii="Times New Roman" w:hAnsi="Times New Roman"/>
          <w:szCs w:val="22"/>
          <w:lang w:val="sq-AL"/>
        </w:rPr>
      </w:pPr>
    </w:p>
    <w:p w14:paraId="188D2221" w14:textId="77777777" w:rsidR="008D1611" w:rsidRPr="00D67FF3" w:rsidRDefault="658D74BF" w:rsidP="658D74BF">
      <w:pPr>
        <w:pStyle w:val="ListParagraph"/>
        <w:numPr>
          <w:ilvl w:val="0"/>
          <w:numId w:val="9"/>
        </w:numPr>
        <w:spacing w:after="0"/>
        <w:jc w:val="both"/>
        <w:rPr>
          <w:rFonts w:ascii="Times New Roman" w:eastAsiaTheme="majorEastAsia" w:hAnsi="Times New Roman"/>
          <w:i/>
          <w:iCs/>
          <w:sz w:val="20"/>
          <w:lang w:val="sq-AL"/>
        </w:rPr>
      </w:pPr>
      <w:r w:rsidRPr="00D67FF3">
        <w:rPr>
          <w:rFonts w:ascii="Times New Roman" w:eastAsiaTheme="majorEastAsia" w:hAnsi="Times New Roman"/>
          <w:i/>
          <w:iCs/>
          <w:sz w:val="20"/>
          <w:lang w:val="sq-AL"/>
        </w:rPr>
        <w:t>Shpjegoni pse qeveria planifikon të ndërhyjë dhe pse është e nevojshme.</w:t>
      </w:r>
    </w:p>
    <w:p w14:paraId="7963133E" w14:textId="77777777" w:rsidR="008D1611" w:rsidRPr="00D67FF3" w:rsidRDefault="008D1611" w:rsidP="008D1611">
      <w:pPr>
        <w:pStyle w:val="ListParagraph"/>
        <w:numPr>
          <w:ilvl w:val="0"/>
          <w:numId w:val="9"/>
        </w:numPr>
        <w:spacing w:after="0"/>
        <w:jc w:val="both"/>
        <w:rPr>
          <w:rFonts w:ascii="Times New Roman" w:eastAsiaTheme="majorEastAsia" w:hAnsi="Times New Roman"/>
          <w:i/>
          <w:sz w:val="20"/>
          <w:lang w:val="sq-AL"/>
        </w:rPr>
      </w:pPr>
      <w:r w:rsidRPr="00D67FF3">
        <w:rPr>
          <w:rFonts w:ascii="Times New Roman" w:eastAsiaTheme="majorEastAsia" w:hAnsi="Times New Roman"/>
          <w:i/>
          <w:sz w:val="20"/>
          <w:lang w:val="sq-AL"/>
        </w:rPr>
        <w:t xml:space="preserve">Shpjegoni se çfarë shpreson të </w:t>
      </w:r>
      <w:r w:rsidR="00573E8A" w:rsidRPr="00D67FF3">
        <w:rPr>
          <w:rFonts w:ascii="Times New Roman" w:eastAsiaTheme="majorEastAsia" w:hAnsi="Times New Roman"/>
          <w:i/>
          <w:sz w:val="20"/>
          <w:lang w:val="sq-AL"/>
        </w:rPr>
        <w:t>trajtojë</w:t>
      </w:r>
      <w:r w:rsidRPr="00D67FF3">
        <w:rPr>
          <w:rFonts w:ascii="Times New Roman" w:eastAsiaTheme="majorEastAsia" w:hAnsi="Times New Roman"/>
          <w:i/>
          <w:sz w:val="20"/>
          <w:lang w:val="sq-AL"/>
        </w:rPr>
        <w:t xml:space="preserve"> </w:t>
      </w:r>
      <w:r w:rsidR="00573E8A" w:rsidRPr="00D67FF3">
        <w:rPr>
          <w:rFonts w:ascii="Times New Roman" w:eastAsiaTheme="majorEastAsia" w:hAnsi="Times New Roman"/>
          <w:i/>
          <w:sz w:val="20"/>
          <w:lang w:val="sq-AL"/>
        </w:rPr>
        <w:t xml:space="preserve">qeveria </w:t>
      </w:r>
      <w:r w:rsidRPr="00D67FF3">
        <w:rPr>
          <w:rFonts w:ascii="Times New Roman" w:eastAsiaTheme="majorEastAsia" w:hAnsi="Times New Roman"/>
          <w:i/>
          <w:sz w:val="20"/>
          <w:lang w:val="sq-AL"/>
        </w:rPr>
        <w:t>nëpërmjet kësaj ndërhyrjeje</w:t>
      </w:r>
      <w:r w:rsidR="00573E8A" w:rsidRPr="00D67FF3">
        <w:rPr>
          <w:rFonts w:ascii="Times New Roman" w:eastAsiaTheme="majorEastAsia" w:hAnsi="Times New Roman"/>
          <w:i/>
          <w:sz w:val="20"/>
          <w:lang w:val="sq-AL"/>
        </w:rPr>
        <w:t>.</w:t>
      </w:r>
    </w:p>
    <w:p w14:paraId="68E627C2" w14:textId="77777777" w:rsidR="008D1611" w:rsidRPr="00D67FF3" w:rsidRDefault="6F3B9A98" w:rsidP="6F3B9A98">
      <w:pPr>
        <w:pStyle w:val="ListParagraph"/>
        <w:numPr>
          <w:ilvl w:val="0"/>
          <w:numId w:val="9"/>
        </w:numPr>
        <w:spacing w:after="0"/>
        <w:jc w:val="both"/>
        <w:rPr>
          <w:rFonts w:ascii="Times New Roman" w:eastAsiaTheme="majorEastAsia" w:hAnsi="Times New Roman"/>
          <w:i/>
          <w:iCs/>
          <w:sz w:val="20"/>
          <w:lang w:val="sq-AL"/>
        </w:rPr>
      </w:pPr>
      <w:r w:rsidRPr="6F3B9A98">
        <w:rPr>
          <w:rFonts w:ascii="Times New Roman" w:eastAsiaTheme="majorEastAsia" w:hAnsi="Times New Roman"/>
          <w:i/>
          <w:iCs/>
          <w:sz w:val="20"/>
          <w:lang w:val="sq-AL"/>
        </w:rPr>
        <w:t>Identifikoni shkallën e ndërhyrjes së qeverisë që nevojitet për të trajtuar problemin.</w:t>
      </w:r>
    </w:p>
    <w:p w14:paraId="60902F97" w14:textId="77777777" w:rsidR="008D1611" w:rsidRPr="00D67FF3" w:rsidRDefault="4157CBF5" w:rsidP="4157CBF5">
      <w:pPr>
        <w:pStyle w:val="ListParagraph"/>
        <w:numPr>
          <w:ilvl w:val="0"/>
          <w:numId w:val="9"/>
        </w:numPr>
        <w:spacing w:after="0"/>
        <w:jc w:val="both"/>
        <w:rPr>
          <w:rFonts w:ascii="Times New Roman" w:eastAsiaTheme="majorEastAsia" w:hAnsi="Times New Roman"/>
          <w:i/>
          <w:iCs/>
          <w:sz w:val="20"/>
          <w:lang w:val="sq-AL"/>
        </w:rPr>
      </w:pPr>
      <w:r w:rsidRPr="4157CBF5">
        <w:rPr>
          <w:rFonts w:ascii="Times New Roman" w:eastAsiaTheme="majorEastAsia" w:hAnsi="Times New Roman"/>
          <w:i/>
          <w:iCs/>
          <w:sz w:val="20"/>
          <w:lang w:val="sq-AL"/>
        </w:rPr>
        <w:t>Shpjegoni se si i mbështet kjo ndërhyrje objektivat e nivelit të lartë të qeverisë.</w:t>
      </w:r>
    </w:p>
    <w:p w14:paraId="167EA633" w14:textId="77777777" w:rsidR="0013699E" w:rsidRPr="00D67FF3" w:rsidRDefault="6F3B9A98" w:rsidP="6F3B9A98">
      <w:pPr>
        <w:pStyle w:val="ListParagraph"/>
        <w:numPr>
          <w:ilvl w:val="0"/>
          <w:numId w:val="9"/>
        </w:numPr>
        <w:spacing w:after="0"/>
        <w:jc w:val="both"/>
        <w:rPr>
          <w:rFonts w:ascii="Times New Roman" w:eastAsiaTheme="majorEastAsia" w:hAnsi="Times New Roman"/>
          <w:i/>
          <w:iCs/>
          <w:sz w:val="20"/>
          <w:lang w:val="sq-AL"/>
        </w:rPr>
      </w:pPr>
      <w:r w:rsidRPr="6F3B9A98">
        <w:rPr>
          <w:rFonts w:ascii="Times New Roman" w:eastAsiaTheme="majorEastAsia" w:hAnsi="Times New Roman"/>
          <w:i/>
          <w:iCs/>
          <w:sz w:val="20"/>
          <w:lang w:val="sq-AL"/>
        </w:rPr>
        <w:t>Rendisni punën ekzistuese që është realizuar tashmë.</w:t>
      </w:r>
    </w:p>
    <w:p w14:paraId="13BAAD0D" w14:textId="77777777" w:rsidR="00AF2E58" w:rsidRPr="004E7606" w:rsidRDefault="00AF2E58" w:rsidP="008953EE">
      <w:pPr>
        <w:pStyle w:val="ListParagraph"/>
        <w:spacing w:after="0" w:line="276" w:lineRule="auto"/>
        <w:ind w:left="720" w:firstLine="0"/>
        <w:jc w:val="both"/>
        <w:rPr>
          <w:rFonts w:ascii="Times New Roman" w:eastAsiaTheme="majorEastAsia" w:hAnsi="Times New Roman"/>
          <w:i/>
          <w:szCs w:val="22"/>
          <w:lang w:val="sq-AL"/>
        </w:rPr>
      </w:pPr>
    </w:p>
    <w:p w14:paraId="6B72C292" w14:textId="31D14047" w:rsidR="00265156" w:rsidRPr="00265156" w:rsidRDefault="003D076F" w:rsidP="00265156">
      <w:pPr>
        <w:spacing w:before="240" w:line="276" w:lineRule="auto"/>
        <w:jc w:val="both"/>
        <w:rPr>
          <w:rFonts w:ascii="Times New Roman" w:hAnsi="Times New Roman"/>
          <w:sz w:val="24"/>
          <w:szCs w:val="24"/>
          <w:lang w:val="sq-AL"/>
        </w:rPr>
      </w:pPr>
      <w:bookmarkStart w:id="12" w:name="_Toc506919735"/>
      <w:r>
        <w:rPr>
          <w:rFonts w:ascii="Times New Roman" w:hAnsi="Times New Roman"/>
          <w:sz w:val="24"/>
          <w:szCs w:val="24"/>
          <w:lang w:val="sq-AL"/>
        </w:rPr>
        <w:t>Ndryshimet e fundit n</w:t>
      </w:r>
      <w:r w:rsidR="00265156" w:rsidRPr="00265156">
        <w:rPr>
          <w:rFonts w:ascii="Times New Roman" w:hAnsi="Times New Roman"/>
          <w:sz w:val="24"/>
          <w:szCs w:val="24"/>
          <w:lang w:val="sq-AL"/>
        </w:rPr>
        <w:t xml:space="preserve">ë ligjin nr. 9665, datë 18.12.2006 “Për huamarrjen shtetërore, borxhin shtetëror dhe garancitë shtetërore të huasë në Republikën e Shqipërisë”, i ndryshuar, </w:t>
      </w:r>
      <w:r>
        <w:rPr>
          <w:rFonts w:ascii="Times New Roman" w:hAnsi="Times New Roman"/>
          <w:sz w:val="24"/>
          <w:szCs w:val="24"/>
          <w:lang w:val="sq-AL"/>
        </w:rPr>
        <w:t>kanë bërë të</w:t>
      </w:r>
      <w:r w:rsidR="00265156" w:rsidRPr="00265156">
        <w:rPr>
          <w:rFonts w:ascii="Times New Roman" w:hAnsi="Times New Roman"/>
          <w:sz w:val="24"/>
          <w:szCs w:val="24"/>
          <w:lang w:val="sq-AL"/>
        </w:rPr>
        <w:t xml:space="preserv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 </w:t>
      </w:r>
    </w:p>
    <w:p w14:paraId="13F528B1" w14:textId="524FA96C" w:rsidR="0053786C" w:rsidRDefault="4157CBF5" w:rsidP="003D076F">
      <w:pPr>
        <w:spacing w:before="240" w:line="276" w:lineRule="auto"/>
        <w:jc w:val="both"/>
        <w:rPr>
          <w:rFonts w:ascii="Times New Roman" w:hAnsi="Times New Roman"/>
          <w:sz w:val="24"/>
          <w:szCs w:val="24"/>
          <w:lang w:val="sq-AL"/>
        </w:rPr>
      </w:pPr>
      <w:bookmarkStart w:id="13" w:name="_Hlk132364111"/>
      <w:r w:rsidRPr="4157CBF5">
        <w:rPr>
          <w:rFonts w:ascii="Times New Roman" w:hAnsi="Times New Roman"/>
          <w:sz w:val="24"/>
          <w:szCs w:val="24"/>
          <w:lang w:val="sq-AL"/>
        </w:rPr>
        <w:t>Në këtë kontekst agjencisë, nëpërmjet ndryshimeve ligjore të propozuara i kalojnë për t’u menaxhuar skemat e veçanta të garancive të huas, kthimin e garancive shtetërore të huas, kthimin e huave dhe nënhuave të garantuara nga ministri përgjegjës për financat, verifikimin e aftësisë paguese të subjekteve huamarrëse që kanë përfituar nga garancitë, huatë dhe nënhuatë të garantuara nga ministri pergjegjes per financat, trajtimin e kredive, të transferuara nga bankat tregtare të nivelit të dytë, me kapital tërësisht shtetëror mbas privatizimit të tyre, si dhe trajtimin e portofolit të investimeve të kryera në banesa nga shoqëria INSIG sh.a para privatizimit të saj.</w:t>
      </w:r>
    </w:p>
    <w:p w14:paraId="4ECA8B1C" w14:textId="4234CD5A" w:rsidR="0053786C" w:rsidRPr="00F030B3" w:rsidRDefault="0053786C" w:rsidP="0053786C">
      <w:pPr>
        <w:spacing w:line="276" w:lineRule="auto"/>
        <w:jc w:val="both"/>
        <w:rPr>
          <w:rFonts w:ascii="Times New Roman" w:hAnsi="Times New Roman"/>
          <w:sz w:val="24"/>
          <w:szCs w:val="24"/>
          <w:lang w:val="sq-AL"/>
        </w:rPr>
      </w:pPr>
      <w:r w:rsidRPr="00F030B3">
        <w:rPr>
          <w:rFonts w:ascii="Times New Roman" w:hAnsi="Times New Roman"/>
          <w:sz w:val="24"/>
          <w:szCs w:val="24"/>
          <w:lang w:val="sq-AL"/>
        </w:rPr>
        <w:t xml:space="preserve">Me anë të </w:t>
      </w:r>
      <w:r w:rsidR="00122ECB">
        <w:rPr>
          <w:rFonts w:ascii="Times New Roman" w:hAnsi="Times New Roman"/>
          <w:sz w:val="24"/>
          <w:szCs w:val="24"/>
          <w:lang w:val="sq-AL"/>
        </w:rPr>
        <w:t>politikës</w:t>
      </w:r>
      <w:r w:rsidRPr="00F030B3">
        <w:rPr>
          <w:rFonts w:ascii="Times New Roman" w:hAnsi="Times New Roman"/>
          <w:sz w:val="24"/>
          <w:szCs w:val="24"/>
          <w:lang w:val="sq-AL"/>
        </w:rPr>
        <w:t xml:space="preserve"> </w:t>
      </w:r>
      <w:r w:rsidR="00122ECB">
        <w:rPr>
          <w:rFonts w:ascii="Times New Roman" w:hAnsi="Times New Roman"/>
          <w:sz w:val="24"/>
          <w:szCs w:val="24"/>
          <w:lang w:val="sq-AL"/>
        </w:rPr>
        <w:t>s</w:t>
      </w:r>
      <w:r w:rsidRPr="00F030B3">
        <w:rPr>
          <w:rFonts w:ascii="Times New Roman" w:hAnsi="Times New Roman"/>
          <w:sz w:val="24"/>
          <w:szCs w:val="24"/>
          <w:lang w:val="sq-AL"/>
        </w:rPr>
        <w:t>ë propozuar tentohet ti jepet zgjidhje këtyre problematikave duke i kaluar në menaxhim Agjencisë skemat e veçanta të garancive të huas, kthimin e garancive shtetërore të huas, kthimin e huave dhe nënhuave të garantuara nga ministri përgjegjës për financat, verifikimin e aftësisë paguese të subjekteve huamarrëse që kanë përfituar nga garancitë, huatë dhe nënhuatë të garantuara nga ministri pergjegjes per financat, trajtimin e kredive, të transferuara nga bankat tregtare të nivelit të dytë, me kapital tërësisht shtetëror mbas privatizimit të tyre, si dhe trajtimin e portofolit të investimeve të kryera në banesa nga shoqëria INSIG sh.a para privatizimit të saj.</w:t>
      </w:r>
    </w:p>
    <w:p w14:paraId="20C442D9" w14:textId="7EB6DFB7" w:rsidR="00122ECB" w:rsidRDefault="0053786C" w:rsidP="0053786C">
      <w:pPr>
        <w:spacing w:line="276" w:lineRule="auto"/>
        <w:jc w:val="both"/>
        <w:rPr>
          <w:rFonts w:ascii="Times New Roman" w:hAnsi="Times New Roman"/>
          <w:sz w:val="24"/>
          <w:szCs w:val="24"/>
          <w:lang w:val="sq-AL"/>
        </w:rPr>
      </w:pPr>
      <w:r w:rsidRPr="00F030B3">
        <w:rPr>
          <w:rFonts w:ascii="Times New Roman" w:hAnsi="Times New Roman"/>
          <w:sz w:val="24"/>
          <w:szCs w:val="24"/>
          <w:lang w:val="sq-AL"/>
        </w:rPr>
        <w:t xml:space="preserve">Duke mundësuar mekanizmat dhe strukturën e posaçme për mbledhjen e detyrimeve të akumuluara nga subjektet përfituese të garancive dhe nënhuave, si dhe garantimin e rikuperimit të kredive në një kohë të përshpejtuar, pritet të rregullohet gjëndja aktuale. </w:t>
      </w:r>
    </w:p>
    <w:p w14:paraId="1D993B76" w14:textId="77777777" w:rsidR="00122ECB" w:rsidRPr="00074443" w:rsidRDefault="00122ECB" w:rsidP="00122ECB">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Për të adresuar një sërë shqetësimesh që lindën në lidhje me administrimin e këtyre skemave, në kushtet ku strukturat e Ministrisë ë Financave dhe Ekonomisë, nuk kanë kapacitetet për administrimin e një sërë aspektesh, si:</w:t>
      </w:r>
    </w:p>
    <w:p w14:paraId="1A8AE2A7" w14:textId="77777777" w:rsidR="00122ECB" w:rsidRPr="00074443" w:rsidRDefault="00122ECB" w:rsidP="00122ECB">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w:t>
      </w:r>
      <w:r w:rsidRPr="00074443">
        <w:rPr>
          <w:rFonts w:ascii="Times New Roman" w:eastAsiaTheme="majorEastAsia" w:hAnsi="Times New Roman"/>
          <w:color w:val="000000" w:themeColor="text1"/>
          <w:sz w:val="24"/>
          <w:szCs w:val="24"/>
        </w:rPr>
        <w:tab/>
        <w:t>verifikimi i rasteve të thirjes së garancisë;</w:t>
      </w:r>
    </w:p>
    <w:p w14:paraId="5A30CF9A" w14:textId="5A930DDE" w:rsidR="00122ECB" w:rsidRPr="00074443" w:rsidRDefault="00122ECB" w:rsidP="00193A00">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w:t>
      </w:r>
      <w:r w:rsidRPr="00074443">
        <w:rPr>
          <w:rFonts w:ascii="Times New Roman" w:eastAsiaTheme="majorEastAsia" w:hAnsi="Times New Roman"/>
          <w:color w:val="000000" w:themeColor="text1"/>
          <w:sz w:val="24"/>
          <w:szCs w:val="24"/>
        </w:rPr>
        <w:tab/>
        <w:t>rikuperimin e të drejtave që i lindin MFE pas çdo pagese në kuadër të garancive të lëshuara, lindi nevoja që këto funksione, t’i kalohen një strukture, që është nën varësinë e MFE dhe që ka ekspertizën e nevojshme në këtë drejtim, aktualisht, Agjencia e Trajtimit të Kredive (ATK</w:t>
      </w:r>
    </w:p>
    <w:p w14:paraId="7CCE2C47" w14:textId="4E19A53F" w:rsidR="009A56F6" w:rsidRPr="00074443" w:rsidRDefault="009A56F6" w:rsidP="003D076F">
      <w:pPr>
        <w:spacing w:before="240" w:line="276" w:lineRule="auto"/>
        <w:jc w:val="both"/>
        <w:rPr>
          <w:rFonts w:ascii="Times New Roman" w:eastAsiaTheme="majorEastAsia" w:hAnsi="Times New Roman"/>
          <w:color w:val="000000" w:themeColor="text1"/>
          <w:sz w:val="24"/>
          <w:szCs w:val="24"/>
        </w:rPr>
      </w:pPr>
      <w:r w:rsidRPr="00074443">
        <w:rPr>
          <w:rFonts w:ascii="Times New Roman" w:eastAsiaTheme="majorEastAsia" w:hAnsi="Times New Roman"/>
          <w:color w:val="000000" w:themeColor="text1"/>
          <w:sz w:val="24"/>
          <w:szCs w:val="24"/>
        </w:rPr>
        <w:t xml:space="preserve">Çështja e mbledhjes së detyrimeve nga këto subjekte kundrejt buxhetit të shtetit është një problem që i është kushtuar vëmendje e veçantë edhe gjatë auditimeve të KLSH, si dhe është pjesë e raporteve të lëshuara nga ky institucion, ndaj konsiderohet mëse e nevojshme </w:t>
      </w:r>
      <w:r w:rsidRPr="00074443">
        <w:rPr>
          <w:rFonts w:ascii="Times New Roman" w:eastAsiaTheme="majorEastAsia" w:hAnsi="Times New Roman"/>
          <w:color w:val="000000" w:themeColor="text1"/>
          <w:sz w:val="24"/>
          <w:szCs w:val="24"/>
        </w:rPr>
        <w:lastRenderedPageBreak/>
        <w:t>ndërmarrja e gjithë masave të mundshme në këtë drejtim, duke përfshirë këtu edhe ndryshime të nevojshme ligjore.</w:t>
      </w:r>
    </w:p>
    <w:p w14:paraId="018DD10D" w14:textId="7D9211C5" w:rsidR="009A56F6" w:rsidRPr="00074443" w:rsidRDefault="009A56F6" w:rsidP="009A56F6">
      <w:pPr>
        <w:spacing w:before="240" w:line="276" w:lineRule="auto"/>
        <w:jc w:val="both"/>
        <w:rPr>
          <w:rFonts w:ascii="Times New Roman" w:eastAsiaTheme="majorEastAsia" w:hAnsi="Times New Roman"/>
          <w:color w:val="000000" w:themeColor="text1"/>
          <w:sz w:val="24"/>
          <w:szCs w:val="24"/>
        </w:rPr>
      </w:pPr>
      <w:r w:rsidRPr="00074443">
        <w:rPr>
          <w:rFonts w:ascii="Times New Roman" w:hAnsi="Times New Roman"/>
          <w:color w:val="000000" w:themeColor="text1"/>
          <w:sz w:val="24"/>
          <w:szCs w:val="24"/>
          <w:lang w:val="sq-AL"/>
        </w:rPr>
        <w:t xml:space="preserve">Gjithashtu, </w:t>
      </w:r>
      <w:r w:rsidRPr="00074443">
        <w:rPr>
          <w:rFonts w:ascii="Times New Roman" w:eastAsiaTheme="majorEastAsia" w:hAnsi="Times New Roman"/>
          <w:color w:val="000000" w:themeColor="text1"/>
          <w:sz w:val="24"/>
          <w:szCs w:val="24"/>
        </w:rPr>
        <w:t>n</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p</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rmjet k</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saj politike synohet thjeshtësimi i mëtejshëm i procedurës së huamarrjes në tregjet ndërkombëtare, në kushtet ku ky proces kërkon reagim me shpejtësi për të përfituar nga oprtunitetet që mund të ofrojnë tregjet financiare në momente të caktuara, duke konsideruar që këto tregje paraqiten me zhvillime shumë dinamike dhe që impaktohen nga çdo indikator apo rrethanë e caktuar.</w:t>
      </w:r>
    </w:p>
    <w:p w14:paraId="4E2BCE15" w14:textId="51D7C7A7" w:rsidR="009A56F6" w:rsidRPr="00074443" w:rsidRDefault="009A56F6" w:rsidP="003D076F">
      <w:pPr>
        <w:spacing w:before="240" w:line="276" w:lineRule="auto"/>
        <w:jc w:val="both"/>
        <w:rPr>
          <w:rFonts w:ascii="Times New Roman" w:hAnsi="Times New Roman"/>
          <w:color w:val="000000" w:themeColor="text1"/>
          <w:sz w:val="24"/>
          <w:szCs w:val="24"/>
          <w:lang w:val="sq-AL"/>
        </w:rPr>
      </w:pPr>
      <w:r w:rsidRPr="00074443">
        <w:rPr>
          <w:rFonts w:ascii="Times New Roman" w:eastAsiaTheme="majorEastAsia" w:hAnsi="Times New Roman"/>
          <w:color w:val="000000" w:themeColor="text1"/>
          <w:sz w:val="24"/>
          <w:szCs w:val="24"/>
        </w:rPr>
        <w:t>Nd</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rhyrja e qeverisë paraqitet e domosdoshme p</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r t</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 xml:space="preserve"> mund</w:t>
      </w:r>
      <w:r w:rsidR="003162AD" w:rsidRPr="00074443">
        <w:rPr>
          <w:rFonts w:ascii="Times New Roman" w:eastAsiaTheme="majorEastAsia" w:hAnsi="Times New Roman"/>
          <w:color w:val="000000" w:themeColor="text1"/>
          <w:sz w:val="24"/>
          <w:szCs w:val="24"/>
        </w:rPr>
        <w:t>ë</w:t>
      </w:r>
      <w:r w:rsidRPr="00074443">
        <w:rPr>
          <w:rFonts w:ascii="Times New Roman" w:eastAsiaTheme="majorEastAsia" w:hAnsi="Times New Roman"/>
          <w:color w:val="000000" w:themeColor="text1"/>
          <w:sz w:val="24"/>
          <w:szCs w:val="24"/>
        </w:rPr>
        <w:t>suar shmangien e miratimit nga parlamenti rast pas rasti të këtyre përjashtimeve, apo heqjes dorë nga imuniteti, sa herë që vendit i duhet të aksesojë tregjet ndërkombëtare për financim.</w:t>
      </w:r>
    </w:p>
    <w:p w14:paraId="085D584F" w14:textId="77777777" w:rsidR="005F4235" w:rsidRDefault="4157CBF5" w:rsidP="00713786">
      <w:pPr>
        <w:spacing w:line="276" w:lineRule="auto"/>
        <w:jc w:val="both"/>
        <w:rPr>
          <w:rFonts w:ascii="Times New Roman" w:hAnsi="Times New Roman"/>
          <w:sz w:val="24"/>
          <w:szCs w:val="24"/>
          <w:lang w:val="sq-AL"/>
        </w:rPr>
      </w:pPr>
      <w:r w:rsidRPr="4157CBF5">
        <w:rPr>
          <w:rFonts w:ascii="Times New Roman" w:hAnsi="Times New Roman"/>
          <w:sz w:val="24"/>
          <w:szCs w:val="24"/>
          <w:lang w:val="sq-AL"/>
        </w:rPr>
        <w:t>Kjo ndërhyrje i mbështet objektivat e nivelit të lartë të qeverisë duke mbrojtur grupet e prekura nga problemet e lartpërmendura (qytetarët dhe bizneset). Kjo për arsyen se politika e re (Ligji i ri) ka prioritet sigurimin e menaxhimit sa më efektiv të skemave të veçanta të garancive dhe kthimin e garancive shtetërore të huase në një kohë të përshpejtuar, duke respektuar afatet.</w:t>
      </w:r>
      <w:bookmarkEnd w:id="13"/>
    </w:p>
    <w:p w14:paraId="3D200E79" w14:textId="77777777" w:rsidR="005F4235" w:rsidRDefault="005F4235" w:rsidP="00713786">
      <w:pPr>
        <w:spacing w:line="276" w:lineRule="auto"/>
        <w:jc w:val="both"/>
        <w:rPr>
          <w:rFonts w:ascii="Times New Roman" w:hAnsi="Times New Roman"/>
          <w:sz w:val="24"/>
          <w:szCs w:val="24"/>
          <w:lang w:val="sq-AL"/>
        </w:rPr>
      </w:pPr>
    </w:p>
    <w:p w14:paraId="39E62D43" w14:textId="4E2C6EF4" w:rsidR="00713786" w:rsidRDefault="4157CBF5" w:rsidP="00713786">
      <w:pPr>
        <w:spacing w:line="276" w:lineRule="auto"/>
        <w:jc w:val="both"/>
        <w:rPr>
          <w:rFonts w:ascii="Times New Roman" w:hAnsi="Times New Roman"/>
          <w:sz w:val="24"/>
          <w:szCs w:val="24"/>
          <w:lang w:val="sq-AL"/>
        </w:rPr>
      </w:pPr>
      <w:r w:rsidRPr="4157CBF5">
        <w:rPr>
          <w:rFonts w:ascii="Times New Roman" w:hAnsi="Times New Roman"/>
          <w:sz w:val="24"/>
          <w:szCs w:val="24"/>
        </w:rPr>
        <w:t xml:space="preserve">Kjo </w:t>
      </w:r>
      <w:r w:rsidRPr="4157CBF5">
        <w:rPr>
          <w:rFonts w:ascii="Times New Roman" w:hAnsi="Times New Roman"/>
          <w:sz w:val="24"/>
          <w:szCs w:val="24"/>
          <w:lang w:val="sq-AL"/>
        </w:rPr>
        <w:t>ndërhyrje nuk mbështetet në ndonje Strategji të caktuar, por është parashikuar në programin analitik të akteve të Ministrisë së Financave dhe Ekonomisë të parashikuara për t’u miratuar nga ana e Këshillit të Ministrave për vitin 2023.</w:t>
      </w:r>
      <w:r w:rsidR="0053786C">
        <w:rPr>
          <w:rFonts w:ascii="Times New Roman" w:hAnsi="Times New Roman"/>
          <w:sz w:val="24"/>
          <w:szCs w:val="24"/>
          <w:lang w:val="sq-AL"/>
        </w:rPr>
        <w:t xml:space="preserve"> </w:t>
      </w:r>
    </w:p>
    <w:p w14:paraId="19A96E32" w14:textId="77777777" w:rsidR="0053786C" w:rsidRPr="00050628" w:rsidRDefault="0053786C" w:rsidP="00713786">
      <w:pPr>
        <w:spacing w:line="276" w:lineRule="auto"/>
        <w:jc w:val="both"/>
        <w:rPr>
          <w:rFonts w:ascii="Times New Roman" w:hAnsi="Times New Roman"/>
          <w:sz w:val="24"/>
          <w:szCs w:val="24"/>
          <w:lang w:val="sq-AL"/>
        </w:rPr>
      </w:pPr>
    </w:p>
    <w:p w14:paraId="737B7A25" w14:textId="77777777" w:rsidR="00B745C7" w:rsidRPr="00074443" w:rsidRDefault="00B745C7" w:rsidP="00074443">
      <w:pPr>
        <w:rPr>
          <w:rFonts w:ascii="Times New Roman" w:hAnsi="Times New Roman"/>
          <w:szCs w:val="22"/>
          <w:lang w:val="sq-AL"/>
        </w:rPr>
      </w:pPr>
    </w:p>
    <w:p w14:paraId="6309E56F" w14:textId="77777777" w:rsidR="00C50922" w:rsidRPr="004E7606" w:rsidRDefault="001009D3" w:rsidP="0013699E">
      <w:pPr>
        <w:pStyle w:val="Heading1"/>
        <w:rPr>
          <w:rFonts w:ascii="Times New Roman" w:hAnsi="Times New Roman" w:cs="Times New Roman"/>
          <w:sz w:val="22"/>
          <w:szCs w:val="22"/>
          <w:lang w:val="sq-AL"/>
        </w:rPr>
      </w:pPr>
      <w:r w:rsidRPr="004E7606">
        <w:rPr>
          <w:rFonts w:ascii="Times New Roman" w:hAnsi="Times New Roman" w:cs="Times New Roman"/>
          <w:sz w:val="22"/>
          <w:szCs w:val="22"/>
          <w:lang w:val="sq-AL"/>
        </w:rPr>
        <w:t>Objektivi i politikës</w:t>
      </w:r>
      <w:bookmarkEnd w:id="12"/>
    </w:p>
    <w:p w14:paraId="0DB3C73E" w14:textId="77777777" w:rsidR="00D55BD1" w:rsidRPr="004E7606" w:rsidRDefault="00D55BD1" w:rsidP="00D55BD1">
      <w:pPr>
        <w:rPr>
          <w:rFonts w:ascii="Times New Roman" w:hAnsi="Times New Roman"/>
          <w:szCs w:val="22"/>
          <w:lang w:val="sq-AL"/>
        </w:rPr>
      </w:pPr>
    </w:p>
    <w:p w14:paraId="44EF48ED" w14:textId="77777777" w:rsidR="001009D3" w:rsidRPr="005C09FF" w:rsidRDefault="001009D3" w:rsidP="001009D3">
      <w:pPr>
        <w:pStyle w:val="ListParagraph"/>
        <w:numPr>
          <w:ilvl w:val="0"/>
          <w:numId w:val="12"/>
        </w:numPr>
        <w:spacing w:after="0"/>
        <w:rPr>
          <w:rFonts w:ascii="Times New Roman" w:hAnsi="Times New Roman"/>
          <w:i/>
          <w:sz w:val="20"/>
          <w:lang w:val="sq-AL"/>
        </w:rPr>
      </w:pPr>
      <w:r w:rsidRPr="005C09FF">
        <w:rPr>
          <w:rFonts w:ascii="Times New Roman" w:hAnsi="Times New Roman"/>
          <w:i/>
          <w:sz w:val="20"/>
          <w:lang w:val="sq-AL"/>
        </w:rPr>
        <w:t>Vendosni objektiva që korrespondojnë me problemin dhe shkaqet e tij</w:t>
      </w:r>
      <w:r w:rsidR="00573E8A" w:rsidRPr="005C09FF">
        <w:rPr>
          <w:rFonts w:ascii="Times New Roman" w:hAnsi="Times New Roman"/>
          <w:i/>
          <w:sz w:val="20"/>
          <w:lang w:val="sq-AL"/>
        </w:rPr>
        <w:t>.</w:t>
      </w:r>
    </w:p>
    <w:p w14:paraId="213492E5" w14:textId="3CFB879E" w:rsidR="007F4497" w:rsidRPr="007F4497" w:rsidRDefault="001009D3" w:rsidP="007F4497">
      <w:pPr>
        <w:pStyle w:val="ListParagraph"/>
        <w:numPr>
          <w:ilvl w:val="0"/>
          <w:numId w:val="12"/>
        </w:numPr>
        <w:spacing w:after="0"/>
        <w:rPr>
          <w:rFonts w:ascii="Times New Roman" w:hAnsi="Times New Roman"/>
          <w:i/>
          <w:sz w:val="20"/>
          <w:lang w:val="sq-AL"/>
        </w:rPr>
      </w:pPr>
      <w:r w:rsidRPr="005C09FF">
        <w:rPr>
          <w:rFonts w:ascii="Times New Roman" w:hAnsi="Times New Roman"/>
          <w:i/>
          <w:sz w:val="20"/>
          <w:lang w:val="sq-AL"/>
        </w:rPr>
        <w:t>Sigurohuni që objektivat janë specifikë, të matshëm, të arritshëm, realë dhe në kohë</w:t>
      </w:r>
      <w:r w:rsidR="00573E8A" w:rsidRPr="005C09FF">
        <w:rPr>
          <w:rFonts w:ascii="Times New Roman" w:hAnsi="Times New Roman"/>
          <w:i/>
          <w:sz w:val="20"/>
          <w:lang w:val="sq-AL"/>
        </w:rPr>
        <w:t>.</w:t>
      </w:r>
    </w:p>
    <w:p w14:paraId="275373FC" w14:textId="77777777" w:rsidR="0013699E" w:rsidRPr="004E7606" w:rsidRDefault="0013699E" w:rsidP="0013699E">
      <w:pPr>
        <w:pStyle w:val="Style1-BodyText"/>
        <w:spacing w:after="0"/>
        <w:rPr>
          <w:rFonts w:ascii="Times New Roman" w:hAnsi="Times New Roman" w:cs="Times New Roman"/>
          <w:szCs w:val="22"/>
          <w:lang w:val="sq-AL"/>
        </w:rPr>
      </w:pPr>
    </w:p>
    <w:p w14:paraId="476D1054" w14:textId="77777777" w:rsidR="005C09FF" w:rsidRPr="003560AC" w:rsidRDefault="005C09FF" w:rsidP="005C09FF">
      <w:pPr>
        <w:autoSpaceDE w:val="0"/>
        <w:autoSpaceDN w:val="0"/>
        <w:adjustRightInd w:val="0"/>
        <w:jc w:val="both"/>
        <w:rPr>
          <w:rFonts w:ascii="Times New Roman" w:hAnsi="Times New Roman"/>
          <w:sz w:val="24"/>
          <w:szCs w:val="24"/>
          <w:lang w:val="sq-AL"/>
        </w:rPr>
      </w:pPr>
    </w:p>
    <w:p w14:paraId="26B3C742" w14:textId="77777777" w:rsidR="007F4497" w:rsidRPr="004569BA" w:rsidRDefault="007F4497" w:rsidP="007F4497">
      <w:pPr>
        <w:pStyle w:val="HTMLPreformatted"/>
        <w:spacing w:line="276" w:lineRule="auto"/>
        <w:jc w:val="both"/>
        <w:rPr>
          <w:rFonts w:ascii="Times New Roman" w:hAnsi="Times New Roman" w:cs="Times New Roman"/>
          <w:b/>
          <w:sz w:val="24"/>
          <w:szCs w:val="22"/>
          <w:lang w:val="sq-AL"/>
        </w:rPr>
      </w:pPr>
      <w:r w:rsidRPr="004569BA">
        <w:rPr>
          <w:rFonts w:ascii="Times New Roman" w:hAnsi="Times New Roman" w:cs="Times New Roman"/>
          <w:b/>
          <w:sz w:val="24"/>
          <w:szCs w:val="22"/>
          <w:lang w:val="sq-AL"/>
        </w:rPr>
        <w:t>Objektivat e propozimit janë:</w:t>
      </w:r>
    </w:p>
    <w:p w14:paraId="59EFE393" w14:textId="77777777" w:rsidR="007F4497" w:rsidRPr="003D2113" w:rsidRDefault="007F4497" w:rsidP="007F4497">
      <w:pPr>
        <w:pStyle w:val="HTMLPreformatted"/>
        <w:spacing w:line="276" w:lineRule="auto"/>
        <w:jc w:val="both"/>
        <w:rPr>
          <w:rFonts w:ascii="Times New Roman" w:hAnsi="Times New Roman" w:cs="Times New Roman"/>
          <w:sz w:val="24"/>
          <w:szCs w:val="22"/>
          <w:lang w:val="sq-AL"/>
        </w:rPr>
      </w:pPr>
    </w:p>
    <w:p w14:paraId="62FA6BDF" w14:textId="77F5C230" w:rsidR="007F4497" w:rsidRPr="003D2113" w:rsidRDefault="4157CBF5" w:rsidP="003C5F93">
      <w:pPr>
        <w:pStyle w:val="HTMLPreformatted"/>
        <w:numPr>
          <w:ilvl w:val="0"/>
          <w:numId w:val="22"/>
        </w:numPr>
        <w:spacing w:line="276" w:lineRule="auto"/>
        <w:jc w:val="both"/>
        <w:rPr>
          <w:rFonts w:ascii="Times New Roman" w:hAnsi="Times New Roman" w:cs="Times New Roman"/>
          <w:sz w:val="24"/>
          <w:szCs w:val="24"/>
          <w:lang w:val="sq-AL"/>
        </w:rPr>
      </w:pPr>
      <w:bookmarkStart w:id="14" w:name="_Hlk131684130"/>
      <w:r w:rsidRPr="4157CBF5">
        <w:rPr>
          <w:rFonts w:ascii="Times New Roman" w:hAnsi="Times New Roman" w:cs="Times New Roman"/>
          <w:sz w:val="24"/>
          <w:szCs w:val="24"/>
          <w:lang w:val="sq-AL"/>
        </w:rPr>
        <w:t>Sigurimi i menaxhimit sa më efektiv të skemave të veçanta të garancive;</w:t>
      </w:r>
    </w:p>
    <w:p w14:paraId="52485E56" w14:textId="77777777" w:rsidR="00F53EC4" w:rsidRPr="00F53EC4" w:rsidRDefault="00F53EC4" w:rsidP="00BD6FBB">
      <w:pPr>
        <w:pStyle w:val="HTMLPreformatted"/>
        <w:numPr>
          <w:ilvl w:val="0"/>
          <w:numId w:val="22"/>
        </w:numPr>
        <w:spacing w:line="276" w:lineRule="auto"/>
        <w:jc w:val="both"/>
        <w:rPr>
          <w:rFonts w:ascii="Times New Roman" w:hAnsi="Times New Roman" w:cs="Times New Roman"/>
          <w:sz w:val="22"/>
          <w:szCs w:val="22"/>
          <w:lang w:val="sq-AL"/>
        </w:rPr>
      </w:pPr>
      <w:bookmarkStart w:id="15" w:name="_Hlk131758688"/>
      <w:bookmarkEnd w:id="14"/>
      <w:r w:rsidRPr="00F53EC4">
        <w:rPr>
          <w:rFonts w:ascii="Times New Roman" w:hAnsi="Times New Roman" w:cs="Times New Roman"/>
          <w:sz w:val="24"/>
          <w:szCs w:val="24"/>
          <w:lang w:val="sq-AL"/>
        </w:rPr>
        <w:t>Kthimi i 50% të garancive shtetërore të huase në një kohë të përshpejtuar brenda vitit 2025, duke rregulluar gjendjen aktuale ku afatet tejkalohen.</w:t>
      </w:r>
    </w:p>
    <w:p w14:paraId="446C6917" w14:textId="2F224F49" w:rsidR="00402166" w:rsidRPr="00E83A65" w:rsidRDefault="4157CBF5" w:rsidP="00BD6FBB">
      <w:pPr>
        <w:pStyle w:val="HTMLPreformatted"/>
        <w:numPr>
          <w:ilvl w:val="0"/>
          <w:numId w:val="22"/>
        </w:numPr>
        <w:spacing w:line="276" w:lineRule="auto"/>
        <w:jc w:val="both"/>
        <w:rPr>
          <w:rFonts w:ascii="Times New Roman" w:hAnsi="Times New Roman" w:cs="Times New Roman"/>
          <w:sz w:val="22"/>
          <w:szCs w:val="22"/>
          <w:lang w:val="sq-AL"/>
        </w:rPr>
      </w:pPr>
      <w:r w:rsidRPr="4157CBF5">
        <w:rPr>
          <w:rFonts w:ascii="Times New Roman" w:hAnsi="Times New Roman" w:cs="Times New Roman"/>
          <w:sz w:val="24"/>
          <w:szCs w:val="24"/>
          <w:lang w:val="sq-AL"/>
        </w:rPr>
        <w:t>Garantimi i trajtimit të kredive të transferuara nga bankat tregtare të nivelit të dytë, me kapital tërësisht shtetëror mbas privatizimit të tyre dhe portofolit të investimeve të kryera në banesa nga shoqëria INSIG sh.a para privatizimit të saj brenda vitit 2025.</w:t>
      </w:r>
    </w:p>
    <w:bookmarkEnd w:id="15"/>
    <w:p w14:paraId="492955FF" w14:textId="77777777" w:rsidR="00E83A65" w:rsidRPr="00E83A65" w:rsidRDefault="00E83A65" w:rsidP="00E83A65">
      <w:pPr>
        <w:pStyle w:val="HTMLPreformatted"/>
        <w:spacing w:line="276" w:lineRule="auto"/>
        <w:ind w:left="720"/>
        <w:jc w:val="both"/>
        <w:rPr>
          <w:rFonts w:ascii="Times New Roman" w:hAnsi="Times New Roman" w:cs="Times New Roman"/>
          <w:sz w:val="22"/>
          <w:szCs w:val="22"/>
          <w:lang w:val="sq-AL"/>
        </w:rPr>
      </w:pPr>
    </w:p>
    <w:p w14:paraId="0E087D7C" w14:textId="77777777" w:rsidR="00C50922" w:rsidRPr="004E7606" w:rsidRDefault="008D1611" w:rsidP="0013699E">
      <w:pPr>
        <w:pStyle w:val="Heading1"/>
        <w:rPr>
          <w:rFonts w:ascii="Times New Roman" w:hAnsi="Times New Roman" w:cs="Times New Roman"/>
          <w:sz w:val="22"/>
          <w:szCs w:val="22"/>
          <w:lang w:val="sq-AL"/>
        </w:rPr>
      </w:pPr>
      <w:r w:rsidRPr="004E7606">
        <w:rPr>
          <w:rFonts w:ascii="Times New Roman" w:hAnsi="Times New Roman" w:cs="Times New Roman"/>
          <w:sz w:val="22"/>
          <w:szCs w:val="22"/>
          <w:lang w:val="sq-AL"/>
        </w:rPr>
        <w:t>Përshkrimi i opsioneve të shqyrtuara</w:t>
      </w:r>
      <w:r w:rsidR="004D1F98" w:rsidRPr="004E7606">
        <w:rPr>
          <w:rFonts w:ascii="Times New Roman" w:hAnsi="Times New Roman" w:cs="Times New Roman"/>
          <w:sz w:val="22"/>
          <w:szCs w:val="22"/>
          <w:lang w:val="sq-AL"/>
        </w:rPr>
        <w:t xml:space="preserve"> </w:t>
      </w:r>
    </w:p>
    <w:p w14:paraId="76C2C7A0" w14:textId="77777777" w:rsidR="00D55BD1" w:rsidRPr="004E7606" w:rsidRDefault="00D55BD1" w:rsidP="00D55BD1">
      <w:pPr>
        <w:rPr>
          <w:rFonts w:ascii="Times New Roman" w:hAnsi="Times New Roman"/>
          <w:szCs w:val="22"/>
          <w:lang w:val="sq-AL"/>
        </w:rPr>
      </w:pPr>
    </w:p>
    <w:p w14:paraId="29712D34" w14:textId="77777777" w:rsidR="008D1611"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 xml:space="preserve">Përshkruani opsionin e status </w:t>
      </w:r>
      <w:r w:rsidR="00475898" w:rsidRPr="005C09FF">
        <w:rPr>
          <w:rFonts w:ascii="Times New Roman" w:hAnsi="Times New Roman"/>
          <w:i/>
          <w:sz w:val="20"/>
          <w:lang w:val="sq-AL"/>
        </w:rPr>
        <w:t>q</w:t>
      </w:r>
      <w:r w:rsidRPr="005C09FF">
        <w:rPr>
          <w:rFonts w:ascii="Times New Roman" w:hAnsi="Times New Roman"/>
          <w:i/>
          <w:sz w:val="20"/>
          <w:lang w:val="sq-AL"/>
        </w:rPr>
        <w:t>uo</w:t>
      </w:r>
      <w:r w:rsidR="00475898" w:rsidRPr="005C09FF">
        <w:rPr>
          <w:rFonts w:ascii="Times New Roman" w:hAnsi="Times New Roman"/>
          <w:i/>
          <w:sz w:val="20"/>
          <w:lang w:val="sq-AL"/>
        </w:rPr>
        <w:t>-</w:t>
      </w:r>
      <w:r w:rsidRPr="005C09FF">
        <w:rPr>
          <w:rFonts w:ascii="Times New Roman" w:hAnsi="Times New Roman"/>
          <w:i/>
          <w:sz w:val="20"/>
          <w:lang w:val="sq-AL"/>
        </w:rPr>
        <w:t>së</w:t>
      </w:r>
      <w:r w:rsidR="00475898" w:rsidRPr="005C09FF">
        <w:rPr>
          <w:rFonts w:ascii="Times New Roman" w:hAnsi="Times New Roman"/>
          <w:i/>
          <w:sz w:val="20"/>
          <w:lang w:val="sq-AL"/>
        </w:rPr>
        <w:t xml:space="preserve">. </w:t>
      </w:r>
    </w:p>
    <w:p w14:paraId="75DFE2E7" w14:textId="77777777" w:rsidR="008D1611"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Identifikoni dhe përshkruani të gjitha opsionet e politikave që keni marrë parasysh</w:t>
      </w:r>
      <w:r w:rsidR="00475898" w:rsidRPr="005C09FF">
        <w:rPr>
          <w:rFonts w:ascii="Times New Roman" w:hAnsi="Times New Roman"/>
          <w:i/>
          <w:sz w:val="20"/>
          <w:lang w:val="sq-AL"/>
        </w:rPr>
        <w:t>.</w:t>
      </w:r>
    </w:p>
    <w:p w14:paraId="2910AEE8" w14:textId="77777777" w:rsidR="004B05F4" w:rsidRPr="005C09FF" w:rsidRDefault="008D1611" w:rsidP="008D1611">
      <w:pPr>
        <w:pStyle w:val="ListParagraph"/>
        <w:numPr>
          <w:ilvl w:val="0"/>
          <w:numId w:val="10"/>
        </w:numPr>
        <w:spacing w:after="0"/>
        <w:jc w:val="both"/>
        <w:rPr>
          <w:rFonts w:ascii="Times New Roman" w:hAnsi="Times New Roman"/>
          <w:i/>
          <w:sz w:val="20"/>
          <w:lang w:val="sq-AL"/>
        </w:rPr>
      </w:pPr>
      <w:r w:rsidRPr="005C09FF">
        <w:rPr>
          <w:rFonts w:ascii="Times New Roman" w:hAnsi="Times New Roman"/>
          <w:i/>
          <w:sz w:val="20"/>
          <w:lang w:val="sq-AL"/>
        </w:rPr>
        <w:t xml:space="preserve">Shpjegoni se si janë zgjedhur opsionet e </w:t>
      </w:r>
      <w:r w:rsidR="00573E8A" w:rsidRPr="005C09FF">
        <w:rPr>
          <w:rFonts w:ascii="Times New Roman" w:hAnsi="Times New Roman"/>
          <w:i/>
          <w:sz w:val="20"/>
          <w:lang w:val="sq-AL"/>
        </w:rPr>
        <w:t xml:space="preserve">renditura. </w:t>
      </w:r>
      <w:r w:rsidR="004B05F4" w:rsidRPr="005C09FF">
        <w:rPr>
          <w:rFonts w:ascii="Times New Roman" w:hAnsi="Times New Roman"/>
          <w:i/>
          <w:sz w:val="20"/>
          <w:lang w:val="sq-AL"/>
        </w:rPr>
        <w:t xml:space="preserve"> </w:t>
      </w:r>
    </w:p>
    <w:p w14:paraId="74E5F4D2" w14:textId="471565D6" w:rsidR="00C203BB" w:rsidRPr="005C09FF" w:rsidRDefault="00C203BB" w:rsidP="0035189A">
      <w:pPr>
        <w:pStyle w:val="CommentText"/>
        <w:rPr>
          <w:rFonts w:ascii="Times New Roman" w:hAnsi="Times New Roman"/>
          <w:sz w:val="24"/>
          <w:szCs w:val="24"/>
          <w:lang w:val="sq-AL"/>
        </w:rPr>
      </w:pPr>
    </w:p>
    <w:p w14:paraId="7775C0EB" w14:textId="221F7C06" w:rsidR="00A43039" w:rsidRDefault="6F3B9A98" w:rsidP="00591BDB">
      <w:pPr>
        <w:jc w:val="both"/>
        <w:rPr>
          <w:rFonts w:ascii="Times New Roman" w:hAnsi="Times New Roman"/>
          <w:sz w:val="24"/>
          <w:szCs w:val="24"/>
          <w:lang w:val="sq-AL"/>
        </w:rPr>
      </w:pPr>
      <w:r w:rsidRPr="6F3B9A98">
        <w:rPr>
          <w:rFonts w:ascii="Times New Roman" w:hAnsi="Times New Roman"/>
          <w:b/>
          <w:bCs/>
          <w:sz w:val="24"/>
          <w:szCs w:val="24"/>
          <w:lang w:val="sq-AL"/>
        </w:rPr>
        <w:t>Opsioni 0 (status quo)</w:t>
      </w:r>
      <w:r w:rsidRPr="6F3B9A98">
        <w:rPr>
          <w:rFonts w:ascii="Times New Roman" w:hAnsi="Times New Roman"/>
          <w:sz w:val="24"/>
          <w:szCs w:val="24"/>
          <w:lang w:val="sq-AL"/>
        </w:rPr>
        <w:t xml:space="preserve">:  </w:t>
      </w:r>
      <w:bookmarkStart w:id="16" w:name="_Toc496701008"/>
      <w:bookmarkStart w:id="17" w:name="_Toc496701037"/>
      <w:bookmarkStart w:id="18" w:name="_Toc504318165"/>
      <w:r w:rsidR="003162AD">
        <w:rPr>
          <w:rStyle w:val="normaltextrun"/>
          <w:rFonts w:eastAsiaTheme="majorEastAsia"/>
          <w:color w:val="000000"/>
          <w:shd w:val="clear" w:color="auto" w:fill="FFFFFF"/>
        </w:rPr>
        <w:t xml:space="preserve">Nuk ndërhyhet me ndryshim apo politikë të re dhe vijohet me kuadrin ligjor ekzistues e konkretisht me zbatimin e ligjit </w:t>
      </w:r>
      <w:r w:rsidR="003162AD" w:rsidRPr="00152841">
        <w:rPr>
          <w:rFonts w:ascii="Times New Roman" w:hAnsi="Times New Roman"/>
          <w:sz w:val="24"/>
          <w:szCs w:val="24"/>
          <w:lang w:val="sq-AL"/>
        </w:rPr>
        <w:t>nr.8894, datë 14.05.2002 “Për Agjencinë e Trajtimit të Kredive”</w:t>
      </w:r>
      <w:r w:rsidR="003162AD">
        <w:rPr>
          <w:rFonts w:ascii="Times New Roman" w:hAnsi="Times New Roman"/>
          <w:sz w:val="24"/>
          <w:szCs w:val="24"/>
          <w:lang w:val="sq-AL"/>
        </w:rPr>
        <w:t xml:space="preserve">, i ndryshuar dhe ligjit </w:t>
      </w:r>
      <w:r w:rsidR="003162AD">
        <w:rPr>
          <w:rFonts w:ascii="Times New Roman" w:hAnsi="Times New Roman"/>
          <w:b/>
          <w:sz w:val="24"/>
          <w:szCs w:val="24"/>
          <w:lang w:val="sq-AL"/>
        </w:rPr>
        <w:t xml:space="preserve">nr. 8894, datë 14.05.2002 </w:t>
      </w:r>
      <w:r w:rsidR="003162AD" w:rsidRPr="00152841">
        <w:rPr>
          <w:rFonts w:ascii="Times New Roman" w:hAnsi="Times New Roman"/>
          <w:sz w:val="24"/>
          <w:szCs w:val="24"/>
          <w:lang w:val="sq-AL"/>
        </w:rPr>
        <w:t>“Për huamarrjen shtetërore, borxhin shtetëror dhe garancitë shtetërore të huasë në Republikën e Shqipërisë”, i ndryshuar</w:t>
      </w:r>
      <w:r w:rsidR="003162AD">
        <w:rPr>
          <w:rFonts w:ascii="Times New Roman" w:hAnsi="Times New Roman"/>
          <w:sz w:val="24"/>
          <w:szCs w:val="24"/>
          <w:lang w:val="sq-AL"/>
        </w:rPr>
        <w:t>.</w:t>
      </w:r>
    </w:p>
    <w:p w14:paraId="24E7262F" w14:textId="77777777" w:rsidR="009E7FF3" w:rsidRPr="00FD3F7D" w:rsidRDefault="6F3B9A98" w:rsidP="00591BDB">
      <w:pPr>
        <w:jc w:val="both"/>
        <w:rPr>
          <w:rFonts w:ascii="Times New Roman" w:hAnsi="Times New Roman"/>
          <w:sz w:val="24"/>
          <w:szCs w:val="24"/>
          <w:lang w:val="sq-AL"/>
        </w:rPr>
      </w:pPr>
      <w:bookmarkStart w:id="19" w:name="_Hlk131684381"/>
      <w:r w:rsidRPr="00FD3F7D">
        <w:rPr>
          <w:rFonts w:ascii="Times New Roman" w:hAnsi="Times New Roman"/>
          <w:sz w:val="24"/>
          <w:szCs w:val="24"/>
          <w:lang w:val="sq-AL"/>
        </w:rPr>
        <w:lastRenderedPageBreak/>
        <w:t xml:space="preserve">Ligji nr.8894, datë 14.05.2002 “Për Agjencinë e Trajtimit të Kredive” duke qënë një ligj i vjetër në kohë, i cili ka si qëllim krijimin e kuadrit ligjor për menaxhimin e skemave të veçanta të garancive shtetërore të huasë dhe </w:t>
      </w:r>
      <w:r w:rsidRPr="00FD3F7D">
        <w:rPr>
          <w:rFonts w:ascii="Times New Roman" w:hAnsi="Times New Roman"/>
          <w:sz w:val="24"/>
          <w:szCs w:val="24"/>
        </w:rPr>
        <w:t xml:space="preserve">të </w:t>
      </w:r>
      <w:r w:rsidRPr="00FD3F7D">
        <w:rPr>
          <w:rFonts w:ascii="Times New Roman" w:hAnsi="Times New Roman"/>
          <w:sz w:val="24"/>
          <w:szCs w:val="24"/>
          <w:lang w:val="sq-AL"/>
        </w:rPr>
        <w:t xml:space="preserve">kthimit </w:t>
      </w:r>
      <w:r w:rsidRPr="00FD3F7D">
        <w:rPr>
          <w:rFonts w:ascii="Times New Roman" w:hAnsi="Times New Roman"/>
          <w:sz w:val="24"/>
          <w:szCs w:val="24"/>
        </w:rPr>
        <w:t>të</w:t>
      </w:r>
      <w:r w:rsidRPr="00FD3F7D">
        <w:rPr>
          <w:rFonts w:ascii="Times New Roman" w:hAnsi="Times New Roman"/>
          <w:sz w:val="24"/>
          <w:szCs w:val="24"/>
          <w:lang w:val="sq-AL"/>
        </w:rPr>
        <w:t xml:space="preserve"> tyre, nuk parashikon rregullimin e procedurave të lindura nga emetimi i skemave të garancive shtetërore në përfititm të biznesit në situatën e Covid-19. Për shumë kohë, qysh nga momenti i krijimit të saj në vitin ’98, Agjencia e Trajtimit të Kredive ka operuar mbi bazën e një kuadri ligjor jo të plotë. </w:t>
      </w:r>
    </w:p>
    <w:p w14:paraId="5A350D15" w14:textId="77777777" w:rsidR="009E7FF3" w:rsidRPr="00FD3F7D" w:rsidRDefault="009E7FF3" w:rsidP="00591BDB">
      <w:pPr>
        <w:jc w:val="both"/>
        <w:rPr>
          <w:rFonts w:ascii="Times New Roman" w:hAnsi="Times New Roman"/>
          <w:sz w:val="24"/>
          <w:szCs w:val="24"/>
          <w:lang w:val="sq-AL"/>
        </w:rPr>
      </w:pPr>
    </w:p>
    <w:p w14:paraId="6DEF17EA" w14:textId="77777777" w:rsidR="00A479EB" w:rsidRPr="00FD3F7D" w:rsidRDefault="005955B7" w:rsidP="00A479EB">
      <w:pPr>
        <w:jc w:val="both"/>
        <w:rPr>
          <w:rFonts w:ascii="Times New Roman" w:hAnsi="Times New Roman"/>
          <w:sz w:val="24"/>
          <w:szCs w:val="24"/>
          <w:lang w:val="sq-AL"/>
        </w:rPr>
      </w:pPr>
      <w:bookmarkStart w:id="20" w:name="_Hlk131758080"/>
      <w:r w:rsidRPr="00FD3F7D">
        <w:rPr>
          <w:rFonts w:ascii="Times New Roman" w:hAnsi="Times New Roman"/>
          <w:sz w:val="24"/>
          <w:szCs w:val="24"/>
          <w:lang w:val="sq-AL"/>
        </w:rPr>
        <w:t>K</w:t>
      </w:r>
      <w:r w:rsidR="6F3B9A98" w:rsidRPr="00FD3F7D">
        <w:rPr>
          <w:rFonts w:ascii="Times New Roman" w:hAnsi="Times New Roman"/>
          <w:sz w:val="24"/>
          <w:szCs w:val="24"/>
          <w:lang w:val="sq-AL"/>
        </w:rPr>
        <w:t xml:space="preserve">uadri ligjor </w:t>
      </w:r>
      <w:r w:rsidR="004363F0" w:rsidRPr="00FD3F7D">
        <w:rPr>
          <w:rFonts w:ascii="Times New Roman" w:hAnsi="Times New Roman"/>
          <w:sz w:val="24"/>
          <w:szCs w:val="24"/>
          <w:lang w:val="sq-AL"/>
        </w:rPr>
        <w:t>aktual,</w:t>
      </w:r>
      <w:r w:rsidRPr="00FD3F7D">
        <w:rPr>
          <w:rFonts w:ascii="Times New Roman" w:hAnsi="Times New Roman"/>
          <w:sz w:val="24"/>
          <w:szCs w:val="24"/>
          <w:lang w:val="sq-AL"/>
        </w:rPr>
        <w:t xml:space="preserve"> nuk</w:t>
      </w:r>
      <w:r w:rsidR="004363F0" w:rsidRPr="00FD3F7D">
        <w:rPr>
          <w:rFonts w:ascii="Times New Roman" w:hAnsi="Times New Roman"/>
          <w:sz w:val="24"/>
          <w:szCs w:val="24"/>
          <w:lang w:val="sq-AL"/>
        </w:rPr>
        <w:t xml:space="preserve"> </w:t>
      </w:r>
      <w:r w:rsidRPr="00FD3F7D">
        <w:rPr>
          <w:rFonts w:ascii="Times New Roman" w:hAnsi="Times New Roman"/>
          <w:sz w:val="24"/>
          <w:szCs w:val="24"/>
          <w:lang w:val="sq-AL"/>
        </w:rPr>
        <w:t>mundëson rregullimet 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w:t>
      </w:r>
      <w:r w:rsidR="00A479EB" w:rsidRPr="00FD3F7D">
        <w:rPr>
          <w:rFonts w:ascii="Times New Roman" w:hAnsi="Times New Roman"/>
          <w:sz w:val="24"/>
          <w:szCs w:val="24"/>
          <w:lang w:val="sq-AL"/>
        </w:rPr>
        <w:t xml:space="preserve"> </w:t>
      </w:r>
    </w:p>
    <w:p w14:paraId="6A301FA9" w14:textId="0E8A5189" w:rsidR="00591BDB" w:rsidRPr="00FD3F7D" w:rsidRDefault="00A479EB" w:rsidP="00A479EB">
      <w:pPr>
        <w:jc w:val="both"/>
        <w:rPr>
          <w:rFonts w:ascii="Times New Roman" w:hAnsi="Times New Roman"/>
          <w:sz w:val="24"/>
          <w:szCs w:val="24"/>
        </w:rPr>
      </w:pPr>
      <w:r w:rsidRPr="00FD3F7D">
        <w:rPr>
          <w:rFonts w:ascii="Times New Roman" w:hAnsi="Times New Roman"/>
          <w:sz w:val="24"/>
          <w:szCs w:val="24"/>
          <w:lang w:val="sq-AL"/>
        </w:rPr>
        <w:t xml:space="preserve">Gjithashtu nuk siguron menaxhim efektiv të skemave të veçanta të garancive shtetërore të huase në një kohë të </w:t>
      </w:r>
      <w:r w:rsidR="00C7219B" w:rsidRPr="00FD3F7D">
        <w:rPr>
          <w:rFonts w:ascii="Times New Roman" w:hAnsi="Times New Roman"/>
          <w:sz w:val="24"/>
          <w:szCs w:val="24"/>
          <w:lang w:val="sq-AL"/>
        </w:rPr>
        <w:t>arsyeshme</w:t>
      </w:r>
      <w:r w:rsidRPr="00FD3F7D">
        <w:rPr>
          <w:rFonts w:ascii="Times New Roman" w:hAnsi="Times New Roman"/>
          <w:sz w:val="24"/>
          <w:szCs w:val="24"/>
          <w:lang w:val="sq-AL"/>
        </w:rPr>
        <w:t xml:space="preserve">, duke </w:t>
      </w:r>
      <w:r w:rsidR="00C7219B" w:rsidRPr="00FD3F7D">
        <w:rPr>
          <w:rFonts w:ascii="Times New Roman" w:hAnsi="Times New Roman"/>
          <w:sz w:val="24"/>
          <w:szCs w:val="24"/>
          <w:lang w:val="sq-AL"/>
        </w:rPr>
        <w:t>rezultuar në</w:t>
      </w:r>
      <w:r w:rsidRPr="00FD3F7D">
        <w:rPr>
          <w:rFonts w:ascii="Times New Roman" w:hAnsi="Times New Roman"/>
          <w:sz w:val="24"/>
          <w:szCs w:val="24"/>
          <w:lang w:val="sq-AL"/>
        </w:rPr>
        <w:t xml:space="preserve"> gjendjen aktuale ku afatet tejkalohen.</w:t>
      </w:r>
    </w:p>
    <w:bookmarkEnd w:id="19"/>
    <w:bookmarkEnd w:id="20"/>
    <w:p w14:paraId="533B8344" w14:textId="56E9FCB1" w:rsidR="00F46AEE" w:rsidRDefault="00F46AEE" w:rsidP="00591BDB">
      <w:pPr>
        <w:spacing w:line="276" w:lineRule="auto"/>
        <w:jc w:val="both"/>
        <w:rPr>
          <w:sz w:val="24"/>
          <w:szCs w:val="24"/>
        </w:rPr>
      </w:pPr>
    </w:p>
    <w:p w14:paraId="698FF401" w14:textId="77777777" w:rsidR="00A479EB" w:rsidRPr="00596295" w:rsidRDefault="00A479EB" w:rsidP="00591BDB">
      <w:pPr>
        <w:spacing w:line="276" w:lineRule="auto"/>
        <w:jc w:val="both"/>
        <w:rPr>
          <w:sz w:val="24"/>
          <w:szCs w:val="24"/>
        </w:rPr>
      </w:pPr>
    </w:p>
    <w:p w14:paraId="2D27AC42" w14:textId="022D82E7" w:rsidR="00411E88" w:rsidRPr="00596295" w:rsidRDefault="6F3B9A98" w:rsidP="00411E88">
      <w:pPr>
        <w:jc w:val="both"/>
        <w:rPr>
          <w:rFonts w:ascii="Times New Roman" w:hAnsi="Times New Roman"/>
          <w:sz w:val="24"/>
          <w:szCs w:val="24"/>
        </w:rPr>
      </w:pPr>
      <w:bookmarkStart w:id="21" w:name="_Hlk122523837"/>
      <w:r w:rsidRPr="6F3B9A98">
        <w:rPr>
          <w:rFonts w:ascii="Times New Roman" w:hAnsi="Times New Roman"/>
          <w:b/>
          <w:bCs/>
          <w:sz w:val="24"/>
          <w:szCs w:val="24"/>
        </w:rPr>
        <w:t>Opsioni 1</w:t>
      </w:r>
      <w:r w:rsidR="00D572BA">
        <w:rPr>
          <w:rFonts w:ascii="Times New Roman" w:hAnsi="Times New Roman"/>
          <w:b/>
          <w:bCs/>
          <w:sz w:val="24"/>
          <w:szCs w:val="24"/>
        </w:rPr>
        <w:t>– Ndryshimi i ligjit ekzistues nr. 9665, dat</w:t>
      </w:r>
      <w:r w:rsidR="003162AD">
        <w:rPr>
          <w:rFonts w:ascii="Times New Roman" w:hAnsi="Times New Roman"/>
          <w:b/>
          <w:bCs/>
          <w:sz w:val="24"/>
          <w:szCs w:val="24"/>
        </w:rPr>
        <w:t>ë</w:t>
      </w:r>
      <w:r w:rsidR="00D572BA">
        <w:rPr>
          <w:rFonts w:ascii="Times New Roman" w:hAnsi="Times New Roman"/>
          <w:b/>
          <w:bCs/>
          <w:sz w:val="24"/>
          <w:szCs w:val="24"/>
        </w:rPr>
        <w:t xml:space="preserve"> 18.12.2006 </w:t>
      </w:r>
      <w:r w:rsidR="00D572BA" w:rsidRPr="0055682E">
        <w:rPr>
          <w:rFonts w:ascii="Times New Roman" w:hAnsi="Times New Roman"/>
          <w:sz w:val="24"/>
          <w:szCs w:val="24"/>
          <w:lang w:val="sq-AL"/>
        </w:rPr>
        <w:t>“Për huamarrjen shtetërore, borxhin shtetëror dhe garancitë shtetërore të huasë në Republikën e Shqipërisë”, i ndryshuar</w:t>
      </w:r>
      <w:r w:rsidR="00D572BA">
        <w:rPr>
          <w:rFonts w:ascii="Times New Roman" w:hAnsi="Times New Roman"/>
          <w:b/>
          <w:bCs/>
          <w:sz w:val="24"/>
          <w:szCs w:val="24"/>
        </w:rPr>
        <w:t>.</w:t>
      </w:r>
      <w:r w:rsidRPr="6F3B9A98">
        <w:rPr>
          <w:rFonts w:ascii="Times New Roman" w:hAnsi="Times New Roman"/>
          <w:b/>
          <w:bCs/>
          <w:sz w:val="24"/>
          <w:szCs w:val="24"/>
        </w:rPr>
        <w:t>:</w:t>
      </w:r>
      <w:r w:rsidRPr="6F3B9A98">
        <w:rPr>
          <w:rFonts w:ascii="Times New Roman" w:hAnsi="Times New Roman"/>
          <w:sz w:val="24"/>
          <w:szCs w:val="24"/>
        </w:rPr>
        <w:t xml:space="preserve"> </w:t>
      </w:r>
    </w:p>
    <w:p w14:paraId="2DFDDDF3" w14:textId="77777777" w:rsidR="00D572BA" w:rsidRDefault="00D572BA" w:rsidP="00C203BB">
      <w:pPr>
        <w:spacing w:line="276" w:lineRule="auto"/>
        <w:jc w:val="both"/>
        <w:rPr>
          <w:rFonts w:ascii="Times New Roman" w:hAnsi="Times New Roman"/>
          <w:sz w:val="24"/>
          <w:szCs w:val="24"/>
          <w:lang w:val="sq-AL"/>
        </w:rPr>
      </w:pPr>
    </w:p>
    <w:p w14:paraId="044D4AEA" w14:textId="06AA8564" w:rsidR="0055682E" w:rsidRDefault="00ED1644" w:rsidP="00C203BB">
      <w:pPr>
        <w:spacing w:line="276" w:lineRule="auto"/>
        <w:jc w:val="both"/>
        <w:rPr>
          <w:rFonts w:ascii="Times New Roman" w:hAnsi="Times New Roman"/>
          <w:sz w:val="24"/>
          <w:szCs w:val="24"/>
          <w:lang w:val="sq-AL"/>
        </w:rPr>
      </w:pPr>
      <w:r>
        <w:rPr>
          <w:rFonts w:ascii="Times New Roman" w:hAnsi="Times New Roman"/>
          <w:sz w:val="24"/>
          <w:szCs w:val="24"/>
          <w:lang w:val="sq-AL"/>
        </w:rPr>
        <w:t>Ligji ekzistues</w:t>
      </w:r>
      <w:r w:rsidR="6F3B9A98" w:rsidRPr="6F3B9A98">
        <w:rPr>
          <w:rFonts w:ascii="Times New Roman" w:hAnsi="Times New Roman"/>
          <w:sz w:val="24"/>
          <w:szCs w:val="24"/>
          <w:lang w:val="sq-AL"/>
        </w:rPr>
        <w:t>,</w:t>
      </w:r>
      <w:r w:rsidR="00904139">
        <w:rPr>
          <w:rFonts w:ascii="Times New Roman" w:hAnsi="Times New Roman"/>
          <w:sz w:val="24"/>
          <w:szCs w:val="24"/>
          <w:lang w:val="sq-AL"/>
        </w:rPr>
        <w:t xml:space="preserve"> </w:t>
      </w:r>
      <w:r w:rsidR="00E521DA" w:rsidRPr="0055682E">
        <w:rPr>
          <w:rFonts w:ascii="Times New Roman" w:hAnsi="Times New Roman"/>
          <w:sz w:val="24"/>
          <w:szCs w:val="24"/>
          <w:lang w:val="sq-AL"/>
        </w:rPr>
        <w:t>nr. 9665, datë 18.12.2006 “Për huamarrjen shtetërore, borxhin shtetëror dhe garancitë shtetërore të huasë në Republikën e Shqipërisë”, i ndryshuar</w:t>
      </w:r>
      <w:r w:rsidR="00921862">
        <w:rPr>
          <w:rFonts w:ascii="Times New Roman" w:hAnsi="Times New Roman"/>
          <w:sz w:val="24"/>
          <w:szCs w:val="24"/>
          <w:lang w:val="sq-AL"/>
        </w:rPr>
        <w:t>,</w:t>
      </w:r>
      <w:r w:rsidR="6F3B9A98" w:rsidRPr="6F3B9A98">
        <w:rPr>
          <w:rFonts w:ascii="Times New Roman" w:hAnsi="Times New Roman"/>
          <w:sz w:val="24"/>
          <w:szCs w:val="24"/>
          <w:lang w:val="sq-AL"/>
        </w:rPr>
        <w:t xml:space="preserve"> duke qënë një ligj i vjetër në kohë</w:t>
      </w:r>
      <w:r w:rsidR="00161D93">
        <w:rPr>
          <w:rFonts w:ascii="Times New Roman" w:hAnsi="Times New Roman"/>
          <w:sz w:val="24"/>
          <w:szCs w:val="24"/>
          <w:lang w:val="sq-AL"/>
        </w:rPr>
        <w:t>,</w:t>
      </w:r>
      <w:r w:rsidR="6F3B9A98" w:rsidRPr="6F3B9A98">
        <w:rPr>
          <w:rFonts w:ascii="Times New Roman" w:hAnsi="Times New Roman"/>
          <w:sz w:val="24"/>
          <w:szCs w:val="24"/>
          <w:lang w:val="sq-AL"/>
        </w:rPr>
        <w:t xml:space="preserve"> </w:t>
      </w:r>
      <w:r w:rsidR="00161D93">
        <w:rPr>
          <w:rFonts w:ascii="Times New Roman" w:hAnsi="Times New Roman"/>
          <w:sz w:val="24"/>
          <w:szCs w:val="24"/>
          <w:lang w:val="sq-AL"/>
        </w:rPr>
        <w:t xml:space="preserve">nuk kryen një rregullim efikas </w:t>
      </w:r>
      <w:r w:rsidR="6F3B9A98" w:rsidRPr="6F3B9A98">
        <w:rPr>
          <w:rFonts w:ascii="Times New Roman" w:hAnsi="Times New Roman"/>
          <w:sz w:val="24"/>
          <w:szCs w:val="24"/>
          <w:lang w:val="sq-AL"/>
        </w:rPr>
        <w:t>për trajtimin e kredive të këqija, por</w:t>
      </w:r>
      <w:r w:rsidR="00161D93">
        <w:rPr>
          <w:rFonts w:ascii="Times New Roman" w:hAnsi="Times New Roman"/>
          <w:sz w:val="24"/>
          <w:szCs w:val="24"/>
          <w:lang w:val="sq-AL"/>
        </w:rPr>
        <w:t xml:space="preserve"> edhe</w:t>
      </w:r>
      <w:r w:rsidR="6F3B9A98" w:rsidRPr="6F3B9A98">
        <w:rPr>
          <w:rFonts w:ascii="Times New Roman" w:hAnsi="Times New Roman"/>
          <w:sz w:val="24"/>
          <w:szCs w:val="24"/>
          <w:lang w:val="sq-AL"/>
        </w:rPr>
        <w:t xml:space="preserve"> për</w:t>
      </w:r>
      <w:r w:rsidR="00742D58" w:rsidRPr="00742D58">
        <w:rPr>
          <w:rFonts w:ascii="Times New Roman" w:hAnsi="Times New Roman"/>
          <w:sz w:val="24"/>
          <w:szCs w:val="24"/>
          <w:lang w:val="sq-AL"/>
        </w:rPr>
        <w:t xml:space="preserve"> skemat e vecanta të garancisë</w:t>
      </w:r>
      <w:r w:rsidR="6F3B9A98" w:rsidRPr="6F3B9A98">
        <w:rPr>
          <w:rFonts w:ascii="Times New Roman" w:hAnsi="Times New Roman"/>
          <w:sz w:val="24"/>
          <w:szCs w:val="24"/>
          <w:lang w:val="sq-AL"/>
        </w:rPr>
        <w:t>. Konkretisht</w:t>
      </w:r>
      <w:r w:rsidR="008300FD">
        <w:rPr>
          <w:rFonts w:ascii="Times New Roman" w:hAnsi="Times New Roman"/>
          <w:sz w:val="24"/>
          <w:szCs w:val="24"/>
          <w:lang w:val="sq-AL"/>
        </w:rPr>
        <w:t>,</w:t>
      </w:r>
      <w:r w:rsidR="6F3B9A98" w:rsidRPr="6F3B9A98">
        <w:rPr>
          <w:rFonts w:ascii="Times New Roman" w:hAnsi="Times New Roman"/>
          <w:sz w:val="24"/>
          <w:szCs w:val="24"/>
          <w:lang w:val="sq-AL"/>
        </w:rPr>
        <w:t xml:space="preserve"> nenet e ligjit sikundër është aktualisht janë organi</w:t>
      </w:r>
      <w:r w:rsidR="008300FD">
        <w:rPr>
          <w:rFonts w:ascii="Times New Roman" w:hAnsi="Times New Roman"/>
          <w:sz w:val="24"/>
          <w:szCs w:val="24"/>
          <w:lang w:val="sq-AL"/>
        </w:rPr>
        <w:t>zuar jo konform</w:t>
      </w:r>
      <w:r w:rsidR="6F3B9A98" w:rsidRPr="6F3B9A98">
        <w:rPr>
          <w:rFonts w:ascii="Times New Roman" w:hAnsi="Times New Roman"/>
          <w:sz w:val="24"/>
          <w:szCs w:val="24"/>
          <w:lang w:val="sq-AL"/>
        </w:rPr>
        <w:t xml:space="preserve"> rregulla</w:t>
      </w:r>
      <w:r w:rsidR="008300FD">
        <w:rPr>
          <w:rFonts w:ascii="Times New Roman" w:hAnsi="Times New Roman"/>
          <w:sz w:val="24"/>
          <w:szCs w:val="24"/>
          <w:lang w:val="sq-AL"/>
        </w:rPr>
        <w:t>ve</w:t>
      </w:r>
      <w:r w:rsidR="6F3B9A98" w:rsidRPr="6F3B9A98">
        <w:rPr>
          <w:rFonts w:ascii="Times New Roman" w:hAnsi="Times New Roman"/>
          <w:sz w:val="24"/>
          <w:szCs w:val="24"/>
          <w:lang w:val="sq-AL"/>
        </w:rPr>
        <w:t xml:space="preserve"> </w:t>
      </w:r>
      <w:r w:rsidR="008300FD">
        <w:rPr>
          <w:rFonts w:ascii="Times New Roman" w:hAnsi="Times New Roman"/>
          <w:sz w:val="24"/>
          <w:szCs w:val="24"/>
          <w:lang w:val="sq-AL"/>
        </w:rPr>
        <w:t>të</w:t>
      </w:r>
      <w:r w:rsidR="6F3B9A98" w:rsidRPr="6F3B9A98">
        <w:rPr>
          <w:rFonts w:ascii="Times New Roman" w:hAnsi="Times New Roman"/>
          <w:sz w:val="24"/>
          <w:szCs w:val="24"/>
          <w:lang w:val="sq-AL"/>
        </w:rPr>
        <w:t xml:space="preserve"> teknikës legjislative</w:t>
      </w:r>
      <w:r w:rsidR="008300FD">
        <w:rPr>
          <w:rFonts w:ascii="Times New Roman" w:hAnsi="Times New Roman"/>
          <w:sz w:val="24"/>
          <w:szCs w:val="24"/>
          <w:lang w:val="sq-AL"/>
        </w:rPr>
        <w:t>, duke</w:t>
      </w:r>
      <w:r w:rsidR="6F3B9A98" w:rsidRPr="6F3B9A98">
        <w:rPr>
          <w:rFonts w:ascii="Times New Roman" w:hAnsi="Times New Roman"/>
          <w:sz w:val="24"/>
          <w:szCs w:val="24"/>
          <w:lang w:val="sq-AL"/>
        </w:rPr>
        <w:t xml:space="preserve"> krij</w:t>
      </w:r>
      <w:r w:rsidR="008300FD">
        <w:rPr>
          <w:rFonts w:ascii="Times New Roman" w:hAnsi="Times New Roman"/>
          <w:sz w:val="24"/>
          <w:szCs w:val="24"/>
          <w:lang w:val="sq-AL"/>
        </w:rPr>
        <w:t>uar</w:t>
      </w:r>
      <w:r w:rsidR="6F3B9A98" w:rsidRPr="6F3B9A98">
        <w:rPr>
          <w:rFonts w:ascii="Times New Roman" w:hAnsi="Times New Roman"/>
          <w:sz w:val="24"/>
          <w:szCs w:val="24"/>
          <w:lang w:val="sq-AL"/>
        </w:rPr>
        <w:t xml:space="preserve"> probleme gjatë zbatimit të ligjit.</w:t>
      </w:r>
      <w:r w:rsidR="00637FA2">
        <w:rPr>
          <w:rFonts w:ascii="Times New Roman" w:hAnsi="Times New Roman"/>
          <w:sz w:val="24"/>
          <w:szCs w:val="24"/>
          <w:lang w:val="sq-AL"/>
        </w:rPr>
        <w:t xml:space="preserve"> </w:t>
      </w:r>
    </w:p>
    <w:p w14:paraId="49C3DA4F" w14:textId="77777777" w:rsidR="0055682E" w:rsidRDefault="0055682E" w:rsidP="0055682E">
      <w:pPr>
        <w:spacing w:line="276" w:lineRule="auto"/>
        <w:jc w:val="both"/>
        <w:rPr>
          <w:rFonts w:ascii="Times New Roman" w:hAnsi="Times New Roman"/>
          <w:sz w:val="24"/>
          <w:szCs w:val="24"/>
          <w:lang w:val="sq-AL"/>
        </w:rPr>
      </w:pPr>
      <w:r w:rsidRPr="0055682E">
        <w:rPr>
          <w:rFonts w:ascii="Times New Roman" w:hAnsi="Times New Roman"/>
          <w:sz w:val="24"/>
          <w:szCs w:val="24"/>
          <w:lang w:val="sq-AL"/>
        </w:rPr>
        <w:t xml:space="preserve">Në ligjin nr. 9665, datë 18.12.2006 “Për huamarrjen shtetërore, borxhin shtetëror dhe garancitë shtetërore të huasë në Republikën e Shqipërisë”, i ndryshuar, janë bërë një sërë ndryshimesh, të cilat në radhë të parë akomodojnë rregullimet e nevojshme për ti kaluar në ndjekje AMGKP-së një sërë funksionesh për menaxhimin e skemave të Garancive Sovrane, këto të lëshuara për ti ardhur në ndihmë biznesit në situatën e Covid 19, apo çdo skemë të ngjashme që mund të jetë e nevojshme në të ardhmen të miratohet. </w:t>
      </w:r>
    </w:p>
    <w:bookmarkEnd w:id="21"/>
    <w:p w14:paraId="1AD9D542" w14:textId="2DC3E2B5" w:rsidR="00C203BB" w:rsidRPr="00596295" w:rsidRDefault="000B091A" w:rsidP="00411E88">
      <w:pPr>
        <w:jc w:val="both"/>
        <w:rPr>
          <w:rFonts w:ascii="Times New Roman" w:hAnsi="Times New Roman"/>
          <w:sz w:val="24"/>
          <w:szCs w:val="24"/>
        </w:rPr>
      </w:pPr>
      <w:r>
        <w:rPr>
          <w:rFonts w:ascii="Times New Roman" w:hAnsi="Times New Roman"/>
          <w:sz w:val="24"/>
          <w:szCs w:val="24"/>
        </w:rPr>
        <w:t>Duke qen</w:t>
      </w:r>
      <w:r w:rsidR="00632203">
        <w:rPr>
          <w:rFonts w:ascii="Times New Roman" w:hAnsi="Times New Roman"/>
          <w:sz w:val="24"/>
          <w:szCs w:val="24"/>
        </w:rPr>
        <w:t>ë</w:t>
      </w:r>
      <w:r>
        <w:rPr>
          <w:rFonts w:ascii="Times New Roman" w:hAnsi="Times New Roman"/>
          <w:sz w:val="24"/>
          <w:szCs w:val="24"/>
        </w:rPr>
        <w:t xml:space="preserve"> se ligji aktual </w:t>
      </w:r>
      <w:r w:rsidR="00632203">
        <w:rPr>
          <w:rFonts w:ascii="Times New Roman" w:hAnsi="Times New Roman"/>
          <w:sz w:val="24"/>
          <w:szCs w:val="24"/>
        </w:rPr>
        <w:t>ë</w:t>
      </w:r>
      <w:r>
        <w:rPr>
          <w:rFonts w:ascii="Times New Roman" w:hAnsi="Times New Roman"/>
          <w:sz w:val="24"/>
          <w:szCs w:val="24"/>
        </w:rPr>
        <w:t>sht</w:t>
      </w:r>
      <w:r w:rsidR="00632203">
        <w:rPr>
          <w:rFonts w:ascii="Times New Roman" w:hAnsi="Times New Roman"/>
          <w:sz w:val="24"/>
          <w:szCs w:val="24"/>
        </w:rPr>
        <w:t>ë</w:t>
      </w:r>
      <w:r>
        <w:rPr>
          <w:rFonts w:ascii="Times New Roman" w:hAnsi="Times New Roman"/>
          <w:sz w:val="24"/>
          <w:szCs w:val="24"/>
        </w:rPr>
        <w:t xml:space="preserve"> nj</w:t>
      </w:r>
      <w:r w:rsidR="00632203">
        <w:rPr>
          <w:rFonts w:ascii="Times New Roman" w:hAnsi="Times New Roman"/>
          <w:sz w:val="24"/>
          <w:szCs w:val="24"/>
        </w:rPr>
        <w:t>ë</w:t>
      </w:r>
      <w:r>
        <w:rPr>
          <w:rFonts w:ascii="Times New Roman" w:hAnsi="Times New Roman"/>
          <w:sz w:val="24"/>
          <w:szCs w:val="24"/>
        </w:rPr>
        <w:t xml:space="preserve"> ligj relativisht i vjet</w:t>
      </w:r>
      <w:r w:rsidR="00632203">
        <w:rPr>
          <w:rFonts w:ascii="Times New Roman" w:hAnsi="Times New Roman"/>
          <w:sz w:val="24"/>
          <w:szCs w:val="24"/>
        </w:rPr>
        <w:t>ë</w:t>
      </w:r>
      <w:r>
        <w:rPr>
          <w:rFonts w:ascii="Times New Roman" w:hAnsi="Times New Roman"/>
          <w:sz w:val="24"/>
          <w:szCs w:val="24"/>
        </w:rPr>
        <w:t>r, paraqet shum</w:t>
      </w:r>
      <w:r w:rsidR="00632203">
        <w:rPr>
          <w:rFonts w:ascii="Times New Roman" w:hAnsi="Times New Roman"/>
          <w:sz w:val="24"/>
          <w:szCs w:val="24"/>
        </w:rPr>
        <w:t>ë</w:t>
      </w:r>
      <w:r>
        <w:rPr>
          <w:rFonts w:ascii="Times New Roman" w:hAnsi="Times New Roman"/>
          <w:sz w:val="24"/>
          <w:szCs w:val="24"/>
        </w:rPr>
        <w:t xml:space="preserve"> mang</w:t>
      </w:r>
      <w:r w:rsidR="00632203">
        <w:rPr>
          <w:rFonts w:ascii="Times New Roman" w:hAnsi="Times New Roman"/>
          <w:sz w:val="24"/>
          <w:szCs w:val="24"/>
        </w:rPr>
        <w:t>ë</w:t>
      </w:r>
      <w:r>
        <w:rPr>
          <w:rFonts w:ascii="Times New Roman" w:hAnsi="Times New Roman"/>
          <w:sz w:val="24"/>
          <w:szCs w:val="24"/>
        </w:rPr>
        <w:t>si dhe nuk trajton shum</w:t>
      </w:r>
      <w:r w:rsidR="00632203">
        <w:rPr>
          <w:rFonts w:ascii="Times New Roman" w:hAnsi="Times New Roman"/>
          <w:sz w:val="24"/>
          <w:szCs w:val="24"/>
        </w:rPr>
        <w:t>ë</w:t>
      </w:r>
      <w:r>
        <w:rPr>
          <w:rFonts w:ascii="Times New Roman" w:hAnsi="Times New Roman"/>
          <w:sz w:val="24"/>
          <w:szCs w:val="24"/>
        </w:rPr>
        <w:t xml:space="preserve"> prej ç</w:t>
      </w:r>
      <w:r w:rsidR="00632203">
        <w:rPr>
          <w:rFonts w:ascii="Times New Roman" w:hAnsi="Times New Roman"/>
          <w:sz w:val="24"/>
          <w:szCs w:val="24"/>
        </w:rPr>
        <w:t>ë</w:t>
      </w:r>
      <w:r>
        <w:rPr>
          <w:rFonts w:ascii="Times New Roman" w:hAnsi="Times New Roman"/>
          <w:sz w:val="24"/>
          <w:szCs w:val="24"/>
        </w:rPr>
        <w:t>shtjeve aktuale t</w:t>
      </w:r>
      <w:r w:rsidR="00632203">
        <w:rPr>
          <w:rFonts w:ascii="Times New Roman" w:hAnsi="Times New Roman"/>
          <w:sz w:val="24"/>
          <w:szCs w:val="24"/>
        </w:rPr>
        <w:t>ë</w:t>
      </w:r>
      <w:r>
        <w:rPr>
          <w:rFonts w:ascii="Times New Roman" w:hAnsi="Times New Roman"/>
          <w:sz w:val="24"/>
          <w:szCs w:val="24"/>
        </w:rPr>
        <w:t xml:space="preserve"> menaxhimit t</w:t>
      </w:r>
      <w:r w:rsidR="00632203">
        <w:rPr>
          <w:rFonts w:ascii="Times New Roman" w:hAnsi="Times New Roman"/>
          <w:sz w:val="24"/>
          <w:szCs w:val="24"/>
        </w:rPr>
        <w:t>ë</w:t>
      </w:r>
      <w:r>
        <w:rPr>
          <w:rFonts w:ascii="Times New Roman" w:hAnsi="Times New Roman"/>
          <w:sz w:val="24"/>
          <w:szCs w:val="24"/>
        </w:rPr>
        <w:t xml:space="preserve"> huave, si dhe duke qen</w:t>
      </w:r>
      <w:r w:rsidR="00632203">
        <w:rPr>
          <w:rFonts w:ascii="Times New Roman" w:hAnsi="Times New Roman"/>
          <w:sz w:val="24"/>
          <w:szCs w:val="24"/>
        </w:rPr>
        <w:t>ë</w:t>
      </w:r>
      <w:r>
        <w:rPr>
          <w:rFonts w:ascii="Times New Roman" w:hAnsi="Times New Roman"/>
          <w:sz w:val="24"/>
          <w:szCs w:val="24"/>
        </w:rPr>
        <w:t xml:space="preserve"> se ndryshimet e propozuara do t</w:t>
      </w:r>
      <w:r w:rsidR="00632203">
        <w:rPr>
          <w:rFonts w:ascii="Times New Roman" w:hAnsi="Times New Roman"/>
          <w:sz w:val="24"/>
          <w:szCs w:val="24"/>
        </w:rPr>
        <w:t>ë</w:t>
      </w:r>
      <w:r>
        <w:rPr>
          <w:rFonts w:ascii="Times New Roman" w:hAnsi="Times New Roman"/>
          <w:sz w:val="24"/>
          <w:szCs w:val="24"/>
        </w:rPr>
        <w:t xml:space="preserve"> prekin m</w:t>
      </w:r>
      <w:r w:rsidR="00632203">
        <w:rPr>
          <w:rFonts w:ascii="Times New Roman" w:hAnsi="Times New Roman"/>
          <w:sz w:val="24"/>
          <w:szCs w:val="24"/>
        </w:rPr>
        <w:t>ë</w:t>
      </w:r>
      <w:r>
        <w:rPr>
          <w:rFonts w:ascii="Times New Roman" w:hAnsi="Times New Roman"/>
          <w:sz w:val="24"/>
          <w:szCs w:val="24"/>
        </w:rPr>
        <w:t xml:space="preserve"> shum</w:t>
      </w:r>
      <w:r w:rsidR="00632203">
        <w:rPr>
          <w:rFonts w:ascii="Times New Roman" w:hAnsi="Times New Roman"/>
          <w:sz w:val="24"/>
          <w:szCs w:val="24"/>
        </w:rPr>
        <w:t>ë</w:t>
      </w:r>
      <w:r>
        <w:rPr>
          <w:rFonts w:ascii="Times New Roman" w:hAnsi="Times New Roman"/>
          <w:sz w:val="24"/>
          <w:szCs w:val="24"/>
        </w:rPr>
        <w:t xml:space="preserve"> se 50% t</w:t>
      </w:r>
      <w:r w:rsidR="00632203">
        <w:rPr>
          <w:rFonts w:ascii="Times New Roman" w:hAnsi="Times New Roman"/>
          <w:sz w:val="24"/>
          <w:szCs w:val="24"/>
        </w:rPr>
        <w:t>ë</w:t>
      </w:r>
      <w:r>
        <w:rPr>
          <w:rFonts w:ascii="Times New Roman" w:hAnsi="Times New Roman"/>
          <w:sz w:val="24"/>
          <w:szCs w:val="24"/>
        </w:rPr>
        <w:t xml:space="preserve"> p</w:t>
      </w:r>
      <w:r w:rsidR="00632203">
        <w:rPr>
          <w:rFonts w:ascii="Times New Roman" w:hAnsi="Times New Roman"/>
          <w:sz w:val="24"/>
          <w:szCs w:val="24"/>
        </w:rPr>
        <w:t>ë</w:t>
      </w:r>
      <w:r>
        <w:rPr>
          <w:rFonts w:ascii="Times New Roman" w:hAnsi="Times New Roman"/>
          <w:sz w:val="24"/>
          <w:szCs w:val="24"/>
        </w:rPr>
        <w:t>rmbajtjes s</w:t>
      </w:r>
      <w:r w:rsidR="00632203">
        <w:rPr>
          <w:rFonts w:ascii="Times New Roman" w:hAnsi="Times New Roman"/>
          <w:sz w:val="24"/>
          <w:szCs w:val="24"/>
        </w:rPr>
        <w:t>ë</w:t>
      </w:r>
      <w:r>
        <w:rPr>
          <w:rFonts w:ascii="Times New Roman" w:hAnsi="Times New Roman"/>
          <w:sz w:val="24"/>
          <w:szCs w:val="24"/>
        </w:rPr>
        <w:t xml:space="preserve"> ligjit aktual, n</w:t>
      </w:r>
      <w:r w:rsidR="00632203">
        <w:rPr>
          <w:rFonts w:ascii="Times New Roman" w:hAnsi="Times New Roman"/>
          <w:sz w:val="24"/>
          <w:szCs w:val="24"/>
        </w:rPr>
        <w:t>ë</w:t>
      </w:r>
      <w:r>
        <w:rPr>
          <w:rFonts w:ascii="Times New Roman" w:hAnsi="Times New Roman"/>
          <w:sz w:val="24"/>
          <w:szCs w:val="24"/>
        </w:rPr>
        <w:t xml:space="preserve"> kuad</w:t>
      </w:r>
      <w:r w:rsidR="00632203">
        <w:rPr>
          <w:rFonts w:ascii="Times New Roman" w:hAnsi="Times New Roman"/>
          <w:sz w:val="24"/>
          <w:szCs w:val="24"/>
        </w:rPr>
        <w:t>ë</w:t>
      </w:r>
      <w:r>
        <w:rPr>
          <w:rFonts w:ascii="Times New Roman" w:hAnsi="Times New Roman"/>
          <w:sz w:val="24"/>
          <w:szCs w:val="24"/>
        </w:rPr>
        <w:t>r edhe t</w:t>
      </w:r>
      <w:r w:rsidR="00632203">
        <w:rPr>
          <w:rFonts w:ascii="Times New Roman" w:hAnsi="Times New Roman"/>
          <w:sz w:val="24"/>
          <w:szCs w:val="24"/>
        </w:rPr>
        <w:t>ë</w:t>
      </w:r>
      <w:r>
        <w:rPr>
          <w:rFonts w:ascii="Times New Roman" w:hAnsi="Times New Roman"/>
          <w:sz w:val="24"/>
          <w:szCs w:val="24"/>
        </w:rPr>
        <w:t xml:space="preserve"> teknik</w:t>
      </w:r>
      <w:r w:rsidR="00632203">
        <w:rPr>
          <w:rFonts w:ascii="Times New Roman" w:hAnsi="Times New Roman"/>
          <w:sz w:val="24"/>
          <w:szCs w:val="24"/>
        </w:rPr>
        <w:t>ë</w:t>
      </w:r>
      <w:r>
        <w:rPr>
          <w:rFonts w:ascii="Times New Roman" w:hAnsi="Times New Roman"/>
          <w:sz w:val="24"/>
          <w:szCs w:val="24"/>
        </w:rPr>
        <w:t>s legjislative</w:t>
      </w:r>
      <w:r w:rsidR="00632203">
        <w:rPr>
          <w:rFonts w:ascii="Times New Roman" w:hAnsi="Times New Roman"/>
          <w:sz w:val="24"/>
          <w:szCs w:val="24"/>
        </w:rPr>
        <w:t>,</w:t>
      </w:r>
      <w:r>
        <w:rPr>
          <w:rFonts w:ascii="Times New Roman" w:hAnsi="Times New Roman"/>
          <w:sz w:val="24"/>
          <w:szCs w:val="24"/>
        </w:rPr>
        <w:t xml:space="preserve"> vler</w:t>
      </w:r>
      <w:r w:rsidR="00632203">
        <w:rPr>
          <w:rFonts w:ascii="Times New Roman" w:hAnsi="Times New Roman"/>
          <w:sz w:val="24"/>
          <w:szCs w:val="24"/>
        </w:rPr>
        <w:t>ë</w:t>
      </w:r>
      <w:r>
        <w:rPr>
          <w:rFonts w:ascii="Times New Roman" w:hAnsi="Times New Roman"/>
          <w:sz w:val="24"/>
          <w:szCs w:val="24"/>
        </w:rPr>
        <w:t>sohet si m</w:t>
      </w:r>
      <w:r w:rsidR="00632203">
        <w:rPr>
          <w:rFonts w:ascii="Times New Roman" w:hAnsi="Times New Roman"/>
          <w:sz w:val="24"/>
          <w:szCs w:val="24"/>
        </w:rPr>
        <w:t>ë</w:t>
      </w:r>
      <w:r>
        <w:rPr>
          <w:rFonts w:ascii="Times New Roman" w:hAnsi="Times New Roman"/>
          <w:sz w:val="24"/>
          <w:szCs w:val="24"/>
        </w:rPr>
        <w:t xml:space="preserve"> i p</w:t>
      </w:r>
      <w:r w:rsidR="00632203">
        <w:rPr>
          <w:rFonts w:ascii="Times New Roman" w:hAnsi="Times New Roman"/>
          <w:sz w:val="24"/>
          <w:szCs w:val="24"/>
        </w:rPr>
        <w:t>ë</w:t>
      </w:r>
      <w:r>
        <w:rPr>
          <w:rFonts w:ascii="Times New Roman" w:hAnsi="Times New Roman"/>
          <w:sz w:val="24"/>
          <w:szCs w:val="24"/>
        </w:rPr>
        <w:t>rshtatsh</w:t>
      </w:r>
      <w:r w:rsidR="00632203">
        <w:rPr>
          <w:rFonts w:ascii="Times New Roman" w:hAnsi="Times New Roman"/>
          <w:sz w:val="24"/>
          <w:szCs w:val="24"/>
        </w:rPr>
        <w:t>ë</w:t>
      </w:r>
      <w:r>
        <w:rPr>
          <w:rFonts w:ascii="Times New Roman" w:hAnsi="Times New Roman"/>
          <w:sz w:val="24"/>
          <w:szCs w:val="24"/>
        </w:rPr>
        <w:t>m hartimi i nj</w:t>
      </w:r>
      <w:r w:rsidR="00632203">
        <w:rPr>
          <w:rFonts w:ascii="Times New Roman" w:hAnsi="Times New Roman"/>
          <w:sz w:val="24"/>
          <w:szCs w:val="24"/>
        </w:rPr>
        <w:t>ë</w:t>
      </w:r>
      <w:r>
        <w:rPr>
          <w:rFonts w:ascii="Times New Roman" w:hAnsi="Times New Roman"/>
          <w:sz w:val="24"/>
          <w:szCs w:val="24"/>
        </w:rPr>
        <w:t xml:space="preserve"> ligji t</w:t>
      </w:r>
      <w:r w:rsidR="00632203">
        <w:rPr>
          <w:rFonts w:ascii="Times New Roman" w:hAnsi="Times New Roman"/>
          <w:sz w:val="24"/>
          <w:szCs w:val="24"/>
        </w:rPr>
        <w:t>ë</w:t>
      </w:r>
      <w:r>
        <w:rPr>
          <w:rFonts w:ascii="Times New Roman" w:hAnsi="Times New Roman"/>
          <w:sz w:val="24"/>
          <w:szCs w:val="24"/>
        </w:rPr>
        <w:t xml:space="preserve"> ri.</w:t>
      </w:r>
    </w:p>
    <w:p w14:paraId="1D6DC76F" w14:textId="1788AF7D" w:rsidR="00C203BB" w:rsidRPr="00596295" w:rsidRDefault="00C203BB" w:rsidP="00411E88">
      <w:pPr>
        <w:jc w:val="both"/>
        <w:rPr>
          <w:rFonts w:ascii="Times New Roman" w:hAnsi="Times New Roman"/>
          <w:sz w:val="24"/>
          <w:szCs w:val="24"/>
          <w:lang w:val="sq-AL"/>
        </w:rPr>
      </w:pPr>
    </w:p>
    <w:p w14:paraId="16AE3967" w14:textId="56CC0992" w:rsidR="00C203BB" w:rsidRPr="00596295" w:rsidRDefault="00C203BB" w:rsidP="00C203BB">
      <w:pPr>
        <w:pStyle w:val="CommentText"/>
        <w:rPr>
          <w:rFonts w:ascii="Times New Roman" w:hAnsi="Times New Roman"/>
          <w:b/>
          <w:sz w:val="24"/>
          <w:szCs w:val="24"/>
          <w:lang w:val="sq-AL"/>
        </w:rPr>
      </w:pPr>
      <w:r w:rsidRPr="00596295">
        <w:rPr>
          <w:rFonts w:ascii="Times New Roman" w:hAnsi="Times New Roman"/>
          <w:b/>
          <w:sz w:val="24"/>
          <w:szCs w:val="24"/>
          <w:lang w:val="sq-AL"/>
        </w:rPr>
        <w:t>Opsioni 2 Ndryshimi i ligjit aktual  nr.8894, datë 14.05.2002 “Për Agjencinë e Trajtimit të Kredive”);</w:t>
      </w:r>
    </w:p>
    <w:p w14:paraId="35FBB507" w14:textId="77777777" w:rsidR="000F4EF0" w:rsidRDefault="000F4EF0" w:rsidP="00411E88">
      <w:pPr>
        <w:jc w:val="both"/>
        <w:rPr>
          <w:rFonts w:ascii="Times New Roman" w:hAnsi="Times New Roman"/>
          <w:sz w:val="24"/>
          <w:szCs w:val="24"/>
          <w:lang w:val="sq-AL"/>
        </w:rPr>
      </w:pPr>
    </w:p>
    <w:p w14:paraId="71C110CB" w14:textId="5D89EFE5" w:rsidR="00C203BB" w:rsidRDefault="008A41A9" w:rsidP="00411E88">
      <w:pPr>
        <w:jc w:val="both"/>
        <w:rPr>
          <w:rFonts w:ascii="Times New Roman" w:hAnsi="Times New Roman"/>
          <w:sz w:val="24"/>
          <w:szCs w:val="24"/>
          <w:lang w:val="sq-AL"/>
        </w:rPr>
      </w:pPr>
      <w:bookmarkStart w:id="22" w:name="_Hlk131688104"/>
      <w:r>
        <w:rPr>
          <w:rFonts w:ascii="Times New Roman" w:hAnsi="Times New Roman"/>
          <w:sz w:val="24"/>
          <w:szCs w:val="24"/>
          <w:lang w:val="sq-AL"/>
        </w:rPr>
        <w:t>B</w:t>
      </w:r>
      <w:r w:rsidR="00AE0579">
        <w:rPr>
          <w:rFonts w:ascii="Times New Roman" w:hAnsi="Times New Roman"/>
          <w:sz w:val="24"/>
          <w:szCs w:val="24"/>
          <w:lang w:val="sq-AL"/>
        </w:rPr>
        <w:t>azuar në Manualin e Hartimit të L</w:t>
      </w:r>
      <w:r>
        <w:rPr>
          <w:rFonts w:ascii="Times New Roman" w:hAnsi="Times New Roman"/>
          <w:sz w:val="24"/>
          <w:szCs w:val="24"/>
          <w:lang w:val="sq-AL"/>
        </w:rPr>
        <w:t>e</w:t>
      </w:r>
      <w:r w:rsidR="00AE0579">
        <w:rPr>
          <w:rFonts w:ascii="Times New Roman" w:hAnsi="Times New Roman"/>
          <w:sz w:val="24"/>
          <w:szCs w:val="24"/>
          <w:lang w:val="sq-AL"/>
        </w:rPr>
        <w:t>gjislacionit</w:t>
      </w:r>
      <w:r>
        <w:rPr>
          <w:rFonts w:ascii="Times New Roman" w:hAnsi="Times New Roman"/>
          <w:sz w:val="24"/>
          <w:szCs w:val="24"/>
          <w:lang w:val="sq-AL"/>
        </w:rPr>
        <w:t>,</w:t>
      </w:r>
      <w:r w:rsidRPr="008A41A9">
        <w:rPr>
          <w:rFonts w:ascii="Times New Roman" w:hAnsi="Times New Roman"/>
          <w:sz w:val="24"/>
          <w:szCs w:val="24"/>
          <w:lang w:val="sq-AL"/>
        </w:rPr>
        <w:t xml:space="preserve"> </w:t>
      </w:r>
      <w:r>
        <w:rPr>
          <w:rFonts w:ascii="Times New Roman" w:hAnsi="Times New Roman"/>
          <w:sz w:val="24"/>
          <w:szCs w:val="24"/>
          <w:lang w:val="sq-AL"/>
        </w:rPr>
        <w:t>p</w:t>
      </w:r>
      <w:r w:rsidRPr="6F3B9A98">
        <w:rPr>
          <w:rFonts w:ascii="Times New Roman" w:hAnsi="Times New Roman"/>
          <w:sz w:val="24"/>
          <w:szCs w:val="24"/>
          <w:lang w:val="sq-AL"/>
        </w:rPr>
        <w:t>ër shkak të ndryshimeve të shumta të nevojshme për të rregulluar kuadrin ligjor</w:t>
      </w:r>
      <w:r>
        <w:rPr>
          <w:rFonts w:ascii="Times New Roman" w:hAnsi="Times New Roman"/>
          <w:sz w:val="24"/>
          <w:szCs w:val="24"/>
          <w:lang w:val="sq-AL"/>
        </w:rPr>
        <w:t xml:space="preserve"> </w:t>
      </w:r>
      <w:r w:rsidR="000F4EF0" w:rsidRPr="6F3B9A98">
        <w:rPr>
          <w:rFonts w:ascii="Times New Roman" w:hAnsi="Times New Roman"/>
          <w:sz w:val="24"/>
          <w:szCs w:val="24"/>
          <w:lang w:val="sq-AL"/>
        </w:rPr>
        <w:t>nuk preferohet ky opsion.</w:t>
      </w:r>
      <w:r w:rsidR="000F4EF0">
        <w:rPr>
          <w:rFonts w:ascii="Times New Roman" w:hAnsi="Times New Roman"/>
          <w:sz w:val="24"/>
          <w:szCs w:val="24"/>
          <w:lang w:val="sq-AL"/>
        </w:rPr>
        <w:t xml:space="preserve"> </w:t>
      </w:r>
      <w:r w:rsidR="002D197B">
        <w:rPr>
          <w:rFonts w:ascii="Times New Roman" w:hAnsi="Times New Roman"/>
          <w:sz w:val="24"/>
          <w:szCs w:val="24"/>
          <w:lang w:val="sq-AL"/>
        </w:rPr>
        <w:t>Duke qënë se</w:t>
      </w:r>
      <w:r>
        <w:rPr>
          <w:rFonts w:ascii="Times New Roman" w:hAnsi="Times New Roman"/>
          <w:sz w:val="24"/>
          <w:szCs w:val="24"/>
          <w:lang w:val="sq-AL"/>
        </w:rPr>
        <w:t xml:space="preserve"> ndryshim</w:t>
      </w:r>
      <w:r w:rsidR="000B091A">
        <w:rPr>
          <w:rFonts w:ascii="Times New Roman" w:hAnsi="Times New Roman"/>
          <w:sz w:val="24"/>
          <w:szCs w:val="24"/>
          <w:lang w:val="sq-AL"/>
        </w:rPr>
        <w:t>et e propozuara do t</w:t>
      </w:r>
      <w:r w:rsidR="00327CED">
        <w:rPr>
          <w:rFonts w:ascii="Times New Roman" w:hAnsi="Times New Roman"/>
          <w:sz w:val="24"/>
          <w:szCs w:val="24"/>
        </w:rPr>
        <w:t>ë</w:t>
      </w:r>
      <w:r>
        <w:rPr>
          <w:rFonts w:ascii="Times New Roman" w:hAnsi="Times New Roman"/>
          <w:sz w:val="24"/>
          <w:szCs w:val="24"/>
          <w:lang w:val="sq-AL"/>
        </w:rPr>
        <w:t xml:space="preserve"> prek</w:t>
      </w:r>
      <w:r w:rsidR="000B091A">
        <w:rPr>
          <w:rFonts w:ascii="Times New Roman" w:hAnsi="Times New Roman"/>
          <w:sz w:val="24"/>
          <w:szCs w:val="24"/>
          <w:lang w:val="sq-AL"/>
        </w:rPr>
        <w:t>nin</w:t>
      </w:r>
      <w:r>
        <w:rPr>
          <w:rFonts w:ascii="Times New Roman" w:hAnsi="Times New Roman"/>
          <w:sz w:val="24"/>
          <w:szCs w:val="24"/>
          <w:lang w:val="sq-AL"/>
        </w:rPr>
        <w:t xml:space="preserve"> më tepër se 50% të aktit</w:t>
      </w:r>
      <w:r w:rsidRPr="6F3B9A98">
        <w:rPr>
          <w:rFonts w:ascii="Times New Roman" w:hAnsi="Times New Roman"/>
          <w:sz w:val="24"/>
          <w:szCs w:val="24"/>
          <w:lang w:val="sq-AL"/>
        </w:rPr>
        <w:t>,</w:t>
      </w:r>
      <w:r>
        <w:rPr>
          <w:rFonts w:ascii="Times New Roman" w:hAnsi="Times New Roman"/>
          <w:sz w:val="24"/>
          <w:szCs w:val="24"/>
          <w:lang w:val="sq-AL"/>
        </w:rPr>
        <w:t xml:space="preserve"> </w:t>
      </w:r>
      <w:r w:rsidR="00CC72E2">
        <w:rPr>
          <w:rFonts w:ascii="Times New Roman" w:hAnsi="Times New Roman"/>
          <w:sz w:val="24"/>
          <w:szCs w:val="24"/>
          <w:lang w:val="sq-AL"/>
        </w:rPr>
        <w:t>ndryshimet e shumta do të sillnin</w:t>
      </w:r>
      <w:r w:rsidR="000F4EF0">
        <w:rPr>
          <w:rFonts w:ascii="Times New Roman" w:hAnsi="Times New Roman"/>
          <w:sz w:val="24"/>
          <w:szCs w:val="24"/>
          <w:lang w:val="sq-AL"/>
        </w:rPr>
        <w:t xml:space="preserve"> konfuzion të mëtejshëm </w:t>
      </w:r>
      <w:r w:rsidR="003D0BB8">
        <w:rPr>
          <w:rFonts w:ascii="Times New Roman" w:hAnsi="Times New Roman"/>
          <w:sz w:val="24"/>
          <w:szCs w:val="24"/>
          <w:lang w:val="sq-AL"/>
        </w:rPr>
        <w:t>l</w:t>
      </w:r>
      <w:r w:rsidR="000F4EF0" w:rsidRPr="000F4EF0">
        <w:rPr>
          <w:rFonts w:ascii="Times New Roman" w:hAnsi="Times New Roman"/>
          <w:sz w:val="24"/>
          <w:szCs w:val="24"/>
          <w:lang w:val="sq-AL"/>
        </w:rPr>
        <w:t>igjor n</w:t>
      </w:r>
      <w:r w:rsidR="000F4EF0">
        <w:rPr>
          <w:rFonts w:ascii="Times New Roman" w:hAnsi="Times New Roman"/>
          <w:sz w:val="24"/>
          <w:szCs w:val="24"/>
          <w:lang w:val="sq-AL"/>
        </w:rPr>
        <w:t>ë</w:t>
      </w:r>
      <w:r w:rsidR="000F4EF0" w:rsidRPr="000F4EF0">
        <w:rPr>
          <w:rFonts w:ascii="Times New Roman" w:hAnsi="Times New Roman"/>
          <w:sz w:val="24"/>
          <w:szCs w:val="24"/>
          <w:lang w:val="sq-AL"/>
        </w:rPr>
        <w:t xml:space="preserve"> perceptimin dhe kuptimin e ndryshimeve ligjore</w:t>
      </w:r>
      <w:r w:rsidR="00564ADD">
        <w:rPr>
          <w:rFonts w:ascii="Times New Roman" w:hAnsi="Times New Roman"/>
          <w:sz w:val="24"/>
          <w:szCs w:val="24"/>
          <w:lang w:val="sq-AL"/>
        </w:rPr>
        <w:t xml:space="preserve"> duke dëmtuar interesat e drejtpërdrejta të qytetarëve dhe bizneseve në pozita debiti.</w:t>
      </w:r>
      <w:r w:rsidR="000F4EF0">
        <w:rPr>
          <w:rFonts w:ascii="Times New Roman" w:hAnsi="Times New Roman"/>
          <w:sz w:val="24"/>
          <w:szCs w:val="24"/>
          <w:lang w:val="sq-AL"/>
        </w:rPr>
        <w:t xml:space="preserve"> </w:t>
      </w:r>
    </w:p>
    <w:bookmarkEnd w:id="22"/>
    <w:p w14:paraId="4E351CC1" w14:textId="2AFC9402" w:rsidR="008022F3" w:rsidRDefault="008022F3" w:rsidP="00411E88">
      <w:pPr>
        <w:jc w:val="both"/>
        <w:rPr>
          <w:rFonts w:ascii="Times New Roman" w:hAnsi="Times New Roman"/>
          <w:sz w:val="24"/>
          <w:szCs w:val="24"/>
          <w:lang w:val="sq-AL"/>
        </w:rPr>
      </w:pPr>
    </w:p>
    <w:p w14:paraId="3CC72AFE" w14:textId="34ADBFC5" w:rsidR="00E521DA" w:rsidRDefault="00E521DA" w:rsidP="00E521DA">
      <w:pPr>
        <w:pStyle w:val="CommentText"/>
        <w:rPr>
          <w:rFonts w:ascii="Times New Roman" w:hAnsi="Times New Roman"/>
          <w:b/>
          <w:sz w:val="24"/>
          <w:szCs w:val="24"/>
          <w:lang w:val="sq-AL"/>
        </w:rPr>
      </w:pPr>
      <w:r w:rsidRPr="00596295">
        <w:rPr>
          <w:rFonts w:ascii="Times New Roman" w:hAnsi="Times New Roman"/>
          <w:b/>
          <w:sz w:val="24"/>
          <w:szCs w:val="24"/>
          <w:lang w:val="sq-AL"/>
        </w:rPr>
        <w:t xml:space="preserve">Opsioni </w:t>
      </w:r>
      <w:r>
        <w:rPr>
          <w:rFonts w:ascii="Times New Roman" w:hAnsi="Times New Roman"/>
          <w:b/>
          <w:sz w:val="24"/>
          <w:szCs w:val="24"/>
          <w:lang w:val="sq-AL"/>
        </w:rPr>
        <w:t>3 -</w:t>
      </w:r>
      <w:r w:rsidRPr="00596295">
        <w:rPr>
          <w:rFonts w:ascii="Times New Roman" w:hAnsi="Times New Roman"/>
          <w:b/>
          <w:sz w:val="24"/>
          <w:szCs w:val="24"/>
          <w:lang w:val="sq-AL"/>
        </w:rPr>
        <w:t xml:space="preserve"> </w:t>
      </w:r>
      <w:r>
        <w:rPr>
          <w:rFonts w:ascii="Times New Roman" w:hAnsi="Times New Roman"/>
          <w:b/>
          <w:sz w:val="24"/>
          <w:szCs w:val="24"/>
          <w:lang w:val="sq-AL"/>
        </w:rPr>
        <w:t>Hartimi i nj</w:t>
      </w:r>
      <w:r w:rsidR="003162AD">
        <w:rPr>
          <w:rFonts w:ascii="Times New Roman" w:hAnsi="Times New Roman"/>
          <w:b/>
          <w:sz w:val="24"/>
          <w:szCs w:val="24"/>
          <w:lang w:val="sq-AL"/>
        </w:rPr>
        <w:t>ë</w:t>
      </w:r>
      <w:r>
        <w:rPr>
          <w:rFonts w:ascii="Times New Roman" w:hAnsi="Times New Roman"/>
          <w:b/>
          <w:sz w:val="24"/>
          <w:szCs w:val="24"/>
          <w:lang w:val="sq-AL"/>
        </w:rPr>
        <w:t xml:space="preserve"> ligji t</w:t>
      </w:r>
      <w:r w:rsidR="003162AD">
        <w:rPr>
          <w:rFonts w:ascii="Times New Roman" w:hAnsi="Times New Roman"/>
          <w:b/>
          <w:sz w:val="24"/>
          <w:szCs w:val="24"/>
          <w:lang w:val="sq-AL"/>
        </w:rPr>
        <w:t>ë</w:t>
      </w:r>
      <w:r>
        <w:rPr>
          <w:rFonts w:ascii="Times New Roman" w:hAnsi="Times New Roman"/>
          <w:b/>
          <w:sz w:val="24"/>
          <w:szCs w:val="24"/>
          <w:lang w:val="sq-AL"/>
        </w:rPr>
        <w:t xml:space="preserve"> ri</w:t>
      </w:r>
    </w:p>
    <w:p w14:paraId="23DA33EF" w14:textId="77777777" w:rsidR="00D572BA" w:rsidRDefault="00D572BA" w:rsidP="00E521DA">
      <w:pPr>
        <w:pStyle w:val="CommentText"/>
        <w:rPr>
          <w:rFonts w:ascii="Times New Roman" w:hAnsi="Times New Roman"/>
          <w:b/>
          <w:sz w:val="24"/>
          <w:szCs w:val="24"/>
          <w:lang w:val="sq-AL"/>
        </w:rPr>
      </w:pPr>
    </w:p>
    <w:p w14:paraId="0507247B" w14:textId="5C80F6BD" w:rsidR="00D572BA" w:rsidRPr="00074443" w:rsidRDefault="00D572BA" w:rsidP="00074443">
      <w:pPr>
        <w:pStyle w:val="CommentText"/>
        <w:jc w:val="both"/>
        <w:rPr>
          <w:rFonts w:ascii="Times New Roman" w:hAnsi="Times New Roman"/>
          <w:color w:val="0D0D0D" w:themeColor="text1" w:themeTint="F2"/>
          <w:sz w:val="24"/>
          <w:szCs w:val="24"/>
          <w:lang w:val="sq-AL"/>
        </w:rPr>
      </w:pPr>
      <w:r w:rsidRPr="00074443">
        <w:rPr>
          <w:rFonts w:ascii="Times New Roman" w:hAnsi="Times New Roman"/>
          <w:color w:val="0D0D0D" w:themeColor="text1" w:themeTint="F2"/>
          <w:sz w:val="24"/>
          <w:szCs w:val="24"/>
          <w:lang w:val="sq-AL"/>
        </w:rPr>
        <w:t>Nj</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opsion tjet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r i konsedurar p</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r rregullimin e situat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s aktuale </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sht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edhe hartimi i nj</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ligji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ri. Hartimi i nj</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ligji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r</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sisht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ri do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ishte nj</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m</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nyr</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p</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r adresimin e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gjitha problematikave t</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konstatuara deri m</w:t>
      </w:r>
      <w:r w:rsidR="003162AD" w:rsidRPr="00074443">
        <w:rPr>
          <w:rFonts w:ascii="Times New Roman" w:hAnsi="Times New Roman"/>
          <w:color w:val="0D0D0D" w:themeColor="text1" w:themeTint="F2"/>
          <w:sz w:val="24"/>
          <w:szCs w:val="24"/>
          <w:lang w:val="sq-AL"/>
        </w:rPr>
        <w:t>ë</w:t>
      </w:r>
      <w:r w:rsidRPr="00074443">
        <w:rPr>
          <w:rFonts w:ascii="Times New Roman" w:hAnsi="Times New Roman"/>
          <w:color w:val="0D0D0D" w:themeColor="text1" w:themeTint="F2"/>
          <w:sz w:val="24"/>
          <w:szCs w:val="24"/>
          <w:lang w:val="sq-AL"/>
        </w:rPr>
        <w:t xml:space="preserve"> tani.</w:t>
      </w:r>
    </w:p>
    <w:p w14:paraId="0BDE0F6B" w14:textId="6D7830B5" w:rsidR="00D572BA" w:rsidRDefault="00D572BA" w:rsidP="00E521DA">
      <w:pPr>
        <w:pStyle w:val="CommentText"/>
        <w:rPr>
          <w:rFonts w:ascii="Times New Roman" w:hAnsi="Times New Roman"/>
          <w:b/>
          <w:color w:val="0D0D0D" w:themeColor="text1" w:themeTint="F2"/>
          <w:sz w:val="24"/>
          <w:szCs w:val="24"/>
          <w:lang w:val="sq-AL"/>
        </w:rPr>
      </w:pPr>
    </w:p>
    <w:p w14:paraId="7F3889BE" w14:textId="77777777" w:rsidR="00D572BA" w:rsidRDefault="00D572BA" w:rsidP="00D572BA">
      <w:pPr>
        <w:spacing w:line="276" w:lineRule="auto"/>
        <w:jc w:val="both"/>
        <w:rPr>
          <w:rFonts w:ascii="Times New Roman" w:hAnsi="Times New Roman"/>
          <w:b/>
          <w:sz w:val="24"/>
          <w:szCs w:val="24"/>
          <w:lang w:val="sq-AL"/>
        </w:rPr>
      </w:pPr>
    </w:p>
    <w:p w14:paraId="7797086D" w14:textId="6C980160" w:rsidR="00D572BA" w:rsidRDefault="00D572BA" w:rsidP="00D572BA">
      <w:pPr>
        <w:spacing w:line="276" w:lineRule="auto"/>
        <w:jc w:val="both"/>
        <w:rPr>
          <w:rFonts w:ascii="Times New Roman" w:hAnsi="Times New Roman"/>
          <w:b/>
          <w:sz w:val="24"/>
          <w:szCs w:val="24"/>
          <w:lang w:val="sq-AL"/>
        </w:rPr>
      </w:pPr>
      <w:r>
        <w:rPr>
          <w:rFonts w:ascii="Times New Roman" w:hAnsi="Times New Roman"/>
          <w:b/>
          <w:sz w:val="24"/>
          <w:szCs w:val="24"/>
          <w:lang w:val="sq-AL"/>
        </w:rPr>
        <w:t>N</w:t>
      </w:r>
      <w:r w:rsidRPr="0055682E">
        <w:rPr>
          <w:rFonts w:ascii="Times New Roman" w:hAnsi="Times New Roman"/>
          <w:b/>
          <w:sz w:val="24"/>
          <w:szCs w:val="24"/>
          <w:lang w:val="sq-AL"/>
        </w:rPr>
        <w:t xml:space="preserve">ëpërmjet </w:t>
      </w:r>
      <w:r>
        <w:rPr>
          <w:rFonts w:ascii="Times New Roman" w:hAnsi="Times New Roman"/>
          <w:b/>
          <w:sz w:val="24"/>
          <w:szCs w:val="24"/>
          <w:lang w:val="sq-AL"/>
        </w:rPr>
        <w:t>politikës së propozuar parashikohet q</w:t>
      </w:r>
      <w:r w:rsidR="003162AD">
        <w:rPr>
          <w:rFonts w:ascii="Times New Roman" w:hAnsi="Times New Roman"/>
          <w:b/>
          <w:sz w:val="24"/>
          <w:szCs w:val="24"/>
          <w:lang w:val="sq-AL"/>
        </w:rPr>
        <w:t>ë</w:t>
      </w:r>
      <w:r>
        <w:rPr>
          <w:rFonts w:ascii="Times New Roman" w:hAnsi="Times New Roman"/>
          <w:b/>
          <w:sz w:val="24"/>
          <w:szCs w:val="24"/>
          <w:lang w:val="sq-AL"/>
        </w:rPr>
        <w:t xml:space="preserve"> ATK-s</w:t>
      </w:r>
      <w:r w:rsidR="003162AD">
        <w:rPr>
          <w:rFonts w:ascii="Times New Roman" w:hAnsi="Times New Roman"/>
          <w:b/>
          <w:sz w:val="24"/>
          <w:szCs w:val="24"/>
          <w:lang w:val="sq-AL"/>
        </w:rPr>
        <w:t>ë</w:t>
      </w:r>
      <w:r>
        <w:rPr>
          <w:rFonts w:ascii="Times New Roman" w:hAnsi="Times New Roman"/>
          <w:b/>
          <w:sz w:val="24"/>
          <w:szCs w:val="24"/>
          <w:lang w:val="sq-AL"/>
        </w:rPr>
        <w:t xml:space="preserve"> do t’i </w:t>
      </w:r>
      <w:r w:rsidRPr="0055682E">
        <w:rPr>
          <w:rFonts w:ascii="Times New Roman" w:hAnsi="Times New Roman"/>
          <w:b/>
          <w:sz w:val="24"/>
          <w:szCs w:val="24"/>
          <w:lang w:val="sq-AL"/>
        </w:rPr>
        <w:t>kalojnë për t’u menaxhuar, aktivitetet/funksionet e mëposhtme:</w:t>
      </w:r>
    </w:p>
    <w:p w14:paraId="4BDFC83D" w14:textId="77777777" w:rsidR="00D572BA" w:rsidRPr="0055682E" w:rsidRDefault="00D572BA" w:rsidP="00D572BA">
      <w:pPr>
        <w:spacing w:line="276" w:lineRule="auto"/>
        <w:jc w:val="both"/>
        <w:rPr>
          <w:rFonts w:ascii="Times New Roman" w:hAnsi="Times New Roman"/>
          <w:b/>
          <w:sz w:val="24"/>
          <w:szCs w:val="24"/>
          <w:lang w:val="sq-AL"/>
        </w:rPr>
      </w:pPr>
    </w:p>
    <w:p w14:paraId="782B4717" w14:textId="77777777" w:rsidR="00D572BA" w:rsidRPr="009937EE" w:rsidRDefault="00D572BA" w:rsidP="00D572BA">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menaxhimin e skemave të veçanta të garancive të huas;</w:t>
      </w:r>
    </w:p>
    <w:p w14:paraId="2F53232F" w14:textId="77777777" w:rsidR="00D572BA" w:rsidRPr="009937EE" w:rsidRDefault="00D572BA" w:rsidP="00D572BA">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kthimin e garancive shtetërore të huas;</w:t>
      </w:r>
    </w:p>
    <w:p w14:paraId="23799639" w14:textId="77777777" w:rsidR="00D572BA" w:rsidRPr="009937EE" w:rsidRDefault="00D572BA" w:rsidP="00D572BA">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kthimin e huave dhe nënhuave të garantuara nga ministri përgjegjës për financat;</w:t>
      </w:r>
    </w:p>
    <w:p w14:paraId="0A84BB83" w14:textId="77777777" w:rsidR="00D572BA" w:rsidRPr="009937EE" w:rsidRDefault="00D572BA" w:rsidP="00D572BA">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verifikimin e aftësisë paguese të subjekteve huamarrëse që kanë përfituar nga garancitë, huatë dhe nënhuatë të garantuara nga ministri pergjegjes per financat;</w:t>
      </w:r>
    </w:p>
    <w:p w14:paraId="211A49EA" w14:textId="77777777" w:rsidR="00D572BA" w:rsidRPr="009937EE" w:rsidRDefault="00D572BA" w:rsidP="00D572BA">
      <w:pPr>
        <w:pStyle w:val="ListParagraph"/>
        <w:numPr>
          <w:ilvl w:val="0"/>
          <w:numId w:val="24"/>
        </w:numPr>
        <w:spacing w:line="276" w:lineRule="auto"/>
        <w:jc w:val="both"/>
        <w:rPr>
          <w:rFonts w:ascii="Times New Roman" w:hAnsi="Times New Roman"/>
          <w:sz w:val="24"/>
          <w:szCs w:val="24"/>
          <w:lang w:val="sq-AL"/>
        </w:rPr>
      </w:pPr>
      <w:r w:rsidRPr="009937EE">
        <w:rPr>
          <w:rFonts w:ascii="Times New Roman" w:hAnsi="Times New Roman"/>
          <w:sz w:val="24"/>
          <w:szCs w:val="24"/>
          <w:lang w:val="sq-AL"/>
        </w:rPr>
        <w:t>trajtimi i kredive, të transferuara nga bankat tregtare të nivelit të dytë, me kapital tërësisht shtetëror mbas privatizimit të tyre;</w:t>
      </w:r>
    </w:p>
    <w:p w14:paraId="1F921410" w14:textId="1E79A9D3" w:rsidR="00E521DA" w:rsidRPr="00074443" w:rsidRDefault="00D572BA" w:rsidP="00074443">
      <w:pPr>
        <w:pStyle w:val="ListParagraph"/>
        <w:numPr>
          <w:ilvl w:val="0"/>
          <w:numId w:val="24"/>
        </w:numPr>
        <w:spacing w:line="276" w:lineRule="auto"/>
        <w:jc w:val="both"/>
        <w:rPr>
          <w:rFonts w:ascii="Times New Roman" w:hAnsi="Times New Roman"/>
          <w:sz w:val="24"/>
          <w:szCs w:val="24"/>
          <w:lang w:val="sq-AL"/>
        </w:rPr>
      </w:pPr>
      <w:r w:rsidRPr="00074443">
        <w:rPr>
          <w:rFonts w:ascii="Times New Roman" w:hAnsi="Times New Roman"/>
          <w:sz w:val="24"/>
          <w:szCs w:val="24"/>
          <w:lang w:val="sq-AL"/>
        </w:rPr>
        <w:t>trajtimin e portofolit të investimeve të kryera në banesa nga shoqëria INSIG sh.a para privatizimit të saj.Për këtë arsye propozohet hartimi i ligjit të ri, “Për Menaxhimin e Garancive dhe Kredive të Pakthyera”.</w:t>
      </w:r>
    </w:p>
    <w:p w14:paraId="26540EF0" w14:textId="08D5236C" w:rsidR="00D572BA" w:rsidRPr="00193A00" w:rsidRDefault="00D572BA" w:rsidP="00193A00">
      <w:pPr>
        <w:spacing w:line="276" w:lineRule="auto"/>
        <w:ind w:left="360"/>
        <w:jc w:val="both"/>
        <w:rPr>
          <w:rFonts w:ascii="Times New Roman" w:hAnsi="Times New Roman"/>
          <w:sz w:val="24"/>
          <w:szCs w:val="24"/>
          <w:lang w:val="sq-AL"/>
        </w:rPr>
      </w:pPr>
      <w:r>
        <w:rPr>
          <w:rFonts w:ascii="Times New Roman" w:hAnsi="Times New Roman"/>
          <w:sz w:val="24"/>
          <w:szCs w:val="24"/>
          <w:lang w:val="sq-AL"/>
        </w:rPr>
        <w:t>K</w:t>
      </w:r>
      <w:r w:rsidR="003162AD">
        <w:rPr>
          <w:rFonts w:ascii="Times New Roman" w:hAnsi="Times New Roman"/>
          <w:sz w:val="24"/>
          <w:szCs w:val="24"/>
          <w:lang w:val="sq-AL"/>
        </w:rPr>
        <w:t>ë</w:t>
      </w:r>
      <w:r>
        <w:rPr>
          <w:rFonts w:ascii="Times New Roman" w:hAnsi="Times New Roman"/>
          <w:sz w:val="24"/>
          <w:szCs w:val="24"/>
          <w:lang w:val="sq-AL"/>
        </w:rPr>
        <w:t>to funksione do t</w:t>
      </w:r>
      <w:r w:rsidR="003162AD">
        <w:rPr>
          <w:rFonts w:ascii="Times New Roman" w:hAnsi="Times New Roman"/>
          <w:sz w:val="24"/>
          <w:szCs w:val="24"/>
          <w:lang w:val="sq-AL"/>
        </w:rPr>
        <w:t>ë</w:t>
      </w:r>
      <w:r>
        <w:rPr>
          <w:rFonts w:ascii="Times New Roman" w:hAnsi="Times New Roman"/>
          <w:sz w:val="24"/>
          <w:szCs w:val="24"/>
          <w:lang w:val="sq-AL"/>
        </w:rPr>
        <w:t xml:space="preserve"> mund t’i atribuoheshin n</w:t>
      </w:r>
      <w:r w:rsidR="003162AD">
        <w:rPr>
          <w:rFonts w:ascii="Times New Roman" w:hAnsi="Times New Roman"/>
          <w:sz w:val="24"/>
          <w:szCs w:val="24"/>
          <w:lang w:val="sq-AL"/>
        </w:rPr>
        <w:t>ë</w:t>
      </w:r>
      <w:r>
        <w:rPr>
          <w:rFonts w:ascii="Times New Roman" w:hAnsi="Times New Roman"/>
          <w:sz w:val="24"/>
          <w:szCs w:val="24"/>
          <w:lang w:val="sq-AL"/>
        </w:rPr>
        <w:t>p</w:t>
      </w:r>
      <w:r w:rsidR="003162AD">
        <w:rPr>
          <w:rFonts w:ascii="Times New Roman" w:hAnsi="Times New Roman"/>
          <w:sz w:val="24"/>
          <w:szCs w:val="24"/>
          <w:lang w:val="sq-AL"/>
        </w:rPr>
        <w:t>ë</w:t>
      </w:r>
      <w:r>
        <w:rPr>
          <w:rFonts w:ascii="Times New Roman" w:hAnsi="Times New Roman"/>
          <w:sz w:val="24"/>
          <w:szCs w:val="24"/>
          <w:lang w:val="sq-AL"/>
        </w:rPr>
        <w:t>rmjet hartimit dhe miratimit t</w:t>
      </w:r>
      <w:r w:rsidR="003162AD">
        <w:rPr>
          <w:rFonts w:ascii="Times New Roman" w:hAnsi="Times New Roman"/>
          <w:sz w:val="24"/>
          <w:szCs w:val="24"/>
          <w:lang w:val="sq-AL"/>
        </w:rPr>
        <w:t>ë</w:t>
      </w:r>
      <w:r>
        <w:rPr>
          <w:rFonts w:ascii="Times New Roman" w:hAnsi="Times New Roman"/>
          <w:sz w:val="24"/>
          <w:szCs w:val="24"/>
          <w:lang w:val="sq-AL"/>
        </w:rPr>
        <w:t xml:space="preserve"> nj</w:t>
      </w:r>
      <w:r w:rsidR="003162AD">
        <w:rPr>
          <w:rFonts w:ascii="Times New Roman" w:hAnsi="Times New Roman"/>
          <w:sz w:val="24"/>
          <w:szCs w:val="24"/>
          <w:lang w:val="sq-AL"/>
        </w:rPr>
        <w:t>ë</w:t>
      </w:r>
      <w:r>
        <w:rPr>
          <w:rFonts w:ascii="Times New Roman" w:hAnsi="Times New Roman"/>
          <w:sz w:val="24"/>
          <w:szCs w:val="24"/>
          <w:lang w:val="sq-AL"/>
        </w:rPr>
        <w:t xml:space="preserve"> ligji t</w:t>
      </w:r>
      <w:r w:rsidR="003162AD">
        <w:rPr>
          <w:rFonts w:ascii="Times New Roman" w:hAnsi="Times New Roman"/>
          <w:sz w:val="24"/>
          <w:szCs w:val="24"/>
          <w:lang w:val="sq-AL"/>
        </w:rPr>
        <w:t>ë</w:t>
      </w:r>
      <w:r>
        <w:rPr>
          <w:rFonts w:ascii="Times New Roman" w:hAnsi="Times New Roman"/>
          <w:sz w:val="24"/>
          <w:szCs w:val="24"/>
          <w:lang w:val="sq-AL"/>
        </w:rPr>
        <w:t xml:space="preserve"> ri lidhur me menaxhimin e garancive dhe kredive t</w:t>
      </w:r>
      <w:r w:rsidR="003162AD">
        <w:rPr>
          <w:rFonts w:ascii="Times New Roman" w:hAnsi="Times New Roman"/>
          <w:sz w:val="24"/>
          <w:szCs w:val="24"/>
          <w:lang w:val="sq-AL"/>
        </w:rPr>
        <w:t>ë</w:t>
      </w:r>
      <w:r>
        <w:rPr>
          <w:rFonts w:ascii="Times New Roman" w:hAnsi="Times New Roman"/>
          <w:sz w:val="24"/>
          <w:szCs w:val="24"/>
          <w:lang w:val="sq-AL"/>
        </w:rPr>
        <w:t xml:space="preserve"> pakthyera shtet</w:t>
      </w:r>
      <w:r w:rsidR="003162AD">
        <w:rPr>
          <w:rFonts w:ascii="Times New Roman" w:hAnsi="Times New Roman"/>
          <w:sz w:val="24"/>
          <w:szCs w:val="24"/>
          <w:lang w:val="sq-AL"/>
        </w:rPr>
        <w:t>ë</w:t>
      </w:r>
      <w:r>
        <w:rPr>
          <w:rFonts w:ascii="Times New Roman" w:hAnsi="Times New Roman"/>
          <w:sz w:val="24"/>
          <w:szCs w:val="24"/>
          <w:lang w:val="sq-AL"/>
        </w:rPr>
        <w:t>rore.</w:t>
      </w:r>
    </w:p>
    <w:p w14:paraId="36C6EB51" w14:textId="77777777" w:rsidR="008022F3" w:rsidRPr="00596295" w:rsidRDefault="008022F3" w:rsidP="00411E88">
      <w:pPr>
        <w:jc w:val="both"/>
        <w:rPr>
          <w:rFonts w:ascii="Times New Roman" w:hAnsi="Times New Roman"/>
          <w:sz w:val="24"/>
          <w:szCs w:val="24"/>
          <w:lang w:val="sq-AL"/>
        </w:rPr>
      </w:pPr>
    </w:p>
    <w:bookmarkEnd w:id="16"/>
    <w:bookmarkEnd w:id="17"/>
    <w:bookmarkEnd w:id="18"/>
    <w:p w14:paraId="2F59C850" w14:textId="77777777" w:rsidR="002D795F" w:rsidRPr="009850A6" w:rsidRDefault="002D795F" w:rsidP="002D795F">
      <w:pPr>
        <w:spacing w:line="276" w:lineRule="auto"/>
        <w:jc w:val="both"/>
        <w:rPr>
          <w:rFonts w:ascii="Times New Roman" w:hAnsi="Times New Roman"/>
          <w:sz w:val="24"/>
          <w:szCs w:val="24"/>
          <w:lang w:val="sq-AL"/>
        </w:rPr>
      </w:pPr>
    </w:p>
    <w:p w14:paraId="22666BF2" w14:textId="7277D3A0" w:rsidR="00C50922" w:rsidRPr="006244B4" w:rsidRDefault="658D74BF" w:rsidP="0013699E">
      <w:pPr>
        <w:pStyle w:val="Heading1"/>
        <w:rPr>
          <w:rFonts w:ascii="Times New Roman" w:hAnsi="Times New Roman" w:cs="Times New Roman"/>
          <w:sz w:val="24"/>
          <w:szCs w:val="24"/>
          <w:lang w:val="sq-AL"/>
        </w:rPr>
      </w:pPr>
      <w:r w:rsidRPr="006244B4">
        <w:rPr>
          <w:rFonts w:ascii="Times New Roman" w:hAnsi="Times New Roman" w:cs="Times New Roman"/>
          <w:sz w:val="24"/>
          <w:szCs w:val="24"/>
          <w:lang w:val="sq-AL"/>
        </w:rPr>
        <w:t>Vlerësimi i opsioneve/analizimi i ndikimeve</w:t>
      </w:r>
    </w:p>
    <w:p w14:paraId="79FE8D05" w14:textId="170DDFF4" w:rsidR="00540D93" w:rsidRDefault="00540D93" w:rsidP="00540D93">
      <w:pPr>
        <w:rPr>
          <w:highlight w:val="red"/>
          <w:lang w:val="sq-AL"/>
        </w:rPr>
      </w:pPr>
    </w:p>
    <w:p w14:paraId="4E47F64F" w14:textId="77777777" w:rsidR="00D55BD1" w:rsidRPr="007976C8" w:rsidRDefault="00D55BD1" w:rsidP="00D55BD1">
      <w:pPr>
        <w:rPr>
          <w:rFonts w:ascii="Times New Roman" w:hAnsi="Times New Roman"/>
          <w:szCs w:val="22"/>
          <w:lang w:val="sq-AL"/>
        </w:rPr>
      </w:pPr>
    </w:p>
    <w:p w14:paraId="39C114E8" w14:textId="77777777" w:rsidR="00F46AEE" w:rsidRPr="007976C8" w:rsidRDefault="00F46AEE" w:rsidP="00F46AEE">
      <w:pPr>
        <w:pStyle w:val="BodyText"/>
        <w:numPr>
          <w:ilvl w:val="0"/>
          <w:numId w:val="6"/>
        </w:numPr>
        <w:spacing w:after="0" w:line="276" w:lineRule="auto"/>
        <w:jc w:val="both"/>
        <w:rPr>
          <w:rFonts w:ascii="Times New Roman" w:hAnsi="Times New Roman"/>
          <w:i/>
          <w:sz w:val="20"/>
          <w:lang w:val="sq-AL"/>
        </w:rPr>
      </w:pPr>
      <w:bookmarkStart w:id="23" w:name="_Hlk506916825"/>
      <w:r w:rsidRPr="007976C8">
        <w:rPr>
          <w:rFonts w:ascii="Times New Roman" w:hAnsi="Times New Roman"/>
          <w:i/>
          <w:sz w:val="20"/>
          <w:lang w:val="sq-AL"/>
        </w:rPr>
        <w:t>Identifikoni se kush preket.</w:t>
      </w:r>
    </w:p>
    <w:p w14:paraId="3F4BEAD0" w14:textId="77777777" w:rsidR="00F46AEE" w:rsidRPr="007976C8" w:rsidRDefault="00F46AEE" w:rsidP="00F46AEE">
      <w:pPr>
        <w:pStyle w:val="BodyText"/>
        <w:numPr>
          <w:ilvl w:val="0"/>
          <w:numId w:val="6"/>
        </w:numPr>
        <w:spacing w:after="0" w:line="276" w:lineRule="auto"/>
        <w:ind w:left="540" w:hanging="180"/>
        <w:jc w:val="both"/>
        <w:rPr>
          <w:rFonts w:ascii="Times New Roman" w:hAnsi="Times New Roman"/>
          <w:i/>
          <w:sz w:val="20"/>
          <w:lang w:val="sq-AL"/>
        </w:rPr>
      </w:pPr>
      <w:r w:rsidRPr="007976C8">
        <w:rPr>
          <w:rFonts w:ascii="Times New Roman" w:hAnsi="Times New Roman"/>
          <w:i/>
          <w:sz w:val="20"/>
          <w:lang w:val="sq-AL"/>
        </w:rPr>
        <w:t>Identifikoni llojet e ndikimeve për secilin grup të prekur; bëni dallimin midis ndikimeve të drejtpërdrejta dhe jo të drejtpërdrejta.</w:t>
      </w:r>
    </w:p>
    <w:p w14:paraId="5E7C01EE" w14:textId="77777777" w:rsidR="00F46AEE" w:rsidRPr="007976C8" w:rsidRDefault="00F46AEE" w:rsidP="00F46AEE">
      <w:pPr>
        <w:pStyle w:val="BodyText"/>
        <w:numPr>
          <w:ilvl w:val="0"/>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 xml:space="preserve">Për ndikimet e drejtpërdrejta: </w:t>
      </w:r>
    </w:p>
    <w:p w14:paraId="5662F588" w14:textId="77777777" w:rsidR="00F46AEE" w:rsidRPr="007976C8"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7976C8">
        <w:rPr>
          <w:rFonts w:ascii="Times New Roman" w:eastAsiaTheme="majorEastAsia" w:hAnsi="Times New Roman"/>
          <w:i/>
          <w:sz w:val="20"/>
          <w:lang w:val="sq-AL"/>
        </w:rPr>
        <w:t>Përshkruani nga ana cilësore ndikimet e drejtpërdrejta mbi grupet e prekura.</w:t>
      </w:r>
    </w:p>
    <w:p w14:paraId="2D7235BA" w14:textId="77777777" w:rsidR="00F46AEE" w:rsidRPr="007976C8"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7976C8">
        <w:rPr>
          <w:rFonts w:ascii="Times New Roman" w:eastAsiaTheme="majorEastAsia" w:hAnsi="Times New Roman"/>
          <w:i/>
          <w:sz w:val="20"/>
          <w:lang w:val="sq-AL"/>
        </w:rPr>
        <w:t>Analizoni nga ana sasiore ndikimet më të rëndësishme të drejtpërdrejta.</w:t>
      </w:r>
    </w:p>
    <w:p w14:paraId="1183F9D0" w14:textId="77777777" w:rsidR="00F46AEE" w:rsidRPr="007976C8"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7976C8">
        <w:rPr>
          <w:rFonts w:ascii="Times New Roman" w:eastAsiaTheme="majorEastAsia" w:hAnsi="Times New Roman"/>
          <w:i/>
          <w:sz w:val="20"/>
          <w:lang w:val="sq-AL"/>
        </w:rPr>
        <w:t>Përcaktoni vlerën monetare të ndikimeve më të rëndësishme të drejtpërdrejta aty ku është e mundur (shih aneksin 1/a për tabelën që mund të përdorni).</w:t>
      </w:r>
    </w:p>
    <w:p w14:paraId="0F1360DB" w14:textId="77777777" w:rsidR="00F46AEE" w:rsidRPr="007976C8" w:rsidRDefault="00F46AEE" w:rsidP="00F46AEE">
      <w:pPr>
        <w:pStyle w:val="BodyText"/>
        <w:numPr>
          <w:ilvl w:val="1"/>
          <w:numId w:val="6"/>
        </w:numPr>
        <w:spacing w:after="0" w:line="276" w:lineRule="auto"/>
        <w:jc w:val="both"/>
        <w:rPr>
          <w:rFonts w:ascii="Times New Roman" w:eastAsiaTheme="majorEastAsia" w:hAnsi="Times New Roman"/>
          <w:i/>
          <w:sz w:val="20"/>
          <w:lang w:val="sq-AL"/>
        </w:rPr>
      </w:pPr>
      <w:r w:rsidRPr="007976C8">
        <w:rPr>
          <w:rFonts w:ascii="Times New Roman" w:eastAsiaTheme="majorEastAsia" w:hAnsi="Times New Roman"/>
          <w:i/>
          <w:sz w:val="20"/>
          <w:lang w:val="sq-AL"/>
        </w:rPr>
        <w:t>Analizoni ndikimin mbi ndërmarrjet e vogla dhe të mesme.</w:t>
      </w:r>
    </w:p>
    <w:p w14:paraId="75775F30" w14:textId="77777777" w:rsidR="00F46AEE" w:rsidRPr="007976C8" w:rsidRDefault="00F46AEE" w:rsidP="00F46AEE">
      <w:pPr>
        <w:pStyle w:val="BodyText"/>
        <w:numPr>
          <w:ilvl w:val="0"/>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Për ndikimet jo të drejtpërdrejta:</w:t>
      </w:r>
    </w:p>
    <w:p w14:paraId="7F8BA606"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eastAsiaTheme="majorEastAsia" w:hAnsi="Times New Roman"/>
          <w:i/>
          <w:sz w:val="20"/>
          <w:lang w:val="sq-AL"/>
        </w:rPr>
        <w:t>Përshkruani nga ana cilësore ndikimet jo të drejtpërdrejta mbi grupet e prekura.</w:t>
      </w:r>
    </w:p>
    <w:p w14:paraId="2B6D4278"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eastAsiaTheme="majorEastAsia" w:hAnsi="Times New Roman"/>
          <w:i/>
          <w:sz w:val="20"/>
          <w:lang w:val="sq-AL"/>
        </w:rPr>
        <w:t>Analizoni ndikimin mbi konkurrencën.</w:t>
      </w:r>
    </w:p>
    <w:p w14:paraId="199BCD0A" w14:textId="77777777" w:rsidR="00F46AEE" w:rsidRPr="007976C8" w:rsidRDefault="00F46AEE" w:rsidP="00F46AEE">
      <w:pPr>
        <w:pStyle w:val="BodyText"/>
        <w:numPr>
          <w:ilvl w:val="0"/>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Diskutoni kufizimin e analizës:</w:t>
      </w:r>
    </w:p>
    <w:p w14:paraId="0915AB23"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Jepni supozimet në të cilat janë bazuar parashikimet dhe rreziqet, të cilave ato u nënshtrohen.</w:t>
      </w:r>
      <w:r w:rsidRPr="007976C8">
        <w:rPr>
          <w:rFonts w:ascii="Times New Roman" w:hAnsi="Times New Roman"/>
          <w:sz w:val="20"/>
          <w:lang w:val="sq-AL"/>
        </w:rPr>
        <w:t xml:space="preserve"> </w:t>
      </w:r>
    </w:p>
    <w:p w14:paraId="1F532187"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Tregoni sa të forta, të pavarura dhe të rëndësishme janë provat që mbështesin supozimet.</w:t>
      </w:r>
    </w:p>
    <w:p w14:paraId="5339FA47"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Tregoni se çfarë mund të pengojë realizimin e përfitimeve, të rrisë kostot ose të sjellë pasoja të papritura.</w:t>
      </w:r>
    </w:p>
    <w:p w14:paraId="72436582" w14:textId="77777777" w:rsidR="00F46AEE" w:rsidRPr="007976C8" w:rsidRDefault="00F46AEE" w:rsidP="00F46AEE">
      <w:pPr>
        <w:pStyle w:val="BodyText"/>
        <w:numPr>
          <w:ilvl w:val="0"/>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Përmblidhni vlerësimin e opsioneve:</w:t>
      </w:r>
    </w:p>
    <w:p w14:paraId="1E9A25C3"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 xml:space="preserve"> Paraqisni një pasqyrë përmbledhëse të të gjitha ndikimeve të opsioneve të analizuara.</w:t>
      </w:r>
    </w:p>
    <w:p w14:paraId="1AA7754C" w14:textId="77777777"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Shpjegoni se si ndikimet e të gjitha opsioneve të analizuara krahasohen me njëra-tjetrën.</w:t>
      </w:r>
    </w:p>
    <w:p w14:paraId="254B94B7" w14:textId="523F83FC" w:rsidR="00F46AEE" w:rsidRPr="007976C8" w:rsidRDefault="00F46AEE" w:rsidP="00F46AEE">
      <w:pPr>
        <w:pStyle w:val="BodyText"/>
        <w:numPr>
          <w:ilvl w:val="1"/>
          <w:numId w:val="6"/>
        </w:numPr>
        <w:spacing w:after="0" w:line="276" w:lineRule="auto"/>
        <w:jc w:val="both"/>
        <w:rPr>
          <w:rFonts w:ascii="Times New Roman" w:hAnsi="Times New Roman"/>
          <w:i/>
          <w:sz w:val="20"/>
          <w:lang w:val="sq-AL"/>
        </w:rPr>
      </w:pPr>
      <w:r w:rsidRPr="007976C8">
        <w:rPr>
          <w:rFonts w:ascii="Times New Roman" w:hAnsi="Times New Roman"/>
          <w:i/>
          <w:sz w:val="20"/>
          <w:lang w:val="sq-AL"/>
        </w:rPr>
        <w:t>Paraqisni përllogaritjet më të mira të përgjithshme neto të ndikimit me vlerë monetare të përcaktuar për çdo opsion (shih aneksin 1/b për tabelën që mund të përdorni).</w:t>
      </w:r>
    </w:p>
    <w:p w14:paraId="69B73103" w14:textId="7F1C218A" w:rsidR="00293355" w:rsidRDefault="00293355" w:rsidP="00293355">
      <w:pPr>
        <w:pStyle w:val="BodyText"/>
        <w:spacing w:after="0" w:line="276" w:lineRule="auto"/>
        <w:jc w:val="both"/>
        <w:rPr>
          <w:rFonts w:ascii="Times New Roman" w:hAnsi="Times New Roman"/>
          <w:i/>
          <w:sz w:val="20"/>
          <w:highlight w:val="red"/>
          <w:lang w:val="sq-AL"/>
        </w:rPr>
      </w:pPr>
    </w:p>
    <w:p w14:paraId="6C51C119" w14:textId="77777777" w:rsidR="00074443" w:rsidRDefault="00074443" w:rsidP="00293355">
      <w:pPr>
        <w:pStyle w:val="BodyText"/>
        <w:spacing w:line="276" w:lineRule="auto"/>
        <w:jc w:val="both"/>
        <w:rPr>
          <w:rFonts w:ascii="Times New Roman" w:hAnsi="Times New Roman"/>
          <w:b/>
          <w:sz w:val="24"/>
          <w:szCs w:val="24"/>
          <w:lang w:val="sq-AL"/>
        </w:rPr>
      </w:pPr>
    </w:p>
    <w:p w14:paraId="1769D34C" w14:textId="2C5EC3AC" w:rsidR="00074443" w:rsidRDefault="00074443" w:rsidP="00293355">
      <w:pPr>
        <w:pStyle w:val="BodyText"/>
        <w:spacing w:line="276" w:lineRule="auto"/>
        <w:jc w:val="both"/>
        <w:rPr>
          <w:rFonts w:ascii="Times New Roman" w:hAnsi="Times New Roman"/>
          <w:b/>
          <w:sz w:val="24"/>
          <w:szCs w:val="24"/>
          <w:lang w:val="sq-AL"/>
        </w:rPr>
      </w:pPr>
      <w:r>
        <w:rPr>
          <w:rFonts w:ascii="Times New Roman" w:hAnsi="Times New Roman"/>
          <w:sz w:val="24"/>
          <w:szCs w:val="24"/>
          <w:lang w:val="sq-AL"/>
        </w:rPr>
        <w:t>G</w:t>
      </w:r>
      <w:r w:rsidRPr="004444BC">
        <w:rPr>
          <w:rFonts w:ascii="Times New Roman" w:hAnsi="Times New Roman"/>
          <w:sz w:val="24"/>
          <w:szCs w:val="24"/>
          <w:lang w:val="sq-AL"/>
        </w:rPr>
        <w:t>rupet e prekura nga problem</w:t>
      </w:r>
      <w:r>
        <w:rPr>
          <w:rFonts w:ascii="Times New Roman" w:hAnsi="Times New Roman"/>
          <w:sz w:val="24"/>
          <w:szCs w:val="24"/>
          <w:lang w:val="sq-AL"/>
        </w:rPr>
        <w:t>et e lartpërmendura janë</w:t>
      </w:r>
      <w:r w:rsidRPr="004444BC">
        <w:rPr>
          <w:rFonts w:ascii="Times New Roman" w:hAnsi="Times New Roman"/>
          <w:sz w:val="24"/>
          <w:szCs w:val="24"/>
          <w:lang w:val="sq-AL"/>
        </w:rPr>
        <w:t xml:space="preserve"> </w:t>
      </w:r>
      <w:r>
        <w:rPr>
          <w:rFonts w:ascii="Times New Roman" w:hAnsi="Times New Roman"/>
          <w:sz w:val="24"/>
          <w:szCs w:val="24"/>
          <w:lang w:val="sq-AL"/>
        </w:rPr>
        <w:t xml:space="preserve">shteti, </w:t>
      </w:r>
      <w:r w:rsidRPr="004444BC">
        <w:rPr>
          <w:rFonts w:ascii="Times New Roman" w:hAnsi="Times New Roman"/>
          <w:sz w:val="24"/>
          <w:szCs w:val="24"/>
          <w:lang w:val="sq-AL"/>
        </w:rPr>
        <w:t>qytetarët</w:t>
      </w:r>
      <w:r>
        <w:rPr>
          <w:rFonts w:ascii="Times New Roman" w:hAnsi="Times New Roman"/>
          <w:sz w:val="24"/>
          <w:szCs w:val="24"/>
          <w:lang w:val="sq-AL"/>
        </w:rPr>
        <w:t xml:space="preserve"> dhe bizneset që kanë përfituar nga garancia sovrane shtetërore.</w:t>
      </w:r>
    </w:p>
    <w:p w14:paraId="42661B8D" w14:textId="78F1053D" w:rsidR="008C4A9D" w:rsidRPr="001D308F" w:rsidRDefault="008C4A9D" w:rsidP="00293355">
      <w:pPr>
        <w:pStyle w:val="BodyText"/>
        <w:spacing w:line="276" w:lineRule="auto"/>
        <w:jc w:val="both"/>
        <w:rPr>
          <w:rFonts w:ascii="Times New Roman" w:hAnsi="Times New Roman"/>
          <w:b/>
          <w:sz w:val="24"/>
          <w:szCs w:val="24"/>
          <w:lang w:val="sq-AL"/>
        </w:rPr>
      </w:pPr>
      <w:r w:rsidRPr="001D308F">
        <w:rPr>
          <w:rFonts w:ascii="Times New Roman" w:hAnsi="Times New Roman"/>
          <w:b/>
          <w:sz w:val="24"/>
          <w:szCs w:val="24"/>
          <w:lang w:val="sq-AL"/>
        </w:rPr>
        <w:lastRenderedPageBreak/>
        <w:t>Ndikimi ekonomik</w:t>
      </w:r>
      <w:r w:rsidR="00761530">
        <w:rPr>
          <w:rFonts w:ascii="Times New Roman" w:hAnsi="Times New Roman"/>
          <w:b/>
          <w:sz w:val="24"/>
          <w:szCs w:val="24"/>
          <w:lang w:val="sq-AL"/>
        </w:rPr>
        <w:t>:</w:t>
      </w:r>
    </w:p>
    <w:p w14:paraId="3B0AB676" w14:textId="3F9E0C9E" w:rsidR="00FD5C71" w:rsidRDefault="00FD5C71" w:rsidP="00293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w:t>
      </w:r>
      <w:r w:rsidR="001D308F">
        <w:rPr>
          <w:rFonts w:ascii="Times New Roman" w:hAnsi="Times New Roman"/>
          <w:sz w:val="24"/>
          <w:szCs w:val="24"/>
          <w:lang w:val="sq-AL"/>
        </w:rPr>
        <w:t>ë</w:t>
      </w:r>
      <w:r>
        <w:rPr>
          <w:rFonts w:ascii="Times New Roman" w:hAnsi="Times New Roman"/>
          <w:sz w:val="24"/>
          <w:szCs w:val="24"/>
          <w:lang w:val="sq-AL"/>
        </w:rPr>
        <w:t>r shtetin:</w:t>
      </w:r>
    </w:p>
    <w:p w14:paraId="49CCE5E7" w14:textId="4080EED7" w:rsidR="00FD5C71" w:rsidRDefault="00FD5C71" w:rsidP="00293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Kjo politik</w:t>
      </w:r>
      <w:r w:rsidR="001D308F">
        <w:rPr>
          <w:rFonts w:ascii="Times New Roman" w:hAnsi="Times New Roman"/>
          <w:sz w:val="24"/>
          <w:szCs w:val="24"/>
          <w:lang w:val="sq-AL"/>
        </w:rPr>
        <w:t>ë</w:t>
      </w:r>
      <w:r>
        <w:rPr>
          <w:rFonts w:ascii="Times New Roman" w:hAnsi="Times New Roman"/>
          <w:sz w:val="24"/>
          <w:szCs w:val="24"/>
          <w:lang w:val="sq-AL"/>
        </w:rPr>
        <w:t xml:space="preserve"> ka nj</w:t>
      </w:r>
      <w:r w:rsidR="001D308F">
        <w:rPr>
          <w:rFonts w:ascii="Times New Roman" w:hAnsi="Times New Roman"/>
          <w:sz w:val="24"/>
          <w:szCs w:val="24"/>
          <w:lang w:val="sq-AL"/>
        </w:rPr>
        <w:t>ë</w:t>
      </w:r>
      <w:r>
        <w:rPr>
          <w:rFonts w:ascii="Times New Roman" w:hAnsi="Times New Roman"/>
          <w:sz w:val="24"/>
          <w:szCs w:val="24"/>
          <w:lang w:val="sq-AL"/>
        </w:rPr>
        <w:t xml:space="preserve"> ndikim t</w:t>
      </w:r>
      <w:r w:rsidR="001D308F">
        <w:rPr>
          <w:rFonts w:ascii="Times New Roman" w:hAnsi="Times New Roman"/>
          <w:sz w:val="24"/>
          <w:szCs w:val="24"/>
          <w:lang w:val="sq-AL"/>
        </w:rPr>
        <w:t>ë</w:t>
      </w:r>
      <w:r>
        <w:rPr>
          <w:rFonts w:ascii="Times New Roman" w:hAnsi="Times New Roman"/>
          <w:sz w:val="24"/>
          <w:szCs w:val="24"/>
          <w:lang w:val="sq-AL"/>
        </w:rPr>
        <w:t xml:space="preserve"> drejtp</w:t>
      </w:r>
      <w:r w:rsidR="001D308F">
        <w:rPr>
          <w:rFonts w:ascii="Times New Roman" w:hAnsi="Times New Roman"/>
          <w:sz w:val="24"/>
          <w:szCs w:val="24"/>
          <w:lang w:val="sq-AL"/>
        </w:rPr>
        <w:t>ë</w:t>
      </w:r>
      <w:r>
        <w:rPr>
          <w:rFonts w:ascii="Times New Roman" w:hAnsi="Times New Roman"/>
          <w:sz w:val="24"/>
          <w:szCs w:val="24"/>
          <w:lang w:val="sq-AL"/>
        </w:rPr>
        <w:t>rdrejt</w:t>
      </w:r>
      <w:r w:rsidR="001D308F">
        <w:rPr>
          <w:rFonts w:ascii="Times New Roman" w:hAnsi="Times New Roman"/>
          <w:sz w:val="24"/>
          <w:szCs w:val="24"/>
          <w:lang w:val="sq-AL"/>
        </w:rPr>
        <w:t>ë</w:t>
      </w:r>
      <w:r>
        <w:rPr>
          <w:rFonts w:ascii="Times New Roman" w:hAnsi="Times New Roman"/>
          <w:sz w:val="24"/>
          <w:szCs w:val="24"/>
          <w:lang w:val="sq-AL"/>
        </w:rPr>
        <w:t xml:space="preserve"> pozitiv n</w:t>
      </w:r>
      <w:r w:rsidR="001D308F">
        <w:rPr>
          <w:rFonts w:ascii="Times New Roman" w:hAnsi="Times New Roman"/>
          <w:sz w:val="24"/>
          <w:szCs w:val="24"/>
          <w:lang w:val="sq-AL"/>
        </w:rPr>
        <w:t>ë</w:t>
      </w:r>
      <w:r>
        <w:rPr>
          <w:rFonts w:ascii="Times New Roman" w:hAnsi="Times New Roman"/>
          <w:sz w:val="24"/>
          <w:szCs w:val="24"/>
          <w:lang w:val="sq-AL"/>
        </w:rPr>
        <w:t xml:space="preserve"> ekonomin</w:t>
      </w:r>
      <w:r w:rsidR="001D308F">
        <w:rPr>
          <w:rFonts w:ascii="Times New Roman" w:hAnsi="Times New Roman"/>
          <w:sz w:val="24"/>
          <w:szCs w:val="24"/>
          <w:lang w:val="sq-AL"/>
        </w:rPr>
        <w:t>ë</w:t>
      </w:r>
      <w:r>
        <w:rPr>
          <w:rFonts w:ascii="Times New Roman" w:hAnsi="Times New Roman"/>
          <w:sz w:val="24"/>
          <w:szCs w:val="24"/>
          <w:lang w:val="sq-AL"/>
        </w:rPr>
        <w:t xml:space="preserve"> e shtetit shqiptar (Buxhetin e Shtetit), sepse do t</w:t>
      </w:r>
      <w:r w:rsidR="001D308F">
        <w:rPr>
          <w:rFonts w:ascii="Times New Roman" w:hAnsi="Times New Roman"/>
          <w:sz w:val="24"/>
          <w:szCs w:val="24"/>
          <w:lang w:val="sq-AL"/>
        </w:rPr>
        <w:t>ë</w:t>
      </w:r>
      <w:r>
        <w:rPr>
          <w:rFonts w:ascii="Times New Roman" w:hAnsi="Times New Roman"/>
          <w:sz w:val="24"/>
          <w:szCs w:val="24"/>
          <w:lang w:val="sq-AL"/>
        </w:rPr>
        <w:t xml:space="preserve"> ket</w:t>
      </w:r>
      <w:r w:rsidR="001D308F">
        <w:rPr>
          <w:rFonts w:ascii="Times New Roman" w:hAnsi="Times New Roman"/>
          <w:sz w:val="24"/>
          <w:szCs w:val="24"/>
          <w:lang w:val="sq-AL"/>
        </w:rPr>
        <w:t>ë</w:t>
      </w:r>
      <w:r>
        <w:rPr>
          <w:rFonts w:ascii="Times New Roman" w:hAnsi="Times New Roman"/>
          <w:sz w:val="24"/>
          <w:szCs w:val="24"/>
          <w:lang w:val="sq-AL"/>
        </w:rPr>
        <w:t xml:space="preserve"> nj</w:t>
      </w:r>
      <w:r w:rsidR="001D308F">
        <w:rPr>
          <w:rFonts w:ascii="Times New Roman" w:hAnsi="Times New Roman"/>
          <w:sz w:val="24"/>
          <w:szCs w:val="24"/>
          <w:lang w:val="sq-AL"/>
        </w:rPr>
        <w:t>ë</w:t>
      </w:r>
      <w:r>
        <w:rPr>
          <w:rFonts w:ascii="Times New Roman" w:hAnsi="Times New Roman"/>
          <w:sz w:val="24"/>
          <w:szCs w:val="24"/>
          <w:lang w:val="sq-AL"/>
        </w:rPr>
        <w:t xml:space="preserve"> rikthim t</w:t>
      </w:r>
      <w:r w:rsidR="001D308F">
        <w:rPr>
          <w:rFonts w:ascii="Times New Roman" w:hAnsi="Times New Roman"/>
          <w:sz w:val="24"/>
          <w:szCs w:val="24"/>
          <w:lang w:val="sq-AL"/>
        </w:rPr>
        <w:t>ë</w:t>
      </w:r>
      <w:r>
        <w:rPr>
          <w:rFonts w:ascii="Times New Roman" w:hAnsi="Times New Roman"/>
          <w:sz w:val="24"/>
          <w:szCs w:val="24"/>
          <w:lang w:val="sq-AL"/>
        </w:rPr>
        <w:t xml:space="preserve"> </w:t>
      </w:r>
      <w:r w:rsidRPr="00293355">
        <w:rPr>
          <w:rFonts w:ascii="Times New Roman" w:hAnsi="Times New Roman"/>
          <w:sz w:val="24"/>
          <w:szCs w:val="24"/>
          <w:lang w:val="sq-AL"/>
        </w:rPr>
        <w:t>fonde</w:t>
      </w:r>
      <w:r>
        <w:rPr>
          <w:rFonts w:ascii="Times New Roman" w:hAnsi="Times New Roman"/>
          <w:sz w:val="24"/>
          <w:szCs w:val="24"/>
          <w:lang w:val="sq-AL"/>
        </w:rPr>
        <w:t>ve t</w:t>
      </w:r>
      <w:r w:rsidR="001D308F">
        <w:rPr>
          <w:rFonts w:ascii="Times New Roman" w:hAnsi="Times New Roman"/>
          <w:sz w:val="24"/>
          <w:szCs w:val="24"/>
          <w:lang w:val="sq-AL"/>
        </w:rPr>
        <w:t>ë</w:t>
      </w:r>
      <w:r>
        <w:rPr>
          <w:rFonts w:ascii="Times New Roman" w:hAnsi="Times New Roman"/>
          <w:sz w:val="24"/>
          <w:szCs w:val="24"/>
          <w:lang w:val="sq-AL"/>
        </w:rPr>
        <w:t xml:space="preserve"> alokuara</w:t>
      </w:r>
      <w:r w:rsidR="00071772">
        <w:rPr>
          <w:rFonts w:ascii="Times New Roman" w:hAnsi="Times New Roman"/>
          <w:sz w:val="24"/>
          <w:szCs w:val="24"/>
          <w:lang w:val="sq-AL"/>
        </w:rPr>
        <w:t xml:space="preserve"> nga shteti</w:t>
      </w:r>
      <w:r>
        <w:rPr>
          <w:rFonts w:ascii="Times New Roman" w:hAnsi="Times New Roman"/>
          <w:sz w:val="24"/>
          <w:szCs w:val="24"/>
          <w:lang w:val="sq-AL"/>
        </w:rPr>
        <w:t xml:space="preserve"> p</w:t>
      </w:r>
      <w:r w:rsidR="001D308F">
        <w:rPr>
          <w:rFonts w:ascii="Times New Roman" w:hAnsi="Times New Roman"/>
          <w:sz w:val="24"/>
          <w:szCs w:val="24"/>
          <w:lang w:val="sq-AL"/>
        </w:rPr>
        <w:t>ë</w:t>
      </w:r>
      <w:r>
        <w:rPr>
          <w:rFonts w:ascii="Times New Roman" w:hAnsi="Times New Roman"/>
          <w:sz w:val="24"/>
          <w:szCs w:val="24"/>
          <w:lang w:val="sq-AL"/>
        </w:rPr>
        <w:t>r bizneset n</w:t>
      </w:r>
      <w:r w:rsidR="001D308F">
        <w:rPr>
          <w:rFonts w:ascii="Times New Roman" w:hAnsi="Times New Roman"/>
          <w:sz w:val="24"/>
          <w:szCs w:val="24"/>
          <w:lang w:val="sq-AL"/>
        </w:rPr>
        <w:t>ë</w:t>
      </w:r>
      <w:r>
        <w:rPr>
          <w:rFonts w:ascii="Times New Roman" w:hAnsi="Times New Roman"/>
          <w:sz w:val="24"/>
          <w:szCs w:val="24"/>
          <w:lang w:val="sq-AL"/>
        </w:rPr>
        <w:t xml:space="preserve"> kuad</w:t>
      </w:r>
      <w:r w:rsidR="001D308F">
        <w:rPr>
          <w:rFonts w:ascii="Times New Roman" w:hAnsi="Times New Roman"/>
          <w:sz w:val="24"/>
          <w:szCs w:val="24"/>
          <w:lang w:val="sq-AL"/>
        </w:rPr>
        <w:t>ë</w:t>
      </w:r>
      <w:r>
        <w:rPr>
          <w:rFonts w:ascii="Times New Roman" w:hAnsi="Times New Roman"/>
          <w:sz w:val="24"/>
          <w:szCs w:val="24"/>
          <w:lang w:val="sq-AL"/>
        </w:rPr>
        <w:t>r t</w:t>
      </w:r>
      <w:r w:rsidR="001D308F">
        <w:rPr>
          <w:rFonts w:ascii="Times New Roman" w:hAnsi="Times New Roman"/>
          <w:sz w:val="24"/>
          <w:szCs w:val="24"/>
          <w:lang w:val="sq-AL"/>
        </w:rPr>
        <w:t>ë</w:t>
      </w:r>
      <w:r>
        <w:rPr>
          <w:rFonts w:ascii="Times New Roman" w:hAnsi="Times New Roman"/>
          <w:sz w:val="24"/>
          <w:szCs w:val="24"/>
          <w:lang w:val="sq-AL"/>
        </w:rPr>
        <w:t xml:space="preserve"> garancive shtet</w:t>
      </w:r>
      <w:r w:rsidR="001D308F">
        <w:rPr>
          <w:rFonts w:ascii="Times New Roman" w:hAnsi="Times New Roman"/>
          <w:sz w:val="24"/>
          <w:szCs w:val="24"/>
          <w:lang w:val="sq-AL"/>
        </w:rPr>
        <w:t>ë</w:t>
      </w:r>
      <w:r>
        <w:rPr>
          <w:rFonts w:ascii="Times New Roman" w:hAnsi="Times New Roman"/>
          <w:sz w:val="24"/>
          <w:szCs w:val="24"/>
          <w:lang w:val="sq-AL"/>
        </w:rPr>
        <w:t>rore dhe n</w:t>
      </w:r>
      <w:r w:rsidR="001D308F">
        <w:rPr>
          <w:rFonts w:ascii="Times New Roman" w:hAnsi="Times New Roman"/>
          <w:sz w:val="24"/>
          <w:szCs w:val="24"/>
          <w:lang w:val="sq-AL"/>
        </w:rPr>
        <w:t>ë</w:t>
      </w:r>
      <w:r>
        <w:rPr>
          <w:rFonts w:ascii="Times New Roman" w:hAnsi="Times New Roman"/>
          <w:sz w:val="24"/>
          <w:szCs w:val="24"/>
          <w:lang w:val="sq-AL"/>
        </w:rPr>
        <w:t>nhuave,</w:t>
      </w:r>
      <w:r w:rsidRPr="00293355">
        <w:rPr>
          <w:rFonts w:ascii="Times New Roman" w:hAnsi="Times New Roman"/>
          <w:sz w:val="24"/>
          <w:szCs w:val="24"/>
          <w:lang w:val="sq-AL"/>
        </w:rPr>
        <w:t xml:space="preserve"> </w:t>
      </w:r>
      <w:r>
        <w:rPr>
          <w:rFonts w:ascii="Times New Roman" w:hAnsi="Times New Roman"/>
          <w:sz w:val="24"/>
          <w:szCs w:val="24"/>
          <w:lang w:val="sq-AL"/>
        </w:rPr>
        <w:t>n</w:t>
      </w:r>
      <w:r w:rsidR="001D308F">
        <w:rPr>
          <w:rFonts w:ascii="Times New Roman" w:hAnsi="Times New Roman"/>
          <w:sz w:val="24"/>
          <w:szCs w:val="24"/>
          <w:lang w:val="sq-AL"/>
        </w:rPr>
        <w:t>ë</w:t>
      </w:r>
      <w:r w:rsidRPr="00293355">
        <w:rPr>
          <w:rFonts w:ascii="Times New Roman" w:hAnsi="Times New Roman"/>
          <w:sz w:val="24"/>
          <w:szCs w:val="24"/>
          <w:lang w:val="sq-AL"/>
        </w:rPr>
        <w:t xml:space="preserve"> buxheti</w:t>
      </w:r>
      <w:r>
        <w:rPr>
          <w:rFonts w:ascii="Times New Roman" w:hAnsi="Times New Roman"/>
          <w:sz w:val="24"/>
          <w:szCs w:val="24"/>
          <w:lang w:val="sq-AL"/>
        </w:rPr>
        <w:t>n</w:t>
      </w:r>
      <w:r w:rsidRPr="00293355">
        <w:rPr>
          <w:rFonts w:ascii="Times New Roman" w:hAnsi="Times New Roman"/>
          <w:sz w:val="24"/>
          <w:szCs w:val="24"/>
          <w:lang w:val="sq-AL"/>
        </w:rPr>
        <w:t xml:space="preserve"> </w:t>
      </w:r>
      <w:r>
        <w:rPr>
          <w:rFonts w:ascii="Times New Roman" w:hAnsi="Times New Roman"/>
          <w:sz w:val="24"/>
          <w:szCs w:val="24"/>
          <w:lang w:val="sq-AL"/>
        </w:rPr>
        <w:t>e</w:t>
      </w:r>
      <w:r w:rsidRPr="00293355">
        <w:rPr>
          <w:rFonts w:ascii="Times New Roman" w:hAnsi="Times New Roman"/>
          <w:sz w:val="24"/>
          <w:szCs w:val="24"/>
          <w:lang w:val="sq-AL"/>
        </w:rPr>
        <w:t xml:space="preserve"> shtetit</w:t>
      </w:r>
      <w:r>
        <w:rPr>
          <w:rFonts w:ascii="Times New Roman" w:hAnsi="Times New Roman"/>
          <w:sz w:val="24"/>
          <w:szCs w:val="24"/>
          <w:lang w:val="sq-AL"/>
        </w:rPr>
        <w:t>. N</w:t>
      </w:r>
      <w:r w:rsidR="001D308F">
        <w:rPr>
          <w:rFonts w:ascii="Times New Roman" w:hAnsi="Times New Roman"/>
          <w:sz w:val="24"/>
          <w:szCs w:val="24"/>
          <w:lang w:val="sq-AL"/>
        </w:rPr>
        <w:t>ë</w:t>
      </w:r>
      <w:r>
        <w:rPr>
          <w:rFonts w:ascii="Times New Roman" w:hAnsi="Times New Roman"/>
          <w:sz w:val="24"/>
          <w:szCs w:val="24"/>
          <w:lang w:val="sq-AL"/>
        </w:rPr>
        <w:t xml:space="preserve"> k</w:t>
      </w:r>
      <w:r w:rsidR="001D308F">
        <w:rPr>
          <w:rFonts w:ascii="Times New Roman" w:hAnsi="Times New Roman"/>
          <w:sz w:val="24"/>
          <w:szCs w:val="24"/>
          <w:lang w:val="sq-AL"/>
        </w:rPr>
        <w:t>ë</w:t>
      </w:r>
      <w:r>
        <w:rPr>
          <w:rFonts w:ascii="Times New Roman" w:hAnsi="Times New Roman"/>
          <w:sz w:val="24"/>
          <w:szCs w:val="24"/>
          <w:lang w:val="sq-AL"/>
        </w:rPr>
        <w:t>t</w:t>
      </w:r>
      <w:r w:rsidR="001D308F">
        <w:rPr>
          <w:rFonts w:ascii="Times New Roman" w:hAnsi="Times New Roman"/>
          <w:sz w:val="24"/>
          <w:szCs w:val="24"/>
          <w:lang w:val="sq-AL"/>
        </w:rPr>
        <w:t>ë</w:t>
      </w:r>
      <w:r>
        <w:rPr>
          <w:rFonts w:ascii="Times New Roman" w:hAnsi="Times New Roman"/>
          <w:sz w:val="24"/>
          <w:szCs w:val="24"/>
          <w:lang w:val="sq-AL"/>
        </w:rPr>
        <w:t xml:space="preserve"> m</w:t>
      </w:r>
      <w:r w:rsidR="001D308F">
        <w:rPr>
          <w:rFonts w:ascii="Times New Roman" w:hAnsi="Times New Roman"/>
          <w:sz w:val="24"/>
          <w:szCs w:val="24"/>
          <w:lang w:val="sq-AL"/>
        </w:rPr>
        <w:t>ë</w:t>
      </w:r>
      <w:r>
        <w:rPr>
          <w:rFonts w:ascii="Times New Roman" w:hAnsi="Times New Roman"/>
          <w:sz w:val="24"/>
          <w:szCs w:val="24"/>
          <w:lang w:val="sq-AL"/>
        </w:rPr>
        <w:t>nyr</w:t>
      </w:r>
      <w:r w:rsidR="001D308F">
        <w:rPr>
          <w:rFonts w:ascii="Times New Roman" w:hAnsi="Times New Roman"/>
          <w:sz w:val="24"/>
          <w:szCs w:val="24"/>
          <w:lang w:val="sq-AL"/>
        </w:rPr>
        <w:t>ë</w:t>
      </w:r>
      <w:r>
        <w:rPr>
          <w:rFonts w:ascii="Times New Roman" w:hAnsi="Times New Roman"/>
          <w:sz w:val="24"/>
          <w:szCs w:val="24"/>
          <w:lang w:val="sq-AL"/>
        </w:rPr>
        <w:t xml:space="preserve"> k</w:t>
      </w:r>
      <w:r w:rsidR="001D308F">
        <w:rPr>
          <w:rFonts w:ascii="Times New Roman" w:hAnsi="Times New Roman"/>
          <w:sz w:val="24"/>
          <w:szCs w:val="24"/>
          <w:lang w:val="sq-AL"/>
        </w:rPr>
        <w:t>ë</w:t>
      </w:r>
      <w:r>
        <w:rPr>
          <w:rFonts w:ascii="Times New Roman" w:hAnsi="Times New Roman"/>
          <w:sz w:val="24"/>
          <w:szCs w:val="24"/>
          <w:lang w:val="sq-AL"/>
        </w:rPr>
        <w:t>to fonde do t</w:t>
      </w:r>
      <w:r w:rsidR="001D308F">
        <w:rPr>
          <w:rFonts w:ascii="Times New Roman" w:hAnsi="Times New Roman"/>
          <w:sz w:val="24"/>
          <w:szCs w:val="24"/>
          <w:lang w:val="sq-AL"/>
        </w:rPr>
        <w:t>ë</w:t>
      </w:r>
      <w:r>
        <w:rPr>
          <w:rFonts w:ascii="Times New Roman" w:hAnsi="Times New Roman"/>
          <w:sz w:val="24"/>
          <w:szCs w:val="24"/>
          <w:lang w:val="sq-AL"/>
        </w:rPr>
        <w:t xml:space="preserve"> mund t</w:t>
      </w:r>
      <w:r w:rsidR="001D308F">
        <w:rPr>
          <w:rFonts w:ascii="Times New Roman" w:hAnsi="Times New Roman"/>
          <w:sz w:val="24"/>
          <w:szCs w:val="24"/>
          <w:lang w:val="sq-AL"/>
        </w:rPr>
        <w:t>ë</w:t>
      </w:r>
      <w:r>
        <w:rPr>
          <w:rFonts w:ascii="Times New Roman" w:hAnsi="Times New Roman"/>
          <w:sz w:val="24"/>
          <w:szCs w:val="24"/>
          <w:lang w:val="sq-AL"/>
        </w:rPr>
        <w:t xml:space="preserve"> p</w:t>
      </w:r>
      <w:r w:rsidR="001D308F">
        <w:rPr>
          <w:rFonts w:ascii="Times New Roman" w:hAnsi="Times New Roman"/>
          <w:sz w:val="24"/>
          <w:szCs w:val="24"/>
          <w:lang w:val="sq-AL"/>
        </w:rPr>
        <w:t>ë</w:t>
      </w:r>
      <w:r>
        <w:rPr>
          <w:rFonts w:ascii="Times New Roman" w:hAnsi="Times New Roman"/>
          <w:sz w:val="24"/>
          <w:szCs w:val="24"/>
          <w:lang w:val="sq-AL"/>
        </w:rPr>
        <w:t>rdoren p</w:t>
      </w:r>
      <w:r w:rsidR="001D308F">
        <w:rPr>
          <w:rFonts w:ascii="Times New Roman" w:hAnsi="Times New Roman"/>
          <w:sz w:val="24"/>
          <w:szCs w:val="24"/>
          <w:lang w:val="sq-AL"/>
        </w:rPr>
        <w:t>ë</w:t>
      </w:r>
      <w:r>
        <w:rPr>
          <w:rFonts w:ascii="Times New Roman" w:hAnsi="Times New Roman"/>
          <w:sz w:val="24"/>
          <w:szCs w:val="24"/>
          <w:lang w:val="sq-AL"/>
        </w:rPr>
        <w:t>r t</w:t>
      </w:r>
      <w:r w:rsidR="001D308F">
        <w:rPr>
          <w:rFonts w:ascii="Times New Roman" w:hAnsi="Times New Roman"/>
          <w:sz w:val="24"/>
          <w:szCs w:val="24"/>
          <w:lang w:val="sq-AL"/>
        </w:rPr>
        <w:t>’i</w:t>
      </w:r>
      <w:r>
        <w:rPr>
          <w:rFonts w:ascii="Times New Roman" w:hAnsi="Times New Roman"/>
          <w:sz w:val="24"/>
          <w:szCs w:val="24"/>
          <w:lang w:val="sq-AL"/>
        </w:rPr>
        <w:t xml:space="preserve"> ardhur n</w:t>
      </w:r>
      <w:r w:rsidR="001D308F">
        <w:rPr>
          <w:rFonts w:ascii="Times New Roman" w:hAnsi="Times New Roman"/>
          <w:sz w:val="24"/>
          <w:szCs w:val="24"/>
          <w:lang w:val="sq-AL"/>
        </w:rPr>
        <w:t>ë</w:t>
      </w:r>
      <w:r>
        <w:rPr>
          <w:rFonts w:ascii="Times New Roman" w:hAnsi="Times New Roman"/>
          <w:sz w:val="24"/>
          <w:szCs w:val="24"/>
          <w:lang w:val="sq-AL"/>
        </w:rPr>
        <w:t xml:space="preserve"> ndihm</w:t>
      </w:r>
      <w:r w:rsidR="001D308F">
        <w:rPr>
          <w:rFonts w:ascii="Times New Roman" w:hAnsi="Times New Roman"/>
          <w:sz w:val="24"/>
          <w:szCs w:val="24"/>
          <w:lang w:val="sq-AL"/>
        </w:rPr>
        <w:t>ë</w:t>
      </w:r>
      <w:r>
        <w:rPr>
          <w:rFonts w:ascii="Times New Roman" w:hAnsi="Times New Roman"/>
          <w:sz w:val="24"/>
          <w:szCs w:val="24"/>
          <w:lang w:val="sq-AL"/>
        </w:rPr>
        <w:t xml:space="preserve"> sektor</w:t>
      </w:r>
      <w:r w:rsidR="001D308F">
        <w:rPr>
          <w:rFonts w:ascii="Times New Roman" w:hAnsi="Times New Roman"/>
          <w:sz w:val="24"/>
          <w:szCs w:val="24"/>
          <w:lang w:val="sq-AL"/>
        </w:rPr>
        <w:t>ë</w:t>
      </w:r>
      <w:r>
        <w:rPr>
          <w:rFonts w:ascii="Times New Roman" w:hAnsi="Times New Roman"/>
          <w:sz w:val="24"/>
          <w:szCs w:val="24"/>
          <w:lang w:val="sq-AL"/>
        </w:rPr>
        <w:t>ve t</w:t>
      </w:r>
      <w:r w:rsidR="001D308F">
        <w:rPr>
          <w:rFonts w:ascii="Times New Roman" w:hAnsi="Times New Roman"/>
          <w:sz w:val="24"/>
          <w:szCs w:val="24"/>
          <w:lang w:val="sq-AL"/>
        </w:rPr>
        <w:t>ë</w:t>
      </w:r>
      <w:r>
        <w:rPr>
          <w:rFonts w:ascii="Times New Roman" w:hAnsi="Times New Roman"/>
          <w:sz w:val="24"/>
          <w:szCs w:val="24"/>
          <w:lang w:val="sq-AL"/>
        </w:rPr>
        <w:t xml:space="preserve"> tjer</w:t>
      </w:r>
      <w:r w:rsidR="001D308F">
        <w:rPr>
          <w:rFonts w:ascii="Times New Roman" w:hAnsi="Times New Roman"/>
          <w:sz w:val="24"/>
          <w:szCs w:val="24"/>
          <w:lang w:val="sq-AL"/>
        </w:rPr>
        <w:t>ë</w:t>
      </w:r>
      <w:r>
        <w:rPr>
          <w:rFonts w:ascii="Times New Roman" w:hAnsi="Times New Roman"/>
          <w:sz w:val="24"/>
          <w:szCs w:val="24"/>
          <w:lang w:val="sq-AL"/>
        </w:rPr>
        <w:t xml:space="preserve"> ekonomik</w:t>
      </w:r>
      <w:r w:rsidR="001D308F">
        <w:rPr>
          <w:rFonts w:ascii="Times New Roman" w:hAnsi="Times New Roman"/>
          <w:sz w:val="24"/>
          <w:szCs w:val="24"/>
          <w:lang w:val="sq-AL"/>
        </w:rPr>
        <w:t>ë</w:t>
      </w:r>
      <w:r>
        <w:rPr>
          <w:rFonts w:ascii="Times New Roman" w:hAnsi="Times New Roman"/>
          <w:sz w:val="24"/>
          <w:szCs w:val="24"/>
          <w:lang w:val="sq-AL"/>
        </w:rPr>
        <w:t xml:space="preserve">. </w:t>
      </w:r>
    </w:p>
    <w:p w14:paraId="6DCE5A40" w14:textId="41FEE532" w:rsidR="00331351" w:rsidRDefault="00FD5C71" w:rsidP="00293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Gjithashtu, n</w:t>
      </w:r>
      <w:r w:rsidR="00293355" w:rsidRPr="00293355">
        <w:rPr>
          <w:rFonts w:ascii="Times New Roman" w:hAnsi="Times New Roman"/>
          <w:sz w:val="24"/>
          <w:szCs w:val="24"/>
          <w:lang w:val="sq-AL"/>
        </w:rPr>
        <w:t>dërhyrj</w:t>
      </w:r>
      <w:r w:rsidR="007C18B4">
        <w:rPr>
          <w:rFonts w:ascii="Times New Roman" w:hAnsi="Times New Roman"/>
          <w:sz w:val="24"/>
          <w:szCs w:val="24"/>
          <w:lang w:val="sq-AL"/>
        </w:rPr>
        <w:t>et</w:t>
      </w:r>
      <w:r w:rsidR="00293355" w:rsidRPr="00293355">
        <w:rPr>
          <w:rFonts w:ascii="Times New Roman" w:hAnsi="Times New Roman"/>
          <w:sz w:val="24"/>
          <w:szCs w:val="24"/>
          <w:lang w:val="sq-AL"/>
        </w:rPr>
        <w:t xml:space="preserve"> e synuar</w:t>
      </w:r>
      <w:r w:rsidR="007C18B4">
        <w:rPr>
          <w:rFonts w:ascii="Times New Roman" w:hAnsi="Times New Roman"/>
          <w:sz w:val="24"/>
          <w:szCs w:val="24"/>
          <w:lang w:val="sq-AL"/>
        </w:rPr>
        <w:t>a</w:t>
      </w:r>
      <w:r w:rsidR="00293355" w:rsidRPr="00293355">
        <w:rPr>
          <w:rFonts w:ascii="Times New Roman" w:hAnsi="Times New Roman"/>
          <w:sz w:val="24"/>
          <w:szCs w:val="24"/>
          <w:lang w:val="sq-AL"/>
        </w:rPr>
        <w:t xml:space="preserve"> në </w:t>
      </w:r>
      <w:r w:rsidR="007C18B4">
        <w:rPr>
          <w:rFonts w:ascii="Times New Roman" w:hAnsi="Times New Roman"/>
          <w:sz w:val="24"/>
          <w:szCs w:val="24"/>
          <w:lang w:val="sq-AL"/>
        </w:rPr>
        <w:t>kuadrin ligjor</w:t>
      </w:r>
      <w:r w:rsidR="00293355" w:rsidRPr="00293355">
        <w:rPr>
          <w:rFonts w:ascii="Times New Roman" w:hAnsi="Times New Roman"/>
          <w:sz w:val="24"/>
          <w:szCs w:val="24"/>
          <w:lang w:val="sq-AL"/>
        </w:rPr>
        <w:t>, prekin veprimtarinë e Ministrisë së Financave dhe Ekonomisë</w:t>
      </w:r>
      <w:r w:rsidR="00071772">
        <w:rPr>
          <w:rFonts w:ascii="Times New Roman" w:hAnsi="Times New Roman"/>
          <w:sz w:val="24"/>
          <w:szCs w:val="24"/>
          <w:lang w:val="sq-AL"/>
        </w:rPr>
        <w:t xml:space="preserve"> dhe Agjencin</w:t>
      </w:r>
      <w:r w:rsidR="003162AD">
        <w:rPr>
          <w:rFonts w:ascii="Times New Roman" w:hAnsi="Times New Roman"/>
          <w:sz w:val="24"/>
          <w:szCs w:val="24"/>
          <w:lang w:val="sq-AL"/>
        </w:rPr>
        <w:t>ë</w:t>
      </w:r>
      <w:r w:rsidR="00071772">
        <w:rPr>
          <w:rFonts w:ascii="Times New Roman" w:hAnsi="Times New Roman"/>
          <w:sz w:val="24"/>
          <w:szCs w:val="24"/>
          <w:lang w:val="sq-AL"/>
        </w:rPr>
        <w:t xml:space="preserve"> e Trajtimit t</w:t>
      </w:r>
      <w:r w:rsidR="003162AD">
        <w:rPr>
          <w:rFonts w:ascii="Times New Roman" w:hAnsi="Times New Roman"/>
          <w:sz w:val="24"/>
          <w:szCs w:val="24"/>
          <w:lang w:val="sq-AL"/>
        </w:rPr>
        <w:t>ë</w:t>
      </w:r>
      <w:r w:rsidR="00071772">
        <w:rPr>
          <w:rFonts w:ascii="Times New Roman" w:hAnsi="Times New Roman"/>
          <w:sz w:val="24"/>
          <w:szCs w:val="24"/>
          <w:lang w:val="sq-AL"/>
        </w:rPr>
        <w:t xml:space="preserve"> Kredive</w:t>
      </w:r>
      <w:r w:rsidR="00293355" w:rsidRPr="00293355">
        <w:rPr>
          <w:rFonts w:ascii="Times New Roman" w:hAnsi="Times New Roman"/>
          <w:sz w:val="24"/>
          <w:szCs w:val="24"/>
          <w:lang w:val="sq-AL"/>
        </w:rPr>
        <w:t xml:space="preserve"> në drejtim të një menaxhimi më efektiv të veprimtarisë së menaxhimit të </w:t>
      </w:r>
      <w:r w:rsidR="0083315F">
        <w:rPr>
          <w:rFonts w:ascii="Times New Roman" w:hAnsi="Times New Roman"/>
          <w:sz w:val="24"/>
          <w:szCs w:val="24"/>
          <w:lang w:val="sq-AL"/>
        </w:rPr>
        <w:t>kredive dhe garancive</w:t>
      </w:r>
      <w:r w:rsidR="00331351">
        <w:rPr>
          <w:rFonts w:ascii="Times New Roman" w:hAnsi="Times New Roman"/>
          <w:sz w:val="24"/>
          <w:szCs w:val="24"/>
          <w:lang w:val="sq-AL"/>
        </w:rPr>
        <w:t>.</w:t>
      </w:r>
    </w:p>
    <w:p w14:paraId="2840E1E1" w14:textId="4B55E72E" w:rsidR="00071772" w:rsidRDefault="4157CBF5" w:rsidP="00293355">
      <w:pPr>
        <w:pStyle w:val="BodyText"/>
        <w:spacing w:line="276" w:lineRule="auto"/>
        <w:jc w:val="both"/>
        <w:rPr>
          <w:rFonts w:ascii="Times New Roman" w:hAnsi="Times New Roman"/>
          <w:sz w:val="24"/>
          <w:szCs w:val="24"/>
          <w:lang w:val="sq-AL"/>
        </w:rPr>
      </w:pPr>
      <w:r w:rsidRPr="4157CBF5">
        <w:rPr>
          <w:rFonts w:ascii="Times New Roman" w:hAnsi="Times New Roman"/>
          <w:sz w:val="24"/>
          <w:szCs w:val="24"/>
          <w:lang w:val="sq-AL"/>
        </w:rPr>
        <w:t>Sqarojmë se</w:t>
      </w:r>
      <w:r w:rsidR="00071772">
        <w:rPr>
          <w:rFonts w:ascii="Times New Roman" w:hAnsi="Times New Roman"/>
          <w:sz w:val="24"/>
          <w:szCs w:val="24"/>
          <w:lang w:val="sq-AL"/>
        </w:rPr>
        <w:t>,</w:t>
      </w:r>
      <w:r w:rsidRPr="4157CBF5">
        <w:rPr>
          <w:rFonts w:ascii="Times New Roman" w:hAnsi="Times New Roman"/>
          <w:sz w:val="24"/>
          <w:szCs w:val="24"/>
          <w:lang w:val="sq-AL"/>
        </w:rPr>
        <w:t xml:space="preserve"> ndërhyrjet e synuara</w:t>
      </w:r>
      <w:r w:rsidR="00071772">
        <w:rPr>
          <w:rFonts w:ascii="Times New Roman" w:hAnsi="Times New Roman"/>
          <w:sz w:val="24"/>
          <w:szCs w:val="24"/>
          <w:lang w:val="sq-AL"/>
        </w:rPr>
        <w:t xml:space="preserve"> nuk paraqesin kosto shtes</w:t>
      </w:r>
      <w:r w:rsidR="003162AD">
        <w:rPr>
          <w:rFonts w:ascii="Times New Roman" w:hAnsi="Times New Roman"/>
          <w:sz w:val="24"/>
          <w:szCs w:val="24"/>
          <w:lang w:val="sq-AL"/>
        </w:rPr>
        <w:t>ë</w:t>
      </w:r>
      <w:r w:rsidR="00071772">
        <w:rPr>
          <w:rFonts w:ascii="Times New Roman" w:hAnsi="Times New Roman"/>
          <w:sz w:val="24"/>
          <w:szCs w:val="24"/>
          <w:lang w:val="sq-AL"/>
        </w:rPr>
        <w:t xml:space="preserve"> p</w:t>
      </w:r>
      <w:r w:rsidR="003162AD">
        <w:rPr>
          <w:rFonts w:ascii="Times New Roman" w:hAnsi="Times New Roman"/>
          <w:sz w:val="24"/>
          <w:szCs w:val="24"/>
          <w:lang w:val="sq-AL"/>
        </w:rPr>
        <w:t>ë</w:t>
      </w:r>
      <w:r w:rsidR="00071772">
        <w:rPr>
          <w:rFonts w:ascii="Times New Roman" w:hAnsi="Times New Roman"/>
          <w:sz w:val="24"/>
          <w:szCs w:val="24"/>
          <w:lang w:val="sq-AL"/>
        </w:rPr>
        <w:t>r Buxhetin e Shtetit n</w:t>
      </w:r>
      <w:r w:rsidR="003162AD">
        <w:rPr>
          <w:rFonts w:ascii="Times New Roman" w:hAnsi="Times New Roman"/>
          <w:sz w:val="24"/>
          <w:szCs w:val="24"/>
          <w:lang w:val="sq-AL"/>
        </w:rPr>
        <w:t>ë</w:t>
      </w:r>
      <w:r w:rsidR="00071772">
        <w:rPr>
          <w:rFonts w:ascii="Times New Roman" w:hAnsi="Times New Roman"/>
          <w:sz w:val="24"/>
          <w:szCs w:val="24"/>
          <w:lang w:val="sq-AL"/>
        </w:rPr>
        <w:t xml:space="preserve"> drejtim t</w:t>
      </w:r>
      <w:r w:rsidR="003162AD">
        <w:rPr>
          <w:rFonts w:ascii="Times New Roman" w:hAnsi="Times New Roman"/>
          <w:sz w:val="24"/>
          <w:szCs w:val="24"/>
          <w:lang w:val="sq-AL"/>
        </w:rPr>
        <w:t>ë</w:t>
      </w:r>
      <w:r w:rsidR="00071772">
        <w:rPr>
          <w:rFonts w:ascii="Times New Roman" w:hAnsi="Times New Roman"/>
          <w:sz w:val="24"/>
          <w:szCs w:val="24"/>
          <w:lang w:val="sq-AL"/>
        </w:rPr>
        <w:t xml:space="preserve"> ngritjes s</w:t>
      </w:r>
      <w:r w:rsidR="003162AD">
        <w:rPr>
          <w:rFonts w:ascii="Times New Roman" w:hAnsi="Times New Roman"/>
          <w:sz w:val="24"/>
          <w:szCs w:val="24"/>
          <w:lang w:val="sq-AL"/>
        </w:rPr>
        <w:t>ë</w:t>
      </w:r>
      <w:r w:rsidR="00071772">
        <w:rPr>
          <w:rFonts w:ascii="Times New Roman" w:hAnsi="Times New Roman"/>
          <w:sz w:val="24"/>
          <w:szCs w:val="24"/>
          <w:lang w:val="sq-AL"/>
        </w:rPr>
        <w:t xml:space="preserve"> nj</w:t>
      </w:r>
      <w:r w:rsidR="003162AD">
        <w:rPr>
          <w:rFonts w:ascii="Times New Roman" w:hAnsi="Times New Roman"/>
          <w:sz w:val="24"/>
          <w:szCs w:val="24"/>
          <w:lang w:val="sq-AL"/>
        </w:rPr>
        <w:t>ë</w:t>
      </w:r>
      <w:r w:rsidR="00071772">
        <w:rPr>
          <w:rFonts w:ascii="Times New Roman" w:hAnsi="Times New Roman"/>
          <w:sz w:val="24"/>
          <w:szCs w:val="24"/>
          <w:lang w:val="sq-AL"/>
        </w:rPr>
        <w:t xml:space="preserve"> infrastrukture t</w:t>
      </w:r>
      <w:r w:rsidR="003162AD">
        <w:rPr>
          <w:rFonts w:ascii="Times New Roman" w:hAnsi="Times New Roman"/>
          <w:sz w:val="24"/>
          <w:szCs w:val="24"/>
          <w:lang w:val="sq-AL"/>
        </w:rPr>
        <w:t>ë</w:t>
      </w:r>
      <w:r w:rsidR="00071772">
        <w:rPr>
          <w:rFonts w:ascii="Times New Roman" w:hAnsi="Times New Roman"/>
          <w:sz w:val="24"/>
          <w:szCs w:val="24"/>
          <w:lang w:val="sq-AL"/>
        </w:rPr>
        <w:t xml:space="preserve"> re, ngritjen e strukturave dhe rekrutimin e nj</w:t>
      </w:r>
      <w:r w:rsidR="003162AD">
        <w:rPr>
          <w:rFonts w:ascii="Times New Roman" w:hAnsi="Times New Roman"/>
          <w:sz w:val="24"/>
          <w:szCs w:val="24"/>
          <w:lang w:val="sq-AL"/>
        </w:rPr>
        <w:t>ë</w:t>
      </w:r>
      <w:r w:rsidR="00071772">
        <w:rPr>
          <w:rFonts w:ascii="Times New Roman" w:hAnsi="Times New Roman"/>
          <w:sz w:val="24"/>
          <w:szCs w:val="24"/>
          <w:lang w:val="sq-AL"/>
        </w:rPr>
        <w:t xml:space="preserve"> personeli t</w:t>
      </w:r>
      <w:r w:rsidR="003162AD">
        <w:rPr>
          <w:rFonts w:ascii="Times New Roman" w:hAnsi="Times New Roman"/>
          <w:sz w:val="24"/>
          <w:szCs w:val="24"/>
          <w:lang w:val="sq-AL"/>
        </w:rPr>
        <w:t>ë</w:t>
      </w:r>
      <w:r w:rsidR="00071772">
        <w:rPr>
          <w:rFonts w:ascii="Times New Roman" w:hAnsi="Times New Roman"/>
          <w:sz w:val="24"/>
          <w:szCs w:val="24"/>
          <w:lang w:val="sq-AL"/>
        </w:rPr>
        <w:t xml:space="preserve"> ri</w:t>
      </w:r>
      <w:r>
        <w:t xml:space="preserve">, </w:t>
      </w:r>
      <w:r w:rsidR="00071772">
        <w:t xml:space="preserve">pasi </w:t>
      </w:r>
      <w:r w:rsidRPr="4157CBF5">
        <w:rPr>
          <w:rFonts w:ascii="Times New Roman" w:hAnsi="Times New Roman"/>
          <w:sz w:val="24"/>
          <w:szCs w:val="24"/>
          <w:lang w:val="sq-AL"/>
        </w:rPr>
        <w:t>infrastruktura dhe personeli</w:t>
      </w:r>
      <w:r w:rsidR="00071772">
        <w:rPr>
          <w:rFonts w:ascii="Times New Roman" w:hAnsi="Times New Roman"/>
          <w:sz w:val="24"/>
          <w:szCs w:val="24"/>
          <w:lang w:val="sq-AL"/>
        </w:rPr>
        <w:t xml:space="preserve"> (sipas nje strukture t</w:t>
      </w:r>
      <w:r w:rsidR="003162AD">
        <w:rPr>
          <w:rFonts w:ascii="Times New Roman" w:hAnsi="Times New Roman"/>
          <w:sz w:val="24"/>
          <w:szCs w:val="24"/>
          <w:lang w:val="sq-AL"/>
        </w:rPr>
        <w:t>ë</w:t>
      </w:r>
      <w:r w:rsidR="00071772">
        <w:rPr>
          <w:rFonts w:ascii="Times New Roman" w:hAnsi="Times New Roman"/>
          <w:sz w:val="24"/>
          <w:szCs w:val="24"/>
          <w:lang w:val="sq-AL"/>
        </w:rPr>
        <w:t xml:space="preserve"> miratuar)</w:t>
      </w:r>
      <w:r w:rsidRPr="4157CBF5">
        <w:rPr>
          <w:rFonts w:ascii="Times New Roman" w:hAnsi="Times New Roman"/>
          <w:sz w:val="24"/>
          <w:szCs w:val="24"/>
          <w:lang w:val="sq-AL"/>
        </w:rPr>
        <w:t xml:space="preserve"> ekzistojnë tashm</w:t>
      </w:r>
      <w:r w:rsidR="00CE6D20">
        <w:rPr>
          <w:rFonts w:ascii="Times New Roman" w:hAnsi="Times New Roman"/>
          <w:sz w:val="24"/>
          <w:szCs w:val="24"/>
          <w:lang w:val="sq-AL"/>
        </w:rPr>
        <w:t>ë</w:t>
      </w:r>
      <w:r w:rsidRPr="4157CBF5">
        <w:rPr>
          <w:rFonts w:ascii="Times New Roman" w:hAnsi="Times New Roman"/>
          <w:sz w:val="24"/>
          <w:szCs w:val="24"/>
          <w:lang w:val="sq-AL"/>
        </w:rPr>
        <w:t xml:space="preserve"> tek ATK, duke patur specializimin e duhur në menaxhimin efektiv të kredive dhe garancive. </w:t>
      </w:r>
      <w:r w:rsidR="00071772">
        <w:rPr>
          <w:rFonts w:ascii="Times New Roman" w:hAnsi="Times New Roman"/>
          <w:sz w:val="24"/>
          <w:szCs w:val="24"/>
          <w:lang w:val="sq-AL"/>
        </w:rPr>
        <w:t>K</w:t>
      </w:r>
      <w:r w:rsidR="003162AD">
        <w:rPr>
          <w:rFonts w:ascii="Times New Roman" w:hAnsi="Times New Roman"/>
          <w:sz w:val="24"/>
          <w:szCs w:val="24"/>
          <w:lang w:val="sq-AL"/>
        </w:rPr>
        <w:t>ë</w:t>
      </w:r>
      <w:r w:rsidR="00071772">
        <w:rPr>
          <w:rFonts w:ascii="Times New Roman" w:hAnsi="Times New Roman"/>
          <w:sz w:val="24"/>
          <w:szCs w:val="24"/>
          <w:lang w:val="sq-AL"/>
        </w:rPr>
        <w:t>to struktura tashm</w:t>
      </w:r>
      <w:r w:rsidR="003162AD">
        <w:rPr>
          <w:rFonts w:ascii="Times New Roman" w:hAnsi="Times New Roman"/>
          <w:sz w:val="24"/>
          <w:szCs w:val="24"/>
          <w:lang w:val="sq-AL"/>
        </w:rPr>
        <w:t>ë</w:t>
      </w:r>
      <w:r w:rsidR="00071772">
        <w:rPr>
          <w:rFonts w:ascii="Times New Roman" w:hAnsi="Times New Roman"/>
          <w:sz w:val="24"/>
          <w:szCs w:val="24"/>
          <w:lang w:val="sq-AL"/>
        </w:rPr>
        <w:t xml:space="preserve"> jan</w:t>
      </w:r>
      <w:r w:rsidR="003162AD">
        <w:rPr>
          <w:rFonts w:ascii="Times New Roman" w:hAnsi="Times New Roman"/>
          <w:sz w:val="24"/>
          <w:szCs w:val="24"/>
          <w:lang w:val="sq-AL"/>
        </w:rPr>
        <w:t>ë</w:t>
      </w:r>
      <w:r w:rsidR="00071772">
        <w:rPr>
          <w:rFonts w:ascii="Times New Roman" w:hAnsi="Times New Roman"/>
          <w:sz w:val="24"/>
          <w:szCs w:val="24"/>
          <w:lang w:val="sq-AL"/>
        </w:rPr>
        <w:t xml:space="preserve"> funksionale dhe efikase n</w:t>
      </w:r>
      <w:r w:rsidR="003162AD">
        <w:rPr>
          <w:rFonts w:ascii="Times New Roman" w:hAnsi="Times New Roman"/>
          <w:sz w:val="24"/>
          <w:szCs w:val="24"/>
          <w:lang w:val="sq-AL"/>
        </w:rPr>
        <w:t>ë</w:t>
      </w:r>
      <w:r w:rsidR="00071772">
        <w:rPr>
          <w:rFonts w:ascii="Times New Roman" w:hAnsi="Times New Roman"/>
          <w:sz w:val="24"/>
          <w:szCs w:val="24"/>
          <w:lang w:val="sq-AL"/>
        </w:rPr>
        <w:t xml:space="preserve"> trajtimin e kredive (kryesisht me probleme)</w:t>
      </w:r>
      <w:r w:rsidR="00FA1F60">
        <w:rPr>
          <w:rFonts w:ascii="Times New Roman" w:hAnsi="Times New Roman"/>
          <w:sz w:val="24"/>
          <w:szCs w:val="24"/>
          <w:lang w:val="sq-AL"/>
        </w:rPr>
        <w:t xml:space="preserve"> dhe p</w:t>
      </w:r>
      <w:r w:rsidR="003162AD">
        <w:rPr>
          <w:rFonts w:ascii="Times New Roman" w:hAnsi="Times New Roman"/>
          <w:sz w:val="24"/>
          <w:szCs w:val="24"/>
          <w:lang w:val="sq-AL"/>
        </w:rPr>
        <w:t>ë</w:t>
      </w:r>
      <w:r w:rsidR="00FA1F60">
        <w:rPr>
          <w:rFonts w:ascii="Times New Roman" w:hAnsi="Times New Roman"/>
          <w:sz w:val="24"/>
          <w:szCs w:val="24"/>
          <w:lang w:val="sq-AL"/>
        </w:rPr>
        <w:t>r ATK çdo vit alokohet nj</w:t>
      </w:r>
      <w:r w:rsidR="003162AD">
        <w:rPr>
          <w:rFonts w:ascii="Times New Roman" w:hAnsi="Times New Roman"/>
          <w:sz w:val="24"/>
          <w:szCs w:val="24"/>
          <w:lang w:val="sq-AL"/>
        </w:rPr>
        <w:t>ë</w:t>
      </w:r>
      <w:r w:rsidR="00FA1F60">
        <w:rPr>
          <w:rFonts w:ascii="Times New Roman" w:hAnsi="Times New Roman"/>
          <w:sz w:val="24"/>
          <w:szCs w:val="24"/>
          <w:lang w:val="sq-AL"/>
        </w:rPr>
        <w:t xml:space="preserve"> fond i caktuar n</w:t>
      </w:r>
      <w:r w:rsidR="003162AD">
        <w:rPr>
          <w:rFonts w:ascii="Times New Roman" w:hAnsi="Times New Roman"/>
          <w:sz w:val="24"/>
          <w:szCs w:val="24"/>
          <w:lang w:val="sq-AL"/>
        </w:rPr>
        <w:t>ë</w:t>
      </w:r>
      <w:r w:rsidR="00FA1F60">
        <w:rPr>
          <w:rFonts w:ascii="Times New Roman" w:hAnsi="Times New Roman"/>
          <w:sz w:val="24"/>
          <w:szCs w:val="24"/>
          <w:lang w:val="sq-AL"/>
        </w:rPr>
        <w:t xml:space="preserve"> Buxhetin e Shtetit, p</w:t>
      </w:r>
      <w:r w:rsidR="003162AD">
        <w:rPr>
          <w:rFonts w:ascii="Times New Roman" w:hAnsi="Times New Roman"/>
          <w:sz w:val="24"/>
          <w:szCs w:val="24"/>
          <w:lang w:val="sq-AL"/>
        </w:rPr>
        <w:t>ë</w:t>
      </w:r>
      <w:r w:rsidR="00FA1F60">
        <w:rPr>
          <w:rFonts w:ascii="Times New Roman" w:hAnsi="Times New Roman"/>
          <w:sz w:val="24"/>
          <w:szCs w:val="24"/>
          <w:lang w:val="sq-AL"/>
        </w:rPr>
        <w:t>r funksionimin e k</w:t>
      </w:r>
      <w:r w:rsidR="003162AD">
        <w:rPr>
          <w:rFonts w:ascii="Times New Roman" w:hAnsi="Times New Roman"/>
          <w:sz w:val="24"/>
          <w:szCs w:val="24"/>
          <w:lang w:val="sq-AL"/>
        </w:rPr>
        <w:t>ë</w:t>
      </w:r>
      <w:r w:rsidR="00FA1F60">
        <w:rPr>
          <w:rFonts w:ascii="Times New Roman" w:hAnsi="Times New Roman"/>
          <w:sz w:val="24"/>
          <w:szCs w:val="24"/>
          <w:lang w:val="sq-AL"/>
        </w:rPr>
        <w:t>tij institucioni. Si çdo vit, edhe p</w:t>
      </w:r>
      <w:r w:rsidR="003162AD">
        <w:rPr>
          <w:rFonts w:ascii="Times New Roman" w:hAnsi="Times New Roman"/>
          <w:sz w:val="24"/>
          <w:szCs w:val="24"/>
          <w:lang w:val="sq-AL"/>
        </w:rPr>
        <w:t>ë</w:t>
      </w:r>
      <w:r w:rsidR="00FA1F60">
        <w:rPr>
          <w:rFonts w:ascii="Times New Roman" w:hAnsi="Times New Roman"/>
          <w:sz w:val="24"/>
          <w:szCs w:val="24"/>
          <w:lang w:val="sq-AL"/>
        </w:rPr>
        <w:t xml:space="preserve">r vitin 2023 </w:t>
      </w:r>
      <w:r w:rsidR="003162AD">
        <w:rPr>
          <w:rFonts w:ascii="Times New Roman" w:hAnsi="Times New Roman"/>
          <w:sz w:val="24"/>
          <w:szCs w:val="24"/>
          <w:lang w:val="sq-AL"/>
        </w:rPr>
        <w:t>ë</w:t>
      </w:r>
      <w:r w:rsidR="00FA1F60">
        <w:rPr>
          <w:rFonts w:ascii="Times New Roman" w:hAnsi="Times New Roman"/>
          <w:sz w:val="24"/>
          <w:szCs w:val="24"/>
          <w:lang w:val="sq-AL"/>
        </w:rPr>
        <w:t>sht</w:t>
      </w:r>
      <w:r w:rsidR="003162AD">
        <w:rPr>
          <w:rFonts w:ascii="Times New Roman" w:hAnsi="Times New Roman"/>
          <w:sz w:val="24"/>
          <w:szCs w:val="24"/>
          <w:lang w:val="sq-AL"/>
        </w:rPr>
        <w:t>ë</w:t>
      </w:r>
      <w:r w:rsidR="00FA1F60">
        <w:rPr>
          <w:rFonts w:ascii="Times New Roman" w:hAnsi="Times New Roman"/>
          <w:sz w:val="24"/>
          <w:szCs w:val="24"/>
          <w:lang w:val="sq-AL"/>
        </w:rPr>
        <w:t xml:space="preserve"> parashikuar dhe alokuar fondi buxhetor p</w:t>
      </w:r>
      <w:r w:rsidR="003162AD">
        <w:rPr>
          <w:rFonts w:ascii="Times New Roman" w:hAnsi="Times New Roman"/>
          <w:sz w:val="24"/>
          <w:szCs w:val="24"/>
          <w:lang w:val="sq-AL"/>
        </w:rPr>
        <w:t>ë</w:t>
      </w:r>
      <w:r w:rsidR="00FA1F60">
        <w:rPr>
          <w:rFonts w:ascii="Times New Roman" w:hAnsi="Times New Roman"/>
          <w:sz w:val="24"/>
          <w:szCs w:val="24"/>
          <w:lang w:val="sq-AL"/>
        </w:rPr>
        <w:t>r ATK, ku si pjes</w:t>
      </w:r>
      <w:r w:rsidR="003162AD">
        <w:rPr>
          <w:rFonts w:ascii="Times New Roman" w:hAnsi="Times New Roman"/>
          <w:sz w:val="24"/>
          <w:szCs w:val="24"/>
          <w:lang w:val="sq-AL"/>
        </w:rPr>
        <w:t>ë</w:t>
      </w:r>
      <w:r w:rsidR="00FA1F60">
        <w:rPr>
          <w:rFonts w:ascii="Times New Roman" w:hAnsi="Times New Roman"/>
          <w:sz w:val="24"/>
          <w:szCs w:val="24"/>
          <w:lang w:val="sq-AL"/>
        </w:rPr>
        <w:t xml:space="preserve"> e shpenzimeve p</w:t>
      </w:r>
      <w:r w:rsidR="003162AD">
        <w:rPr>
          <w:rFonts w:ascii="Times New Roman" w:hAnsi="Times New Roman"/>
          <w:sz w:val="24"/>
          <w:szCs w:val="24"/>
          <w:lang w:val="sq-AL"/>
        </w:rPr>
        <w:t>ë</w:t>
      </w:r>
      <w:r w:rsidR="00FA1F60">
        <w:rPr>
          <w:rFonts w:ascii="Times New Roman" w:hAnsi="Times New Roman"/>
          <w:sz w:val="24"/>
          <w:szCs w:val="24"/>
          <w:lang w:val="sq-AL"/>
        </w:rPr>
        <w:t>rfshihen edhe pagat e punonj</w:t>
      </w:r>
      <w:r w:rsidR="003162AD">
        <w:rPr>
          <w:rFonts w:ascii="Times New Roman" w:hAnsi="Times New Roman"/>
          <w:sz w:val="24"/>
          <w:szCs w:val="24"/>
          <w:lang w:val="sq-AL"/>
        </w:rPr>
        <w:t>ë</w:t>
      </w:r>
      <w:r w:rsidR="00FA1F60">
        <w:rPr>
          <w:rFonts w:ascii="Times New Roman" w:hAnsi="Times New Roman"/>
          <w:sz w:val="24"/>
          <w:szCs w:val="24"/>
          <w:lang w:val="sq-AL"/>
        </w:rPr>
        <w:t>sve, si dhe rekrutimi i punonj</w:t>
      </w:r>
      <w:r w:rsidR="003162AD">
        <w:rPr>
          <w:rFonts w:ascii="Times New Roman" w:hAnsi="Times New Roman"/>
          <w:sz w:val="24"/>
          <w:szCs w:val="24"/>
          <w:lang w:val="sq-AL"/>
        </w:rPr>
        <w:t>ë</w:t>
      </w:r>
      <w:r w:rsidR="00FA1F60">
        <w:rPr>
          <w:rFonts w:ascii="Times New Roman" w:hAnsi="Times New Roman"/>
          <w:sz w:val="24"/>
          <w:szCs w:val="24"/>
          <w:lang w:val="sq-AL"/>
        </w:rPr>
        <w:t>sve t</w:t>
      </w:r>
      <w:r w:rsidR="003162AD">
        <w:rPr>
          <w:rFonts w:ascii="Times New Roman" w:hAnsi="Times New Roman"/>
          <w:sz w:val="24"/>
          <w:szCs w:val="24"/>
          <w:lang w:val="sq-AL"/>
        </w:rPr>
        <w:t>ë</w:t>
      </w:r>
      <w:r w:rsidR="00FA1F60">
        <w:rPr>
          <w:rFonts w:ascii="Times New Roman" w:hAnsi="Times New Roman"/>
          <w:sz w:val="24"/>
          <w:szCs w:val="24"/>
          <w:lang w:val="sq-AL"/>
        </w:rPr>
        <w:t xml:space="preserve"> rinj pran</w:t>
      </w:r>
      <w:r w:rsidR="003162AD">
        <w:rPr>
          <w:rFonts w:ascii="Times New Roman" w:hAnsi="Times New Roman"/>
          <w:sz w:val="24"/>
          <w:szCs w:val="24"/>
          <w:lang w:val="sq-AL"/>
        </w:rPr>
        <w:t>ë</w:t>
      </w:r>
      <w:r w:rsidR="00FA1F60">
        <w:rPr>
          <w:rFonts w:ascii="Times New Roman" w:hAnsi="Times New Roman"/>
          <w:sz w:val="24"/>
          <w:szCs w:val="24"/>
          <w:lang w:val="sq-AL"/>
        </w:rPr>
        <w:t xml:space="preserve"> k</w:t>
      </w:r>
      <w:r w:rsidR="003162AD">
        <w:rPr>
          <w:rFonts w:ascii="Times New Roman" w:hAnsi="Times New Roman"/>
          <w:sz w:val="24"/>
          <w:szCs w:val="24"/>
          <w:lang w:val="sq-AL"/>
        </w:rPr>
        <w:t>ë</w:t>
      </w:r>
      <w:r w:rsidR="00FA1F60">
        <w:rPr>
          <w:rFonts w:ascii="Times New Roman" w:hAnsi="Times New Roman"/>
          <w:sz w:val="24"/>
          <w:szCs w:val="24"/>
          <w:lang w:val="sq-AL"/>
        </w:rPr>
        <w:t>tij institucioni, bazuar n</w:t>
      </w:r>
      <w:r w:rsidR="003162AD">
        <w:rPr>
          <w:rFonts w:ascii="Times New Roman" w:hAnsi="Times New Roman"/>
          <w:sz w:val="24"/>
          <w:szCs w:val="24"/>
          <w:lang w:val="sq-AL"/>
        </w:rPr>
        <w:t>ë</w:t>
      </w:r>
      <w:r w:rsidR="00FA1F60">
        <w:rPr>
          <w:rFonts w:ascii="Times New Roman" w:hAnsi="Times New Roman"/>
          <w:sz w:val="24"/>
          <w:szCs w:val="24"/>
          <w:lang w:val="sq-AL"/>
        </w:rPr>
        <w:t xml:space="preserve"> struktur</w:t>
      </w:r>
      <w:r w:rsidR="003162AD">
        <w:rPr>
          <w:rFonts w:ascii="Times New Roman" w:hAnsi="Times New Roman"/>
          <w:sz w:val="24"/>
          <w:szCs w:val="24"/>
          <w:lang w:val="sq-AL"/>
        </w:rPr>
        <w:t>ë</w:t>
      </w:r>
      <w:r w:rsidR="00FA1F60">
        <w:rPr>
          <w:rFonts w:ascii="Times New Roman" w:hAnsi="Times New Roman"/>
          <w:sz w:val="24"/>
          <w:szCs w:val="24"/>
          <w:lang w:val="sq-AL"/>
        </w:rPr>
        <w:t>n e miratuar dhe sipas nevoja q</w:t>
      </w:r>
      <w:r w:rsidR="003162AD">
        <w:rPr>
          <w:rFonts w:ascii="Times New Roman" w:hAnsi="Times New Roman"/>
          <w:sz w:val="24"/>
          <w:szCs w:val="24"/>
          <w:lang w:val="sq-AL"/>
        </w:rPr>
        <w:t>ë</w:t>
      </w:r>
      <w:r w:rsidR="00FA1F60">
        <w:rPr>
          <w:rFonts w:ascii="Times New Roman" w:hAnsi="Times New Roman"/>
          <w:sz w:val="24"/>
          <w:szCs w:val="24"/>
          <w:lang w:val="sq-AL"/>
        </w:rPr>
        <w:t xml:space="preserve"> do t</w:t>
      </w:r>
      <w:r w:rsidR="003162AD">
        <w:rPr>
          <w:rFonts w:ascii="Times New Roman" w:hAnsi="Times New Roman"/>
          <w:sz w:val="24"/>
          <w:szCs w:val="24"/>
          <w:lang w:val="sq-AL"/>
        </w:rPr>
        <w:t>ë</w:t>
      </w:r>
      <w:r w:rsidR="00FA1F60">
        <w:rPr>
          <w:rFonts w:ascii="Times New Roman" w:hAnsi="Times New Roman"/>
          <w:sz w:val="24"/>
          <w:szCs w:val="24"/>
          <w:lang w:val="sq-AL"/>
        </w:rPr>
        <w:t xml:space="preserve"> paraqiten gjat</w:t>
      </w:r>
      <w:r w:rsidR="003162AD">
        <w:rPr>
          <w:rFonts w:ascii="Times New Roman" w:hAnsi="Times New Roman"/>
          <w:sz w:val="24"/>
          <w:szCs w:val="24"/>
          <w:lang w:val="sq-AL"/>
        </w:rPr>
        <w:t>ë</w:t>
      </w:r>
      <w:r w:rsidR="00FA1F60">
        <w:rPr>
          <w:rFonts w:ascii="Times New Roman" w:hAnsi="Times New Roman"/>
          <w:sz w:val="24"/>
          <w:szCs w:val="24"/>
          <w:lang w:val="sq-AL"/>
        </w:rPr>
        <w:t xml:space="preserve"> vitit kalendarik. P</w:t>
      </w:r>
      <w:r w:rsidR="003162AD">
        <w:rPr>
          <w:rFonts w:ascii="Times New Roman" w:hAnsi="Times New Roman"/>
          <w:sz w:val="24"/>
          <w:szCs w:val="24"/>
          <w:lang w:val="sq-AL"/>
        </w:rPr>
        <w:t>ë</w:t>
      </w:r>
      <w:r w:rsidR="00FA1F60">
        <w:rPr>
          <w:rFonts w:ascii="Times New Roman" w:hAnsi="Times New Roman"/>
          <w:sz w:val="24"/>
          <w:szCs w:val="24"/>
          <w:lang w:val="sq-AL"/>
        </w:rPr>
        <w:t>r k</w:t>
      </w:r>
      <w:r w:rsidR="003162AD">
        <w:rPr>
          <w:rFonts w:ascii="Times New Roman" w:hAnsi="Times New Roman"/>
          <w:sz w:val="24"/>
          <w:szCs w:val="24"/>
          <w:lang w:val="sq-AL"/>
        </w:rPr>
        <w:t>ë</w:t>
      </w:r>
      <w:r w:rsidR="00FA1F60">
        <w:rPr>
          <w:rFonts w:ascii="Times New Roman" w:hAnsi="Times New Roman"/>
          <w:sz w:val="24"/>
          <w:szCs w:val="24"/>
          <w:lang w:val="sq-AL"/>
        </w:rPr>
        <w:t>t</w:t>
      </w:r>
      <w:r w:rsidR="003162AD">
        <w:rPr>
          <w:rFonts w:ascii="Times New Roman" w:hAnsi="Times New Roman"/>
          <w:sz w:val="24"/>
          <w:szCs w:val="24"/>
          <w:lang w:val="sq-AL"/>
        </w:rPr>
        <w:t>ë</w:t>
      </w:r>
      <w:r w:rsidR="00FA1F60">
        <w:rPr>
          <w:rFonts w:ascii="Times New Roman" w:hAnsi="Times New Roman"/>
          <w:sz w:val="24"/>
          <w:szCs w:val="24"/>
          <w:lang w:val="sq-AL"/>
        </w:rPr>
        <w:t xml:space="preserve"> arsye, ne k</w:t>
      </w:r>
      <w:r w:rsidR="003162AD">
        <w:rPr>
          <w:rFonts w:ascii="Times New Roman" w:hAnsi="Times New Roman"/>
          <w:sz w:val="24"/>
          <w:szCs w:val="24"/>
          <w:lang w:val="sq-AL"/>
        </w:rPr>
        <w:t>ë</w:t>
      </w:r>
      <w:r w:rsidR="00FA1F60">
        <w:rPr>
          <w:rFonts w:ascii="Times New Roman" w:hAnsi="Times New Roman"/>
          <w:sz w:val="24"/>
          <w:szCs w:val="24"/>
          <w:lang w:val="sq-AL"/>
        </w:rPr>
        <w:t>t</w:t>
      </w:r>
      <w:r w:rsidR="003162AD">
        <w:rPr>
          <w:rFonts w:ascii="Times New Roman" w:hAnsi="Times New Roman"/>
          <w:sz w:val="24"/>
          <w:szCs w:val="24"/>
          <w:lang w:val="sq-AL"/>
        </w:rPr>
        <w:t>ë</w:t>
      </w:r>
      <w:r w:rsidR="00FA1F60">
        <w:rPr>
          <w:rFonts w:ascii="Times New Roman" w:hAnsi="Times New Roman"/>
          <w:sz w:val="24"/>
          <w:szCs w:val="24"/>
          <w:lang w:val="sq-AL"/>
        </w:rPr>
        <w:t xml:space="preserve"> drejtim nuk parashikohet t</w:t>
      </w:r>
      <w:r w:rsidR="003162AD">
        <w:rPr>
          <w:rFonts w:ascii="Times New Roman" w:hAnsi="Times New Roman"/>
          <w:sz w:val="24"/>
          <w:szCs w:val="24"/>
          <w:lang w:val="sq-AL"/>
        </w:rPr>
        <w:t>ë</w:t>
      </w:r>
      <w:r w:rsidR="00FA1F60">
        <w:rPr>
          <w:rFonts w:ascii="Times New Roman" w:hAnsi="Times New Roman"/>
          <w:sz w:val="24"/>
          <w:szCs w:val="24"/>
          <w:lang w:val="sq-AL"/>
        </w:rPr>
        <w:t xml:space="preserve"> ket</w:t>
      </w:r>
      <w:r w:rsidR="003162AD">
        <w:rPr>
          <w:rFonts w:ascii="Times New Roman" w:hAnsi="Times New Roman"/>
          <w:sz w:val="24"/>
          <w:szCs w:val="24"/>
          <w:lang w:val="sq-AL"/>
        </w:rPr>
        <w:t>ë</w:t>
      </w:r>
      <w:r w:rsidR="00FA1F60">
        <w:rPr>
          <w:rFonts w:ascii="Times New Roman" w:hAnsi="Times New Roman"/>
          <w:sz w:val="24"/>
          <w:szCs w:val="24"/>
          <w:lang w:val="sq-AL"/>
        </w:rPr>
        <w:t xml:space="preserve"> kosto shtes</w:t>
      </w:r>
      <w:r w:rsidR="003162AD">
        <w:rPr>
          <w:rFonts w:ascii="Times New Roman" w:hAnsi="Times New Roman"/>
          <w:sz w:val="24"/>
          <w:szCs w:val="24"/>
          <w:lang w:val="sq-AL"/>
        </w:rPr>
        <w:t>ë</w:t>
      </w:r>
      <w:r w:rsidR="00FA1F60">
        <w:rPr>
          <w:rFonts w:ascii="Times New Roman" w:hAnsi="Times New Roman"/>
          <w:sz w:val="24"/>
          <w:szCs w:val="24"/>
          <w:lang w:val="sq-AL"/>
        </w:rPr>
        <w:t xml:space="preserve"> n</w:t>
      </w:r>
      <w:r w:rsidR="003162AD">
        <w:rPr>
          <w:rFonts w:ascii="Times New Roman" w:hAnsi="Times New Roman"/>
          <w:sz w:val="24"/>
          <w:szCs w:val="24"/>
          <w:lang w:val="sq-AL"/>
        </w:rPr>
        <w:t>ë</w:t>
      </w:r>
      <w:r w:rsidR="00FA1F60">
        <w:rPr>
          <w:rFonts w:ascii="Times New Roman" w:hAnsi="Times New Roman"/>
          <w:sz w:val="24"/>
          <w:szCs w:val="24"/>
          <w:lang w:val="sq-AL"/>
        </w:rPr>
        <w:t xml:space="preserve"> Buxhetin e Shtetit.</w:t>
      </w:r>
    </w:p>
    <w:p w14:paraId="40E42081" w14:textId="6ADC9705" w:rsidR="00071772" w:rsidRDefault="00071772" w:rsidP="00071772">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Analiza e kryer m</w:t>
      </w:r>
      <w:r w:rsidR="003162AD">
        <w:rPr>
          <w:rFonts w:ascii="Times New Roman" w:hAnsi="Times New Roman"/>
          <w:sz w:val="24"/>
          <w:szCs w:val="24"/>
          <w:lang w:val="sq-AL"/>
        </w:rPr>
        <w:t>ë</w:t>
      </w:r>
      <w:r>
        <w:rPr>
          <w:rFonts w:ascii="Times New Roman" w:hAnsi="Times New Roman"/>
          <w:sz w:val="24"/>
          <w:szCs w:val="24"/>
          <w:lang w:val="sq-AL"/>
        </w:rPr>
        <w:t xml:space="preserve"> posht</w:t>
      </w:r>
      <w:r w:rsidR="003162AD">
        <w:rPr>
          <w:rFonts w:ascii="Times New Roman" w:hAnsi="Times New Roman"/>
          <w:sz w:val="24"/>
          <w:szCs w:val="24"/>
          <w:lang w:val="sq-AL"/>
        </w:rPr>
        <w:t>ë</w:t>
      </w:r>
      <w:r>
        <w:rPr>
          <w:rFonts w:ascii="Times New Roman" w:hAnsi="Times New Roman"/>
          <w:sz w:val="24"/>
          <w:szCs w:val="24"/>
          <w:lang w:val="sq-AL"/>
        </w:rPr>
        <w:t xml:space="preserve"> bazohet mbi p</w:t>
      </w:r>
      <w:r w:rsidR="003162AD">
        <w:rPr>
          <w:rFonts w:ascii="Times New Roman" w:hAnsi="Times New Roman"/>
          <w:sz w:val="24"/>
          <w:szCs w:val="24"/>
          <w:lang w:val="sq-AL"/>
        </w:rPr>
        <w:t>ë</w:t>
      </w:r>
      <w:r>
        <w:rPr>
          <w:rFonts w:ascii="Times New Roman" w:hAnsi="Times New Roman"/>
          <w:sz w:val="24"/>
          <w:szCs w:val="24"/>
          <w:lang w:val="sq-AL"/>
        </w:rPr>
        <w:t>rllogaritje hipotetike n</w:t>
      </w:r>
      <w:r w:rsidR="003162AD">
        <w:rPr>
          <w:rFonts w:ascii="Times New Roman" w:hAnsi="Times New Roman"/>
          <w:sz w:val="24"/>
          <w:szCs w:val="24"/>
          <w:lang w:val="sq-AL"/>
        </w:rPr>
        <w:t>ë</w:t>
      </w:r>
      <w:r>
        <w:rPr>
          <w:rFonts w:ascii="Times New Roman" w:hAnsi="Times New Roman"/>
          <w:sz w:val="24"/>
          <w:szCs w:val="24"/>
          <w:lang w:val="sq-AL"/>
        </w:rPr>
        <w:t xml:space="preserve"> form</w:t>
      </w:r>
      <w:r w:rsidR="003162AD">
        <w:rPr>
          <w:rFonts w:ascii="Times New Roman" w:hAnsi="Times New Roman"/>
          <w:sz w:val="24"/>
          <w:szCs w:val="24"/>
          <w:lang w:val="sq-AL"/>
        </w:rPr>
        <w:t>ë</w:t>
      </w:r>
      <w:r>
        <w:rPr>
          <w:rFonts w:ascii="Times New Roman" w:hAnsi="Times New Roman"/>
          <w:sz w:val="24"/>
          <w:szCs w:val="24"/>
          <w:lang w:val="sq-AL"/>
        </w:rPr>
        <w:t>n e p</w:t>
      </w:r>
      <w:r w:rsidR="003162AD">
        <w:rPr>
          <w:rFonts w:ascii="Times New Roman" w:hAnsi="Times New Roman"/>
          <w:sz w:val="24"/>
          <w:szCs w:val="24"/>
          <w:lang w:val="sq-AL"/>
        </w:rPr>
        <w:t>ë</w:t>
      </w:r>
      <w:r>
        <w:rPr>
          <w:rFonts w:ascii="Times New Roman" w:hAnsi="Times New Roman"/>
          <w:sz w:val="24"/>
          <w:szCs w:val="24"/>
          <w:lang w:val="sq-AL"/>
        </w:rPr>
        <w:t>rfitimeve direkte si forme e kthimit t</w:t>
      </w:r>
      <w:r w:rsidR="003162AD">
        <w:rPr>
          <w:rFonts w:ascii="Times New Roman" w:hAnsi="Times New Roman"/>
          <w:sz w:val="24"/>
          <w:szCs w:val="24"/>
          <w:lang w:val="sq-AL"/>
        </w:rPr>
        <w:t>ë</w:t>
      </w:r>
      <w:r>
        <w:rPr>
          <w:rFonts w:ascii="Times New Roman" w:hAnsi="Times New Roman"/>
          <w:sz w:val="24"/>
          <w:szCs w:val="24"/>
          <w:lang w:val="sq-AL"/>
        </w:rPr>
        <w:t xml:space="preserve"> detyrimeve t</w:t>
      </w:r>
      <w:r w:rsidR="003162AD">
        <w:rPr>
          <w:rFonts w:ascii="Times New Roman" w:hAnsi="Times New Roman"/>
          <w:sz w:val="24"/>
          <w:szCs w:val="24"/>
          <w:lang w:val="sq-AL"/>
        </w:rPr>
        <w:t>ë</w:t>
      </w:r>
      <w:r>
        <w:rPr>
          <w:rFonts w:ascii="Times New Roman" w:hAnsi="Times New Roman"/>
          <w:sz w:val="24"/>
          <w:szCs w:val="24"/>
          <w:lang w:val="sq-AL"/>
        </w:rPr>
        <w:t xml:space="preserve"> prapambetura n</w:t>
      </w:r>
      <w:r w:rsidR="003162AD">
        <w:rPr>
          <w:rFonts w:ascii="Times New Roman" w:hAnsi="Times New Roman"/>
          <w:sz w:val="24"/>
          <w:szCs w:val="24"/>
          <w:lang w:val="sq-AL"/>
        </w:rPr>
        <w:t>ë</w:t>
      </w:r>
      <w:r>
        <w:rPr>
          <w:rFonts w:ascii="Times New Roman" w:hAnsi="Times New Roman"/>
          <w:sz w:val="24"/>
          <w:szCs w:val="24"/>
          <w:lang w:val="sq-AL"/>
        </w:rPr>
        <w:t xml:space="preserve"> kuad</w:t>
      </w:r>
      <w:r w:rsidR="003162AD">
        <w:rPr>
          <w:rFonts w:ascii="Times New Roman" w:hAnsi="Times New Roman"/>
          <w:sz w:val="24"/>
          <w:szCs w:val="24"/>
          <w:lang w:val="sq-AL"/>
        </w:rPr>
        <w:t>ë</w:t>
      </w:r>
      <w:r>
        <w:rPr>
          <w:rFonts w:ascii="Times New Roman" w:hAnsi="Times New Roman"/>
          <w:sz w:val="24"/>
          <w:szCs w:val="24"/>
          <w:lang w:val="sq-AL"/>
        </w:rPr>
        <w:t>r t</w:t>
      </w:r>
      <w:r w:rsidR="003162AD">
        <w:rPr>
          <w:rFonts w:ascii="Times New Roman" w:hAnsi="Times New Roman"/>
          <w:sz w:val="24"/>
          <w:szCs w:val="24"/>
          <w:lang w:val="sq-AL"/>
        </w:rPr>
        <w:t>ë</w:t>
      </w:r>
      <w:r>
        <w:rPr>
          <w:rFonts w:ascii="Times New Roman" w:hAnsi="Times New Roman"/>
          <w:sz w:val="24"/>
          <w:szCs w:val="24"/>
          <w:lang w:val="sq-AL"/>
        </w:rPr>
        <w:t xml:space="preserve"> garancive sovrane. Logjika e ndjekur p</w:t>
      </w:r>
      <w:r w:rsidR="003162AD">
        <w:rPr>
          <w:rFonts w:ascii="Times New Roman" w:hAnsi="Times New Roman"/>
          <w:sz w:val="24"/>
          <w:szCs w:val="24"/>
          <w:lang w:val="sq-AL"/>
        </w:rPr>
        <w:t>ë</w:t>
      </w:r>
      <w:r>
        <w:rPr>
          <w:rFonts w:ascii="Times New Roman" w:hAnsi="Times New Roman"/>
          <w:sz w:val="24"/>
          <w:szCs w:val="24"/>
          <w:lang w:val="sq-AL"/>
        </w:rPr>
        <w:t>r analizimin e kostove p</w:t>
      </w:r>
      <w:r w:rsidR="003162AD">
        <w:rPr>
          <w:rFonts w:ascii="Times New Roman" w:hAnsi="Times New Roman"/>
          <w:sz w:val="24"/>
          <w:szCs w:val="24"/>
          <w:lang w:val="sq-AL"/>
        </w:rPr>
        <w:t>ë</w:t>
      </w:r>
      <w:r>
        <w:rPr>
          <w:rFonts w:ascii="Times New Roman" w:hAnsi="Times New Roman"/>
          <w:sz w:val="24"/>
          <w:szCs w:val="24"/>
          <w:lang w:val="sq-AL"/>
        </w:rPr>
        <w:t>r Buxhetin e Shtetit dhe p</w:t>
      </w:r>
      <w:r w:rsidR="003162AD">
        <w:rPr>
          <w:rFonts w:ascii="Times New Roman" w:hAnsi="Times New Roman"/>
          <w:sz w:val="24"/>
          <w:szCs w:val="24"/>
          <w:lang w:val="sq-AL"/>
        </w:rPr>
        <w:t>ë</w:t>
      </w:r>
      <w:r>
        <w:rPr>
          <w:rFonts w:ascii="Times New Roman" w:hAnsi="Times New Roman"/>
          <w:sz w:val="24"/>
          <w:szCs w:val="24"/>
          <w:lang w:val="sq-AL"/>
        </w:rPr>
        <w:t>rfitimeve paraqitet si m</w:t>
      </w:r>
      <w:r w:rsidR="003162AD">
        <w:rPr>
          <w:rFonts w:ascii="Times New Roman" w:hAnsi="Times New Roman"/>
          <w:sz w:val="24"/>
          <w:szCs w:val="24"/>
          <w:lang w:val="sq-AL"/>
        </w:rPr>
        <w:t>ë</w:t>
      </w:r>
      <w:r>
        <w:rPr>
          <w:rFonts w:ascii="Times New Roman" w:hAnsi="Times New Roman"/>
          <w:sz w:val="24"/>
          <w:szCs w:val="24"/>
          <w:lang w:val="sq-AL"/>
        </w:rPr>
        <w:t xml:space="preserve"> posht</w:t>
      </w:r>
      <w:r w:rsidR="003162AD">
        <w:rPr>
          <w:rFonts w:ascii="Times New Roman" w:hAnsi="Times New Roman"/>
          <w:sz w:val="24"/>
          <w:szCs w:val="24"/>
          <w:lang w:val="sq-AL"/>
        </w:rPr>
        <w:t>ë</w:t>
      </w:r>
      <w:r>
        <w:rPr>
          <w:rFonts w:ascii="Times New Roman" w:hAnsi="Times New Roman"/>
          <w:sz w:val="24"/>
          <w:szCs w:val="24"/>
          <w:lang w:val="sq-AL"/>
        </w:rPr>
        <w:t xml:space="preserve"> vijon:.</w:t>
      </w:r>
    </w:p>
    <w:p w14:paraId="5C2635A0" w14:textId="77777777" w:rsidR="00071772" w:rsidRDefault="00071772" w:rsidP="00293355">
      <w:pPr>
        <w:pStyle w:val="BodyText"/>
        <w:spacing w:line="276" w:lineRule="auto"/>
        <w:jc w:val="both"/>
        <w:rPr>
          <w:rFonts w:ascii="Times New Roman" w:hAnsi="Times New Roman"/>
          <w:sz w:val="24"/>
          <w:szCs w:val="24"/>
          <w:lang w:val="sq-AL"/>
        </w:rPr>
      </w:pPr>
    </w:p>
    <w:p w14:paraId="1C2BF71B" w14:textId="40063048"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b/>
          <w:bCs/>
          <w:color w:val="000000" w:themeColor="text1"/>
          <w:sz w:val="24"/>
          <w:szCs w:val="24"/>
        </w:rPr>
        <w:t>1)</w:t>
      </w:r>
      <w:r w:rsidRPr="00074443">
        <w:rPr>
          <w:rFonts w:ascii="Times New Roman" w:eastAsia="Calibri" w:hAnsi="Times New Roman"/>
          <w:color w:val="000000" w:themeColor="text1"/>
          <w:sz w:val="24"/>
          <w:szCs w:val="24"/>
        </w:rPr>
        <w:t>Të ardhurat janë parashikuar mesatarisht sipasportofoli</w:t>
      </w:r>
      <w:r w:rsidR="00516D2A" w:rsidRPr="00074443">
        <w:rPr>
          <w:rFonts w:ascii="Times New Roman" w:eastAsia="Calibri" w:hAnsi="Times New Roman"/>
          <w:color w:val="000000" w:themeColor="text1"/>
          <w:sz w:val="24"/>
          <w:szCs w:val="24"/>
        </w:rPr>
        <w:t>t</w:t>
      </w:r>
      <w:r w:rsidRPr="00074443">
        <w:rPr>
          <w:rFonts w:ascii="Times New Roman" w:eastAsia="Calibri" w:hAnsi="Times New Roman"/>
          <w:color w:val="000000" w:themeColor="text1"/>
          <w:sz w:val="24"/>
          <w:szCs w:val="24"/>
        </w:rPr>
        <w:t xml:space="preserve"> </w:t>
      </w:r>
      <w:r w:rsidR="00516D2A" w:rsidRPr="00074443">
        <w:rPr>
          <w:rFonts w:ascii="Times New Roman" w:eastAsia="Calibri" w:hAnsi="Times New Roman"/>
          <w:color w:val="000000" w:themeColor="text1"/>
          <w:sz w:val="24"/>
          <w:szCs w:val="24"/>
        </w:rPr>
        <w:t>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ri që do të alokohet në vazhdim. </w:t>
      </w:r>
    </w:p>
    <w:p w14:paraId="5DB3878C" w14:textId="4877205C"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Referuar të dhënave të mar</w:t>
      </w:r>
      <w:r w:rsidR="00FA1F60" w:rsidRPr="00074443">
        <w:rPr>
          <w:rFonts w:ascii="Times New Roman" w:eastAsia="Calibri" w:hAnsi="Times New Roman"/>
          <w:color w:val="000000" w:themeColor="text1"/>
          <w:sz w:val="24"/>
          <w:szCs w:val="24"/>
        </w:rPr>
        <w:t>r</w:t>
      </w:r>
      <w:r w:rsidRPr="00074443">
        <w:rPr>
          <w:rFonts w:ascii="Times New Roman" w:eastAsia="Calibri" w:hAnsi="Times New Roman"/>
          <w:color w:val="000000" w:themeColor="text1"/>
          <w:sz w:val="24"/>
          <w:szCs w:val="24"/>
        </w:rPr>
        <w:t>a nga Drejtoria e Borxhit pranë MFE rezulton se gjendja e stokut për garancitë Sovrane, deri më 31.01.2023</w:t>
      </w:r>
      <w:r w:rsidR="00516D2A" w:rsidRPr="00074443">
        <w:rPr>
          <w:rFonts w:ascii="Times New Roman" w:eastAsia="Calibri" w:hAnsi="Times New Roman"/>
          <w:color w:val="000000" w:themeColor="text1"/>
          <w:sz w:val="24"/>
          <w:szCs w:val="24"/>
        </w:rPr>
        <w:t>, n</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total</w:t>
      </w:r>
      <w:r w:rsidRPr="00074443">
        <w:rPr>
          <w:rFonts w:ascii="Times New Roman" w:eastAsia="Calibri" w:hAnsi="Times New Roman"/>
          <w:color w:val="000000" w:themeColor="text1"/>
          <w:sz w:val="24"/>
          <w:szCs w:val="24"/>
        </w:rPr>
        <w:t xml:space="preserve">rezulton si më poshtë: </w:t>
      </w:r>
    </w:p>
    <w:p w14:paraId="4B63DD4D" w14:textId="77777777"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GS1 (Garancia Sovrane 1 </w:t>
      </w:r>
      <w:proofErr w:type="gramStart"/>
      <w:r w:rsidRPr="00074443">
        <w:rPr>
          <w:rFonts w:ascii="Times New Roman" w:eastAsia="Calibri" w:hAnsi="Times New Roman"/>
          <w:color w:val="000000" w:themeColor="text1"/>
          <w:sz w:val="24"/>
          <w:szCs w:val="24"/>
        </w:rPr>
        <w:t>=  23,172,298.82</w:t>
      </w:r>
      <w:proofErr w:type="gramEnd"/>
      <w:r w:rsidRPr="00074443">
        <w:rPr>
          <w:rFonts w:ascii="Times New Roman" w:eastAsia="Calibri" w:hAnsi="Times New Roman"/>
          <w:color w:val="000000" w:themeColor="text1"/>
          <w:sz w:val="24"/>
          <w:szCs w:val="24"/>
        </w:rPr>
        <w:t xml:space="preserve"> Lekë) </w:t>
      </w:r>
    </w:p>
    <w:p w14:paraId="512DABD6" w14:textId="77777777"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GS2 (Garancia Sovrane 2 </w:t>
      </w:r>
      <w:proofErr w:type="gramStart"/>
      <w:r w:rsidRPr="00074443">
        <w:rPr>
          <w:rFonts w:ascii="Times New Roman" w:eastAsia="Calibri" w:hAnsi="Times New Roman"/>
          <w:color w:val="000000" w:themeColor="text1"/>
          <w:sz w:val="24"/>
          <w:szCs w:val="24"/>
        </w:rPr>
        <w:t>=  6,198,898,752</w:t>
      </w:r>
      <w:proofErr w:type="gramEnd"/>
      <w:r w:rsidRPr="00074443">
        <w:rPr>
          <w:rFonts w:ascii="Times New Roman" w:eastAsia="Calibri" w:hAnsi="Times New Roman"/>
          <w:color w:val="000000" w:themeColor="text1"/>
          <w:sz w:val="24"/>
          <w:szCs w:val="24"/>
        </w:rPr>
        <w:t xml:space="preserve"> Lekë - Stoku sipas MFE - së 60% i garantuar) </w:t>
      </w:r>
    </w:p>
    <w:p w14:paraId="60261AEA" w14:textId="77777777"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GS3 (Garancia Sovrane 3 </w:t>
      </w:r>
      <w:proofErr w:type="gramStart"/>
      <w:r w:rsidRPr="00074443">
        <w:rPr>
          <w:rFonts w:ascii="Times New Roman" w:eastAsia="Calibri" w:hAnsi="Times New Roman"/>
          <w:color w:val="000000" w:themeColor="text1"/>
          <w:sz w:val="24"/>
          <w:szCs w:val="24"/>
        </w:rPr>
        <w:t>=  374,065,885.89</w:t>
      </w:r>
      <w:proofErr w:type="gramEnd"/>
      <w:r w:rsidRPr="00074443">
        <w:rPr>
          <w:rFonts w:ascii="Times New Roman" w:eastAsia="Calibri" w:hAnsi="Times New Roman"/>
          <w:color w:val="000000" w:themeColor="text1"/>
          <w:sz w:val="24"/>
          <w:szCs w:val="24"/>
        </w:rPr>
        <w:t xml:space="preserve"> Lekë – Stoku sipas MFE-së 60% i garantuar) </w:t>
      </w:r>
    </w:p>
    <w:p w14:paraId="013DC647" w14:textId="77777777" w:rsidR="000C35C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Totali i stokut të 3 Garancive = 6,596,136,935 Lekë</w:t>
      </w:r>
      <w:r w:rsidR="000C35CB" w:rsidRPr="00074443">
        <w:rPr>
          <w:rFonts w:ascii="Times New Roman" w:eastAsia="Calibri" w:hAnsi="Times New Roman"/>
          <w:color w:val="000000" w:themeColor="text1"/>
          <w:sz w:val="24"/>
          <w:szCs w:val="24"/>
        </w:rPr>
        <w:t>.</w:t>
      </w:r>
    </w:p>
    <w:p w14:paraId="377DC180" w14:textId="77777777" w:rsidR="000C35CB" w:rsidRPr="00074443" w:rsidRDefault="000C35CB" w:rsidP="00F1136B">
      <w:pPr>
        <w:tabs>
          <w:tab w:val="left" w:pos="6720"/>
        </w:tabs>
        <w:jc w:val="both"/>
        <w:rPr>
          <w:rFonts w:ascii="Times New Roman" w:eastAsia="Calibri" w:hAnsi="Times New Roman"/>
          <w:color w:val="000000" w:themeColor="text1"/>
          <w:sz w:val="24"/>
          <w:szCs w:val="24"/>
        </w:rPr>
      </w:pPr>
    </w:p>
    <w:p w14:paraId="7BB0138D" w14:textId="1D2139F9" w:rsidR="000C35CB" w:rsidRPr="00074443" w:rsidRDefault="000C35CB" w:rsidP="000C35C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Pra, referuar të dhënave statistikore, duke u bazuar në faqen zyrtare të Bankës së Shqipërisë, rezulton se huatë me probleme bruto, ndaj totalit të huave në %, ose ndryshe e quajtur përqindja e kredive me probleme rezulton se mesatarja e 6-të viteve të fundit është rreth 8%. Pra, ne, nga totali i stokut synojmë që 8% të shumës së garancive t’i kemi në trajtim. </w:t>
      </w:r>
    </w:p>
    <w:p w14:paraId="2CEAF159" w14:textId="77777777" w:rsidR="000C35CB" w:rsidRPr="00074443" w:rsidRDefault="000C35CB" w:rsidP="000C35C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30E36B9C" w14:textId="427AF6A3" w:rsidR="00F1136B" w:rsidRPr="00074443" w:rsidRDefault="000C35CB" w:rsidP="000C35C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Portofoli i marrë në trajtim nga Agjencinë e Menaxhimit të Garancive dhe Kredive të Pakthyera = 8%*6,596,136,935 </w:t>
      </w:r>
      <w:r w:rsidR="00516D2A" w:rsidRPr="00074443">
        <w:rPr>
          <w:rFonts w:ascii="Times New Roman" w:eastAsia="Calibri" w:hAnsi="Times New Roman"/>
          <w:color w:val="000000" w:themeColor="text1"/>
          <w:sz w:val="24"/>
          <w:szCs w:val="24"/>
        </w:rPr>
        <w:t xml:space="preserve">(totali </w:t>
      </w:r>
      <w:r w:rsidR="00FA1F60" w:rsidRPr="00074443">
        <w:rPr>
          <w:rFonts w:ascii="Times New Roman" w:eastAsia="Calibri" w:hAnsi="Times New Roman"/>
          <w:color w:val="000000" w:themeColor="text1"/>
          <w:sz w:val="24"/>
          <w:szCs w:val="24"/>
        </w:rPr>
        <w:t>i</w:t>
      </w:r>
      <w:r w:rsidR="00516D2A" w:rsidRPr="00074443">
        <w:rPr>
          <w:rFonts w:ascii="Times New Roman" w:eastAsia="Calibri" w:hAnsi="Times New Roman"/>
          <w:color w:val="000000" w:themeColor="text1"/>
          <w:sz w:val="24"/>
          <w:szCs w:val="24"/>
        </w:rPr>
        <w:t xml:space="preserve"> stokut t</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3 garancive</w:t>
      </w:r>
      <w:proofErr w:type="gramStart"/>
      <w:r w:rsidR="00516D2A" w:rsidRPr="00074443">
        <w:rPr>
          <w:rFonts w:ascii="Times New Roman" w:eastAsia="Calibri" w:hAnsi="Times New Roman"/>
          <w:color w:val="000000" w:themeColor="text1"/>
          <w:sz w:val="24"/>
          <w:szCs w:val="24"/>
        </w:rPr>
        <w:t>)</w:t>
      </w:r>
      <w:r w:rsidRPr="00074443">
        <w:rPr>
          <w:rFonts w:ascii="Times New Roman" w:eastAsia="Calibri" w:hAnsi="Times New Roman"/>
          <w:color w:val="000000" w:themeColor="text1"/>
          <w:sz w:val="24"/>
          <w:szCs w:val="24"/>
        </w:rPr>
        <w:t>=</w:t>
      </w:r>
      <w:proofErr w:type="gramEnd"/>
      <w:r w:rsidRPr="00074443">
        <w:rPr>
          <w:rFonts w:ascii="Times New Roman" w:eastAsia="Calibri" w:hAnsi="Times New Roman"/>
          <w:color w:val="000000" w:themeColor="text1"/>
          <w:sz w:val="24"/>
          <w:szCs w:val="24"/>
        </w:rPr>
        <w:t xml:space="preserve"> 527,690,954.8 lekë</w:t>
      </w:r>
      <w:r w:rsidR="00516D2A" w:rsidRPr="00074443">
        <w:rPr>
          <w:rFonts w:ascii="Times New Roman" w:eastAsia="Calibri" w:hAnsi="Times New Roman"/>
          <w:color w:val="000000" w:themeColor="text1"/>
          <w:sz w:val="24"/>
          <w:szCs w:val="24"/>
        </w:rPr>
        <w:t xml:space="preserve"> (hua me problem t</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marra n</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trajtim nga struktura p</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rgjegj</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se p</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r trajtimin e garancive sovrane)</w:t>
      </w:r>
      <w:r w:rsidRPr="00074443">
        <w:rPr>
          <w:rFonts w:ascii="Times New Roman" w:eastAsia="Calibri" w:hAnsi="Times New Roman"/>
          <w:color w:val="000000" w:themeColor="text1"/>
          <w:sz w:val="24"/>
          <w:szCs w:val="24"/>
        </w:rPr>
        <w:t xml:space="preserve">. </w:t>
      </w:r>
    </w:p>
    <w:p w14:paraId="23272CF0" w14:textId="77777777" w:rsidR="000C35CB" w:rsidRPr="00074443" w:rsidRDefault="000C35CB" w:rsidP="00F1136B">
      <w:pPr>
        <w:tabs>
          <w:tab w:val="left" w:pos="6720"/>
        </w:tabs>
        <w:jc w:val="both"/>
        <w:rPr>
          <w:rFonts w:ascii="Times New Roman" w:eastAsia="Calibri" w:hAnsi="Times New Roman"/>
          <w:color w:val="000000" w:themeColor="text1"/>
          <w:sz w:val="24"/>
          <w:szCs w:val="24"/>
        </w:rPr>
      </w:pPr>
    </w:p>
    <w:p w14:paraId="72FB24B6" w14:textId="77777777" w:rsidR="00F1136B" w:rsidRPr="00074443" w:rsidRDefault="00F1136B" w:rsidP="00F1136B">
      <w:pPr>
        <w:tabs>
          <w:tab w:val="left" w:pos="6720"/>
        </w:tabs>
        <w:jc w:val="both"/>
        <w:rPr>
          <w:rFonts w:ascii="Times New Roman" w:eastAsia="Calibri" w:hAnsi="Times New Roman"/>
          <w:b/>
          <w:color w:val="000000" w:themeColor="text1"/>
          <w:sz w:val="24"/>
          <w:szCs w:val="24"/>
        </w:rPr>
      </w:pPr>
    </w:p>
    <w:p w14:paraId="76FBDB7F" w14:textId="111D2A67" w:rsidR="00541C43" w:rsidRPr="00074443" w:rsidRDefault="00F1136B"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b/>
          <w:color w:val="000000" w:themeColor="text1"/>
          <w:sz w:val="24"/>
          <w:szCs w:val="24"/>
        </w:rPr>
        <w:t>2)</w:t>
      </w:r>
      <w:r w:rsidRPr="00074443">
        <w:rPr>
          <w:rFonts w:ascii="Times New Roman" w:eastAsia="Calibri" w:hAnsi="Times New Roman"/>
          <w:color w:val="000000" w:themeColor="text1"/>
          <w:sz w:val="24"/>
          <w:szCs w:val="24"/>
        </w:rPr>
        <w:t xml:space="preserve"> </w:t>
      </w:r>
      <w:r w:rsidR="00541C43" w:rsidRPr="00074443">
        <w:rPr>
          <w:rFonts w:ascii="Times New Roman" w:eastAsia="Calibri" w:hAnsi="Times New Roman"/>
          <w:color w:val="000000" w:themeColor="text1"/>
          <w:sz w:val="24"/>
          <w:szCs w:val="24"/>
        </w:rPr>
        <w:t xml:space="preserve">Çdo fundvit, ATK parashikon buxhetin dhe planin e arkëtimeve për vitin pasardhës. Referuar edhe pritshmërive të JSO-ve (Jurist dhe Specialist Operacional) që meren enkas me </w:t>
      </w:r>
      <w:r w:rsidR="00541C43" w:rsidRPr="00074443">
        <w:rPr>
          <w:rFonts w:ascii="Times New Roman" w:eastAsia="Calibri" w:hAnsi="Times New Roman"/>
          <w:color w:val="000000" w:themeColor="text1"/>
          <w:sz w:val="24"/>
          <w:szCs w:val="24"/>
        </w:rPr>
        <w:lastRenderedPageBreak/>
        <w:t xml:space="preserve">trajtimin e borxhit dhe që e njohin imtësisht situatën e debitorëve dhe zonave në portofolet respektive që kanë në trajtim, kanë referuar në total shumën për realizimin e targetit vjetor në 90,000,000 lekë. Pra, ATK rikuperon 1,53% të portofolit në total gjatë një viti pune. Në të njëjtat kushte kemi vepruar edhe për të përllogaritur rikuperimin e portofolit të garancive. Nëse e marim të mirëqenë, që Portofoli i marrë në trajtim nga Agjencinë e Menaxhimit të Garancive dhe Kredive të Pakthyera është 527,690,954.8 lekë, është ndjekur e njëjta logjikë si në trajtimin e portofolit të mbetur të ATK-së. </w:t>
      </w:r>
    </w:p>
    <w:p w14:paraId="37208C2D" w14:textId="77777777" w:rsidR="00541C43"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76AE69B2" w14:textId="4E0B1CB1" w:rsidR="00541C43"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Të ardhura nga Viti i parë Garancia Sovrane = 527,690,954.8 lekë</w:t>
      </w:r>
      <w:r w:rsidR="00516D2A" w:rsidRPr="00074443">
        <w:rPr>
          <w:rFonts w:ascii="Times New Roman" w:eastAsia="Calibri" w:hAnsi="Times New Roman"/>
          <w:color w:val="000000" w:themeColor="text1"/>
          <w:sz w:val="24"/>
          <w:szCs w:val="24"/>
        </w:rPr>
        <w:t xml:space="preserve"> (portofoli i huave me problem t</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marra n</w:t>
      </w:r>
      <w:r w:rsidR="003162AD" w:rsidRPr="00074443">
        <w:rPr>
          <w:rFonts w:ascii="Times New Roman" w:eastAsia="Calibri" w:hAnsi="Times New Roman"/>
          <w:color w:val="000000" w:themeColor="text1"/>
          <w:sz w:val="24"/>
          <w:szCs w:val="24"/>
        </w:rPr>
        <w:t>ë</w:t>
      </w:r>
      <w:r w:rsidR="00516D2A" w:rsidRPr="00074443">
        <w:rPr>
          <w:rFonts w:ascii="Times New Roman" w:eastAsia="Calibri" w:hAnsi="Times New Roman"/>
          <w:color w:val="000000" w:themeColor="text1"/>
          <w:sz w:val="24"/>
          <w:szCs w:val="24"/>
        </w:rPr>
        <w:t xml:space="preserve"> trajtim) </w:t>
      </w:r>
      <w:r w:rsidRPr="00074443">
        <w:rPr>
          <w:rFonts w:ascii="Times New Roman" w:eastAsia="Calibri" w:hAnsi="Times New Roman"/>
          <w:color w:val="000000" w:themeColor="text1"/>
          <w:sz w:val="24"/>
          <w:szCs w:val="24"/>
        </w:rPr>
        <w:t>*0,0153</w:t>
      </w:r>
      <w:r w:rsidR="00516D2A" w:rsidRPr="00074443">
        <w:rPr>
          <w:rFonts w:ascii="Times New Roman" w:eastAsia="Calibri" w:hAnsi="Times New Roman"/>
          <w:color w:val="000000" w:themeColor="text1"/>
          <w:sz w:val="24"/>
          <w:szCs w:val="24"/>
        </w:rPr>
        <w:t xml:space="preserve"> (norma e rikuperimit)</w:t>
      </w:r>
      <w:r w:rsidRPr="00074443">
        <w:rPr>
          <w:rFonts w:ascii="Times New Roman" w:eastAsia="Calibri" w:hAnsi="Times New Roman"/>
          <w:color w:val="000000" w:themeColor="text1"/>
          <w:sz w:val="24"/>
          <w:szCs w:val="24"/>
        </w:rPr>
        <w:t xml:space="preserve"> = 8,073,671.6 lekë, që do të rikuperohen vetëm nga portofoli i garancive. </w:t>
      </w:r>
    </w:p>
    <w:p w14:paraId="1C19B938" w14:textId="77777777" w:rsidR="00541C43"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21E34E05" w14:textId="03052A81" w:rsidR="00541C43"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Pra, të ardhurat në total për Agjencinë e Menaxhimit të Garancive dhe Kredive të Pakthyera do të jenë = 8,073,671.6 </w:t>
      </w:r>
      <w:r w:rsidR="00DA0658" w:rsidRPr="00074443">
        <w:rPr>
          <w:rFonts w:ascii="Times New Roman" w:eastAsia="Calibri" w:hAnsi="Times New Roman"/>
          <w:color w:val="000000" w:themeColor="text1"/>
          <w:sz w:val="24"/>
          <w:szCs w:val="24"/>
        </w:rPr>
        <w:t>lek</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 </w:t>
      </w:r>
      <w:r w:rsidRPr="00074443">
        <w:rPr>
          <w:rFonts w:ascii="Times New Roman" w:eastAsia="Calibri" w:hAnsi="Times New Roman"/>
          <w:color w:val="000000" w:themeColor="text1"/>
          <w:sz w:val="24"/>
          <w:szCs w:val="24"/>
        </w:rPr>
        <w:t>nga garancia</w:t>
      </w:r>
      <w:r w:rsidR="00DA0658" w:rsidRPr="00074443">
        <w:rPr>
          <w:rFonts w:ascii="Times New Roman" w:eastAsia="Calibri" w:hAnsi="Times New Roman"/>
          <w:color w:val="000000" w:themeColor="text1"/>
          <w:sz w:val="24"/>
          <w:szCs w:val="24"/>
        </w:rPr>
        <w:t xml:space="preserve"> sovrane</w:t>
      </w:r>
      <w:r w:rsidRPr="00074443">
        <w:rPr>
          <w:rFonts w:ascii="Times New Roman" w:eastAsia="Calibri" w:hAnsi="Times New Roman"/>
          <w:color w:val="000000" w:themeColor="text1"/>
          <w:sz w:val="24"/>
          <w:szCs w:val="24"/>
        </w:rPr>
        <w:t xml:space="preserve"> në vitin e </w:t>
      </w:r>
      <w:r w:rsidR="00DA0658" w:rsidRPr="00074443">
        <w:rPr>
          <w:rFonts w:ascii="Times New Roman" w:eastAsia="Calibri" w:hAnsi="Times New Roman"/>
          <w:color w:val="000000" w:themeColor="text1"/>
          <w:sz w:val="24"/>
          <w:szCs w:val="24"/>
        </w:rPr>
        <w:t>par</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w:t>
      </w:r>
      <w:r w:rsidRPr="00074443">
        <w:rPr>
          <w:rFonts w:ascii="Times New Roman" w:eastAsia="Calibri" w:hAnsi="Times New Roman"/>
          <w:color w:val="000000" w:themeColor="text1"/>
          <w:sz w:val="24"/>
          <w:szCs w:val="24"/>
        </w:rPr>
        <w:t xml:space="preserve"> </w:t>
      </w:r>
    </w:p>
    <w:p w14:paraId="2834E3E5" w14:textId="77777777" w:rsidR="00541C43"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 </w:t>
      </w:r>
    </w:p>
    <w:p w14:paraId="7A1A2443" w14:textId="783C5354" w:rsidR="00F1136B" w:rsidRPr="00074443" w:rsidRDefault="00541C43"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Sa u përket llogaritjes së të ardhurave për vitet në vijim është ndjekur e njëjta logjikë, duke zbritur nga portofoli aktual</w:t>
      </w:r>
      <w:r w:rsidR="00DA0658" w:rsidRPr="00074443">
        <w:rPr>
          <w:rFonts w:ascii="Times New Roman" w:eastAsia="Calibri" w:hAnsi="Times New Roman"/>
          <w:color w:val="000000" w:themeColor="text1"/>
          <w:sz w:val="24"/>
          <w:szCs w:val="24"/>
        </w:rPr>
        <w:t xml:space="preserve"> (527,690,954.8 lek</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w:t>
      </w:r>
      <w:r w:rsidRPr="00074443">
        <w:rPr>
          <w:rFonts w:ascii="Times New Roman" w:eastAsia="Calibri" w:hAnsi="Times New Roman"/>
          <w:color w:val="000000" w:themeColor="text1"/>
          <w:sz w:val="24"/>
          <w:szCs w:val="24"/>
        </w:rPr>
        <w:t xml:space="preserve"> të ardhurat që pretendohen të mblidhen në vitin e </w:t>
      </w:r>
      <w:r w:rsidR="00DA0658" w:rsidRPr="00074443">
        <w:rPr>
          <w:rFonts w:ascii="Times New Roman" w:eastAsia="Calibri" w:hAnsi="Times New Roman"/>
          <w:color w:val="000000" w:themeColor="text1"/>
          <w:sz w:val="24"/>
          <w:szCs w:val="24"/>
        </w:rPr>
        <w:t>pare (pra 8,073,671.6 lek</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w:t>
      </w:r>
      <w:r w:rsidRPr="00074443">
        <w:rPr>
          <w:rFonts w:ascii="Times New Roman" w:eastAsia="Calibri" w:hAnsi="Times New Roman"/>
          <w:color w:val="000000" w:themeColor="text1"/>
          <w:sz w:val="24"/>
          <w:szCs w:val="24"/>
        </w:rPr>
        <w:t xml:space="preserve"> shumëzuar me kthimin e portofolit me 1,53%</w:t>
      </w:r>
      <w:r w:rsidR="00DA0658" w:rsidRPr="00074443">
        <w:rPr>
          <w:rFonts w:ascii="Times New Roman" w:eastAsia="Calibri" w:hAnsi="Times New Roman"/>
          <w:color w:val="000000" w:themeColor="text1"/>
          <w:sz w:val="24"/>
          <w:szCs w:val="24"/>
        </w:rPr>
        <w:t xml:space="preserve"> (shpjeguar m</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 lart faktori)</w:t>
      </w:r>
      <w:r w:rsidRPr="00074443">
        <w:rPr>
          <w:rFonts w:ascii="Times New Roman" w:eastAsia="Calibri" w:hAnsi="Times New Roman"/>
          <w:color w:val="000000" w:themeColor="text1"/>
          <w:sz w:val="24"/>
          <w:szCs w:val="24"/>
        </w:rPr>
        <w:t xml:space="preserve">.  </w:t>
      </w:r>
    </w:p>
    <w:p w14:paraId="174B9CF2" w14:textId="77777777" w:rsidR="00DA0658" w:rsidRPr="00074443" w:rsidRDefault="00DA0658" w:rsidP="00541C43">
      <w:pPr>
        <w:tabs>
          <w:tab w:val="left" w:pos="6720"/>
        </w:tabs>
        <w:jc w:val="both"/>
        <w:rPr>
          <w:rFonts w:ascii="Times New Roman" w:eastAsia="Calibri" w:hAnsi="Times New Roman"/>
          <w:color w:val="000000" w:themeColor="text1"/>
          <w:sz w:val="24"/>
          <w:szCs w:val="24"/>
        </w:rPr>
      </w:pPr>
    </w:p>
    <w:p w14:paraId="4AD09E85" w14:textId="5A9040BE" w:rsidR="00DA0658" w:rsidRPr="00074443" w:rsidRDefault="00DA0658" w:rsidP="00541C43">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Llogaritja e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ardhurave q</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planifikohen 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ark</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tohen </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sht</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kryer p</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r nj</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periudh</w:t>
      </w:r>
      <w:r w:rsidR="003162AD" w:rsidRPr="00074443">
        <w:rPr>
          <w:rFonts w:ascii="Times New Roman" w:eastAsia="Calibri" w:hAnsi="Times New Roman"/>
          <w:color w:val="000000" w:themeColor="text1"/>
          <w:sz w:val="24"/>
          <w:szCs w:val="24"/>
        </w:rPr>
        <w:t>ë</w:t>
      </w:r>
      <w:r w:rsidRPr="00074443">
        <w:rPr>
          <w:rFonts w:ascii="Times New Roman" w:eastAsia="Calibri" w:hAnsi="Times New Roman"/>
          <w:color w:val="000000" w:themeColor="text1"/>
          <w:sz w:val="24"/>
          <w:szCs w:val="24"/>
        </w:rPr>
        <w:t xml:space="preserve"> 5 vjeçare.</w:t>
      </w:r>
    </w:p>
    <w:p w14:paraId="5C1BFA0C" w14:textId="77777777" w:rsidR="00541C43" w:rsidRPr="00074443" w:rsidRDefault="00541C43" w:rsidP="00541C43">
      <w:pPr>
        <w:tabs>
          <w:tab w:val="left" w:pos="6720"/>
        </w:tabs>
        <w:jc w:val="both"/>
        <w:rPr>
          <w:rFonts w:ascii="Times New Roman" w:eastAsia="Calibri" w:hAnsi="Times New Roman"/>
          <w:color w:val="000000" w:themeColor="text1"/>
          <w:sz w:val="24"/>
          <w:szCs w:val="24"/>
        </w:rPr>
      </w:pPr>
    </w:p>
    <w:p w14:paraId="5EC4345D" w14:textId="58D88D55" w:rsidR="00EE59FE" w:rsidRPr="00074443" w:rsidRDefault="00EE59FE" w:rsidP="00EE59FE">
      <w:pPr>
        <w:shd w:val="clear" w:color="auto" w:fill="FFFFFF"/>
        <w:jc w:val="both"/>
        <w:rPr>
          <w:rFonts w:ascii="Calibri" w:eastAsia="Calibri" w:hAnsi="Calibri" w:cs="Calibri"/>
          <w:color w:val="000000" w:themeColor="text1"/>
          <w:szCs w:val="22"/>
          <w:lang w:val="en-US"/>
        </w:rPr>
      </w:pPr>
      <w:r w:rsidRPr="00074443">
        <w:rPr>
          <w:rFonts w:ascii="Times New Roman" w:eastAsia="Calibri" w:hAnsi="Times New Roman"/>
          <w:b/>
          <w:bCs/>
          <w:color w:val="000000" w:themeColor="text1"/>
          <w:sz w:val="24"/>
          <w:szCs w:val="24"/>
          <w:lang w:val="sq-AL"/>
        </w:rPr>
        <w:t>3)</w:t>
      </w:r>
      <w:r w:rsidRPr="00074443">
        <w:rPr>
          <w:rFonts w:ascii="Times New Roman" w:eastAsia="Calibri" w:hAnsi="Times New Roman"/>
          <w:color w:val="000000" w:themeColor="text1"/>
          <w:sz w:val="24"/>
          <w:szCs w:val="24"/>
          <w:lang w:val="sq-AL"/>
        </w:rPr>
        <w:t xml:space="preserve"> Për trajtimin e rreth 11,000 debitorëve dhe realizimin e targetit prej 90,000,000 lekëve</w:t>
      </w:r>
      <w:r w:rsidR="00DA0658" w:rsidRPr="00074443">
        <w:rPr>
          <w:rFonts w:ascii="Times New Roman" w:eastAsia="Calibri" w:hAnsi="Times New Roman"/>
          <w:color w:val="000000" w:themeColor="text1"/>
          <w:sz w:val="24"/>
          <w:szCs w:val="24"/>
          <w:lang w:val="sq-AL"/>
        </w:rPr>
        <w:t xml:space="preserve"> (totali i portofolit q</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aktualisht </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sht</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n</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trajtim nga ATK)</w:t>
      </w:r>
      <w:r w:rsidRPr="00074443">
        <w:rPr>
          <w:rFonts w:ascii="Times New Roman" w:eastAsia="Calibri" w:hAnsi="Times New Roman"/>
          <w:color w:val="000000" w:themeColor="text1"/>
          <w:sz w:val="24"/>
          <w:szCs w:val="24"/>
          <w:lang w:val="sq-AL"/>
        </w:rPr>
        <w:t>, në ATK aktualisht Sektori Juridik dhe Operacional që angazhohet maksimalisht përbëhet nga 7 Specialistë. (Pra, 7 Juristë dhe Specialistë Operacional angazhohen maksimalisht për realizimin e targetit vjetor që është 90,000,000 lekë për trajtimin e kredive sipas Ligjit 8894, datë 14.05.2002), të cilët krahas</w:t>
      </w:r>
      <w:r w:rsidR="004F2FA7" w:rsidRPr="00074443">
        <w:rPr>
          <w:rFonts w:ascii="Times New Roman" w:eastAsia="Calibri" w:hAnsi="Times New Roman"/>
          <w:color w:val="000000" w:themeColor="text1"/>
          <w:sz w:val="24"/>
          <w:szCs w:val="24"/>
          <w:lang w:val="sq-AL"/>
        </w:rPr>
        <w:t xml:space="preserve"> punës në</w:t>
      </w:r>
      <w:r w:rsidRPr="00074443">
        <w:rPr>
          <w:rFonts w:ascii="Times New Roman" w:eastAsia="Calibri" w:hAnsi="Times New Roman"/>
          <w:color w:val="000000" w:themeColor="text1"/>
          <w:sz w:val="24"/>
          <w:szCs w:val="24"/>
          <w:lang w:val="sq-AL"/>
        </w:rPr>
        <w:t xml:space="preserve"> terren realizojnë edhe detyrat e tjera funaksionale. Nëse shtojmë edhe afërsisht 584 debitorë në stok aktualisht nga garancitë, duke pasur edhe një rritje të portofolit, nisur edhe nga prioriteti që do të ketë trajtimi i tyre për t’u rikuperuar, atëherë lind nevoja që të shtohe</w:t>
      </w:r>
      <w:r w:rsidR="00117B44" w:rsidRPr="00074443">
        <w:rPr>
          <w:rFonts w:ascii="Times New Roman" w:eastAsia="Calibri" w:hAnsi="Times New Roman"/>
          <w:color w:val="000000" w:themeColor="text1"/>
          <w:sz w:val="24"/>
          <w:szCs w:val="24"/>
          <w:lang w:val="sq-AL"/>
        </w:rPr>
        <w:t>n</w:t>
      </w:r>
      <w:r w:rsidRPr="00074443">
        <w:rPr>
          <w:rFonts w:ascii="Times New Roman" w:eastAsia="Calibri" w:hAnsi="Times New Roman"/>
          <w:color w:val="000000" w:themeColor="text1"/>
          <w:sz w:val="24"/>
          <w:szCs w:val="24"/>
          <w:lang w:val="sq-AL"/>
        </w:rPr>
        <w:t xml:space="preserve"> në staf edhe 1-2 specialistë. Pra, për një Sektor Juridik dhe Operacional më të plotë dhe efektiv, nevojitet edhe shtimi i dy specialistëve, të cilët të ndihmojnë në trajtimin e garancive</w:t>
      </w:r>
      <w:r w:rsidR="00467C66" w:rsidRPr="00074443">
        <w:rPr>
          <w:rFonts w:ascii="Times New Roman" w:eastAsia="Calibri" w:hAnsi="Times New Roman"/>
          <w:color w:val="000000" w:themeColor="text1"/>
          <w:sz w:val="24"/>
          <w:szCs w:val="24"/>
          <w:lang w:val="sq-AL"/>
        </w:rPr>
        <w:t>,</w:t>
      </w:r>
      <w:r w:rsidRPr="00074443">
        <w:rPr>
          <w:rFonts w:ascii="Times New Roman" w:eastAsia="Calibri" w:hAnsi="Times New Roman"/>
          <w:color w:val="000000" w:themeColor="text1"/>
          <w:sz w:val="24"/>
          <w:szCs w:val="24"/>
          <w:lang w:val="sq-AL"/>
        </w:rPr>
        <w:t xml:space="preserve"> por edhe në kreditë që trajton aktualisht ATK. </w:t>
      </w:r>
      <w:r w:rsidR="00DA0658" w:rsidRPr="00074443">
        <w:rPr>
          <w:rFonts w:ascii="Times New Roman" w:eastAsia="Calibri" w:hAnsi="Times New Roman"/>
          <w:color w:val="000000" w:themeColor="text1"/>
          <w:sz w:val="24"/>
          <w:szCs w:val="24"/>
          <w:lang w:val="sq-AL"/>
        </w:rPr>
        <w:t>Plot</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simi i nevojave institucionale edhe me 2 specialist</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t</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tjer</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sht</w:t>
      </w:r>
      <w:r w:rsidR="003162AD" w:rsidRPr="00074443">
        <w:rPr>
          <w:rFonts w:ascii="Times New Roman" w:eastAsia="Calibri" w:hAnsi="Times New Roman"/>
          <w:color w:val="000000" w:themeColor="text1"/>
          <w:sz w:val="24"/>
          <w:szCs w:val="24"/>
          <w:lang w:val="sq-AL"/>
        </w:rPr>
        <w:t>ë</w:t>
      </w:r>
      <w:r w:rsidR="00DA0658" w:rsidRPr="00074443">
        <w:rPr>
          <w:rFonts w:ascii="Times New Roman" w:eastAsia="Calibri" w:hAnsi="Times New Roman"/>
          <w:color w:val="000000" w:themeColor="text1"/>
          <w:sz w:val="24"/>
          <w:szCs w:val="24"/>
          <w:lang w:val="sq-AL"/>
        </w:rPr>
        <w:t xml:space="preserve"> </w:t>
      </w:r>
    </w:p>
    <w:p w14:paraId="61567770" w14:textId="77777777" w:rsidR="00F1136B" w:rsidRPr="00074443" w:rsidRDefault="00F1136B" w:rsidP="00F1136B">
      <w:pPr>
        <w:tabs>
          <w:tab w:val="left" w:pos="6720"/>
        </w:tabs>
        <w:jc w:val="both"/>
        <w:rPr>
          <w:rFonts w:ascii="Times New Roman" w:eastAsia="Calibri" w:hAnsi="Times New Roman"/>
          <w:color w:val="000000" w:themeColor="text1"/>
          <w:sz w:val="24"/>
          <w:szCs w:val="24"/>
        </w:rPr>
      </w:pPr>
    </w:p>
    <w:p w14:paraId="56E5134C" w14:textId="3D55C4C2" w:rsidR="00467C66" w:rsidRPr="00074443" w:rsidRDefault="00F1136B" w:rsidP="00467C66">
      <w:pPr>
        <w:shd w:val="clear" w:color="auto" w:fill="FFFFFF"/>
        <w:jc w:val="both"/>
        <w:rPr>
          <w:rFonts w:ascii="Calibri" w:eastAsia="Calibri" w:hAnsi="Calibri" w:cs="Calibri"/>
          <w:color w:val="000000" w:themeColor="text1"/>
          <w:szCs w:val="22"/>
          <w:lang w:val="en-US"/>
        </w:rPr>
      </w:pPr>
      <w:r w:rsidRPr="00074443">
        <w:rPr>
          <w:rFonts w:ascii="Times New Roman" w:eastAsia="Calibri" w:hAnsi="Times New Roman"/>
          <w:b/>
          <w:color w:val="000000" w:themeColor="text1"/>
          <w:sz w:val="24"/>
          <w:szCs w:val="24"/>
        </w:rPr>
        <w:t>4)</w:t>
      </w:r>
      <w:r w:rsidR="00467C66" w:rsidRPr="00074443">
        <w:rPr>
          <w:rFonts w:ascii="Times New Roman" w:eastAsia="Calibri" w:hAnsi="Times New Roman"/>
          <w:color w:val="000000" w:themeColor="text1"/>
          <w:sz w:val="24"/>
          <w:szCs w:val="24"/>
          <w:lang w:val="sq-AL"/>
        </w:rPr>
        <w:t xml:space="preserve"> Aktualisht Sistemi</w:t>
      </w:r>
      <w:r w:rsidR="00DA0658" w:rsidRPr="00074443">
        <w:rPr>
          <w:rFonts w:ascii="Times New Roman" w:eastAsia="Calibri" w:hAnsi="Times New Roman"/>
          <w:color w:val="000000" w:themeColor="text1"/>
          <w:sz w:val="24"/>
          <w:szCs w:val="24"/>
          <w:lang w:val="sq-AL"/>
        </w:rPr>
        <w:t xml:space="preserve"> Elektronik i Kreditit </w:t>
      </w:r>
      <w:r w:rsidR="00467C66" w:rsidRPr="00074443">
        <w:rPr>
          <w:rFonts w:ascii="Times New Roman" w:eastAsia="Calibri" w:hAnsi="Times New Roman"/>
          <w:color w:val="000000" w:themeColor="text1"/>
          <w:sz w:val="24"/>
          <w:szCs w:val="24"/>
          <w:lang w:val="sq-AL"/>
        </w:rPr>
        <w:t xml:space="preserve">që ATK përdor ka funksionalitet në dy departamente, por njëkohësisht ka ndërlidhje me </w:t>
      </w:r>
      <w:r w:rsidR="00DA0658" w:rsidRPr="00074443">
        <w:rPr>
          <w:rFonts w:ascii="Times New Roman" w:eastAsia="Calibri" w:hAnsi="Times New Roman"/>
          <w:color w:val="000000" w:themeColor="text1"/>
          <w:sz w:val="24"/>
          <w:szCs w:val="24"/>
          <w:lang w:val="sq-AL"/>
        </w:rPr>
        <w:t xml:space="preserve">sistemin </w:t>
      </w:r>
      <w:r w:rsidR="00467C66" w:rsidRPr="00074443">
        <w:rPr>
          <w:rFonts w:ascii="Times New Roman" w:eastAsia="Calibri" w:hAnsi="Times New Roman"/>
          <w:color w:val="000000" w:themeColor="text1"/>
          <w:sz w:val="24"/>
          <w:szCs w:val="24"/>
          <w:lang w:val="sq-AL"/>
        </w:rPr>
        <w:t xml:space="preserve">Financa 5. Funksionon si një database me të dhënat e secilit debitor. </w:t>
      </w:r>
      <w:r w:rsidR="004A3ACA" w:rsidRPr="00074443">
        <w:rPr>
          <w:rFonts w:ascii="Times New Roman" w:eastAsia="Calibri" w:hAnsi="Times New Roman"/>
          <w:color w:val="000000" w:themeColor="text1"/>
          <w:sz w:val="24"/>
          <w:szCs w:val="24"/>
          <w:lang w:val="sq-AL"/>
        </w:rPr>
        <w:t>G</w:t>
      </w:r>
      <w:r w:rsidR="00467C66" w:rsidRPr="00074443">
        <w:rPr>
          <w:rFonts w:ascii="Times New Roman" w:eastAsia="Calibri" w:hAnsi="Times New Roman"/>
          <w:color w:val="000000" w:themeColor="text1"/>
          <w:sz w:val="24"/>
          <w:szCs w:val="24"/>
          <w:lang w:val="sq-AL"/>
        </w:rPr>
        <w:t>jithashtu jep të dhëna për të ndihmuar procesin e punës, pasi ka të regjistruar të gjitha hapat e një veprimi. Për të pasur një Sistem më të integruar në funksionalitet, do të marrim parasysh kërkesat që do të ketë Institucioni në ndërtimin e tij. </w:t>
      </w:r>
    </w:p>
    <w:p w14:paraId="4D30DF66" w14:textId="2B239447"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Kosto shtesë që mund të duhet për ndërtimin e një ndërfaqje brenda sistemit të kreditit me të cilin </w:t>
      </w:r>
      <w:r w:rsidR="00D81000" w:rsidRPr="00074443">
        <w:rPr>
          <w:rFonts w:ascii="Times New Roman" w:eastAsia="Calibri" w:hAnsi="Times New Roman"/>
          <w:color w:val="000000" w:themeColor="text1"/>
          <w:sz w:val="24"/>
          <w:szCs w:val="24"/>
        </w:rPr>
        <w:t>ATK</w:t>
      </w:r>
      <w:r w:rsidRPr="00074443">
        <w:rPr>
          <w:rFonts w:ascii="Times New Roman" w:eastAsia="Calibri" w:hAnsi="Times New Roman"/>
          <w:color w:val="000000" w:themeColor="text1"/>
          <w:sz w:val="24"/>
          <w:szCs w:val="24"/>
        </w:rPr>
        <w:t xml:space="preserve"> </w:t>
      </w:r>
      <w:r w:rsidR="00D81000" w:rsidRPr="00074443">
        <w:rPr>
          <w:rFonts w:ascii="Times New Roman" w:eastAsia="Calibri" w:hAnsi="Times New Roman"/>
          <w:color w:val="000000" w:themeColor="text1"/>
          <w:sz w:val="24"/>
          <w:szCs w:val="24"/>
        </w:rPr>
        <w:t>o</w:t>
      </w:r>
      <w:r w:rsidRPr="00074443">
        <w:rPr>
          <w:rFonts w:ascii="Times New Roman" w:eastAsia="Calibri" w:hAnsi="Times New Roman"/>
          <w:color w:val="000000" w:themeColor="text1"/>
          <w:sz w:val="24"/>
          <w:szCs w:val="24"/>
        </w:rPr>
        <w:t>pero</w:t>
      </w:r>
      <w:r w:rsidR="00D81000" w:rsidRPr="00074443">
        <w:rPr>
          <w:rFonts w:ascii="Times New Roman" w:eastAsia="Calibri" w:hAnsi="Times New Roman"/>
          <w:color w:val="000000" w:themeColor="text1"/>
          <w:sz w:val="24"/>
          <w:szCs w:val="24"/>
        </w:rPr>
        <w:t>n</w:t>
      </w:r>
      <w:r w:rsidRPr="00074443">
        <w:rPr>
          <w:rFonts w:ascii="Times New Roman" w:eastAsia="Calibri" w:hAnsi="Times New Roman"/>
          <w:color w:val="000000" w:themeColor="text1"/>
          <w:sz w:val="24"/>
          <w:szCs w:val="24"/>
        </w:rPr>
        <w:t xml:space="preserve"> aktualisht </w:t>
      </w:r>
      <w:r w:rsidR="00DA0658" w:rsidRPr="00074443">
        <w:rPr>
          <w:rFonts w:ascii="Times New Roman" w:eastAsia="Calibri" w:hAnsi="Times New Roman"/>
          <w:color w:val="000000" w:themeColor="text1"/>
          <w:sz w:val="24"/>
          <w:szCs w:val="24"/>
        </w:rPr>
        <w:t>n</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 vlera hipotetike p</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rllogaritet </w:t>
      </w:r>
      <w:r w:rsidRPr="00074443">
        <w:rPr>
          <w:rFonts w:ascii="Times New Roman" w:eastAsia="Calibri" w:hAnsi="Times New Roman"/>
          <w:color w:val="000000" w:themeColor="text1"/>
          <w:sz w:val="24"/>
          <w:szCs w:val="24"/>
        </w:rPr>
        <w:t xml:space="preserve">të jetë </w:t>
      </w:r>
      <w:r w:rsidR="00DA0658" w:rsidRPr="00074443">
        <w:rPr>
          <w:rFonts w:ascii="Times New Roman" w:eastAsia="Calibri" w:hAnsi="Times New Roman"/>
          <w:color w:val="000000" w:themeColor="text1"/>
          <w:sz w:val="24"/>
          <w:szCs w:val="24"/>
        </w:rPr>
        <w:t xml:space="preserve">rreth </w:t>
      </w:r>
      <w:r w:rsidRPr="00074443">
        <w:rPr>
          <w:rFonts w:ascii="Times New Roman" w:eastAsia="Calibri" w:hAnsi="Times New Roman"/>
          <w:color w:val="000000" w:themeColor="text1"/>
          <w:sz w:val="24"/>
          <w:szCs w:val="24"/>
        </w:rPr>
        <w:t>1,2 - 2 milionë lekë.</w:t>
      </w:r>
    </w:p>
    <w:p w14:paraId="66F7327B" w14:textId="7E88945B"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Ndërsa për një sistem “Upgrade”</w:t>
      </w:r>
      <w:r w:rsidR="00DA0658" w:rsidRPr="00074443">
        <w:rPr>
          <w:rFonts w:ascii="Times New Roman" w:eastAsia="Calibri" w:hAnsi="Times New Roman"/>
          <w:color w:val="000000" w:themeColor="text1"/>
          <w:sz w:val="24"/>
          <w:szCs w:val="24"/>
        </w:rPr>
        <w:t xml:space="preserve"> t</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 ri</w:t>
      </w:r>
      <w:r w:rsidRPr="00074443">
        <w:rPr>
          <w:rFonts w:ascii="Times New Roman" w:eastAsia="Calibri" w:hAnsi="Times New Roman"/>
          <w:color w:val="000000" w:themeColor="text1"/>
          <w:sz w:val="24"/>
          <w:szCs w:val="24"/>
        </w:rPr>
        <w:t xml:space="preserve">, për të ndërtuar një database e cila do të mbajë të dhënat (ATK + garancitë sovrane), kostoja mund të </w:t>
      </w:r>
      <w:r w:rsidR="00DA0658" w:rsidRPr="00074443">
        <w:rPr>
          <w:rFonts w:ascii="Times New Roman" w:eastAsia="Calibri" w:hAnsi="Times New Roman"/>
          <w:color w:val="000000" w:themeColor="text1"/>
          <w:sz w:val="24"/>
          <w:szCs w:val="24"/>
        </w:rPr>
        <w:t>varioj</w:t>
      </w:r>
      <w:r w:rsidR="003162AD" w:rsidRPr="00074443">
        <w:rPr>
          <w:rFonts w:ascii="Times New Roman" w:eastAsia="Calibri" w:hAnsi="Times New Roman"/>
          <w:color w:val="000000" w:themeColor="text1"/>
          <w:sz w:val="24"/>
          <w:szCs w:val="24"/>
        </w:rPr>
        <w:t>ë</w:t>
      </w:r>
      <w:r w:rsidR="00DA0658" w:rsidRPr="00074443">
        <w:rPr>
          <w:rFonts w:ascii="Times New Roman" w:eastAsia="Calibri" w:hAnsi="Times New Roman"/>
          <w:color w:val="000000" w:themeColor="text1"/>
          <w:sz w:val="24"/>
          <w:szCs w:val="24"/>
        </w:rPr>
        <w:t xml:space="preserve"> </w:t>
      </w:r>
      <w:r w:rsidRPr="00074443">
        <w:rPr>
          <w:rFonts w:ascii="Times New Roman" w:eastAsia="Calibri" w:hAnsi="Times New Roman"/>
          <w:color w:val="000000" w:themeColor="text1"/>
          <w:sz w:val="24"/>
          <w:szCs w:val="24"/>
        </w:rPr>
        <w:t>nga 4 - 4</w:t>
      </w:r>
      <w:proofErr w:type="gramStart"/>
      <w:r w:rsidRPr="00074443">
        <w:rPr>
          <w:rFonts w:ascii="Times New Roman" w:eastAsia="Calibri" w:hAnsi="Times New Roman"/>
          <w:color w:val="000000" w:themeColor="text1"/>
          <w:sz w:val="24"/>
          <w:szCs w:val="24"/>
        </w:rPr>
        <w:t>,5</w:t>
      </w:r>
      <w:proofErr w:type="gramEnd"/>
      <w:r w:rsidRPr="00074443">
        <w:rPr>
          <w:rFonts w:ascii="Times New Roman" w:eastAsia="Calibri" w:hAnsi="Times New Roman"/>
          <w:color w:val="000000" w:themeColor="text1"/>
          <w:sz w:val="24"/>
          <w:szCs w:val="24"/>
        </w:rPr>
        <w:t xml:space="preserve"> milionë lekë .</w:t>
      </w:r>
    </w:p>
    <w:p w14:paraId="34587E23" w14:textId="77777777" w:rsidR="00F1136B" w:rsidRPr="00074443" w:rsidRDefault="00F1136B" w:rsidP="00F1136B">
      <w:pPr>
        <w:tabs>
          <w:tab w:val="left" w:pos="6720"/>
        </w:tabs>
        <w:jc w:val="both"/>
        <w:rPr>
          <w:rFonts w:ascii="Times New Roman" w:eastAsia="Calibri" w:hAnsi="Times New Roman"/>
          <w:color w:val="000000" w:themeColor="text1"/>
          <w:sz w:val="24"/>
          <w:szCs w:val="24"/>
        </w:rPr>
      </w:pPr>
      <w:r w:rsidRPr="00074443">
        <w:rPr>
          <w:rFonts w:ascii="Times New Roman" w:eastAsia="Calibri" w:hAnsi="Times New Roman"/>
          <w:color w:val="000000" w:themeColor="text1"/>
          <w:sz w:val="24"/>
          <w:szCs w:val="24"/>
        </w:rPr>
        <w:t xml:space="preserve">Referuar vlerave të mësipërme, saktësojmë se meren parasysh nga kërkesat që do të vijnë në bazë edhe të fushave të caktuara për të regjistruar të dhënat e subjeketev kredimarrës. </w:t>
      </w:r>
    </w:p>
    <w:p w14:paraId="2AC8726B" w14:textId="77777777" w:rsidR="00A043C8" w:rsidRDefault="00A043C8" w:rsidP="00293355">
      <w:pPr>
        <w:pStyle w:val="BodyText"/>
        <w:spacing w:line="276" w:lineRule="auto"/>
        <w:jc w:val="both"/>
        <w:rPr>
          <w:rFonts w:ascii="Times New Roman" w:hAnsi="Times New Roman"/>
          <w:sz w:val="24"/>
          <w:szCs w:val="24"/>
          <w:lang w:val="sq-AL"/>
        </w:rPr>
      </w:pPr>
    </w:p>
    <w:p w14:paraId="580E6D6E" w14:textId="6F64302B" w:rsidR="00FD5C71" w:rsidRDefault="00FD5C71" w:rsidP="00293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P</w:t>
      </w:r>
      <w:r w:rsidR="00A043C8">
        <w:rPr>
          <w:rFonts w:ascii="Times New Roman" w:hAnsi="Times New Roman"/>
          <w:sz w:val="24"/>
          <w:szCs w:val="24"/>
          <w:lang w:val="sq-AL"/>
        </w:rPr>
        <w:t>ë</w:t>
      </w:r>
      <w:r>
        <w:rPr>
          <w:rFonts w:ascii="Times New Roman" w:hAnsi="Times New Roman"/>
          <w:sz w:val="24"/>
          <w:szCs w:val="24"/>
          <w:lang w:val="sq-AL"/>
        </w:rPr>
        <w:t>r bizneset dhe subjektet q</w:t>
      </w:r>
      <w:r w:rsidR="00A043C8">
        <w:rPr>
          <w:rFonts w:ascii="Times New Roman" w:hAnsi="Times New Roman"/>
          <w:sz w:val="24"/>
          <w:szCs w:val="24"/>
          <w:lang w:val="sq-AL"/>
        </w:rPr>
        <w:t>ë</w:t>
      </w:r>
      <w:r>
        <w:rPr>
          <w:rFonts w:ascii="Times New Roman" w:hAnsi="Times New Roman"/>
          <w:sz w:val="24"/>
          <w:szCs w:val="24"/>
          <w:lang w:val="sq-AL"/>
        </w:rPr>
        <w:t xml:space="preserve"> kan</w:t>
      </w:r>
      <w:r w:rsidR="00A043C8">
        <w:rPr>
          <w:rFonts w:ascii="Times New Roman" w:hAnsi="Times New Roman"/>
          <w:sz w:val="24"/>
          <w:szCs w:val="24"/>
          <w:lang w:val="sq-AL"/>
        </w:rPr>
        <w:t>ë</w:t>
      </w:r>
      <w:r>
        <w:rPr>
          <w:rFonts w:ascii="Times New Roman" w:hAnsi="Times New Roman"/>
          <w:sz w:val="24"/>
          <w:szCs w:val="24"/>
          <w:lang w:val="sq-AL"/>
        </w:rPr>
        <w:t xml:space="preserve"> p</w:t>
      </w:r>
      <w:r w:rsidR="00A043C8">
        <w:rPr>
          <w:rFonts w:ascii="Times New Roman" w:hAnsi="Times New Roman"/>
          <w:sz w:val="24"/>
          <w:szCs w:val="24"/>
          <w:lang w:val="sq-AL"/>
        </w:rPr>
        <w:t>ë</w:t>
      </w:r>
      <w:r>
        <w:rPr>
          <w:rFonts w:ascii="Times New Roman" w:hAnsi="Times New Roman"/>
          <w:sz w:val="24"/>
          <w:szCs w:val="24"/>
          <w:lang w:val="sq-AL"/>
        </w:rPr>
        <w:t>rfituar nga garancit</w:t>
      </w:r>
      <w:r w:rsidR="00A043C8">
        <w:rPr>
          <w:rFonts w:ascii="Times New Roman" w:hAnsi="Times New Roman"/>
          <w:sz w:val="24"/>
          <w:szCs w:val="24"/>
          <w:lang w:val="sq-AL"/>
        </w:rPr>
        <w:t>ë</w:t>
      </w:r>
      <w:r>
        <w:rPr>
          <w:rFonts w:ascii="Times New Roman" w:hAnsi="Times New Roman"/>
          <w:sz w:val="24"/>
          <w:szCs w:val="24"/>
          <w:lang w:val="sq-AL"/>
        </w:rPr>
        <w:t xml:space="preserve"> shtet</w:t>
      </w:r>
      <w:r w:rsidR="00A043C8">
        <w:rPr>
          <w:rFonts w:ascii="Times New Roman" w:hAnsi="Times New Roman"/>
          <w:sz w:val="24"/>
          <w:szCs w:val="24"/>
          <w:lang w:val="sq-AL"/>
        </w:rPr>
        <w:t>ë</w:t>
      </w:r>
      <w:r>
        <w:rPr>
          <w:rFonts w:ascii="Times New Roman" w:hAnsi="Times New Roman"/>
          <w:sz w:val="24"/>
          <w:szCs w:val="24"/>
          <w:lang w:val="sq-AL"/>
        </w:rPr>
        <w:t>rore dhe n</w:t>
      </w:r>
      <w:r w:rsidR="00A043C8">
        <w:rPr>
          <w:rFonts w:ascii="Times New Roman" w:hAnsi="Times New Roman"/>
          <w:sz w:val="24"/>
          <w:szCs w:val="24"/>
          <w:lang w:val="sq-AL"/>
        </w:rPr>
        <w:t>ë</w:t>
      </w:r>
      <w:r>
        <w:rPr>
          <w:rFonts w:ascii="Times New Roman" w:hAnsi="Times New Roman"/>
          <w:sz w:val="24"/>
          <w:szCs w:val="24"/>
          <w:lang w:val="sq-AL"/>
        </w:rPr>
        <w:t>nhuat</w:t>
      </w:r>
      <w:r w:rsidR="00A043C8">
        <w:rPr>
          <w:rFonts w:ascii="Times New Roman" w:hAnsi="Times New Roman"/>
          <w:sz w:val="24"/>
          <w:szCs w:val="24"/>
          <w:lang w:val="sq-AL"/>
        </w:rPr>
        <w:t>ë</w:t>
      </w:r>
      <w:r>
        <w:rPr>
          <w:rFonts w:ascii="Times New Roman" w:hAnsi="Times New Roman"/>
          <w:sz w:val="24"/>
          <w:szCs w:val="24"/>
          <w:lang w:val="sq-AL"/>
        </w:rPr>
        <w:t>:</w:t>
      </w:r>
    </w:p>
    <w:p w14:paraId="419B44C8" w14:textId="3F763CD8" w:rsidR="00293355" w:rsidRDefault="00293355" w:rsidP="00293355">
      <w:pPr>
        <w:pStyle w:val="BodyText"/>
        <w:spacing w:line="276" w:lineRule="auto"/>
        <w:jc w:val="both"/>
        <w:rPr>
          <w:rFonts w:ascii="Times New Roman" w:hAnsi="Times New Roman"/>
          <w:sz w:val="24"/>
          <w:szCs w:val="24"/>
          <w:lang w:val="sq-AL"/>
        </w:rPr>
      </w:pPr>
      <w:r w:rsidRPr="00293355">
        <w:rPr>
          <w:rFonts w:ascii="Times New Roman" w:hAnsi="Times New Roman"/>
          <w:sz w:val="24"/>
          <w:szCs w:val="24"/>
          <w:lang w:val="sq-AL"/>
        </w:rPr>
        <w:t>Vlerësohet se nga ndërhyrja e synuar në politikë, mund të preken bizneset apo subjektet me kapital shtetëror të cil</w:t>
      </w:r>
      <w:r w:rsidR="00A043C8">
        <w:rPr>
          <w:rFonts w:ascii="Times New Roman" w:hAnsi="Times New Roman"/>
          <w:sz w:val="24"/>
          <w:szCs w:val="24"/>
          <w:lang w:val="sq-AL"/>
        </w:rPr>
        <w:t>ë</w:t>
      </w:r>
      <w:r w:rsidRPr="00293355">
        <w:rPr>
          <w:rFonts w:ascii="Times New Roman" w:hAnsi="Times New Roman"/>
          <w:sz w:val="24"/>
          <w:szCs w:val="24"/>
          <w:lang w:val="sq-AL"/>
        </w:rPr>
        <w:t>t kanë përfituar nga garancitë shtetërore dhe nënhuatë</w:t>
      </w:r>
      <w:r w:rsidR="001834BA">
        <w:rPr>
          <w:rFonts w:ascii="Times New Roman" w:hAnsi="Times New Roman"/>
          <w:sz w:val="24"/>
          <w:szCs w:val="24"/>
          <w:lang w:val="sq-AL"/>
        </w:rPr>
        <w:t xml:space="preserve"> dhe</w:t>
      </w:r>
      <w:r w:rsidRPr="00293355">
        <w:rPr>
          <w:rFonts w:ascii="Times New Roman" w:hAnsi="Times New Roman"/>
          <w:sz w:val="24"/>
          <w:szCs w:val="24"/>
          <w:lang w:val="sq-AL"/>
        </w:rPr>
        <w:t xml:space="preserve"> të cil</w:t>
      </w:r>
      <w:r w:rsidR="00BA17E5">
        <w:rPr>
          <w:rFonts w:ascii="Times New Roman" w:hAnsi="Times New Roman"/>
          <w:sz w:val="24"/>
          <w:szCs w:val="24"/>
          <w:lang w:val="sq-AL"/>
        </w:rPr>
        <w:t>ë</w:t>
      </w:r>
      <w:r w:rsidRPr="00293355">
        <w:rPr>
          <w:rFonts w:ascii="Times New Roman" w:hAnsi="Times New Roman"/>
          <w:sz w:val="24"/>
          <w:szCs w:val="24"/>
          <w:lang w:val="sq-AL"/>
        </w:rPr>
        <w:t>ve do t</w:t>
      </w:r>
      <w:r w:rsidR="00020E0A">
        <w:rPr>
          <w:rFonts w:ascii="Times New Roman" w:hAnsi="Times New Roman"/>
          <w:sz w:val="24"/>
          <w:szCs w:val="24"/>
          <w:lang w:val="sq-AL"/>
        </w:rPr>
        <w:t>’</w:t>
      </w:r>
      <w:r w:rsidRPr="00293355">
        <w:rPr>
          <w:rFonts w:ascii="Times New Roman" w:hAnsi="Times New Roman"/>
          <w:sz w:val="24"/>
          <w:szCs w:val="24"/>
          <w:lang w:val="sq-AL"/>
        </w:rPr>
        <w:t>u mblidhen</w:t>
      </w:r>
      <w:r w:rsidR="00E74503">
        <w:rPr>
          <w:rFonts w:ascii="Times New Roman" w:hAnsi="Times New Roman"/>
          <w:sz w:val="24"/>
          <w:szCs w:val="24"/>
          <w:lang w:val="sq-AL"/>
        </w:rPr>
        <w:t xml:space="preserve"> </w:t>
      </w:r>
      <w:r w:rsidRPr="00293355">
        <w:rPr>
          <w:rFonts w:ascii="Times New Roman" w:hAnsi="Times New Roman"/>
          <w:sz w:val="24"/>
          <w:szCs w:val="24"/>
          <w:lang w:val="sq-AL"/>
        </w:rPr>
        <w:t>nëpërmjet mekanizmave që synohen të ngrihen</w:t>
      </w:r>
      <w:r w:rsidR="00BA17E5">
        <w:rPr>
          <w:rFonts w:ascii="Times New Roman" w:hAnsi="Times New Roman"/>
          <w:sz w:val="24"/>
          <w:szCs w:val="24"/>
          <w:lang w:val="sq-AL"/>
        </w:rPr>
        <w:t>,</w:t>
      </w:r>
      <w:r w:rsidRPr="00293355">
        <w:rPr>
          <w:rFonts w:ascii="Times New Roman" w:hAnsi="Times New Roman"/>
          <w:sz w:val="24"/>
          <w:szCs w:val="24"/>
          <w:lang w:val="sq-AL"/>
        </w:rPr>
        <w:t xml:space="preserve"> detyrimet që këto biznese apo subjekte do kenë krijuar</w:t>
      </w:r>
      <w:r w:rsidR="00020E0A">
        <w:rPr>
          <w:rFonts w:ascii="Times New Roman" w:hAnsi="Times New Roman"/>
          <w:sz w:val="24"/>
          <w:szCs w:val="24"/>
          <w:lang w:val="sq-AL"/>
        </w:rPr>
        <w:t xml:space="preserve"> kundrejt buxhetit të shtetit. </w:t>
      </w:r>
      <w:r w:rsidRPr="00293355">
        <w:rPr>
          <w:rFonts w:ascii="Times New Roman" w:hAnsi="Times New Roman"/>
          <w:sz w:val="24"/>
          <w:szCs w:val="24"/>
          <w:lang w:val="sq-AL"/>
        </w:rPr>
        <w:t xml:space="preserve">Impakti në financat e këtyre subjekteve </w:t>
      </w:r>
      <w:r w:rsidRPr="00293355">
        <w:rPr>
          <w:rFonts w:ascii="Times New Roman" w:hAnsi="Times New Roman"/>
          <w:sz w:val="24"/>
          <w:szCs w:val="24"/>
          <w:lang w:val="sq-AL"/>
        </w:rPr>
        <w:lastRenderedPageBreak/>
        <w:t xml:space="preserve">është plotësisht i justifikuar dhe mbështetur në marrëveshjet përkatëse të financimit apo garancisë me anë të së cilave këto biznese apo subjekte kanë përfituar fonde me terma të favorshme, me detyrimin e kthimit ndaj kreditorit apo garantuesit sipas rastit. </w:t>
      </w:r>
    </w:p>
    <w:p w14:paraId="7FD7C705" w14:textId="499E3E2E" w:rsidR="00465602" w:rsidRPr="00293355" w:rsidRDefault="00465602" w:rsidP="00293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H</w:t>
      </w:r>
      <w:r w:rsidRPr="00465602">
        <w:rPr>
          <w:rFonts w:ascii="Times New Roman" w:hAnsi="Times New Roman"/>
          <w:sz w:val="24"/>
          <w:szCs w:val="24"/>
          <w:lang w:val="sq-AL"/>
        </w:rPr>
        <w:t xml:space="preserve">artimi i </w:t>
      </w:r>
      <w:r w:rsidR="00E8643F">
        <w:rPr>
          <w:rFonts w:ascii="Times New Roman" w:hAnsi="Times New Roman"/>
          <w:sz w:val="24"/>
          <w:szCs w:val="24"/>
          <w:lang w:val="sq-AL"/>
        </w:rPr>
        <w:t>projekt</w:t>
      </w:r>
      <w:r w:rsidRPr="00465602">
        <w:rPr>
          <w:rFonts w:ascii="Times New Roman" w:hAnsi="Times New Roman"/>
          <w:sz w:val="24"/>
          <w:szCs w:val="24"/>
          <w:lang w:val="sq-AL"/>
        </w:rPr>
        <w:t>ligjit të ri, “Për Menaxhimin e Garancive dhe Kredive të Pakthyera”</w:t>
      </w:r>
      <w:r>
        <w:rPr>
          <w:rFonts w:ascii="Times New Roman" w:hAnsi="Times New Roman"/>
          <w:sz w:val="24"/>
          <w:szCs w:val="24"/>
          <w:lang w:val="sq-AL"/>
        </w:rPr>
        <w:t xml:space="preserve"> nuk pritet të</w:t>
      </w:r>
      <w:r w:rsidRPr="00465602">
        <w:rPr>
          <w:rFonts w:ascii="Times New Roman" w:hAnsi="Times New Roman"/>
          <w:sz w:val="24"/>
          <w:szCs w:val="24"/>
          <w:lang w:val="sq-AL"/>
        </w:rPr>
        <w:t xml:space="preserve"> </w:t>
      </w:r>
      <w:r>
        <w:rPr>
          <w:rFonts w:ascii="Times New Roman" w:hAnsi="Times New Roman"/>
          <w:sz w:val="24"/>
          <w:szCs w:val="24"/>
          <w:lang w:val="sq-AL"/>
        </w:rPr>
        <w:t>ketë ndikim të drejtpërdrejtë në konkurrencë</w:t>
      </w:r>
      <w:r w:rsidRPr="00465602">
        <w:rPr>
          <w:rFonts w:ascii="Times New Roman" w:hAnsi="Times New Roman"/>
          <w:sz w:val="24"/>
          <w:szCs w:val="24"/>
          <w:lang w:val="sq-AL"/>
        </w:rPr>
        <w:t>.</w:t>
      </w:r>
    </w:p>
    <w:p w14:paraId="150EEEEF" w14:textId="77777777" w:rsidR="00761530" w:rsidRDefault="00761530" w:rsidP="00293355">
      <w:pPr>
        <w:pStyle w:val="BodyText"/>
        <w:spacing w:line="276" w:lineRule="auto"/>
        <w:jc w:val="both"/>
        <w:rPr>
          <w:rFonts w:ascii="Times New Roman" w:hAnsi="Times New Roman"/>
          <w:sz w:val="24"/>
          <w:szCs w:val="24"/>
          <w:lang w:val="sq-AL"/>
        </w:rPr>
      </w:pPr>
    </w:p>
    <w:p w14:paraId="7CDDB13F" w14:textId="2C532EC8" w:rsidR="00FD5C71" w:rsidRPr="00193A00" w:rsidRDefault="00FD5C71" w:rsidP="00293355">
      <w:pPr>
        <w:pStyle w:val="BodyText"/>
        <w:spacing w:line="276" w:lineRule="auto"/>
        <w:jc w:val="both"/>
        <w:rPr>
          <w:rFonts w:ascii="Times New Roman" w:hAnsi="Times New Roman"/>
          <w:b/>
          <w:sz w:val="24"/>
          <w:szCs w:val="24"/>
          <w:lang w:val="sq-AL"/>
        </w:rPr>
      </w:pPr>
      <w:r w:rsidRPr="00193A00">
        <w:rPr>
          <w:rFonts w:ascii="Times New Roman" w:hAnsi="Times New Roman"/>
          <w:b/>
          <w:sz w:val="24"/>
          <w:szCs w:val="24"/>
          <w:lang w:val="sq-AL"/>
        </w:rPr>
        <w:t>Ndikimi social:</w:t>
      </w:r>
    </w:p>
    <w:p w14:paraId="65C2FE4C" w14:textId="36AC6A5E" w:rsidR="00590501" w:rsidRDefault="00293355" w:rsidP="005C627C">
      <w:pPr>
        <w:pStyle w:val="BodyText"/>
        <w:spacing w:line="276" w:lineRule="auto"/>
        <w:jc w:val="both"/>
        <w:rPr>
          <w:rFonts w:ascii="Times New Roman" w:hAnsi="Times New Roman"/>
          <w:sz w:val="24"/>
          <w:szCs w:val="24"/>
          <w:highlight w:val="red"/>
          <w:lang w:val="sq-AL"/>
        </w:rPr>
      </w:pPr>
      <w:r w:rsidRPr="00293355">
        <w:rPr>
          <w:rFonts w:ascii="Times New Roman" w:hAnsi="Times New Roman"/>
          <w:sz w:val="24"/>
          <w:szCs w:val="24"/>
          <w:lang w:val="sq-AL"/>
        </w:rPr>
        <w:t>Gjithashtu vlerësohet se ndërhyrjet do të kenë një impakt indirekt pozitiv në shoqëri në kushtet ku fondet e buxhetit të shtetit, që janë fonde të taksapaguesve shqiptarë, dhe të cilat janë dhënë për të mbështetur subjekte private apo ato me kapital publik, do të mund të kthehen dhe të përdoren për qëllime në përfitim të popullsisë, në formën e shërbimeve publike apo investimeve publike.</w:t>
      </w:r>
    </w:p>
    <w:p w14:paraId="020610CC" w14:textId="77777777" w:rsidR="00BA6297" w:rsidRPr="005B0C86" w:rsidRDefault="00BA6297" w:rsidP="00BA6297">
      <w:pPr>
        <w:tabs>
          <w:tab w:val="left" w:pos="6720"/>
        </w:tabs>
        <w:jc w:val="both"/>
        <w:rPr>
          <w:rFonts w:ascii="Times New Roman" w:eastAsia="Calibri" w:hAnsi="Times New Roman"/>
          <w:sz w:val="24"/>
          <w:szCs w:val="24"/>
        </w:rPr>
      </w:pPr>
      <w:r w:rsidRPr="005B0C86">
        <w:rPr>
          <w:rFonts w:ascii="Times New Roman" w:eastAsia="Calibri" w:hAnsi="Times New Roman"/>
          <w:sz w:val="24"/>
          <w:szCs w:val="24"/>
        </w:rPr>
        <w:t>Politika e re ndikon pozitivisht te qytetarët dhe bizneset, pasi pikërisht këto kategori janë personat përfitues të skemave të veçanta të garancive të huas dhe debitorët e portofolit të kredive të transferuara nga bankat tregtare të nivelit të dytë, me kapital tërësisht shtetëror mbas privatizimit të tyre, dhe ligji i ri mundëson mekanizmat dhe strukturën e posaçme për mbledhjen e detyrimeve të akumuluara nga subjektet përfituese të garancive dhe nënhuave, si dhe garanton rikuperimin e kredive në një kohë të përshpejtuar, duke ndikuar pozitivisht në lehtësimin e pozitave të tyre.</w:t>
      </w:r>
    </w:p>
    <w:p w14:paraId="3DBF1F07" w14:textId="77777777" w:rsidR="00BA6297" w:rsidRPr="00322E26" w:rsidRDefault="00BA6297" w:rsidP="00BA6297">
      <w:pPr>
        <w:tabs>
          <w:tab w:val="left" w:pos="6720"/>
        </w:tabs>
        <w:ind w:left="-1350"/>
        <w:jc w:val="both"/>
        <w:rPr>
          <w:rFonts w:ascii="Times New Roman" w:eastAsia="Calibri" w:hAnsi="Times New Roman"/>
          <w:i/>
          <w:color w:val="FF0000"/>
          <w:sz w:val="16"/>
          <w:szCs w:val="16"/>
        </w:rPr>
      </w:pPr>
    </w:p>
    <w:p w14:paraId="6C206759" w14:textId="77777777" w:rsidR="00590501" w:rsidRPr="0040444B" w:rsidRDefault="00590501" w:rsidP="00293355">
      <w:pPr>
        <w:pStyle w:val="BodyText"/>
        <w:spacing w:after="0"/>
        <w:jc w:val="both"/>
        <w:rPr>
          <w:rFonts w:ascii="Times New Roman" w:hAnsi="Times New Roman"/>
          <w:i/>
          <w:szCs w:val="22"/>
          <w:highlight w:val="yellow"/>
          <w:lang w:val="sq-AL"/>
        </w:rPr>
      </w:pPr>
    </w:p>
    <w:p w14:paraId="3C28DCC1" w14:textId="4B9B6404" w:rsidR="00F7755C" w:rsidRPr="009850A6" w:rsidRDefault="000B7F59" w:rsidP="00F7755C">
      <w:pPr>
        <w:pStyle w:val="BodyText"/>
        <w:spacing w:after="0"/>
        <w:jc w:val="both"/>
        <w:rPr>
          <w:rFonts w:ascii="Times New Roman" w:hAnsi="Times New Roman"/>
          <w:sz w:val="24"/>
          <w:szCs w:val="24"/>
          <w:lang w:val="sq-AL"/>
        </w:rPr>
      </w:pPr>
      <w:r>
        <w:rPr>
          <w:rFonts w:ascii="Times New Roman" w:hAnsi="Times New Roman"/>
          <w:sz w:val="24"/>
          <w:szCs w:val="24"/>
          <w:lang w:val="sq-AL"/>
        </w:rPr>
        <w:t xml:space="preserve">Në lidhje me testin për ndërmarrjet e vogla dhe të mesme, </w:t>
      </w:r>
      <w:r w:rsidR="00761530">
        <w:rPr>
          <w:rFonts w:ascii="Times New Roman" w:hAnsi="Times New Roman"/>
          <w:sz w:val="24"/>
          <w:szCs w:val="24"/>
          <w:lang w:val="sq-AL"/>
        </w:rPr>
        <w:t>kemi p</w:t>
      </w:r>
      <w:r w:rsidR="003162AD">
        <w:rPr>
          <w:rFonts w:ascii="Times New Roman" w:hAnsi="Times New Roman"/>
          <w:sz w:val="24"/>
          <w:szCs w:val="24"/>
          <w:lang w:val="sq-AL"/>
        </w:rPr>
        <w:t>ë</w:t>
      </w:r>
      <w:r w:rsidR="00761530">
        <w:rPr>
          <w:rFonts w:ascii="Times New Roman" w:hAnsi="Times New Roman"/>
          <w:sz w:val="24"/>
          <w:szCs w:val="24"/>
          <w:lang w:val="sq-AL"/>
        </w:rPr>
        <w:t>rgatitur</w:t>
      </w:r>
      <w:r>
        <w:rPr>
          <w:rFonts w:ascii="Times New Roman" w:hAnsi="Times New Roman"/>
          <w:sz w:val="24"/>
          <w:szCs w:val="24"/>
          <w:lang w:val="sq-AL"/>
        </w:rPr>
        <w:t xml:space="preserve"> tabelë</w:t>
      </w:r>
      <w:r w:rsidR="00761530">
        <w:rPr>
          <w:rFonts w:ascii="Times New Roman" w:hAnsi="Times New Roman"/>
          <w:sz w:val="24"/>
          <w:szCs w:val="24"/>
          <w:lang w:val="sq-AL"/>
        </w:rPr>
        <w:t>n</w:t>
      </w:r>
      <w:r>
        <w:rPr>
          <w:rFonts w:ascii="Times New Roman" w:hAnsi="Times New Roman"/>
          <w:sz w:val="24"/>
          <w:szCs w:val="24"/>
          <w:lang w:val="sq-AL"/>
        </w:rPr>
        <w:t xml:space="preserve"> </w:t>
      </w:r>
      <w:r w:rsidR="00761530">
        <w:rPr>
          <w:rFonts w:ascii="Times New Roman" w:hAnsi="Times New Roman"/>
          <w:sz w:val="24"/>
          <w:szCs w:val="24"/>
          <w:lang w:val="sq-AL"/>
        </w:rPr>
        <w:t xml:space="preserve">e </w:t>
      </w:r>
      <w:r>
        <w:rPr>
          <w:rFonts w:ascii="Times New Roman" w:hAnsi="Times New Roman"/>
          <w:sz w:val="24"/>
          <w:szCs w:val="24"/>
          <w:lang w:val="sq-AL"/>
        </w:rPr>
        <w:t>mëposhtme;</w:t>
      </w:r>
    </w:p>
    <w:p w14:paraId="4879BB9C" w14:textId="77777777" w:rsidR="000B2D1C" w:rsidRPr="00652998" w:rsidRDefault="000B2D1C" w:rsidP="00F7755C">
      <w:pPr>
        <w:pStyle w:val="BodyText"/>
        <w:spacing w:after="0" w:line="276" w:lineRule="auto"/>
        <w:jc w:val="both"/>
        <w:rPr>
          <w:rFonts w:ascii="Times New Roman" w:hAnsi="Times New Roman"/>
          <w:sz w:val="24"/>
          <w:szCs w:val="24"/>
          <w:highlight w:val="red"/>
          <w:lang w:val="sq-AL" w:bidi="en-US"/>
        </w:rPr>
      </w:pPr>
    </w:p>
    <w:p w14:paraId="011F2146" w14:textId="77777777" w:rsidR="00EB65B8" w:rsidRPr="00652998" w:rsidRDefault="00EB65B8" w:rsidP="00F7755C">
      <w:pPr>
        <w:pStyle w:val="BodyText"/>
        <w:spacing w:after="0" w:line="276" w:lineRule="auto"/>
        <w:jc w:val="both"/>
        <w:rPr>
          <w:rFonts w:ascii="Times New Roman" w:hAnsi="Times New Roman"/>
          <w:sz w:val="24"/>
          <w:szCs w:val="24"/>
          <w:highlight w:val="red"/>
          <w:lang w:val="sq-AL" w:bidi="en-US"/>
        </w:rPr>
      </w:pPr>
    </w:p>
    <w:tbl>
      <w:tblPr>
        <w:tblStyle w:val="TableGrid"/>
        <w:tblW w:w="0" w:type="auto"/>
        <w:tblLook w:val="04A0" w:firstRow="1" w:lastRow="0" w:firstColumn="1" w:lastColumn="0" w:noHBand="0" w:noVBand="1"/>
      </w:tblPr>
      <w:tblGrid>
        <w:gridCol w:w="675"/>
        <w:gridCol w:w="6229"/>
        <w:gridCol w:w="750"/>
        <w:gridCol w:w="1134"/>
      </w:tblGrid>
      <w:tr w:rsidR="00EB65B8" w:rsidRPr="00427814" w14:paraId="4701E5DB" w14:textId="77777777" w:rsidTr="00683964">
        <w:tc>
          <w:tcPr>
            <w:tcW w:w="675" w:type="dxa"/>
          </w:tcPr>
          <w:p w14:paraId="224C267D"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 xml:space="preserve">Nr. </w:t>
            </w:r>
          </w:p>
        </w:tc>
        <w:tc>
          <w:tcPr>
            <w:tcW w:w="6229" w:type="dxa"/>
          </w:tcPr>
          <w:p w14:paraId="5E6D5BC2"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Testi për ndërmarrjet e vogla dhe të mesme</w:t>
            </w:r>
          </w:p>
        </w:tc>
        <w:tc>
          <w:tcPr>
            <w:tcW w:w="717" w:type="dxa"/>
          </w:tcPr>
          <w:p w14:paraId="2465F85C"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Po/Jo</w:t>
            </w:r>
          </w:p>
        </w:tc>
        <w:tc>
          <w:tcPr>
            <w:tcW w:w="1134" w:type="dxa"/>
          </w:tcPr>
          <w:p w14:paraId="76F5992A"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Shënime</w:t>
            </w:r>
          </w:p>
        </w:tc>
      </w:tr>
      <w:tr w:rsidR="00EB65B8" w:rsidRPr="00427814" w14:paraId="648712E1" w14:textId="77777777" w:rsidTr="00683964">
        <w:tc>
          <w:tcPr>
            <w:tcW w:w="675" w:type="dxa"/>
          </w:tcPr>
          <w:p w14:paraId="2EDBD74E"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1.</w:t>
            </w:r>
          </w:p>
        </w:tc>
        <w:tc>
          <w:tcPr>
            <w:tcW w:w="6229" w:type="dxa"/>
          </w:tcPr>
          <w:p w14:paraId="42DF8F85"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ketë rregullimi efekt mbi ekonominë dhe mbi sektorët e veçantë të ekonomisë?</w:t>
            </w:r>
          </w:p>
        </w:tc>
        <w:tc>
          <w:tcPr>
            <w:tcW w:w="717" w:type="dxa"/>
          </w:tcPr>
          <w:p w14:paraId="1591C666" w14:textId="234689DE" w:rsidR="00EB65B8" w:rsidRPr="00427814" w:rsidRDefault="00761530"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Po</w:t>
            </w:r>
          </w:p>
        </w:tc>
        <w:tc>
          <w:tcPr>
            <w:tcW w:w="1134" w:type="dxa"/>
          </w:tcPr>
          <w:p w14:paraId="1474EBCF"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0ED53228" w14:textId="77777777" w:rsidTr="00683964">
        <w:tc>
          <w:tcPr>
            <w:tcW w:w="675" w:type="dxa"/>
          </w:tcPr>
          <w:p w14:paraId="2CEC21CC"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2.</w:t>
            </w:r>
          </w:p>
        </w:tc>
        <w:tc>
          <w:tcPr>
            <w:tcW w:w="6229" w:type="dxa"/>
          </w:tcPr>
          <w:p w14:paraId="79D963B3"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ndikojë rregullimi në performancën ekonomike të sektorit (p.sh. në prodhim, punësim, produktivitet, investimet etj.)?</w:t>
            </w:r>
          </w:p>
        </w:tc>
        <w:tc>
          <w:tcPr>
            <w:tcW w:w="717" w:type="dxa"/>
          </w:tcPr>
          <w:p w14:paraId="23D2CD01" w14:textId="4BE451BC" w:rsidR="00EB65B8" w:rsidRPr="00427814" w:rsidRDefault="00761530"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Po</w:t>
            </w:r>
          </w:p>
        </w:tc>
        <w:tc>
          <w:tcPr>
            <w:tcW w:w="1134" w:type="dxa"/>
          </w:tcPr>
          <w:p w14:paraId="690F6651"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4066F767" w14:textId="77777777" w:rsidTr="00683964">
        <w:tc>
          <w:tcPr>
            <w:tcW w:w="675" w:type="dxa"/>
          </w:tcPr>
          <w:p w14:paraId="23F1DE42"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3.</w:t>
            </w:r>
          </w:p>
        </w:tc>
        <w:tc>
          <w:tcPr>
            <w:tcW w:w="6229" w:type="dxa"/>
          </w:tcPr>
          <w:p w14:paraId="10E84686"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imponojnë rregullimi kosto shtesë rregullatore në sektor?</w:t>
            </w:r>
          </w:p>
        </w:tc>
        <w:tc>
          <w:tcPr>
            <w:tcW w:w="717" w:type="dxa"/>
          </w:tcPr>
          <w:p w14:paraId="39E62D2A" w14:textId="77777777" w:rsidR="00EB65B8" w:rsidRPr="00427814" w:rsidRDefault="009510D0"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Jo</w:t>
            </w:r>
          </w:p>
        </w:tc>
        <w:tc>
          <w:tcPr>
            <w:tcW w:w="1134" w:type="dxa"/>
          </w:tcPr>
          <w:p w14:paraId="4E5F7DB9"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712FFEEA" w14:textId="77777777" w:rsidTr="00683964">
        <w:tc>
          <w:tcPr>
            <w:tcW w:w="675" w:type="dxa"/>
          </w:tcPr>
          <w:p w14:paraId="492DF20D"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4.</w:t>
            </w:r>
          </w:p>
        </w:tc>
        <w:tc>
          <w:tcPr>
            <w:tcW w:w="6229" w:type="dxa"/>
          </w:tcPr>
          <w:p w14:paraId="02ABA914"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Do të ndikojë rregullimi në konkurrencën e sektorit?</w:t>
            </w:r>
          </w:p>
        </w:tc>
        <w:tc>
          <w:tcPr>
            <w:tcW w:w="717" w:type="dxa"/>
          </w:tcPr>
          <w:p w14:paraId="0E821B44" w14:textId="745A86BA" w:rsidR="00EB65B8" w:rsidRPr="00427814" w:rsidRDefault="00CA4ABF"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J</w:t>
            </w:r>
            <w:r w:rsidR="009510D0" w:rsidRPr="00427814">
              <w:rPr>
                <w:rFonts w:ascii="Times New Roman" w:hAnsi="Times New Roman"/>
                <w:sz w:val="24"/>
                <w:szCs w:val="24"/>
                <w:lang w:val="sq-AL" w:bidi="en-US"/>
              </w:rPr>
              <w:t>o</w:t>
            </w:r>
          </w:p>
        </w:tc>
        <w:tc>
          <w:tcPr>
            <w:tcW w:w="1134" w:type="dxa"/>
          </w:tcPr>
          <w:p w14:paraId="305CBF9F"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1E111DE1" w14:textId="77777777" w:rsidTr="00683964">
        <w:tc>
          <w:tcPr>
            <w:tcW w:w="675" w:type="dxa"/>
          </w:tcPr>
          <w:p w14:paraId="59535423"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5.</w:t>
            </w:r>
          </w:p>
        </w:tc>
        <w:tc>
          <w:tcPr>
            <w:tcW w:w="6229" w:type="dxa"/>
          </w:tcPr>
          <w:p w14:paraId="6CCFA9BD"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ndikohet performanca ekonomike e sektorit të NVM-ve nga rregullimi?</w:t>
            </w:r>
          </w:p>
        </w:tc>
        <w:tc>
          <w:tcPr>
            <w:tcW w:w="717" w:type="dxa"/>
          </w:tcPr>
          <w:p w14:paraId="75AFAE7E" w14:textId="2FC368DB" w:rsidR="00EB65B8" w:rsidRPr="00427814" w:rsidRDefault="00CA4ABF"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J</w:t>
            </w:r>
            <w:r w:rsidR="009510D0" w:rsidRPr="00427814">
              <w:rPr>
                <w:rFonts w:ascii="Times New Roman" w:hAnsi="Times New Roman"/>
                <w:sz w:val="24"/>
                <w:szCs w:val="24"/>
                <w:lang w:val="sq-AL" w:bidi="en-US"/>
              </w:rPr>
              <w:t>o</w:t>
            </w:r>
          </w:p>
        </w:tc>
        <w:tc>
          <w:tcPr>
            <w:tcW w:w="1134" w:type="dxa"/>
          </w:tcPr>
          <w:p w14:paraId="6FC61B45"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2D20A0BC" w14:textId="77777777" w:rsidTr="00683964">
        <w:tc>
          <w:tcPr>
            <w:tcW w:w="675" w:type="dxa"/>
          </w:tcPr>
          <w:p w14:paraId="11B4054D"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6.</w:t>
            </w:r>
          </w:p>
        </w:tc>
        <w:tc>
          <w:tcPr>
            <w:tcW w:w="6229" w:type="dxa"/>
          </w:tcPr>
          <w:p w14:paraId="423C162B"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imponojnë rregullimi kosto shtesë rregullatore për NVM-të?</w:t>
            </w:r>
          </w:p>
        </w:tc>
        <w:tc>
          <w:tcPr>
            <w:tcW w:w="717" w:type="dxa"/>
          </w:tcPr>
          <w:p w14:paraId="162B3622" w14:textId="1D6C8BB0" w:rsidR="00EB65B8" w:rsidRPr="00427814" w:rsidRDefault="00CA4ABF"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J</w:t>
            </w:r>
            <w:r w:rsidR="009510D0" w:rsidRPr="00427814">
              <w:rPr>
                <w:rFonts w:ascii="Times New Roman" w:hAnsi="Times New Roman"/>
                <w:sz w:val="24"/>
                <w:szCs w:val="24"/>
                <w:lang w:val="sq-AL" w:bidi="en-US"/>
              </w:rPr>
              <w:t>o</w:t>
            </w:r>
          </w:p>
        </w:tc>
        <w:tc>
          <w:tcPr>
            <w:tcW w:w="1134" w:type="dxa"/>
          </w:tcPr>
          <w:p w14:paraId="12C866E8"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025C57EE" w14:textId="77777777" w:rsidTr="00683964">
        <w:tc>
          <w:tcPr>
            <w:tcW w:w="675" w:type="dxa"/>
          </w:tcPr>
          <w:p w14:paraId="57C30697"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7.</w:t>
            </w:r>
          </w:p>
        </w:tc>
        <w:tc>
          <w:tcPr>
            <w:tcW w:w="6229" w:type="dxa"/>
          </w:tcPr>
          <w:p w14:paraId="6FE0B4D5"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ndikojë rregullimi në aftësinë konkurruese të NVM-ve?</w:t>
            </w:r>
          </w:p>
        </w:tc>
        <w:tc>
          <w:tcPr>
            <w:tcW w:w="717" w:type="dxa"/>
          </w:tcPr>
          <w:p w14:paraId="1A863163" w14:textId="37FC5078" w:rsidR="00EB65B8" w:rsidRPr="00427814" w:rsidRDefault="00E650ED"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J</w:t>
            </w:r>
            <w:r w:rsidR="009510D0" w:rsidRPr="00427814">
              <w:rPr>
                <w:rFonts w:ascii="Times New Roman" w:hAnsi="Times New Roman"/>
                <w:sz w:val="24"/>
                <w:szCs w:val="24"/>
                <w:lang w:val="sq-AL" w:bidi="en-US"/>
              </w:rPr>
              <w:t>o</w:t>
            </w:r>
          </w:p>
        </w:tc>
        <w:tc>
          <w:tcPr>
            <w:tcW w:w="1134" w:type="dxa"/>
          </w:tcPr>
          <w:p w14:paraId="29216CEC"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r w:rsidR="00EB65B8" w:rsidRPr="00427814" w14:paraId="35C7740E" w14:textId="77777777" w:rsidTr="00683964">
        <w:tc>
          <w:tcPr>
            <w:tcW w:w="675" w:type="dxa"/>
          </w:tcPr>
          <w:p w14:paraId="2BA5EFCC"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lang w:val="sq-AL" w:bidi="en-US"/>
              </w:rPr>
              <w:t>8.</w:t>
            </w:r>
          </w:p>
        </w:tc>
        <w:tc>
          <w:tcPr>
            <w:tcW w:w="6229" w:type="dxa"/>
          </w:tcPr>
          <w:p w14:paraId="17ED30A4" w14:textId="77777777" w:rsidR="00EB65B8" w:rsidRPr="00427814" w:rsidRDefault="00833F92" w:rsidP="00F7755C">
            <w:pPr>
              <w:pStyle w:val="BodyText"/>
              <w:spacing w:after="0" w:line="276" w:lineRule="auto"/>
              <w:jc w:val="both"/>
              <w:rPr>
                <w:rFonts w:ascii="Times New Roman" w:hAnsi="Times New Roman"/>
                <w:sz w:val="24"/>
                <w:szCs w:val="24"/>
                <w:lang w:val="sq-AL" w:bidi="en-US"/>
              </w:rPr>
            </w:pPr>
            <w:r w:rsidRPr="00427814">
              <w:rPr>
                <w:rFonts w:ascii="Times New Roman" w:hAnsi="Times New Roman"/>
                <w:sz w:val="24"/>
                <w:szCs w:val="24"/>
              </w:rPr>
              <w:t>A do të ketë rregullimi një ndikim të rëndësishëm në mikrondërmarrjet?</w:t>
            </w:r>
          </w:p>
        </w:tc>
        <w:tc>
          <w:tcPr>
            <w:tcW w:w="717" w:type="dxa"/>
          </w:tcPr>
          <w:p w14:paraId="016FD1A8" w14:textId="3879ECDA" w:rsidR="00EB65B8" w:rsidRPr="00427814" w:rsidRDefault="00CA4ABF" w:rsidP="00F7755C">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bidi="en-US"/>
              </w:rPr>
              <w:t>J</w:t>
            </w:r>
            <w:r w:rsidR="009510D0" w:rsidRPr="00427814">
              <w:rPr>
                <w:rFonts w:ascii="Times New Roman" w:hAnsi="Times New Roman"/>
                <w:sz w:val="24"/>
                <w:szCs w:val="24"/>
                <w:lang w:val="sq-AL" w:bidi="en-US"/>
              </w:rPr>
              <w:t>o</w:t>
            </w:r>
          </w:p>
        </w:tc>
        <w:tc>
          <w:tcPr>
            <w:tcW w:w="1134" w:type="dxa"/>
          </w:tcPr>
          <w:p w14:paraId="39CAD7D9" w14:textId="77777777" w:rsidR="00EB65B8" w:rsidRPr="00427814" w:rsidRDefault="00EB65B8" w:rsidP="00F7755C">
            <w:pPr>
              <w:pStyle w:val="BodyText"/>
              <w:spacing w:after="0" w:line="276" w:lineRule="auto"/>
              <w:jc w:val="both"/>
              <w:rPr>
                <w:rFonts w:ascii="Times New Roman" w:hAnsi="Times New Roman"/>
                <w:sz w:val="24"/>
                <w:szCs w:val="24"/>
                <w:lang w:val="sq-AL" w:bidi="en-US"/>
              </w:rPr>
            </w:pPr>
          </w:p>
        </w:tc>
      </w:tr>
    </w:tbl>
    <w:p w14:paraId="3FBC0252" w14:textId="77777777" w:rsidR="00EB65B8" w:rsidRDefault="00EB65B8" w:rsidP="00F7755C">
      <w:pPr>
        <w:pStyle w:val="BodyText"/>
        <w:spacing w:after="0" w:line="276" w:lineRule="auto"/>
        <w:jc w:val="both"/>
        <w:rPr>
          <w:rFonts w:ascii="Times New Roman" w:hAnsi="Times New Roman"/>
          <w:sz w:val="24"/>
          <w:szCs w:val="24"/>
          <w:highlight w:val="red"/>
          <w:lang w:val="sq-AL" w:bidi="en-US"/>
        </w:rPr>
      </w:pPr>
    </w:p>
    <w:p w14:paraId="1F5BD418" w14:textId="341A074C" w:rsidR="00711DFF" w:rsidRPr="00193A00" w:rsidRDefault="00711DFF" w:rsidP="00F7755C">
      <w:pPr>
        <w:pStyle w:val="BodyText"/>
        <w:spacing w:after="0" w:line="276" w:lineRule="auto"/>
        <w:jc w:val="both"/>
        <w:rPr>
          <w:rFonts w:ascii="Times New Roman" w:hAnsi="Times New Roman"/>
          <w:color w:val="0D0D0D" w:themeColor="text1" w:themeTint="F2"/>
          <w:sz w:val="24"/>
          <w:szCs w:val="24"/>
          <w:lang w:val="sq-AL" w:bidi="en-US"/>
        </w:rPr>
      </w:pPr>
      <w:r w:rsidRPr="00193A00">
        <w:rPr>
          <w:rFonts w:ascii="Times New Roman" w:hAnsi="Times New Roman"/>
          <w:color w:val="0D0D0D" w:themeColor="text1" w:themeTint="F2"/>
          <w:sz w:val="24"/>
          <w:szCs w:val="24"/>
          <w:lang w:val="sq-AL" w:bidi="en-US"/>
        </w:rPr>
        <w:t>D</w:t>
      </w:r>
      <w:r w:rsidRPr="00E521DA">
        <w:rPr>
          <w:rFonts w:ascii="Times New Roman" w:hAnsi="Times New Roman"/>
          <w:color w:val="0D0D0D" w:themeColor="text1" w:themeTint="F2"/>
          <w:sz w:val="24"/>
          <w:szCs w:val="24"/>
          <w:lang w:val="sq-AL" w:bidi="en-US"/>
        </w:rPr>
        <w:t>uke qen</w:t>
      </w:r>
      <w:r w:rsidR="003162AD">
        <w:rPr>
          <w:rFonts w:ascii="Times New Roman" w:hAnsi="Times New Roman"/>
          <w:color w:val="0D0D0D" w:themeColor="text1" w:themeTint="F2"/>
          <w:sz w:val="24"/>
          <w:szCs w:val="24"/>
          <w:lang w:val="sq-AL" w:bidi="en-US"/>
        </w:rPr>
        <w:t>ë</w:t>
      </w:r>
      <w:r w:rsidRPr="00E521DA">
        <w:rPr>
          <w:rFonts w:ascii="Times New Roman" w:hAnsi="Times New Roman"/>
          <w:color w:val="0D0D0D" w:themeColor="text1" w:themeTint="F2"/>
          <w:sz w:val="24"/>
          <w:szCs w:val="24"/>
          <w:lang w:val="sq-AL" w:bidi="en-US"/>
        </w:rPr>
        <w:t xml:space="preserve"> se, detyrimet e garancive sovrane</w:t>
      </w:r>
      <w:r w:rsidR="00E521DA">
        <w:rPr>
          <w:rFonts w:ascii="Times New Roman" w:hAnsi="Times New Roman"/>
          <w:color w:val="0D0D0D" w:themeColor="text1" w:themeTint="F2"/>
          <w:sz w:val="24"/>
          <w:szCs w:val="24"/>
          <w:lang w:val="sq-AL" w:bidi="en-US"/>
        </w:rPr>
        <w:t xml:space="preserve"> do t</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rikthehen n</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Buxhetin e Shtetit, n</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m</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nyr</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indirekte ato mund t</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rialokohen n</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buxhet si fond q</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mund t’i sh</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rbej</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NMV-ve si politik</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q</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do t</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sh</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rbej</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p</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r t</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 xml:space="preserve"> nxitur, prodhimin pun</w:t>
      </w:r>
      <w:r w:rsidR="003162AD">
        <w:rPr>
          <w:rFonts w:ascii="Times New Roman" w:hAnsi="Times New Roman"/>
          <w:color w:val="0D0D0D" w:themeColor="text1" w:themeTint="F2"/>
          <w:sz w:val="24"/>
          <w:szCs w:val="24"/>
          <w:lang w:val="sq-AL" w:bidi="en-US"/>
        </w:rPr>
        <w:t>ë</w:t>
      </w:r>
      <w:r w:rsidR="00E521DA">
        <w:rPr>
          <w:rFonts w:ascii="Times New Roman" w:hAnsi="Times New Roman"/>
          <w:color w:val="0D0D0D" w:themeColor="text1" w:themeTint="F2"/>
          <w:sz w:val="24"/>
          <w:szCs w:val="24"/>
          <w:lang w:val="sq-AL" w:bidi="en-US"/>
        </w:rPr>
        <w:t>simin, investimet etj.</w:t>
      </w:r>
    </w:p>
    <w:p w14:paraId="2AB1D756" w14:textId="1A549B20" w:rsidR="00EB65B8" w:rsidRPr="00652998" w:rsidRDefault="00EB65B8" w:rsidP="00F7755C">
      <w:pPr>
        <w:pStyle w:val="BodyText"/>
        <w:spacing w:after="0" w:line="276" w:lineRule="auto"/>
        <w:jc w:val="both"/>
        <w:rPr>
          <w:rFonts w:ascii="Times New Roman" w:hAnsi="Times New Roman"/>
          <w:sz w:val="24"/>
          <w:szCs w:val="24"/>
          <w:highlight w:val="red"/>
          <w:lang w:val="sq-AL" w:bidi="en-US"/>
        </w:rPr>
      </w:pPr>
    </w:p>
    <w:bookmarkEnd w:id="23"/>
    <w:p w14:paraId="44F16B71" w14:textId="77777777" w:rsidR="002C7EE3" w:rsidRPr="009850A6" w:rsidRDefault="658D74BF" w:rsidP="0013699E">
      <w:pPr>
        <w:pStyle w:val="Heading1"/>
        <w:rPr>
          <w:rFonts w:ascii="Times New Roman" w:hAnsi="Times New Roman" w:cs="Times New Roman"/>
          <w:sz w:val="24"/>
          <w:szCs w:val="24"/>
          <w:lang w:val="sq-AL"/>
        </w:rPr>
      </w:pPr>
      <w:r w:rsidRPr="658D74BF">
        <w:rPr>
          <w:rFonts w:ascii="Times New Roman" w:hAnsi="Times New Roman" w:cs="Times New Roman"/>
          <w:sz w:val="24"/>
          <w:szCs w:val="24"/>
          <w:lang w:val="sq-AL"/>
        </w:rPr>
        <w:lastRenderedPageBreak/>
        <w:t>Arsyetimi i opsionit të preferuar</w:t>
      </w:r>
    </w:p>
    <w:p w14:paraId="7CB3ACC2" w14:textId="77777777" w:rsidR="00D55BD1" w:rsidRPr="004E7606" w:rsidRDefault="00D55BD1" w:rsidP="00D55BD1">
      <w:pPr>
        <w:rPr>
          <w:rFonts w:ascii="Times New Roman" w:hAnsi="Times New Roman"/>
          <w:szCs w:val="22"/>
          <w:lang w:val="sq-AL"/>
        </w:rPr>
      </w:pPr>
    </w:p>
    <w:p w14:paraId="13F77F19" w14:textId="77777777" w:rsidR="00257570" w:rsidRPr="009850A6" w:rsidRDefault="00573E8A" w:rsidP="00257570">
      <w:pPr>
        <w:pStyle w:val="ListParagraph"/>
        <w:numPr>
          <w:ilvl w:val="0"/>
          <w:numId w:val="11"/>
        </w:numPr>
        <w:spacing w:after="0"/>
        <w:rPr>
          <w:rFonts w:ascii="Times New Roman" w:hAnsi="Times New Roman"/>
          <w:i/>
          <w:sz w:val="20"/>
          <w:lang w:val="sq-AL"/>
        </w:rPr>
      </w:pPr>
      <w:r w:rsidRPr="009850A6">
        <w:rPr>
          <w:rFonts w:ascii="Times New Roman" w:hAnsi="Times New Roman"/>
          <w:i/>
          <w:sz w:val="20"/>
          <w:lang w:val="sq-AL"/>
        </w:rPr>
        <w:t>Z</w:t>
      </w:r>
      <w:r w:rsidR="00257570" w:rsidRPr="009850A6">
        <w:rPr>
          <w:rFonts w:ascii="Times New Roman" w:hAnsi="Times New Roman"/>
          <w:i/>
          <w:sz w:val="20"/>
          <w:lang w:val="sq-AL"/>
        </w:rPr>
        <w:t>gjidhni opsionin e preferuar</w:t>
      </w:r>
      <w:r w:rsidR="00D55BD1" w:rsidRPr="009850A6">
        <w:rPr>
          <w:rFonts w:ascii="Times New Roman" w:hAnsi="Times New Roman"/>
          <w:i/>
          <w:sz w:val="20"/>
          <w:lang w:val="sq-AL"/>
        </w:rPr>
        <w:t>,</w:t>
      </w:r>
      <w:r w:rsidR="00257570" w:rsidRPr="009850A6">
        <w:rPr>
          <w:rFonts w:ascii="Times New Roman" w:hAnsi="Times New Roman"/>
          <w:i/>
          <w:sz w:val="20"/>
          <w:lang w:val="sq-AL"/>
        </w:rPr>
        <w:t xml:space="preserve"> bazuar në analizë</w:t>
      </w:r>
      <w:r w:rsidRPr="009850A6">
        <w:rPr>
          <w:rFonts w:ascii="Times New Roman" w:hAnsi="Times New Roman"/>
          <w:i/>
          <w:sz w:val="20"/>
          <w:lang w:val="sq-AL"/>
        </w:rPr>
        <w:t>.</w:t>
      </w:r>
      <w:r w:rsidR="00257570" w:rsidRPr="009850A6">
        <w:rPr>
          <w:rFonts w:ascii="Times New Roman" w:hAnsi="Times New Roman"/>
          <w:i/>
          <w:sz w:val="20"/>
          <w:lang w:val="sq-AL"/>
        </w:rPr>
        <w:t xml:space="preserve"> </w:t>
      </w:r>
    </w:p>
    <w:p w14:paraId="18D395DC" w14:textId="3018B667" w:rsidR="00BC0A43" w:rsidRDefault="00257570" w:rsidP="00257570">
      <w:pPr>
        <w:pStyle w:val="ListParagraph"/>
        <w:numPr>
          <w:ilvl w:val="0"/>
          <w:numId w:val="11"/>
        </w:numPr>
        <w:spacing w:after="0"/>
        <w:rPr>
          <w:rFonts w:ascii="Times New Roman" w:hAnsi="Times New Roman"/>
          <w:i/>
          <w:sz w:val="20"/>
          <w:lang w:val="sq-AL"/>
        </w:rPr>
      </w:pPr>
      <w:r w:rsidRPr="009850A6">
        <w:rPr>
          <w:rFonts w:ascii="Times New Roman" w:hAnsi="Times New Roman"/>
          <w:i/>
          <w:sz w:val="20"/>
          <w:lang w:val="sq-AL"/>
        </w:rPr>
        <w:t>Shpjegoni arsyetimin tuaj</w:t>
      </w:r>
      <w:r w:rsidR="00573E8A" w:rsidRPr="009850A6">
        <w:rPr>
          <w:rFonts w:ascii="Times New Roman" w:hAnsi="Times New Roman"/>
          <w:i/>
          <w:sz w:val="20"/>
          <w:lang w:val="sq-AL"/>
        </w:rPr>
        <w:t xml:space="preserve">. </w:t>
      </w:r>
      <w:r w:rsidR="00BC0A43" w:rsidRPr="009850A6">
        <w:rPr>
          <w:rFonts w:ascii="Times New Roman" w:hAnsi="Times New Roman"/>
          <w:i/>
          <w:sz w:val="20"/>
          <w:lang w:val="sq-AL"/>
        </w:rPr>
        <w:t xml:space="preserve"> </w:t>
      </w:r>
    </w:p>
    <w:p w14:paraId="3F1A65D5" w14:textId="6AA51B3C" w:rsidR="00427302" w:rsidRDefault="00427302" w:rsidP="001E46A3">
      <w:pPr>
        <w:jc w:val="both"/>
        <w:rPr>
          <w:rFonts w:ascii="Times New Roman" w:hAnsi="Times New Roman"/>
          <w:i/>
          <w:sz w:val="20"/>
          <w:lang w:val="sq-AL"/>
        </w:rPr>
      </w:pPr>
    </w:p>
    <w:p w14:paraId="5B12BCE3" w14:textId="7F9BE127" w:rsidR="00427302" w:rsidRDefault="00427302" w:rsidP="001E46A3">
      <w:pPr>
        <w:jc w:val="both"/>
        <w:rPr>
          <w:rFonts w:ascii="Times New Roman" w:hAnsi="Times New Roman"/>
          <w:i/>
          <w:sz w:val="20"/>
          <w:lang w:val="sq-AL"/>
        </w:rPr>
      </w:pPr>
    </w:p>
    <w:p w14:paraId="35EE0512" w14:textId="749919C0" w:rsidR="005F0870" w:rsidRDefault="0046376A" w:rsidP="001E46A3">
      <w:pPr>
        <w:spacing w:line="276" w:lineRule="auto"/>
        <w:jc w:val="both"/>
        <w:rPr>
          <w:rFonts w:ascii="Times New Roman" w:hAnsi="Times New Roman"/>
          <w:sz w:val="24"/>
          <w:szCs w:val="24"/>
        </w:rPr>
      </w:pPr>
      <w:r w:rsidRPr="0046376A">
        <w:rPr>
          <w:rFonts w:ascii="Times New Roman" w:hAnsi="Times New Roman"/>
          <w:sz w:val="24"/>
          <w:szCs w:val="24"/>
        </w:rPr>
        <w:t>Opsioni i preferuar është opsioni nr.</w:t>
      </w:r>
      <w:r w:rsidR="0044530B">
        <w:rPr>
          <w:rFonts w:ascii="Times New Roman" w:hAnsi="Times New Roman"/>
          <w:sz w:val="24"/>
          <w:szCs w:val="24"/>
        </w:rPr>
        <w:t>3</w:t>
      </w:r>
      <w:r w:rsidRPr="0046376A">
        <w:rPr>
          <w:rFonts w:ascii="Times New Roman" w:hAnsi="Times New Roman"/>
          <w:sz w:val="24"/>
          <w:szCs w:val="24"/>
        </w:rPr>
        <w:t xml:space="preserve">, konkretisht hartimi i ligjit të ri </w:t>
      </w:r>
      <w:r w:rsidR="0014130C" w:rsidRPr="0014130C">
        <w:rPr>
          <w:rFonts w:ascii="Times New Roman" w:hAnsi="Times New Roman"/>
          <w:sz w:val="24"/>
          <w:szCs w:val="24"/>
        </w:rPr>
        <w:t>“Për Menaxhimin e Garancive dhe Kredive të Pakthyera”</w:t>
      </w:r>
      <w:r w:rsidR="0014130C">
        <w:rPr>
          <w:rFonts w:ascii="Times New Roman" w:hAnsi="Times New Roman"/>
          <w:sz w:val="24"/>
          <w:szCs w:val="24"/>
        </w:rPr>
        <w:t>.</w:t>
      </w:r>
    </w:p>
    <w:p w14:paraId="187F08AA" w14:textId="77777777" w:rsidR="0044530B" w:rsidRDefault="005F0870" w:rsidP="001E46A3">
      <w:pPr>
        <w:spacing w:line="276" w:lineRule="auto"/>
        <w:jc w:val="both"/>
        <w:rPr>
          <w:rFonts w:ascii="Times New Roman" w:hAnsi="Times New Roman"/>
          <w:sz w:val="24"/>
          <w:szCs w:val="24"/>
        </w:rPr>
      </w:pPr>
      <w:r w:rsidRPr="005F0870">
        <w:rPr>
          <w:rFonts w:ascii="Times New Roman" w:hAnsi="Times New Roman"/>
          <w:sz w:val="24"/>
          <w:szCs w:val="24"/>
        </w:rPr>
        <w:t>Nëpërmjet hartimit të ligjit të ri, i jepet zgjidhje problematikave të menaxhimit efektiv të skemave të veçanta të garancive si dhe problemeve të trajtimit të portofolit të kredive në një kohë të arsyeshme, duke mundësuar mekanizmat dhe strukturën e posaçme për mbledhjen e detyrimeve të akumuluara nga subjektet përfituese të garancive dhe nënhuave, si dhe garantimin e rikuperimit të kredive në një kohë të përshpejtuar, duke rregulluar kështu gj</w:t>
      </w:r>
      <w:r w:rsidR="00B00FD2">
        <w:rPr>
          <w:rFonts w:ascii="Times New Roman" w:hAnsi="Times New Roman"/>
          <w:sz w:val="24"/>
          <w:szCs w:val="24"/>
        </w:rPr>
        <w:t>e</w:t>
      </w:r>
      <w:r w:rsidRPr="005F0870">
        <w:rPr>
          <w:rFonts w:ascii="Times New Roman" w:hAnsi="Times New Roman"/>
          <w:sz w:val="24"/>
          <w:szCs w:val="24"/>
        </w:rPr>
        <w:t>ndjen aktuale.</w:t>
      </w:r>
      <w:r w:rsidR="00CD5594">
        <w:rPr>
          <w:rFonts w:ascii="Times New Roman" w:hAnsi="Times New Roman"/>
          <w:sz w:val="24"/>
          <w:szCs w:val="24"/>
        </w:rPr>
        <w:t xml:space="preserve"> </w:t>
      </w:r>
    </w:p>
    <w:p w14:paraId="32408968" w14:textId="20E32272" w:rsidR="00334837" w:rsidRDefault="0044530B" w:rsidP="001E46A3">
      <w:pPr>
        <w:spacing w:line="276" w:lineRule="auto"/>
        <w:jc w:val="both"/>
        <w:rPr>
          <w:rFonts w:ascii="Times New Roman" w:hAnsi="Times New Roman"/>
          <w:sz w:val="24"/>
          <w:szCs w:val="24"/>
        </w:rPr>
      </w:pPr>
      <w:r>
        <w:rPr>
          <w:rFonts w:ascii="Times New Roman" w:hAnsi="Times New Roman"/>
          <w:sz w:val="24"/>
          <w:szCs w:val="24"/>
        </w:rPr>
        <w:t>Opsioni 1 dhe Opsioni 2 nuk preferohen krahasuar me Opsionin 3, pasi do t</w:t>
      </w:r>
      <w:r w:rsidR="003162AD">
        <w:rPr>
          <w:rFonts w:ascii="Times New Roman" w:hAnsi="Times New Roman"/>
          <w:sz w:val="24"/>
          <w:szCs w:val="24"/>
        </w:rPr>
        <w:t>ë</w:t>
      </w:r>
      <w:r>
        <w:rPr>
          <w:rFonts w:ascii="Times New Roman" w:hAnsi="Times New Roman"/>
          <w:sz w:val="24"/>
          <w:szCs w:val="24"/>
        </w:rPr>
        <w:t xml:space="preserve"> nevojitej kryerja e ndryshimeve t</w:t>
      </w:r>
      <w:r w:rsidR="003162AD">
        <w:rPr>
          <w:rFonts w:ascii="Times New Roman" w:hAnsi="Times New Roman"/>
          <w:sz w:val="24"/>
          <w:szCs w:val="24"/>
        </w:rPr>
        <w:t>ë</w:t>
      </w:r>
      <w:r>
        <w:rPr>
          <w:rFonts w:ascii="Times New Roman" w:hAnsi="Times New Roman"/>
          <w:sz w:val="24"/>
          <w:szCs w:val="24"/>
        </w:rPr>
        <w:t xml:space="preserve"> konsiderueshme dhe k</w:t>
      </w:r>
      <w:r w:rsidR="003162AD">
        <w:rPr>
          <w:rFonts w:ascii="Times New Roman" w:hAnsi="Times New Roman"/>
          <w:sz w:val="24"/>
          <w:szCs w:val="24"/>
        </w:rPr>
        <w:t>ë</w:t>
      </w:r>
      <w:r>
        <w:rPr>
          <w:rFonts w:ascii="Times New Roman" w:hAnsi="Times New Roman"/>
          <w:sz w:val="24"/>
          <w:szCs w:val="24"/>
        </w:rPr>
        <w:t>to ndryshime do t</w:t>
      </w:r>
      <w:r w:rsidR="003162AD">
        <w:rPr>
          <w:rFonts w:ascii="Times New Roman" w:hAnsi="Times New Roman"/>
          <w:sz w:val="24"/>
          <w:szCs w:val="24"/>
        </w:rPr>
        <w:t>ë</w:t>
      </w:r>
      <w:r>
        <w:rPr>
          <w:rFonts w:ascii="Times New Roman" w:hAnsi="Times New Roman"/>
          <w:sz w:val="24"/>
          <w:szCs w:val="24"/>
        </w:rPr>
        <w:t xml:space="preserve"> preknin m</w:t>
      </w:r>
      <w:r w:rsidR="003162AD">
        <w:rPr>
          <w:rFonts w:ascii="Times New Roman" w:hAnsi="Times New Roman"/>
          <w:sz w:val="24"/>
          <w:szCs w:val="24"/>
        </w:rPr>
        <w:t>ë</w:t>
      </w:r>
      <w:r>
        <w:rPr>
          <w:rFonts w:ascii="Times New Roman" w:hAnsi="Times New Roman"/>
          <w:sz w:val="24"/>
          <w:szCs w:val="24"/>
        </w:rPr>
        <w:t xml:space="preserve"> shum</w:t>
      </w:r>
      <w:r w:rsidR="003162AD">
        <w:rPr>
          <w:rFonts w:ascii="Times New Roman" w:hAnsi="Times New Roman"/>
          <w:sz w:val="24"/>
          <w:szCs w:val="24"/>
        </w:rPr>
        <w:t>ë</w:t>
      </w:r>
      <w:r>
        <w:rPr>
          <w:rFonts w:ascii="Times New Roman" w:hAnsi="Times New Roman"/>
          <w:sz w:val="24"/>
          <w:szCs w:val="24"/>
        </w:rPr>
        <w:t xml:space="preserve"> se 50% t</w:t>
      </w:r>
      <w:r w:rsidR="003162AD">
        <w:rPr>
          <w:rFonts w:ascii="Times New Roman" w:hAnsi="Times New Roman"/>
          <w:sz w:val="24"/>
          <w:szCs w:val="24"/>
        </w:rPr>
        <w:t>ë</w:t>
      </w:r>
      <w:r>
        <w:rPr>
          <w:rFonts w:ascii="Times New Roman" w:hAnsi="Times New Roman"/>
          <w:sz w:val="24"/>
          <w:szCs w:val="24"/>
        </w:rPr>
        <w:t xml:space="preserve"> p</w:t>
      </w:r>
      <w:r w:rsidR="003162AD">
        <w:rPr>
          <w:rFonts w:ascii="Times New Roman" w:hAnsi="Times New Roman"/>
          <w:sz w:val="24"/>
          <w:szCs w:val="24"/>
        </w:rPr>
        <w:t>ë</w:t>
      </w:r>
      <w:r>
        <w:rPr>
          <w:rFonts w:ascii="Times New Roman" w:hAnsi="Times New Roman"/>
          <w:sz w:val="24"/>
          <w:szCs w:val="24"/>
        </w:rPr>
        <w:t>rmbajtjes s</w:t>
      </w:r>
      <w:r w:rsidR="003162AD">
        <w:rPr>
          <w:rFonts w:ascii="Times New Roman" w:hAnsi="Times New Roman"/>
          <w:sz w:val="24"/>
          <w:szCs w:val="24"/>
        </w:rPr>
        <w:t>ë</w:t>
      </w:r>
      <w:r>
        <w:rPr>
          <w:rFonts w:ascii="Times New Roman" w:hAnsi="Times New Roman"/>
          <w:sz w:val="24"/>
          <w:szCs w:val="24"/>
        </w:rPr>
        <w:t xml:space="preserve"> ligjeve ekzistuese, n</w:t>
      </w:r>
      <w:r w:rsidR="003162AD">
        <w:rPr>
          <w:rFonts w:ascii="Times New Roman" w:hAnsi="Times New Roman"/>
          <w:sz w:val="24"/>
          <w:szCs w:val="24"/>
        </w:rPr>
        <w:t>ë</w:t>
      </w:r>
      <w:r>
        <w:rPr>
          <w:rFonts w:ascii="Times New Roman" w:hAnsi="Times New Roman"/>
          <w:sz w:val="24"/>
          <w:szCs w:val="24"/>
        </w:rPr>
        <w:t xml:space="preserve"> kuad</w:t>
      </w:r>
      <w:r w:rsidR="003162AD">
        <w:rPr>
          <w:rFonts w:ascii="Times New Roman" w:hAnsi="Times New Roman"/>
          <w:sz w:val="24"/>
          <w:szCs w:val="24"/>
        </w:rPr>
        <w:t>ë</w:t>
      </w:r>
      <w:r>
        <w:rPr>
          <w:rFonts w:ascii="Times New Roman" w:hAnsi="Times New Roman"/>
          <w:sz w:val="24"/>
          <w:szCs w:val="24"/>
        </w:rPr>
        <w:t>r t</w:t>
      </w:r>
      <w:r w:rsidR="003162AD">
        <w:rPr>
          <w:rFonts w:ascii="Times New Roman" w:hAnsi="Times New Roman"/>
          <w:sz w:val="24"/>
          <w:szCs w:val="24"/>
        </w:rPr>
        <w:t>ë</w:t>
      </w:r>
      <w:r>
        <w:rPr>
          <w:rFonts w:ascii="Times New Roman" w:hAnsi="Times New Roman"/>
          <w:sz w:val="24"/>
          <w:szCs w:val="24"/>
        </w:rPr>
        <w:t xml:space="preserve"> teknik</w:t>
      </w:r>
      <w:r w:rsidR="003162AD">
        <w:rPr>
          <w:rFonts w:ascii="Times New Roman" w:hAnsi="Times New Roman"/>
          <w:sz w:val="24"/>
          <w:szCs w:val="24"/>
        </w:rPr>
        <w:t>ë</w:t>
      </w:r>
      <w:r>
        <w:rPr>
          <w:rFonts w:ascii="Times New Roman" w:hAnsi="Times New Roman"/>
          <w:sz w:val="24"/>
          <w:szCs w:val="24"/>
        </w:rPr>
        <w:t>s legjislative (Manualit</w:t>
      </w:r>
      <w:r w:rsidRPr="00CD5594">
        <w:rPr>
          <w:rFonts w:ascii="Times New Roman" w:hAnsi="Times New Roman"/>
          <w:sz w:val="24"/>
          <w:szCs w:val="24"/>
        </w:rPr>
        <w:t xml:space="preserve"> </w:t>
      </w:r>
      <w:r>
        <w:rPr>
          <w:rFonts w:ascii="Times New Roman" w:hAnsi="Times New Roman"/>
          <w:sz w:val="24"/>
          <w:szCs w:val="24"/>
        </w:rPr>
        <w:t>t</w:t>
      </w:r>
      <w:r w:rsidR="003162AD">
        <w:rPr>
          <w:rFonts w:ascii="Times New Roman" w:hAnsi="Times New Roman"/>
          <w:sz w:val="24"/>
          <w:szCs w:val="24"/>
        </w:rPr>
        <w:t>ë</w:t>
      </w:r>
      <w:r w:rsidRPr="00CD5594">
        <w:rPr>
          <w:rFonts w:ascii="Times New Roman" w:hAnsi="Times New Roman"/>
          <w:sz w:val="24"/>
          <w:szCs w:val="24"/>
        </w:rPr>
        <w:t xml:space="preserve"> Hartimit të Legjislacionit</w:t>
      </w:r>
      <w:r>
        <w:rPr>
          <w:rFonts w:ascii="Times New Roman" w:hAnsi="Times New Roman"/>
          <w:sz w:val="24"/>
          <w:szCs w:val="24"/>
        </w:rPr>
        <w:t xml:space="preserve">) </w:t>
      </w:r>
      <w:r w:rsidR="003162AD">
        <w:rPr>
          <w:rFonts w:ascii="Times New Roman" w:hAnsi="Times New Roman"/>
          <w:sz w:val="24"/>
          <w:szCs w:val="24"/>
        </w:rPr>
        <w:t>ë</w:t>
      </w:r>
      <w:r>
        <w:rPr>
          <w:rFonts w:ascii="Times New Roman" w:hAnsi="Times New Roman"/>
          <w:sz w:val="24"/>
          <w:szCs w:val="24"/>
        </w:rPr>
        <w:t>sht</w:t>
      </w:r>
      <w:r w:rsidR="003162AD">
        <w:rPr>
          <w:rFonts w:ascii="Times New Roman" w:hAnsi="Times New Roman"/>
          <w:sz w:val="24"/>
          <w:szCs w:val="24"/>
        </w:rPr>
        <w:t>ë</w:t>
      </w:r>
      <w:r>
        <w:rPr>
          <w:rFonts w:ascii="Times New Roman" w:hAnsi="Times New Roman"/>
          <w:sz w:val="24"/>
          <w:szCs w:val="24"/>
        </w:rPr>
        <w:t xml:space="preserve"> e pamundur t</w:t>
      </w:r>
      <w:r w:rsidR="003162AD">
        <w:rPr>
          <w:rFonts w:ascii="Times New Roman" w:hAnsi="Times New Roman"/>
          <w:sz w:val="24"/>
          <w:szCs w:val="24"/>
        </w:rPr>
        <w:t>ë</w:t>
      </w:r>
      <w:r>
        <w:rPr>
          <w:rFonts w:ascii="Times New Roman" w:hAnsi="Times New Roman"/>
          <w:sz w:val="24"/>
          <w:szCs w:val="24"/>
        </w:rPr>
        <w:t xml:space="preserve"> konsiderohet Opsioni 1 dhe Opsioni 2</w:t>
      </w:r>
      <w:r w:rsidR="00CD5594">
        <w:rPr>
          <w:rFonts w:ascii="Times New Roman" w:hAnsi="Times New Roman"/>
          <w:sz w:val="24"/>
          <w:szCs w:val="24"/>
        </w:rPr>
        <w:t>.</w:t>
      </w:r>
      <w:r>
        <w:rPr>
          <w:rFonts w:ascii="Times New Roman" w:hAnsi="Times New Roman"/>
          <w:sz w:val="24"/>
          <w:szCs w:val="24"/>
        </w:rPr>
        <w:t xml:space="preserve"> Gjithashtu k</w:t>
      </w:r>
      <w:r w:rsidR="003162AD">
        <w:rPr>
          <w:rFonts w:ascii="Times New Roman" w:hAnsi="Times New Roman"/>
          <w:sz w:val="24"/>
          <w:szCs w:val="24"/>
        </w:rPr>
        <w:t>ë</w:t>
      </w:r>
      <w:r>
        <w:rPr>
          <w:rFonts w:ascii="Times New Roman" w:hAnsi="Times New Roman"/>
          <w:sz w:val="24"/>
          <w:szCs w:val="24"/>
        </w:rPr>
        <w:t>to ligje kan</w:t>
      </w:r>
      <w:r w:rsidR="003162AD">
        <w:rPr>
          <w:rFonts w:ascii="Times New Roman" w:hAnsi="Times New Roman"/>
          <w:sz w:val="24"/>
          <w:szCs w:val="24"/>
        </w:rPr>
        <w:t>ë</w:t>
      </w:r>
      <w:r>
        <w:rPr>
          <w:rFonts w:ascii="Times New Roman" w:hAnsi="Times New Roman"/>
          <w:sz w:val="24"/>
          <w:szCs w:val="24"/>
        </w:rPr>
        <w:t xml:space="preserve"> p</w:t>
      </w:r>
      <w:r w:rsidR="003162AD">
        <w:rPr>
          <w:rFonts w:ascii="Times New Roman" w:hAnsi="Times New Roman"/>
          <w:sz w:val="24"/>
          <w:szCs w:val="24"/>
        </w:rPr>
        <w:t>ë</w:t>
      </w:r>
      <w:r>
        <w:rPr>
          <w:rFonts w:ascii="Times New Roman" w:hAnsi="Times New Roman"/>
          <w:sz w:val="24"/>
          <w:szCs w:val="24"/>
        </w:rPr>
        <w:t>suar ndryshime edhe m</w:t>
      </w:r>
      <w:r w:rsidR="003162AD">
        <w:rPr>
          <w:rFonts w:ascii="Times New Roman" w:hAnsi="Times New Roman"/>
          <w:sz w:val="24"/>
          <w:szCs w:val="24"/>
        </w:rPr>
        <w:t>ë</w:t>
      </w:r>
      <w:r>
        <w:rPr>
          <w:rFonts w:ascii="Times New Roman" w:hAnsi="Times New Roman"/>
          <w:sz w:val="24"/>
          <w:szCs w:val="24"/>
        </w:rPr>
        <w:t xml:space="preserve"> par</w:t>
      </w:r>
      <w:r w:rsidR="003162AD">
        <w:rPr>
          <w:rFonts w:ascii="Times New Roman" w:hAnsi="Times New Roman"/>
          <w:sz w:val="24"/>
          <w:szCs w:val="24"/>
        </w:rPr>
        <w:t>ë</w:t>
      </w:r>
      <w:r>
        <w:rPr>
          <w:rFonts w:ascii="Times New Roman" w:hAnsi="Times New Roman"/>
          <w:sz w:val="24"/>
          <w:szCs w:val="24"/>
        </w:rPr>
        <w:t xml:space="preserve"> dhe nd</w:t>
      </w:r>
      <w:r w:rsidR="003162AD">
        <w:rPr>
          <w:rFonts w:ascii="Times New Roman" w:hAnsi="Times New Roman"/>
          <w:sz w:val="24"/>
          <w:szCs w:val="24"/>
        </w:rPr>
        <w:t>ë</w:t>
      </w:r>
      <w:r>
        <w:rPr>
          <w:rFonts w:ascii="Times New Roman" w:hAnsi="Times New Roman"/>
          <w:sz w:val="24"/>
          <w:szCs w:val="24"/>
        </w:rPr>
        <w:t>rhyrjet e propozuara do t</w:t>
      </w:r>
      <w:r w:rsidR="003162AD">
        <w:rPr>
          <w:rFonts w:ascii="Times New Roman" w:hAnsi="Times New Roman"/>
          <w:sz w:val="24"/>
          <w:szCs w:val="24"/>
        </w:rPr>
        <w:t>ë</w:t>
      </w:r>
      <w:r>
        <w:rPr>
          <w:rFonts w:ascii="Times New Roman" w:hAnsi="Times New Roman"/>
          <w:sz w:val="24"/>
          <w:szCs w:val="24"/>
        </w:rPr>
        <w:t xml:space="preserve"> krijonin shum</w:t>
      </w:r>
      <w:r w:rsidR="003162AD">
        <w:rPr>
          <w:rFonts w:ascii="Times New Roman" w:hAnsi="Times New Roman"/>
          <w:sz w:val="24"/>
          <w:szCs w:val="24"/>
        </w:rPr>
        <w:t>ë</w:t>
      </w:r>
      <w:r>
        <w:rPr>
          <w:rFonts w:ascii="Times New Roman" w:hAnsi="Times New Roman"/>
          <w:sz w:val="24"/>
          <w:szCs w:val="24"/>
        </w:rPr>
        <w:t xml:space="preserve"> paqart</w:t>
      </w:r>
      <w:r w:rsidR="003162AD">
        <w:rPr>
          <w:rFonts w:ascii="Times New Roman" w:hAnsi="Times New Roman"/>
          <w:sz w:val="24"/>
          <w:szCs w:val="24"/>
        </w:rPr>
        <w:t>ë</w:t>
      </w:r>
      <w:r>
        <w:rPr>
          <w:rFonts w:ascii="Times New Roman" w:hAnsi="Times New Roman"/>
          <w:sz w:val="24"/>
          <w:szCs w:val="24"/>
        </w:rPr>
        <w:t>si dhe konfuzion ligjor p</w:t>
      </w:r>
      <w:r w:rsidR="003162AD">
        <w:rPr>
          <w:rFonts w:ascii="Times New Roman" w:hAnsi="Times New Roman"/>
          <w:sz w:val="24"/>
          <w:szCs w:val="24"/>
        </w:rPr>
        <w:t>ë</w:t>
      </w:r>
      <w:r>
        <w:rPr>
          <w:rFonts w:ascii="Times New Roman" w:hAnsi="Times New Roman"/>
          <w:sz w:val="24"/>
          <w:szCs w:val="24"/>
        </w:rPr>
        <w:t>r lexuesin.</w:t>
      </w:r>
    </w:p>
    <w:p w14:paraId="6EBBE5D7" w14:textId="77777777" w:rsidR="00B83583" w:rsidRDefault="00B83583" w:rsidP="001E46A3">
      <w:pPr>
        <w:spacing w:line="276" w:lineRule="auto"/>
        <w:jc w:val="both"/>
        <w:rPr>
          <w:rFonts w:ascii="Times New Roman" w:hAnsi="Times New Roman"/>
          <w:sz w:val="24"/>
          <w:szCs w:val="24"/>
        </w:rPr>
      </w:pPr>
    </w:p>
    <w:p w14:paraId="35A46B11" w14:textId="77777777" w:rsidR="00B83583" w:rsidRPr="0014130C" w:rsidRDefault="00B83583" w:rsidP="0014130C">
      <w:pPr>
        <w:spacing w:line="276" w:lineRule="auto"/>
        <w:jc w:val="both"/>
        <w:rPr>
          <w:rFonts w:ascii="Times New Roman" w:hAnsi="Times New Roman"/>
          <w:sz w:val="24"/>
          <w:szCs w:val="24"/>
        </w:rPr>
      </w:pPr>
    </w:p>
    <w:p w14:paraId="5F93FB3F" w14:textId="5AAC4654" w:rsidR="0014130C" w:rsidRPr="00334837" w:rsidRDefault="0014130C" w:rsidP="0014130C">
      <w:pPr>
        <w:spacing w:line="276" w:lineRule="auto"/>
        <w:jc w:val="both"/>
        <w:rPr>
          <w:rFonts w:ascii="Times New Roman" w:hAnsi="Times New Roman"/>
          <w:sz w:val="24"/>
          <w:szCs w:val="24"/>
        </w:rPr>
      </w:pPr>
      <w:r w:rsidRPr="0014130C">
        <w:rPr>
          <w:rFonts w:ascii="Times New Roman" w:hAnsi="Times New Roman"/>
          <w:sz w:val="24"/>
          <w:szCs w:val="24"/>
        </w:rPr>
        <w:t>Për sa i përket ndikimeve pa vlerë monetare, shprehemi se opsioni nr.</w:t>
      </w:r>
      <w:r w:rsidR="0044530B">
        <w:rPr>
          <w:rFonts w:ascii="Times New Roman" w:hAnsi="Times New Roman"/>
          <w:sz w:val="24"/>
          <w:szCs w:val="24"/>
        </w:rPr>
        <w:t>3</w:t>
      </w:r>
      <w:r w:rsidRPr="0014130C">
        <w:rPr>
          <w:rFonts w:ascii="Times New Roman" w:hAnsi="Times New Roman"/>
          <w:sz w:val="24"/>
          <w:szCs w:val="24"/>
        </w:rPr>
        <w:t>, ndikon pozitivisht te qytetarët dhe bizneset, pasi pikërisht këto kategori janë personat përfitues të skemave të veçanta të garancive të huas dhe debitorët e portofolit të kredive të transferuara nga bankat tregtare të nivelit të dytë, me kapital tërësisht shtetëror mbas privatizimit të tyre, dhe ligji i ri mundëson mekanizmat dhe strukturën e posaçme për mbledhjen e detyrimeve të akumuluara nga subjektet përfituese të garancive dhe nënhuave, si dhe garanton rikuperimin e kredive në një kohë të përshpejtuar.</w:t>
      </w:r>
    </w:p>
    <w:p w14:paraId="1A198B1C" w14:textId="7F624674" w:rsidR="00427302" w:rsidRDefault="00427302" w:rsidP="001E46A3">
      <w:pPr>
        <w:jc w:val="both"/>
        <w:rPr>
          <w:rFonts w:ascii="Times New Roman" w:hAnsi="Times New Roman"/>
          <w:i/>
          <w:sz w:val="20"/>
          <w:lang w:val="sq-AL"/>
        </w:rPr>
      </w:pPr>
    </w:p>
    <w:p w14:paraId="25352035" w14:textId="54292D02" w:rsidR="002D795F" w:rsidRDefault="0044530B" w:rsidP="002D795F">
      <w:pPr>
        <w:spacing w:line="276" w:lineRule="auto"/>
        <w:jc w:val="both"/>
        <w:rPr>
          <w:rFonts w:ascii="Times New Roman" w:hAnsi="Times New Roman"/>
          <w:szCs w:val="22"/>
          <w:lang w:val="sq-AL"/>
        </w:rPr>
      </w:pPr>
      <w:bookmarkStart w:id="24" w:name="_Toc506919739"/>
      <w:r>
        <w:rPr>
          <w:rFonts w:ascii="Times New Roman" w:hAnsi="Times New Roman"/>
          <w:szCs w:val="22"/>
          <w:lang w:val="sq-AL"/>
        </w:rPr>
        <w:t>Sa m</w:t>
      </w:r>
      <w:r w:rsidR="003162AD">
        <w:rPr>
          <w:rFonts w:ascii="Times New Roman" w:hAnsi="Times New Roman"/>
          <w:szCs w:val="22"/>
          <w:lang w:val="sq-AL"/>
        </w:rPr>
        <w:t>ë</w:t>
      </w:r>
      <w:r>
        <w:rPr>
          <w:rFonts w:ascii="Times New Roman" w:hAnsi="Times New Roman"/>
          <w:szCs w:val="22"/>
          <w:lang w:val="sq-AL"/>
        </w:rPr>
        <w:t xml:space="preserve"> sip</w:t>
      </w:r>
      <w:r w:rsidR="003162AD">
        <w:rPr>
          <w:rFonts w:ascii="Times New Roman" w:hAnsi="Times New Roman"/>
          <w:szCs w:val="22"/>
          <w:lang w:val="sq-AL"/>
        </w:rPr>
        <w:t>ë</w:t>
      </w:r>
      <w:r>
        <w:rPr>
          <w:rFonts w:ascii="Times New Roman" w:hAnsi="Times New Roman"/>
          <w:szCs w:val="22"/>
          <w:lang w:val="sq-AL"/>
        </w:rPr>
        <w:t>r, vler</w:t>
      </w:r>
      <w:r w:rsidR="003162AD">
        <w:rPr>
          <w:rFonts w:ascii="Times New Roman" w:hAnsi="Times New Roman"/>
          <w:szCs w:val="22"/>
          <w:lang w:val="sq-AL"/>
        </w:rPr>
        <w:t>ë</w:t>
      </w:r>
      <w:r>
        <w:rPr>
          <w:rFonts w:ascii="Times New Roman" w:hAnsi="Times New Roman"/>
          <w:szCs w:val="22"/>
          <w:lang w:val="sq-AL"/>
        </w:rPr>
        <w:t>sojm</w:t>
      </w:r>
      <w:r w:rsidR="003162AD">
        <w:rPr>
          <w:rFonts w:ascii="Times New Roman" w:hAnsi="Times New Roman"/>
          <w:szCs w:val="22"/>
          <w:lang w:val="sq-AL"/>
        </w:rPr>
        <w:t>ë</w:t>
      </w:r>
      <w:r>
        <w:rPr>
          <w:rFonts w:ascii="Times New Roman" w:hAnsi="Times New Roman"/>
          <w:szCs w:val="22"/>
          <w:lang w:val="sq-AL"/>
        </w:rPr>
        <w:t xml:space="preserve"> se Opsioni 3 esht</w:t>
      </w:r>
      <w:r w:rsidR="003162AD">
        <w:rPr>
          <w:rFonts w:ascii="Times New Roman" w:hAnsi="Times New Roman"/>
          <w:szCs w:val="22"/>
          <w:lang w:val="sq-AL"/>
        </w:rPr>
        <w:t>ë</w:t>
      </w:r>
      <w:r>
        <w:rPr>
          <w:rFonts w:ascii="Times New Roman" w:hAnsi="Times New Roman"/>
          <w:szCs w:val="22"/>
          <w:lang w:val="sq-AL"/>
        </w:rPr>
        <w:t xml:space="preserve"> opsioni i preferuar.</w:t>
      </w:r>
    </w:p>
    <w:p w14:paraId="162D05D7" w14:textId="77777777" w:rsidR="0044530B" w:rsidRPr="004E7606" w:rsidRDefault="0044530B" w:rsidP="002D795F">
      <w:pPr>
        <w:spacing w:line="276" w:lineRule="auto"/>
        <w:jc w:val="both"/>
        <w:rPr>
          <w:rFonts w:ascii="Times New Roman" w:hAnsi="Times New Roman"/>
          <w:szCs w:val="22"/>
          <w:lang w:val="sq-AL"/>
        </w:rPr>
      </w:pPr>
    </w:p>
    <w:p w14:paraId="02214EED" w14:textId="77777777" w:rsidR="002C7EE3" w:rsidRPr="009850A6" w:rsidRDefault="0054794D" w:rsidP="0013699E">
      <w:pPr>
        <w:pStyle w:val="Heading1"/>
        <w:rPr>
          <w:rFonts w:ascii="Times New Roman" w:hAnsi="Times New Roman" w:cs="Times New Roman"/>
          <w:sz w:val="24"/>
          <w:szCs w:val="24"/>
          <w:lang w:val="sq-AL"/>
        </w:rPr>
      </w:pPr>
      <w:r w:rsidRPr="009850A6">
        <w:rPr>
          <w:rFonts w:ascii="Times New Roman" w:hAnsi="Times New Roman" w:cs="Times New Roman"/>
          <w:sz w:val="24"/>
          <w:szCs w:val="24"/>
          <w:lang w:val="sq-AL"/>
        </w:rPr>
        <w:t>Çështje të zbatimit</w:t>
      </w:r>
      <w:bookmarkEnd w:id="24"/>
    </w:p>
    <w:p w14:paraId="52DD7A04" w14:textId="77777777" w:rsidR="00D55BD1" w:rsidRPr="004E7606" w:rsidRDefault="00D55BD1" w:rsidP="00D55BD1">
      <w:pPr>
        <w:rPr>
          <w:rFonts w:ascii="Times New Roman" w:hAnsi="Times New Roman"/>
          <w:szCs w:val="22"/>
          <w:lang w:val="sq-AL"/>
        </w:rPr>
      </w:pPr>
    </w:p>
    <w:p w14:paraId="159ED3D5" w14:textId="77777777" w:rsidR="0054794D" w:rsidRPr="009850A6" w:rsidRDefault="0054794D" w:rsidP="0054794D">
      <w:pPr>
        <w:pStyle w:val="Style1-BodyText"/>
        <w:numPr>
          <w:ilvl w:val="0"/>
          <w:numId w:val="7"/>
        </w:numPr>
        <w:spacing w:after="0"/>
        <w:rPr>
          <w:rFonts w:ascii="Times New Roman" w:hAnsi="Times New Roman" w:cs="Times New Roman"/>
          <w:i/>
          <w:sz w:val="20"/>
          <w:szCs w:val="20"/>
          <w:lang w:val="sq-AL"/>
        </w:rPr>
      </w:pPr>
      <w:bookmarkStart w:id="25" w:name="_Toc465267003"/>
      <w:r w:rsidRPr="009850A6">
        <w:rPr>
          <w:rFonts w:ascii="Times New Roman" w:hAnsi="Times New Roman" w:cs="Times New Roman"/>
          <w:i/>
          <w:sz w:val="20"/>
          <w:szCs w:val="20"/>
          <w:lang w:val="sq-AL"/>
        </w:rPr>
        <w:t xml:space="preserve">Shpjegoni se cila njësi do të jetë përgjegjëse për </w:t>
      </w:r>
      <w:r w:rsidR="00E743ED" w:rsidRPr="009850A6">
        <w:rPr>
          <w:rFonts w:ascii="Times New Roman" w:hAnsi="Times New Roman" w:cs="Times New Roman"/>
          <w:i/>
          <w:sz w:val="20"/>
          <w:szCs w:val="20"/>
          <w:lang w:val="sq-AL"/>
        </w:rPr>
        <w:t>zbatimin</w:t>
      </w:r>
      <w:r w:rsidRPr="009850A6">
        <w:rPr>
          <w:rFonts w:ascii="Times New Roman" w:hAnsi="Times New Roman" w:cs="Times New Roman"/>
          <w:i/>
          <w:sz w:val="20"/>
          <w:szCs w:val="20"/>
          <w:lang w:val="sq-AL"/>
        </w:rPr>
        <w:t xml:space="preserve"> e opsionit të zgjedhur</w:t>
      </w:r>
      <w:r w:rsidR="00573E8A" w:rsidRPr="009850A6">
        <w:rPr>
          <w:rFonts w:ascii="Times New Roman" w:hAnsi="Times New Roman" w:cs="Times New Roman"/>
          <w:i/>
          <w:sz w:val="20"/>
          <w:szCs w:val="20"/>
          <w:lang w:val="sq-AL"/>
        </w:rPr>
        <w:t>.</w:t>
      </w:r>
    </w:p>
    <w:p w14:paraId="09315DD6" w14:textId="77777777" w:rsidR="0054794D" w:rsidRPr="009850A6" w:rsidRDefault="0054794D" w:rsidP="0054794D">
      <w:pPr>
        <w:pStyle w:val="Style1-BodyText"/>
        <w:numPr>
          <w:ilvl w:val="0"/>
          <w:numId w:val="7"/>
        </w:numPr>
        <w:spacing w:after="0"/>
        <w:rPr>
          <w:rFonts w:ascii="Times New Roman" w:hAnsi="Times New Roman" w:cs="Times New Roman"/>
          <w:i/>
          <w:sz w:val="20"/>
          <w:szCs w:val="20"/>
          <w:lang w:val="sq-AL"/>
        </w:rPr>
      </w:pPr>
      <w:r w:rsidRPr="009850A6">
        <w:rPr>
          <w:rFonts w:ascii="Times New Roman" w:hAnsi="Times New Roman" w:cs="Times New Roman"/>
          <w:i/>
          <w:sz w:val="20"/>
          <w:szCs w:val="20"/>
          <w:lang w:val="sq-AL"/>
        </w:rPr>
        <w:t xml:space="preserve">Shpjegoni pengesat e mundshme për </w:t>
      </w:r>
      <w:r w:rsidR="00E743ED" w:rsidRPr="009850A6">
        <w:rPr>
          <w:rFonts w:ascii="Times New Roman" w:hAnsi="Times New Roman" w:cs="Times New Roman"/>
          <w:i/>
          <w:sz w:val="20"/>
          <w:szCs w:val="20"/>
          <w:lang w:val="sq-AL"/>
        </w:rPr>
        <w:t>zbatimin</w:t>
      </w:r>
      <w:r w:rsidRPr="009850A6">
        <w:rPr>
          <w:rFonts w:ascii="Times New Roman" w:hAnsi="Times New Roman" w:cs="Times New Roman"/>
          <w:i/>
          <w:sz w:val="20"/>
          <w:szCs w:val="20"/>
          <w:lang w:val="sq-AL"/>
        </w:rPr>
        <w:t xml:space="preserve"> e opsionit të zgjedhur</w:t>
      </w:r>
      <w:r w:rsidR="00E743ED" w:rsidRPr="009850A6">
        <w:rPr>
          <w:rFonts w:ascii="Times New Roman" w:hAnsi="Times New Roman" w:cs="Times New Roman"/>
          <w:i/>
          <w:sz w:val="20"/>
          <w:szCs w:val="20"/>
          <w:lang w:val="sq-AL"/>
        </w:rPr>
        <w:t>.</w:t>
      </w:r>
    </w:p>
    <w:p w14:paraId="45E98AD9" w14:textId="77777777" w:rsidR="0054794D" w:rsidRPr="009850A6" w:rsidRDefault="6F3B9A98" w:rsidP="6F3B9A98">
      <w:pPr>
        <w:pStyle w:val="Style1-BodyText"/>
        <w:numPr>
          <w:ilvl w:val="0"/>
          <w:numId w:val="7"/>
        </w:numPr>
        <w:spacing w:after="0"/>
        <w:rPr>
          <w:rFonts w:ascii="Times New Roman" w:hAnsi="Times New Roman" w:cs="Times New Roman"/>
          <w:i/>
          <w:iCs/>
          <w:sz w:val="20"/>
          <w:szCs w:val="20"/>
          <w:lang w:val="sq-AL"/>
        </w:rPr>
      </w:pPr>
      <w:r w:rsidRPr="6F3B9A98">
        <w:rPr>
          <w:rFonts w:ascii="Times New Roman" w:hAnsi="Times New Roman" w:cs="Times New Roman"/>
          <w:i/>
          <w:iCs/>
          <w:sz w:val="20"/>
          <w:szCs w:val="20"/>
          <w:lang w:val="sq-AL"/>
        </w:rPr>
        <w:t>Përshkruani masat që do të ndërmerren gjatë zbatimit për të arritur qëllimet e politikës.</w:t>
      </w:r>
    </w:p>
    <w:p w14:paraId="2B8071D6" w14:textId="77777777" w:rsidR="00D50753" w:rsidRPr="009850A6" w:rsidRDefault="0054794D" w:rsidP="0054794D">
      <w:pPr>
        <w:pStyle w:val="Style1-BodyText"/>
        <w:numPr>
          <w:ilvl w:val="0"/>
          <w:numId w:val="7"/>
        </w:numPr>
        <w:spacing w:after="0"/>
        <w:rPr>
          <w:rFonts w:ascii="Times New Roman" w:eastAsiaTheme="majorEastAsia" w:hAnsi="Times New Roman" w:cs="Times New Roman"/>
          <w:i/>
          <w:sz w:val="20"/>
          <w:szCs w:val="20"/>
          <w:lang w:val="sq-AL"/>
        </w:rPr>
      </w:pPr>
      <w:r w:rsidRPr="009850A6">
        <w:rPr>
          <w:rFonts w:ascii="Times New Roman" w:hAnsi="Times New Roman" w:cs="Times New Roman"/>
          <w:i/>
          <w:sz w:val="20"/>
          <w:szCs w:val="20"/>
          <w:lang w:val="sq-AL"/>
        </w:rPr>
        <w:t xml:space="preserve">Specifikoni të gjitha kërkesat e </w:t>
      </w:r>
      <w:r w:rsidR="00573E8A" w:rsidRPr="009850A6">
        <w:rPr>
          <w:rFonts w:ascii="Times New Roman" w:hAnsi="Times New Roman" w:cs="Times New Roman"/>
          <w:i/>
          <w:sz w:val="20"/>
          <w:szCs w:val="20"/>
          <w:lang w:val="sq-AL"/>
        </w:rPr>
        <w:t>përputhshmërisë</w:t>
      </w:r>
      <w:r w:rsidRPr="009850A6">
        <w:rPr>
          <w:rFonts w:ascii="Times New Roman" w:hAnsi="Times New Roman" w:cs="Times New Roman"/>
          <w:i/>
          <w:sz w:val="20"/>
          <w:szCs w:val="20"/>
          <w:lang w:val="sq-AL"/>
        </w:rPr>
        <w:t xml:space="preserve"> dhe të zbatimit</w:t>
      </w:r>
      <w:r w:rsidR="00573E8A" w:rsidRPr="009850A6">
        <w:rPr>
          <w:rFonts w:ascii="Times New Roman" w:hAnsi="Times New Roman" w:cs="Times New Roman"/>
          <w:i/>
          <w:sz w:val="20"/>
          <w:szCs w:val="20"/>
          <w:lang w:val="sq-AL"/>
        </w:rPr>
        <w:t xml:space="preserve">. </w:t>
      </w:r>
    </w:p>
    <w:p w14:paraId="51B2F4A3" w14:textId="46BD43AB" w:rsidR="00D63BB0" w:rsidRPr="009A7926" w:rsidRDefault="00D63BB0" w:rsidP="00D63BB0">
      <w:pPr>
        <w:pStyle w:val="Style1-BodyText"/>
        <w:spacing w:line="276" w:lineRule="auto"/>
        <w:rPr>
          <w:rFonts w:ascii="Times New Roman" w:hAnsi="Times New Roman" w:cs="Times New Roman"/>
          <w:sz w:val="24"/>
          <w:szCs w:val="22"/>
        </w:rPr>
      </w:pPr>
    </w:p>
    <w:p w14:paraId="075E62B3" w14:textId="0A840164" w:rsidR="003F1B88" w:rsidRPr="009A7926" w:rsidRDefault="4157CBF5" w:rsidP="00151109">
      <w:pPr>
        <w:spacing w:before="240" w:line="276" w:lineRule="auto"/>
        <w:jc w:val="both"/>
        <w:rPr>
          <w:rFonts w:ascii="Times New Roman" w:hAnsi="Times New Roman"/>
          <w:sz w:val="24"/>
          <w:szCs w:val="24"/>
          <w:lang w:val="sq-AL"/>
        </w:rPr>
      </w:pPr>
      <w:r w:rsidRPr="4157CBF5">
        <w:rPr>
          <w:rFonts w:ascii="Times New Roman" w:hAnsi="Times New Roman"/>
          <w:sz w:val="24"/>
          <w:szCs w:val="24"/>
        </w:rPr>
        <w:t xml:space="preserve">Me zbatimin e aktit të ri, ngarkohet Ministria e Financave dhe Ekonomisë dhe institucionet e tjera që kanë detyrime në përputhje me parashikimet e ligjit “Për Menaxhimin e Garancive dhe Kredive të Pakthyera”. </w:t>
      </w:r>
      <w:r w:rsidRPr="4157CBF5">
        <w:rPr>
          <w:rFonts w:ascii="Times New Roman" w:eastAsiaTheme="majorEastAsia" w:hAnsi="Times New Roman"/>
          <w:sz w:val="24"/>
          <w:szCs w:val="24"/>
          <w:lang w:val="sq-AL"/>
        </w:rPr>
        <w:t xml:space="preserve">Institucioni që ngarkohet me menaxhimin e skemave të veçanta të garancisë do jetë Agjencia e Menaxhimit të Garancive dhe kredive të pakthyera, person juridik publik, buxhetor, në varësi të Ministrit përgjegjës për financat, me seli në Tiranë. </w:t>
      </w:r>
      <w:r w:rsidRPr="4157CBF5">
        <w:rPr>
          <w:rFonts w:ascii="Times New Roman" w:hAnsi="Times New Roman"/>
          <w:sz w:val="24"/>
          <w:szCs w:val="24"/>
          <w:lang w:val="sq-AL"/>
        </w:rPr>
        <w:t xml:space="preserve">Për zbatimin e këtij projektligji mendohet të ketë vështirësi nga ana e institucionit </w:t>
      </w:r>
      <w:r w:rsidRPr="4157CBF5">
        <w:rPr>
          <w:rFonts w:ascii="Times New Roman" w:eastAsiaTheme="majorEastAsia" w:hAnsi="Times New Roman"/>
          <w:sz w:val="24"/>
          <w:szCs w:val="24"/>
          <w:lang w:val="sq-AL"/>
        </w:rPr>
        <w:t xml:space="preserve">që ngarkohet me menaxhimin e skemave të veçanta të garancisë </w:t>
      </w:r>
      <w:r w:rsidRPr="4157CBF5">
        <w:rPr>
          <w:rFonts w:ascii="Times New Roman" w:hAnsi="Times New Roman"/>
          <w:sz w:val="24"/>
          <w:szCs w:val="24"/>
          <w:lang w:val="sq-AL"/>
        </w:rPr>
        <w:t xml:space="preserve">deri në përshtatjen e praktikës më të mirë për mbledhjen e detyrimeve nga subjektet përfituese, si dhe kryerjen e funksioneve të tjera si </w:t>
      </w:r>
      <w:r w:rsidRPr="4157CBF5">
        <w:rPr>
          <w:rFonts w:ascii="Times New Roman" w:eastAsiaTheme="majorEastAsia" w:hAnsi="Times New Roman"/>
          <w:sz w:val="24"/>
          <w:szCs w:val="24"/>
          <w:lang w:val="sq-AL"/>
        </w:rPr>
        <w:lastRenderedPageBreak/>
        <w:t>monitorimi i skemave të veçanta të garancive, mbikqyrja financiare e përfituesve, verifikimi i rasteve të thirrjes së skemave të veçanta të garancive e të tjera</w:t>
      </w:r>
      <w:r w:rsidRPr="4157CBF5">
        <w:rPr>
          <w:rFonts w:ascii="Times New Roman" w:hAnsi="Times New Roman"/>
          <w:sz w:val="24"/>
          <w:szCs w:val="24"/>
          <w:lang w:val="sq-AL"/>
        </w:rPr>
        <w:t>.</w:t>
      </w:r>
    </w:p>
    <w:p w14:paraId="2768A286" w14:textId="7339C83F" w:rsidR="00334837" w:rsidRDefault="00151109" w:rsidP="00EB24F5">
      <w:pPr>
        <w:pStyle w:val="Style1-BodyText"/>
        <w:spacing w:line="276" w:lineRule="auto"/>
        <w:rPr>
          <w:rFonts w:ascii="Times New Roman" w:hAnsi="Times New Roman" w:cs="Times New Roman"/>
          <w:sz w:val="24"/>
          <w:szCs w:val="22"/>
        </w:rPr>
      </w:pPr>
      <w:r w:rsidRPr="0008158B">
        <w:rPr>
          <w:rFonts w:ascii="Times New Roman" w:hAnsi="Times New Roman" w:cs="Times New Roman"/>
          <w:sz w:val="24"/>
          <w:szCs w:val="22"/>
        </w:rPr>
        <w:t>Gjithsesi, p</w:t>
      </w:r>
      <w:r w:rsidR="0011612D" w:rsidRPr="0008158B">
        <w:rPr>
          <w:rFonts w:ascii="Times New Roman" w:hAnsi="Times New Roman" w:cs="Times New Roman"/>
          <w:sz w:val="24"/>
          <w:szCs w:val="22"/>
        </w:rPr>
        <w:t>engesa për zbatimin e opsionit të zgjedhur</w:t>
      </w:r>
      <w:r w:rsidRPr="0008158B">
        <w:rPr>
          <w:rFonts w:ascii="Times New Roman" w:hAnsi="Times New Roman" w:cs="Times New Roman"/>
          <w:sz w:val="24"/>
          <w:szCs w:val="22"/>
        </w:rPr>
        <w:t xml:space="preserve"> n</w:t>
      </w:r>
      <w:r w:rsidR="003F1B88" w:rsidRPr="0008158B">
        <w:rPr>
          <w:rFonts w:ascii="Times New Roman" w:hAnsi="Times New Roman" w:cs="Times New Roman"/>
          <w:sz w:val="24"/>
          <w:szCs w:val="22"/>
        </w:rPr>
        <w:t>ë</w:t>
      </w:r>
      <w:r w:rsidRPr="0008158B">
        <w:rPr>
          <w:rFonts w:ascii="Times New Roman" w:hAnsi="Times New Roman" w:cs="Times New Roman"/>
          <w:sz w:val="24"/>
          <w:szCs w:val="22"/>
        </w:rPr>
        <w:t xml:space="preserve"> baz</w:t>
      </w:r>
      <w:r w:rsidR="003F1B88" w:rsidRPr="0008158B">
        <w:rPr>
          <w:rFonts w:ascii="Times New Roman" w:hAnsi="Times New Roman" w:cs="Times New Roman"/>
          <w:sz w:val="24"/>
          <w:szCs w:val="22"/>
        </w:rPr>
        <w:t>ë</w:t>
      </w:r>
      <w:r w:rsidRPr="0008158B">
        <w:rPr>
          <w:rFonts w:ascii="Times New Roman" w:hAnsi="Times New Roman" w:cs="Times New Roman"/>
          <w:sz w:val="24"/>
          <w:szCs w:val="22"/>
        </w:rPr>
        <w:t xml:space="preserve"> t</w:t>
      </w:r>
      <w:r w:rsidR="003F1B88" w:rsidRPr="0008158B">
        <w:rPr>
          <w:rFonts w:ascii="Times New Roman" w:hAnsi="Times New Roman" w:cs="Times New Roman"/>
          <w:sz w:val="24"/>
          <w:szCs w:val="22"/>
        </w:rPr>
        <w:t>ë</w:t>
      </w:r>
      <w:r w:rsidRPr="0008158B">
        <w:rPr>
          <w:rFonts w:ascii="Times New Roman" w:hAnsi="Times New Roman" w:cs="Times New Roman"/>
          <w:sz w:val="24"/>
          <w:szCs w:val="22"/>
        </w:rPr>
        <w:t xml:space="preserve"> analiz</w:t>
      </w:r>
      <w:r w:rsidR="003F1B88" w:rsidRPr="0008158B">
        <w:rPr>
          <w:rFonts w:ascii="Times New Roman" w:hAnsi="Times New Roman" w:cs="Times New Roman"/>
          <w:sz w:val="24"/>
          <w:szCs w:val="22"/>
        </w:rPr>
        <w:t>ë</w:t>
      </w:r>
      <w:r w:rsidRPr="0008158B">
        <w:rPr>
          <w:rFonts w:ascii="Times New Roman" w:hAnsi="Times New Roman" w:cs="Times New Roman"/>
          <w:sz w:val="24"/>
          <w:szCs w:val="22"/>
        </w:rPr>
        <w:t>s s</w:t>
      </w:r>
      <w:r w:rsidR="003F1B88" w:rsidRPr="0008158B">
        <w:rPr>
          <w:rFonts w:ascii="Times New Roman" w:hAnsi="Times New Roman" w:cs="Times New Roman"/>
          <w:sz w:val="24"/>
          <w:szCs w:val="22"/>
        </w:rPr>
        <w:t>ë</w:t>
      </w:r>
      <w:r w:rsidRPr="0008158B">
        <w:rPr>
          <w:rFonts w:ascii="Times New Roman" w:hAnsi="Times New Roman" w:cs="Times New Roman"/>
          <w:sz w:val="24"/>
          <w:szCs w:val="22"/>
        </w:rPr>
        <w:t xml:space="preserve"> b</w:t>
      </w:r>
      <w:r w:rsidR="003F1B88" w:rsidRPr="0008158B">
        <w:rPr>
          <w:rFonts w:ascii="Times New Roman" w:hAnsi="Times New Roman" w:cs="Times New Roman"/>
          <w:sz w:val="24"/>
          <w:szCs w:val="22"/>
        </w:rPr>
        <w:t>ë</w:t>
      </w:r>
      <w:r w:rsidR="00AF4B41" w:rsidRPr="0008158B">
        <w:rPr>
          <w:rFonts w:ascii="Times New Roman" w:hAnsi="Times New Roman" w:cs="Times New Roman"/>
          <w:sz w:val="24"/>
          <w:szCs w:val="22"/>
        </w:rPr>
        <w:t>r</w:t>
      </w:r>
      <w:r w:rsidR="0081224E" w:rsidRPr="0008158B">
        <w:rPr>
          <w:rFonts w:ascii="Times New Roman" w:hAnsi="Times New Roman" w:cs="Times New Roman"/>
          <w:sz w:val="24"/>
          <w:szCs w:val="22"/>
        </w:rPr>
        <w:t>ë</w:t>
      </w:r>
      <w:r w:rsidR="0011612D" w:rsidRPr="0008158B">
        <w:rPr>
          <w:rFonts w:ascii="Times New Roman" w:hAnsi="Times New Roman" w:cs="Times New Roman"/>
          <w:sz w:val="24"/>
          <w:szCs w:val="22"/>
        </w:rPr>
        <w:t xml:space="preserve"> nuk evidentohen.</w:t>
      </w:r>
    </w:p>
    <w:p w14:paraId="0AC41845" w14:textId="5A8A1A41" w:rsidR="00851754" w:rsidRDefault="00851754" w:rsidP="00851754">
      <w:pPr>
        <w:pStyle w:val="Style1-BodyText"/>
        <w:spacing w:line="276" w:lineRule="auto"/>
        <w:rPr>
          <w:rFonts w:ascii="Times New Roman" w:hAnsi="Times New Roman" w:cs="Times New Roman"/>
          <w:sz w:val="24"/>
          <w:szCs w:val="22"/>
        </w:rPr>
      </w:pPr>
      <w:r>
        <w:rPr>
          <w:rFonts w:ascii="Times New Roman" w:hAnsi="Times New Roman" w:cs="Times New Roman"/>
          <w:sz w:val="24"/>
          <w:szCs w:val="22"/>
        </w:rPr>
        <w:t>Një sërë masash do ndërmerren n</w:t>
      </w:r>
      <w:r w:rsidRPr="00851754">
        <w:rPr>
          <w:rFonts w:ascii="Times New Roman" w:hAnsi="Times New Roman" w:cs="Times New Roman"/>
          <w:sz w:val="24"/>
          <w:szCs w:val="22"/>
        </w:rPr>
        <w:t>ëpërmjet hartimit të ligjit të ri, “Për Menaxhimin e Garancive dhe Kredive të Pakthyera”</w:t>
      </w:r>
      <w:r>
        <w:rPr>
          <w:rFonts w:ascii="Times New Roman" w:hAnsi="Times New Roman" w:cs="Times New Roman"/>
          <w:sz w:val="24"/>
          <w:szCs w:val="22"/>
        </w:rPr>
        <w:t>, që do i</w:t>
      </w:r>
      <w:r w:rsidRPr="00851754">
        <w:rPr>
          <w:rFonts w:ascii="Times New Roman" w:hAnsi="Times New Roman" w:cs="Times New Roman"/>
          <w:sz w:val="24"/>
          <w:szCs w:val="22"/>
        </w:rPr>
        <w:t xml:space="preserve"> j</w:t>
      </w:r>
      <w:r>
        <w:rPr>
          <w:rFonts w:ascii="Times New Roman" w:hAnsi="Times New Roman" w:cs="Times New Roman"/>
          <w:sz w:val="24"/>
          <w:szCs w:val="22"/>
        </w:rPr>
        <w:t>a</w:t>
      </w:r>
      <w:r w:rsidRPr="00851754">
        <w:rPr>
          <w:rFonts w:ascii="Times New Roman" w:hAnsi="Times New Roman" w:cs="Times New Roman"/>
          <w:sz w:val="24"/>
          <w:szCs w:val="22"/>
        </w:rPr>
        <w:t>p</w:t>
      </w:r>
      <w:r>
        <w:rPr>
          <w:rFonts w:ascii="Times New Roman" w:hAnsi="Times New Roman" w:cs="Times New Roman"/>
          <w:sz w:val="24"/>
          <w:szCs w:val="22"/>
        </w:rPr>
        <w:t>in</w:t>
      </w:r>
      <w:r w:rsidRPr="00851754">
        <w:rPr>
          <w:rFonts w:ascii="Times New Roman" w:hAnsi="Times New Roman" w:cs="Times New Roman"/>
          <w:sz w:val="24"/>
          <w:szCs w:val="22"/>
        </w:rPr>
        <w:t xml:space="preserve"> zgjidhje problematikave të menaxhimit efektiv të skemave të veçanta të garancive si dhe problemeve të trajtimit të portofolit të kredive në një kohë të arsyeshme</w:t>
      </w:r>
      <w:r>
        <w:rPr>
          <w:rFonts w:ascii="Times New Roman" w:hAnsi="Times New Roman" w:cs="Times New Roman"/>
          <w:sz w:val="24"/>
          <w:szCs w:val="22"/>
        </w:rPr>
        <w:t>.</w:t>
      </w:r>
      <w:r w:rsidRPr="00851754">
        <w:t xml:space="preserve"> </w:t>
      </w:r>
      <w:r>
        <w:rPr>
          <w:rFonts w:ascii="Times New Roman" w:hAnsi="Times New Roman" w:cs="Times New Roman"/>
          <w:sz w:val="24"/>
          <w:szCs w:val="22"/>
        </w:rPr>
        <w:t>Kuadri i ri ligjor i</w:t>
      </w:r>
      <w:r w:rsidRPr="00851754">
        <w:rPr>
          <w:rFonts w:ascii="Times New Roman" w:hAnsi="Times New Roman" w:cs="Times New Roman"/>
          <w:sz w:val="24"/>
          <w:szCs w:val="22"/>
        </w:rPr>
        <w:t xml:space="preserve"> kal</w:t>
      </w:r>
      <w:r>
        <w:rPr>
          <w:rFonts w:ascii="Times New Roman" w:hAnsi="Times New Roman" w:cs="Times New Roman"/>
          <w:sz w:val="24"/>
          <w:szCs w:val="22"/>
        </w:rPr>
        <w:t>on</w:t>
      </w:r>
      <w:r w:rsidRPr="00851754">
        <w:rPr>
          <w:rFonts w:ascii="Times New Roman" w:hAnsi="Times New Roman" w:cs="Times New Roman"/>
          <w:sz w:val="24"/>
          <w:szCs w:val="22"/>
        </w:rPr>
        <w:t xml:space="preserve"> në ndjekje AMGKP-së një sërë funksionesh për menaxhimin e skemave të Garancive Sovrane, këto të lëshuara për ti ardhur në ndihmë biznesit në situatën e Covid 19, apo çdo skemë të ngjashme që mund të jetë e nevojshme në të ardhmen të miratohet</w:t>
      </w:r>
      <w:r>
        <w:rPr>
          <w:rFonts w:ascii="Times New Roman" w:hAnsi="Times New Roman" w:cs="Times New Roman"/>
          <w:sz w:val="24"/>
          <w:szCs w:val="22"/>
        </w:rPr>
        <w:t>, si dhe</w:t>
      </w:r>
      <w:r w:rsidRPr="00851754">
        <w:rPr>
          <w:rFonts w:ascii="Times New Roman" w:hAnsi="Times New Roman" w:cs="Times New Roman"/>
          <w:sz w:val="24"/>
          <w:szCs w:val="22"/>
        </w:rPr>
        <w:t xml:space="preserve"> siguron menaxhim </w:t>
      </w:r>
      <w:r>
        <w:rPr>
          <w:rFonts w:ascii="Times New Roman" w:hAnsi="Times New Roman" w:cs="Times New Roman"/>
          <w:sz w:val="24"/>
          <w:szCs w:val="22"/>
        </w:rPr>
        <w:t xml:space="preserve">më </w:t>
      </w:r>
      <w:r w:rsidRPr="00851754">
        <w:rPr>
          <w:rFonts w:ascii="Times New Roman" w:hAnsi="Times New Roman" w:cs="Times New Roman"/>
          <w:sz w:val="24"/>
          <w:szCs w:val="22"/>
        </w:rPr>
        <w:t xml:space="preserve">efektiv të skemave të veçanta të garancive </w:t>
      </w:r>
      <w:r>
        <w:rPr>
          <w:rFonts w:ascii="Times New Roman" w:hAnsi="Times New Roman" w:cs="Times New Roman"/>
          <w:sz w:val="24"/>
          <w:szCs w:val="22"/>
        </w:rPr>
        <w:t>duke i dhënë zgjidhje problemit në</w:t>
      </w:r>
      <w:r w:rsidRPr="00851754">
        <w:rPr>
          <w:rFonts w:ascii="Times New Roman" w:hAnsi="Times New Roman" w:cs="Times New Roman"/>
          <w:sz w:val="24"/>
          <w:szCs w:val="22"/>
        </w:rPr>
        <w:t xml:space="preserve"> një kohë të arsyeshme, </w:t>
      </w:r>
      <w:r>
        <w:rPr>
          <w:rFonts w:ascii="Times New Roman" w:hAnsi="Times New Roman" w:cs="Times New Roman"/>
          <w:sz w:val="24"/>
          <w:szCs w:val="22"/>
        </w:rPr>
        <w:t>më anë të strukturimit efikas të funksioneve të agjencisë.</w:t>
      </w:r>
    </w:p>
    <w:p w14:paraId="25072D9D" w14:textId="1889654C" w:rsidR="004A476E" w:rsidRPr="00DE0CC4" w:rsidRDefault="007B4B68" w:rsidP="00597B2E">
      <w:pPr>
        <w:pStyle w:val="Style1-BodyText"/>
        <w:spacing w:line="276" w:lineRule="auto"/>
        <w:rPr>
          <w:rFonts w:ascii="Times New Roman" w:hAnsi="Times New Roman" w:cs="Times New Roman"/>
          <w:sz w:val="24"/>
          <w:szCs w:val="22"/>
        </w:rPr>
      </w:pPr>
      <w:r w:rsidRPr="00DE0CC4">
        <w:rPr>
          <w:rFonts w:ascii="Times New Roman" w:hAnsi="Times New Roman" w:cs="Times New Roman"/>
          <w:sz w:val="24"/>
          <w:szCs w:val="22"/>
        </w:rPr>
        <w:t>Aktet nënligjore që parashikohen të miratohen sipas projektligjit</w:t>
      </w:r>
      <w:r w:rsidR="00BC1B6F" w:rsidRPr="00DE0CC4">
        <w:rPr>
          <w:rFonts w:ascii="Times New Roman" w:hAnsi="Times New Roman" w:cs="Times New Roman"/>
          <w:sz w:val="24"/>
          <w:szCs w:val="22"/>
        </w:rPr>
        <w:t xml:space="preserve"> janë</w:t>
      </w:r>
      <w:r w:rsidR="005A187A" w:rsidRPr="00DE0CC4">
        <w:rPr>
          <w:rFonts w:ascii="Times New Roman" w:hAnsi="Times New Roman" w:cs="Times New Roman"/>
          <w:sz w:val="24"/>
          <w:szCs w:val="22"/>
        </w:rPr>
        <w:t>:</w:t>
      </w:r>
    </w:p>
    <w:p w14:paraId="029C9F05" w14:textId="5FDFEF60" w:rsidR="00CD1308" w:rsidRPr="00DE0CC4" w:rsidRDefault="00CD1308" w:rsidP="00CD1308">
      <w:pPr>
        <w:pStyle w:val="Style1-BodyText"/>
        <w:spacing w:line="276" w:lineRule="auto"/>
        <w:rPr>
          <w:rFonts w:ascii="Times New Roman" w:hAnsi="Times New Roman" w:cs="Times New Roman"/>
          <w:sz w:val="24"/>
          <w:szCs w:val="22"/>
        </w:rPr>
      </w:pPr>
    </w:p>
    <w:p w14:paraId="35388121" w14:textId="18D8B162" w:rsidR="00822114" w:rsidRPr="00DE0CC4" w:rsidRDefault="00822114" w:rsidP="00A5185F">
      <w:pPr>
        <w:pStyle w:val="Style1-BodyText"/>
        <w:numPr>
          <w:ilvl w:val="0"/>
          <w:numId w:val="28"/>
        </w:numPr>
        <w:spacing w:line="276" w:lineRule="auto"/>
        <w:rPr>
          <w:rFonts w:ascii="Times New Roman" w:hAnsi="Times New Roman" w:cs="Times New Roman"/>
          <w:sz w:val="24"/>
          <w:szCs w:val="22"/>
        </w:rPr>
      </w:pPr>
      <w:r w:rsidRPr="00DE0CC4">
        <w:rPr>
          <w:rFonts w:ascii="Times New Roman" w:hAnsi="Times New Roman" w:cs="Times New Roman"/>
          <w:sz w:val="24"/>
          <w:szCs w:val="22"/>
        </w:rPr>
        <w:t xml:space="preserve">Vendimi i </w:t>
      </w:r>
      <w:r w:rsidRPr="00DE0CC4">
        <w:rPr>
          <w:rFonts w:ascii="Times New Roman" w:hAnsi="Times New Roman" w:cs="Times New Roman"/>
          <w:sz w:val="24"/>
          <w:lang w:val="sq-AL"/>
        </w:rPr>
        <w:t>Këshillit të Ministrave që përcakton organizimin dhe funksionimin e Agjencisë</w:t>
      </w:r>
      <w:r w:rsidR="000A69A1" w:rsidRPr="00DE0CC4">
        <w:rPr>
          <w:rFonts w:ascii="Times New Roman" w:hAnsi="Times New Roman" w:cs="Times New Roman"/>
          <w:sz w:val="24"/>
          <w:lang w:val="sq-AL"/>
        </w:rPr>
        <w:t>.</w:t>
      </w:r>
    </w:p>
    <w:p w14:paraId="2CEF1EA0" w14:textId="45B7BCCA" w:rsidR="00CD1308" w:rsidRPr="00DE0CC4" w:rsidRDefault="00CD1308" w:rsidP="00A5185F">
      <w:pPr>
        <w:pStyle w:val="Style1-BodyText"/>
        <w:numPr>
          <w:ilvl w:val="0"/>
          <w:numId w:val="28"/>
        </w:numPr>
        <w:spacing w:line="276" w:lineRule="auto"/>
        <w:rPr>
          <w:rFonts w:ascii="Times New Roman" w:hAnsi="Times New Roman" w:cs="Times New Roman"/>
          <w:sz w:val="24"/>
          <w:lang w:val="sq-AL"/>
        </w:rPr>
      </w:pPr>
      <w:r w:rsidRPr="00DE0CC4">
        <w:rPr>
          <w:rFonts w:ascii="Times New Roman" w:hAnsi="Times New Roman" w:cs="Times New Roman"/>
          <w:sz w:val="24"/>
          <w:szCs w:val="22"/>
        </w:rPr>
        <w:t xml:space="preserve">Vendimi i </w:t>
      </w:r>
      <w:r w:rsidRPr="00DE0CC4">
        <w:rPr>
          <w:rFonts w:ascii="Times New Roman" w:hAnsi="Times New Roman" w:cs="Times New Roman"/>
          <w:sz w:val="24"/>
          <w:lang w:val="sq-AL"/>
        </w:rPr>
        <w:t>Këshillit të Ministrave</w:t>
      </w:r>
      <w:r w:rsidR="00B27920" w:rsidRPr="00DE0CC4">
        <w:rPr>
          <w:rFonts w:ascii="Times New Roman" w:hAnsi="Times New Roman" w:cs="Times New Roman"/>
          <w:sz w:val="24"/>
          <w:lang w:val="sq-AL"/>
        </w:rPr>
        <w:t xml:space="preserve"> që përcakton procedurën e detajuar për kthimin e garancive, huave dhe nënhuave, dhe procedurat e marrjes në pronësi të pasurive të lëna si garanci ose jo nga huamarrësit, dhe shitjes së këtyre pasurive të marra</w:t>
      </w:r>
      <w:r w:rsidR="00597B2E" w:rsidRPr="00DE0CC4">
        <w:rPr>
          <w:rFonts w:ascii="Times New Roman" w:hAnsi="Times New Roman" w:cs="Times New Roman"/>
          <w:sz w:val="24"/>
          <w:lang w:val="sq-AL"/>
        </w:rPr>
        <w:t>.</w:t>
      </w:r>
    </w:p>
    <w:p w14:paraId="7CCDBB60" w14:textId="77777777" w:rsidR="000176C6" w:rsidRPr="00A5185F" w:rsidRDefault="00597B2E" w:rsidP="00A5185F">
      <w:pPr>
        <w:pStyle w:val="ListParagraph"/>
        <w:numPr>
          <w:ilvl w:val="0"/>
          <w:numId w:val="28"/>
        </w:numPr>
        <w:shd w:val="clear" w:color="auto" w:fill="FFFFFF" w:themeFill="background1"/>
        <w:tabs>
          <w:tab w:val="left" w:pos="360"/>
        </w:tabs>
        <w:spacing w:line="276" w:lineRule="auto"/>
        <w:contextualSpacing/>
        <w:jc w:val="both"/>
        <w:rPr>
          <w:rFonts w:ascii="Times New Roman" w:hAnsi="Times New Roman"/>
          <w:sz w:val="24"/>
          <w:szCs w:val="24"/>
          <w:lang w:val="sq-AL"/>
        </w:rPr>
      </w:pPr>
      <w:r w:rsidRPr="00A5185F">
        <w:rPr>
          <w:rFonts w:ascii="Times New Roman" w:hAnsi="Times New Roman"/>
          <w:sz w:val="24"/>
          <w:szCs w:val="22"/>
        </w:rPr>
        <w:t xml:space="preserve">Vendimi i </w:t>
      </w:r>
      <w:r w:rsidRPr="00A5185F">
        <w:rPr>
          <w:rFonts w:ascii="Times New Roman" w:hAnsi="Times New Roman"/>
          <w:sz w:val="24"/>
          <w:lang w:val="sq-AL"/>
        </w:rPr>
        <w:t>Këshillit të Ministrave që përcakton</w:t>
      </w:r>
      <w:r w:rsidR="000176C6" w:rsidRPr="00A5185F">
        <w:rPr>
          <w:rFonts w:ascii="Times New Roman" w:hAnsi="Times New Roman"/>
          <w:sz w:val="24"/>
          <w:lang w:val="sq-AL"/>
        </w:rPr>
        <w:t xml:space="preserve"> krijimin e “</w:t>
      </w:r>
      <w:r w:rsidR="000176C6" w:rsidRPr="00A5185F">
        <w:rPr>
          <w:rFonts w:ascii="Times New Roman" w:hAnsi="Times New Roman"/>
          <w:sz w:val="24"/>
          <w:szCs w:val="24"/>
          <w:lang w:val="sq-AL"/>
        </w:rPr>
        <w:t>Regjistri</w:t>
      </w:r>
      <w:r w:rsidR="000176C6" w:rsidRPr="00A5185F">
        <w:rPr>
          <w:rFonts w:ascii="Times New Roman" w:hAnsi="Times New Roman"/>
          <w:sz w:val="24"/>
          <w:lang w:val="sq-AL"/>
        </w:rPr>
        <w:t>t</w:t>
      </w:r>
      <w:r w:rsidR="000176C6" w:rsidRPr="00A5185F">
        <w:rPr>
          <w:rFonts w:ascii="Times New Roman" w:hAnsi="Times New Roman"/>
          <w:sz w:val="24"/>
          <w:szCs w:val="24"/>
          <w:lang w:val="sq-AL"/>
        </w:rPr>
        <w:t xml:space="preserve"> për Kthimin e Garancive Shtet</w:t>
      </w:r>
      <w:r w:rsidR="000176C6" w:rsidRPr="00A5185F">
        <w:rPr>
          <w:rFonts w:ascii="Times New Roman" w:hAnsi="Times New Roman"/>
          <w:sz w:val="24"/>
          <w:lang w:val="sq-AL"/>
        </w:rPr>
        <w:t>ë</w:t>
      </w:r>
      <w:r w:rsidR="000176C6" w:rsidRPr="00A5185F">
        <w:rPr>
          <w:rFonts w:ascii="Times New Roman" w:hAnsi="Times New Roman"/>
          <w:sz w:val="24"/>
          <w:szCs w:val="24"/>
          <w:lang w:val="sq-AL"/>
        </w:rPr>
        <w:t>rore</w:t>
      </w:r>
      <w:r w:rsidR="000176C6" w:rsidRPr="00A5185F">
        <w:rPr>
          <w:rFonts w:ascii="Times New Roman" w:hAnsi="Times New Roman"/>
          <w:sz w:val="24"/>
          <w:lang w:val="sq-AL"/>
        </w:rPr>
        <w:t xml:space="preserve">” </w:t>
      </w:r>
      <w:r w:rsidR="000176C6" w:rsidRPr="00A5185F">
        <w:rPr>
          <w:rFonts w:ascii="Times New Roman" w:hAnsi="Times New Roman"/>
          <w:sz w:val="24"/>
          <w:szCs w:val="24"/>
          <w:lang w:val="sq-AL"/>
        </w:rPr>
        <w:t xml:space="preserve">sipas përcaktimeve të ligjit në fuqi për bazat e të dhënave shtetërore. </w:t>
      </w:r>
    </w:p>
    <w:p w14:paraId="565C575B" w14:textId="0C467E5E" w:rsidR="001C063D" w:rsidRPr="007B4B68" w:rsidRDefault="001C063D" w:rsidP="00A5185F">
      <w:pPr>
        <w:pStyle w:val="Style1-BodyText"/>
        <w:numPr>
          <w:ilvl w:val="0"/>
          <w:numId w:val="28"/>
        </w:numPr>
        <w:spacing w:line="276" w:lineRule="auto"/>
        <w:rPr>
          <w:rFonts w:ascii="Times New Roman" w:hAnsi="Times New Roman" w:cs="Times New Roman"/>
          <w:sz w:val="24"/>
          <w:szCs w:val="22"/>
        </w:rPr>
      </w:pPr>
      <w:r>
        <w:rPr>
          <w:rFonts w:ascii="Times New Roman" w:hAnsi="Times New Roman" w:cs="Times New Roman"/>
          <w:sz w:val="24"/>
          <w:lang w:val="sq-AL"/>
        </w:rPr>
        <w:t>U</w:t>
      </w:r>
      <w:r w:rsidRPr="00B338BE">
        <w:rPr>
          <w:rFonts w:ascii="Times New Roman" w:hAnsi="Times New Roman" w:cs="Times New Roman"/>
          <w:sz w:val="24"/>
          <w:lang w:val="sq-AL"/>
        </w:rPr>
        <w:t xml:space="preserve">dhëzim </w:t>
      </w:r>
      <w:r>
        <w:rPr>
          <w:rFonts w:ascii="Times New Roman" w:hAnsi="Times New Roman" w:cs="Times New Roman"/>
          <w:sz w:val="24"/>
          <w:lang w:val="sq-AL"/>
        </w:rPr>
        <w:t>i</w:t>
      </w:r>
      <w:r w:rsidRPr="00B338BE">
        <w:rPr>
          <w:rFonts w:ascii="Times New Roman" w:hAnsi="Times New Roman" w:cs="Times New Roman"/>
          <w:sz w:val="24"/>
          <w:lang w:val="sq-AL"/>
        </w:rPr>
        <w:t xml:space="preserve"> Ministrit përgjegjës për financat</w:t>
      </w:r>
      <w:r>
        <w:rPr>
          <w:rFonts w:ascii="Times New Roman" w:hAnsi="Times New Roman" w:cs="Times New Roman"/>
          <w:sz w:val="24"/>
          <w:lang w:val="sq-AL"/>
        </w:rPr>
        <w:t xml:space="preserve"> që përcakton r</w:t>
      </w:r>
      <w:r w:rsidRPr="00B338BE">
        <w:rPr>
          <w:rFonts w:ascii="Times New Roman" w:hAnsi="Times New Roman" w:cs="Times New Roman"/>
          <w:sz w:val="24"/>
          <w:lang w:val="sq-AL"/>
        </w:rPr>
        <w:t xml:space="preserve">regullat për bashkëpunimin e Agjencisë me Ministrinë përgjegjëse për financat lidhur me menaxhimin e skemave të veçanta të garancive, </w:t>
      </w:r>
      <w:r>
        <w:rPr>
          <w:rFonts w:ascii="Times New Roman" w:hAnsi="Times New Roman" w:cs="Times New Roman"/>
          <w:sz w:val="24"/>
          <w:lang w:val="sq-AL"/>
        </w:rPr>
        <w:t>si dhe p</w:t>
      </w:r>
      <w:bookmarkStart w:id="26" w:name="_Hlk124326323"/>
      <w:r>
        <w:rPr>
          <w:rFonts w:ascii="Times New Roman" w:hAnsi="Times New Roman" w:cs="Times New Roman"/>
          <w:sz w:val="24"/>
          <w:lang w:val="sq-AL"/>
        </w:rPr>
        <w:t>ë</w:t>
      </w:r>
      <w:bookmarkEnd w:id="26"/>
      <w:r>
        <w:rPr>
          <w:rFonts w:ascii="Times New Roman" w:hAnsi="Times New Roman" w:cs="Times New Roman"/>
          <w:sz w:val="24"/>
          <w:lang w:val="sq-AL"/>
        </w:rPr>
        <w:t>r mbajtjen e dokumentacionit dhe të dhenave</w:t>
      </w:r>
    </w:p>
    <w:p w14:paraId="2F8D7BDB" w14:textId="77777777" w:rsidR="008E4E6E" w:rsidRPr="004E7606" w:rsidRDefault="008E4E6E" w:rsidP="00EB24F5">
      <w:pPr>
        <w:pStyle w:val="Style1-BodyText"/>
        <w:spacing w:line="276" w:lineRule="auto"/>
        <w:rPr>
          <w:rFonts w:ascii="Times New Roman" w:hAnsi="Times New Roman" w:cs="Times New Roman"/>
          <w:szCs w:val="22"/>
        </w:rPr>
      </w:pPr>
    </w:p>
    <w:p w14:paraId="24F416E4" w14:textId="77777777" w:rsidR="00D50753" w:rsidRPr="009850A6" w:rsidRDefault="6F3B9A98" w:rsidP="6F3B9A98">
      <w:pPr>
        <w:pStyle w:val="Style1-BodyText"/>
        <w:spacing w:after="0" w:line="276" w:lineRule="auto"/>
        <w:rPr>
          <w:rFonts w:ascii="Times New Roman" w:hAnsi="Times New Roman" w:cs="Times New Roman"/>
          <w:b/>
          <w:bCs/>
          <w:sz w:val="24"/>
          <w:lang w:val="sq-AL"/>
        </w:rPr>
      </w:pPr>
      <w:bookmarkStart w:id="27" w:name="_Hlk9850460"/>
      <w:r w:rsidRPr="6F3B9A98">
        <w:rPr>
          <w:rFonts w:ascii="Times New Roman" w:hAnsi="Times New Roman" w:cs="Times New Roman"/>
          <w:b/>
          <w:bCs/>
          <w:sz w:val="24"/>
          <w:lang w:val="sq-AL"/>
        </w:rPr>
        <w:t>Faza e shqyrtimit/vlerësimit</w:t>
      </w:r>
    </w:p>
    <w:p w14:paraId="431EDC01" w14:textId="77777777" w:rsidR="00D55BD1" w:rsidRPr="004E7606" w:rsidRDefault="00D55BD1" w:rsidP="00B30D16">
      <w:pPr>
        <w:pStyle w:val="Style1-BodyText"/>
        <w:spacing w:after="0" w:line="276" w:lineRule="auto"/>
        <w:rPr>
          <w:rFonts w:ascii="Times New Roman" w:hAnsi="Times New Roman" w:cs="Times New Roman"/>
          <w:b/>
          <w:szCs w:val="22"/>
          <w:lang w:val="sq-AL"/>
        </w:rPr>
      </w:pPr>
    </w:p>
    <w:p w14:paraId="11EAEE87" w14:textId="3329DCFE" w:rsidR="0054794D" w:rsidRPr="00DB42C2" w:rsidRDefault="00CB0311" w:rsidP="00B30D16">
      <w:pPr>
        <w:pStyle w:val="Style1-BodyText"/>
        <w:numPr>
          <w:ilvl w:val="0"/>
          <w:numId w:val="7"/>
        </w:numPr>
        <w:spacing w:after="0" w:line="276" w:lineRule="auto"/>
        <w:rPr>
          <w:rFonts w:ascii="Times New Roman" w:hAnsi="Times New Roman" w:cs="Times New Roman"/>
          <w:i/>
          <w:sz w:val="24"/>
          <w:lang w:val="sq-AL"/>
        </w:rPr>
      </w:pPr>
      <w:r w:rsidRPr="00DB42C2">
        <w:rPr>
          <w:rFonts w:ascii="Times New Roman" w:hAnsi="Times New Roman" w:cs="Times New Roman"/>
          <w:i/>
          <w:sz w:val="24"/>
          <w:lang w:val="sq-AL"/>
        </w:rPr>
        <w:t xml:space="preserve">Jepni një përshkrim të përmbledhur </w:t>
      </w:r>
      <w:r w:rsidR="0054794D" w:rsidRPr="00DB42C2">
        <w:rPr>
          <w:rFonts w:ascii="Times New Roman" w:hAnsi="Times New Roman" w:cs="Times New Roman"/>
          <w:i/>
          <w:sz w:val="24"/>
          <w:lang w:val="sq-AL"/>
        </w:rPr>
        <w:t xml:space="preserve">të masave të monitorimit dhe </w:t>
      </w:r>
      <w:r w:rsidRPr="00DB42C2">
        <w:rPr>
          <w:rFonts w:ascii="Times New Roman" w:hAnsi="Times New Roman" w:cs="Times New Roman"/>
          <w:i/>
          <w:sz w:val="24"/>
          <w:lang w:val="sq-AL"/>
        </w:rPr>
        <w:t xml:space="preserve">të </w:t>
      </w:r>
      <w:r w:rsidR="0054794D" w:rsidRPr="00DB42C2">
        <w:rPr>
          <w:rFonts w:ascii="Times New Roman" w:hAnsi="Times New Roman" w:cs="Times New Roman"/>
          <w:i/>
          <w:sz w:val="24"/>
          <w:lang w:val="sq-AL"/>
        </w:rPr>
        <w:t>vlerësimit</w:t>
      </w:r>
      <w:r w:rsidR="00573E8A" w:rsidRPr="00DB42C2">
        <w:rPr>
          <w:rFonts w:ascii="Times New Roman" w:hAnsi="Times New Roman" w:cs="Times New Roman"/>
          <w:i/>
          <w:sz w:val="24"/>
          <w:lang w:val="sq-AL"/>
        </w:rPr>
        <w:t>.</w:t>
      </w:r>
    </w:p>
    <w:p w14:paraId="083384F8" w14:textId="5B2ED2F2" w:rsidR="00151109" w:rsidRDefault="00151109" w:rsidP="00151109">
      <w:pPr>
        <w:pStyle w:val="Style1-BodyText"/>
        <w:spacing w:line="276" w:lineRule="auto"/>
        <w:rPr>
          <w:rFonts w:ascii="Times New Roman" w:hAnsi="Times New Roman" w:cs="Times New Roman"/>
          <w:i/>
          <w:sz w:val="24"/>
          <w:lang w:val="sq-AL"/>
        </w:rPr>
      </w:pPr>
      <w:r w:rsidRPr="00DB42C2">
        <w:rPr>
          <w:rFonts w:ascii="Times New Roman" w:hAnsi="Times New Roman" w:cs="Times New Roman"/>
          <w:i/>
          <w:sz w:val="24"/>
          <w:lang w:val="sq-AL"/>
        </w:rPr>
        <w:t>Monitorimi i zbatimit do të kryhet konform rregullave të brendshme të raportimit dhe monitorimit të performancës si dhe hierarkisë institucionale të të dy strukturave në fjalë, Drejtoria e Përgjithshme e Borxhit dhe Agjencia e Menaxhimit të Garancive dhe Kredive të Pakthyera).</w:t>
      </w:r>
    </w:p>
    <w:p w14:paraId="02811C41" w14:textId="77777777" w:rsidR="00D22EFB" w:rsidRPr="00DB42C2" w:rsidRDefault="00D22EFB" w:rsidP="00D22EFB">
      <w:pPr>
        <w:pStyle w:val="Style1-BodyText"/>
        <w:numPr>
          <w:ilvl w:val="0"/>
          <w:numId w:val="7"/>
        </w:numPr>
        <w:spacing w:after="0" w:line="276" w:lineRule="auto"/>
        <w:rPr>
          <w:rFonts w:ascii="Times New Roman" w:hAnsi="Times New Roman" w:cs="Times New Roman"/>
          <w:i/>
          <w:sz w:val="24"/>
          <w:lang w:val="sq-AL"/>
        </w:rPr>
      </w:pPr>
      <w:r w:rsidRPr="00DB42C2">
        <w:rPr>
          <w:rFonts w:ascii="Times New Roman" w:hAnsi="Times New Roman" w:cs="Times New Roman"/>
          <w:i/>
          <w:sz w:val="24"/>
          <w:lang w:val="sq-AL"/>
        </w:rPr>
        <w:t>Identifikoni  kriteret/treguesit për të matur arritjen e qëllimeve ose progresin drejt tyre.</w:t>
      </w:r>
    </w:p>
    <w:p w14:paraId="2E5F7A30" w14:textId="77777777" w:rsidR="00D22EFB" w:rsidRPr="00DB42C2" w:rsidRDefault="00D22EFB" w:rsidP="00151109">
      <w:pPr>
        <w:pStyle w:val="Style1-BodyText"/>
        <w:spacing w:line="276" w:lineRule="auto"/>
        <w:rPr>
          <w:rFonts w:ascii="Times New Roman" w:hAnsi="Times New Roman" w:cs="Times New Roman"/>
          <w:i/>
          <w:sz w:val="24"/>
          <w:lang w:val="sq-AL"/>
        </w:rPr>
      </w:pPr>
    </w:p>
    <w:p w14:paraId="680FC58D" w14:textId="5C192484" w:rsidR="00151109" w:rsidRPr="00B12068" w:rsidRDefault="4157CBF5" w:rsidP="4157CBF5">
      <w:pPr>
        <w:pStyle w:val="Style1-BodyText"/>
        <w:spacing w:line="276" w:lineRule="auto"/>
        <w:rPr>
          <w:rFonts w:ascii="Times New Roman" w:hAnsi="Times New Roman" w:cs="Times New Roman"/>
          <w:sz w:val="24"/>
          <w:lang w:val="sq-AL"/>
        </w:rPr>
      </w:pPr>
      <w:r w:rsidRPr="4157CBF5">
        <w:rPr>
          <w:rFonts w:ascii="Times New Roman" w:hAnsi="Times New Roman" w:cs="Times New Roman"/>
          <w:sz w:val="24"/>
          <w:lang w:val="sq-AL"/>
        </w:rPr>
        <w:t xml:space="preserve">Monitorimi në lidhje me performancën e veprimtarisë që realizon Agjencia e Menaxhimit të Garancive dhe Kredive të Pakthyera do të mundësohet nëpërmjet raportimit periodik pranë niveleve drejtuese të vetë agjencisë, raportimeve periodike mbi treguesit e borxhit dhe analizën me baza 15-ditore, mujore, apo dhe tremujore të performancës. Po në baza 15-ditore përgatit dhe informon nivelet drejtuese mbi analizën e treguesve dhe performacës për periudhën përkatëse. Drejtoria informon në mënyrë të vazhduar nivelet drejtuese të hierarkisë në lidhje me nivelin e detyrimeve të subjekteve që kanë përfituar nga Garancitë Sovrane apo nënhuatë. </w:t>
      </w:r>
    </w:p>
    <w:p w14:paraId="14C52561" w14:textId="77777777" w:rsidR="00F446E5" w:rsidRPr="00B12068" w:rsidRDefault="00F446E5" w:rsidP="00F446E5">
      <w:pPr>
        <w:pStyle w:val="Style1-BodyText"/>
        <w:spacing w:line="276" w:lineRule="auto"/>
        <w:rPr>
          <w:rFonts w:ascii="Times New Roman" w:hAnsi="Times New Roman" w:cs="Times New Roman"/>
          <w:sz w:val="24"/>
          <w:lang w:val="sq-AL"/>
        </w:rPr>
      </w:pPr>
      <w:r w:rsidRPr="00B12068">
        <w:rPr>
          <w:rFonts w:ascii="Times New Roman" w:hAnsi="Times New Roman" w:cs="Times New Roman"/>
          <w:sz w:val="24"/>
          <w:lang w:val="sq-AL"/>
        </w:rPr>
        <w:lastRenderedPageBreak/>
        <w:t>Agjencia gjithashtu raporton te Regjistri i Kredive dhe zbaton kriteret e klasifikimit për bankat dhe Institucionet financiare jo-banka, në mënyrë qe këto hua/kredi/detyrime të figurojnë në Regjistrin e Kredive edhe pasi t'i transferohen Agjencisë me qëllim qe informacioni në Regjistrin e Kredive për këta huamarrës të jetë i plotë.</w:t>
      </w:r>
    </w:p>
    <w:p w14:paraId="7580321B" w14:textId="77777777" w:rsidR="00F446E5" w:rsidRPr="00B12068" w:rsidRDefault="00F446E5" w:rsidP="00F446E5">
      <w:pPr>
        <w:pStyle w:val="Style1-BodyText"/>
        <w:spacing w:line="276" w:lineRule="auto"/>
        <w:rPr>
          <w:rFonts w:ascii="Times New Roman" w:hAnsi="Times New Roman" w:cs="Times New Roman"/>
          <w:sz w:val="24"/>
          <w:lang w:val="sq-AL"/>
        </w:rPr>
      </w:pPr>
      <w:r w:rsidRPr="00B12068">
        <w:rPr>
          <w:rFonts w:ascii="Times New Roman" w:hAnsi="Times New Roman" w:cs="Times New Roman"/>
          <w:sz w:val="24"/>
          <w:lang w:val="sq-AL"/>
        </w:rPr>
        <w:t>Për marrëveshjet e huas të nënshkruara nga institucionet financiare pjesë e skemave të garancive përkatese, Agjencia ka detyrë të rakordojë çdo tre muaj të dhënat me huadhënësit dhe Ministrinë përgjegjëse për financat dhe të raportojë çdo tre muaj në Ministrinë përgjegjëse për financat mbi ecurinë e skemave të garancisë.</w:t>
      </w:r>
    </w:p>
    <w:p w14:paraId="0C1DFE13" w14:textId="623E9C72" w:rsidR="00F446E5" w:rsidRPr="00B12068" w:rsidRDefault="00F446E5" w:rsidP="00CA47DA">
      <w:pPr>
        <w:pStyle w:val="Style1-BodyText"/>
        <w:spacing w:line="276" w:lineRule="auto"/>
        <w:rPr>
          <w:rFonts w:ascii="Times New Roman" w:hAnsi="Times New Roman" w:cs="Times New Roman"/>
          <w:sz w:val="24"/>
          <w:lang w:val="sq-AL"/>
        </w:rPr>
      </w:pPr>
      <w:r w:rsidRPr="00B12068">
        <w:rPr>
          <w:rFonts w:ascii="Times New Roman" w:hAnsi="Times New Roman" w:cs="Times New Roman"/>
          <w:sz w:val="24"/>
          <w:lang w:val="sq-AL"/>
        </w:rPr>
        <w:t>Për skemat e vecanta të garancisë, Agjencia ka detyrë të monitorojë shlyerjen e detyrimeve të huamarrësve ndaj Ministrisë përgjegjëse për financat për pagesat e kryera nga kjo e fundit në kuadër të marrëveshjeve të garancisë me anë të kontrollit të dokumentacionit dhe me anë të verifikimeve të faturave dhe mandat pagesave të subjekteve.</w:t>
      </w:r>
    </w:p>
    <w:p w14:paraId="3D979C9A" w14:textId="77777777" w:rsidR="00C648F9" w:rsidRPr="00DB42C2" w:rsidRDefault="00C648F9" w:rsidP="00C648F9">
      <w:pPr>
        <w:pStyle w:val="Style1-BodyText"/>
        <w:spacing w:after="0" w:line="276" w:lineRule="auto"/>
        <w:ind w:left="720"/>
        <w:rPr>
          <w:rFonts w:ascii="Times New Roman" w:hAnsi="Times New Roman" w:cs="Times New Roman"/>
          <w:i/>
          <w:sz w:val="24"/>
          <w:lang w:val="sq-AL"/>
        </w:rPr>
      </w:pPr>
    </w:p>
    <w:bookmarkEnd w:id="25"/>
    <w:p w14:paraId="70FD384F" w14:textId="77777777" w:rsidR="002C7EE3" w:rsidRPr="00DB42C2" w:rsidRDefault="002C7EE3" w:rsidP="658D74BF">
      <w:pPr>
        <w:spacing w:line="276" w:lineRule="auto"/>
        <w:ind w:left="720" w:firstLine="720"/>
        <w:jc w:val="both"/>
        <w:rPr>
          <w:rFonts w:ascii="Times New Roman" w:hAnsi="Times New Roman"/>
          <w:b/>
          <w:bCs/>
          <w:sz w:val="24"/>
          <w:szCs w:val="24"/>
          <w:lang w:val="sq-AL"/>
        </w:rPr>
      </w:pPr>
    </w:p>
    <w:bookmarkEnd w:id="27"/>
    <w:p w14:paraId="2F2C6513" w14:textId="77777777" w:rsidR="00151109" w:rsidRPr="0000672C" w:rsidRDefault="00151109" w:rsidP="001511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sz w:val="24"/>
          <w:szCs w:val="24"/>
          <w:lang w:val="sq-AL" w:eastAsia="en-GB"/>
        </w:rPr>
      </w:pPr>
      <w:r w:rsidRPr="0000672C">
        <w:rPr>
          <w:rFonts w:ascii="Times New Roman" w:hAnsi="Times New Roman"/>
          <w:sz w:val="24"/>
          <w:szCs w:val="24"/>
          <w:lang w:val="sq-AL" w:eastAsia="en-GB"/>
        </w:rPr>
        <w:t>Në lidhje me ndërhyrjet e synuara në politikë, kriteret për monitorimin e performancës do të ishin:</w:t>
      </w:r>
    </w:p>
    <w:p w14:paraId="552E58BA" w14:textId="77777777" w:rsidR="00151109" w:rsidRPr="00DB42C2" w:rsidRDefault="00151109" w:rsidP="001511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i/>
          <w:sz w:val="24"/>
          <w:szCs w:val="24"/>
          <w:lang w:val="sq-AL" w:eastAsia="en-GB"/>
        </w:rPr>
      </w:pPr>
    </w:p>
    <w:p w14:paraId="45375520" w14:textId="038D924A" w:rsidR="00151109" w:rsidRPr="0090436B" w:rsidRDefault="6F3B9A98" w:rsidP="0090436B">
      <w:pPr>
        <w:pStyle w:val="ListParagraph"/>
        <w:numPr>
          <w:ilvl w:val="0"/>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sz w:val="24"/>
          <w:szCs w:val="24"/>
          <w:lang w:val="sq-AL" w:eastAsia="en-GB"/>
        </w:rPr>
      </w:pPr>
      <w:r w:rsidRPr="0090436B">
        <w:rPr>
          <w:rFonts w:ascii="Times New Roman" w:hAnsi="Times New Roman"/>
          <w:sz w:val="24"/>
          <w:szCs w:val="24"/>
          <w:lang w:val="sq-AL" w:eastAsia="en-GB"/>
        </w:rPr>
        <w:t xml:space="preserve">Reduktim </w:t>
      </w:r>
      <w:r w:rsidR="002270A9">
        <w:rPr>
          <w:rFonts w:ascii="Times New Roman" w:hAnsi="Times New Roman"/>
          <w:sz w:val="24"/>
          <w:szCs w:val="24"/>
          <w:lang w:val="sq-AL" w:eastAsia="en-GB"/>
        </w:rPr>
        <w:t xml:space="preserve">me 50% </w:t>
      </w:r>
      <w:r w:rsidRPr="0090436B">
        <w:rPr>
          <w:rFonts w:ascii="Times New Roman" w:hAnsi="Times New Roman"/>
          <w:sz w:val="24"/>
          <w:szCs w:val="24"/>
          <w:lang w:val="sq-AL" w:eastAsia="en-GB"/>
        </w:rPr>
        <w:t>i vlerës së detyrimeve të akumuluara nga subjektet përfituese të garancive shtetërore dhe nënhuave</w:t>
      </w:r>
      <w:r w:rsidR="00760E3B" w:rsidRPr="0090436B">
        <w:rPr>
          <w:rFonts w:ascii="Times New Roman" w:hAnsi="Times New Roman"/>
          <w:sz w:val="24"/>
          <w:szCs w:val="24"/>
          <w:lang w:val="sq-AL" w:eastAsia="en-GB"/>
        </w:rPr>
        <w:t xml:space="preserve"> krahasuar me periudhen përpara implementimit të politikës</w:t>
      </w:r>
      <w:r w:rsidRPr="0090436B">
        <w:rPr>
          <w:rFonts w:ascii="Times New Roman" w:hAnsi="Times New Roman"/>
          <w:sz w:val="24"/>
          <w:szCs w:val="24"/>
          <w:lang w:val="sq-AL" w:eastAsia="en-GB"/>
        </w:rPr>
        <w:t>.</w:t>
      </w:r>
    </w:p>
    <w:p w14:paraId="2B434D82" w14:textId="67C5C387" w:rsidR="0090436B" w:rsidRPr="0090436B" w:rsidRDefault="0090436B" w:rsidP="0090436B">
      <w:pPr>
        <w:pStyle w:val="ListParagraph"/>
        <w:numPr>
          <w:ilvl w:val="0"/>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sz w:val="24"/>
          <w:szCs w:val="24"/>
          <w:lang w:val="sq-AL" w:eastAsia="en-GB"/>
        </w:rPr>
      </w:pPr>
      <w:r w:rsidRPr="0090436B">
        <w:rPr>
          <w:rFonts w:ascii="Times New Roman" w:hAnsi="Times New Roman"/>
          <w:sz w:val="24"/>
          <w:szCs w:val="24"/>
          <w:lang w:val="sq-AL" w:eastAsia="en-GB"/>
        </w:rPr>
        <w:t>Reduktim i numrit të debitorëve që trajton agjencia (aktualisht trajton detyrimet e rreth 10 mijë debitorëve krahasuar me periudhen përpara implementimit të politikës.</w:t>
      </w:r>
    </w:p>
    <w:p w14:paraId="76C990A7" w14:textId="40AB5B6A" w:rsidR="00151109" w:rsidRPr="0090436B" w:rsidRDefault="0038144C" w:rsidP="0090436B">
      <w:pPr>
        <w:pStyle w:val="ListParagraph"/>
        <w:numPr>
          <w:ilvl w:val="0"/>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sz w:val="24"/>
          <w:szCs w:val="24"/>
          <w:lang w:val="sq-AL" w:eastAsia="en-GB"/>
        </w:rPr>
      </w:pPr>
      <w:r>
        <w:rPr>
          <w:rFonts w:ascii="Times New Roman" w:hAnsi="Times New Roman"/>
          <w:sz w:val="24"/>
          <w:szCs w:val="24"/>
          <w:lang w:val="sq-AL" w:eastAsia="en-GB"/>
        </w:rPr>
        <w:t xml:space="preserve">Numri </w:t>
      </w:r>
      <w:r w:rsidR="0090436B">
        <w:rPr>
          <w:rFonts w:ascii="Times New Roman" w:hAnsi="Times New Roman"/>
          <w:sz w:val="24"/>
          <w:szCs w:val="24"/>
          <w:lang w:val="sq-AL" w:eastAsia="en-GB"/>
        </w:rPr>
        <w:t xml:space="preserve">i </w:t>
      </w:r>
      <w:r w:rsidR="00151109" w:rsidRPr="0090436B">
        <w:rPr>
          <w:rFonts w:ascii="Times New Roman" w:hAnsi="Times New Roman"/>
          <w:sz w:val="24"/>
          <w:szCs w:val="24"/>
          <w:lang w:val="sq-AL" w:eastAsia="en-GB"/>
        </w:rPr>
        <w:t>procedurave të realizuara me sukses për r</w:t>
      </w:r>
      <w:r w:rsidR="00760E3B" w:rsidRPr="0090436B">
        <w:rPr>
          <w:rFonts w:ascii="Times New Roman" w:hAnsi="Times New Roman"/>
          <w:sz w:val="24"/>
          <w:szCs w:val="24"/>
          <w:lang w:val="sq-AL" w:eastAsia="en-GB"/>
        </w:rPr>
        <w:t>i</w:t>
      </w:r>
      <w:r w:rsidR="00151109" w:rsidRPr="0090436B">
        <w:rPr>
          <w:rFonts w:ascii="Times New Roman" w:hAnsi="Times New Roman"/>
          <w:sz w:val="24"/>
          <w:szCs w:val="24"/>
          <w:lang w:val="sq-AL" w:eastAsia="en-GB"/>
        </w:rPr>
        <w:t xml:space="preserve">kuperimin e detyrimeve nga garancitë dhe nënhuatë; </w:t>
      </w:r>
    </w:p>
    <w:p w14:paraId="142225AB" w14:textId="16A1C2C9" w:rsidR="000D030E" w:rsidRPr="003F1295" w:rsidRDefault="0038144C" w:rsidP="000E7518">
      <w:pPr>
        <w:pStyle w:val="ListParagraph"/>
        <w:numPr>
          <w:ilvl w:val="0"/>
          <w:numId w:val="2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rPr>
          <w:rFonts w:ascii="Times New Roman" w:hAnsi="Times New Roman"/>
          <w:sz w:val="24"/>
          <w:szCs w:val="24"/>
          <w:lang w:val="sq-AL" w:eastAsia="en-GB"/>
        </w:rPr>
      </w:pPr>
      <w:r>
        <w:rPr>
          <w:rFonts w:ascii="Times New Roman" w:hAnsi="Times New Roman"/>
          <w:sz w:val="24"/>
          <w:szCs w:val="24"/>
          <w:lang w:val="sq-AL" w:eastAsia="en-GB"/>
        </w:rPr>
        <w:t>Numri i</w:t>
      </w:r>
      <w:r w:rsidR="00151109" w:rsidRPr="003F1295">
        <w:rPr>
          <w:rFonts w:ascii="Times New Roman" w:hAnsi="Times New Roman"/>
          <w:sz w:val="24"/>
          <w:szCs w:val="24"/>
          <w:lang w:val="sq-AL" w:eastAsia="en-GB"/>
        </w:rPr>
        <w:t xml:space="preserve"> subjekteve të mbikqyrur financiar</w:t>
      </w:r>
      <w:r w:rsidR="003F1295" w:rsidRPr="003F1295">
        <w:rPr>
          <w:rFonts w:ascii="Times New Roman" w:hAnsi="Times New Roman"/>
          <w:sz w:val="24"/>
          <w:szCs w:val="24"/>
          <w:lang w:val="sq-AL" w:eastAsia="en-GB"/>
        </w:rPr>
        <w:t>isht</w:t>
      </w:r>
      <w:r w:rsidR="00151109" w:rsidRPr="003F1295">
        <w:rPr>
          <w:rFonts w:ascii="Times New Roman" w:hAnsi="Times New Roman"/>
          <w:sz w:val="24"/>
          <w:szCs w:val="24"/>
          <w:lang w:val="sq-AL" w:eastAsia="en-GB"/>
        </w:rPr>
        <w:t xml:space="preserve"> të cilat kanë përfituar nga skemat e garancive, garancitë standarde dhe nënhuatë</w:t>
      </w:r>
      <w:r>
        <w:rPr>
          <w:rFonts w:ascii="Times New Roman" w:hAnsi="Times New Roman"/>
          <w:sz w:val="24"/>
          <w:szCs w:val="24"/>
          <w:lang w:val="sq-AL" w:eastAsia="en-GB"/>
        </w:rPr>
        <w:t>, krahasuar me periudh</w:t>
      </w:r>
      <w:r w:rsidR="0000672C">
        <w:rPr>
          <w:rFonts w:ascii="Times New Roman" w:hAnsi="Times New Roman"/>
          <w:sz w:val="24"/>
          <w:szCs w:val="24"/>
          <w:lang w:val="sq-AL" w:eastAsia="en-GB"/>
        </w:rPr>
        <w:t>ë</w:t>
      </w:r>
      <w:r>
        <w:rPr>
          <w:rFonts w:ascii="Times New Roman" w:hAnsi="Times New Roman"/>
          <w:sz w:val="24"/>
          <w:szCs w:val="24"/>
          <w:lang w:val="sq-AL" w:eastAsia="en-GB"/>
        </w:rPr>
        <w:t>n para nd</w:t>
      </w:r>
      <w:r w:rsidR="0000672C">
        <w:rPr>
          <w:rFonts w:ascii="Times New Roman" w:hAnsi="Times New Roman"/>
          <w:sz w:val="24"/>
          <w:szCs w:val="24"/>
          <w:lang w:val="sq-AL" w:eastAsia="en-GB"/>
        </w:rPr>
        <w:t>ë</w:t>
      </w:r>
      <w:r>
        <w:rPr>
          <w:rFonts w:ascii="Times New Roman" w:hAnsi="Times New Roman"/>
          <w:sz w:val="24"/>
          <w:szCs w:val="24"/>
          <w:lang w:val="sq-AL" w:eastAsia="en-GB"/>
        </w:rPr>
        <w:t>rmarrjes s</w:t>
      </w:r>
      <w:r w:rsidR="0000672C">
        <w:rPr>
          <w:rFonts w:ascii="Times New Roman" w:hAnsi="Times New Roman"/>
          <w:sz w:val="24"/>
          <w:szCs w:val="24"/>
          <w:lang w:val="sq-AL" w:eastAsia="en-GB"/>
        </w:rPr>
        <w:t>ë</w:t>
      </w:r>
      <w:r>
        <w:rPr>
          <w:rFonts w:ascii="Times New Roman" w:hAnsi="Times New Roman"/>
          <w:sz w:val="24"/>
          <w:szCs w:val="24"/>
          <w:lang w:val="sq-AL" w:eastAsia="en-GB"/>
        </w:rPr>
        <w:t xml:space="preserve"> politik</w:t>
      </w:r>
      <w:r w:rsidR="0000672C">
        <w:rPr>
          <w:rFonts w:ascii="Times New Roman" w:hAnsi="Times New Roman"/>
          <w:sz w:val="24"/>
          <w:szCs w:val="24"/>
          <w:lang w:val="sq-AL" w:eastAsia="en-GB"/>
        </w:rPr>
        <w:t>ës</w:t>
      </w:r>
      <w:r w:rsidR="00151109" w:rsidRPr="003F1295">
        <w:rPr>
          <w:rFonts w:ascii="Times New Roman" w:hAnsi="Times New Roman"/>
          <w:sz w:val="24"/>
          <w:szCs w:val="24"/>
          <w:lang w:val="sq-AL" w:eastAsia="en-GB"/>
        </w:rPr>
        <w:t>;</w:t>
      </w:r>
    </w:p>
    <w:bookmarkEnd w:id="0"/>
    <w:p w14:paraId="5CE950C2" w14:textId="77777777" w:rsidR="00C52734" w:rsidRDefault="00C52734" w:rsidP="00276B87">
      <w:pPr>
        <w:jc w:val="both"/>
        <w:rPr>
          <w:rFonts w:ascii="Times New Roman" w:hAnsi="Times New Roman"/>
          <w:b/>
          <w:bCs/>
          <w:sz w:val="24"/>
          <w:szCs w:val="24"/>
          <w:lang w:val="sq-AL"/>
        </w:rPr>
      </w:pPr>
    </w:p>
    <w:p w14:paraId="7DCC047B" w14:textId="77777777" w:rsidR="00C52734" w:rsidRDefault="00C52734" w:rsidP="00276B87">
      <w:pPr>
        <w:jc w:val="both"/>
        <w:rPr>
          <w:rFonts w:ascii="Times New Roman" w:hAnsi="Times New Roman"/>
          <w:b/>
          <w:bCs/>
          <w:sz w:val="24"/>
          <w:szCs w:val="24"/>
          <w:lang w:val="sq-AL"/>
        </w:rPr>
      </w:pPr>
    </w:p>
    <w:p w14:paraId="16D4EA02" w14:textId="77777777" w:rsidR="00C52734" w:rsidRDefault="00C52734" w:rsidP="00276B87">
      <w:pPr>
        <w:jc w:val="both"/>
        <w:rPr>
          <w:rFonts w:ascii="Times New Roman" w:hAnsi="Times New Roman"/>
          <w:b/>
          <w:bCs/>
          <w:sz w:val="24"/>
          <w:szCs w:val="24"/>
          <w:lang w:val="sq-AL"/>
        </w:rPr>
      </w:pPr>
    </w:p>
    <w:p w14:paraId="01220401" w14:textId="77777777" w:rsidR="00C52734" w:rsidRDefault="00C52734" w:rsidP="00276B87">
      <w:pPr>
        <w:jc w:val="both"/>
        <w:rPr>
          <w:rFonts w:ascii="Times New Roman" w:hAnsi="Times New Roman"/>
          <w:b/>
          <w:bCs/>
          <w:sz w:val="24"/>
          <w:szCs w:val="24"/>
          <w:lang w:val="sq-AL"/>
        </w:rPr>
      </w:pPr>
    </w:p>
    <w:p w14:paraId="11005376" w14:textId="77777777" w:rsidR="00C52734" w:rsidRDefault="00C52734" w:rsidP="00276B87">
      <w:pPr>
        <w:jc w:val="both"/>
        <w:rPr>
          <w:rFonts w:ascii="Times New Roman" w:hAnsi="Times New Roman"/>
          <w:b/>
          <w:bCs/>
          <w:sz w:val="24"/>
          <w:szCs w:val="24"/>
          <w:lang w:val="sq-AL"/>
        </w:rPr>
      </w:pPr>
    </w:p>
    <w:p w14:paraId="548E9914" w14:textId="77777777" w:rsidR="00C52734" w:rsidRDefault="00C52734" w:rsidP="00276B87">
      <w:pPr>
        <w:jc w:val="both"/>
        <w:rPr>
          <w:rFonts w:ascii="Times New Roman" w:hAnsi="Times New Roman"/>
          <w:b/>
          <w:bCs/>
          <w:sz w:val="24"/>
          <w:szCs w:val="24"/>
          <w:lang w:val="sq-AL"/>
        </w:rPr>
      </w:pPr>
    </w:p>
    <w:p w14:paraId="7D9376FB" w14:textId="77777777" w:rsidR="00C52734" w:rsidRDefault="00C52734" w:rsidP="00276B87">
      <w:pPr>
        <w:jc w:val="both"/>
        <w:rPr>
          <w:rFonts w:ascii="Times New Roman" w:hAnsi="Times New Roman"/>
          <w:b/>
          <w:bCs/>
          <w:sz w:val="24"/>
          <w:szCs w:val="24"/>
          <w:lang w:val="sq-AL"/>
        </w:rPr>
      </w:pPr>
    </w:p>
    <w:p w14:paraId="1D48741F" w14:textId="77777777" w:rsidR="00C52734" w:rsidRDefault="00C52734" w:rsidP="00276B87">
      <w:pPr>
        <w:jc w:val="both"/>
        <w:rPr>
          <w:rFonts w:ascii="Times New Roman" w:hAnsi="Times New Roman"/>
          <w:b/>
          <w:bCs/>
          <w:sz w:val="24"/>
          <w:szCs w:val="24"/>
          <w:lang w:val="sq-AL"/>
        </w:rPr>
      </w:pPr>
    </w:p>
    <w:p w14:paraId="7F9B8354" w14:textId="77777777" w:rsidR="00C52734" w:rsidRDefault="00C52734" w:rsidP="00276B87">
      <w:pPr>
        <w:jc w:val="both"/>
        <w:rPr>
          <w:rFonts w:ascii="Times New Roman" w:hAnsi="Times New Roman"/>
          <w:b/>
          <w:bCs/>
          <w:sz w:val="24"/>
          <w:szCs w:val="24"/>
          <w:lang w:val="sq-AL"/>
        </w:rPr>
      </w:pPr>
    </w:p>
    <w:p w14:paraId="0C0A24F4" w14:textId="77777777" w:rsidR="00C52734" w:rsidRDefault="00C52734" w:rsidP="00276B87">
      <w:pPr>
        <w:jc w:val="both"/>
        <w:rPr>
          <w:rFonts w:ascii="Times New Roman" w:hAnsi="Times New Roman"/>
          <w:b/>
          <w:bCs/>
          <w:sz w:val="24"/>
          <w:szCs w:val="24"/>
          <w:lang w:val="sq-AL"/>
        </w:rPr>
      </w:pPr>
    </w:p>
    <w:p w14:paraId="7C386CCB" w14:textId="77777777" w:rsidR="00C52734" w:rsidRDefault="00C52734" w:rsidP="00276B87">
      <w:pPr>
        <w:jc w:val="both"/>
        <w:rPr>
          <w:rFonts w:ascii="Times New Roman" w:hAnsi="Times New Roman"/>
          <w:b/>
          <w:bCs/>
          <w:sz w:val="24"/>
          <w:szCs w:val="24"/>
          <w:lang w:val="sq-AL"/>
        </w:rPr>
      </w:pPr>
    </w:p>
    <w:p w14:paraId="1BB2A4E1" w14:textId="77777777" w:rsidR="00C52734" w:rsidRDefault="00C52734" w:rsidP="00276B87">
      <w:pPr>
        <w:jc w:val="both"/>
        <w:rPr>
          <w:rFonts w:ascii="Times New Roman" w:hAnsi="Times New Roman"/>
          <w:b/>
          <w:bCs/>
          <w:sz w:val="24"/>
          <w:szCs w:val="24"/>
          <w:lang w:val="sq-AL"/>
        </w:rPr>
      </w:pPr>
    </w:p>
    <w:p w14:paraId="2F6C0C67" w14:textId="77777777" w:rsidR="00C52734" w:rsidRDefault="00C52734" w:rsidP="00276B87">
      <w:pPr>
        <w:jc w:val="both"/>
        <w:rPr>
          <w:rFonts w:ascii="Times New Roman" w:hAnsi="Times New Roman"/>
          <w:b/>
          <w:bCs/>
          <w:sz w:val="24"/>
          <w:szCs w:val="24"/>
          <w:lang w:val="sq-AL"/>
        </w:rPr>
      </w:pPr>
    </w:p>
    <w:p w14:paraId="5F249BE4" w14:textId="77777777" w:rsidR="00C52734" w:rsidRDefault="00C52734" w:rsidP="00276B87">
      <w:pPr>
        <w:jc w:val="both"/>
        <w:rPr>
          <w:rFonts w:ascii="Times New Roman" w:hAnsi="Times New Roman"/>
          <w:b/>
          <w:bCs/>
          <w:sz w:val="24"/>
          <w:szCs w:val="24"/>
          <w:lang w:val="sq-AL"/>
        </w:rPr>
      </w:pPr>
    </w:p>
    <w:p w14:paraId="4C845015" w14:textId="5155DFA5" w:rsidR="00E9407E" w:rsidRPr="00074443" w:rsidRDefault="00E9407E" w:rsidP="00074443">
      <w:pPr>
        <w:rPr>
          <w:rFonts w:ascii="Times New Roman" w:hAnsi="Times New Roman"/>
          <w:bCs/>
          <w:sz w:val="20"/>
          <w:lang w:val="sq-AL"/>
        </w:rPr>
      </w:pPr>
    </w:p>
    <w:p w14:paraId="791E10D6" w14:textId="0AEACC69" w:rsidR="00E9407E" w:rsidRDefault="00E9407E" w:rsidP="00526001">
      <w:pPr>
        <w:rPr>
          <w:rFonts w:ascii="Times New Roman" w:hAnsi="Times New Roman"/>
          <w:b/>
          <w:sz w:val="20"/>
          <w:lang w:val="sq-AL"/>
        </w:rPr>
      </w:pPr>
    </w:p>
    <w:p w14:paraId="4298C60B" w14:textId="6E51AC2A" w:rsidR="00E9407E" w:rsidRPr="00193A00" w:rsidRDefault="00E9407E" w:rsidP="00E9407E">
      <w:pPr>
        <w:spacing w:line="276" w:lineRule="auto"/>
        <w:jc w:val="both"/>
        <w:rPr>
          <w:rFonts w:ascii="Times New Roman" w:hAnsi="Times New Roman"/>
          <w:szCs w:val="24"/>
          <w:lang w:val="sq-AL"/>
        </w:rPr>
      </w:pPr>
      <w:r w:rsidRPr="00193A00">
        <w:rPr>
          <w:rFonts w:ascii="Times New Roman" w:hAnsi="Times New Roman"/>
          <w:b/>
          <w:szCs w:val="24"/>
          <w:lang w:val="sq-AL"/>
        </w:rPr>
        <w:t>Raporti i vlerësimit të ndikimit - Shtojca 2/a</w:t>
      </w:r>
    </w:p>
    <w:p w14:paraId="79F2600C" w14:textId="77777777" w:rsidR="00E9407E" w:rsidRPr="00325A1F" w:rsidRDefault="00E9407E" w:rsidP="00E9407E">
      <w:pPr>
        <w:spacing w:line="276" w:lineRule="auto"/>
        <w:rPr>
          <w:rStyle w:val="Strong"/>
          <w:b w:val="0"/>
          <w:szCs w:val="24"/>
          <w:lang w:val="sq-AL"/>
        </w:rPr>
      </w:pPr>
    </w:p>
    <w:p w14:paraId="4E46AB36" w14:textId="77777777" w:rsidR="00E9407E" w:rsidRPr="00193A00" w:rsidRDefault="00E9407E" w:rsidP="00E9407E">
      <w:pPr>
        <w:spacing w:line="276" w:lineRule="auto"/>
        <w:rPr>
          <w:rStyle w:val="Strong"/>
          <w:rFonts w:ascii="Times New Roman" w:hAnsi="Times New Roman"/>
          <w:sz w:val="20"/>
          <w:lang w:val="sq-AL"/>
        </w:rPr>
      </w:pPr>
      <w:r w:rsidRPr="00193A00">
        <w:rPr>
          <w:rStyle w:val="Strong"/>
          <w:rFonts w:ascii="Times New Roman" w:hAnsi="Times New Roman"/>
          <w:i/>
          <w:sz w:val="20"/>
          <w:lang w:val="sq-AL"/>
        </w:rPr>
        <w:t>Tabela: Vlera aktuale neto në total (VAN) - kostot dhe përfitimet me vlerë monetare të përcaktuar në milionë lekë e zbritur për 10 vjet (Vlera aktuale e kostos dhe vlera aktuale e përfitimit); krahasuar me status quo-në</w:t>
      </w:r>
      <w:r w:rsidRPr="00193A00">
        <w:rPr>
          <w:rStyle w:val="Strong"/>
          <w:rFonts w:ascii="Times New Roman" w:hAnsi="Times New Roman"/>
          <w:sz w:val="20"/>
          <w:lang w:val="sq-AL"/>
        </w:rPr>
        <w:t xml:space="preserve">.    </w:t>
      </w:r>
    </w:p>
    <w:p w14:paraId="4607157C" w14:textId="77777777" w:rsidR="00E9407E" w:rsidRDefault="00E9407E" w:rsidP="00E9407E">
      <w:pPr>
        <w:spacing w:line="276" w:lineRule="auto"/>
        <w:rPr>
          <w:rStyle w:val="Strong"/>
          <w:szCs w:val="24"/>
          <w:lang w:val="sq-AL"/>
        </w:rPr>
      </w:pPr>
    </w:p>
    <w:p w14:paraId="18D0083F" w14:textId="77777777" w:rsidR="00E9407E" w:rsidRDefault="00E9407E" w:rsidP="00E9407E">
      <w:pPr>
        <w:spacing w:line="276" w:lineRule="auto"/>
        <w:rPr>
          <w:rStyle w:val="Strong"/>
          <w:szCs w:val="24"/>
          <w:lang w:val="sq-AL"/>
        </w:rPr>
      </w:pPr>
    </w:p>
    <w:tbl>
      <w:tblPr>
        <w:tblStyle w:val="TableGrid"/>
        <w:tblW w:w="10027" w:type="dxa"/>
        <w:tblLook w:val="04A0" w:firstRow="1" w:lastRow="0" w:firstColumn="1" w:lastColumn="0" w:noHBand="0" w:noVBand="1"/>
      </w:tblPr>
      <w:tblGrid>
        <w:gridCol w:w="2085"/>
        <w:gridCol w:w="895"/>
        <w:gridCol w:w="775"/>
        <w:gridCol w:w="715"/>
        <w:gridCol w:w="775"/>
        <w:gridCol w:w="715"/>
        <w:gridCol w:w="836"/>
        <w:gridCol w:w="715"/>
        <w:gridCol w:w="836"/>
        <w:gridCol w:w="836"/>
        <w:gridCol w:w="844"/>
      </w:tblGrid>
      <w:tr w:rsidR="00E9407E" w:rsidRPr="00E139C5" w14:paraId="11E3E648" w14:textId="77777777" w:rsidTr="00074443">
        <w:trPr>
          <w:trHeight w:val="225"/>
        </w:trPr>
        <w:tc>
          <w:tcPr>
            <w:tcW w:w="2085" w:type="dxa"/>
            <w:shd w:val="clear" w:color="auto" w:fill="F2F2F2" w:themeFill="background1" w:themeFillShade="F2"/>
            <w:hideMark/>
          </w:tcPr>
          <w:p w14:paraId="2B0648B8" w14:textId="77777777" w:rsidR="00E9407E" w:rsidRPr="001155AF" w:rsidRDefault="00E9407E" w:rsidP="005B7795">
            <w:pPr>
              <w:spacing w:line="276" w:lineRule="auto"/>
              <w:rPr>
                <w:szCs w:val="24"/>
                <w:lang w:val="sq-AL"/>
              </w:rPr>
            </w:pPr>
            <w:r w:rsidRPr="001155AF">
              <w:rPr>
                <w:szCs w:val="24"/>
                <w:lang w:val="sq-AL"/>
              </w:rPr>
              <w:t> </w:t>
            </w:r>
          </w:p>
        </w:tc>
        <w:tc>
          <w:tcPr>
            <w:tcW w:w="895" w:type="dxa"/>
            <w:shd w:val="clear" w:color="auto" w:fill="F2F2F2" w:themeFill="background1" w:themeFillShade="F2"/>
            <w:hideMark/>
          </w:tcPr>
          <w:p w14:paraId="2B2093C9" w14:textId="77777777" w:rsidR="00E9407E" w:rsidRPr="00E139C5" w:rsidRDefault="00E9407E" w:rsidP="005B7795">
            <w:pPr>
              <w:spacing w:line="276" w:lineRule="auto"/>
              <w:ind w:left="-108" w:firstLine="108"/>
              <w:rPr>
                <w:b/>
                <w:bCs/>
                <w:szCs w:val="24"/>
              </w:rPr>
            </w:pPr>
            <w:r w:rsidRPr="001155AF">
              <w:rPr>
                <w:b/>
                <w:bCs/>
                <w:szCs w:val="24"/>
                <w:lang w:val="sq-AL"/>
              </w:rPr>
              <w:t xml:space="preserve"> </w:t>
            </w:r>
            <w:r w:rsidRPr="00E139C5">
              <w:rPr>
                <w:b/>
                <w:bCs/>
                <w:szCs w:val="24"/>
              </w:rPr>
              <w:t xml:space="preserve">Viti  1 </w:t>
            </w:r>
          </w:p>
        </w:tc>
        <w:tc>
          <w:tcPr>
            <w:tcW w:w="775" w:type="dxa"/>
            <w:shd w:val="clear" w:color="auto" w:fill="F2F2F2" w:themeFill="background1" w:themeFillShade="F2"/>
            <w:hideMark/>
          </w:tcPr>
          <w:p w14:paraId="1BD250CD" w14:textId="77777777" w:rsidR="00E9407E" w:rsidRPr="00E139C5" w:rsidRDefault="00E9407E" w:rsidP="005B7795">
            <w:pPr>
              <w:spacing w:line="276" w:lineRule="auto"/>
              <w:ind w:left="-108" w:firstLine="108"/>
              <w:rPr>
                <w:b/>
                <w:bCs/>
                <w:szCs w:val="24"/>
              </w:rPr>
            </w:pPr>
            <w:r w:rsidRPr="00E139C5">
              <w:rPr>
                <w:b/>
                <w:bCs/>
                <w:szCs w:val="24"/>
              </w:rPr>
              <w:t xml:space="preserve"> Viti 2 </w:t>
            </w:r>
          </w:p>
        </w:tc>
        <w:tc>
          <w:tcPr>
            <w:tcW w:w="715" w:type="dxa"/>
            <w:shd w:val="clear" w:color="auto" w:fill="F2F2F2" w:themeFill="background1" w:themeFillShade="F2"/>
            <w:hideMark/>
          </w:tcPr>
          <w:p w14:paraId="6E728696" w14:textId="77777777" w:rsidR="00E9407E" w:rsidRPr="00E139C5" w:rsidRDefault="00E9407E" w:rsidP="005B7795">
            <w:pPr>
              <w:spacing w:line="276" w:lineRule="auto"/>
              <w:rPr>
                <w:b/>
                <w:bCs/>
                <w:szCs w:val="24"/>
              </w:rPr>
            </w:pPr>
            <w:r w:rsidRPr="00E139C5">
              <w:rPr>
                <w:b/>
                <w:bCs/>
                <w:szCs w:val="24"/>
              </w:rPr>
              <w:t xml:space="preserve"> Viti 3 </w:t>
            </w:r>
          </w:p>
        </w:tc>
        <w:tc>
          <w:tcPr>
            <w:tcW w:w="775" w:type="dxa"/>
            <w:shd w:val="clear" w:color="auto" w:fill="F2F2F2" w:themeFill="background1" w:themeFillShade="F2"/>
            <w:hideMark/>
          </w:tcPr>
          <w:p w14:paraId="3AA21896" w14:textId="77777777" w:rsidR="00E9407E" w:rsidRPr="00E139C5" w:rsidRDefault="00E9407E" w:rsidP="005B7795">
            <w:pPr>
              <w:spacing w:line="276" w:lineRule="auto"/>
              <w:rPr>
                <w:b/>
                <w:bCs/>
                <w:szCs w:val="24"/>
              </w:rPr>
            </w:pPr>
            <w:r w:rsidRPr="00E139C5">
              <w:rPr>
                <w:b/>
                <w:bCs/>
                <w:szCs w:val="24"/>
              </w:rPr>
              <w:t xml:space="preserve"> Viti 4 </w:t>
            </w:r>
          </w:p>
        </w:tc>
        <w:tc>
          <w:tcPr>
            <w:tcW w:w="715" w:type="dxa"/>
            <w:shd w:val="clear" w:color="auto" w:fill="F2F2F2" w:themeFill="background1" w:themeFillShade="F2"/>
            <w:hideMark/>
          </w:tcPr>
          <w:p w14:paraId="77960223" w14:textId="77777777" w:rsidR="00E9407E" w:rsidRPr="00E139C5" w:rsidRDefault="00E9407E" w:rsidP="005B7795">
            <w:pPr>
              <w:spacing w:line="276" w:lineRule="auto"/>
              <w:rPr>
                <w:b/>
                <w:bCs/>
                <w:szCs w:val="24"/>
              </w:rPr>
            </w:pPr>
            <w:r w:rsidRPr="00E139C5">
              <w:rPr>
                <w:b/>
                <w:bCs/>
                <w:szCs w:val="24"/>
              </w:rPr>
              <w:t xml:space="preserve"> Viti 5 </w:t>
            </w:r>
          </w:p>
        </w:tc>
        <w:tc>
          <w:tcPr>
            <w:tcW w:w="836" w:type="dxa"/>
            <w:shd w:val="clear" w:color="auto" w:fill="F2F2F2" w:themeFill="background1" w:themeFillShade="F2"/>
            <w:hideMark/>
          </w:tcPr>
          <w:p w14:paraId="50DCFC23" w14:textId="77777777" w:rsidR="00E9407E" w:rsidRPr="00E139C5" w:rsidRDefault="00E9407E" w:rsidP="005B7795">
            <w:pPr>
              <w:spacing w:line="276" w:lineRule="auto"/>
              <w:rPr>
                <w:b/>
                <w:bCs/>
                <w:szCs w:val="24"/>
              </w:rPr>
            </w:pPr>
            <w:r w:rsidRPr="00E139C5">
              <w:rPr>
                <w:b/>
                <w:bCs/>
                <w:szCs w:val="24"/>
              </w:rPr>
              <w:t xml:space="preserve"> Viti 6 </w:t>
            </w:r>
          </w:p>
        </w:tc>
        <w:tc>
          <w:tcPr>
            <w:tcW w:w="715" w:type="dxa"/>
            <w:shd w:val="clear" w:color="auto" w:fill="F2F2F2" w:themeFill="background1" w:themeFillShade="F2"/>
            <w:hideMark/>
          </w:tcPr>
          <w:p w14:paraId="48C1BBA2" w14:textId="77777777" w:rsidR="00E9407E" w:rsidRPr="00E139C5" w:rsidRDefault="00E9407E" w:rsidP="005B7795">
            <w:pPr>
              <w:spacing w:line="276" w:lineRule="auto"/>
              <w:rPr>
                <w:b/>
                <w:bCs/>
                <w:szCs w:val="24"/>
              </w:rPr>
            </w:pPr>
            <w:r w:rsidRPr="00E139C5">
              <w:rPr>
                <w:b/>
                <w:bCs/>
                <w:szCs w:val="24"/>
              </w:rPr>
              <w:t xml:space="preserve"> Viti 7 </w:t>
            </w:r>
          </w:p>
        </w:tc>
        <w:tc>
          <w:tcPr>
            <w:tcW w:w="836" w:type="dxa"/>
            <w:shd w:val="clear" w:color="auto" w:fill="F2F2F2" w:themeFill="background1" w:themeFillShade="F2"/>
            <w:hideMark/>
          </w:tcPr>
          <w:p w14:paraId="4B48056D" w14:textId="77777777" w:rsidR="00E9407E" w:rsidRPr="00E139C5" w:rsidRDefault="00E9407E" w:rsidP="005B7795">
            <w:pPr>
              <w:spacing w:line="276" w:lineRule="auto"/>
              <w:rPr>
                <w:b/>
                <w:bCs/>
                <w:szCs w:val="24"/>
              </w:rPr>
            </w:pPr>
            <w:r w:rsidRPr="00E139C5">
              <w:rPr>
                <w:b/>
                <w:bCs/>
                <w:szCs w:val="24"/>
              </w:rPr>
              <w:t xml:space="preserve"> Viti 8 </w:t>
            </w:r>
          </w:p>
        </w:tc>
        <w:tc>
          <w:tcPr>
            <w:tcW w:w="836" w:type="dxa"/>
            <w:shd w:val="clear" w:color="auto" w:fill="F2F2F2" w:themeFill="background1" w:themeFillShade="F2"/>
            <w:hideMark/>
          </w:tcPr>
          <w:p w14:paraId="2504FCB1" w14:textId="77777777" w:rsidR="00E9407E" w:rsidRPr="00E139C5" w:rsidRDefault="00E9407E" w:rsidP="005B7795">
            <w:pPr>
              <w:spacing w:line="276" w:lineRule="auto"/>
              <w:rPr>
                <w:b/>
                <w:bCs/>
                <w:szCs w:val="24"/>
              </w:rPr>
            </w:pPr>
            <w:r w:rsidRPr="00E139C5">
              <w:rPr>
                <w:b/>
                <w:bCs/>
                <w:szCs w:val="24"/>
              </w:rPr>
              <w:t xml:space="preserve"> Viti 9 </w:t>
            </w:r>
          </w:p>
        </w:tc>
        <w:tc>
          <w:tcPr>
            <w:tcW w:w="841" w:type="dxa"/>
            <w:shd w:val="clear" w:color="auto" w:fill="F2F2F2" w:themeFill="background1" w:themeFillShade="F2"/>
            <w:hideMark/>
          </w:tcPr>
          <w:p w14:paraId="4B5EE0D3" w14:textId="77777777" w:rsidR="00E9407E" w:rsidRPr="00E139C5" w:rsidRDefault="00E9407E" w:rsidP="005B7795">
            <w:pPr>
              <w:spacing w:line="276" w:lineRule="auto"/>
              <w:rPr>
                <w:b/>
                <w:bCs/>
                <w:szCs w:val="24"/>
              </w:rPr>
            </w:pPr>
            <w:r w:rsidRPr="00E139C5">
              <w:rPr>
                <w:b/>
                <w:bCs/>
                <w:szCs w:val="24"/>
              </w:rPr>
              <w:t xml:space="preserve"> Viti 10 </w:t>
            </w:r>
          </w:p>
        </w:tc>
      </w:tr>
      <w:tr w:rsidR="00E9407E" w:rsidRPr="00E139C5" w14:paraId="3498F130" w14:textId="77777777" w:rsidTr="00074443">
        <w:trPr>
          <w:trHeight w:val="225"/>
        </w:trPr>
        <w:tc>
          <w:tcPr>
            <w:tcW w:w="2085" w:type="dxa"/>
            <w:shd w:val="clear" w:color="auto" w:fill="F2F2F2" w:themeFill="background1" w:themeFillShade="F2"/>
            <w:hideMark/>
          </w:tcPr>
          <w:p w14:paraId="6F0613A6" w14:textId="77777777" w:rsidR="00E9407E" w:rsidRPr="00074443" w:rsidRDefault="00E9407E" w:rsidP="005B7795">
            <w:pPr>
              <w:spacing w:line="276" w:lineRule="auto"/>
              <w:rPr>
                <w:rFonts w:ascii="Times New Roman" w:hAnsi="Times New Roman"/>
                <w:b/>
                <w:bCs/>
                <w:szCs w:val="24"/>
              </w:rPr>
            </w:pPr>
            <w:r w:rsidRPr="00074443">
              <w:rPr>
                <w:rFonts w:ascii="Times New Roman" w:hAnsi="Times New Roman"/>
                <w:b/>
                <w:bCs/>
                <w:szCs w:val="24"/>
              </w:rPr>
              <w:t xml:space="preserve">Faktori zbritës </w:t>
            </w:r>
          </w:p>
        </w:tc>
        <w:tc>
          <w:tcPr>
            <w:tcW w:w="895" w:type="dxa"/>
            <w:shd w:val="clear" w:color="auto" w:fill="F2F2F2" w:themeFill="background1" w:themeFillShade="F2"/>
            <w:hideMark/>
          </w:tcPr>
          <w:p w14:paraId="572CA9AF"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1.00 </w:t>
            </w:r>
          </w:p>
        </w:tc>
        <w:tc>
          <w:tcPr>
            <w:tcW w:w="775" w:type="dxa"/>
            <w:shd w:val="clear" w:color="auto" w:fill="F2F2F2" w:themeFill="background1" w:themeFillShade="F2"/>
            <w:hideMark/>
          </w:tcPr>
          <w:p w14:paraId="67768B71"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0.95 </w:t>
            </w:r>
          </w:p>
        </w:tc>
        <w:tc>
          <w:tcPr>
            <w:tcW w:w="715" w:type="dxa"/>
            <w:shd w:val="clear" w:color="auto" w:fill="F2F2F2" w:themeFill="background1" w:themeFillShade="F2"/>
            <w:hideMark/>
          </w:tcPr>
          <w:p w14:paraId="49D06B55"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0.91 </w:t>
            </w:r>
          </w:p>
        </w:tc>
        <w:tc>
          <w:tcPr>
            <w:tcW w:w="775" w:type="dxa"/>
            <w:shd w:val="clear" w:color="auto" w:fill="F2F2F2" w:themeFill="background1" w:themeFillShade="F2"/>
            <w:hideMark/>
          </w:tcPr>
          <w:p w14:paraId="5BB26A5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0.87 </w:t>
            </w:r>
          </w:p>
        </w:tc>
        <w:tc>
          <w:tcPr>
            <w:tcW w:w="715" w:type="dxa"/>
            <w:shd w:val="clear" w:color="auto" w:fill="F2F2F2" w:themeFill="background1" w:themeFillShade="F2"/>
            <w:hideMark/>
          </w:tcPr>
          <w:p w14:paraId="66A5F92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0.82 </w:t>
            </w:r>
          </w:p>
        </w:tc>
        <w:tc>
          <w:tcPr>
            <w:tcW w:w="836" w:type="dxa"/>
            <w:shd w:val="clear" w:color="auto" w:fill="F2F2F2" w:themeFill="background1" w:themeFillShade="F2"/>
            <w:hideMark/>
          </w:tcPr>
          <w:p w14:paraId="0854F2F7"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0.79 </w:t>
            </w:r>
          </w:p>
        </w:tc>
        <w:tc>
          <w:tcPr>
            <w:tcW w:w="715" w:type="dxa"/>
            <w:shd w:val="clear" w:color="auto" w:fill="F2F2F2" w:themeFill="background1" w:themeFillShade="F2"/>
            <w:hideMark/>
          </w:tcPr>
          <w:p w14:paraId="3DF9A96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0.75 </w:t>
            </w:r>
          </w:p>
        </w:tc>
        <w:tc>
          <w:tcPr>
            <w:tcW w:w="836" w:type="dxa"/>
            <w:shd w:val="clear" w:color="auto" w:fill="F2F2F2" w:themeFill="background1" w:themeFillShade="F2"/>
            <w:hideMark/>
          </w:tcPr>
          <w:p w14:paraId="2DE391D5"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0.71 </w:t>
            </w:r>
          </w:p>
        </w:tc>
        <w:tc>
          <w:tcPr>
            <w:tcW w:w="836" w:type="dxa"/>
            <w:shd w:val="clear" w:color="auto" w:fill="F2F2F2" w:themeFill="background1" w:themeFillShade="F2"/>
            <w:hideMark/>
          </w:tcPr>
          <w:p w14:paraId="0E5E569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0.68 </w:t>
            </w:r>
          </w:p>
        </w:tc>
        <w:tc>
          <w:tcPr>
            <w:tcW w:w="841" w:type="dxa"/>
            <w:shd w:val="clear" w:color="auto" w:fill="F2F2F2" w:themeFill="background1" w:themeFillShade="F2"/>
            <w:hideMark/>
          </w:tcPr>
          <w:p w14:paraId="542BEFB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0.65 </w:t>
            </w:r>
          </w:p>
        </w:tc>
      </w:tr>
      <w:tr w:rsidR="00E9407E" w:rsidRPr="00E139C5" w14:paraId="580E7E60" w14:textId="77777777" w:rsidTr="00074443">
        <w:trPr>
          <w:trHeight w:val="225"/>
        </w:trPr>
        <w:tc>
          <w:tcPr>
            <w:tcW w:w="2085" w:type="dxa"/>
            <w:hideMark/>
          </w:tcPr>
          <w:p w14:paraId="6A699BDF"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Kosto për buxhetin - një herë</w:t>
            </w:r>
          </w:p>
        </w:tc>
        <w:tc>
          <w:tcPr>
            <w:tcW w:w="895" w:type="dxa"/>
            <w:hideMark/>
          </w:tcPr>
          <w:p w14:paraId="708DA741"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6              </w:t>
            </w:r>
          </w:p>
        </w:tc>
        <w:tc>
          <w:tcPr>
            <w:tcW w:w="775" w:type="dxa"/>
            <w:hideMark/>
          </w:tcPr>
          <w:p w14:paraId="05566260" w14:textId="77777777" w:rsidR="00E9407E" w:rsidRPr="001F539C" w:rsidRDefault="00E9407E" w:rsidP="005B7795">
            <w:pPr>
              <w:spacing w:line="276" w:lineRule="auto"/>
              <w:ind w:left="-108" w:firstLine="108"/>
              <w:jc w:val="right"/>
              <w:rPr>
                <w:szCs w:val="24"/>
              </w:rPr>
            </w:pPr>
          </w:p>
        </w:tc>
        <w:tc>
          <w:tcPr>
            <w:tcW w:w="715" w:type="dxa"/>
            <w:hideMark/>
          </w:tcPr>
          <w:p w14:paraId="5E08B6CB" w14:textId="77777777" w:rsidR="00E9407E" w:rsidRPr="001F539C" w:rsidRDefault="00E9407E" w:rsidP="005B7795">
            <w:pPr>
              <w:spacing w:line="276" w:lineRule="auto"/>
              <w:jc w:val="right"/>
              <w:rPr>
                <w:szCs w:val="24"/>
              </w:rPr>
            </w:pPr>
          </w:p>
        </w:tc>
        <w:tc>
          <w:tcPr>
            <w:tcW w:w="775" w:type="dxa"/>
            <w:hideMark/>
          </w:tcPr>
          <w:p w14:paraId="0F597340" w14:textId="77777777" w:rsidR="00E9407E" w:rsidRPr="001F539C" w:rsidRDefault="00E9407E" w:rsidP="005B7795">
            <w:pPr>
              <w:spacing w:line="276" w:lineRule="auto"/>
              <w:jc w:val="right"/>
              <w:rPr>
                <w:szCs w:val="24"/>
              </w:rPr>
            </w:pPr>
          </w:p>
        </w:tc>
        <w:tc>
          <w:tcPr>
            <w:tcW w:w="715" w:type="dxa"/>
            <w:hideMark/>
          </w:tcPr>
          <w:p w14:paraId="75A70822" w14:textId="77777777" w:rsidR="00E9407E" w:rsidRPr="001F539C" w:rsidRDefault="00E9407E" w:rsidP="005B7795">
            <w:pPr>
              <w:spacing w:line="276" w:lineRule="auto"/>
              <w:jc w:val="right"/>
              <w:rPr>
                <w:szCs w:val="24"/>
              </w:rPr>
            </w:pPr>
          </w:p>
        </w:tc>
        <w:tc>
          <w:tcPr>
            <w:tcW w:w="836" w:type="dxa"/>
            <w:hideMark/>
          </w:tcPr>
          <w:p w14:paraId="23EFEECC" w14:textId="77777777" w:rsidR="00E9407E" w:rsidRPr="001F539C" w:rsidRDefault="00E9407E" w:rsidP="005B7795">
            <w:pPr>
              <w:spacing w:line="276" w:lineRule="auto"/>
              <w:jc w:val="right"/>
              <w:rPr>
                <w:szCs w:val="24"/>
              </w:rPr>
            </w:pPr>
          </w:p>
        </w:tc>
        <w:tc>
          <w:tcPr>
            <w:tcW w:w="715" w:type="dxa"/>
            <w:hideMark/>
          </w:tcPr>
          <w:p w14:paraId="46A8D80F" w14:textId="77777777" w:rsidR="00E9407E" w:rsidRPr="001F539C" w:rsidRDefault="00E9407E" w:rsidP="005B7795">
            <w:pPr>
              <w:spacing w:line="276" w:lineRule="auto"/>
              <w:jc w:val="right"/>
              <w:rPr>
                <w:szCs w:val="24"/>
              </w:rPr>
            </w:pPr>
          </w:p>
        </w:tc>
        <w:tc>
          <w:tcPr>
            <w:tcW w:w="836" w:type="dxa"/>
            <w:hideMark/>
          </w:tcPr>
          <w:p w14:paraId="56758A05" w14:textId="77777777" w:rsidR="00E9407E" w:rsidRPr="001F539C" w:rsidRDefault="00E9407E" w:rsidP="005B7795">
            <w:pPr>
              <w:spacing w:line="276" w:lineRule="auto"/>
              <w:jc w:val="right"/>
              <w:rPr>
                <w:szCs w:val="24"/>
              </w:rPr>
            </w:pPr>
          </w:p>
        </w:tc>
        <w:tc>
          <w:tcPr>
            <w:tcW w:w="836" w:type="dxa"/>
            <w:hideMark/>
          </w:tcPr>
          <w:p w14:paraId="763CC219" w14:textId="77777777" w:rsidR="00E9407E" w:rsidRPr="001F539C" w:rsidRDefault="00E9407E" w:rsidP="005B7795">
            <w:pPr>
              <w:spacing w:line="276" w:lineRule="auto"/>
              <w:jc w:val="right"/>
              <w:rPr>
                <w:szCs w:val="24"/>
              </w:rPr>
            </w:pPr>
          </w:p>
        </w:tc>
        <w:tc>
          <w:tcPr>
            <w:tcW w:w="841" w:type="dxa"/>
            <w:hideMark/>
          </w:tcPr>
          <w:p w14:paraId="13EF2296" w14:textId="77777777" w:rsidR="00E9407E" w:rsidRPr="001F539C" w:rsidRDefault="00E9407E" w:rsidP="005B7795">
            <w:pPr>
              <w:spacing w:line="276" w:lineRule="auto"/>
              <w:jc w:val="right"/>
              <w:rPr>
                <w:szCs w:val="24"/>
              </w:rPr>
            </w:pPr>
          </w:p>
        </w:tc>
      </w:tr>
      <w:tr w:rsidR="00E9407E" w:rsidRPr="00E139C5" w14:paraId="3098E3CA" w14:textId="77777777" w:rsidTr="00074443">
        <w:trPr>
          <w:trHeight w:val="225"/>
        </w:trPr>
        <w:tc>
          <w:tcPr>
            <w:tcW w:w="2085" w:type="dxa"/>
          </w:tcPr>
          <w:p w14:paraId="3F131752"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Automjet shtesë</w:t>
            </w:r>
          </w:p>
        </w:tc>
        <w:tc>
          <w:tcPr>
            <w:tcW w:w="895" w:type="dxa"/>
          </w:tcPr>
          <w:p w14:paraId="5A727496"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2</w:t>
            </w:r>
          </w:p>
        </w:tc>
        <w:tc>
          <w:tcPr>
            <w:tcW w:w="775" w:type="dxa"/>
          </w:tcPr>
          <w:p w14:paraId="73EF897D" w14:textId="77777777" w:rsidR="00E9407E" w:rsidRPr="001F539C" w:rsidRDefault="00E9407E" w:rsidP="005B7795">
            <w:pPr>
              <w:spacing w:line="276" w:lineRule="auto"/>
              <w:ind w:left="-108" w:firstLine="108"/>
              <w:jc w:val="right"/>
              <w:rPr>
                <w:szCs w:val="24"/>
              </w:rPr>
            </w:pPr>
          </w:p>
        </w:tc>
        <w:tc>
          <w:tcPr>
            <w:tcW w:w="715" w:type="dxa"/>
          </w:tcPr>
          <w:p w14:paraId="477A68EF" w14:textId="77777777" w:rsidR="00E9407E" w:rsidRPr="001F539C" w:rsidRDefault="00E9407E" w:rsidP="005B7795">
            <w:pPr>
              <w:spacing w:line="276" w:lineRule="auto"/>
              <w:jc w:val="right"/>
              <w:rPr>
                <w:szCs w:val="24"/>
              </w:rPr>
            </w:pPr>
          </w:p>
        </w:tc>
        <w:tc>
          <w:tcPr>
            <w:tcW w:w="775" w:type="dxa"/>
          </w:tcPr>
          <w:p w14:paraId="3E1881A6" w14:textId="77777777" w:rsidR="00E9407E" w:rsidRPr="001F539C" w:rsidRDefault="00E9407E" w:rsidP="005B7795">
            <w:pPr>
              <w:spacing w:line="276" w:lineRule="auto"/>
              <w:jc w:val="right"/>
              <w:rPr>
                <w:szCs w:val="24"/>
              </w:rPr>
            </w:pPr>
          </w:p>
        </w:tc>
        <w:tc>
          <w:tcPr>
            <w:tcW w:w="715" w:type="dxa"/>
          </w:tcPr>
          <w:p w14:paraId="4D329B90" w14:textId="77777777" w:rsidR="00E9407E" w:rsidRPr="001F539C" w:rsidRDefault="00E9407E" w:rsidP="005B7795">
            <w:pPr>
              <w:spacing w:line="276" w:lineRule="auto"/>
              <w:jc w:val="right"/>
              <w:rPr>
                <w:szCs w:val="24"/>
              </w:rPr>
            </w:pPr>
          </w:p>
        </w:tc>
        <w:tc>
          <w:tcPr>
            <w:tcW w:w="836" w:type="dxa"/>
          </w:tcPr>
          <w:p w14:paraId="2986D07C" w14:textId="77777777" w:rsidR="00E9407E" w:rsidRPr="001F539C" w:rsidRDefault="00E9407E" w:rsidP="005B7795">
            <w:pPr>
              <w:spacing w:line="276" w:lineRule="auto"/>
              <w:jc w:val="right"/>
              <w:rPr>
                <w:szCs w:val="24"/>
              </w:rPr>
            </w:pPr>
          </w:p>
        </w:tc>
        <w:tc>
          <w:tcPr>
            <w:tcW w:w="715" w:type="dxa"/>
          </w:tcPr>
          <w:p w14:paraId="33F8F17A" w14:textId="77777777" w:rsidR="00E9407E" w:rsidRPr="001F539C" w:rsidRDefault="00E9407E" w:rsidP="005B7795">
            <w:pPr>
              <w:spacing w:line="276" w:lineRule="auto"/>
              <w:jc w:val="right"/>
              <w:rPr>
                <w:szCs w:val="24"/>
              </w:rPr>
            </w:pPr>
          </w:p>
        </w:tc>
        <w:tc>
          <w:tcPr>
            <w:tcW w:w="836" w:type="dxa"/>
          </w:tcPr>
          <w:p w14:paraId="70549349" w14:textId="77777777" w:rsidR="00E9407E" w:rsidRPr="001F539C" w:rsidRDefault="00E9407E" w:rsidP="005B7795">
            <w:pPr>
              <w:spacing w:line="276" w:lineRule="auto"/>
              <w:jc w:val="right"/>
              <w:rPr>
                <w:szCs w:val="24"/>
              </w:rPr>
            </w:pPr>
          </w:p>
        </w:tc>
        <w:tc>
          <w:tcPr>
            <w:tcW w:w="836" w:type="dxa"/>
          </w:tcPr>
          <w:p w14:paraId="77A339AC" w14:textId="77777777" w:rsidR="00E9407E" w:rsidRPr="001F539C" w:rsidRDefault="00E9407E" w:rsidP="005B7795">
            <w:pPr>
              <w:spacing w:line="276" w:lineRule="auto"/>
              <w:jc w:val="right"/>
              <w:rPr>
                <w:szCs w:val="24"/>
              </w:rPr>
            </w:pPr>
          </w:p>
        </w:tc>
        <w:tc>
          <w:tcPr>
            <w:tcW w:w="841" w:type="dxa"/>
          </w:tcPr>
          <w:p w14:paraId="4BE879E3" w14:textId="77777777" w:rsidR="00E9407E" w:rsidRPr="001F539C" w:rsidRDefault="00E9407E" w:rsidP="005B7795">
            <w:pPr>
              <w:spacing w:line="276" w:lineRule="auto"/>
              <w:jc w:val="right"/>
              <w:rPr>
                <w:szCs w:val="24"/>
              </w:rPr>
            </w:pPr>
          </w:p>
        </w:tc>
      </w:tr>
      <w:tr w:rsidR="00E9407E" w:rsidRPr="00E139C5" w14:paraId="0B0DC724" w14:textId="77777777" w:rsidTr="00074443">
        <w:trPr>
          <w:trHeight w:val="225"/>
        </w:trPr>
        <w:tc>
          <w:tcPr>
            <w:tcW w:w="2085" w:type="dxa"/>
          </w:tcPr>
          <w:p w14:paraId="74678C8E"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Sistem i ri i kredive/upgrade</w:t>
            </w:r>
          </w:p>
        </w:tc>
        <w:tc>
          <w:tcPr>
            <w:tcW w:w="895" w:type="dxa"/>
          </w:tcPr>
          <w:p w14:paraId="43880B10"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4</w:t>
            </w:r>
          </w:p>
        </w:tc>
        <w:tc>
          <w:tcPr>
            <w:tcW w:w="775" w:type="dxa"/>
          </w:tcPr>
          <w:p w14:paraId="551D38CE" w14:textId="77777777" w:rsidR="00E9407E" w:rsidRPr="001F539C" w:rsidRDefault="00E9407E" w:rsidP="005B7795">
            <w:pPr>
              <w:spacing w:line="276" w:lineRule="auto"/>
              <w:ind w:left="-108" w:firstLine="108"/>
              <w:jc w:val="right"/>
              <w:rPr>
                <w:szCs w:val="24"/>
              </w:rPr>
            </w:pPr>
          </w:p>
        </w:tc>
        <w:tc>
          <w:tcPr>
            <w:tcW w:w="715" w:type="dxa"/>
          </w:tcPr>
          <w:p w14:paraId="5D19286D" w14:textId="77777777" w:rsidR="00E9407E" w:rsidRPr="001F539C" w:rsidRDefault="00E9407E" w:rsidP="005B7795">
            <w:pPr>
              <w:spacing w:line="276" w:lineRule="auto"/>
              <w:jc w:val="right"/>
              <w:rPr>
                <w:szCs w:val="24"/>
              </w:rPr>
            </w:pPr>
          </w:p>
        </w:tc>
        <w:tc>
          <w:tcPr>
            <w:tcW w:w="775" w:type="dxa"/>
          </w:tcPr>
          <w:p w14:paraId="2930C586" w14:textId="77777777" w:rsidR="00E9407E" w:rsidRPr="001F539C" w:rsidRDefault="00E9407E" w:rsidP="005B7795">
            <w:pPr>
              <w:spacing w:line="276" w:lineRule="auto"/>
              <w:jc w:val="right"/>
              <w:rPr>
                <w:szCs w:val="24"/>
              </w:rPr>
            </w:pPr>
          </w:p>
        </w:tc>
        <w:tc>
          <w:tcPr>
            <w:tcW w:w="715" w:type="dxa"/>
          </w:tcPr>
          <w:p w14:paraId="4F167D0C" w14:textId="77777777" w:rsidR="00E9407E" w:rsidRPr="001F539C" w:rsidRDefault="00E9407E" w:rsidP="005B7795">
            <w:pPr>
              <w:spacing w:line="276" w:lineRule="auto"/>
              <w:jc w:val="right"/>
              <w:rPr>
                <w:szCs w:val="24"/>
              </w:rPr>
            </w:pPr>
          </w:p>
        </w:tc>
        <w:tc>
          <w:tcPr>
            <w:tcW w:w="836" w:type="dxa"/>
          </w:tcPr>
          <w:p w14:paraId="2CC80742" w14:textId="77777777" w:rsidR="00E9407E" w:rsidRPr="001F539C" w:rsidRDefault="00E9407E" w:rsidP="005B7795">
            <w:pPr>
              <w:spacing w:line="276" w:lineRule="auto"/>
              <w:jc w:val="right"/>
              <w:rPr>
                <w:szCs w:val="24"/>
              </w:rPr>
            </w:pPr>
          </w:p>
        </w:tc>
        <w:tc>
          <w:tcPr>
            <w:tcW w:w="715" w:type="dxa"/>
          </w:tcPr>
          <w:p w14:paraId="10CB36E9" w14:textId="77777777" w:rsidR="00E9407E" w:rsidRPr="001F539C" w:rsidRDefault="00E9407E" w:rsidP="005B7795">
            <w:pPr>
              <w:spacing w:line="276" w:lineRule="auto"/>
              <w:jc w:val="right"/>
              <w:rPr>
                <w:szCs w:val="24"/>
              </w:rPr>
            </w:pPr>
          </w:p>
        </w:tc>
        <w:tc>
          <w:tcPr>
            <w:tcW w:w="836" w:type="dxa"/>
          </w:tcPr>
          <w:p w14:paraId="5F064A81" w14:textId="77777777" w:rsidR="00E9407E" w:rsidRPr="001F539C" w:rsidRDefault="00E9407E" w:rsidP="005B7795">
            <w:pPr>
              <w:spacing w:line="276" w:lineRule="auto"/>
              <w:jc w:val="right"/>
              <w:rPr>
                <w:szCs w:val="24"/>
              </w:rPr>
            </w:pPr>
          </w:p>
        </w:tc>
        <w:tc>
          <w:tcPr>
            <w:tcW w:w="836" w:type="dxa"/>
          </w:tcPr>
          <w:p w14:paraId="0F652A1B" w14:textId="77777777" w:rsidR="00E9407E" w:rsidRPr="001F539C" w:rsidRDefault="00E9407E" w:rsidP="005B7795">
            <w:pPr>
              <w:spacing w:line="276" w:lineRule="auto"/>
              <w:jc w:val="right"/>
              <w:rPr>
                <w:szCs w:val="24"/>
              </w:rPr>
            </w:pPr>
          </w:p>
        </w:tc>
        <w:tc>
          <w:tcPr>
            <w:tcW w:w="841" w:type="dxa"/>
          </w:tcPr>
          <w:p w14:paraId="370D0F39" w14:textId="77777777" w:rsidR="00E9407E" w:rsidRPr="001F539C" w:rsidRDefault="00E9407E" w:rsidP="005B7795">
            <w:pPr>
              <w:spacing w:line="276" w:lineRule="auto"/>
              <w:jc w:val="right"/>
              <w:rPr>
                <w:szCs w:val="24"/>
              </w:rPr>
            </w:pPr>
          </w:p>
        </w:tc>
      </w:tr>
      <w:tr w:rsidR="00E9407E" w:rsidRPr="00E139C5" w14:paraId="58F6EBCF" w14:textId="77777777" w:rsidTr="00074443">
        <w:trPr>
          <w:trHeight w:val="225"/>
        </w:trPr>
        <w:tc>
          <w:tcPr>
            <w:tcW w:w="2085" w:type="dxa"/>
            <w:hideMark/>
          </w:tcPr>
          <w:p w14:paraId="2A9D63DB"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Kosto për buxhetin - në vazhdimësi</w:t>
            </w:r>
          </w:p>
        </w:tc>
        <w:tc>
          <w:tcPr>
            <w:tcW w:w="895" w:type="dxa"/>
            <w:hideMark/>
          </w:tcPr>
          <w:p w14:paraId="730C8FBD"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75" w:type="dxa"/>
            <w:hideMark/>
          </w:tcPr>
          <w:p w14:paraId="43F334EE"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64425E4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75" w:type="dxa"/>
            <w:hideMark/>
          </w:tcPr>
          <w:p w14:paraId="6126F4F9"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2E90DCF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067A71F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2271B51E"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7F3E0AD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0A32331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41" w:type="dxa"/>
            <w:hideMark/>
          </w:tcPr>
          <w:p w14:paraId="42DDFB1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r>
      <w:tr w:rsidR="00E9407E" w:rsidRPr="00E139C5" w14:paraId="1CD84568" w14:textId="77777777" w:rsidTr="00074443">
        <w:trPr>
          <w:trHeight w:val="225"/>
        </w:trPr>
        <w:tc>
          <w:tcPr>
            <w:tcW w:w="2085" w:type="dxa"/>
            <w:hideMark/>
          </w:tcPr>
          <w:p w14:paraId="13C15C76"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 xml:space="preserve">Kosto për bizneset - një herë </w:t>
            </w:r>
          </w:p>
        </w:tc>
        <w:tc>
          <w:tcPr>
            <w:tcW w:w="895" w:type="dxa"/>
            <w:hideMark/>
          </w:tcPr>
          <w:p w14:paraId="7C04E2CC"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75" w:type="dxa"/>
            <w:hideMark/>
          </w:tcPr>
          <w:p w14:paraId="627D9455"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0</w:t>
            </w:r>
          </w:p>
        </w:tc>
        <w:tc>
          <w:tcPr>
            <w:tcW w:w="715" w:type="dxa"/>
            <w:hideMark/>
          </w:tcPr>
          <w:p w14:paraId="06B0743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775" w:type="dxa"/>
            <w:hideMark/>
          </w:tcPr>
          <w:p w14:paraId="3A666A8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715" w:type="dxa"/>
            <w:hideMark/>
          </w:tcPr>
          <w:p w14:paraId="0612422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836" w:type="dxa"/>
            <w:hideMark/>
          </w:tcPr>
          <w:p w14:paraId="0581462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715" w:type="dxa"/>
            <w:hideMark/>
          </w:tcPr>
          <w:p w14:paraId="4B6C706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836" w:type="dxa"/>
            <w:hideMark/>
          </w:tcPr>
          <w:p w14:paraId="1A1FED8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836" w:type="dxa"/>
            <w:hideMark/>
          </w:tcPr>
          <w:p w14:paraId="55E898B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c>
          <w:tcPr>
            <w:tcW w:w="841" w:type="dxa"/>
            <w:hideMark/>
          </w:tcPr>
          <w:p w14:paraId="5738105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0</w:t>
            </w:r>
          </w:p>
        </w:tc>
      </w:tr>
      <w:tr w:rsidR="00E9407E" w:rsidRPr="00E139C5" w14:paraId="77D6094C" w14:textId="77777777" w:rsidTr="00074443">
        <w:trPr>
          <w:trHeight w:val="225"/>
        </w:trPr>
        <w:tc>
          <w:tcPr>
            <w:tcW w:w="2085" w:type="dxa"/>
            <w:hideMark/>
          </w:tcPr>
          <w:p w14:paraId="2FEB7229"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Kosto për bizneset - në vazhdimësi</w:t>
            </w:r>
          </w:p>
        </w:tc>
        <w:tc>
          <w:tcPr>
            <w:tcW w:w="895" w:type="dxa"/>
            <w:hideMark/>
          </w:tcPr>
          <w:p w14:paraId="76875E64"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75" w:type="dxa"/>
            <w:hideMark/>
          </w:tcPr>
          <w:p w14:paraId="423D17D1"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3CC77F9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75" w:type="dxa"/>
            <w:hideMark/>
          </w:tcPr>
          <w:p w14:paraId="4C75EB4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0         </w:t>
            </w:r>
          </w:p>
        </w:tc>
        <w:tc>
          <w:tcPr>
            <w:tcW w:w="715" w:type="dxa"/>
            <w:hideMark/>
          </w:tcPr>
          <w:p w14:paraId="62D05B4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6E49E9F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24A16D4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5FEA918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44DD426E"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41" w:type="dxa"/>
            <w:hideMark/>
          </w:tcPr>
          <w:p w14:paraId="774A48C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r>
      <w:tr w:rsidR="00E9407E" w:rsidRPr="001155AF" w14:paraId="72E338A7" w14:textId="77777777" w:rsidTr="00074443">
        <w:trPr>
          <w:trHeight w:val="225"/>
        </w:trPr>
        <w:tc>
          <w:tcPr>
            <w:tcW w:w="2085" w:type="dxa"/>
            <w:hideMark/>
          </w:tcPr>
          <w:p w14:paraId="692FAC1B" w14:textId="77777777" w:rsidR="00E9407E" w:rsidRPr="00074443" w:rsidRDefault="00E9407E" w:rsidP="005B7795">
            <w:pPr>
              <w:spacing w:line="276" w:lineRule="auto"/>
              <w:rPr>
                <w:rFonts w:ascii="Times New Roman" w:hAnsi="Times New Roman"/>
                <w:szCs w:val="24"/>
                <w:lang w:val="it-IT"/>
              </w:rPr>
            </w:pPr>
            <w:r w:rsidRPr="00074443">
              <w:rPr>
                <w:rFonts w:ascii="Times New Roman" w:hAnsi="Times New Roman"/>
                <w:szCs w:val="24"/>
                <w:lang w:val="it-IT"/>
              </w:rPr>
              <w:t>Kosto për grupet e tjera - një herë</w:t>
            </w:r>
          </w:p>
        </w:tc>
        <w:tc>
          <w:tcPr>
            <w:tcW w:w="895" w:type="dxa"/>
            <w:hideMark/>
          </w:tcPr>
          <w:p w14:paraId="64EA7F9E" w14:textId="77777777" w:rsidR="00E9407E" w:rsidRPr="00074443" w:rsidRDefault="00E9407E" w:rsidP="005B7795">
            <w:pPr>
              <w:spacing w:line="276" w:lineRule="auto"/>
              <w:ind w:left="-108" w:firstLine="108"/>
              <w:jc w:val="right"/>
              <w:rPr>
                <w:rFonts w:ascii="Times New Roman" w:hAnsi="Times New Roman"/>
                <w:szCs w:val="24"/>
                <w:lang w:val="it-IT"/>
              </w:rPr>
            </w:pPr>
            <w:r w:rsidRPr="00074443">
              <w:rPr>
                <w:rFonts w:ascii="Times New Roman" w:hAnsi="Times New Roman"/>
                <w:szCs w:val="24"/>
                <w:lang w:val="it-IT"/>
              </w:rPr>
              <w:t>0 </w:t>
            </w:r>
          </w:p>
        </w:tc>
        <w:tc>
          <w:tcPr>
            <w:tcW w:w="775" w:type="dxa"/>
            <w:hideMark/>
          </w:tcPr>
          <w:p w14:paraId="132EBB40" w14:textId="77777777" w:rsidR="00E9407E" w:rsidRPr="00074443" w:rsidRDefault="00E9407E" w:rsidP="005B7795">
            <w:pPr>
              <w:spacing w:line="276" w:lineRule="auto"/>
              <w:ind w:left="-108" w:firstLine="108"/>
              <w:jc w:val="right"/>
              <w:rPr>
                <w:rFonts w:ascii="Times New Roman" w:hAnsi="Times New Roman"/>
                <w:szCs w:val="24"/>
                <w:lang w:val="it-IT"/>
              </w:rPr>
            </w:pPr>
            <w:r w:rsidRPr="00074443">
              <w:rPr>
                <w:rFonts w:ascii="Times New Roman" w:hAnsi="Times New Roman"/>
                <w:szCs w:val="24"/>
                <w:lang w:val="it-IT"/>
              </w:rPr>
              <w:t>0</w:t>
            </w:r>
          </w:p>
        </w:tc>
        <w:tc>
          <w:tcPr>
            <w:tcW w:w="715" w:type="dxa"/>
            <w:hideMark/>
          </w:tcPr>
          <w:p w14:paraId="02D23A7B"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75" w:type="dxa"/>
            <w:hideMark/>
          </w:tcPr>
          <w:p w14:paraId="561A24F3"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15" w:type="dxa"/>
            <w:hideMark/>
          </w:tcPr>
          <w:p w14:paraId="440854D2"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0EAAE544"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15" w:type="dxa"/>
            <w:hideMark/>
          </w:tcPr>
          <w:p w14:paraId="4D2A2789"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653B97B2"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3A377B34"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41" w:type="dxa"/>
            <w:hideMark/>
          </w:tcPr>
          <w:p w14:paraId="7D7E572C"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r>
      <w:tr w:rsidR="00E9407E" w:rsidRPr="001155AF" w14:paraId="79115725" w14:textId="77777777" w:rsidTr="00074443">
        <w:trPr>
          <w:trHeight w:val="239"/>
        </w:trPr>
        <w:tc>
          <w:tcPr>
            <w:tcW w:w="2085" w:type="dxa"/>
            <w:hideMark/>
          </w:tcPr>
          <w:p w14:paraId="120160AC" w14:textId="77777777" w:rsidR="00E9407E" w:rsidRPr="00074443" w:rsidRDefault="00E9407E" w:rsidP="005B7795">
            <w:pPr>
              <w:spacing w:line="276" w:lineRule="auto"/>
              <w:rPr>
                <w:rFonts w:ascii="Times New Roman" w:hAnsi="Times New Roman"/>
                <w:szCs w:val="24"/>
                <w:lang w:val="it-IT"/>
              </w:rPr>
            </w:pPr>
            <w:r w:rsidRPr="00074443">
              <w:rPr>
                <w:rFonts w:ascii="Times New Roman" w:hAnsi="Times New Roman"/>
                <w:szCs w:val="24"/>
                <w:lang w:val="it-IT"/>
              </w:rPr>
              <w:t>Kosto për grupet e tjera - në vazhdimësi</w:t>
            </w:r>
          </w:p>
        </w:tc>
        <w:tc>
          <w:tcPr>
            <w:tcW w:w="895" w:type="dxa"/>
            <w:hideMark/>
          </w:tcPr>
          <w:p w14:paraId="59E65FA7" w14:textId="77777777" w:rsidR="00E9407E" w:rsidRPr="00074443" w:rsidRDefault="00E9407E" w:rsidP="005B7795">
            <w:pPr>
              <w:spacing w:line="276" w:lineRule="auto"/>
              <w:ind w:left="-108" w:firstLine="108"/>
              <w:jc w:val="right"/>
              <w:rPr>
                <w:rFonts w:ascii="Times New Roman" w:hAnsi="Times New Roman"/>
                <w:szCs w:val="24"/>
                <w:lang w:val="it-IT"/>
              </w:rPr>
            </w:pPr>
            <w:r w:rsidRPr="00074443">
              <w:rPr>
                <w:rFonts w:ascii="Times New Roman" w:hAnsi="Times New Roman"/>
                <w:szCs w:val="24"/>
                <w:lang w:val="it-IT"/>
              </w:rPr>
              <w:t xml:space="preserve">0    </w:t>
            </w:r>
          </w:p>
        </w:tc>
        <w:tc>
          <w:tcPr>
            <w:tcW w:w="775" w:type="dxa"/>
            <w:hideMark/>
          </w:tcPr>
          <w:p w14:paraId="75F07A35" w14:textId="77777777" w:rsidR="00E9407E" w:rsidRPr="00074443" w:rsidRDefault="00E9407E" w:rsidP="005B7795">
            <w:pPr>
              <w:spacing w:line="276" w:lineRule="auto"/>
              <w:ind w:left="-108" w:firstLine="108"/>
              <w:jc w:val="right"/>
              <w:rPr>
                <w:rFonts w:ascii="Times New Roman" w:hAnsi="Times New Roman"/>
                <w:szCs w:val="24"/>
                <w:lang w:val="it-IT"/>
              </w:rPr>
            </w:pPr>
            <w:r w:rsidRPr="00074443">
              <w:rPr>
                <w:rFonts w:ascii="Times New Roman" w:hAnsi="Times New Roman"/>
                <w:szCs w:val="24"/>
                <w:lang w:val="it-IT"/>
              </w:rPr>
              <w:t>0 </w:t>
            </w:r>
          </w:p>
        </w:tc>
        <w:tc>
          <w:tcPr>
            <w:tcW w:w="715" w:type="dxa"/>
            <w:hideMark/>
          </w:tcPr>
          <w:p w14:paraId="258D3CB7"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75" w:type="dxa"/>
            <w:hideMark/>
          </w:tcPr>
          <w:p w14:paraId="365EFCE4"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15" w:type="dxa"/>
            <w:hideMark/>
          </w:tcPr>
          <w:p w14:paraId="75188A72"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49842C87"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715" w:type="dxa"/>
            <w:hideMark/>
          </w:tcPr>
          <w:p w14:paraId="6EAD0D48"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7FE385FA"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36" w:type="dxa"/>
            <w:hideMark/>
          </w:tcPr>
          <w:p w14:paraId="5697CDB7"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c>
          <w:tcPr>
            <w:tcW w:w="841" w:type="dxa"/>
            <w:hideMark/>
          </w:tcPr>
          <w:p w14:paraId="18BBD61A" w14:textId="77777777" w:rsidR="00E9407E" w:rsidRPr="00074443" w:rsidRDefault="00E9407E" w:rsidP="005B7795">
            <w:pPr>
              <w:spacing w:line="276" w:lineRule="auto"/>
              <w:jc w:val="right"/>
              <w:rPr>
                <w:rFonts w:ascii="Times New Roman" w:hAnsi="Times New Roman"/>
                <w:szCs w:val="24"/>
                <w:lang w:val="it-IT"/>
              </w:rPr>
            </w:pPr>
            <w:r w:rsidRPr="00074443">
              <w:rPr>
                <w:rFonts w:ascii="Times New Roman" w:hAnsi="Times New Roman"/>
                <w:szCs w:val="24"/>
                <w:lang w:val="it-IT"/>
              </w:rPr>
              <w:t>0 </w:t>
            </w:r>
          </w:p>
        </w:tc>
      </w:tr>
      <w:tr w:rsidR="00E9407E" w:rsidRPr="00E139C5" w14:paraId="517E3B9F" w14:textId="77777777" w:rsidTr="00074443">
        <w:trPr>
          <w:trHeight w:val="253"/>
        </w:trPr>
        <w:tc>
          <w:tcPr>
            <w:tcW w:w="2085" w:type="dxa"/>
            <w:hideMark/>
          </w:tcPr>
          <w:p w14:paraId="29490D05" w14:textId="77777777" w:rsidR="00E9407E" w:rsidRPr="00074443" w:rsidRDefault="00E9407E" w:rsidP="005B7795">
            <w:pPr>
              <w:spacing w:line="276" w:lineRule="auto"/>
              <w:rPr>
                <w:rFonts w:ascii="Times New Roman" w:hAnsi="Times New Roman"/>
                <w:b/>
                <w:bCs/>
                <w:szCs w:val="24"/>
              </w:rPr>
            </w:pPr>
            <w:r w:rsidRPr="00074443">
              <w:rPr>
                <w:rFonts w:ascii="Times New Roman" w:hAnsi="Times New Roman"/>
                <w:b/>
                <w:bCs/>
                <w:szCs w:val="24"/>
              </w:rPr>
              <w:t xml:space="preserve">Kosto në total </w:t>
            </w:r>
          </w:p>
        </w:tc>
        <w:tc>
          <w:tcPr>
            <w:tcW w:w="895" w:type="dxa"/>
            <w:hideMark/>
          </w:tcPr>
          <w:p w14:paraId="728545EA"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6            </w:t>
            </w:r>
          </w:p>
        </w:tc>
        <w:tc>
          <w:tcPr>
            <w:tcW w:w="775" w:type="dxa"/>
            <w:hideMark/>
          </w:tcPr>
          <w:p w14:paraId="7DD81EAF"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671E295E"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75" w:type="dxa"/>
            <w:hideMark/>
          </w:tcPr>
          <w:p w14:paraId="0B25D67D"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45A23CFF"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7C0AD65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715" w:type="dxa"/>
            <w:hideMark/>
          </w:tcPr>
          <w:p w14:paraId="46CD5099"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4D99CFA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36" w:type="dxa"/>
            <w:hideMark/>
          </w:tcPr>
          <w:p w14:paraId="20BF295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c>
          <w:tcPr>
            <w:tcW w:w="841" w:type="dxa"/>
            <w:hideMark/>
          </w:tcPr>
          <w:p w14:paraId="60A2680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0             </w:t>
            </w:r>
          </w:p>
        </w:tc>
      </w:tr>
      <w:tr w:rsidR="00E9407E" w:rsidRPr="00E139C5" w14:paraId="48E33627" w14:textId="77777777" w:rsidTr="00074443">
        <w:trPr>
          <w:trHeight w:val="333"/>
        </w:trPr>
        <w:tc>
          <w:tcPr>
            <w:tcW w:w="2085" w:type="dxa"/>
            <w:hideMark/>
          </w:tcPr>
          <w:p w14:paraId="72C2237E" w14:textId="77777777" w:rsidR="00E9407E" w:rsidRPr="00074443" w:rsidRDefault="00E9407E" w:rsidP="005B7795">
            <w:pPr>
              <w:spacing w:line="276" w:lineRule="auto"/>
              <w:rPr>
                <w:rFonts w:ascii="Times New Roman" w:hAnsi="Times New Roman"/>
                <w:bCs/>
                <w:szCs w:val="24"/>
                <w:lang w:val="it-IT"/>
              </w:rPr>
            </w:pPr>
            <w:r w:rsidRPr="00074443">
              <w:rPr>
                <w:rFonts w:ascii="Times New Roman" w:hAnsi="Times New Roman"/>
                <w:b/>
                <w:bCs/>
                <w:szCs w:val="24"/>
                <w:lang w:val="it-IT"/>
              </w:rPr>
              <w:t>Kosto e zbritur</w:t>
            </w:r>
            <w:r w:rsidRPr="00074443">
              <w:rPr>
                <w:rFonts w:ascii="Times New Roman" w:hAnsi="Times New Roman"/>
                <w:szCs w:val="24"/>
                <w:lang w:val="it-IT"/>
              </w:rPr>
              <w:t>= Kosto në total x Faktori zbritës</w:t>
            </w:r>
          </w:p>
        </w:tc>
        <w:tc>
          <w:tcPr>
            <w:tcW w:w="895" w:type="dxa"/>
            <w:hideMark/>
          </w:tcPr>
          <w:p w14:paraId="1CD885B9"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lang w:val="it-IT"/>
              </w:rPr>
              <w:t xml:space="preserve">6            </w:t>
            </w:r>
          </w:p>
        </w:tc>
        <w:tc>
          <w:tcPr>
            <w:tcW w:w="775" w:type="dxa"/>
            <w:hideMark/>
          </w:tcPr>
          <w:p w14:paraId="398EC1E1"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34B0AD0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75" w:type="dxa"/>
            <w:hideMark/>
          </w:tcPr>
          <w:p w14:paraId="78E9D82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3E16336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74BDB03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2C1EB6C7"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3156C72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6922513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41" w:type="dxa"/>
            <w:hideMark/>
          </w:tcPr>
          <w:p w14:paraId="6491CFF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r>
      <w:tr w:rsidR="00E9407E" w:rsidRPr="00E139C5" w14:paraId="0FC28BAC" w14:textId="77777777" w:rsidTr="00074443">
        <w:trPr>
          <w:trHeight w:val="225"/>
        </w:trPr>
        <w:tc>
          <w:tcPr>
            <w:tcW w:w="2085" w:type="dxa"/>
            <w:hideMark/>
          </w:tcPr>
          <w:p w14:paraId="4FA15BB2"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buxhetin – një herë</w:t>
            </w:r>
          </w:p>
        </w:tc>
        <w:tc>
          <w:tcPr>
            <w:tcW w:w="895" w:type="dxa"/>
            <w:hideMark/>
          </w:tcPr>
          <w:p w14:paraId="7C479A38"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75" w:type="dxa"/>
            <w:hideMark/>
          </w:tcPr>
          <w:p w14:paraId="61F45F63"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15" w:type="dxa"/>
            <w:hideMark/>
          </w:tcPr>
          <w:p w14:paraId="76FC3B5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75" w:type="dxa"/>
            <w:hideMark/>
          </w:tcPr>
          <w:p w14:paraId="457D8BC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7C67AE2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3090E0BD"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410A931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4DB9D0C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6C8BC3C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41" w:type="dxa"/>
            <w:hideMark/>
          </w:tcPr>
          <w:p w14:paraId="48E18BF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r>
      <w:tr w:rsidR="00E9407E" w:rsidRPr="00E139C5" w14:paraId="15D4A3DC" w14:textId="77777777" w:rsidTr="00074443">
        <w:trPr>
          <w:trHeight w:val="225"/>
        </w:trPr>
        <w:tc>
          <w:tcPr>
            <w:tcW w:w="2085" w:type="dxa"/>
            <w:hideMark/>
          </w:tcPr>
          <w:p w14:paraId="35750746"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buxhetin – në vazhdimësi</w:t>
            </w:r>
          </w:p>
        </w:tc>
        <w:tc>
          <w:tcPr>
            <w:tcW w:w="895" w:type="dxa"/>
            <w:hideMark/>
          </w:tcPr>
          <w:p w14:paraId="65A4CE56"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8,073             </w:t>
            </w:r>
          </w:p>
        </w:tc>
        <w:tc>
          <w:tcPr>
            <w:tcW w:w="775" w:type="dxa"/>
            <w:hideMark/>
          </w:tcPr>
          <w:p w14:paraId="7E8CA523"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7,950           </w:t>
            </w:r>
          </w:p>
        </w:tc>
        <w:tc>
          <w:tcPr>
            <w:tcW w:w="715" w:type="dxa"/>
            <w:hideMark/>
          </w:tcPr>
          <w:p w14:paraId="74A81F2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7,828      </w:t>
            </w:r>
          </w:p>
        </w:tc>
        <w:tc>
          <w:tcPr>
            <w:tcW w:w="775" w:type="dxa"/>
            <w:hideMark/>
          </w:tcPr>
          <w:p w14:paraId="70BF391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7,709          </w:t>
            </w:r>
          </w:p>
        </w:tc>
        <w:tc>
          <w:tcPr>
            <w:tcW w:w="715" w:type="dxa"/>
            <w:hideMark/>
          </w:tcPr>
          <w:p w14:paraId="72FDE3D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7,509           </w:t>
            </w:r>
          </w:p>
        </w:tc>
        <w:tc>
          <w:tcPr>
            <w:tcW w:w="836" w:type="dxa"/>
            <w:hideMark/>
          </w:tcPr>
          <w:p w14:paraId="1119DF9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28A421F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3BB6CBD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6EB757F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41" w:type="dxa"/>
            <w:hideMark/>
          </w:tcPr>
          <w:p w14:paraId="0AB67C8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r>
      <w:tr w:rsidR="00E9407E" w:rsidRPr="00E139C5" w14:paraId="6A11449E" w14:textId="77777777" w:rsidTr="00074443">
        <w:trPr>
          <w:trHeight w:val="225"/>
        </w:trPr>
        <w:tc>
          <w:tcPr>
            <w:tcW w:w="2085" w:type="dxa"/>
            <w:hideMark/>
          </w:tcPr>
          <w:p w14:paraId="199EEDB7"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grupet e tjera – një herë</w:t>
            </w:r>
          </w:p>
        </w:tc>
        <w:tc>
          <w:tcPr>
            <w:tcW w:w="895" w:type="dxa"/>
            <w:hideMark/>
          </w:tcPr>
          <w:p w14:paraId="01124134"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75" w:type="dxa"/>
            <w:hideMark/>
          </w:tcPr>
          <w:p w14:paraId="345C1273"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15" w:type="dxa"/>
            <w:hideMark/>
          </w:tcPr>
          <w:p w14:paraId="4B3CA63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75" w:type="dxa"/>
            <w:hideMark/>
          </w:tcPr>
          <w:p w14:paraId="70C1423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4115286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63BC69CF"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4E341B57"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4009BD16"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50A7BEB9"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41" w:type="dxa"/>
            <w:hideMark/>
          </w:tcPr>
          <w:p w14:paraId="4E4C8ED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r>
      <w:tr w:rsidR="00E9407E" w:rsidRPr="00E139C5" w14:paraId="7DE1A49E" w14:textId="77777777" w:rsidTr="00074443">
        <w:trPr>
          <w:trHeight w:val="225"/>
        </w:trPr>
        <w:tc>
          <w:tcPr>
            <w:tcW w:w="2085" w:type="dxa"/>
            <w:hideMark/>
          </w:tcPr>
          <w:p w14:paraId="3382522B"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grupet e tjera – në vazhdimësi</w:t>
            </w:r>
          </w:p>
        </w:tc>
        <w:tc>
          <w:tcPr>
            <w:tcW w:w="895" w:type="dxa"/>
            <w:hideMark/>
          </w:tcPr>
          <w:p w14:paraId="2996FD43"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75" w:type="dxa"/>
            <w:hideMark/>
          </w:tcPr>
          <w:p w14:paraId="207EAB50"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15" w:type="dxa"/>
            <w:hideMark/>
          </w:tcPr>
          <w:p w14:paraId="367EE9D7"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75" w:type="dxa"/>
            <w:hideMark/>
          </w:tcPr>
          <w:p w14:paraId="3DDDA569"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7B1F91D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052B107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60238EF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4F300BC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01414CD5"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41" w:type="dxa"/>
            <w:hideMark/>
          </w:tcPr>
          <w:p w14:paraId="412D31F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r>
      <w:tr w:rsidR="00E9407E" w:rsidRPr="00E139C5" w14:paraId="43A1E530" w14:textId="77777777" w:rsidTr="00074443">
        <w:trPr>
          <w:trHeight w:val="225"/>
        </w:trPr>
        <w:tc>
          <w:tcPr>
            <w:tcW w:w="2085" w:type="dxa"/>
            <w:hideMark/>
          </w:tcPr>
          <w:p w14:paraId="5475444C"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biznesin – një herë</w:t>
            </w:r>
          </w:p>
        </w:tc>
        <w:tc>
          <w:tcPr>
            <w:tcW w:w="895" w:type="dxa"/>
            <w:hideMark/>
          </w:tcPr>
          <w:p w14:paraId="31C9FE0A"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w:t>
            </w:r>
          </w:p>
        </w:tc>
        <w:tc>
          <w:tcPr>
            <w:tcW w:w="775" w:type="dxa"/>
            <w:hideMark/>
          </w:tcPr>
          <w:p w14:paraId="2D2384B9"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c>
          <w:tcPr>
            <w:tcW w:w="715" w:type="dxa"/>
            <w:hideMark/>
          </w:tcPr>
          <w:p w14:paraId="46A784C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75" w:type="dxa"/>
            <w:hideMark/>
          </w:tcPr>
          <w:p w14:paraId="239E6CE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0FC5089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14E6D8C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715" w:type="dxa"/>
            <w:hideMark/>
          </w:tcPr>
          <w:p w14:paraId="7716266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27CCF3E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36" w:type="dxa"/>
            <w:hideMark/>
          </w:tcPr>
          <w:p w14:paraId="7CB673C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c>
          <w:tcPr>
            <w:tcW w:w="841" w:type="dxa"/>
            <w:hideMark/>
          </w:tcPr>
          <w:p w14:paraId="7E84B1B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w:t>
            </w:r>
          </w:p>
        </w:tc>
      </w:tr>
      <w:tr w:rsidR="00E9407E" w:rsidRPr="00E139C5" w14:paraId="25EC76C6" w14:textId="77777777" w:rsidTr="00074443">
        <w:trPr>
          <w:trHeight w:val="239"/>
        </w:trPr>
        <w:tc>
          <w:tcPr>
            <w:tcW w:w="2085" w:type="dxa"/>
            <w:hideMark/>
          </w:tcPr>
          <w:p w14:paraId="34E22F17" w14:textId="77777777" w:rsidR="00E9407E" w:rsidRPr="00074443" w:rsidRDefault="00E9407E" w:rsidP="005B7795">
            <w:pPr>
              <w:spacing w:line="276" w:lineRule="auto"/>
              <w:rPr>
                <w:rFonts w:ascii="Times New Roman" w:hAnsi="Times New Roman"/>
                <w:szCs w:val="24"/>
              </w:rPr>
            </w:pPr>
            <w:r w:rsidRPr="00074443">
              <w:rPr>
                <w:rFonts w:ascii="Times New Roman" w:hAnsi="Times New Roman"/>
                <w:szCs w:val="24"/>
              </w:rPr>
              <w:t>Përfitimet për biznesin – në vazhdimësi</w:t>
            </w:r>
          </w:p>
        </w:tc>
        <w:tc>
          <w:tcPr>
            <w:tcW w:w="895" w:type="dxa"/>
            <w:hideMark/>
          </w:tcPr>
          <w:p w14:paraId="64355839"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w:t>
            </w:r>
          </w:p>
        </w:tc>
        <w:tc>
          <w:tcPr>
            <w:tcW w:w="775" w:type="dxa"/>
            <w:hideMark/>
          </w:tcPr>
          <w:p w14:paraId="6D867EDC"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5BBDBD4C" w14:textId="77777777" w:rsidR="00E9407E" w:rsidRPr="00074443" w:rsidRDefault="00E9407E" w:rsidP="005B7795">
            <w:pPr>
              <w:spacing w:line="276" w:lineRule="auto"/>
              <w:jc w:val="center"/>
              <w:rPr>
                <w:rFonts w:ascii="Times New Roman" w:hAnsi="Times New Roman"/>
                <w:szCs w:val="24"/>
              </w:rPr>
            </w:pPr>
            <w:r w:rsidRPr="00074443">
              <w:rPr>
                <w:rFonts w:ascii="Times New Roman" w:hAnsi="Times New Roman"/>
                <w:szCs w:val="24"/>
              </w:rPr>
              <w:t xml:space="preserve">             </w:t>
            </w:r>
          </w:p>
        </w:tc>
        <w:tc>
          <w:tcPr>
            <w:tcW w:w="775" w:type="dxa"/>
            <w:hideMark/>
          </w:tcPr>
          <w:p w14:paraId="191404B9"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3005E734"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6D837FFE"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hideMark/>
          </w:tcPr>
          <w:p w14:paraId="68D225C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60FF98A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hideMark/>
          </w:tcPr>
          <w:p w14:paraId="489057AC"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41" w:type="dxa"/>
            <w:hideMark/>
          </w:tcPr>
          <w:p w14:paraId="648037E0"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r>
      <w:tr w:rsidR="00E9407E" w:rsidRPr="00E139C5" w14:paraId="42FAD15A" w14:textId="77777777" w:rsidTr="00074443">
        <w:trPr>
          <w:trHeight w:val="253"/>
        </w:trPr>
        <w:tc>
          <w:tcPr>
            <w:tcW w:w="2085" w:type="dxa"/>
            <w:hideMark/>
          </w:tcPr>
          <w:p w14:paraId="7B956111" w14:textId="77777777" w:rsidR="00E9407E" w:rsidRPr="00074443" w:rsidRDefault="00E9407E" w:rsidP="005B7795">
            <w:pPr>
              <w:spacing w:line="276" w:lineRule="auto"/>
              <w:rPr>
                <w:rFonts w:ascii="Times New Roman" w:hAnsi="Times New Roman"/>
                <w:b/>
                <w:bCs/>
                <w:szCs w:val="24"/>
              </w:rPr>
            </w:pPr>
            <w:r w:rsidRPr="00074443">
              <w:rPr>
                <w:rFonts w:ascii="Times New Roman" w:hAnsi="Times New Roman"/>
                <w:b/>
                <w:bCs/>
                <w:szCs w:val="24"/>
              </w:rPr>
              <w:t>Përfitimet totale</w:t>
            </w:r>
          </w:p>
        </w:tc>
        <w:tc>
          <w:tcPr>
            <w:tcW w:w="895" w:type="dxa"/>
            <w:tcBorders>
              <w:bottom w:val="single" w:sz="4" w:space="0" w:color="auto"/>
            </w:tcBorders>
            <w:hideMark/>
          </w:tcPr>
          <w:p w14:paraId="2CB9D2E5"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8,073             </w:t>
            </w:r>
          </w:p>
        </w:tc>
        <w:tc>
          <w:tcPr>
            <w:tcW w:w="775" w:type="dxa"/>
            <w:tcBorders>
              <w:bottom w:val="single" w:sz="4" w:space="0" w:color="auto"/>
            </w:tcBorders>
            <w:hideMark/>
          </w:tcPr>
          <w:p w14:paraId="6FDC6FA2"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7,950            </w:t>
            </w:r>
          </w:p>
        </w:tc>
        <w:tc>
          <w:tcPr>
            <w:tcW w:w="715" w:type="dxa"/>
            <w:tcBorders>
              <w:bottom w:val="single" w:sz="4" w:space="0" w:color="auto"/>
            </w:tcBorders>
            <w:hideMark/>
          </w:tcPr>
          <w:p w14:paraId="76B38EE3"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7,828          </w:t>
            </w:r>
          </w:p>
        </w:tc>
        <w:tc>
          <w:tcPr>
            <w:tcW w:w="775" w:type="dxa"/>
            <w:tcBorders>
              <w:bottom w:val="single" w:sz="4" w:space="0" w:color="auto"/>
            </w:tcBorders>
            <w:hideMark/>
          </w:tcPr>
          <w:p w14:paraId="617D902D"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7,709          </w:t>
            </w:r>
          </w:p>
        </w:tc>
        <w:tc>
          <w:tcPr>
            <w:tcW w:w="715" w:type="dxa"/>
            <w:tcBorders>
              <w:bottom w:val="single" w:sz="4" w:space="0" w:color="auto"/>
            </w:tcBorders>
            <w:hideMark/>
          </w:tcPr>
          <w:p w14:paraId="2910F5F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7,509            </w:t>
            </w:r>
          </w:p>
        </w:tc>
        <w:tc>
          <w:tcPr>
            <w:tcW w:w="836" w:type="dxa"/>
            <w:tcBorders>
              <w:bottom w:val="single" w:sz="4" w:space="0" w:color="auto"/>
            </w:tcBorders>
            <w:hideMark/>
          </w:tcPr>
          <w:p w14:paraId="0AB9335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tcBorders>
              <w:bottom w:val="single" w:sz="4" w:space="0" w:color="auto"/>
            </w:tcBorders>
            <w:hideMark/>
          </w:tcPr>
          <w:p w14:paraId="7DF26671"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tcBorders>
              <w:bottom w:val="single" w:sz="4" w:space="0" w:color="auto"/>
            </w:tcBorders>
            <w:hideMark/>
          </w:tcPr>
          <w:p w14:paraId="5750E9D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tcBorders>
              <w:bottom w:val="single" w:sz="4" w:space="0" w:color="auto"/>
            </w:tcBorders>
            <w:hideMark/>
          </w:tcPr>
          <w:p w14:paraId="5627F9C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41" w:type="dxa"/>
            <w:tcBorders>
              <w:bottom w:val="single" w:sz="4" w:space="0" w:color="auto"/>
            </w:tcBorders>
            <w:hideMark/>
          </w:tcPr>
          <w:p w14:paraId="56A6403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r>
      <w:tr w:rsidR="00E9407E" w:rsidRPr="00E139C5" w14:paraId="2571EEBD" w14:textId="77777777" w:rsidTr="00074443">
        <w:trPr>
          <w:trHeight w:val="346"/>
        </w:trPr>
        <w:tc>
          <w:tcPr>
            <w:tcW w:w="2085" w:type="dxa"/>
            <w:hideMark/>
          </w:tcPr>
          <w:p w14:paraId="2B3E5332" w14:textId="77777777" w:rsidR="00E9407E" w:rsidRPr="00074443" w:rsidRDefault="00E9407E" w:rsidP="005B7795">
            <w:pPr>
              <w:spacing w:line="276" w:lineRule="auto"/>
              <w:rPr>
                <w:rFonts w:ascii="Times New Roman" w:hAnsi="Times New Roman"/>
                <w:bCs/>
                <w:szCs w:val="24"/>
              </w:rPr>
            </w:pPr>
            <w:r w:rsidRPr="00074443">
              <w:rPr>
                <w:rFonts w:ascii="Times New Roman" w:hAnsi="Times New Roman"/>
                <w:b/>
                <w:bCs/>
                <w:szCs w:val="24"/>
              </w:rPr>
              <w:t>Përfitimi i zbritur</w:t>
            </w:r>
            <w:r w:rsidRPr="00074443">
              <w:rPr>
                <w:rFonts w:ascii="Times New Roman" w:hAnsi="Times New Roman"/>
                <w:szCs w:val="24"/>
              </w:rPr>
              <w:t>= Përfitimi në total x faktori zbritës</w:t>
            </w:r>
          </w:p>
        </w:tc>
        <w:tc>
          <w:tcPr>
            <w:tcW w:w="895" w:type="dxa"/>
            <w:tcBorders>
              <w:bottom w:val="single" w:sz="4" w:space="0" w:color="auto"/>
            </w:tcBorders>
            <w:hideMark/>
          </w:tcPr>
          <w:p w14:paraId="110A756A"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8,073             </w:t>
            </w:r>
          </w:p>
        </w:tc>
        <w:tc>
          <w:tcPr>
            <w:tcW w:w="775" w:type="dxa"/>
            <w:tcBorders>
              <w:bottom w:val="single" w:sz="4" w:space="0" w:color="auto"/>
            </w:tcBorders>
            <w:hideMark/>
          </w:tcPr>
          <w:p w14:paraId="59472B96"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xml:space="preserve">7,553           </w:t>
            </w:r>
          </w:p>
        </w:tc>
        <w:tc>
          <w:tcPr>
            <w:tcW w:w="715" w:type="dxa"/>
            <w:tcBorders>
              <w:bottom w:val="single" w:sz="4" w:space="0" w:color="auto"/>
            </w:tcBorders>
            <w:hideMark/>
          </w:tcPr>
          <w:p w14:paraId="1A600FA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7,123          </w:t>
            </w:r>
          </w:p>
        </w:tc>
        <w:tc>
          <w:tcPr>
            <w:tcW w:w="775" w:type="dxa"/>
            <w:tcBorders>
              <w:bottom w:val="single" w:sz="4" w:space="0" w:color="auto"/>
            </w:tcBorders>
            <w:hideMark/>
          </w:tcPr>
          <w:p w14:paraId="724564AA"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6,707          </w:t>
            </w:r>
          </w:p>
        </w:tc>
        <w:tc>
          <w:tcPr>
            <w:tcW w:w="715" w:type="dxa"/>
            <w:tcBorders>
              <w:bottom w:val="single" w:sz="4" w:space="0" w:color="auto"/>
            </w:tcBorders>
            <w:hideMark/>
          </w:tcPr>
          <w:p w14:paraId="6B33B64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6,157           </w:t>
            </w:r>
          </w:p>
        </w:tc>
        <w:tc>
          <w:tcPr>
            <w:tcW w:w="836" w:type="dxa"/>
            <w:tcBorders>
              <w:bottom w:val="single" w:sz="4" w:space="0" w:color="auto"/>
            </w:tcBorders>
            <w:hideMark/>
          </w:tcPr>
          <w:p w14:paraId="39E4D0FB"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715" w:type="dxa"/>
            <w:tcBorders>
              <w:bottom w:val="single" w:sz="4" w:space="0" w:color="auto"/>
            </w:tcBorders>
            <w:hideMark/>
          </w:tcPr>
          <w:p w14:paraId="1A320B85"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tcBorders>
              <w:bottom w:val="single" w:sz="4" w:space="0" w:color="auto"/>
            </w:tcBorders>
            <w:hideMark/>
          </w:tcPr>
          <w:p w14:paraId="0CF0BB18"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36" w:type="dxa"/>
            <w:tcBorders>
              <w:bottom w:val="single" w:sz="4" w:space="0" w:color="auto"/>
            </w:tcBorders>
            <w:hideMark/>
          </w:tcPr>
          <w:p w14:paraId="0A465007"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c>
          <w:tcPr>
            <w:tcW w:w="841" w:type="dxa"/>
            <w:tcBorders>
              <w:bottom w:val="single" w:sz="4" w:space="0" w:color="auto"/>
            </w:tcBorders>
            <w:hideMark/>
          </w:tcPr>
          <w:p w14:paraId="4678DAE2" w14:textId="77777777" w:rsidR="00E9407E" w:rsidRPr="00074443" w:rsidRDefault="00E9407E" w:rsidP="005B7795">
            <w:pPr>
              <w:spacing w:line="276" w:lineRule="auto"/>
              <w:jc w:val="right"/>
              <w:rPr>
                <w:rFonts w:ascii="Times New Roman" w:hAnsi="Times New Roman"/>
                <w:szCs w:val="24"/>
              </w:rPr>
            </w:pPr>
            <w:r w:rsidRPr="00074443">
              <w:rPr>
                <w:rFonts w:ascii="Times New Roman" w:hAnsi="Times New Roman"/>
                <w:szCs w:val="24"/>
              </w:rPr>
              <w:t xml:space="preserve">              </w:t>
            </w:r>
          </w:p>
        </w:tc>
      </w:tr>
      <w:tr w:rsidR="00E9407E" w:rsidRPr="00E139C5" w14:paraId="7E4A1B10" w14:textId="77777777" w:rsidTr="00074443">
        <w:trPr>
          <w:trHeight w:val="333"/>
        </w:trPr>
        <w:tc>
          <w:tcPr>
            <w:tcW w:w="2085" w:type="dxa"/>
            <w:shd w:val="clear" w:color="auto" w:fill="F2F2F2" w:themeFill="background1" w:themeFillShade="F2"/>
            <w:hideMark/>
          </w:tcPr>
          <w:p w14:paraId="1EE08BF3" w14:textId="77777777" w:rsidR="00E9407E" w:rsidRPr="00074443" w:rsidRDefault="00E9407E" w:rsidP="005B7795">
            <w:pPr>
              <w:spacing w:line="276" w:lineRule="auto"/>
              <w:rPr>
                <w:rFonts w:ascii="Times New Roman" w:hAnsi="Times New Roman"/>
                <w:b/>
                <w:bCs/>
                <w:szCs w:val="24"/>
                <w:lang w:val="it-IT"/>
              </w:rPr>
            </w:pPr>
            <w:r w:rsidRPr="00074443">
              <w:rPr>
                <w:rFonts w:ascii="Times New Roman" w:hAnsi="Times New Roman"/>
                <w:b/>
                <w:bCs/>
                <w:szCs w:val="24"/>
                <w:lang w:val="it-IT"/>
              </w:rPr>
              <w:lastRenderedPageBreak/>
              <w:t>Vlera prezente aktuale e përfitimit në total</w:t>
            </w:r>
          </w:p>
        </w:tc>
        <w:tc>
          <w:tcPr>
            <w:tcW w:w="895" w:type="dxa"/>
            <w:tcBorders>
              <w:top w:val="single" w:sz="4" w:space="0" w:color="auto"/>
              <w:right w:val="single" w:sz="4" w:space="0" w:color="auto"/>
            </w:tcBorders>
            <w:shd w:val="clear" w:color="auto" w:fill="F2F2F2" w:themeFill="background1" w:themeFillShade="F2"/>
            <w:hideMark/>
          </w:tcPr>
          <w:p w14:paraId="2765A11A" w14:textId="77777777" w:rsidR="00E9407E" w:rsidRPr="00074443" w:rsidRDefault="00E9407E" w:rsidP="005B7795">
            <w:pPr>
              <w:spacing w:line="276" w:lineRule="auto"/>
              <w:ind w:left="-108" w:firstLine="108"/>
              <w:jc w:val="right"/>
              <w:rPr>
                <w:rFonts w:ascii="Times New Roman" w:hAnsi="Times New Roman"/>
                <w:bCs/>
                <w:szCs w:val="24"/>
              </w:rPr>
            </w:pPr>
            <w:r w:rsidRPr="00074443">
              <w:rPr>
                <w:rFonts w:ascii="Times New Roman" w:hAnsi="Times New Roman"/>
                <w:bCs/>
                <w:szCs w:val="24"/>
              </w:rPr>
              <w:t xml:space="preserve">8,073 </w:t>
            </w:r>
          </w:p>
        </w:tc>
        <w:tc>
          <w:tcPr>
            <w:tcW w:w="7047" w:type="dxa"/>
            <w:gridSpan w:val="9"/>
            <w:tcBorders>
              <w:top w:val="single" w:sz="4" w:space="0" w:color="auto"/>
              <w:left w:val="single" w:sz="4" w:space="0" w:color="auto"/>
              <w:bottom w:val="nil"/>
              <w:right w:val="nil"/>
            </w:tcBorders>
            <w:hideMark/>
          </w:tcPr>
          <w:p w14:paraId="00E2224A"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r>
      <w:tr w:rsidR="00E9407E" w:rsidRPr="00E139C5" w14:paraId="09734317" w14:textId="77777777" w:rsidTr="00074443">
        <w:trPr>
          <w:trHeight w:val="239"/>
        </w:trPr>
        <w:tc>
          <w:tcPr>
            <w:tcW w:w="2085" w:type="dxa"/>
            <w:shd w:val="clear" w:color="auto" w:fill="F2F2F2" w:themeFill="background1" w:themeFillShade="F2"/>
            <w:hideMark/>
          </w:tcPr>
          <w:p w14:paraId="7BFD3F21" w14:textId="77777777" w:rsidR="00E9407E" w:rsidRPr="00074443" w:rsidRDefault="00E9407E" w:rsidP="005B7795">
            <w:pPr>
              <w:spacing w:line="276" w:lineRule="auto"/>
              <w:rPr>
                <w:rFonts w:ascii="Times New Roman" w:hAnsi="Times New Roman"/>
                <w:b/>
                <w:bCs/>
                <w:szCs w:val="24"/>
                <w:lang w:val="it-IT"/>
              </w:rPr>
            </w:pPr>
            <w:r w:rsidRPr="00074443">
              <w:rPr>
                <w:rFonts w:ascii="Times New Roman" w:hAnsi="Times New Roman"/>
                <w:b/>
                <w:bCs/>
                <w:szCs w:val="24"/>
                <w:lang w:val="it-IT"/>
              </w:rPr>
              <w:t>Vlera prezente aktuale e kostos në total</w:t>
            </w:r>
          </w:p>
        </w:tc>
        <w:tc>
          <w:tcPr>
            <w:tcW w:w="895" w:type="dxa"/>
            <w:tcBorders>
              <w:right w:val="single" w:sz="4" w:space="0" w:color="auto"/>
            </w:tcBorders>
            <w:shd w:val="clear" w:color="auto" w:fill="F2F2F2" w:themeFill="background1" w:themeFillShade="F2"/>
            <w:hideMark/>
          </w:tcPr>
          <w:p w14:paraId="3D6BC635" w14:textId="77777777" w:rsidR="00E9407E" w:rsidRPr="00074443" w:rsidRDefault="00E9407E" w:rsidP="005B7795">
            <w:pPr>
              <w:spacing w:line="276" w:lineRule="auto"/>
              <w:ind w:left="-108" w:firstLine="108"/>
              <w:jc w:val="right"/>
              <w:rPr>
                <w:rFonts w:ascii="Times New Roman" w:hAnsi="Times New Roman"/>
                <w:bCs/>
                <w:szCs w:val="24"/>
              </w:rPr>
            </w:pPr>
            <w:r w:rsidRPr="00074443">
              <w:rPr>
                <w:rFonts w:ascii="Times New Roman" w:hAnsi="Times New Roman"/>
                <w:bCs/>
                <w:szCs w:val="24"/>
              </w:rPr>
              <w:t>6</w:t>
            </w:r>
          </w:p>
        </w:tc>
        <w:tc>
          <w:tcPr>
            <w:tcW w:w="7047" w:type="dxa"/>
            <w:gridSpan w:val="9"/>
            <w:tcBorders>
              <w:top w:val="nil"/>
              <w:left w:val="single" w:sz="4" w:space="0" w:color="auto"/>
              <w:bottom w:val="nil"/>
              <w:right w:val="nil"/>
            </w:tcBorders>
            <w:hideMark/>
          </w:tcPr>
          <w:p w14:paraId="6A9FA469"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r>
      <w:tr w:rsidR="00E9407E" w:rsidRPr="00E139C5" w14:paraId="3737CE0C" w14:textId="77777777" w:rsidTr="00074443">
        <w:trPr>
          <w:trHeight w:val="492"/>
        </w:trPr>
        <w:tc>
          <w:tcPr>
            <w:tcW w:w="2085" w:type="dxa"/>
            <w:shd w:val="clear" w:color="auto" w:fill="F2F2F2" w:themeFill="background1" w:themeFillShade="F2"/>
            <w:hideMark/>
          </w:tcPr>
          <w:p w14:paraId="25E16EE5" w14:textId="77777777" w:rsidR="00E9407E" w:rsidRPr="00074443" w:rsidRDefault="00E9407E" w:rsidP="005B7795">
            <w:pPr>
              <w:spacing w:line="276" w:lineRule="auto"/>
              <w:rPr>
                <w:rFonts w:ascii="Times New Roman" w:hAnsi="Times New Roman"/>
                <w:bCs/>
                <w:szCs w:val="24"/>
                <w:lang w:val="it-IT"/>
              </w:rPr>
            </w:pPr>
            <w:r w:rsidRPr="00074443">
              <w:rPr>
                <w:rFonts w:ascii="Times New Roman" w:hAnsi="Times New Roman"/>
                <w:b/>
                <w:bCs/>
                <w:szCs w:val="24"/>
                <w:lang w:val="it-IT"/>
              </w:rPr>
              <w:t>Vlera Prezente Neto Aktuale (VAN)</w:t>
            </w:r>
            <w:r w:rsidRPr="00074443">
              <w:rPr>
                <w:rFonts w:ascii="Times New Roman" w:hAnsi="Times New Roman"/>
                <w:bCs/>
                <w:szCs w:val="24"/>
                <w:lang w:val="it-IT"/>
              </w:rPr>
              <w:t xml:space="preserve"> =</w:t>
            </w:r>
            <w:r w:rsidRPr="00074443">
              <w:rPr>
                <w:rFonts w:ascii="Times New Roman" w:hAnsi="Times New Roman"/>
                <w:szCs w:val="24"/>
                <w:lang w:val="it-IT"/>
              </w:rPr>
              <w:t xml:space="preserve"> Vlera aktuale e përfitimit në total – Vlera aktuale e kostos në total</w:t>
            </w:r>
          </w:p>
        </w:tc>
        <w:tc>
          <w:tcPr>
            <w:tcW w:w="895" w:type="dxa"/>
            <w:tcBorders>
              <w:right w:val="single" w:sz="4" w:space="0" w:color="auto"/>
            </w:tcBorders>
            <w:shd w:val="clear" w:color="auto" w:fill="F2F2F2" w:themeFill="background1" w:themeFillShade="F2"/>
            <w:hideMark/>
          </w:tcPr>
          <w:p w14:paraId="5468211B" w14:textId="77777777" w:rsidR="00E9407E" w:rsidRPr="00074443" w:rsidRDefault="00E9407E" w:rsidP="005B7795">
            <w:pPr>
              <w:spacing w:line="276" w:lineRule="auto"/>
              <w:ind w:left="-108" w:firstLine="108"/>
              <w:jc w:val="right"/>
              <w:rPr>
                <w:rFonts w:ascii="Times New Roman" w:hAnsi="Times New Roman"/>
                <w:bCs/>
                <w:szCs w:val="24"/>
              </w:rPr>
            </w:pPr>
            <w:r w:rsidRPr="00074443">
              <w:rPr>
                <w:rFonts w:ascii="Times New Roman" w:hAnsi="Times New Roman"/>
                <w:bCs/>
                <w:szCs w:val="24"/>
              </w:rPr>
              <w:t>2,073</w:t>
            </w:r>
          </w:p>
        </w:tc>
        <w:tc>
          <w:tcPr>
            <w:tcW w:w="7047" w:type="dxa"/>
            <w:gridSpan w:val="9"/>
            <w:tcBorders>
              <w:top w:val="nil"/>
              <w:left w:val="single" w:sz="4" w:space="0" w:color="auto"/>
              <w:bottom w:val="nil"/>
              <w:right w:val="nil"/>
            </w:tcBorders>
            <w:hideMark/>
          </w:tcPr>
          <w:p w14:paraId="39CAE173" w14:textId="77777777" w:rsidR="00E9407E" w:rsidRPr="00074443" w:rsidRDefault="00E9407E" w:rsidP="005B7795">
            <w:pPr>
              <w:spacing w:line="276" w:lineRule="auto"/>
              <w:ind w:left="-108" w:firstLine="108"/>
              <w:jc w:val="right"/>
              <w:rPr>
                <w:rFonts w:ascii="Times New Roman" w:hAnsi="Times New Roman"/>
                <w:szCs w:val="24"/>
              </w:rPr>
            </w:pPr>
            <w:r w:rsidRPr="00074443">
              <w:rPr>
                <w:rFonts w:ascii="Times New Roman" w:hAnsi="Times New Roman"/>
                <w:szCs w:val="24"/>
              </w:rPr>
              <w:t> </w:t>
            </w:r>
          </w:p>
        </w:tc>
      </w:tr>
    </w:tbl>
    <w:p w14:paraId="625B9435" w14:textId="08231C73" w:rsidR="00E9407E" w:rsidRPr="001155AF" w:rsidRDefault="00E9407E" w:rsidP="00E9407E">
      <w:pPr>
        <w:spacing w:line="276" w:lineRule="auto"/>
        <w:rPr>
          <w:lang w:val="sq-AL"/>
        </w:rPr>
      </w:pPr>
      <w:r w:rsidRPr="00225F7F">
        <w:rPr>
          <w:rStyle w:val="Strong"/>
          <w:szCs w:val="24"/>
          <w:lang w:val="sq-AL"/>
        </w:rPr>
        <w:fldChar w:fldCharType="begin"/>
      </w:r>
      <w:r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Pr="00225F7F">
        <w:rPr>
          <w:rStyle w:val="Strong"/>
          <w:szCs w:val="24"/>
          <w:lang w:val="sq-AL"/>
        </w:rPr>
        <w:fldChar w:fldCharType="end"/>
      </w:r>
    </w:p>
    <w:p w14:paraId="6CB0937C" w14:textId="4510F2DE" w:rsidR="00E9407E" w:rsidRDefault="00E9407E">
      <w:pPr>
        <w:rPr>
          <w:rFonts w:ascii="Times New Roman" w:hAnsi="Times New Roman"/>
          <w:b/>
          <w:sz w:val="20"/>
          <w:lang w:val="sq-AL"/>
        </w:rPr>
      </w:pPr>
    </w:p>
    <w:p w14:paraId="36420424" w14:textId="77777777" w:rsidR="00E9407E" w:rsidRDefault="00E9407E">
      <w:pPr>
        <w:rPr>
          <w:rFonts w:ascii="Times New Roman" w:hAnsi="Times New Roman"/>
          <w:b/>
          <w:sz w:val="20"/>
          <w:lang w:val="sq-AL"/>
        </w:rPr>
      </w:pPr>
      <w:r>
        <w:rPr>
          <w:rFonts w:ascii="Times New Roman" w:hAnsi="Times New Roman"/>
          <w:b/>
          <w:sz w:val="20"/>
          <w:lang w:val="sq-AL"/>
        </w:rPr>
        <w:br w:type="page"/>
      </w:r>
    </w:p>
    <w:p w14:paraId="0508FE50" w14:textId="77777777" w:rsidR="00E9407E" w:rsidRDefault="00E9407E">
      <w:pPr>
        <w:rPr>
          <w:rFonts w:ascii="Times New Roman" w:hAnsi="Times New Roman"/>
          <w:b/>
          <w:sz w:val="20"/>
          <w:lang w:val="sq-AL"/>
        </w:rPr>
      </w:pPr>
    </w:p>
    <w:p w14:paraId="4350B98A" w14:textId="77777777" w:rsidR="00526001" w:rsidRPr="008D797D" w:rsidRDefault="00526001" w:rsidP="00526001">
      <w:pPr>
        <w:rPr>
          <w:rFonts w:ascii="Times New Roman" w:hAnsi="Times New Roman"/>
          <w:b/>
          <w:sz w:val="20"/>
          <w:lang w:val="sq-AL"/>
        </w:rPr>
      </w:pPr>
    </w:p>
    <w:p w14:paraId="1178E206" w14:textId="77777777" w:rsidR="00526001" w:rsidRPr="008D797D" w:rsidRDefault="00526001" w:rsidP="00526001">
      <w:pPr>
        <w:rPr>
          <w:rStyle w:val="Strong"/>
          <w:rFonts w:ascii="Times New Roman" w:hAnsi="Times New Roman"/>
          <w:sz w:val="20"/>
          <w:lang w:val="sq-AL"/>
        </w:rPr>
      </w:pPr>
      <w:r w:rsidRPr="008D797D">
        <w:rPr>
          <w:rFonts w:ascii="Times New Roman" w:hAnsi="Times New Roman"/>
          <w:b/>
          <w:sz w:val="20"/>
          <w:lang w:val="sq-AL"/>
        </w:rPr>
        <w:t xml:space="preserve">Raporti i vlerësimit të ndikimit - Shtojca 2/b </w:t>
      </w:r>
    </w:p>
    <w:p w14:paraId="6583B274" w14:textId="77777777" w:rsidR="00526001" w:rsidRPr="008D797D" w:rsidRDefault="00526001" w:rsidP="00322E26">
      <w:pPr>
        <w:ind w:left="-1440" w:right="-1414"/>
        <w:rPr>
          <w:rStyle w:val="Strong"/>
          <w:rFonts w:ascii="Times New Roman" w:hAnsi="Times New Roman"/>
          <w:b w:val="0"/>
          <w:sz w:val="20"/>
          <w:lang w:val="sq-AL"/>
        </w:rPr>
      </w:pPr>
    </w:p>
    <w:p w14:paraId="086207C7" w14:textId="77777777" w:rsidR="00526001" w:rsidRPr="008D797D" w:rsidRDefault="00526001" w:rsidP="00526001">
      <w:pPr>
        <w:rPr>
          <w:rStyle w:val="Strong"/>
          <w:rFonts w:ascii="Times New Roman" w:hAnsi="Times New Roman"/>
          <w:b w:val="0"/>
          <w:bCs w:val="0"/>
          <w:i/>
          <w:sz w:val="20"/>
          <w:lang w:val="sq-AL"/>
        </w:rPr>
      </w:pPr>
      <w:r w:rsidRPr="008D797D">
        <w:rPr>
          <w:rStyle w:val="Strong"/>
          <w:rFonts w:ascii="Times New Roman" w:hAnsi="Times New Roman"/>
          <w:b w:val="0"/>
          <w:i/>
          <w:sz w:val="20"/>
          <w:lang w:val="sq-AL"/>
        </w:rPr>
        <w:t xml:space="preserve">Tabelë: Vlera aktuale neto në total e çdo opsioni   </w:t>
      </w:r>
    </w:p>
    <w:p w14:paraId="33D10588" w14:textId="05E605B8" w:rsidR="00526001" w:rsidRPr="00C54FD9" w:rsidRDefault="00C54FD9" w:rsidP="00C54FD9">
      <w:pPr>
        <w:autoSpaceDE w:val="0"/>
        <w:autoSpaceDN w:val="0"/>
        <w:adjustRightInd w:val="0"/>
        <w:jc w:val="right"/>
        <w:rPr>
          <w:rFonts w:ascii="Times New Roman" w:hAnsi="Times New Roman"/>
          <w:b/>
          <w:color w:val="000000"/>
          <w:sz w:val="20"/>
          <w:lang w:val="sq-AL"/>
        </w:rPr>
      </w:pPr>
      <w:r w:rsidRPr="00C54FD9">
        <w:rPr>
          <w:rFonts w:ascii="Times New Roman" w:hAnsi="Times New Roman"/>
          <w:b/>
          <w:color w:val="000000"/>
          <w:sz w:val="20"/>
          <w:lang w:val="sq-AL"/>
        </w:rPr>
        <w:t>Në 000 lekë</w:t>
      </w:r>
    </w:p>
    <w:tbl>
      <w:tblPr>
        <w:tblStyle w:val="TableGrid"/>
        <w:tblW w:w="9810" w:type="dxa"/>
        <w:tblInd w:w="-275" w:type="dxa"/>
        <w:tblLook w:val="04A0" w:firstRow="1" w:lastRow="0" w:firstColumn="1" w:lastColumn="0" w:noHBand="0" w:noVBand="1"/>
      </w:tblPr>
      <w:tblGrid>
        <w:gridCol w:w="1698"/>
        <w:gridCol w:w="2258"/>
        <w:gridCol w:w="2410"/>
        <w:gridCol w:w="3444"/>
      </w:tblGrid>
      <w:tr w:rsidR="00526001" w:rsidRPr="008D797D" w14:paraId="1CA6F10E" w14:textId="77777777" w:rsidTr="00593DF7">
        <w:tc>
          <w:tcPr>
            <w:tcW w:w="1698" w:type="dxa"/>
            <w:vMerge w:val="restart"/>
          </w:tcPr>
          <w:p w14:paraId="74CDFAA2"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Opsioni</w:t>
            </w:r>
          </w:p>
        </w:tc>
        <w:tc>
          <w:tcPr>
            <w:tcW w:w="4668" w:type="dxa"/>
            <w:gridSpan w:val="2"/>
          </w:tcPr>
          <w:p w14:paraId="1D151CF4"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Vlera aktuale në milionë lekë</w:t>
            </w:r>
          </w:p>
        </w:tc>
        <w:tc>
          <w:tcPr>
            <w:tcW w:w="3444" w:type="dxa"/>
            <w:vMerge w:val="restart"/>
          </w:tcPr>
          <w:p w14:paraId="4E04791B"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r w:rsidRPr="008D797D">
              <w:rPr>
                <w:rFonts w:ascii="Times New Roman" w:hAnsi="Times New Roman"/>
                <w:b/>
                <w:sz w:val="20"/>
                <w:lang w:val="sq-AL"/>
              </w:rPr>
              <w:t>Vlera aktuale neto në milionë lekë</w:t>
            </w:r>
          </w:p>
        </w:tc>
      </w:tr>
      <w:tr w:rsidR="00526001" w:rsidRPr="008D797D" w14:paraId="3EAA6DB6" w14:textId="77777777" w:rsidTr="00593DF7">
        <w:tc>
          <w:tcPr>
            <w:tcW w:w="1698" w:type="dxa"/>
            <w:vMerge/>
          </w:tcPr>
          <w:p w14:paraId="4B7A5D4F" w14:textId="77777777" w:rsidR="00526001" w:rsidRPr="008D797D" w:rsidRDefault="00526001" w:rsidP="00593DF7">
            <w:pPr>
              <w:autoSpaceDE w:val="0"/>
              <w:autoSpaceDN w:val="0"/>
              <w:adjustRightInd w:val="0"/>
              <w:jc w:val="both"/>
              <w:rPr>
                <w:rFonts w:ascii="Times New Roman" w:hAnsi="Times New Roman"/>
                <w:sz w:val="20"/>
                <w:lang w:val="sq-AL"/>
              </w:rPr>
            </w:pPr>
          </w:p>
        </w:tc>
        <w:tc>
          <w:tcPr>
            <w:tcW w:w="2258" w:type="dxa"/>
          </w:tcPr>
          <w:p w14:paraId="305A7485" w14:textId="77777777" w:rsidR="00526001" w:rsidRPr="008D797D" w:rsidRDefault="00526001" w:rsidP="00593DF7">
            <w:pPr>
              <w:autoSpaceDE w:val="0"/>
              <w:autoSpaceDN w:val="0"/>
              <w:adjustRightInd w:val="0"/>
              <w:jc w:val="center"/>
              <w:rPr>
                <w:rFonts w:ascii="Times New Roman" w:hAnsi="Times New Roman"/>
                <w:b/>
                <w:sz w:val="20"/>
                <w:lang w:val="sq-AL"/>
              </w:rPr>
            </w:pPr>
            <w:r w:rsidRPr="008D797D">
              <w:rPr>
                <w:rFonts w:ascii="Times New Roman" w:hAnsi="Times New Roman"/>
                <w:b/>
                <w:sz w:val="20"/>
                <w:lang w:val="sq-AL"/>
              </w:rPr>
              <w:t>Kosto</w:t>
            </w:r>
          </w:p>
        </w:tc>
        <w:tc>
          <w:tcPr>
            <w:tcW w:w="2410" w:type="dxa"/>
          </w:tcPr>
          <w:p w14:paraId="1934DD79" w14:textId="77777777" w:rsidR="00526001" w:rsidRPr="008D797D" w:rsidRDefault="00526001" w:rsidP="00593DF7">
            <w:pPr>
              <w:autoSpaceDE w:val="0"/>
              <w:autoSpaceDN w:val="0"/>
              <w:adjustRightInd w:val="0"/>
              <w:jc w:val="center"/>
              <w:rPr>
                <w:rFonts w:ascii="Times New Roman" w:hAnsi="Times New Roman"/>
                <w:b/>
                <w:sz w:val="20"/>
                <w:lang w:val="sq-AL"/>
              </w:rPr>
            </w:pPr>
            <w:r w:rsidRPr="008D797D">
              <w:rPr>
                <w:rFonts w:ascii="Times New Roman" w:hAnsi="Times New Roman"/>
                <w:b/>
                <w:sz w:val="20"/>
                <w:lang w:val="sq-AL"/>
              </w:rPr>
              <w:t>Përfitimi</w:t>
            </w:r>
          </w:p>
        </w:tc>
        <w:tc>
          <w:tcPr>
            <w:tcW w:w="3444" w:type="dxa"/>
            <w:vMerge/>
          </w:tcPr>
          <w:p w14:paraId="1C21258E" w14:textId="77777777" w:rsidR="00526001" w:rsidRPr="008D797D" w:rsidRDefault="00526001" w:rsidP="00593DF7">
            <w:pPr>
              <w:autoSpaceDE w:val="0"/>
              <w:autoSpaceDN w:val="0"/>
              <w:adjustRightInd w:val="0"/>
              <w:jc w:val="center"/>
              <w:rPr>
                <w:rFonts w:ascii="Times New Roman" w:hAnsi="Times New Roman"/>
                <w:color w:val="000000"/>
                <w:sz w:val="20"/>
                <w:lang w:val="sq-AL"/>
              </w:rPr>
            </w:pPr>
          </w:p>
        </w:tc>
      </w:tr>
      <w:tr w:rsidR="00526001" w:rsidRPr="008D797D" w14:paraId="44277FC2" w14:textId="77777777" w:rsidTr="00593DF7">
        <w:tc>
          <w:tcPr>
            <w:tcW w:w="1698" w:type="dxa"/>
          </w:tcPr>
          <w:p w14:paraId="2B3FB0A4" w14:textId="10B4D91C" w:rsidR="00526001" w:rsidRPr="008D797D" w:rsidRDefault="00526001" w:rsidP="00593DF7">
            <w:pPr>
              <w:autoSpaceDE w:val="0"/>
              <w:autoSpaceDN w:val="0"/>
              <w:adjustRightInd w:val="0"/>
              <w:jc w:val="both"/>
              <w:rPr>
                <w:rFonts w:ascii="Times New Roman" w:hAnsi="Times New Roman"/>
                <w:color w:val="000000"/>
                <w:sz w:val="20"/>
                <w:lang w:val="sq-AL"/>
              </w:rPr>
            </w:pPr>
            <w:r w:rsidRPr="008D797D">
              <w:rPr>
                <w:rFonts w:ascii="Times New Roman" w:hAnsi="Times New Roman"/>
                <w:sz w:val="20"/>
                <w:lang w:val="sq-AL"/>
              </w:rPr>
              <w:t xml:space="preserve">Opsioni </w:t>
            </w:r>
            <w:r w:rsidR="00E9407E">
              <w:rPr>
                <w:rFonts w:ascii="Times New Roman" w:hAnsi="Times New Roman"/>
                <w:sz w:val="20"/>
                <w:lang w:val="sq-AL"/>
              </w:rPr>
              <w:t>3</w:t>
            </w:r>
          </w:p>
        </w:tc>
        <w:tc>
          <w:tcPr>
            <w:tcW w:w="2258" w:type="dxa"/>
          </w:tcPr>
          <w:p w14:paraId="45684F08" w14:textId="04F9D015" w:rsidR="00526001" w:rsidRPr="008D797D" w:rsidRDefault="00E9407E" w:rsidP="00E9407E">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6</w:t>
            </w:r>
          </w:p>
        </w:tc>
        <w:tc>
          <w:tcPr>
            <w:tcW w:w="2410" w:type="dxa"/>
          </w:tcPr>
          <w:p w14:paraId="4DACBC5F" w14:textId="7EB05EFC" w:rsidR="00526001" w:rsidRPr="008D797D"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8,073</w:t>
            </w:r>
          </w:p>
        </w:tc>
        <w:tc>
          <w:tcPr>
            <w:tcW w:w="3444" w:type="dxa"/>
          </w:tcPr>
          <w:p w14:paraId="76C379E0" w14:textId="4F38F3F0" w:rsidR="00526001" w:rsidRPr="008D797D"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2,073</w:t>
            </w:r>
          </w:p>
        </w:tc>
      </w:tr>
      <w:tr w:rsidR="00E9407E" w:rsidRPr="008D797D" w14:paraId="66D6E4DA" w14:textId="77777777" w:rsidTr="00593DF7">
        <w:tc>
          <w:tcPr>
            <w:tcW w:w="1698" w:type="dxa"/>
          </w:tcPr>
          <w:p w14:paraId="23556FE6" w14:textId="41025C1A" w:rsidR="00E9407E" w:rsidRPr="008D797D" w:rsidRDefault="00E9407E" w:rsidP="00593DF7">
            <w:pPr>
              <w:autoSpaceDE w:val="0"/>
              <w:autoSpaceDN w:val="0"/>
              <w:adjustRightInd w:val="0"/>
              <w:jc w:val="both"/>
              <w:rPr>
                <w:rFonts w:ascii="Times New Roman" w:hAnsi="Times New Roman"/>
                <w:sz w:val="20"/>
                <w:lang w:val="sq-AL"/>
              </w:rPr>
            </w:pPr>
            <w:r>
              <w:rPr>
                <w:rFonts w:ascii="Times New Roman" w:hAnsi="Times New Roman"/>
                <w:sz w:val="20"/>
                <w:lang w:val="sq-AL"/>
              </w:rPr>
              <w:t>Opsioni 0</w:t>
            </w:r>
          </w:p>
        </w:tc>
        <w:tc>
          <w:tcPr>
            <w:tcW w:w="2258" w:type="dxa"/>
          </w:tcPr>
          <w:p w14:paraId="1FB290EA" w14:textId="12941DE0"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2410" w:type="dxa"/>
          </w:tcPr>
          <w:p w14:paraId="206E29FD" w14:textId="574AD857"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c>
          <w:tcPr>
            <w:tcW w:w="3444" w:type="dxa"/>
          </w:tcPr>
          <w:p w14:paraId="3D4DA59A" w14:textId="6D5A63C2"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0</w:t>
            </w:r>
          </w:p>
        </w:tc>
      </w:tr>
      <w:tr w:rsidR="00E9407E" w:rsidRPr="008D797D" w14:paraId="3C3F2754" w14:textId="77777777" w:rsidTr="00593DF7">
        <w:tc>
          <w:tcPr>
            <w:tcW w:w="1698" w:type="dxa"/>
          </w:tcPr>
          <w:p w14:paraId="3BDCFC82" w14:textId="6727A09E" w:rsidR="00E9407E" w:rsidRPr="008D797D" w:rsidRDefault="00E9407E" w:rsidP="00593DF7">
            <w:pPr>
              <w:autoSpaceDE w:val="0"/>
              <w:autoSpaceDN w:val="0"/>
              <w:adjustRightInd w:val="0"/>
              <w:jc w:val="both"/>
              <w:rPr>
                <w:rFonts w:ascii="Times New Roman" w:hAnsi="Times New Roman"/>
                <w:sz w:val="20"/>
                <w:lang w:val="sq-AL"/>
              </w:rPr>
            </w:pPr>
            <w:r>
              <w:rPr>
                <w:rFonts w:ascii="Times New Roman" w:hAnsi="Times New Roman"/>
                <w:sz w:val="20"/>
                <w:lang w:val="sq-AL"/>
              </w:rPr>
              <w:t>Opsioni 1</w:t>
            </w:r>
          </w:p>
        </w:tc>
        <w:tc>
          <w:tcPr>
            <w:tcW w:w="2258" w:type="dxa"/>
          </w:tcPr>
          <w:p w14:paraId="27CFE663" w14:textId="03C41935"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c>
          <w:tcPr>
            <w:tcW w:w="2410" w:type="dxa"/>
          </w:tcPr>
          <w:p w14:paraId="6DC631AA" w14:textId="1507BAB6"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c>
          <w:tcPr>
            <w:tcW w:w="3444" w:type="dxa"/>
          </w:tcPr>
          <w:p w14:paraId="676C2E75" w14:textId="649281EA" w:rsidR="00E9407E" w:rsidRDefault="00E9407E"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r>
      <w:tr w:rsidR="00526001" w:rsidRPr="008D797D" w14:paraId="4D067389" w14:textId="77777777" w:rsidTr="00593DF7">
        <w:tc>
          <w:tcPr>
            <w:tcW w:w="1698" w:type="dxa"/>
          </w:tcPr>
          <w:p w14:paraId="3A5D1935" w14:textId="56F32AE8" w:rsidR="00526001" w:rsidRPr="008D797D" w:rsidRDefault="00526001" w:rsidP="00593DF7">
            <w:pPr>
              <w:autoSpaceDE w:val="0"/>
              <w:autoSpaceDN w:val="0"/>
              <w:adjustRightInd w:val="0"/>
              <w:jc w:val="both"/>
              <w:rPr>
                <w:rFonts w:ascii="Times New Roman" w:hAnsi="Times New Roman"/>
                <w:color w:val="000000"/>
                <w:sz w:val="20"/>
                <w:lang w:val="sq-AL"/>
              </w:rPr>
            </w:pPr>
            <w:r w:rsidRPr="008D797D">
              <w:rPr>
                <w:rFonts w:ascii="Times New Roman" w:hAnsi="Times New Roman"/>
                <w:sz w:val="20"/>
                <w:lang w:val="sq-AL"/>
              </w:rPr>
              <w:t xml:space="preserve">Opsioni </w:t>
            </w:r>
            <w:r w:rsidR="00E9407E">
              <w:rPr>
                <w:rFonts w:ascii="Times New Roman" w:hAnsi="Times New Roman"/>
                <w:sz w:val="20"/>
                <w:lang w:val="sq-AL"/>
              </w:rPr>
              <w:t>2</w:t>
            </w:r>
          </w:p>
        </w:tc>
        <w:tc>
          <w:tcPr>
            <w:tcW w:w="2258" w:type="dxa"/>
          </w:tcPr>
          <w:p w14:paraId="209CD707" w14:textId="2D2F1F62" w:rsidR="00526001" w:rsidRPr="008D797D" w:rsidRDefault="00747729"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c>
          <w:tcPr>
            <w:tcW w:w="2410" w:type="dxa"/>
          </w:tcPr>
          <w:p w14:paraId="3BF1FA0A" w14:textId="23CECEC7" w:rsidR="00526001" w:rsidRPr="008D797D" w:rsidRDefault="00747729"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c>
          <w:tcPr>
            <w:tcW w:w="3444" w:type="dxa"/>
          </w:tcPr>
          <w:p w14:paraId="4D122AF2" w14:textId="209D904E" w:rsidR="00526001" w:rsidRPr="008D797D" w:rsidRDefault="00747729" w:rsidP="00593DF7">
            <w:pPr>
              <w:autoSpaceDE w:val="0"/>
              <w:autoSpaceDN w:val="0"/>
              <w:adjustRightInd w:val="0"/>
              <w:jc w:val="center"/>
              <w:rPr>
                <w:rFonts w:ascii="Times New Roman" w:hAnsi="Times New Roman"/>
                <w:color w:val="000000"/>
                <w:sz w:val="20"/>
                <w:lang w:val="sq-AL"/>
              </w:rPr>
            </w:pPr>
            <w:r>
              <w:rPr>
                <w:rFonts w:ascii="Times New Roman" w:hAnsi="Times New Roman"/>
                <w:color w:val="000000"/>
                <w:sz w:val="20"/>
                <w:lang w:val="sq-AL"/>
              </w:rPr>
              <w:t>-</w:t>
            </w:r>
          </w:p>
        </w:tc>
      </w:tr>
    </w:tbl>
    <w:p w14:paraId="38F25B76" w14:textId="65443052" w:rsidR="00076E7A" w:rsidRDefault="00076E7A" w:rsidP="00B30D16">
      <w:pPr>
        <w:spacing w:line="276" w:lineRule="auto"/>
        <w:jc w:val="both"/>
        <w:rPr>
          <w:rFonts w:ascii="Times New Roman" w:hAnsi="Times New Roman"/>
          <w:b/>
          <w:sz w:val="20"/>
          <w:lang w:val="sq-AL"/>
        </w:rPr>
      </w:pPr>
    </w:p>
    <w:p w14:paraId="6FB2765C" w14:textId="2B58A74E" w:rsidR="00076E7A" w:rsidRDefault="00076E7A" w:rsidP="00076E7A">
      <w:pPr>
        <w:spacing w:line="276" w:lineRule="auto"/>
        <w:jc w:val="both"/>
        <w:rPr>
          <w:b/>
          <w:szCs w:val="24"/>
          <w:lang w:val="sq-AL"/>
        </w:rPr>
      </w:pPr>
    </w:p>
    <w:p w14:paraId="67A2A888" w14:textId="7EF5BD9E" w:rsidR="00076E7A" w:rsidRPr="00325A1F" w:rsidRDefault="00076E7A" w:rsidP="00C9516B">
      <w:pPr>
        <w:spacing w:line="276" w:lineRule="auto"/>
        <w:jc w:val="center"/>
        <w:rPr>
          <w:b/>
          <w:szCs w:val="24"/>
          <w:lang w:val="sq-AL"/>
        </w:rPr>
      </w:pPr>
      <w:r w:rsidRPr="00325A1F">
        <w:rPr>
          <w:b/>
          <w:szCs w:val="24"/>
          <w:lang w:val="sq-AL"/>
        </w:rPr>
        <w:t>MINISTËR</w:t>
      </w:r>
    </w:p>
    <w:p w14:paraId="6628535A" w14:textId="77777777" w:rsidR="00076E7A" w:rsidRPr="00325A1F" w:rsidRDefault="00076E7A" w:rsidP="00076E7A">
      <w:pPr>
        <w:spacing w:line="276" w:lineRule="auto"/>
        <w:jc w:val="center"/>
        <w:rPr>
          <w:b/>
          <w:szCs w:val="24"/>
          <w:lang w:val="sq-AL"/>
        </w:rPr>
      </w:pPr>
      <w:r w:rsidRPr="00B01DE3">
        <w:rPr>
          <w:b/>
          <w:szCs w:val="24"/>
          <w:lang w:val="sq-AL"/>
        </w:rPr>
        <w:t>DELINA IBRAHIMAJ</w:t>
      </w:r>
    </w:p>
    <w:p w14:paraId="05DF2CD1" w14:textId="77777777" w:rsidR="00076E7A" w:rsidRPr="008D797D" w:rsidRDefault="00076E7A" w:rsidP="00B30D16">
      <w:pPr>
        <w:spacing w:line="276" w:lineRule="auto"/>
        <w:jc w:val="both"/>
        <w:rPr>
          <w:rFonts w:ascii="Times New Roman" w:hAnsi="Times New Roman"/>
          <w:b/>
          <w:sz w:val="20"/>
          <w:lang w:val="sq-AL"/>
        </w:rPr>
      </w:pPr>
    </w:p>
    <w:sectPr w:rsidR="00076E7A" w:rsidRPr="008D797D" w:rsidSect="00DE2865">
      <w:headerReference w:type="default" r:id="rId8"/>
      <w:footerReference w:type="default" r:id="rId9"/>
      <w:headerReference w:type="first" r:id="rId10"/>
      <w:pgSz w:w="11906" w:h="16838"/>
      <w:pgMar w:top="851" w:right="1440" w:bottom="1440" w:left="1440" w:header="284" w:footer="52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5ABD" w16cex:dateUtc="2023-04-13T08:41:00Z"/>
  <w16cex:commentExtensible w16cex:durableId="27E25B2E" w16cex:dateUtc="2023-04-13T08:42:00Z"/>
  <w16cex:commentExtensible w16cex:durableId="494837D7" w16cex:dateUtc="2023-04-20T13:54:00Z"/>
  <w16cex:commentExtensible w16cex:durableId="65335099" w16cex:dateUtc="2023-04-20T14:20:00Z"/>
  <w16cex:commentExtensible w16cex:durableId="01FB696D" w16cex:dateUtc="2023-04-03T14:10:00Z"/>
  <w16cex:commentExtensible w16cex:durableId="27E275E8" w16cex:dateUtc="2023-04-13T10:3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20FA3" w14:textId="77777777" w:rsidR="00CF08ED" w:rsidRDefault="00CF08ED" w:rsidP="008F3AC0">
      <w:r>
        <w:separator/>
      </w:r>
    </w:p>
  </w:endnote>
  <w:endnote w:type="continuationSeparator" w:id="0">
    <w:p w14:paraId="5CE244C6" w14:textId="77777777" w:rsidR="00CF08ED" w:rsidRDefault="00CF08ED"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6CED54DD" w14:textId="2CD42C55" w:rsidR="00516D2A" w:rsidRDefault="00516D2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2639D">
          <w:rPr>
            <w:rFonts w:ascii="Times New Roman" w:hAnsi="Times New Roman"/>
            <w:noProof/>
          </w:rPr>
          <w:t>28</w:t>
        </w:r>
        <w:r w:rsidRPr="00900286">
          <w:rPr>
            <w:rFonts w:ascii="Times New Roman" w:hAnsi="Times New Roman"/>
            <w:noProof/>
          </w:rPr>
          <w:fldChar w:fldCharType="end"/>
        </w:r>
      </w:p>
    </w:sdtContent>
  </w:sdt>
  <w:p w14:paraId="67DD9CCA" w14:textId="77777777" w:rsidR="00516D2A" w:rsidRDefault="00516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C29F1" w14:textId="77777777" w:rsidR="00CF08ED" w:rsidRDefault="00CF08ED" w:rsidP="008F3AC0">
      <w:r>
        <w:separator/>
      </w:r>
    </w:p>
  </w:footnote>
  <w:footnote w:type="continuationSeparator" w:id="0">
    <w:p w14:paraId="16C6F61F" w14:textId="77777777" w:rsidR="00CF08ED" w:rsidRDefault="00CF08ED"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8D9E" w14:textId="77777777" w:rsidR="00516D2A" w:rsidRDefault="00516D2A">
    <w:pPr>
      <w:pStyle w:val="Header"/>
    </w:pPr>
  </w:p>
  <w:p w14:paraId="7335C914" w14:textId="77777777" w:rsidR="00516D2A" w:rsidRDefault="00516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DDA32" w14:textId="77777777" w:rsidR="00516D2A" w:rsidRDefault="00516D2A" w:rsidP="0033461E">
    <w:pPr>
      <w:pStyle w:val="Header"/>
      <w:ind w:left="-1418"/>
    </w:pPr>
  </w:p>
  <w:p w14:paraId="4118AA86" w14:textId="77777777" w:rsidR="00516D2A" w:rsidRDefault="00516D2A" w:rsidP="0033461E">
    <w:pPr>
      <w:pStyle w:val="Header"/>
      <w:ind w:left="-1418"/>
    </w:pPr>
  </w:p>
  <w:p w14:paraId="6A52A1FB" w14:textId="77777777" w:rsidR="00516D2A" w:rsidRDefault="00516D2A"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762"/>
    <w:multiLevelType w:val="hybridMultilevel"/>
    <w:tmpl w:val="BD9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CC167B"/>
    <w:multiLevelType w:val="hybridMultilevel"/>
    <w:tmpl w:val="C7C8F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1FAF3A6B"/>
    <w:multiLevelType w:val="hybridMultilevel"/>
    <w:tmpl w:val="6FD8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4C0BB8"/>
    <w:multiLevelType w:val="hybridMultilevel"/>
    <w:tmpl w:val="ECD2EA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9">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1E2CC5"/>
    <w:multiLevelType w:val="hybridMultilevel"/>
    <w:tmpl w:val="C7128246"/>
    <w:lvl w:ilvl="0" w:tplc="82961A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022ED"/>
    <w:multiLevelType w:val="hybridMultilevel"/>
    <w:tmpl w:val="3E4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9648E"/>
    <w:multiLevelType w:val="hybridMultilevel"/>
    <w:tmpl w:val="D1E03460"/>
    <w:lvl w:ilvl="0" w:tplc="0D421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485F34"/>
    <w:multiLevelType w:val="hybridMultilevel"/>
    <w:tmpl w:val="D840A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31FAB"/>
    <w:multiLevelType w:val="hybridMultilevel"/>
    <w:tmpl w:val="90F23C9E"/>
    <w:lvl w:ilvl="0" w:tplc="EBD4BB0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786FA8"/>
    <w:multiLevelType w:val="hybridMultilevel"/>
    <w:tmpl w:val="9A86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D402FA"/>
    <w:multiLevelType w:val="hybridMultilevel"/>
    <w:tmpl w:val="B05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56635F"/>
    <w:multiLevelType w:val="hybridMultilevel"/>
    <w:tmpl w:val="1A9C17C4"/>
    <w:lvl w:ilvl="0" w:tplc="4D38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55EB9"/>
    <w:multiLevelType w:val="hybridMultilevel"/>
    <w:tmpl w:val="5C827302"/>
    <w:lvl w:ilvl="0" w:tplc="46604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ED4B17"/>
    <w:multiLevelType w:val="hybridMultilevel"/>
    <w:tmpl w:val="D416D44A"/>
    <w:lvl w:ilvl="0" w:tplc="209EB01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9"/>
  </w:num>
  <w:num w:numId="3">
    <w:abstractNumId w:val="8"/>
  </w:num>
  <w:num w:numId="4">
    <w:abstractNumId w:val="9"/>
  </w:num>
  <w:num w:numId="5">
    <w:abstractNumId w:val="4"/>
  </w:num>
  <w:num w:numId="6">
    <w:abstractNumId w:val="16"/>
  </w:num>
  <w:num w:numId="7">
    <w:abstractNumId w:val="26"/>
  </w:num>
  <w:num w:numId="8">
    <w:abstractNumId w:val="1"/>
  </w:num>
  <w:num w:numId="9">
    <w:abstractNumId w:val="7"/>
  </w:num>
  <w:num w:numId="10">
    <w:abstractNumId w:val="11"/>
  </w:num>
  <w:num w:numId="11">
    <w:abstractNumId w:val="18"/>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 w:numId="17">
    <w:abstractNumId w:val="24"/>
  </w:num>
  <w:num w:numId="18">
    <w:abstractNumId w:val="25"/>
  </w:num>
  <w:num w:numId="19">
    <w:abstractNumId w:val="10"/>
  </w:num>
  <w:num w:numId="20">
    <w:abstractNumId w:val="6"/>
  </w:num>
  <w:num w:numId="21">
    <w:abstractNumId w:val="12"/>
  </w:num>
  <w:num w:numId="22">
    <w:abstractNumId w:val="13"/>
  </w:num>
  <w:num w:numId="23">
    <w:abstractNumId w:val="22"/>
  </w:num>
  <w:num w:numId="24">
    <w:abstractNumId w:val="21"/>
  </w:num>
  <w:num w:numId="25">
    <w:abstractNumId w:val="20"/>
  </w:num>
  <w:num w:numId="26">
    <w:abstractNumId w:val="0"/>
  </w:num>
  <w:num w:numId="27">
    <w:abstractNumId w:val="15"/>
  </w:num>
  <w:num w:numId="2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1344"/>
    <w:rsid w:val="00002821"/>
    <w:rsid w:val="00002EB5"/>
    <w:rsid w:val="0000418A"/>
    <w:rsid w:val="00004A29"/>
    <w:rsid w:val="00005E02"/>
    <w:rsid w:val="0000672C"/>
    <w:rsid w:val="00006A54"/>
    <w:rsid w:val="00006D27"/>
    <w:rsid w:val="0000725D"/>
    <w:rsid w:val="000072CF"/>
    <w:rsid w:val="00010E50"/>
    <w:rsid w:val="000111E5"/>
    <w:rsid w:val="000112AD"/>
    <w:rsid w:val="000139F7"/>
    <w:rsid w:val="000156D5"/>
    <w:rsid w:val="00016213"/>
    <w:rsid w:val="000164D4"/>
    <w:rsid w:val="000173B8"/>
    <w:rsid w:val="000176C6"/>
    <w:rsid w:val="0002007E"/>
    <w:rsid w:val="00020E0A"/>
    <w:rsid w:val="0002178B"/>
    <w:rsid w:val="00021D88"/>
    <w:rsid w:val="000221EB"/>
    <w:rsid w:val="00022384"/>
    <w:rsid w:val="000223CF"/>
    <w:rsid w:val="000244E9"/>
    <w:rsid w:val="000250B5"/>
    <w:rsid w:val="00030710"/>
    <w:rsid w:val="00030733"/>
    <w:rsid w:val="0003126C"/>
    <w:rsid w:val="00031E1A"/>
    <w:rsid w:val="0003388E"/>
    <w:rsid w:val="00040BA6"/>
    <w:rsid w:val="0004206A"/>
    <w:rsid w:val="000429A6"/>
    <w:rsid w:val="00042C04"/>
    <w:rsid w:val="00044EED"/>
    <w:rsid w:val="00045A08"/>
    <w:rsid w:val="00045FA6"/>
    <w:rsid w:val="00050628"/>
    <w:rsid w:val="0005136E"/>
    <w:rsid w:val="00052203"/>
    <w:rsid w:val="0005241F"/>
    <w:rsid w:val="00052CA5"/>
    <w:rsid w:val="00052D63"/>
    <w:rsid w:val="000530BD"/>
    <w:rsid w:val="00053A93"/>
    <w:rsid w:val="00055612"/>
    <w:rsid w:val="000568DE"/>
    <w:rsid w:val="00057028"/>
    <w:rsid w:val="00057093"/>
    <w:rsid w:val="00057C09"/>
    <w:rsid w:val="00061C6C"/>
    <w:rsid w:val="000621D1"/>
    <w:rsid w:val="000631D3"/>
    <w:rsid w:val="00063CA2"/>
    <w:rsid w:val="000647D1"/>
    <w:rsid w:val="000659A1"/>
    <w:rsid w:val="00065E17"/>
    <w:rsid w:val="000663E3"/>
    <w:rsid w:val="0006664C"/>
    <w:rsid w:val="00067364"/>
    <w:rsid w:val="00071772"/>
    <w:rsid w:val="000728D9"/>
    <w:rsid w:val="000732D1"/>
    <w:rsid w:val="00074443"/>
    <w:rsid w:val="00074D7C"/>
    <w:rsid w:val="000753C3"/>
    <w:rsid w:val="00075E46"/>
    <w:rsid w:val="00076429"/>
    <w:rsid w:val="00076E7A"/>
    <w:rsid w:val="00076EAD"/>
    <w:rsid w:val="0008158B"/>
    <w:rsid w:val="000829BE"/>
    <w:rsid w:val="0008314C"/>
    <w:rsid w:val="00084B06"/>
    <w:rsid w:val="000871A3"/>
    <w:rsid w:val="00087677"/>
    <w:rsid w:val="00087E0B"/>
    <w:rsid w:val="0009262F"/>
    <w:rsid w:val="00092E70"/>
    <w:rsid w:val="000932EE"/>
    <w:rsid w:val="0009346C"/>
    <w:rsid w:val="00093ED2"/>
    <w:rsid w:val="0009427B"/>
    <w:rsid w:val="000948F7"/>
    <w:rsid w:val="00094B02"/>
    <w:rsid w:val="00095C63"/>
    <w:rsid w:val="00097E83"/>
    <w:rsid w:val="000A0A0F"/>
    <w:rsid w:val="000A0B3F"/>
    <w:rsid w:val="000A0EB3"/>
    <w:rsid w:val="000A1F62"/>
    <w:rsid w:val="000A20EF"/>
    <w:rsid w:val="000A2E66"/>
    <w:rsid w:val="000A4142"/>
    <w:rsid w:val="000A416D"/>
    <w:rsid w:val="000A4CAE"/>
    <w:rsid w:val="000A51D1"/>
    <w:rsid w:val="000A5DD1"/>
    <w:rsid w:val="000A655A"/>
    <w:rsid w:val="000A69A1"/>
    <w:rsid w:val="000A72C3"/>
    <w:rsid w:val="000A7645"/>
    <w:rsid w:val="000B0370"/>
    <w:rsid w:val="000B091A"/>
    <w:rsid w:val="000B1574"/>
    <w:rsid w:val="000B1AFA"/>
    <w:rsid w:val="000B2ADE"/>
    <w:rsid w:val="000B2B77"/>
    <w:rsid w:val="000B2D1C"/>
    <w:rsid w:val="000B3CD7"/>
    <w:rsid w:val="000B3EA8"/>
    <w:rsid w:val="000B3F05"/>
    <w:rsid w:val="000B59DC"/>
    <w:rsid w:val="000B5DBF"/>
    <w:rsid w:val="000B6151"/>
    <w:rsid w:val="000B7046"/>
    <w:rsid w:val="000B722C"/>
    <w:rsid w:val="000B7F59"/>
    <w:rsid w:val="000C035A"/>
    <w:rsid w:val="000C09B5"/>
    <w:rsid w:val="000C1546"/>
    <w:rsid w:val="000C35CB"/>
    <w:rsid w:val="000C3F9A"/>
    <w:rsid w:val="000C4C48"/>
    <w:rsid w:val="000C4DB4"/>
    <w:rsid w:val="000C4E43"/>
    <w:rsid w:val="000C5500"/>
    <w:rsid w:val="000C5DE2"/>
    <w:rsid w:val="000C63A1"/>
    <w:rsid w:val="000C6607"/>
    <w:rsid w:val="000D030E"/>
    <w:rsid w:val="000D03D6"/>
    <w:rsid w:val="000D0F47"/>
    <w:rsid w:val="000D3314"/>
    <w:rsid w:val="000D3A5D"/>
    <w:rsid w:val="000D3BD0"/>
    <w:rsid w:val="000D3E4E"/>
    <w:rsid w:val="000D4F23"/>
    <w:rsid w:val="000D5453"/>
    <w:rsid w:val="000D5B91"/>
    <w:rsid w:val="000D5C7F"/>
    <w:rsid w:val="000D628B"/>
    <w:rsid w:val="000D7524"/>
    <w:rsid w:val="000D790B"/>
    <w:rsid w:val="000D7929"/>
    <w:rsid w:val="000D7A1A"/>
    <w:rsid w:val="000E01A1"/>
    <w:rsid w:val="000E03D2"/>
    <w:rsid w:val="000E0909"/>
    <w:rsid w:val="000E0DCC"/>
    <w:rsid w:val="000E2AF9"/>
    <w:rsid w:val="000E3AE7"/>
    <w:rsid w:val="000E5AEF"/>
    <w:rsid w:val="000E5DC2"/>
    <w:rsid w:val="000E7518"/>
    <w:rsid w:val="000E7850"/>
    <w:rsid w:val="000F0C50"/>
    <w:rsid w:val="000F15A7"/>
    <w:rsid w:val="000F294B"/>
    <w:rsid w:val="000F39CE"/>
    <w:rsid w:val="000F3CE9"/>
    <w:rsid w:val="000F4D1D"/>
    <w:rsid w:val="000F4EF0"/>
    <w:rsid w:val="000F64F7"/>
    <w:rsid w:val="000F7347"/>
    <w:rsid w:val="000F79B8"/>
    <w:rsid w:val="00100608"/>
    <w:rsid w:val="001009D3"/>
    <w:rsid w:val="001013F4"/>
    <w:rsid w:val="00102581"/>
    <w:rsid w:val="00103FCF"/>
    <w:rsid w:val="0010488E"/>
    <w:rsid w:val="00105BB5"/>
    <w:rsid w:val="001062A4"/>
    <w:rsid w:val="00107165"/>
    <w:rsid w:val="00107E15"/>
    <w:rsid w:val="001127D4"/>
    <w:rsid w:val="00112FAD"/>
    <w:rsid w:val="00113034"/>
    <w:rsid w:val="001132DF"/>
    <w:rsid w:val="0011612D"/>
    <w:rsid w:val="00116819"/>
    <w:rsid w:val="00116A0C"/>
    <w:rsid w:val="00117375"/>
    <w:rsid w:val="00117B44"/>
    <w:rsid w:val="00120558"/>
    <w:rsid w:val="001214D9"/>
    <w:rsid w:val="001214F4"/>
    <w:rsid w:val="00122A20"/>
    <w:rsid w:val="00122ECB"/>
    <w:rsid w:val="0012307F"/>
    <w:rsid w:val="00123491"/>
    <w:rsid w:val="0012398A"/>
    <w:rsid w:val="00124A4D"/>
    <w:rsid w:val="00125F0F"/>
    <w:rsid w:val="00126712"/>
    <w:rsid w:val="00126BA0"/>
    <w:rsid w:val="00127D88"/>
    <w:rsid w:val="0013001B"/>
    <w:rsid w:val="00130FB9"/>
    <w:rsid w:val="00132892"/>
    <w:rsid w:val="00133230"/>
    <w:rsid w:val="0013471F"/>
    <w:rsid w:val="00134E24"/>
    <w:rsid w:val="001350C3"/>
    <w:rsid w:val="00135B8B"/>
    <w:rsid w:val="001365BD"/>
    <w:rsid w:val="0013699E"/>
    <w:rsid w:val="00137433"/>
    <w:rsid w:val="00137DAE"/>
    <w:rsid w:val="00137F30"/>
    <w:rsid w:val="001408A7"/>
    <w:rsid w:val="0014130C"/>
    <w:rsid w:val="00143B63"/>
    <w:rsid w:val="00144693"/>
    <w:rsid w:val="00144697"/>
    <w:rsid w:val="00144AC5"/>
    <w:rsid w:val="00145AC0"/>
    <w:rsid w:val="00145CC2"/>
    <w:rsid w:val="00145D6E"/>
    <w:rsid w:val="0014655E"/>
    <w:rsid w:val="00147CC9"/>
    <w:rsid w:val="00147E6F"/>
    <w:rsid w:val="00151109"/>
    <w:rsid w:val="00151BF6"/>
    <w:rsid w:val="00152841"/>
    <w:rsid w:val="00153378"/>
    <w:rsid w:val="0015452A"/>
    <w:rsid w:val="00154841"/>
    <w:rsid w:val="00155085"/>
    <w:rsid w:val="0015512C"/>
    <w:rsid w:val="00160654"/>
    <w:rsid w:val="00160761"/>
    <w:rsid w:val="00160F2C"/>
    <w:rsid w:val="00161A3E"/>
    <w:rsid w:val="00161D93"/>
    <w:rsid w:val="001642D5"/>
    <w:rsid w:val="00166840"/>
    <w:rsid w:val="001677C7"/>
    <w:rsid w:val="00171124"/>
    <w:rsid w:val="0017132D"/>
    <w:rsid w:val="00171CE1"/>
    <w:rsid w:val="0017201D"/>
    <w:rsid w:val="00172650"/>
    <w:rsid w:val="00172B31"/>
    <w:rsid w:val="001738FA"/>
    <w:rsid w:val="00173FFD"/>
    <w:rsid w:val="00176106"/>
    <w:rsid w:val="00176687"/>
    <w:rsid w:val="001769E8"/>
    <w:rsid w:val="001770C8"/>
    <w:rsid w:val="001834BA"/>
    <w:rsid w:val="001841D9"/>
    <w:rsid w:val="00185A30"/>
    <w:rsid w:val="00186ABD"/>
    <w:rsid w:val="001902B2"/>
    <w:rsid w:val="0019192A"/>
    <w:rsid w:val="00192726"/>
    <w:rsid w:val="00192C35"/>
    <w:rsid w:val="00193A00"/>
    <w:rsid w:val="001945DF"/>
    <w:rsid w:val="001947DD"/>
    <w:rsid w:val="001949D2"/>
    <w:rsid w:val="00195BCC"/>
    <w:rsid w:val="00195C41"/>
    <w:rsid w:val="00197BED"/>
    <w:rsid w:val="001A061F"/>
    <w:rsid w:val="001A09AE"/>
    <w:rsid w:val="001A1047"/>
    <w:rsid w:val="001A1A90"/>
    <w:rsid w:val="001A1FA8"/>
    <w:rsid w:val="001A2B2D"/>
    <w:rsid w:val="001A36D2"/>
    <w:rsid w:val="001A3B68"/>
    <w:rsid w:val="001A426E"/>
    <w:rsid w:val="001A48ED"/>
    <w:rsid w:val="001A6743"/>
    <w:rsid w:val="001A7ED0"/>
    <w:rsid w:val="001B1338"/>
    <w:rsid w:val="001B1C3C"/>
    <w:rsid w:val="001B2360"/>
    <w:rsid w:val="001B2C2D"/>
    <w:rsid w:val="001B43D8"/>
    <w:rsid w:val="001B47EB"/>
    <w:rsid w:val="001B4EDD"/>
    <w:rsid w:val="001B54E1"/>
    <w:rsid w:val="001B5D64"/>
    <w:rsid w:val="001B6B89"/>
    <w:rsid w:val="001B786F"/>
    <w:rsid w:val="001B7E18"/>
    <w:rsid w:val="001C063D"/>
    <w:rsid w:val="001C1DE6"/>
    <w:rsid w:val="001C4E2E"/>
    <w:rsid w:val="001C66DC"/>
    <w:rsid w:val="001C6806"/>
    <w:rsid w:val="001C6C72"/>
    <w:rsid w:val="001D0299"/>
    <w:rsid w:val="001D06E5"/>
    <w:rsid w:val="001D0ABD"/>
    <w:rsid w:val="001D0D46"/>
    <w:rsid w:val="001D2B90"/>
    <w:rsid w:val="001D308F"/>
    <w:rsid w:val="001D653C"/>
    <w:rsid w:val="001D6C2B"/>
    <w:rsid w:val="001E1CC4"/>
    <w:rsid w:val="001E289E"/>
    <w:rsid w:val="001E46A3"/>
    <w:rsid w:val="001E51B3"/>
    <w:rsid w:val="001E6B56"/>
    <w:rsid w:val="001E7335"/>
    <w:rsid w:val="001E745F"/>
    <w:rsid w:val="001F3336"/>
    <w:rsid w:val="001F386C"/>
    <w:rsid w:val="001F3BFD"/>
    <w:rsid w:val="001F581C"/>
    <w:rsid w:val="001F6F71"/>
    <w:rsid w:val="001F7950"/>
    <w:rsid w:val="00204D2F"/>
    <w:rsid w:val="00206BBE"/>
    <w:rsid w:val="00207FE4"/>
    <w:rsid w:val="00211E76"/>
    <w:rsid w:val="00216EA8"/>
    <w:rsid w:val="00217F27"/>
    <w:rsid w:val="002216B2"/>
    <w:rsid w:val="002242B0"/>
    <w:rsid w:val="002244E8"/>
    <w:rsid w:val="002246D5"/>
    <w:rsid w:val="00225B58"/>
    <w:rsid w:val="00225FE5"/>
    <w:rsid w:val="00226BA4"/>
    <w:rsid w:val="002270A9"/>
    <w:rsid w:val="0022772F"/>
    <w:rsid w:val="00227820"/>
    <w:rsid w:val="00230BA8"/>
    <w:rsid w:val="00232561"/>
    <w:rsid w:val="002333D9"/>
    <w:rsid w:val="00233E7E"/>
    <w:rsid w:val="00234D02"/>
    <w:rsid w:val="00234D48"/>
    <w:rsid w:val="00236C29"/>
    <w:rsid w:val="00237152"/>
    <w:rsid w:val="00237B2A"/>
    <w:rsid w:val="002409BD"/>
    <w:rsid w:val="00242B9F"/>
    <w:rsid w:val="00242F73"/>
    <w:rsid w:val="00244635"/>
    <w:rsid w:val="0024497F"/>
    <w:rsid w:val="00244F51"/>
    <w:rsid w:val="00245477"/>
    <w:rsid w:val="0024652F"/>
    <w:rsid w:val="00247415"/>
    <w:rsid w:val="00247A5B"/>
    <w:rsid w:val="00247BBF"/>
    <w:rsid w:val="00252B8F"/>
    <w:rsid w:val="00252E9E"/>
    <w:rsid w:val="002535B4"/>
    <w:rsid w:val="00254500"/>
    <w:rsid w:val="00254AA6"/>
    <w:rsid w:val="00255E4B"/>
    <w:rsid w:val="00256179"/>
    <w:rsid w:val="00256354"/>
    <w:rsid w:val="002566D1"/>
    <w:rsid w:val="00257404"/>
    <w:rsid w:val="00257570"/>
    <w:rsid w:val="00257B2E"/>
    <w:rsid w:val="00260821"/>
    <w:rsid w:val="00261AFA"/>
    <w:rsid w:val="002621B6"/>
    <w:rsid w:val="002641DD"/>
    <w:rsid w:val="0026460F"/>
    <w:rsid w:val="00264F89"/>
    <w:rsid w:val="00265156"/>
    <w:rsid w:val="00265304"/>
    <w:rsid w:val="002655CA"/>
    <w:rsid w:val="00265F03"/>
    <w:rsid w:val="0026651B"/>
    <w:rsid w:val="0026766C"/>
    <w:rsid w:val="002701BB"/>
    <w:rsid w:val="00270C2C"/>
    <w:rsid w:val="00270EE0"/>
    <w:rsid w:val="00270F9C"/>
    <w:rsid w:val="00271C84"/>
    <w:rsid w:val="00273AD2"/>
    <w:rsid w:val="00273E26"/>
    <w:rsid w:val="002747E9"/>
    <w:rsid w:val="0027495F"/>
    <w:rsid w:val="00274B58"/>
    <w:rsid w:val="00274BC4"/>
    <w:rsid w:val="00275084"/>
    <w:rsid w:val="00276B87"/>
    <w:rsid w:val="00280AC3"/>
    <w:rsid w:val="00282536"/>
    <w:rsid w:val="00282808"/>
    <w:rsid w:val="002847A9"/>
    <w:rsid w:val="0028480B"/>
    <w:rsid w:val="002901C1"/>
    <w:rsid w:val="002908DA"/>
    <w:rsid w:val="00290F1A"/>
    <w:rsid w:val="002910A7"/>
    <w:rsid w:val="00291EFD"/>
    <w:rsid w:val="002920FF"/>
    <w:rsid w:val="002925CF"/>
    <w:rsid w:val="00293355"/>
    <w:rsid w:val="00293482"/>
    <w:rsid w:val="00293990"/>
    <w:rsid w:val="00293D4C"/>
    <w:rsid w:val="00293E8A"/>
    <w:rsid w:val="00294256"/>
    <w:rsid w:val="002951D9"/>
    <w:rsid w:val="00295BC9"/>
    <w:rsid w:val="002966BE"/>
    <w:rsid w:val="00296F69"/>
    <w:rsid w:val="00297089"/>
    <w:rsid w:val="002A0720"/>
    <w:rsid w:val="002A1CA4"/>
    <w:rsid w:val="002A211E"/>
    <w:rsid w:val="002A46D4"/>
    <w:rsid w:val="002A49D8"/>
    <w:rsid w:val="002A5F08"/>
    <w:rsid w:val="002A7840"/>
    <w:rsid w:val="002B28C4"/>
    <w:rsid w:val="002B328F"/>
    <w:rsid w:val="002B3FAF"/>
    <w:rsid w:val="002B427F"/>
    <w:rsid w:val="002B528A"/>
    <w:rsid w:val="002B6642"/>
    <w:rsid w:val="002B70F4"/>
    <w:rsid w:val="002B79D7"/>
    <w:rsid w:val="002C0272"/>
    <w:rsid w:val="002C0F9F"/>
    <w:rsid w:val="002C17EE"/>
    <w:rsid w:val="002C198A"/>
    <w:rsid w:val="002C3CA6"/>
    <w:rsid w:val="002C5BEA"/>
    <w:rsid w:val="002C73C1"/>
    <w:rsid w:val="002C7E6C"/>
    <w:rsid w:val="002C7EE3"/>
    <w:rsid w:val="002D0512"/>
    <w:rsid w:val="002D1296"/>
    <w:rsid w:val="002D197B"/>
    <w:rsid w:val="002D1A45"/>
    <w:rsid w:val="002D1DD8"/>
    <w:rsid w:val="002D2087"/>
    <w:rsid w:val="002D268A"/>
    <w:rsid w:val="002D282F"/>
    <w:rsid w:val="002D2833"/>
    <w:rsid w:val="002D37A7"/>
    <w:rsid w:val="002D5ED9"/>
    <w:rsid w:val="002D795F"/>
    <w:rsid w:val="002E01FD"/>
    <w:rsid w:val="002E1B9A"/>
    <w:rsid w:val="002E2D11"/>
    <w:rsid w:val="002E2F78"/>
    <w:rsid w:val="002E366C"/>
    <w:rsid w:val="002E3CA8"/>
    <w:rsid w:val="002E43D5"/>
    <w:rsid w:val="002E443E"/>
    <w:rsid w:val="002E644F"/>
    <w:rsid w:val="002E64B2"/>
    <w:rsid w:val="002E746E"/>
    <w:rsid w:val="002E7ECD"/>
    <w:rsid w:val="002F0C65"/>
    <w:rsid w:val="002F320B"/>
    <w:rsid w:val="002F3D90"/>
    <w:rsid w:val="002F4BEC"/>
    <w:rsid w:val="002F5636"/>
    <w:rsid w:val="002F58ED"/>
    <w:rsid w:val="002F7B97"/>
    <w:rsid w:val="003003B8"/>
    <w:rsid w:val="00300B41"/>
    <w:rsid w:val="00301736"/>
    <w:rsid w:val="00304735"/>
    <w:rsid w:val="003049BB"/>
    <w:rsid w:val="00304FD0"/>
    <w:rsid w:val="003069A3"/>
    <w:rsid w:val="00307A3E"/>
    <w:rsid w:val="00310C25"/>
    <w:rsid w:val="003113B4"/>
    <w:rsid w:val="00311785"/>
    <w:rsid w:val="00311A66"/>
    <w:rsid w:val="00312067"/>
    <w:rsid w:val="003132A8"/>
    <w:rsid w:val="00314B71"/>
    <w:rsid w:val="003154FE"/>
    <w:rsid w:val="003155E9"/>
    <w:rsid w:val="00315C41"/>
    <w:rsid w:val="00315E00"/>
    <w:rsid w:val="00315F5E"/>
    <w:rsid w:val="003162AD"/>
    <w:rsid w:val="00316672"/>
    <w:rsid w:val="003171EE"/>
    <w:rsid w:val="00317A29"/>
    <w:rsid w:val="0032147B"/>
    <w:rsid w:val="00322D24"/>
    <w:rsid w:val="00322E26"/>
    <w:rsid w:val="00322EA5"/>
    <w:rsid w:val="00323094"/>
    <w:rsid w:val="00323418"/>
    <w:rsid w:val="00323DD6"/>
    <w:rsid w:val="00324FF1"/>
    <w:rsid w:val="00325A8E"/>
    <w:rsid w:val="00326303"/>
    <w:rsid w:val="00326C1F"/>
    <w:rsid w:val="00327196"/>
    <w:rsid w:val="00327CED"/>
    <w:rsid w:val="003305A5"/>
    <w:rsid w:val="00331351"/>
    <w:rsid w:val="0033273F"/>
    <w:rsid w:val="00332C45"/>
    <w:rsid w:val="0033461E"/>
    <w:rsid w:val="00334837"/>
    <w:rsid w:val="00334D12"/>
    <w:rsid w:val="00335124"/>
    <w:rsid w:val="00337769"/>
    <w:rsid w:val="00337A55"/>
    <w:rsid w:val="00337F8E"/>
    <w:rsid w:val="003402F2"/>
    <w:rsid w:val="00340682"/>
    <w:rsid w:val="0034249E"/>
    <w:rsid w:val="00343116"/>
    <w:rsid w:val="00343683"/>
    <w:rsid w:val="00343845"/>
    <w:rsid w:val="00344198"/>
    <w:rsid w:val="003450CA"/>
    <w:rsid w:val="00345C44"/>
    <w:rsid w:val="0034640C"/>
    <w:rsid w:val="003468B5"/>
    <w:rsid w:val="003474FC"/>
    <w:rsid w:val="00347FBD"/>
    <w:rsid w:val="003505C0"/>
    <w:rsid w:val="0035183D"/>
    <w:rsid w:val="0035189A"/>
    <w:rsid w:val="003527F6"/>
    <w:rsid w:val="0035298C"/>
    <w:rsid w:val="003529B2"/>
    <w:rsid w:val="003546DB"/>
    <w:rsid w:val="00354B05"/>
    <w:rsid w:val="00354B2F"/>
    <w:rsid w:val="00355912"/>
    <w:rsid w:val="00355C41"/>
    <w:rsid w:val="003560AC"/>
    <w:rsid w:val="0035651B"/>
    <w:rsid w:val="003603B3"/>
    <w:rsid w:val="003619EF"/>
    <w:rsid w:val="00363AA3"/>
    <w:rsid w:val="00363D36"/>
    <w:rsid w:val="003664AE"/>
    <w:rsid w:val="0036790B"/>
    <w:rsid w:val="00370B54"/>
    <w:rsid w:val="00370EE2"/>
    <w:rsid w:val="0037114B"/>
    <w:rsid w:val="00371E96"/>
    <w:rsid w:val="003724FD"/>
    <w:rsid w:val="00372B89"/>
    <w:rsid w:val="00373367"/>
    <w:rsid w:val="00374D38"/>
    <w:rsid w:val="00375C63"/>
    <w:rsid w:val="00376173"/>
    <w:rsid w:val="00376409"/>
    <w:rsid w:val="003770AD"/>
    <w:rsid w:val="0038144C"/>
    <w:rsid w:val="003816B7"/>
    <w:rsid w:val="00382896"/>
    <w:rsid w:val="00383E0E"/>
    <w:rsid w:val="0038424C"/>
    <w:rsid w:val="00384356"/>
    <w:rsid w:val="00384A97"/>
    <w:rsid w:val="00384B2C"/>
    <w:rsid w:val="003854EC"/>
    <w:rsid w:val="0038654B"/>
    <w:rsid w:val="00386E8E"/>
    <w:rsid w:val="003874C0"/>
    <w:rsid w:val="00387F82"/>
    <w:rsid w:val="00391429"/>
    <w:rsid w:val="00394EDF"/>
    <w:rsid w:val="00395332"/>
    <w:rsid w:val="003955E8"/>
    <w:rsid w:val="0039560A"/>
    <w:rsid w:val="00396073"/>
    <w:rsid w:val="0039661B"/>
    <w:rsid w:val="003A0DB3"/>
    <w:rsid w:val="003A1D89"/>
    <w:rsid w:val="003A24FA"/>
    <w:rsid w:val="003A287E"/>
    <w:rsid w:val="003A2F21"/>
    <w:rsid w:val="003A588E"/>
    <w:rsid w:val="003A5EF2"/>
    <w:rsid w:val="003A64C3"/>
    <w:rsid w:val="003A6894"/>
    <w:rsid w:val="003A7692"/>
    <w:rsid w:val="003B0315"/>
    <w:rsid w:val="003B1209"/>
    <w:rsid w:val="003B2C30"/>
    <w:rsid w:val="003B3680"/>
    <w:rsid w:val="003B4102"/>
    <w:rsid w:val="003B44F7"/>
    <w:rsid w:val="003B4E69"/>
    <w:rsid w:val="003B4FAC"/>
    <w:rsid w:val="003B58BB"/>
    <w:rsid w:val="003C185C"/>
    <w:rsid w:val="003C2BDA"/>
    <w:rsid w:val="003C2CD7"/>
    <w:rsid w:val="003C3C47"/>
    <w:rsid w:val="003C4104"/>
    <w:rsid w:val="003C57B2"/>
    <w:rsid w:val="003C5A2B"/>
    <w:rsid w:val="003C5F93"/>
    <w:rsid w:val="003C61CE"/>
    <w:rsid w:val="003C7152"/>
    <w:rsid w:val="003C7276"/>
    <w:rsid w:val="003D00F3"/>
    <w:rsid w:val="003D076F"/>
    <w:rsid w:val="003D0BB8"/>
    <w:rsid w:val="003D2113"/>
    <w:rsid w:val="003D270D"/>
    <w:rsid w:val="003D4113"/>
    <w:rsid w:val="003D52B1"/>
    <w:rsid w:val="003D7089"/>
    <w:rsid w:val="003E0421"/>
    <w:rsid w:val="003E08E8"/>
    <w:rsid w:val="003E1AAE"/>
    <w:rsid w:val="003E2309"/>
    <w:rsid w:val="003E33C6"/>
    <w:rsid w:val="003E5380"/>
    <w:rsid w:val="003E5AE1"/>
    <w:rsid w:val="003E5CFB"/>
    <w:rsid w:val="003E5D3D"/>
    <w:rsid w:val="003E72CF"/>
    <w:rsid w:val="003F07E4"/>
    <w:rsid w:val="003F1295"/>
    <w:rsid w:val="003F1766"/>
    <w:rsid w:val="003F17CA"/>
    <w:rsid w:val="003F1B88"/>
    <w:rsid w:val="003F2393"/>
    <w:rsid w:val="003F3390"/>
    <w:rsid w:val="003F34D5"/>
    <w:rsid w:val="003F3D86"/>
    <w:rsid w:val="003F4232"/>
    <w:rsid w:val="003F521C"/>
    <w:rsid w:val="003F52F1"/>
    <w:rsid w:val="003F6B1C"/>
    <w:rsid w:val="003F6E15"/>
    <w:rsid w:val="003F74CE"/>
    <w:rsid w:val="00400D5B"/>
    <w:rsid w:val="00401B25"/>
    <w:rsid w:val="00402166"/>
    <w:rsid w:val="00402749"/>
    <w:rsid w:val="00402CB7"/>
    <w:rsid w:val="0040444B"/>
    <w:rsid w:val="0040580E"/>
    <w:rsid w:val="00405991"/>
    <w:rsid w:val="00406854"/>
    <w:rsid w:val="00406ED0"/>
    <w:rsid w:val="0041132A"/>
    <w:rsid w:val="00411E88"/>
    <w:rsid w:val="00413308"/>
    <w:rsid w:val="0041359D"/>
    <w:rsid w:val="00414673"/>
    <w:rsid w:val="00414A34"/>
    <w:rsid w:val="004151DD"/>
    <w:rsid w:val="004203F4"/>
    <w:rsid w:val="00420772"/>
    <w:rsid w:val="004213BD"/>
    <w:rsid w:val="00422187"/>
    <w:rsid w:val="00425C5B"/>
    <w:rsid w:val="00426704"/>
    <w:rsid w:val="00427302"/>
    <w:rsid w:val="00427814"/>
    <w:rsid w:val="004301C6"/>
    <w:rsid w:val="00430926"/>
    <w:rsid w:val="00432BED"/>
    <w:rsid w:val="004332DD"/>
    <w:rsid w:val="004337C2"/>
    <w:rsid w:val="0043447C"/>
    <w:rsid w:val="00435088"/>
    <w:rsid w:val="004363F0"/>
    <w:rsid w:val="0043649C"/>
    <w:rsid w:val="004375B2"/>
    <w:rsid w:val="0043773D"/>
    <w:rsid w:val="00437B6E"/>
    <w:rsid w:val="00440AF1"/>
    <w:rsid w:val="00441C05"/>
    <w:rsid w:val="00442BFE"/>
    <w:rsid w:val="00443050"/>
    <w:rsid w:val="00443464"/>
    <w:rsid w:val="00443500"/>
    <w:rsid w:val="004436AF"/>
    <w:rsid w:val="004444BC"/>
    <w:rsid w:val="004449C1"/>
    <w:rsid w:val="0044509E"/>
    <w:rsid w:val="0044530B"/>
    <w:rsid w:val="004454DC"/>
    <w:rsid w:val="0044625E"/>
    <w:rsid w:val="004471AF"/>
    <w:rsid w:val="00447464"/>
    <w:rsid w:val="004502B7"/>
    <w:rsid w:val="004511FF"/>
    <w:rsid w:val="004514F2"/>
    <w:rsid w:val="00451864"/>
    <w:rsid w:val="00452042"/>
    <w:rsid w:val="00452306"/>
    <w:rsid w:val="00453AB4"/>
    <w:rsid w:val="00454634"/>
    <w:rsid w:val="00454E20"/>
    <w:rsid w:val="00455295"/>
    <w:rsid w:val="00455CD7"/>
    <w:rsid w:val="00456995"/>
    <w:rsid w:val="004569BA"/>
    <w:rsid w:val="00456EA8"/>
    <w:rsid w:val="004576C1"/>
    <w:rsid w:val="0046048B"/>
    <w:rsid w:val="00460A8A"/>
    <w:rsid w:val="00461110"/>
    <w:rsid w:val="004614AA"/>
    <w:rsid w:val="004619BB"/>
    <w:rsid w:val="00463170"/>
    <w:rsid w:val="0046376A"/>
    <w:rsid w:val="0046495E"/>
    <w:rsid w:val="00465245"/>
    <w:rsid w:val="00465602"/>
    <w:rsid w:val="004663E3"/>
    <w:rsid w:val="004669B7"/>
    <w:rsid w:val="00466A46"/>
    <w:rsid w:val="00466FDB"/>
    <w:rsid w:val="00467950"/>
    <w:rsid w:val="00467C66"/>
    <w:rsid w:val="00467EBF"/>
    <w:rsid w:val="00470A02"/>
    <w:rsid w:val="0047163C"/>
    <w:rsid w:val="004719EA"/>
    <w:rsid w:val="00471BA2"/>
    <w:rsid w:val="00473B71"/>
    <w:rsid w:val="0047457A"/>
    <w:rsid w:val="0047458C"/>
    <w:rsid w:val="00475898"/>
    <w:rsid w:val="00475B73"/>
    <w:rsid w:val="00475CFB"/>
    <w:rsid w:val="0047660C"/>
    <w:rsid w:val="004767D5"/>
    <w:rsid w:val="00477F76"/>
    <w:rsid w:val="0048024F"/>
    <w:rsid w:val="00480D1C"/>
    <w:rsid w:val="00480E05"/>
    <w:rsid w:val="00480ED2"/>
    <w:rsid w:val="00481275"/>
    <w:rsid w:val="00481299"/>
    <w:rsid w:val="0048192E"/>
    <w:rsid w:val="00482908"/>
    <w:rsid w:val="00482BBB"/>
    <w:rsid w:val="004845E3"/>
    <w:rsid w:val="00485208"/>
    <w:rsid w:val="00485A07"/>
    <w:rsid w:val="00486EE9"/>
    <w:rsid w:val="004873DD"/>
    <w:rsid w:val="004905CB"/>
    <w:rsid w:val="0049546B"/>
    <w:rsid w:val="00495CA5"/>
    <w:rsid w:val="00495EFB"/>
    <w:rsid w:val="004A143F"/>
    <w:rsid w:val="004A1542"/>
    <w:rsid w:val="004A15CE"/>
    <w:rsid w:val="004A25F9"/>
    <w:rsid w:val="004A3ACA"/>
    <w:rsid w:val="004A476E"/>
    <w:rsid w:val="004A4A45"/>
    <w:rsid w:val="004A4C09"/>
    <w:rsid w:val="004A6325"/>
    <w:rsid w:val="004A6BF9"/>
    <w:rsid w:val="004A6F70"/>
    <w:rsid w:val="004A72A6"/>
    <w:rsid w:val="004A789A"/>
    <w:rsid w:val="004B05F4"/>
    <w:rsid w:val="004B0EAF"/>
    <w:rsid w:val="004B11C3"/>
    <w:rsid w:val="004B221E"/>
    <w:rsid w:val="004B2ECB"/>
    <w:rsid w:val="004B38D9"/>
    <w:rsid w:val="004B4402"/>
    <w:rsid w:val="004B4CDB"/>
    <w:rsid w:val="004B5D88"/>
    <w:rsid w:val="004B5EB6"/>
    <w:rsid w:val="004B6C5C"/>
    <w:rsid w:val="004C0095"/>
    <w:rsid w:val="004C0513"/>
    <w:rsid w:val="004C2F55"/>
    <w:rsid w:val="004C7746"/>
    <w:rsid w:val="004C78B2"/>
    <w:rsid w:val="004D103A"/>
    <w:rsid w:val="004D1920"/>
    <w:rsid w:val="004D192D"/>
    <w:rsid w:val="004D1F98"/>
    <w:rsid w:val="004D2F17"/>
    <w:rsid w:val="004D2F3B"/>
    <w:rsid w:val="004D37D7"/>
    <w:rsid w:val="004D5257"/>
    <w:rsid w:val="004D61B3"/>
    <w:rsid w:val="004D6435"/>
    <w:rsid w:val="004D70C0"/>
    <w:rsid w:val="004D72CA"/>
    <w:rsid w:val="004D7BB2"/>
    <w:rsid w:val="004E0544"/>
    <w:rsid w:val="004E0688"/>
    <w:rsid w:val="004E145A"/>
    <w:rsid w:val="004E1629"/>
    <w:rsid w:val="004E1C44"/>
    <w:rsid w:val="004E246C"/>
    <w:rsid w:val="004E376B"/>
    <w:rsid w:val="004E3F73"/>
    <w:rsid w:val="004E44B8"/>
    <w:rsid w:val="004E4A4B"/>
    <w:rsid w:val="004E5F0E"/>
    <w:rsid w:val="004E6501"/>
    <w:rsid w:val="004E7606"/>
    <w:rsid w:val="004F0841"/>
    <w:rsid w:val="004F1055"/>
    <w:rsid w:val="004F1668"/>
    <w:rsid w:val="004F2391"/>
    <w:rsid w:val="004F2DF0"/>
    <w:rsid w:val="004F2FA7"/>
    <w:rsid w:val="004F30E1"/>
    <w:rsid w:val="004F3516"/>
    <w:rsid w:val="004F39A5"/>
    <w:rsid w:val="004F3AEF"/>
    <w:rsid w:val="004F43DE"/>
    <w:rsid w:val="004F4403"/>
    <w:rsid w:val="004F460B"/>
    <w:rsid w:val="004F5AB0"/>
    <w:rsid w:val="004F7DE2"/>
    <w:rsid w:val="004F7EF4"/>
    <w:rsid w:val="00500E73"/>
    <w:rsid w:val="00502374"/>
    <w:rsid w:val="00503EB4"/>
    <w:rsid w:val="00504BE4"/>
    <w:rsid w:val="00504CC9"/>
    <w:rsid w:val="00505C05"/>
    <w:rsid w:val="00506257"/>
    <w:rsid w:val="00510F97"/>
    <w:rsid w:val="00511919"/>
    <w:rsid w:val="00511BFC"/>
    <w:rsid w:val="00511F2F"/>
    <w:rsid w:val="00512AB6"/>
    <w:rsid w:val="0051376B"/>
    <w:rsid w:val="00514494"/>
    <w:rsid w:val="005146B4"/>
    <w:rsid w:val="00514863"/>
    <w:rsid w:val="005157CE"/>
    <w:rsid w:val="00516456"/>
    <w:rsid w:val="00516AF4"/>
    <w:rsid w:val="00516D2A"/>
    <w:rsid w:val="0051700F"/>
    <w:rsid w:val="0051714C"/>
    <w:rsid w:val="00517190"/>
    <w:rsid w:val="00517938"/>
    <w:rsid w:val="00520196"/>
    <w:rsid w:val="0052063F"/>
    <w:rsid w:val="0052101B"/>
    <w:rsid w:val="00521851"/>
    <w:rsid w:val="00522183"/>
    <w:rsid w:val="005221CA"/>
    <w:rsid w:val="00522CC7"/>
    <w:rsid w:val="00523A4A"/>
    <w:rsid w:val="0052455E"/>
    <w:rsid w:val="005245CB"/>
    <w:rsid w:val="00526001"/>
    <w:rsid w:val="0052639D"/>
    <w:rsid w:val="00526CDF"/>
    <w:rsid w:val="005301CD"/>
    <w:rsid w:val="00531531"/>
    <w:rsid w:val="005332F1"/>
    <w:rsid w:val="005333D8"/>
    <w:rsid w:val="00533E04"/>
    <w:rsid w:val="00534A7A"/>
    <w:rsid w:val="00534F30"/>
    <w:rsid w:val="005358EF"/>
    <w:rsid w:val="00535DD5"/>
    <w:rsid w:val="00536267"/>
    <w:rsid w:val="00536F31"/>
    <w:rsid w:val="0053786C"/>
    <w:rsid w:val="0054035D"/>
    <w:rsid w:val="00540D93"/>
    <w:rsid w:val="00541B62"/>
    <w:rsid w:val="00541C43"/>
    <w:rsid w:val="00541F05"/>
    <w:rsid w:val="00543BD5"/>
    <w:rsid w:val="00544E75"/>
    <w:rsid w:val="0054590A"/>
    <w:rsid w:val="00546506"/>
    <w:rsid w:val="00546662"/>
    <w:rsid w:val="00547284"/>
    <w:rsid w:val="0054794D"/>
    <w:rsid w:val="0055024D"/>
    <w:rsid w:val="0055054F"/>
    <w:rsid w:val="00550CDD"/>
    <w:rsid w:val="00551C48"/>
    <w:rsid w:val="0055233D"/>
    <w:rsid w:val="005531E8"/>
    <w:rsid w:val="00553964"/>
    <w:rsid w:val="0055542B"/>
    <w:rsid w:val="0055596E"/>
    <w:rsid w:val="00555A96"/>
    <w:rsid w:val="00555BC6"/>
    <w:rsid w:val="0055631D"/>
    <w:rsid w:val="005566EC"/>
    <w:rsid w:val="0055682E"/>
    <w:rsid w:val="005613B5"/>
    <w:rsid w:val="00561BA0"/>
    <w:rsid w:val="0056231D"/>
    <w:rsid w:val="00562869"/>
    <w:rsid w:val="00562AAC"/>
    <w:rsid w:val="00563435"/>
    <w:rsid w:val="00564ADD"/>
    <w:rsid w:val="00564D48"/>
    <w:rsid w:val="00565180"/>
    <w:rsid w:val="00566069"/>
    <w:rsid w:val="00570029"/>
    <w:rsid w:val="005701A2"/>
    <w:rsid w:val="00571638"/>
    <w:rsid w:val="005726B6"/>
    <w:rsid w:val="005736D4"/>
    <w:rsid w:val="00573E8A"/>
    <w:rsid w:val="005745DC"/>
    <w:rsid w:val="00575DDA"/>
    <w:rsid w:val="00577F08"/>
    <w:rsid w:val="005815D4"/>
    <w:rsid w:val="00582AEA"/>
    <w:rsid w:val="00582B62"/>
    <w:rsid w:val="00586F55"/>
    <w:rsid w:val="00587F01"/>
    <w:rsid w:val="005904DF"/>
    <w:rsid w:val="00590501"/>
    <w:rsid w:val="00590868"/>
    <w:rsid w:val="0059150D"/>
    <w:rsid w:val="00591BDB"/>
    <w:rsid w:val="00591D92"/>
    <w:rsid w:val="00593DF7"/>
    <w:rsid w:val="00593E5F"/>
    <w:rsid w:val="00594321"/>
    <w:rsid w:val="00594947"/>
    <w:rsid w:val="005950C7"/>
    <w:rsid w:val="005955B7"/>
    <w:rsid w:val="00596295"/>
    <w:rsid w:val="005966DF"/>
    <w:rsid w:val="00596C5A"/>
    <w:rsid w:val="00597B2E"/>
    <w:rsid w:val="00597E23"/>
    <w:rsid w:val="005A0687"/>
    <w:rsid w:val="005A187A"/>
    <w:rsid w:val="005A2CA6"/>
    <w:rsid w:val="005A3AEC"/>
    <w:rsid w:val="005A3D4C"/>
    <w:rsid w:val="005A43C8"/>
    <w:rsid w:val="005A47D4"/>
    <w:rsid w:val="005A4C34"/>
    <w:rsid w:val="005A6A7F"/>
    <w:rsid w:val="005A76E7"/>
    <w:rsid w:val="005B06DE"/>
    <w:rsid w:val="005B0C86"/>
    <w:rsid w:val="005B1061"/>
    <w:rsid w:val="005B16E0"/>
    <w:rsid w:val="005B1D86"/>
    <w:rsid w:val="005B1F1D"/>
    <w:rsid w:val="005B27F3"/>
    <w:rsid w:val="005B3761"/>
    <w:rsid w:val="005B488B"/>
    <w:rsid w:val="005B5967"/>
    <w:rsid w:val="005B5C29"/>
    <w:rsid w:val="005B5C78"/>
    <w:rsid w:val="005B5E9F"/>
    <w:rsid w:val="005B76A4"/>
    <w:rsid w:val="005B7F00"/>
    <w:rsid w:val="005C0681"/>
    <w:rsid w:val="005C09FF"/>
    <w:rsid w:val="005C375B"/>
    <w:rsid w:val="005C627C"/>
    <w:rsid w:val="005C7CA7"/>
    <w:rsid w:val="005D0830"/>
    <w:rsid w:val="005D0E7C"/>
    <w:rsid w:val="005D2108"/>
    <w:rsid w:val="005D56B3"/>
    <w:rsid w:val="005D7302"/>
    <w:rsid w:val="005D7A56"/>
    <w:rsid w:val="005E023E"/>
    <w:rsid w:val="005E030B"/>
    <w:rsid w:val="005E0414"/>
    <w:rsid w:val="005E05A6"/>
    <w:rsid w:val="005E155D"/>
    <w:rsid w:val="005E18FF"/>
    <w:rsid w:val="005E1E95"/>
    <w:rsid w:val="005E2839"/>
    <w:rsid w:val="005E33CE"/>
    <w:rsid w:val="005E427E"/>
    <w:rsid w:val="005E5025"/>
    <w:rsid w:val="005F0870"/>
    <w:rsid w:val="005F14EA"/>
    <w:rsid w:val="005F2312"/>
    <w:rsid w:val="005F2DE8"/>
    <w:rsid w:val="005F32E1"/>
    <w:rsid w:val="005F4235"/>
    <w:rsid w:val="005F4358"/>
    <w:rsid w:val="005F5402"/>
    <w:rsid w:val="005F6015"/>
    <w:rsid w:val="005F715D"/>
    <w:rsid w:val="00601E30"/>
    <w:rsid w:val="0060480E"/>
    <w:rsid w:val="006054D0"/>
    <w:rsid w:val="006055F4"/>
    <w:rsid w:val="006076FE"/>
    <w:rsid w:val="00610371"/>
    <w:rsid w:val="00611065"/>
    <w:rsid w:val="006128CD"/>
    <w:rsid w:val="00612B1B"/>
    <w:rsid w:val="00613507"/>
    <w:rsid w:val="00614743"/>
    <w:rsid w:val="006164AF"/>
    <w:rsid w:val="00616BA9"/>
    <w:rsid w:val="00616D53"/>
    <w:rsid w:val="00616FE2"/>
    <w:rsid w:val="00617C5D"/>
    <w:rsid w:val="006209EF"/>
    <w:rsid w:val="006210CC"/>
    <w:rsid w:val="006210E2"/>
    <w:rsid w:val="00621988"/>
    <w:rsid w:val="00621CB2"/>
    <w:rsid w:val="00622CD5"/>
    <w:rsid w:val="00623E6B"/>
    <w:rsid w:val="00624410"/>
    <w:rsid w:val="006244B4"/>
    <w:rsid w:val="0062478C"/>
    <w:rsid w:val="00624FA4"/>
    <w:rsid w:val="00627550"/>
    <w:rsid w:val="00630CE3"/>
    <w:rsid w:val="00631744"/>
    <w:rsid w:val="00632203"/>
    <w:rsid w:val="00634941"/>
    <w:rsid w:val="00634E07"/>
    <w:rsid w:val="0063597E"/>
    <w:rsid w:val="00637C84"/>
    <w:rsid w:val="00637FA2"/>
    <w:rsid w:val="006403F9"/>
    <w:rsid w:val="00640593"/>
    <w:rsid w:val="0064372A"/>
    <w:rsid w:val="006442CC"/>
    <w:rsid w:val="00645D5F"/>
    <w:rsid w:val="00646143"/>
    <w:rsid w:val="00650FBC"/>
    <w:rsid w:val="00651272"/>
    <w:rsid w:val="00651E9A"/>
    <w:rsid w:val="00652998"/>
    <w:rsid w:val="0065324D"/>
    <w:rsid w:val="00655EA6"/>
    <w:rsid w:val="00655F43"/>
    <w:rsid w:val="00657073"/>
    <w:rsid w:val="00657B37"/>
    <w:rsid w:val="006603FB"/>
    <w:rsid w:val="00660B6B"/>
    <w:rsid w:val="00661B47"/>
    <w:rsid w:val="006636D4"/>
    <w:rsid w:val="0066381A"/>
    <w:rsid w:val="00665688"/>
    <w:rsid w:val="0066576E"/>
    <w:rsid w:val="00665ECB"/>
    <w:rsid w:val="00666EF9"/>
    <w:rsid w:val="0067260C"/>
    <w:rsid w:val="006726D1"/>
    <w:rsid w:val="00672DB3"/>
    <w:rsid w:val="00673C95"/>
    <w:rsid w:val="006741A7"/>
    <w:rsid w:val="00674B77"/>
    <w:rsid w:val="00674C50"/>
    <w:rsid w:val="00675C1E"/>
    <w:rsid w:val="00675F33"/>
    <w:rsid w:val="0067688C"/>
    <w:rsid w:val="00677C97"/>
    <w:rsid w:val="00680A39"/>
    <w:rsid w:val="0068176A"/>
    <w:rsid w:val="0068197B"/>
    <w:rsid w:val="00681E80"/>
    <w:rsid w:val="00682875"/>
    <w:rsid w:val="00683964"/>
    <w:rsid w:val="006839DC"/>
    <w:rsid w:val="00684A78"/>
    <w:rsid w:val="00686535"/>
    <w:rsid w:val="00686DF7"/>
    <w:rsid w:val="00686FF4"/>
    <w:rsid w:val="0068706C"/>
    <w:rsid w:val="00687C0F"/>
    <w:rsid w:val="00687E11"/>
    <w:rsid w:val="00687E5B"/>
    <w:rsid w:val="0069022D"/>
    <w:rsid w:val="00691906"/>
    <w:rsid w:val="00692A5D"/>
    <w:rsid w:val="006935BF"/>
    <w:rsid w:val="0069431E"/>
    <w:rsid w:val="00694956"/>
    <w:rsid w:val="00694E41"/>
    <w:rsid w:val="00695630"/>
    <w:rsid w:val="006961B2"/>
    <w:rsid w:val="006968BE"/>
    <w:rsid w:val="006A107D"/>
    <w:rsid w:val="006A210C"/>
    <w:rsid w:val="006A2448"/>
    <w:rsid w:val="006A34CE"/>
    <w:rsid w:val="006A3949"/>
    <w:rsid w:val="006A3D27"/>
    <w:rsid w:val="006A4A62"/>
    <w:rsid w:val="006A5789"/>
    <w:rsid w:val="006A680C"/>
    <w:rsid w:val="006B1078"/>
    <w:rsid w:val="006B19B0"/>
    <w:rsid w:val="006B1A0A"/>
    <w:rsid w:val="006B1F1D"/>
    <w:rsid w:val="006B2841"/>
    <w:rsid w:val="006B4C7B"/>
    <w:rsid w:val="006B5722"/>
    <w:rsid w:val="006B692E"/>
    <w:rsid w:val="006B6A17"/>
    <w:rsid w:val="006B6C63"/>
    <w:rsid w:val="006C0ADA"/>
    <w:rsid w:val="006C0E2C"/>
    <w:rsid w:val="006C118C"/>
    <w:rsid w:val="006C371F"/>
    <w:rsid w:val="006C403B"/>
    <w:rsid w:val="006C4DDD"/>
    <w:rsid w:val="006C5A9F"/>
    <w:rsid w:val="006C5AA0"/>
    <w:rsid w:val="006C6198"/>
    <w:rsid w:val="006C6271"/>
    <w:rsid w:val="006C6E25"/>
    <w:rsid w:val="006D07F1"/>
    <w:rsid w:val="006D115A"/>
    <w:rsid w:val="006D148D"/>
    <w:rsid w:val="006D14FC"/>
    <w:rsid w:val="006D19E1"/>
    <w:rsid w:val="006D2BEA"/>
    <w:rsid w:val="006D2DC7"/>
    <w:rsid w:val="006D342F"/>
    <w:rsid w:val="006D3E27"/>
    <w:rsid w:val="006D4557"/>
    <w:rsid w:val="006D4823"/>
    <w:rsid w:val="006D48D4"/>
    <w:rsid w:val="006D4FE8"/>
    <w:rsid w:val="006D64ED"/>
    <w:rsid w:val="006D6697"/>
    <w:rsid w:val="006D6E63"/>
    <w:rsid w:val="006D7DE7"/>
    <w:rsid w:val="006E0640"/>
    <w:rsid w:val="006E4FD0"/>
    <w:rsid w:val="006E7898"/>
    <w:rsid w:val="006E7AC3"/>
    <w:rsid w:val="006F044B"/>
    <w:rsid w:val="006F1181"/>
    <w:rsid w:val="006F1BF2"/>
    <w:rsid w:val="006F3B28"/>
    <w:rsid w:val="006F5AE0"/>
    <w:rsid w:val="006F5C76"/>
    <w:rsid w:val="006F6F4D"/>
    <w:rsid w:val="00700064"/>
    <w:rsid w:val="00702DB3"/>
    <w:rsid w:val="007036FB"/>
    <w:rsid w:val="00705589"/>
    <w:rsid w:val="0070682A"/>
    <w:rsid w:val="00710534"/>
    <w:rsid w:val="00711DFF"/>
    <w:rsid w:val="00711EE7"/>
    <w:rsid w:val="0071223A"/>
    <w:rsid w:val="00712842"/>
    <w:rsid w:val="00713786"/>
    <w:rsid w:val="00713D01"/>
    <w:rsid w:val="00714FB1"/>
    <w:rsid w:val="007163D7"/>
    <w:rsid w:val="00716A94"/>
    <w:rsid w:val="00717E4D"/>
    <w:rsid w:val="00722390"/>
    <w:rsid w:val="00722B86"/>
    <w:rsid w:val="00727467"/>
    <w:rsid w:val="00727990"/>
    <w:rsid w:val="00731520"/>
    <w:rsid w:val="0073195F"/>
    <w:rsid w:val="00732CB2"/>
    <w:rsid w:val="007334CA"/>
    <w:rsid w:val="00733DA6"/>
    <w:rsid w:val="007342D3"/>
    <w:rsid w:val="00735091"/>
    <w:rsid w:val="00735F85"/>
    <w:rsid w:val="00736361"/>
    <w:rsid w:val="007370BC"/>
    <w:rsid w:val="007370F6"/>
    <w:rsid w:val="00737A92"/>
    <w:rsid w:val="00737B5D"/>
    <w:rsid w:val="00737CE5"/>
    <w:rsid w:val="007404BF"/>
    <w:rsid w:val="0074200F"/>
    <w:rsid w:val="007425AA"/>
    <w:rsid w:val="007426BB"/>
    <w:rsid w:val="00742D58"/>
    <w:rsid w:val="00744C6C"/>
    <w:rsid w:val="007456BB"/>
    <w:rsid w:val="00746F88"/>
    <w:rsid w:val="00747078"/>
    <w:rsid w:val="00747729"/>
    <w:rsid w:val="0074784B"/>
    <w:rsid w:val="00747D0C"/>
    <w:rsid w:val="00751548"/>
    <w:rsid w:val="007523FA"/>
    <w:rsid w:val="00753393"/>
    <w:rsid w:val="00753483"/>
    <w:rsid w:val="00753B50"/>
    <w:rsid w:val="0075640E"/>
    <w:rsid w:val="007569D1"/>
    <w:rsid w:val="00757B4E"/>
    <w:rsid w:val="007603D8"/>
    <w:rsid w:val="00760E3B"/>
    <w:rsid w:val="00761530"/>
    <w:rsid w:val="007618DE"/>
    <w:rsid w:val="00762429"/>
    <w:rsid w:val="00762933"/>
    <w:rsid w:val="00762EEB"/>
    <w:rsid w:val="00763956"/>
    <w:rsid w:val="00763DFD"/>
    <w:rsid w:val="007648D9"/>
    <w:rsid w:val="00764E5F"/>
    <w:rsid w:val="00765CC7"/>
    <w:rsid w:val="0076650D"/>
    <w:rsid w:val="0076735A"/>
    <w:rsid w:val="00767B3C"/>
    <w:rsid w:val="007716D4"/>
    <w:rsid w:val="00772443"/>
    <w:rsid w:val="00773C44"/>
    <w:rsid w:val="00773F33"/>
    <w:rsid w:val="007746CE"/>
    <w:rsid w:val="007747CC"/>
    <w:rsid w:val="007749BF"/>
    <w:rsid w:val="00775531"/>
    <w:rsid w:val="00775BF8"/>
    <w:rsid w:val="007769D1"/>
    <w:rsid w:val="0078090A"/>
    <w:rsid w:val="00780CA9"/>
    <w:rsid w:val="00780E8B"/>
    <w:rsid w:val="00781F98"/>
    <w:rsid w:val="00783F8C"/>
    <w:rsid w:val="007867FA"/>
    <w:rsid w:val="0078693A"/>
    <w:rsid w:val="00790C43"/>
    <w:rsid w:val="0079143D"/>
    <w:rsid w:val="00792343"/>
    <w:rsid w:val="00794570"/>
    <w:rsid w:val="00794E2D"/>
    <w:rsid w:val="007953C3"/>
    <w:rsid w:val="007976C8"/>
    <w:rsid w:val="007A04F7"/>
    <w:rsid w:val="007A0B49"/>
    <w:rsid w:val="007A2827"/>
    <w:rsid w:val="007A4879"/>
    <w:rsid w:val="007A4F18"/>
    <w:rsid w:val="007A6F9C"/>
    <w:rsid w:val="007A736F"/>
    <w:rsid w:val="007A751A"/>
    <w:rsid w:val="007B0889"/>
    <w:rsid w:val="007B248A"/>
    <w:rsid w:val="007B2B4F"/>
    <w:rsid w:val="007B2DAF"/>
    <w:rsid w:val="007B31F1"/>
    <w:rsid w:val="007B39DA"/>
    <w:rsid w:val="007B4B68"/>
    <w:rsid w:val="007B5456"/>
    <w:rsid w:val="007B7154"/>
    <w:rsid w:val="007B7181"/>
    <w:rsid w:val="007B7436"/>
    <w:rsid w:val="007C03DB"/>
    <w:rsid w:val="007C18B4"/>
    <w:rsid w:val="007C2811"/>
    <w:rsid w:val="007C343C"/>
    <w:rsid w:val="007C3FAF"/>
    <w:rsid w:val="007C51AD"/>
    <w:rsid w:val="007C69D8"/>
    <w:rsid w:val="007C755B"/>
    <w:rsid w:val="007D0B4B"/>
    <w:rsid w:val="007D1B11"/>
    <w:rsid w:val="007D308A"/>
    <w:rsid w:val="007D453E"/>
    <w:rsid w:val="007D4660"/>
    <w:rsid w:val="007D47FC"/>
    <w:rsid w:val="007D4965"/>
    <w:rsid w:val="007D65C2"/>
    <w:rsid w:val="007D6849"/>
    <w:rsid w:val="007E0119"/>
    <w:rsid w:val="007E1C99"/>
    <w:rsid w:val="007E1E96"/>
    <w:rsid w:val="007E23D7"/>
    <w:rsid w:val="007E32FA"/>
    <w:rsid w:val="007E3504"/>
    <w:rsid w:val="007E46C0"/>
    <w:rsid w:val="007E4A79"/>
    <w:rsid w:val="007E4AC7"/>
    <w:rsid w:val="007E659F"/>
    <w:rsid w:val="007E67DB"/>
    <w:rsid w:val="007E6999"/>
    <w:rsid w:val="007E75F6"/>
    <w:rsid w:val="007F15DC"/>
    <w:rsid w:val="007F3F7F"/>
    <w:rsid w:val="007F4273"/>
    <w:rsid w:val="007F4497"/>
    <w:rsid w:val="007F51B1"/>
    <w:rsid w:val="007F5E21"/>
    <w:rsid w:val="007F7C2E"/>
    <w:rsid w:val="0080186F"/>
    <w:rsid w:val="008022F3"/>
    <w:rsid w:val="00803715"/>
    <w:rsid w:val="00804A3C"/>
    <w:rsid w:val="00805137"/>
    <w:rsid w:val="00806E9B"/>
    <w:rsid w:val="00806F83"/>
    <w:rsid w:val="008071F3"/>
    <w:rsid w:val="008073E9"/>
    <w:rsid w:val="008075F7"/>
    <w:rsid w:val="0081224E"/>
    <w:rsid w:val="0081244B"/>
    <w:rsid w:val="0081396E"/>
    <w:rsid w:val="00814F86"/>
    <w:rsid w:val="00815773"/>
    <w:rsid w:val="00816E61"/>
    <w:rsid w:val="0081783E"/>
    <w:rsid w:val="00817DE5"/>
    <w:rsid w:val="00820C34"/>
    <w:rsid w:val="00822114"/>
    <w:rsid w:val="008224FF"/>
    <w:rsid w:val="00824414"/>
    <w:rsid w:val="00825758"/>
    <w:rsid w:val="00826098"/>
    <w:rsid w:val="00826684"/>
    <w:rsid w:val="008271C1"/>
    <w:rsid w:val="00827898"/>
    <w:rsid w:val="00827C19"/>
    <w:rsid w:val="008300FD"/>
    <w:rsid w:val="00830E06"/>
    <w:rsid w:val="00831662"/>
    <w:rsid w:val="0083315F"/>
    <w:rsid w:val="008337D6"/>
    <w:rsid w:val="00833F92"/>
    <w:rsid w:val="0083408A"/>
    <w:rsid w:val="008346F8"/>
    <w:rsid w:val="008350E1"/>
    <w:rsid w:val="00837F09"/>
    <w:rsid w:val="008415ED"/>
    <w:rsid w:val="0084218D"/>
    <w:rsid w:val="008428C8"/>
    <w:rsid w:val="00843125"/>
    <w:rsid w:val="0084369E"/>
    <w:rsid w:val="00843885"/>
    <w:rsid w:val="008440B7"/>
    <w:rsid w:val="0084464F"/>
    <w:rsid w:val="008446F4"/>
    <w:rsid w:val="00845204"/>
    <w:rsid w:val="008454D7"/>
    <w:rsid w:val="008476AC"/>
    <w:rsid w:val="008476D2"/>
    <w:rsid w:val="0084783F"/>
    <w:rsid w:val="00851754"/>
    <w:rsid w:val="008517D3"/>
    <w:rsid w:val="008549B7"/>
    <w:rsid w:val="00854CE0"/>
    <w:rsid w:val="00854EBB"/>
    <w:rsid w:val="0085557C"/>
    <w:rsid w:val="00855A6F"/>
    <w:rsid w:val="008560ED"/>
    <w:rsid w:val="00857196"/>
    <w:rsid w:val="00857738"/>
    <w:rsid w:val="00860D4F"/>
    <w:rsid w:val="008615D2"/>
    <w:rsid w:val="00861818"/>
    <w:rsid w:val="00861BFB"/>
    <w:rsid w:val="00862BF8"/>
    <w:rsid w:val="008637E8"/>
    <w:rsid w:val="008638A0"/>
    <w:rsid w:val="00864387"/>
    <w:rsid w:val="00864B87"/>
    <w:rsid w:val="00864E90"/>
    <w:rsid w:val="00870B35"/>
    <w:rsid w:val="00871C7A"/>
    <w:rsid w:val="00871FC1"/>
    <w:rsid w:val="0087348C"/>
    <w:rsid w:val="00873B11"/>
    <w:rsid w:val="00875DDC"/>
    <w:rsid w:val="00876300"/>
    <w:rsid w:val="00880C7F"/>
    <w:rsid w:val="00882072"/>
    <w:rsid w:val="008834F6"/>
    <w:rsid w:val="00885E70"/>
    <w:rsid w:val="0088610A"/>
    <w:rsid w:val="0088758E"/>
    <w:rsid w:val="008904DD"/>
    <w:rsid w:val="00890C7A"/>
    <w:rsid w:val="008926B6"/>
    <w:rsid w:val="00893822"/>
    <w:rsid w:val="00895047"/>
    <w:rsid w:val="008953EE"/>
    <w:rsid w:val="00896234"/>
    <w:rsid w:val="008A0428"/>
    <w:rsid w:val="008A0E18"/>
    <w:rsid w:val="008A29A3"/>
    <w:rsid w:val="008A36CE"/>
    <w:rsid w:val="008A41A9"/>
    <w:rsid w:val="008A49ED"/>
    <w:rsid w:val="008A4BDF"/>
    <w:rsid w:val="008A5D8D"/>
    <w:rsid w:val="008A61A7"/>
    <w:rsid w:val="008B06CB"/>
    <w:rsid w:val="008B29C5"/>
    <w:rsid w:val="008B3666"/>
    <w:rsid w:val="008B40B5"/>
    <w:rsid w:val="008B46DB"/>
    <w:rsid w:val="008B4896"/>
    <w:rsid w:val="008B49D9"/>
    <w:rsid w:val="008B4D37"/>
    <w:rsid w:val="008B628D"/>
    <w:rsid w:val="008B7E33"/>
    <w:rsid w:val="008C093F"/>
    <w:rsid w:val="008C1FF0"/>
    <w:rsid w:val="008C3ECD"/>
    <w:rsid w:val="008C4A9D"/>
    <w:rsid w:val="008C517B"/>
    <w:rsid w:val="008C5203"/>
    <w:rsid w:val="008C5313"/>
    <w:rsid w:val="008C55F3"/>
    <w:rsid w:val="008C5BA8"/>
    <w:rsid w:val="008C604A"/>
    <w:rsid w:val="008C624B"/>
    <w:rsid w:val="008C69B9"/>
    <w:rsid w:val="008D09E5"/>
    <w:rsid w:val="008D1611"/>
    <w:rsid w:val="008D1F53"/>
    <w:rsid w:val="008D2A4C"/>
    <w:rsid w:val="008D2B31"/>
    <w:rsid w:val="008D35DC"/>
    <w:rsid w:val="008D48D0"/>
    <w:rsid w:val="008D5A2C"/>
    <w:rsid w:val="008D6106"/>
    <w:rsid w:val="008D7366"/>
    <w:rsid w:val="008D797D"/>
    <w:rsid w:val="008D7F19"/>
    <w:rsid w:val="008E1772"/>
    <w:rsid w:val="008E2BDE"/>
    <w:rsid w:val="008E2E7C"/>
    <w:rsid w:val="008E2F17"/>
    <w:rsid w:val="008E41C7"/>
    <w:rsid w:val="008E481B"/>
    <w:rsid w:val="008E4A88"/>
    <w:rsid w:val="008E4D43"/>
    <w:rsid w:val="008E4E6E"/>
    <w:rsid w:val="008E55BA"/>
    <w:rsid w:val="008E63ED"/>
    <w:rsid w:val="008E66AC"/>
    <w:rsid w:val="008E6BBD"/>
    <w:rsid w:val="008E7947"/>
    <w:rsid w:val="008E7ACE"/>
    <w:rsid w:val="008F04BB"/>
    <w:rsid w:val="008F0843"/>
    <w:rsid w:val="008F0A99"/>
    <w:rsid w:val="008F1161"/>
    <w:rsid w:val="008F129A"/>
    <w:rsid w:val="008F1C88"/>
    <w:rsid w:val="008F1C8C"/>
    <w:rsid w:val="008F1F15"/>
    <w:rsid w:val="008F2EB2"/>
    <w:rsid w:val="008F3075"/>
    <w:rsid w:val="008F3AC0"/>
    <w:rsid w:val="008F4CEA"/>
    <w:rsid w:val="008F5242"/>
    <w:rsid w:val="008F6872"/>
    <w:rsid w:val="00900286"/>
    <w:rsid w:val="00900909"/>
    <w:rsid w:val="00901FF2"/>
    <w:rsid w:val="00902878"/>
    <w:rsid w:val="00902DC1"/>
    <w:rsid w:val="009033AB"/>
    <w:rsid w:val="00904139"/>
    <w:rsid w:val="0090436B"/>
    <w:rsid w:val="009043CE"/>
    <w:rsid w:val="00906282"/>
    <w:rsid w:val="00911918"/>
    <w:rsid w:val="0091288F"/>
    <w:rsid w:val="00912D4B"/>
    <w:rsid w:val="009136D2"/>
    <w:rsid w:val="0091390D"/>
    <w:rsid w:val="0091578A"/>
    <w:rsid w:val="00915BB5"/>
    <w:rsid w:val="00915FD0"/>
    <w:rsid w:val="009167E5"/>
    <w:rsid w:val="00916E18"/>
    <w:rsid w:val="0092085F"/>
    <w:rsid w:val="00921521"/>
    <w:rsid w:val="00921862"/>
    <w:rsid w:val="00921F30"/>
    <w:rsid w:val="00922063"/>
    <w:rsid w:val="00923D49"/>
    <w:rsid w:val="00924C72"/>
    <w:rsid w:val="00924D32"/>
    <w:rsid w:val="00924E78"/>
    <w:rsid w:val="00925017"/>
    <w:rsid w:val="009279B1"/>
    <w:rsid w:val="00927A29"/>
    <w:rsid w:val="00930169"/>
    <w:rsid w:val="00930E18"/>
    <w:rsid w:val="00931702"/>
    <w:rsid w:val="00932778"/>
    <w:rsid w:val="00934EC5"/>
    <w:rsid w:val="009373FB"/>
    <w:rsid w:val="009379D5"/>
    <w:rsid w:val="00940B51"/>
    <w:rsid w:val="00941167"/>
    <w:rsid w:val="009424E1"/>
    <w:rsid w:val="009429D5"/>
    <w:rsid w:val="009444AE"/>
    <w:rsid w:val="009448F0"/>
    <w:rsid w:val="00945B05"/>
    <w:rsid w:val="00946A51"/>
    <w:rsid w:val="00950A0F"/>
    <w:rsid w:val="00950F39"/>
    <w:rsid w:val="009510D0"/>
    <w:rsid w:val="00951793"/>
    <w:rsid w:val="009519F7"/>
    <w:rsid w:val="00952B7C"/>
    <w:rsid w:val="00952CBB"/>
    <w:rsid w:val="009539BE"/>
    <w:rsid w:val="00953A97"/>
    <w:rsid w:val="00954E3F"/>
    <w:rsid w:val="00955D4E"/>
    <w:rsid w:val="0095604D"/>
    <w:rsid w:val="0096002C"/>
    <w:rsid w:val="00961387"/>
    <w:rsid w:val="00961C9A"/>
    <w:rsid w:val="00961D6F"/>
    <w:rsid w:val="0096350C"/>
    <w:rsid w:val="00963F6D"/>
    <w:rsid w:val="009641F4"/>
    <w:rsid w:val="009644D5"/>
    <w:rsid w:val="009644EB"/>
    <w:rsid w:val="00966ED4"/>
    <w:rsid w:val="0096798F"/>
    <w:rsid w:val="00971041"/>
    <w:rsid w:val="00971719"/>
    <w:rsid w:val="009718D8"/>
    <w:rsid w:val="00973B5F"/>
    <w:rsid w:val="00973D88"/>
    <w:rsid w:val="00973EE4"/>
    <w:rsid w:val="00974738"/>
    <w:rsid w:val="009748EE"/>
    <w:rsid w:val="009749DD"/>
    <w:rsid w:val="00974D8C"/>
    <w:rsid w:val="00976DB9"/>
    <w:rsid w:val="009804E6"/>
    <w:rsid w:val="009805F6"/>
    <w:rsid w:val="00980F4A"/>
    <w:rsid w:val="009811C8"/>
    <w:rsid w:val="0098176A"/>
    <w:rsid w:val="00982D80"/>
    <w:rsid w:val="00983237"/>
    <w:rsid w:val="0098465A"/>
    <w:rsid w:val="009850A6"/>
    <w:rsid w:val="00985882"/>
    <w:rsid w:val="00985CC6"/>
    <w:rsid w:val="0098694A"/>
    <w:rsid w:val="00987330"/>
    <w:rsid w:val="00987BB0"/>
    <w:rsid w:val="00991C8A"/>
    <w:rsid w:val="00992F7F"/>
    <w:rsid w:val="009937EE"/>
    <w:rsid w:val="009941CA"/>
    <w:rsid w:val="00996A36"/>
    <w:rsid w:val="00997586"/>
    <w:rsid w:val="009A074D"/>
    <w:rsid w:val="009A1144"/>
    <w:rsid w:val="009A1897"/>
    <w:rsid w:val="009A24C8"/>
    <w:rsid w:val="009A288C"/>
    <w:rsid w:val="009A4001"/>
    <w:rsid w:val="009A4BD5"/>
    <w:rsid w:val="009A56F6"/>
    <w:rsid w:val="009A61DD"/>
    <w:rsid w:val="009A6279"/>
    <w:rsid w:val="009A78D9"/>
    <w:rsid w:val="009A7926"/>
    <w:rsid w:val="009B0224"/>
    <w:rsid w:val="009B04C8"/>
    <w:rsid w:val="009B07E1"/>
    <w:rsid w:val="009B2B12"/>
    <w:rsid w:val="009B3A0E"/>
    <w:rsid w:val="009B6459"/>
    <w:rsid w:val="009B6A2C"/>
    <w:rsid w:val="009C0036"/>
    <w:rsid w:val="009C09DA"/>
    <w:rsid w:val="009C1AE5"/>
    <w:rsid w:val="009C318B"/>
    <w:rsid w:val="009C39AD"/>
    <w:rsid w:val="009C41EB"/>
    <w:rsid w:val="009C52C1"/>
    <w:rsid w:val="009C546D"/>
    <w:rsid w:val="009C67DF"/>
    <w:rsid w:val="009C6C5B"/>
    <w:rsid w:val="009C75E3"/>
    <w:rsid w:val="009D0138"/>
    <w:rsid w:val="009D0DE0"/>
    <w:rsid w:val="009D0FB5"/>
    <w:rsid w:val="009D1801"/>
    <w:rsid w:val="009D1A80"/>
    <w:rsid w:val="009D1CAE"/>
    <w:rsid w:val="009D1E23"/>
    <w:rsid w:val="009D3440"/>
    <w:rsid w:val="009D50C2"/>
    <w:rsid w:val="009D598C"/>
    <w:rsid w:val="009D7257"/>
    <w:rsid w:val="009D7488"/>
    <w:rsid w:val="009D7C73"/>
    <w:rsid w:val="009E068B"/>
    <w:rsid w:val="009E0A03"/>
    <w:rsid w:val="009E1FB4"/>
    <w:rsid w:val="009E396E"/>
    <w:rsid w:val="009E41D5"/>
    <w:rsid w:val="009E647F"/>
    <w:rsid w:val="009E6AD2"/>
    <w:rsid w:val="009E7FF3"/>
    <w:rsid w:val="009F2200"/>
    <w:rsid w:val="009F50A3"/>
    <w:rsid w:val="009F6ECF"/>
    <w:rsid w:val="009F7F87"/>
    <w:rsid w:val="00A0153C"/>
    <w:rsid w:val="00A0259F"/>
    <w:rsid w:val="00A02CF0"/>
    <w:rsid w:val="00A02DE4"/>
    <w:rsid w:val="00A03C17"/>
    <w:rsid w:val="00A043C8"/>
    <w:rsid w:val="00A04591"/>
    <w:rsid w:val="00A065FA"/>
    <w:rsid w:val="00A06D0E"/>
    <w:rsid w:val="00A06DDF"/>
    <w:rsid w:val="00A0746D"/>
    <w:rsid w:val="00A07E83"/>
    <w:rsid w:val="00A123A3"/>
    <w:rsid w:val="00A12694"/>
    <w:rsid w:val="00A135F8"/>
    <w:rsid w:val="00A137D4"/>
    <w:rsid w:val="00A141A9"/>
    <w:rsid w:val="00A164A3"/>
    <w:rsid w:val="00A20157"/>
    <w:rsid w:val="00A20A99"/>
    <w:rsid w:val="00A221CF"/>
    <w:rsid w:val="00A234FE"/>
    <w:rsid w:val="00A2448B"/>
    <w:rsid w:val="00A245AF"/>
    <w:rsid w:val="00A246A1"/>
    <w:rsid w:val="00A25448"/>
    <w:rsid w:val="00A256A8"/>
    <w:rsid w:val="00A30FFB"/>
    <w:rsid w:val="00A319E3"/>
    <w:rsid w:val="00A31BF5"/>
    <w:rsid w:val="00A3360E"/>
    <w:rsid w:val="00A33BDB"/>
    <w:rsid w:val="00A343DE"/>
    <w:rsid w:val="00A361D8"/>
    <w:rsid w:val="00A3699E"/>
    <w:rsid w:val="00A36B2F"/>
    <w:rsid w:val="00A40A32"/>
    <w:rsid w:val="00A40F81"/>
    <w:rsid w:val="00A4106D"/>
    <w:rsid w:val="00A41A78"/>
    <w:rsid w:val="00A422FA"/>
    <w:rsid w:val="00A43039"/>
    <w:rsid w:val="00A430D5"/>
    <w:rsid w:val="00A43352"/>
    <w:rsid w:val="00A44191"/>
    <w:rsid w:val="00A44368"/>
    <w:rsid w:val="00A44E55"/>
    <w:rsid w:val="00A45021"/>
    <w:rsid w:val="00A45B0A"/>
    <w:rsid w:val="00A46A7E"/>
    <w:rsid w:val="00A47259"/>
    <w:rsid w:val="00A479EB"/>
    <w:rsid w:val="00A50C31"/>
    <w:rsid w:val="00A5185F"/>
    <w:rsid w:val="00A55630"/>
    <w:rsid w:val="00A55F64"/>
    <w:rsid w:val="00A5643D"/>
    <w:rsid w:val="00A605E5"/>
    <w:rsid w:val="00A607C8"/>
    <w:rsid w:val="00A61774"/>
    <w:rsid w:val="00A61C72"/>
    <w:rsid w:val="00A62053"/>
    <w:rsid w:val="00A62540"/>
    <w:rsid w:val="00A62679"/>
    <w:rsid w:val="00A62721"/>
    <w:rsid w:val="00A635EC"/>
    <w:rsid w:val="00A64D83"/>
    <w:rsid w:val="00A651CE"/>
    <w:rsid w:val="00A658A9"/>
    <w:rsid w:val="00A668F0"/>
    <w:rsid w:val="00A67C04"/>
    <w:rsid w:val="00A67CF9"/>
    <w:rsid w:val="00A67D63"/>
    <w:rsid w:val="00A70E68"/>
    <w:rsid w:val="00A71DFF"/>
    <w:rsid w:val="00A73619"/>
    <w:rsid w:val="00A738AA"/>
    <w:rsid w:val="00A742C9"/>
    <w:rsid w:val="00A74447"/>
    <w:rsid w:val="00A74826"/>
    <w:rsid w:val="00A75944"/>
    <w:rsid w:val="00A765AD"/>
    <w:rsid w:val="00A768AF"/>
    <w:rsid w:val="00A769C7"/>
    <w:rsid w:val="00A77068"/>
    <w:rsid w:val="00A8036A"/>
    <w:rsid w:val="00A811CF"/>
    <w:rsid w:val="00A8278C"/>
    <w:rsid w:val="00A84726"/>
    <w:rsid w:val="00A84894"/>
    <w:rsid w:val="00A85563"/>
    <w:rsid w:val="00A85A30"/>
    <w:rsid w:val="00A85EAF"/>
    <w:rsid w:val="00A864C7"/>
    <w:rsid w:val="00A906D4"/>
    <w:rsid w:val="00A919F0"/>
    <w:rsid w:val="00A93587"/>
    <w:rsid w:val="00A937E7"/>
    <w:rsid w:val="00A95942"/>
    <w:rsid w:val="00A96589"/>
    <w:rsid w:val="00A9771E"/>
    <w:rsid w:val="00A97C60"/>
    <w:rsid w:val="00A97CBB"/>
    <w:rsid w:val="00AA1FCF"/>
    <w:rsid w:val="00AA2005"/>
    <w:rsid w:val="00AA255C"/>
    <w:rsid w:val="00AA421B"/>
    <w:rsid w:val="00AA50FB"/>
    <w:rsid w:val="00AA7CA0"/>
    <w:rsid w:val="00AB00F7"/>
    <w:rsid w:val="00AB1EE5"/>
    <w:rsid w:val="00AB2F3B"/>
    <w:rsid w:val="00AB4FD2"/>
    <w:rsid w:val="00AB63E9"/>
    <w:rsid w:val="00AB74AD"/>
    <w:rsid w:val="00AC2352"/>
    <w:rsid w:val="00AC25B6"/>
    <w:rsid w:val="00AC2B96"/>
    <w:rsid w:val="00AC39D8"/>
    <w:rsid w:val="00AC623F"/>
    <w:rsid w:val="00AC64F5"/>
    <w:rsid w:val="00AC7323"/>
    <w:rsid w:val="00AD0A9B"/>
    <w:rsid w:val="00AD121D"/>
    <w:rsid w:val="00AD134E"/>
    <w:rsid w:val="00AD1DEA"/>
    <w:rsid w:val="00AD202B"/>
    <w:rsid w:val="00AD2E30"/>
    <w:rsid w:val="00AD3040"/>
    <w:rsid w:val="00AD3DCB"/>
    <w:rsid w:val="00AD51BB"/>
    <w:rsid w:val="00AD664B"/>
    <w:rsid w:val="00AD73A5"/>
    <w:rsid w:val="00AD7A2C"/>
    <w:rsid w:val="00AE0579"/>
    <w:rsid w:val="00AE5932"/>
    <w:rsid w:val="00AE7373"/>
    <w:rsid w:val="00AE793B"/>
    <w:rsid w:val="00AE7D5D"/>
    <w:rsid w:val="00AF078C"/>
    <w:rsid w:val="00AF0E02"/>
    <w:rsid w:val="00AF143F"/>
    <w:rsid w:val="00AF256F"/>
    <w:rsid w:val="00AF2E58"/>
    <w:rsid w:val="00AF3B9B"/>
    <w:rsid w:val="00AF4020"/>
    <w:rsid w:val="00AF4B41"/>
    <w:rsid w:val="00AF598F"/>
    <w:rsid w:val="00AF5A75"/>
    <w:rsid w:val="00AF5E1D"/>
    <w:rsid w:val="00AF61E7"/>
    <w:rsid w:val="00AF6790"/>
    <w:rsid w:val="00AF6886"/>
    <w:rsid w:val="00AF68DD"/>
    <w:rsid w:val="00AF6E5C"/>
    <w:rsid w:val="00AF7F02"/>
    <w:rsid w:val="00B002C3"/>
    <w:rsid w:val="00B00DD9"/>
    <w:rsid w:val="00B00FD2"/>
    <w:rsid w:val="00B01B1B"/>
    <w:rsid w:val="00B020E9"/>
    <w:rsid w:val="00B0219A"/>
    <w:rsid w:val="00B022C6"/>
    <w:rsid w:val="00B02D1F"/>
    <w:rsid w:val="00B0598C"/>
    <w:rsid w:val="00B065F9"/>
    <w:rsid w:val="00B12068"/>
    <w:rsid w:val="00B12CB5"/>
    <w:rsid w:val="00B1510C"/>
    <w:rsid w:val="00B15DAF"/>
    <w:rsid w:val="00B17627"/>
    <w:rsid w:val="00B210E2"/>
    <w:rsid w:val="00B22456"/>
    <w:rsid w:val="00B22621"/>
    <w:rsid w:val="00B23CB5"/>
    <w:rsid w:val="00B2422A"/>
    <w:rsid w:val="00B25690"/>
    <w:rsid w:val="00B25C31"/>
    <w:rsid w:val="00B25C94"/>
    <w:rsid w:val="00B25DC3"/>
    <w:rsid w:val="00B26B3F"/>
    <w:rsid w:val="00B26DC5"/>
    <w:rsid w:val="00B27920"/>
    <w:rsid w:val="00B30D16"/>
    <w:rsid w:val="00B337E7"/>
    <w:rsid w:val="00B33F1E"/>
    <w:rsid w:val="00B35728"/>
    <w:rsid w:val="00B40410"/>
    <w:rsid w:val="00B4156F"/>
    <w:rsid w:val="00B42364"/>
    <w:rsid w:val="00B435B4"/>
    <w:rsid w:val="00B43E7D"/>
    <w:rsid w:val="00B4492A"/>
    <w:rsid w:val="00B465CE"/>
    <w:rsid w:val="00B4697A"/>
    <w:rsid w:val="00B47BC7"/>
    <w:rsid w:val="00B52194"/>
    <w:rsid w:val="00B52BB9"/>
    <w:rsid w:val="00B55589"/>
    <w:rsid w:val="00B55D80"/>
    <w:rsid w:val="00B55FAC"/>
    <w:rsid w:val="00B5757A"/>
    <w:rsid w:val="00B61CA7"/>
    <w:rsid w:val="00B61F63"/>
    <w:rsid w:val="00B62359"/>
    <w:rsid w:val="00B63262"/>
    <w:rsid w:val="00B63669"/>
    <w:rsid w:val="00B64C3E"/>
    <w:rsid w:val="00B65B73"/>
    <w:rsid w:val="00B65EEC"/>
    <w:rsid w:val="00B66C4B"/>
    <w:rsid w:val="00B66F00"/>
    <w:rsid w:val="00B71C0D"/>
    <w:rsid w:val="00B745C7"/>
    <w:rsid w:val="00B75C96"/>
    <w:rsid w:val="00B7700C"/>
    <w:rsid w:val="00B77032"/>
    <w:rsid w:val="00B774D2"/>
    <w:rsid w:val="00B80EE3"/>
    <w:rsid w:val="00B81C16"/>
    <w:rsid w:val="00B833D6"/>
    <w:rsid w:val="00B83583"/>
    <w:rsid w:val="00B83A5E"/>
    <w:rsid w:val="00B85F37"/>
    <w:rsid w:val="00B900D2"/>
    <w:rsid w:val="00B90142"/>
    <w:rsid w:val="00B91DD0"/>
    <w:rsid w:val="00B93EFB"/>
    <w:rsid w:val="00B949F7"/>
    <w:rsid w:val="00B94F6D"/>
    <w:rsid w:val="00B96461"/>
    <w:rsid w:val="00BA00C1"/>
    <w:rsid w:val="00BA0287"/>
    <w:rsid w:val="00BA02C3"/>
    <w:rsid w:val="00BA0CF9"/>
    <w:rsid w:val="00BA17E5"/>
    <w:rsid w:val="00BA1BE0"/>
    <w:rsid w:val="00BA2A38"/>
    <w:rsid w:val="00BA2A84"/>
    <w:rsid w:val="00BA2F37"/>
    <w:rsid w:val="00BA3003"/>
    <w:rsid w:val="00BA4047"/>
    <w:rsid w:val="00BA44A7"/>
    <w:rsid w:val="00BA5AE0"/>
    <w:rsid w:val="00BA6297"/>
    <w:rsid w:val="00BA7470"/>
    <w:rsid w:val="00BB0A9B"/>
    <w:rsid w:val="00BB0FC6"/>
    <w:rsid w:val="00BB183F"/>
    <w:rsid w:val="00BB1C60"/>
    <w:rsid w:val="00BB427D"/>
    <w:rsid w:val="00BB67B7"/>
    <w:rsid w:val="00BB7E31"/>
    <w:rsid w:val="00BC01AB"/>
    <w:rsid w:val="00BC0A43"/>
    <w:rsid w:val="00BC1334"/>
    <w:rsid w:val="00BC1B6F"/>
    <w:rsid w:val="00BC1C64"/>
    <w:rsid w:val="00BC2F7E"/>
    <w:rsid w:val="00BC359B"/>
    <w:rsid w:val="00BC443B"/>
    <w:rsid w:val="00BC475E"/>
    <w:rsid w:val="00BC50BB"/>
    <w:rsid w:val="00BC6586"/>
    <w:rsid w:val="00BD2904"/>
    <w:rsid w:val="00BD3C2B"/>
    <w:rsid w:val="00BD4E39"/>
    <w:rsid w:val="00BD6FBB"/>
    <w:rsid w:val="00BE0C9C"/>
    <w:rsid w:val="00BE171F"/>
    <w:rsid w:val="00BE23AB"/>
    <w:rsid w:val="00BE4816"/>
    <w:rsid w:val="00BE5BBC"/>
    <w:rsid w:val="00BE6335"/>
    <w:rsid w:val="00BF01E9"/>
    <w:rsid w:val="00BF1B18"/>
    <w:rsid w:val="00BF2A33"/>
    <w:rsid w:val="00BF325A"/>
    <w:rsid w:val="00BF33B6"/>
    <w:rsid w:val="00BF3F46"/>
    <w:rsid w:val="00BF4547"/>
    <w:rsid w:val="00BF4632"/>
    <w:rsid w:val="00BF5937"/>
    <w:rsid w:val="00BF5A4E"/>
    <w:rsid w:val="00BF60D4"/>
    <w:rsid w:val="00C0046F"/>
    <w:rsid w:val="00C024C9"/>
    <w:rsid w:val="00C03C77"/>
    <w:rsid w:val="00C040C8"/>
    <w:rsid w:val="00C04319"/>
    <w:rsid w:val="00C05523"/>
    <w:rsid w:val="00C05678"/>
    <w:rsid w:val="00C06A30"/>
    <w:rsid w:val="00C0742D"/>
    <w:rsid w:val="00C07759"/>
    <w:rsid w:val="00C10584"/>
    <w:rsid w:val="00C10B41"/>
    <w:rsid w:val="00C10CFB"/>
    <w:rsid w:val="00C1415C"/>
    <w:rsid w:val="00C1427B"/>
    <w:rsid w:val="00C14784"/>
    <w:rsid w:val="00C149D3"/>
    <w:rsid w:val="00C15501"/>
    <w:rsid w:val="00C15741"/>
    <w:rsid w:val="00C17206"/>
    <w:rsid w:val="00C177B1"/>
    <w:rsid w:val="00C17D54"/>
    <w:rsid w:val="00C17EF9"/>
    <w:rsid w:val="00C203BB"/>
    <w:rsid w:val="00C211A6"/>
    <w:rsid w:val="00C223A4"/>
    <w:rsid w:val="00C22F4F"/>
    <w:rsid w:val="00C240F5"/>
    <w:rsid w:val="00C24859"/>
    <w:rsid w:val="00C248BF"/>
    <w:rsid w:val="00C24D94"/>
    <w:rsid w:val="00C2559E"/>
    <w:rsid w:val="00C25716"/>
    <w:rsid w:val="00C25DE9"/>
    <w:rsid w:val="00C27CEC"/>
    <w:rsid w:val="00C30CBC"/>
    <w:rsid w:val="00C31231"/>
    <w:rsid w:val="00C32420"/>
    <w:rsid w:val="00C33018"/>
    <w:rsid w:val="00C33559"/>
    <w:rsid w:val="00C34BA9"/>
    <w:rsid w:val="00C358AF"/>
    <w:rsid w:val="00C3777B"/>
    <w:rsid w:val="00C40291"/>
    <w:rsid w:val="00C412A4"/>
    <w:rsid w:val="00C43A4E"/>
    <w:rsid w:val="00C43EE9"/>
    <w:rsid w:val="00C44F32"/>
    <w:rsid w:val="00C46B3C"/>
    <w:rsid w:val="00C50922"/>
    <w:rsid w:val="00C5164D"/>
    <w:rsid w:val="00C52734"/>
    <w:rsid w:val="00C53E05"/>
    <w:rsid w:val="00C5422E"/>
    <w:rsid w:val="00C5455E"/>
    <w:rsid w:val="00C54FD9"/>
    <w:rsid w:val="00C55DB2"/>
    <w:rsid w:val="00C561DC"/>
    <w:rsid w:val="00C60C41"/>
    <w:rsid w:val="00C61E7B"/>
    <w:rsid w:val="00C62D95"/>
    <w:rsid w:val="00C63B24"/>
    <w:rsid w:val="00C6469B"/>
    <w:rsid w:val="00C648F9"/>
    <w:rsid w:val="00C6495C"/>
    <w:rsid w:val="00C64ED9"/>
    <w:rsid w:val="00C65949"/>
    <w:rsid w:val="00C665BC"/>
    <w:rsid w:val="00C6728D"/>
    <w:rsid w:val="00C679B4"/>
    <w:rsid w:val="00C711DC"/>
    <w:rsid w:val="00C71F0C"/>
    <w:rsid w:val="00C7219B"/>
    <w:rsid w:val="00C75CCE"/>
    <w:rsid w:val="00C7608A"/>
    <w:rsid w:val="00C76123"/>
    <w:rsid w:val="00C766EC"/>
    <w:rsid w:val="00C77098"/>
    <w:rsid w:val="00C7713E"/>
    <w:rsid w:val="00C77AB4"/>
    <w:rsid w:val="00C8055D"/>
    <w:rsid w:val="00C8222F"/>
    <w:rsid w:val="00C839B6"/>
    <w:rsid w:val="00C87CE0"/>
    <w:rsid w:val="00C9040A"/>
    <w:rsid w:val="00C927B7"/>
    <w:rsid w:val="00C9516B"/>
    <w:rsid w:val="00C95247"/>
    <w:rsid w:val="00C96E48"/>
    <w:rsid w:val="00C96F5E"/>
    <w:rsid w:val="00C9780D"/>
    <w:rsid w:val="00C978F4"/>
    <w:rsid w:val="00C97C28"/>
    <w:rsid w:val="00C97D88"/>
    <w:rsid w:val="00CA0059"/>
    <w:rsid w:val="00CA0890"/>
    <w:rsid w:val="00CA101F"/>
    <w:rsid w:val="00CA1086"/>
    <w:rsid w:val="00CA1F61"/>
    <w:rsid w:val="00CA3A8D"/>
    <w:rsid w:val="00CA47DA"/>
    <w:rsid w:val="00CA49AA"/>
    <w:rsid w:val="00CA4ABF"/>
    <w:rsid w:val="00CA4C84"/>
    <w:rsid w:val="00CA4E17"/>
    <w:rsid w:val="00CA53C8"/>
    <w:rsid w:val="00CA6D56"/>
    <w:rsid w:val="00CA7B56"/>
    <w:rsid w:val="00CB0247"/>
    <w:rsid w:val="00CB02BA"/>
    <w:rsid w:val="00CB0311"/>
    <w:rsid w:val="00CB2D0E"/>
    <w:rsid w:val="00CB2D58"/>
    <w:rsid w:val="00CB4AE9"/>
    <w:rsid w:val="00CB4F45"/>
    <w:rsid w:val="00CB532D"/>
    <w:rsid w:val="00CB55AB"/>
    <w:rsid w:val="00CB5ED9"/>
    <w:rsid w:val="00CB5F3D"/>
    <w:rsid w:val="00CB6302"/>
    <w:rsid w:val="00CB6C21"/>
    <w:rsid w:val="00CB6EA8"/>
    <w:rsid w:val="00CC03F1"/>
    <w:rsid w:val="00CC046A"/>
    <w:rsid w:val="00CC0533"/>
    <w:rsid w:val="00CC15E6"/>
    <w:rsid w:val="00CC2843"/>
    <w:rsid w:val="00CC2882"/>
    <w:rsid w:val="00CC3496"/>
    <w:rsid w:val="00CC3823"/>
    <w:rsid w:val="00CC3907"/>
    <w:rsid w:val="00CC47E1"/>
    <w:rsid w:val="00CC4EC3"/>
    <w:rsid w:val="00CC4F3B"/>
    <w:rsid w:val="00CC4F43"/>
    <w:rsid w:val="00CC6E71"/>
    <w:rsid w:val="00CC71A8"/>
    <w:rsid w:val="00CC72E2"/>
    <w:rsid w:val="00CD1120"/>
    <w:rsid w:val="00CD1308"/>
    <w:rsid w:val="00CD1FC8"/>
    <w:rsid w:val="00CD311C"/>
    <w:rsid w:val="00CD3AC3"/>
    <w:rsid w:val="00CD445F"/>
    <w:rsid w:val="00CD4CDF"/>
    <w:rsid w:val="00CD5594"/>
    <w:rsid w:val="00CD6195"/>
    <w:rsid w:val="00CD7440"/>
    <w:rsid w:val="00CD762C"/>
    <w:rsid w:val="00CD76B3"/>
    <w:rsid w:val="00CE301A"/>
    <w:rsid w:val="00CE365B"/>
    <w:rsid w:val="00CE3BBC"/>
    <w:rsid w:val="00CE3EDD"/>
    <w:rsid w:val="00CE3F3F"/>
    <w:rsid w:val="00CE50A2"/>
    <w:rsid w:val="00CE5FD9"/>
    <w:rsid w:val="00CE624E"/>
    <w:rsid w:val="00CE6D20"/>
    <w:rsid w:val="00CE7507"/>
    <w:rsid w:val="00CE7C8D"/>
    <w:rsid w:val="00CF08ED"/>
    <w:rsid w:val="00CF160D"/>
    <w:rsid w:val="00CF1B20"/>
    <w:rsid w:val="00CF3237"/>
    <w:rsid w:val="00CF3509"/>
    <w:rsid w:val="00CF4E9E"/>
    <w:rsid w:val="00CF5AF4"/>
    <w:rsid w:val="00CF6898"/>
    <w:rsid w:val="00CF6FB7"/>
    <w:rsid w:val="00D0048E"/>
    <w:rsid w:val="00D004FB"/>
    <w:rsid w:val="00D0378F"/>
    <w:rsid w:val="00D060AF"/>
    <w:rsid w:val="00D064C7"/>
    <w:rsid w:val="00D06B89"/>
    <w:rsid w:val="00D10BF5"/>
    <w:rsid w:val="00D10F95"/>
    <w:rsid w:val="00D12CC0"/>
    <w:rsid w:val="00D14229"/>
    <w:rsid w:val="00D14BF5"/>
    <w:rsid w:val="00D151B5"/>
    <w:rsid w:val="00D169D7"/>
    <w:rsid w:val="00D20C84"/>
    <w:rsid w:val="00D21BFE"/>
    <w:rsid w:val="00D220E0"/>
    <w:rsid w:val="00D22EFB"/>
    <w:rsid w:val="00D24499"/>
    <w:rsid w:val="00D24F1F"/>
    <w:rsid w:val="00D25B53"/>
    <w:rsid w:val="00D26002"/>
    <w:rsid w:val="00D261C2"/>
    <w:rsid w:val="00D266EE"/>
    <w:rsid w:val="00D26864"/>
    <w:rsid w:val="00D26EC7"/>
    <w:rsid w:val="00D27DEC"/>
    <w:rsid w:val="00D27E4A"/>
    <w:rsid w:val="00D3010C"/>
    <w:rsid w:val="00D3017D"/>
    <w:rsid w:val="00D31B52"/>
    <w:rsid w:val="00D32332"/>
    <w:rsid w:val="00D32A3B"/>
    <w:rsid w:val="00D33E49"/>
    <w:rsid w:val="00D34E3F"/>
    <w:rsid w:val="00D354DE"/>
    <w:rsid w:val="00D35BBE"/>
    <w:rsid w:val="00D35CEA"/>
    <w:rsid w:val="00D45086"/>
    <w:rsid w:val="00D4523D"/>
    <w:rsid w:val="00D462FC"/>
    <w:rsid w:val="00D46B51"/>
    <w:rsid w:val="00D500F9"/>
    <w:rsid w:val="00D502E7"/>
    <w:rsid w:val="00D506FB"/>
    <w:rsid w:val="00D50753"/>
    <w:rsid w:val="00D52EE9"/>
    <w:rsid w:val="00D53346"/>
    <w:rsid w:val="00D5394A"/>
    <w:rsid w:val="00D55A46"/>
    <w:rsid w:val="00D55BD1"/>
    <w:rsid w:val="00D5616D"/>
    <w:rsid w:val="00D5662D"/>
    <w:rsid w:val="00D572BA"/>
    <w:rsid w:val="00D57927"/>
    <w:rsid w:val="00D61852"/>
    <w:rsid w:val="00D62B7D"/>
    <w:rsid w:val="00D63BB0"/>
    <w:rsid w:val="00D6418E"/>
    <w:rsid w:val="00D647BB"/>
    <w:rsid w:val="00D6563D"/>
    <w:rsid w:val="00D65749"/>
    <w:rsid w:val="00D65DE5"/>
    <w:rsid w:val="00D6650E"/>
    <w:rsid w:val="00D67BA8"/>
    <w:rsid w:val="00D67FF3"/>
    <w:rsid w:val="00D703AF"/>
    <w:rsid w:val="00D709DF"/>
    <w:rsid w:val="00D726BA"/>
    <w:rsid w:val="00D7494E"/>
    <w:rsid w:val="00D76D4A"/>
    <w:rsid w:val="00D76EC2"/>
    <w:rsid w:val="00D8091B"/>
    <w:rsid w:val="00D80E66"/>
    <w:rsid w:val="00D81000"/>
    <w:rsid w:val="00D82BF5"/>
    <w:rsid w:val="00D83CB2"/>
    <w:rsid w:val="00D83F8A"/>
    <w:rsid w:val="00D851DE"/>
    <w:rsid w:val="00D859C1"/>
    <w:rsid w:val="00D865F6"/>
    <w:rsid w:val="00D8683D"/>
    <w:rsid w:val="00D87083"/>
    <w:rsid w:val="00D91397"/>
    <w:rsid w:val="00D91A71"/>
    <w:rsid w:val="00D91C69"/>
    <w:rsid w:val="00D92E11"/>
    <w:rsid w:val="00D940E1"/>
    <w:rsid w:val="00D94A97"/>
    <w:rsid w:val="00DA0658"/>
    <w:rsid w:val="00DA1469"/>
    <w:rsid w:val="00DA212A"/>
    <w:rsid w:val="00DA212B"/>
    <w:rsid w:val="00DA296F"/>
    <w:rsid w:val="00DA3120"/>
    <w:rsid w:val="00DA4CF4"/>
    <w:rsid w:val="00DA4EF9"/>
    <w:rsid w:val="00DA520A"/>
    <w:rsid w:val="00DA52DD"/>
    <w:rsid w:val="00DA624E"/>
    <w:rsid w:val="00DA7047"/>
    <w:rsid w:val="00DA770C"/>
    <w:rsid w:val="00DA7D3B"/>
    <w:rsid w:val="00DB05E1"/>
    <w:rsid w:val="00DB13A6"/>
    <w:rsid w:val="00DB19A4"/>
    <w:rsid w:val="00DB1E63"/>
    <w:rsid w:val="00DB37B7"/>
    <w:rsid w:val="00DB38B5"/>
    <w:rsid w:val="00DB42C2"/>
    <w:rsid w:val="00DB4B6F"/>
    <w:rsid w:val="00DB586D"/>
    <w:rsid w:val="00DB5BAD"/>
    <w:rsid w:val="00DB66C6"/>
    <w:rsid w:val="00DB6C4E"/>
    <w:rsid w:val="00DB7E31"/>
    <w:rsid w:val="00DC0DA4"/>
    <w:rsid w:val="00DC13D0"/>
    <w:rsid w:val="00DC161B"/>
    <w:rsid w:val="00DC3002"/>
    <w:rsid w:val="00DC3B92"/>
    <w:rsid w:val="00DC417D"/>
    <w:rsid w:val="00DC45BA"/>
    <w:rsid w:val="00DC5110"/>
    <w:rsid w:val="00DC53BD"/>
    <w:rsid w:val="00DC5495"/>
    <w:rsid w:val="00DC57CF"/>
    <w:rsid w:val="00DC68C0"/>
    <w:rsid w:val="00DD1100"/>
    <w:rsid w:val="00DD131E"/>
    <w:rsid w:val="00DD16DE"/>
    <w:rsid w:val="00DD1E9A"/>
    <w:rsid w:val="00DD2B0D"/>
    <w:rsid w:val="00DD2FE2"/>
    <w:rsid w:val="00DD3038"/>
    <w:rsid w:val="00DD3BAE"/>
    <w:rsid w:val="00DD4716"/>
    <w:rsid w:val="00DD4DA2"/>
    <w:rsid w:val="00DD4F25"/>
    <w:rsid w:val="00DD5320"/>
    <w:rsid w:val="00DD5DA3"/>
    <w:rsid w:val="00DE0CC4"/>
    <w:rsid w:val="00DE1178"/>
    <w:rsid w:val="00DE170E"/>
    <w:rsid w:val="00DE2865"/>
    <w:rsid w:val="00DE302A"/>
    <w:rsid w:val="00DE33E1"/>
    <w:rsid w:val="00DE37F5"/>
    <w:rsid w:val="00DE49CD"/>
    <w:rsid w:val="00DE5C58"/>
    <w:rsid w:val="00DE6055"/>
    <w:rsid w:val="00DE6AD3"/>
    <w:rsid w:val="00DE75BD"/>
    <w:rsid w:val="00DF06DD"/>
    <w:rsid w:val="00DF3752"/>
    <w:rsid w:val="00DF3862"/>
    <w:rsid w:val="00DF7CF6"/>
    <w:rsid w:val="00E00371"/>
    <w:rsid w:val="00E01A92"/>
    <w:rsid w:val="00E021DE"/>
    <w:rsid w:val="00E02903"/>
    <w:rsid w:val="00E02A08"/>
    <w:rsid w:val="00E02B57"/>
    <w:rsid w:val="00E03B88"/>
    <w:rsid w:val="00E04490"/>
    <w:rsid w:val="00E0579B"/>
    <w:rsid w:val="00E06418"/>
    <w:rsid w:val="00E065D2"/>
    <w:rsid w:val="00E06BB9"/>
    <w:rsid w:val="00E06BE5"/>
    <w:rsid w:val="00E071B4"/>
    <w:rsid w:val="00E076CF"/>
    <w:rsid w:val="00E079BC"/>
    <w:rsid w:val="00E10563"/>
    <w:rsid w:val="00E109E6"/>
    <w:rsid w:val="00E118DC"/>
    <w:rsid w:val="00E11C6D"/>
    <w:rsid w:val="00E1376A"/>
    <w:rsid w:val="00E160F8"/>
    <w:rsid w:val="00E16B95"/>
    <w:rsid w:val="00E16CEC"/>
    <w:rsid w:val="00E1712A"/>
    <w:rsid w:val="00E20D0E"/>
    <w:rsid w:val="00E21994"/>
    <w:rsid w:val="00E21ACA"/>
    <w:rsid w:val="00E26447"/>
    <w:rsid w:val="00E26E56"/>
    <w:rsid w:val="00E26EB4"/>
    <w:rsid w:val="00E2750B"/>
    <w:rsid w:val="00E277F4"/>
    <w:rsid w:val="00E31AB3"/>
    <w:rsid w:val="00E34786"/>
    <w:rsid w:val="00E3685D"/>
    <w:rsid w:val="00E41691"/>
    <w:rsid w:val="00E41BED"/>
    <w:rsid w:val="00E431A6"/>
    <w:rsid w:val="00E446D6"/>
    <w:rsid w:val="00E4476E"/>
    <w:rsid w:val="00E44985"/>
    <w:rsid w:val="00E44F2A"/>
    <w:rsid w:val="00E509EE"/>
    <w:rsid w:val="00E50FE3"/>
    <w:rsid w:val="00E51EC4"/>
    <w:rsid w:val="00E521DA"/>
    <w:rsid w:val="00E5222C"/>
    <w:rsid w:val="00E5286E"/>
    <w:rsid w:val="00E533D2"/>
    <w:rsid w:val="00E53912"/>
    <w:rsid w:val="00E552B8"/>
    <w:rsid w:val="00E5574F"/>
    <w:rsid w:val="00E56100"/>
    <w:rsid w:val="00E57756"/>
    <w:rsid w:val="00E57A0D"/>
    <w:rsid w:val="00E57E8F"/>
    <w:rsid w:val="00E57F1A"/>
    <w:rsid w:val="00E60FB6"/>
    <w:rsid w:val="00E61B99"/>
    <w:rsid w:val="00E6263B"/>
    <w:rsid w:val="00E62A1B"/>
    <w:rsid w:val="00E62B33"/>
    <w:rsid w:val="00E63EFD"/>
    <w:rsid w:val="00E649EF"/>
    <w:rsid w:val="00E650ED"/>
    <w:rsid w:val="00E661CC"/>
    <w:rsid w:val="00E662F8"/>
    <w:rsid w:val="00E67417"/>
    <w:rsid w:val="00E67F94"/>
    <w:rsid w:val="00E71776"/>
    <w:rsid w:val="00E72449"/>
    <w:rsid w:val="00E72480"/>
    <w:rsid w:val="00E730F3"/>
    <w:rsid w:val="00E731F5"/>
    <w:rsid w:val="00E73914"/>
    <w:rsid w:val="00E743ED"/>
    <w:rsid w:val="00E74503"/>
    <w:rsid w:val="00E750EF"/>
    <w:rsid w:val="00E767D5"/>
    <w:rsid w:val="00E76C4F"/>
    <w:rsid w:val="00E808D5"/>
    <w:rsid w:val="00E81B76"/>
    <w:rsid w:val="00E81C2D"/>
    <w:rsid w:val="00E83A65"/>
    <w:rsid w:val="00E83B2B"/>
    <w:rsid w:val="00E84458"/>
    <w:rsid w:val="00E84D6A"/>
    <w:rsid w:val="00E8643F"/>
    <w:rsid w:val="00E86B7C"/>
    <w:rsid w:val="00E86F42"/>
    <w:rsid w:val="00E8706B"/>
    <w:rsid w:val="00E90348"/>
    <w:rsid w:val="00E90D70"/>
    <w:rsid w:val="00E91F75"/>
    <w:rsid w:val="00E920BC"/>
    <w:rsid w:val="00E92CD7"/>
    <w:rsid w:val="00E93794"/>
    <w:rsid w:val="00E93E6B"/>
    <w:rsid w:val="00E9407E"/>
    <w:rsid w:val="00E966B9"/>
    <w:rsid w:val="00EA0815"/>
    <w:rsid w:val="00EA0951"/>
    <w:rsid w:val="00EA1846"/>
    <w:rsid w:val="00EA1913"/>
    <w:rsid w:val="00EA443E"/>
    <w:rsid w:val="00EA51D1"/>
    <w:rsid w:val="00EA59E7"/>
    <w:rsid w:val="00EA705D"/>
    <w:rsid w:val="00EA775F"/>
    <w:rsid w:val="00EB034B"/>
    <w:rsid w:val="00EB0407"/>
    <w:rsid w:val="00EB1CD4"/>
    <w:rsid w:val="00EB24F5"/>
    <w:rsid w:val="00EB2799"/>
    <w:rsid w:val="00EB34D4"/>
    <w:rsid w:val="00EB36FA"/>
    <w:rsid w:val="00EB3DB2"/>
    <w:rsid w:val="00EB3F70"/>
    <w:rsid w:val="00EB4FD5"/>
    <w:rsid w:val="00EB65B8"/>
    <w:rsid w:val="00EB7594"/>
    <w:rsid w:val="00EC0B02"/>
    <w:rsid w:val="00EC26F1"/>
    <w:rsid w:val="00EC2F37"/>
    <w:rsid w:val="00EC5955"/>
    <w:rsid w:val="00EC7C0E"/>
    <w:rsid w:val="00EC7D88"/>
    <w:rsid w:val="00ED1644"/>
    <w:rsid w:val="00ED1C60"/>
    <w:rsid w:val="00ED2258"/>
    <w:rsid w:val="00ED29EC"/>
    <w:rsid w:val="00ED56B1"/>
    <w:rsid w:val="00ED6221"/>
    <w:rsid w:val="00ED627B"/>
    <w:rsid w:val="00ED683D"/>
    <w:rsid w:val="00ED6CAF"/>
    <w:rsid w:val="00ED7E5A"/>
    <w:rsid w:val="00EE098C"/>
    <w:rsid w:val="00EE1121"/>
    <w:rsid w:val="00EE1321"/>
    <w:rsid w:val="00EE14A7"/>
    <w:rsid w:val="00EE16DB"/>
    <w:rsid w:val="00EE1FE3"/>
    <w:rsid w:val="00EE28A4"/>
    <w:rsid w:val="00EE359B"/>
    <w:rsid w:val="00EE427A"/>
    <w:rsid w:val="00EE443E"/>
    <w:rsid w:val="00EE4EA3"/>
    <w:rsid w:val="00EE59FE"/>
    <w:rsid w:val="00EE6AAB"/>
    <w:rsid w:val="00EE74F3"/>
    <w:rsid w:val="00EE7D5E"/>
    <w:rsid w:val="00EF07CD"/>
    <w:rsid w:val="00EF1526"/>
    <w:rsid w:val="00EF1794"/>
    <w:rsid w:val="00EF3592"/>
    <w:rsid w:val="00EF3D4D"/>
    <w:rsid w:val="00EF4EED"/>
    <w:rsid w:val="00EF7A6F"/>
    <w:rsid w:val="00EF7C37"/>
    <w:rsid w:val="00F01ED4"/>
    <w:rsid w:val="00F030B3"/>
    <w:rsid w:val="00F046A5"/>
    <w:rsid w:val="00F058FD"/>
    <w:rsid w:val="00F078F3"/>
    <w:rsid w:val="00F11354"/>
    <w:rsid w:val="00F1136B"/>
    <w:rsid w:val="00F12E6F"/>
    <w:rsid w:val="00F1529D"/>
    <w:rsid w:val="00F20594"/>
    <w:rsid w:val="00F207BC"/>
    <w:rsid w:val="00F219BC"/>
    <w:rsid w:val="00F21E53"/>
    <w:rsid w:val="00F220C3"/>
    <w:rsid w:val="00F240C6"/>
    <w:rsid w:val="00F26C5F"/>
    <w:rsid w:val="00F276AE"/>
    <w:rsid w:val="00F27C22"/>
    <w:rsid w:val="00F320A5"/>
    <w:rsid w:val="00F3571F"/>
    <w:rsid w:val="00F35BE1"/>
    <w:rsid w:val="00F374EC"/>
    <w:rsid w:val="00F37516"/>
    <w:rsid w:val="00F37AF8"/>
    <w:rsid w:val="00F37BE0"/>
    <w:rsid w:val="00F438E3"/>
    <w:rsid w:val="00F4452C"/>
    <w:rsid w:val="00F44604"/>
    <w:rsid w:val="00F446E5"/>
    <w:rsid w:val="00F4682C"/>
    <w:rsid w:val="00F46AEE"/>
    <w:rsid w:val="00F471DD"/>
    <w:rsid w:val="00F477E8"/>
    <w:rsid w:val="00F50221"/>
    <w:rsid w:val="00F503A5"/>
    <w:rsid w:val="00F50DA6"/>
    <w:rsid w:val="00F51237"/>
    <w:rsid w:val="00F52420"/>
    <w:rsid w:val="00F53EC4"/>
    <w:rsid w:val="00F5412D"/>
    <w:rsid w:val="00F54440"/>
    <w:rsid w:val="00F54747"/>
    <w:rsid w:val="00F55705"/>
    <w:rsid w:val="00F55D45"/>
    <w:rsid w:val="00F55DD6"/>
    <w:rsid w:val="00F55EF9"/>
    <w:rsid w:val="00F562FB"/>
    <w:rsid w:val="00F57017"/>
    <w:rsid w:val="00F6064C"/>
    <w:rsid w:val="00F60B9F"/>
    <w:rsid w:val="00F60C6A"/>
    <w:rsid w:val="00F60CC3"/>
    <w:rsid w:val="00F614E4"/>
    <w:rsid w:val="00F61AA0"/>
    <w:rsid w:val="00F62257"/>
    <w:rsid w:val="00F63451"/>
    <w:rsid w:val="00F64E70"/>
    <w:rsid w:val="00F658B9"/>
    <w:rsid w:val="00F65968"/>
    <w:rsid w:val="00F66373"/>
    <w:rsid w:val="00F67906"/>
    <w:rsid w:val="00F702EC"/>
    <w:rsid w:val="00F7103D"/>
    <w:rsid w:val="00F721C7"/>
    <w:rsid w:val="00F7426D"/>
    <w:rsid w:val="00F76AE4"/>
    <w:rsid w:val="00F7722C"/>
    <w:rsid w:val="00F7755C"/>
    <w:rsid w:val="00F77AE9"/>
    <w:rsid w:val="00F83929"/>
    <w:rsid w:val="00F83B1E"/>
    <w:rsid w:val="00F83FDC"/>
    <w:rsid w:val="00F840E5"/>
    <w:rsid w:val="00F846CF"/>
    <w:rsid w:val="00F857E3"/>
    <w:rsid w:val="00F869B0"/>
    <w:rsid w:val="00F8761B"/>
    <w:rsid w:val="00F87A16"/>
    <w:rsid w:val="00F906FC"/>
    <w:rsid w:val="00F91B82"/>
    <w:rsid w:val="00F92A36"/>
    <w:rsid w:val="00F93A54"/>
    <w:rsid w:val="00F9584E"/>
    <w:rsid w:val="00F961E2"/>
    <w:rsid w:val="00F96A0D"/>
    <w:rsid w:val="00F977E5"/>
    <w:rsid w:val="00F97863"/>
    <w:rsid w:val="00F97947"/>
    <w:rsid w:val="00FA1F60"/>
    <w:rsid w:val="00FA2613"/>
    <w:rsid w:val="00FA2BF1"/>
    <w:rsid w:val="00FA2E5A"/>
    <w:rsid w:val="00FA3262"/>
    <w:rsid w:val="00FA3337"/>
    <w:rsid w:val="00FA34DD"/>
    <w:rsid w:val="00FA5E50"/>
    <w:rsid w:val="00FB00E1"/>
    <w:rsid w:val="00FB0678"/>
    <w:rsid w:val="00FB1522"/>
    <w:rsid w:val="00FB483E"/>
    <w:rsid w:val="00FB4CC5"/>
    <w:rsid w:val="00FB5EA6"/>
    <w:rsid w:val="00FB6125"/>
    <w:rsid w:val="00FB64B6"/>
    <w:rsid w:val="00FC025D"/>
    <w:rsid w:val="00FC104F"/>
    <w:rsid w:val="00FC3EC5"/>
    <w:rsid w:val="00FC53B5"/>
    <w:rsid w:val="00FC57FB"/>
    <w:rsid w:val="00FC5874"/>
    <w:rsid w:val="00FC5D9A"/>
    <w:rsid w:val="00FC6EB2"/>
    <w:rsid w:val="00FD3F7D"/>
    <w:rsid w:val="00FD4D43"/>
    <w:rsid w:val="00FD5114"/>
    <w:rsid w:val="00FD5C71"/>
    <w:rsid w:val="00FD5D2C"/>
    <w:rsid w:val="00FD7CD1"/>
    <w:rsid w:val="00FE18D9"/>
    <w:rsid w:val="00FE1B04"/>
    <w:rsid w:val="00FE591F"/>
    <w:rsid w:val="00FE7704"/>
    <w:rsid w:val="00FF1A78"/>
    <w:rsid w:val="00FF2AD1"/>
    <w:rsid w:val="00FF5631"/>
    <w:rsid w:val="00FF67AE"/>
    <w:rsid w:val="4157CBF5"/>
    <w:rsid w:val="52509E66"/>
    <w:rsid w:val="658D74BF"/>
    <w:rsid w:val="6F3B9A9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1B9890"/>
  <w15:docId w15:val="{BB0CF59C-500B-41AA-B2D0-8C437B96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F46AEE"/>
    <w:pPr>
      <w:keepNext/>
      <w:keepLines/>
      <w:outlineLvl w:val="1"/>
    </w:pPr>
    <w:rPr>
      <w:rFonts w:ascii="Times New Roman" w:eastAsiaTheme="majorEastAsia" w:hAnsi="Times New Roman" w:cs="Arial"/>
      <w:bCs/>
      <w:color w:val="000000" w:themeColor="text1"/>
      <w:sz w:val="24"/>
      <w:szCs w:val="24"/>
      <w:lang w:val="sq-AL"/>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F46AEE"/>
    <w:rPr>
      <w:rFonts w:ascii="Times New Roman" w:eastAsiaTheme="majorEastAsia" w:hAnsi="Times New Roman" w:cs="Arial"/>
      <w:bCs/>
      <w:color w:val="000000" w:themeColor="text1"/>
      <w:sz w:val="24"/>
      <w:szCs w:val="24"/>
      <w:lang w:val="sq-AL"/>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l,CV text"/>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E05A6"/>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0488E"/>
    <w:rPr>
      <w:rFonts w:ascii="Consolas" w:hAnsi="Consolas"/>
      <w:sz w:val="21"/>
      <w:szCs w:val="21"/>
    </w:rPr>
  </w:style>
  <w:style w:type="character" w:customStyle="1" w:styleId="PlainTextChar">
    <w:name w:val="Plain Text Char"/>
    <w:basedOn w:val="DefaultParagraphFont"/>
    <w:link w:val="PlainText"/>
    <w:uiPriority w:val="99"/>
    <w:semiHidden/>
    <w:rsid w:val="0010488E"/>
    <w:rPr>
      <w:rFonts w:ascii="Consolas" w:eastAsia="Times New Roman" w:hAnsi="Consolas" w:cs="Times New Roman"/>
      <w:sz w:val="21"/>
      <w:szCs w:val="21"/>
    </w:rPr>
  </w:style>
  <w:style w:type="character" w:customStyle="1" w:styleId="tlid-translation">
    <w:name w:val="tlid-translation"/>
    <w:basedOn w:val="DefaultParagraphFont"/>
    <w:rsid w:val="00CC47E1"/>
  </w:style>
  <w:style w:type="character" w:customStyle="1" w:styleId="fontstyle01">
    <w:name w:val="fontstyle01"/>
    <w:basedOn w:val="DefaultParagraphFont"/>
    <w:rsid w:val="00F46AEE"/>
    <w:rPr>
      <w:rFonts w:ascii="Times-Roman" w:hAnsi="Times-Roman" w:hint="default"/>
      <w:b w:val="0"/>
      <w:bCs w:val="0"/>
      <w:i w:val="0"/>
      <w:iCs w:val="0"/>
      <w:color w:val="000000"/>
      <w:sz w:val="24"/>
      <w:szCs w:val="24"/>
    </w:rPr>
  </w:style>
  <w:style w:type="character" w:styleId="PlaceholderText">
    <w:name w:val="Placeholder Text"/>
    <w:basedOn w:val="DefaultParagraphFont"/>
    <w:uiPriority w:val="99"/>
    <w:semiHidden/>
    <w:rsid w:val="00900909"/>
    <w:rPr>
      <w:color w:val="808080"/>
    </w:rPr>
  </w:style>
  <w:style w:type="paragraph" w:customStyle="1" w:styleId="IASOI">
    <w:name w:val="IASOI"/>
    <w:basedOn w:val="Normal"/>
    <w:link w:val="IASOIChar"/>
    <w:rsid w:val="00161A3E"/>
    <w:pPr>
      <w:spacing w:before="50" w:after="50"/>
      <w:ind w:left="113" w:right="113"/>
    </w:pPr>
    <w:rPr>
      <w:rFonts w:ascii="Times New Roman" w:eastAsia="SimSun" w:hAnsi="Times New Roman"/>
      <w:color w:val="000000"/>
      <w:spacing w:val="-5"/>
      <w:lang w:eastAsia="zh-CN"/>
    </w:rPr>
  </w:style>
  <w:style w:type="character" w:customStyle="1" w:styleId="IASOIChar">
    <w:name w:val="IASOI Char"/>
    <w:link w:val="IASOI"/>
    <w:locked/>
    <w:rsid w:val="00161A3E"/>
    <w:rPr>
      <w:rFonts w:ascii="Times New Roman" w:eastAsia="SimSun" w:hAnsi="Times New Roman" w:cs="Times New Roman"/>
      <w:color w:val="000000"/>
      <w:spacing w:val="-5"/>
      <w:szCs w:val="20"/>
      <w:lang w:eastAsia="zh-CN"/>
    </w:rPr>
  </w:style>
  <w:style w:type="character" w:customStyle="1" w:styleId="normaltextrun">
    <w:name w:val="normaltextrun"/>
    <w:basedOn w:val="DefaultParagraphFont"/>
    <w:rsid w:val="00FA34DD"/>
  </w:style>
  <w:style w:type="character" w:customStyle="1" w:styleId="contentpasted0">
    <w:name w:val="contentpasted0"/>
    <w:basedOn w:val="DefaultParagraphFont"/>
    <w:rsid w:val="00A0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57677594">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479425469">
      <w:bodyDiv w:val="1"/>
      <w:marLeft w:val="0"/>
      <w:marRight w:val="0"/>
      <w:marTop w:val="0"/>
      <w:marBottom w:val="0"/>
      <w:divBdr>
        <w:top w:val="none" w:sz="0" w:space="0" w:color="auto"/>
        <w:left w:val="none" w:sz="0" w:space="0" w:color="auto"/>
        <w:bottom w:val="none" w:sz="0" w:space="0" w:color="auto"/>
        <w:right w:val="none" w:sz="0" w:space="0" w:color="auto"/>
      </w:divBdr>
    </w:div>
    <w:div w:id="479541444">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525798155">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12716155">
      <w:bodyDiv w:val="1"/>
      <w:marLeft w:val="0"/>
      <w:marRight w:val="0"/>
      <w:marTop w:val="0"/>
      <w:marBottom w:val="0"/>
      <w:divBdr>
        <w:top w:val="none" w:sz="0" w:space="0" w:color="auto"/>
        <w:left w:val="none" w:sz="0" w:space="0" w:color="auto"/>
        <w:bottom w:val="none" w:sz="0" w:space="0" w:color="auto"/>
        <w:right w:val="none" w:sz="0" w:space="0" w:color="auto"/>
      </w:divBdr>
    </w:div>
    <w:div w:id="637958167">
      <w:bodyDiv w:val="1"/>
      <w:marLeft w:val="0"/>
      <w:marRight w:val="0"/>
      <w:marTop w:val="0"/>
      <w:marBottom w:val="0"/>
      <w:divBdr>
        <w:top w:val="none" w:sz="0" w:space="0" w:color="auto"/>
        <w:left w:val="none" w:sz="0" w:space="0" w:color="auto"/>
        <w:bottom w:val="none" w:sz="0" w:space="0" w:color="auto"/>
        <w:right w:val="none" w:sz="0" w:space="0" w:color="auto"/>
      </w:divBdr>
    </w:div>
    <w:div w:id="656112763">
      <w:bodyDiv w:val="1"/>
      <w:marLeft w:val="0"/>
      <w:marRight w:val="0"/>
      <w:marTop w:val="0"/>
      <w:marBottom w:val="0"/>
      <w:divBdr>
        <w:top w:val="none" w:sz="0" w:space="0" w:color="auto"/>
        <w:left w:val="none" w:sz="0" w:space="0" w:color="auto"/>
        <w:bottom w:val="none" w:sz="0" w:space="0" w:color="auto"/>
        <w:right w:val="none" w:sz="0" w:space="0" w:color="auto"/>
      </w:divBdr>
    </w:div>
    <w:div w:id="65916273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1166760">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45184069">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419540">
      <w:bodyDiv w:val="1"/>
      <w:marLeft w:val="0"/>
      <w:marRight w:val="0"/>
      <w:marTop w:val="0"/>
      <w:marBottom w:val="0"/>
      <w:divBdr>
        <w:top w:val="none" w:sz="0" w:space="0" w:color="auto"/>
        <w:left w:val="none" w:sz="0" w:space="0" w:color="auto"/>
        <w:bottom w:val="none" w:sz="0" w:space="0" w:color="auto"/>
        <w:right w:val="none" w:sz="0" w:space="0" w:color="auto"/>
      </w:divBdr>
    </w:div>
    <w:div w:id="1475442141">
      <w:bodyDiv w:val="1"/>
      <w:marLeft w:val="0"/>
      <w:marRight w:val="0"/>
      <w:marTop w:val="0"/>
      <w:marBottom w:val="0"/>
      <w:divBdr>
        <w:top w:val="none" w:sz="0" w:space="0" w:color="auto"/>
        <w:left w:val="none" w:sz="0" w:space="0" w:color="auto"/>
        <w:bottom w:val="none" w:sz="0" w:space="0" w:color="auto"/>
        <w:right w:val="none" w:sz="0" w:space="0" w:color="auto"/>
      </w:divBdr>
    </w:div>
    <w:div w:id="1485199468">
      <w:bodyDiv w:val="1"/>
      <w:marLeft w:val="0"/>
      <w:marRight w:val="0"/>
      <w:marTop w:val="0"/>
      <w:marBottom w:val="0"/>
      <w:divBdr>
        <w:top w:val="none" w:sz="0" w:space="0" w:color="auto"/>
        <w:left w:val="none" w:sz="0" w:space="0" w:color="auto"/>
        <w:bottom w:val="none" w:sz="0" w:space="0" w:color="auto"/>
        <w:right w:val="none" w:sz="0" w:space="0" w:color="auto"/>
      </w:divBdr>
    </w:div>
    <w:div w:id="152200860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612973468">
      <w:bodyDiv w:val="1"/>
      <w:marLeft w:val="0"/>
      <w:marRight w:val="0"/>
      <w:marTop w:val="0"/>
      <w:marBottom w:val="0"/>
      <w:divBdr>
        <w:top w:val="none" w:sz="0" w:space="0" w:color="auto"/>
        <w:left w:val="none" w:sz="0" w:space="0" w:color="auto"/>
        <w:bottom w:val="none" w:sz="0" w:space="0" w:color="auto"/>
        <w:right w:val="none" w:sz="0" w:space="0" w:color="auto"/>
      </w:divBdr>
    </w:div>
    <w:div w:id="1622615090">
      <w:bodyDiv w:val="1"/>
      <w:marLeft w:val="0"/>
      <w:marRight w:val="0"/>
      <w:marTop w:val="0"/>
      <w:marBottom w:val="0"/>
      <w:divBdr>
        <w:top w:val="none" w:sz="0" w:space="0" w:color="auto"/>
        <w:left w:val="none" w:sz="0" w:space="0" w:color="auto"/>
        <w:bottom w:val="none" w:sz="0" w:space="0" w:color="auto"/>
        <w:right w:val="none" w:sz="0" w:space="0" w:color="auto"/>
      </w:divBdr>
    </w:div>
    <w:div w:id="1652949419">
      <w:bodyDiv w:val="1"/>
      <w:marLeft w:val="0"/>
      <w:marRight w:val="0"/>
      <w:marTop w:val="0"/>
      <w:marBottom w:val="0"/>
      <w:divBdr>
        <w:top w:val="none" w:sz="0" w:space="0" w:color="auto"/>
        <w:left w:val="none" w:sz="0" w:space="0" w:color="auto"/>
        <w:bottom w:val="none" w:sz="0" w:space="0" w:color="auto"/>
        <w:right w:val="none" w:sz="0" w:space="0" w:color="auto"/>
      </w:divBdr>
    </w:div>
    <w:div w:id="1696223754">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1882739035">
      <w:bodyDiv w:val="1"/>
      <w:marLeft w:val="0"/>
      <w:marRight w:val="0"/>
      <w:marTop w:val="0"/>
      <w:marBottom w:val="0"/>
      <w:divBdr>
        <w:top w:val="none" w:sz="0" w:space="0" w:color="auto"/>
        <w:left w:val="none" w:sz="0" w:space="0" w:color="auto"/>
        <w:bottom w:val="none" w:sz="0" w:space="0" w:color="auto"/>
        <w:right w:val="none" w:sz="0" w:space="0" w:color="auto"/>
      </w:divBdr>
    </w:div>
    <w:div w:id="1939219158">
      <w:bodyDiv w:val="1"/>
      <w:marLeft w:val="0"/>
      <w:marRight w:val="0"/>
      <w:marTop w:val="0"/>
      <w:marBottom w:val="0"/>
      <w:divBdr>
        <w:top w:val="none" w:sz="0" w:space="0" w:color="auto"/>
        <w:left w:val="none" w:sz="0" w:space="0" w:color="auto"/>
        <w:bottom w:val="none" w:sz="0" w:space="0" w:color="auto"/>
        <w:right w:val="none" w:sz="0" w:space="0" w:color="auto"/>
      </w:divBdr>
    </w:div>
    <w:div w:id="2021661100">
      <w:bodyDiv w:val="1"/>
      <w:marLeft w:val="0"/>
      <w:marRight w:val="0"/>
      <w:marTop w:val="0"/>
      <w:marBottom w:val="0"/>
      <w:divBdr>
        <w:top w:val="none" w:sz="0" w:space="0" w:color="auto"/>
        <w:left w:val="none" w:sz="0" w:space="0" w:color="auto"/>
        <w:bottom w:val="none" w:sz="0" w:space="0" w:color="auto"/>
        <w:right w:val="none" w:sz="0" w:space="0" w:color="auto"/>
      </w:divBdr>
      <w:divsChild>
        <w:div w:id="488326939">
          <w:marLeft w:val="0"/>
          <w:marRight w:val="0"/>
          <w:marTop w:val="0"/>
          <w:marBottom w:val="0"/>
          <w:divBdr>
            <w:top w:val="none" w:sz="0" w:space="0" w:color="auto"/>
            <w:left w:val="none" w:sz="0" w:space="0" w:color="auto"/>
            <w:bottom w:val="none" w:sz="0" w:space="0" w:color="auto"/>
            <w:right w:val="none" w:sz="0" w:space="0" w:color="auto"/>
          </w:divBdr>
        </w:div>
        <w:div w:id="1729304210">
          <w:marLeft w:val="0"/>
          <w:marRight w:val="0"/>
          <w:marTop w:val="0"/>
          <w:marBottom w:val="0"/>
          <w:divBdr>
            <w:top w:val="none" w:sz="0" w:space="0" w:color="auto"/>
            <w:left w:val="none" w:sz="0" w:space="0" w:color="auto"/>
            <w:bottom w:val="none" w:sz="0" w:space="0" w:color="auto"/>
            <w:right w:val="none" w:sz="0" w:space="0" w:color="auto"/>
          </w:divBdr>
        </w:div>
      </w:divsChild>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1100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D317651B324F20A76C2F3A6EE198CE"/>
        <w:category>
          <w:name w:val="General"/>
          <w:gallery w:val="placeholder"/>
        </w:category>
        <w:types>
          <w:type w:val="bbPlcHdr"/>
        </w:types>
        <w:behaviors>
          <w:behavior w:val="content"/>
        </w:behaviors>
        <w:guid w:val="{AD2F3D86-5674-445A-9E35-872056790E71}"/>
      </w:docPartPr>
      <w:docPartBody>
        <w:p w:rsidR="0070401E" w:rsidRDefault="00D92752" w:rsidP="00D92752">
          <w:pPr>
            <w:pStyle w:val="97D317651B324F20A76C2F3A6EE198CE"/>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52"/>
    <w:rsid w:val="000D4DA1"/>
    <w:rsid w:val="00122AE2"/>
    <w:rsid w:val="001D3BBD"/>
    <w:rsid w:val="002B03DA"/>
    <w:rsid w:val="003B787A"/>
    <w:rsid w:val="00445B7D"/>
    <w:rsid w:val="004D5061"/>
    <w:rsid w:val="00564912"/>
    <w:rsid w:val="00570256"/>
    <w:rsid w:val="005F18A2"/>
    <w:rsid w:val="0068416D"/>
    <w:rsid w:val="0070401E"/>
    <w:rsid w:val="0071631E"/>
    <w:rsid w:val="007376A3"/>
    <w:rsid w:val="007402F0"/>
    <w:rsid w:val="00793EF4"/>
    <w:rsid w:val="00960816"/>
    <w:rsid w:val="009725D4"/>
    <w:rsid w:val="00AC089B"/>
    <w:rsid w:val="00AF3222"/>
    <w:rsid w:val="00B030D5"/>
    <w:rsid w:val="00D243C4"/>
    <w:rsid w:val="00D37DD7"/>
    <w:rsid w:val="00D92752"/>
    <w:rsid w:val="00DF2119"/>
    <w:rsid w:val="00E30441"/>
    <w:rsid w:val="00E41C32"/>
    <w:rsid w:val="00E42F91"/>
    <w:rsid w:val="00EF2B40"/>
    <w:rsid w:val="00F06A95"/>
    <w:rsid w:val="00F40B72"/>
    <w:rsid w:val="00F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752"/>
    <w:rPr>
      <w:color w:val="808080"/>
    </w:rPr>
  </w:style>
  <w:style w:type="paragraph" w:customStyle="1" w:styleId="97D317651B324F20A76C2F3A6EE198CE">
    <w:name w:val="97D317651B324F20A76C2F3A6EE198CE"/>
    <w:rsid w:val="00D92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97747-CB6A-4F7F-9D0E-23FC380C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12111</Words>
  <Characters>69039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Bagrat Tunyan</dc:creator>
  <cp:lastModifiedBy>Anila Panajoti</cp:lastModifiedBy>
  <cp:revision>2</cp:revision>
  <cp:lastPrinted>2023-03-02T13:11:00Z</cp:lastPrinted>
  <dcterms:created xsi:type="dcterms:W3CDTF">2023-05-08T14:11:00Z</dcterms:created>
  <dcterms:modified xsi:type="dcterms:W3CDTF">2023-05-08T14:11:00Z</dcterms:modified>
</cp:coreProperties>
</file>