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CA" w:rsidRDefault="00E54C97" w:rsidP="008675CA">
      <w:pPr>
        <w:pStyle w:val="Heading2"/>
        <w:jc w:val="center"/>
        <w:rPr>
          <w:rFonts w:asciiTheme="minorHAnsi" w:hAnsiTheme="minorHAnsi" w:cstheme="minorHAnsi"/>
          <w:i w:val="0"/>
          <w:iCs/>
          <w:sz w:val="22"/>
          <w:szCs w:val="22"/>
          <w:lang w:val="fr-FR"/>
        </w:rPr>
      </w:pPr>
      <w:r>
        <w:rPr>
          <w:rFonts w:asciiTheme="minorHAnsi" w:hAnsiTheme="minorHAnsi" w:cstheme="minorHAnsi"/>
          <w:i w:val="0"/>
          <w:iCs/>
          <w:sz w:val="22"/>
          <w:szCs w:val="22"/>
          <w:lang w:val="fr-FR"/>
        </w:rPr>
        <w:t>MODEL</w:t>
      </w:r>
      <w:r w:rsidR="00463C25">
        <w:rPr>
          <w:rFonts w:asciiTheme="minorHAnsi" w:hAnsiTheme="minorHAnsi" w:cstheme="minorHAnsi"/>
          <w:i w:val="0"/>
          <w:iCs/>
          <w:sz w:val="22"/>
          <w:szCs w:val="22"/>
          <w:lang w:val="fr-FR"/>
        </w:rPr>
        <w:t xml:space="preserve">I </w:t>
      </w:r>
      <w:r>
        <w:rPr>
          <w:rFonts w:asciiTheme="minorHAnsi" w:hAnsiTheme="minorHAnsi" w:cstheme="minorHAnsi"/>
          <w:i w:val="0"/>
          <w:iCs/>
          <w:sz w:val="22"/>
          <w:szCs w:val="22"/>
          <w:lang w:val="fr-FR"/>
        </w:rPr>
        <w:t>P</w:t>
      </w:r>
      <w:r w:rsidR="00044810">
        <w:rPr>
          <w:rFonts w:asciiTheme="minorHAnsi" w:hAnsiTheme="minorHAnsi" w:cstheme="minorHAnsi"/>
          <w:i w:val="0"/>
          <w:iCs/>
          <w:sz w:val="22"/>
          <w:szCs w:val="22"/>
          <w:lang w:val="fr-FR"/>
        </w:rPr>
        <w:t>Ë</w:t>
      </w:r>
      <w:r>
        <w:rPr>
          <w:rFonts w:asciiTheme="minorHAnsi" w:hAnsiTheme="minorHAnsi" w:cstheme="minorHAnsi"/>
          <w:i w:val="0"/>
          <w:iCs/>
          <w:sz w:val="22"/>
          <w:szCs w:val="22"/>
          <w:lang w:val="fr-FR"/>
        </w:rPr>
        <w:t>R DOKUMENTIN KONSULTATIV</w:t>
      </w:r>
      <w:bookmarkStart w:id="0" w:name="_GoBack"/>
      <w:bookmarkEnd w:id="0"/>
    </w:p>
    <w:p w:rsidR="008675CA" w:rsidRPr="00200893" w:rsidRDefault="00E54C97" w:rsidP="001E4573">
      <w:pPr>
        <w:pStyle w:val="BodyText"/>
        <w:jc w:val="center"/>
        <w:rPr>
          <w:rFonts w:asciiTheme="minorHAnsi" w:hAnsiTheme="minorHAnsi" w:cstheme="minorHAnsi"/>
          <w:szCs w:val="22"/>
          <w:lang w:val="fr-FR"/>
        </w:rPr>
      </w:pPr>
      <w:r>
        <w:rPr>
          <w:rFonts w:asciiTheme="minorHAnsi" w:hAnsiTheme="minorHAnsi" w:cstheme="minorHAnsi"/>
          <w:szCs w:val="22"/>
          <w:lang w:val="fr-FR"/>
        </w:rPr>
        <w:t>P</w:t>
      </w:r>
      <w:r w:rsidR="00044810">
        <w:rPr>
          <w:rFonts w:asciiTheme="minorHAnsi" w:hAnsiTheme="minorHAnsi" w:cstheme="minorHAnsi"/>
          <w:szCs w:val="22"/>
          <w:lang w:val="fr-FR"/>
        </w:rPr>
        <w:t>ë</w:t>
      </w:r>
      <w:r>
        <w:rPr>
          <w:rFonts w:asciiTheme="minorHAnsi" w:hAnsiTheme="minorHAnsi" w:cstheme="minorHAnsi"/>
          <w:szCs w:val="22"/>
          <w:lang w:val="fr-FR"/>
        </w:rPr>
        <w:t xml:space="preserve">r </w:t>
      </w:r>
      <w:r w:rsidR="005D2540" w:rsidRPr="005D2540">
        <w:rPr>
          <w:rFonts w:asciiTheme="minorHAnsi" w:hAnsiTheme="minorHAnsi" w:cstheme="minorHAnsi"/>
          <w:szCs w:val="22"/>
          <w:lang w:val="fr-FR"/>
        </w:rPr>
        <w:t>Projektligji</w:t>
      </w:r>
      <w:r w:rsidR="005D2540">
        <w:rPr>
          <w:rFonts w:asciiTheme="minorHAnsi" w:hAnsiTheme="minorHAnsi" w:cstheme="minorHAnsi"/>
          <w:szCs w:val="22"/>
          <w:lang w:val="fr-FR"/>
        </w:rPr>
        <w:t>n«</w:t>
      </w:r>
      <w:r w:rsidR="005D2540" w:rsidRPr="00A64A4B">
        <w:rPr>
          <w:rFonts w:asciiTheme="minorHAnsi" w:hAnsiTheme="minorHAnsi" w:cstheme="minorHAnsi"/>
          <w:b/>
          <w:szCs w:val="22"/>
          <w:lang w:val="fr-FR"/>
        </w:rPr>
        <w:t>Për Huamarrjen Shtetërore, Borxhin Shtetëror dhe Garancitë Shtetërore të H</w:t>
      </w:r>
      <w:r w:rsidR="00A64A4B">
        <w:rPr>
          <w:rFonts w:asciiTheme="minorHAnsi" w:hAnsiTheme="minorHAnsi" w:cstheme="minorHAnsi"/>
          <w:b/>
          <w:szCs w:val="22"/>
          <w:lang w:val="fr-FR"/>
        </w:rPr>
        <w:t>uasë në Republikën e Shqipërisë</w:t>
      </w:r>
      <w:r w:rsidR="005D2540">
        <w:rPr>
          <w:rFonts w:asciiTheme="minorHAnsi" w:hAnsiTheme="minorHAnsi" w:cstheme="minorHAnsi"/>
          <w:szCs w:val="22"/>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200893" w:rsidRDefault="008675CA" w:rsidP="009F3A30">
            <w:pPr>
              <w:pStyle w:val="BodyText"/>
              <w:jc w:val="both"/>
              <w:rPr>
                <w:rFonts w:asciiTheme="minorHAnsi" w:hAnsiTheme="minorHAnsi" w:cstheme="minorHAnsi"/>
                <w:i/>
                <w:szCs w:val="22"/>
              </w:rPr>
            </w:pPr>
            <w:r w:rsidRPr="00200893">
              <w:rPr>
                <w:rFonts w:asciiTheme="minorHAnsi" w:hAnsiTheme="minorHAnsi" w:cstheme="minorHAnsi"/>
                <w:i/>
                <w:szCs w:val="22"/>
              </w:rPr>
              <w:t>(</w:t>
            </w:r>
            <w:r w:rsidR="00E54C97">
              <w:rPr>
                <w:rFonts w:asciiTheme="minorHAnsi" w:hAnsiTheme="minorHAnsi" w:cstheme="minorHAnsi"/>
                <w:i/>
                <w:szCs w:val="22"/>
              </w:rPr>
              <w:t>Përcaktoni/</w:t>
            </w:r>
            <w:r w:rsidR="00E54C97" w:rsidRPr="00E54C97">
              <w:rPr>
                <w:rFonts w:asciiTheme="minorHAnsi" w:hAnsiTheme="minorHAnsi" w:cstheme="minorHAnsi"/>
                <w:i/>
                <w:szCs w:val="22"/>
              </w:rPr>
              <w:t xml:space="preserve">shkruani </w:t>
            </w:r>
            <w:r w:rsidR="00E54C97">
              <w:rPr>
                <w:rFonts w:asciiTheme="minorHAnsi" w:hAnsiTheme="minorHAnsi" w:cstheme="minorHAnsi"/>
                <w:i/>
                <w:szCs w:val="22"/>
              </w:rPr>
              <w:t>komentet</w:t>
            </w:r>
            <w:r w:rsidR="00E54C97" w:rsidRPr="00E54C97">
              <w:rPr>
                <w:rFonts w:asciiTheme="minorHAnsi" w:hAnsiTheme="minorHAnsi" w:cstheme="minorHAnsi"/>
                <w:i/>
                <w:szCs w:val="22"/>
              </w:rPr>
              <w:t xml:space="preserve"> e kujt po kërkoni (veçanërisht), p.sh. </w:t>
            </w:r>
            <w:r w:rsidR="00E54C97">
              <w:rPr>
                <w:rFonts w:asciiTheme="minorHAnsi" w:hAnsiTheme="minorHAnsi" w:cstheme="minorHAnsi"/>
                <w:i/>
                <w:szCs w:val="22"/>
              </w:rPr>
              <w:t xml:space="preserve">komente </w:t>
            </w:r>
            <w:r w:rsidR="00E54C97" w:rsidRPr="00E54C97">
              <w:rPr>
                <w:rFonts w:asciiTheme="minorHAnsi" w:hAnsiTheme="minorHAnsi" w:cstheme="minorHAnsi"/>
                <w:i/>
                <w:szCs w:val="22"/>
              </w:rPr>
              <w:t>(</w:t>
            </w:r>
            <w:r w:rsidR="00E54C97">
              <w:rPr>
                <w:rFonts w:asciiTheme="minorHAnsi" w:hAnsiTheme="minorHAnsi" w:cstheme="minorHAnsi"/>
                <w:i/>
                <w:szCs w:val="22"/>
              </w:rPr>
              <w:t>t</w:t>
            </w:r>
            <w:r w:rsidR="00044810">
              <w:rPr>
                <w:rFonts w:asciiTheme="minorHAnsi" w:hAnsiTheme="minorHAnsi" w:cstheme="minorHAnsi"/>
                <w:i/>
                <w:szCs w:val="22"/>
              </w:rPr>
              <w:t>ë</w:t>
            </w:r>
            <w:r w:rsidR="00E54C97" w:rsidRPr="00E54C97">
              <w:rPr>
                <w:rFonts w:asciiTheme="minorHAnsi" w:hAnsiTheme="minorHAnsi" w:cstheme="minorHAnsi"/>
                <w:i/>
                <w:szCs w:val="22"/>
              </w:rPr>
              <w:t xml:space="preserve"> përgjithshme) publike, </w:t>
            </w:r>
            <w:r w:rsidR="00E54C97">
              <w:rPr>
                <w:rFonts w:asciiTheme="minorHAnsi" w:hAnsiTheme="minorHAnsi" w:cstheme="minorHAnsi"/>
                <w:i/>
                <w:szCs w:val="22"/>
              </w:rPr>
              <w:t xml:space="preserve">nga </w:t>
            </w:r>
            <w:r w:rsidR="00E54C97" w:rsidRPr="00E54C97">
              <w:rPr>
                <w:rFonts w:asciiTheme="minorHAnsi" w:hAnsiTheme="minorHAnsi" w:cstheme="minorHAnsi"/>
                <w:i/>
                <w:szCs w:val="22"/>
              </w:rPr>
              <w:t xml:space="preserve">komuniteti ekspert në fushën përkatëse, </w:t>
            </w:r>
            <w:r w:rsidR="00E54C97">
              <w:rPr>
                <w:rFonts w:asciiTheme="minorHAnsi" w:hAnsiTheme="minorHAnsi" w:cstheme="minorHAnsi"/>
                <w:i/>
                <w:szCs w:val="22"/>
              </w:rPr>
              <w:t xml:space="preserve">nga </w:t>
            </w:r>
            <w:r w:rsidR="00E54C97" w:rsidRPr="00E54C97">
              <w:rPr>
                <w:rFonts w:asciiTheme="minorHAnsi" w:hAnsiTheme="minorHAnsi" w:cstheme="minorHAnsi"/>
                <w:i/>
                <w:szCs w:val="22"/>
              </w:rPr>
              <w:t xml:space="preserve">organet përfaqësuese të komunitetit të biznesit, </w:t>
            </w:r>
            <w:r w:rsidR="00E54C97">
              <w:rPr>
                <w:rFonts w:asciiTheme="minorHAnsi" w:hAnsiTheme="minorHAnsi" w:cstheme="minorHAnsi"/>
                <w:i/>
                <w:szCs w:val="22"/>
              </w:rPr>
              <w:t xml:space="preserve">nga </w:t>
            </w:r>
            <w:r w:rsidR="00E54C97" w:rsidRPr="00E54C97">
              <w:rPr>
                <w:rFonts w:asciiTheme="minorHAnsi" w:hAnsiTheme="minorHAnsi" w:cstheme="minorHAnsi"/>
                <w:i/>
                <w:szCs w:val="22"/>
              </w:rPr>
              <w:t>organizatat joqeveritare dhe individët me përvojë në fushën përkatëse, etj.)</w:t>
            </w:r>
          </w:p>
          <w:p w:rsidR="00A64A4B" w:rsidRDefault="00A64A4B" w:rsidP="009F3A30">
            <w:pPr>
              <w:pStyle w:val="BodyText"/>
              <w:jc w:val="both"/>
              <w:rPr>
                <w:rFonts w:asciiTheme="minorHAnsi" w:hAnsiTheme="minorHAnsi" w:cstheme="minorHAnsi"/>
                <w:szCs w:val="22"/>
              </w:rPr>
            </w:pPr>
          </w:p>
          <w:p w:rsidR="008675CA" w:rsidRPr="00A64A4B" w:rsidRDefault="00A64A4B" w:rsidP="009F3A30">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Për draftligjin “Për Huamarrjen Shtetërore, Borxhin Shtetëror dhe Garancitë Shtetërore të Huasë në Republikën e Shqipërisë”, priten komente nga të gjithë personat e interesur.</w:t>
            </w:r>
          </w:p>
          <w:p w:rsidR="001E4573" w:rsidRDefault="001E4573" w:rsidP="009F3A30">
            <w:pPr>
              <w:pStyle w:val="BodyText"/>
              <w:jc w:val="both"/>
              <w:rPr>
                <w:rFonts w:asciiTheme="minorHAnsi" w:hAnsiTheme="minorHAnsi" w:cstheme="minorHAnsi"/>
                <w:szCs w:val="22"/>
              </w:rPr>
            </w:pP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Kohëzgjatja e konsultimeve</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A64A4B" w:rsidRDefault="00B258C7" w:rsidP="009F3A30">
            <w:pPr>
              <w:pStyle w:val="BodyText"/>
              <w:jc w:val="both"/>
              <w:rPr>
                <w:rFonts w:asciiTheme="minorHAnsi" w:hAnsiTheme="minorHAnsi" w:cstheme="minorHAnsi"/>
                <w:color w:val="2E74B5" w:themeColor="accent5" w:themeShade="BF"/>
                <w:szCs w:val="22"/>
              </w:rPr>
            </w:pPr>
            <w:r>
              <w:rPr>
                <w:rFonts w:asciiTheme="minorHAnsi" w:hAnsiTheme="minorHAnsi" w:cstheme="minorHAnsi"/>
                <w:color w:val="2E74B5" w:themeColor="accent5" w:themeShade="BF"/>
                <w:szCs w:val="22"/>
              </w:rPr>
              <w:t>25 nëntor-25 dhjetor 2021</w:t>
            </w: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Pr="00200893" w:rsidRDefault="00E54C97" w:rsidP="009F3A30">
            <w:pPr>
              <w:pStyle w:val="BodyText"/>
              <w:jc w:val="both"/>
              <w:rPr>
                <w:rFonts w:asciiTheme="minorHAnsi" w:hAnsiTheme="minorHAnsi" w:cstheme="minorHAnsi"/>
                <w:i/>
                <w:szCs w:val="22"/>
              </w:rPr>
            </w:pPr>
            <w:r>
              <w:rPr>
                <w:rFonts w:asciiTheme="minorHAnsi" w:hAnsiTheme="minorHAnsi" w:cstheme="minorHAnsi"/>
                <w:i/>
                <w:szCs w:val="22"/>
              </w:rPr>
              <w:t>Shkrua</w:t>
            </w:r>
            <w:r w:rsidRPr="00E54C97">
              <w:rPr>
                <w:rFonts w:asciiTheme="minorHAnsi" w:hAnsiTheme="minorHAnsi" w:cstheme="minorHAnsi"/>
                <w:i/>
                <w:szCs w:val="22"/>
              </w:rPr>
              <w:t xml:space="preserve">ni si mund të </w:t>
            </w:r>
            <w:r>
              <w:rPr>
                <w:rFonts w:asciiTheme="minorHAnsi" w:hAnsiTheme="minorHAnsi" w:cstheme="minorHAnsi"/>
                <w:i/>
                <w:szCs w:val="22"/>
              </w:rPr>
              <w:t>p</w:t>
            </w:r>
            <w:r w:rsidR="00044810">
              <w:rPr>
                <w:rFonts w:asciiTheme="minorHAnsi" w:hAnsiTheme="minorHAnsi" w:cstheme="minorHAnsi"/>
                <w:i/>
                <w:szCs w:val="22"/>
              </w:rPr>
              <w:t>ë</w:t>
            </w:r>
            <w:r>
              <w:rPr>
                <w:rFonts w:asciiTheme="minorHAnsi" w:hAnsiTheme="minorHAnsi" w:cstheme="minorHAnsi"/>
                <w:i/>
                <w:szCs w:val="22"/>
              </w:rPr>
              <w:t>rgjigjen  palët e interesuara/</w:t>
            </w:r>
            <w:r w:rsidRPr="00E54C97">
              <w:rPr>
                <w:rFonts w:asciiTheme="minorHAnsi" w:hAnsiTheme="minorHAnsi" w:cstheme="minorHAnsi"/>
                <w:i/>
                <w:szCs w:val="22"/>
              </w:rPr>
              <w:t>publi</w:t>
            </w:r>
            <w:r>
              <w:rPr>
                <w:rFonts w:asciiTheme="minorHAnsi" w:hAnsiTheme="minorHAnsi" w:cstheme="minorHAnsi"/>
                <w:i/>
                <w:szCs w:val="22"/>
              </w:rPr>
              <w:t>ku në konsultime, p.sh. Me email:, Me post</w:t>
            </w:r>
            <w:r w:rsidR="00044810">
              <w:rPr>
                <w:rFonts w:asciiTheme="minorHAnsi" w:hAnsiTheme="minorHAnsi" w:cstheme="minorHAnsi"/>
                <w:i/>
                <w:szCs w:val="22"/>
              </w:rPr>
              <w:t>ë</w:t>
            </w:r>
            <w:r w:rsidRPr="00E54C97">
              <w:rPr>
                <w:rFonts w:asciiTheme="minorHAnsi" w:hAnsiTheme="minorHAnsi" w:cstheme="minorHAnsi"/>
                <w:i/>
                <w:szCs w:val="22"/>
              </w:rPr>
              <w:t xml:space="preserve"> në:, Duke plotësuar formularin në internet në </w:t>
            </w:r>
            <w:r>
              <w:rPr>
                <w:rFonts w:asciiTheme="minorHAnsi" w:hAnsiTheme="minorHAnsi" w:cstheme="minorHAnsi"/>
                <w:i/>
                <w:szCs w:val="22"/>
              </w:rPr>
              <w:t xml:space="preserve">RENJKP </w:t>
            </w:r>
            <w:r w:rsidRPr="00E54C97">
              <w:rPr>
                <w:rFonts w:asciiTheme="minorHAnsi" w:hAnsiTheme="minorHAnsi" w:cstheme="minorHAnsi"/>
                <w:i/>
                <w:szCs w:val="22"/>
              </w:rPr>
              <w:t>(siguroni l</w:t>
            </w:r>
            <w:r>
              <w:rPr>
                <w:rFonts w:asciiTheme="minorHAnsi" w:hAnsiTheme="minorHAnsi" w:cstheme="minorHAnsi"/>
                <w:i/>
                <w:szCs w:val="22"/>
              </w:rPr>
              <w:t>inket e</w:t>
            </w:r>
            <w:r w:rsidRPr="00E54C97">
              <w:rPr>
                <w:rFonts w:asciiTheme="minorHAnsi" w:hAnsiTheme="minorHAnsi" w:cstheme="minorHAnsi"/>
                <w:i/>
                <w:szCs w:val="22"/>
              </w:rPr>
              <w:t xml:space="preserve"> drejtpërdrejt</w:t>
            </w:r>
            <w:r>
              <w:rPr>
                <w:rFonts w:asciiTheme="minorHAnsi" w:hAnsiTheme="minorHAnsi" w:cstheme="minorHAnsi"/>
                <w:i/>
                <w:szCs w:val="22"/>
              </w:rPr>
              <w:t>a</w:t>
            </w:r>
            <w:r w:rsidRPr="00E54C97">
              <w:rPr>
                <w:rFonts w:asciiTheme="minorHAnsi" w:hAnsiTheme="minorHAnsi" w:cstheme="minorHAnsi"/>
                <w:i/>
                <w:szCs w:val="22"/>
              </w:rPr>
              <w:t>)</w:t>
            </w:r>
            <w:r w:rsidR="008675CA" w:rsidRPr="00200893">
              <w:rPr>
                <w:rFonts w:asciiTheme="minorHAnsi" w:hAnsiTheme="minorHAnsi" w:cstheme="minorHAnsi"/>
                <w:i/>
                <w:szCs w:val="22"/>
              </w:rPr>
              <w:t>.</w:t>
            </w:r>
          </w:p>
          <w:p w:rsidR="008675CA" w:rsidRPr="00200893" w:rsidRDefault="00A64A4B" w:rsidP="009F3A30">
            <w:pPr>
              <w:pStyle w:val="BodyText"/>
              <w:jc w:val="both"/>
              <w:rPr>
                <w:rFonts w:asciiTheme="minorHAnsi" w:hAnsiTheme="minorHAnsi" w:cstheme="minorHAnsi"/>
                <w:szCs w:val="22"/>
              </w:rPr>
            </w:pPr>
            <w:r w:rsidRPr="00A64A4B">
              <w:rPr>
                <w:rFonts w:asciiTheme="minorHAnsi" w:hAnsiTheme="minorHAnsi" w:cstheme="minorHAnsi"/>
                <w:color w:val="2E74B5" w:themeColor="accent5" w:themeShade="BF"/>
                <w:szCs w:val="22"/>
              </w:rPr>
              <w:t>Me anë të postës normale ose asaj elektronike.</w:t>
            </w: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Kontakti</w:t>
      </w:r>
      <w:r w:rsidR="008675CA" w:rsidRPr="00200893">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Default="00E54C97" w:rsidP="00E54C97">
            <w:pPr>
              <w:pStyle w:val="BodyText"/>
              <w:jc w:val="both"/>
              <w:rPr>
                <w:rFonts w:asciiTheme="minorHAnsi" w:hAnsiTheme="minorHAnsi" w:cstheme="minorHAnsi"/>
                <w:i/>
                <w:szCs w:val="22"/>
              </w:rPr>
            </w:pPr>
            <w:r>
              <w:rPr>
                <w:rFonts w:asciiTheme="minorHAnsi" w:hAnsiTheme="minorHAnsi" w:cstheme="minorHAnsi"/>
                <w:i/>
                <w:szCs w:val="22"/>
              </w:rPr>
              <w:t>Duhet t</w:t>
            </w:r>
            <w:r w:rsidR="00044810">
              <w:rPr>
                <w:rFonts w:asciiTheme="minorHAnsi" w:hAnsiTheme="minorHAnsi" w:cstheme="minorHAnsi"/>
                <w:i/>
                <w:szCs w:val="22"/>
              </w:rPr>
              <w:t>ë</w:t>
            </w:r>
            <w:r>
              <w:rPr>
                <w:rFonts w:asciiTheme="minorHAnsi" w:hAnsiTheme="minorHAnsi" w:cstheme="minorHAnsi"/>
                <w:i/>
                <w:szCs w:val="22"/>
              </w:rPr>
              <w:t xml:space="preserve"> jepen t</w:t>
            </w:r>
            <w:r w:rsidR="00044810">
              <w:rPr>
                <w:rFonts w:asciiTheme="minorHAnsi" w:hAnsiTheme="minorHAnsi" w:cstheme="minorHAnsi"/>
                <w:i/>
                <w:szCs w:val="22"/>
              </w:rPr>
              <w:t>ë</w:t>
            </w:r>
            <w:r>
              <w:rPr>
                <w:rFonts w:asciiTheme="minorHAnsi" w:hAnsiTheme="minorHAnsi" w:cstheme="minorHAnsi"/>
                <w:i/>
                <w:szCs w:val="22"/>
              </w:rPr>
              <w:t xml:space="preserve"> dh</w:t>
            </w:r>
            <w:r w:rsidR="00044810">
              <w:rPr>
                <w:rFonts w:asciiTheme="minorHAnsi" w:hAnsiTheme="minorHAnsi" w:cstheme="minorHAnsi"/>
                <w:i/>
                <w:szCs w:val="22"/>
              </w:rPr>
              <w:t>ë</w:t>
            </w:r>
            <w:r>
              <w:rPr>
                <w:rFonts w:asciiTheme="minorHAnsi" w:hAnsiTheme="minorHAnsi" w:cstheme="minorHAnsi"/>
                <w:i/>
                <w:szCs w:val="22"/>
              </w:rPr>
              <w:t>nat</w:t>
            </w:r>
            <w:r w:rsidRPr="00E54C97">
              <w:rPr>
                <w:rFonts w:asciiTheme="minorHAnsi" w:hAnsiTheme="minorHAnsi" w:cstheme="minorHAnsi"/>
                <w:i/>
                <w:szCs w:val="22"/>
              </w:rPr>
              <w:t xml:space="preserve"> e kontaktit të koordinatorit përkat</w:t>
            </w:r>
            <w:r>
              <w:rPr>
                <w:rFonts w:asciiTheme="minorHAnsi" w:hAnsiTheme="minorHAnsi" w:cstheme="minorHAnsi"/>
                <w:i/>
                <w:szCs w:val="22"/>
              </w:rPr>
              <w:t>ës për konsultime publike dhe /</w:t>
            </w:r>
            <w:r w:rsidRPr="00E54C97">
              <w:rPr>
                <w:rFonts w:asciiTheme="minorHAnsi" w:hAnsiTheme="minorHAnsi" w:cstheme="minorHAnsi"/>
                <w:i/>
                <w:szCs w:val="22"/>
              </w:rPr>
              <w:t xml:space="preserve">ose të ndonjë personi tjetër </w:t>
            </w:r>
            <w:r>
              <w:rPr>
                <w:rFonts w:asciiTheme="minorHAnsi" w:hAnsiTheme="minorHAnsi" w:cstheme="minorHAnsi"/>
                <w:i/>
                <w:szCs w:val="22"/>
              </w:rPr>
              <w:t>t</w:t>
            </w:r>
            <w:r w:rsidR="00044810">
              <w:rPr>
                <w:rFonts w:asciiTheme="minorHAnsi" w:hAnsiTheme="minorHAnsi" w:cstheme="minorHAnsi"/>
                <w:i/>
                <w:szCs w:val="22"/>
              </w:rPr>
              <w:t>ë</w:t>
            </w:r>
            <w:r>
              <w:rPr>
                <w:rFonts w:asciiTheme="minorHAnsi" w:hAnsiTheme="minorHAnsi" w:cstheme="minorHAnsi"/>
                <w:i/>
                <w:szCs w:val="22"/>
              </w:rPr>
              <w:t xml:space="preserve"> cilit i drejtohen pyetjet</w:t>
            </w:r>
            <w:r w:rsidRPr="00E54C97">
              <w:rPr>
                <w:rFonts w:asciiTheme="minorHAnsi" w:hAnsiTheme="minorHAnsi" w:cstheme="minorHAnsi"/>
                <w:i/>
                <w:szCs w:val="22"/>
              </w:rPr>
              <w:t>.</w:t>
            </w:r>
          </w:p>
          <w:p w:rsidR="00A64A4B" w:rsidRPr="00200893" w:rsidRDefault="00A64A4B" w:rsidP="00E54C97">
            <w:pPr>
              <w:pStyle w:val="BodyText"/>
              <w:jc w:val="both"/>
              <w:rPr>
                <w:rFonts w:asciiTheme="minorHAnsi" w:hAnsiTheme="minorHAnsi" w:cstheme="minorHAnsi"/>
                <w:szCs w:val="22"/>
              </w:rPr>
            </w:pPr>
            <w:r>
              <w:rPr>
                <w:rFonts w:asciiTheme="minorHAnsi" w:hAnsiTheme="minorHAnsi" w:cstheme="minorHAnsi"/>
                <w:color w:val="2E74B5" w:themeColor="accent5" w:themeShade="BF"/>
                <w:szCs w:val="22"/>
              </w:rPr>
              <w:t>b</w:t>
            </w:r>
            <w:r w:rsidRPr="00A64A4B">
              <w:rPr>
                <w:rFonts w:asciiTheme="minorHAnsi" w:hAnsiTheme="minorHAnsi" w:cstheme="minorHAnsi"/>
                <w:color w:val="2E74B5" w:themeColor="accent5" w:themeShade="BF"/>
                <w:szCs w:val="22"/>
              </w:rPr>
              <w:t>rikena.jazxhi@financa.gov.al</w:t>
            </w: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Default="00E54C97" w:rsidP="009F3A30">
            <w:pPr>
              <w:pStyle w:val="BodyText"/>
              <w:jc w:val="both"/>
              <w:rPr>
                <w:rFonts w:asciiTheme="minorHAnsi" w:hAnsiTheme="minorHAnsi" w:cstheme="minorHAnsi"/>
                <w:i/>
                <w:szCs w:val="22"/>
              </w:rPr>
            </w:pPr>
            <w:r w:rsidRPr="00E54C97">
              <w:rPr>
                <w:rFonts w:asciiTheme="minorHAnsi" w:hAnsiTheme="minorHAnsi" w:cstheme="minorHAnsi"/>
                <w:i/>
                <w:szCs w:val="22"/>
              </w:rPr>
              <w:t>Siguroni informacionin nëse ato janë të organizuar</w:t>
            </w:r>
            <w:r>
              <w:rPr>
                <w:rFonts w:asciiTheme="minorHAnsi" w:hAnsiTheme="minorHAnsi" w:cstheme="minorHAnsi"/>
                <w:i/>
                <w:szCs w:val="22"/>
              </w:rPr>
              <w:t>.</w:t>
            </w:r>
          </w:p>
          <w:p w:rsidR="00E54C97" w:rsidRPr="00200893" w:rsidRDefault="00A64A4B" w:rsidP="00F633DA">
            <w:pPr>
              <w:pStyle w:val="BodyText"/>
              <w:rPr>
                <w:rFonts w:asciiTheme="minorHAnsi" w:hAnsiTheme="minorHAnsi" w:cstheme="minorHAnsi"/>
                <w:szCs w:val="22"/>
              </w:rPr>
            </w:pPr>
            <w:r w:rsidRPr="00A64A4B">
              <w:rPr>
                <w:rFonts w:asciiTheme="minorHAnsi" w:hAnsiTheme="minorHAnsi" w:cstheme="minorHAnsi"/>
                <w:color w:val="2E74B5" w:themeColor="accent5" w:themeShade="BF"/>
                <w:szCs w:val="22"/>
              </w:rPr>
              <w:t>Nuk është menduar të organizohen takime publike</w:t>
            </w:r>
            <w:r w:rsidR="00F633DA">
              <w:rPr>
                <w:rFonts w:asciiTheme="minorHAnsi" w:hAnsiTheme="minorHAnsi" w:cstheme="minorHAnsi"/>
                <w:color w:val="2E74B5" w:themeColor="accent5" w:themeShade="BF"/>
                <w:szCs w:val="22"/>
              </w:rPr>
              <w:t xml:space="preserve"> pasi ndryshimet e synuara në ligjin e borxhit jane të një natyre tepër specifike dhe teknike, nuk kanë impakt publik, dhe kanë të bëjnë vetëm me çështje menaxheriale procedurash të brendshme të Ministrisë së Financave dhe Ekonomisë. Për rrjedhojë audienca e që mund të shfaqë interes për këtë projektligj mendohet të jetë shumë e vogël</w:t>
            </w:r>
            <w:r w:rsidRPr="00A64A4B">
              <w:rPr>
                <w:rFonts w:asciiTheme="minorHAnsi" w:hAnsiTheme="minorHAnsi" w:cstheme="minorHAnsi"/>
                <w:color w:val="2E74B5" w:themeColor="accent5" w:themeShade="BF"/>
                <w:szCs w:val="22"/>
              </w:rPr>
              <w:t>.</w:t>
            </w:r>
          </w:p>
        </w:tc>
      </w:tr>
    </w:tbl>
    <w:p w:rsidR="008675CA" w:rsidRPr="00200893" w:rsidRDefault="008675CA"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sidRPr="00E54C97">
        <w:rPr>
          <w:rFonts w:asciiTheme="minorHAnsi" w:hAnsiTheme="minorHAnsi" w:cstheme="minorHAnsi"/>
          <w:szCs w:val="22"/>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1E4573" w:rsidRPr="00A64A4B" w:rsidRDefault="00E54C97" w:rsidP="009F3A30">
            <w:pPr>
              <w:pStyle w:val="BodyText"/>
              <w:jc w:val="both"/>
              <w:rPr>
                <w:rFonts w:asciiTheme="minorHAnsi" w:hAnsiTheme="minorHAnsi" w:cstheme="minorHAnsi"/>
                <w:i/>
                <w:szCs w:val="22"/>
              </w:rPr>
            </w:pPr>
            <w:r w:rsidRPr="00A64A4B">
              <w:rPr>
                <w:rFonts w:asciiTheme="minorHAnsi" w:hAnsiTheme="minorHAnsi" w:cstheme="minorHAnsi"/>
                <w:i/>
                <w:szCs w:val="22"/>
              </w:rPr>
              <w:t>Përshkruani pse ka nevojë për rregulloren e re/të ndryshuar, d.m.th cila është gjendja aktuale, si është e rregulluar, cilat janë sfidat, problemet dhe mangësitë ekzistuese si të praktikës, ashtu edhe  t</w:t>
            </w:r>
            <w:r w:rsidR="00044810" w:rsidRPr="00A64A4B">
              <w:rPr>
                <w:rFonts w:asciiTheme="minorHAnsi" w:hAnsiTheme="minorHAnsi" w:cstheme="minorHAnsi"/>
                <w:i/>
                <w:szCs w:val="22"/>
              </w:rPr>
              <w:t>ë</w:t>
            </w:r>
            <w:r w:rsidRPr="00A64A4B">
              <w:rPr>
                <w:rFonts w:asciiTheme="minorHAnsi" w:hAnsiTheme="minorHAnsi" w:cstheme="minorHAnsi"/>
                <w:i/>
                <w:szCs w:val="22"/>
              </w:rPr>
              <w:t xml:space="preserve"> rregulloreve ekzistuese, çfar</w:t>
            </w:r>
            <w:r w:rsidR="00044810" w:rsidRPr="00A64A4B">
              <w:rPr>
                <w:rFonts w:asciiTheme="minorHAnsi" w:hAnsiTheme="minorHAnsi" w:cstheme="minorHAnsi"/>
                <w:i/>
                <w:szCs w:val="22"/>
              </w:rPr>
              <w:t>ë</w:t>
            </w:r>
            <w:r w:rsidRPr="00A64A4B">
              <w:rPr>
                <w:rFonts w:asciiTheme="minorHAnsi" w:hAnsiTheme="minorHAnsi" w:cstheme="minorHAnsi"/>
                <w:i/>
                <w:szCs w:val="22"/>
              </w:rPr>
              <w:t xml:space="preserve"> eshte bërë në të kaluarën ashtu siç duhet me keto politika.</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 xml:space="preserve">Projektligji “Për Huamarrjen Shtetërore, Borxhin Shtetëror dhe Garancitë Shtetërore të Huasë në </w:t>
            </w:r>
            <w:r w:rsidRPr="00A64A4B">
              <w:rPr>
                <w:rFonts w:asciiTheme="minorHAnsi" w:hAnsiTheme="minorHAnsi" w:cstheme="minorHAnsi"/>
                <w:color w:val="2E74B5" w:themeColor="accent5" w:themeShade="BF"/>
                <w:szCs w:val="22"/>
              </w:rPr>
              <w:lastRenderedPageBreak/>
              <w:t>Republikën e Shqipërisë” synon realizimin e disa ndërhyrjeve të nevojshmë në ligjin që rregullon borxhin shtetëror të Republikës së Shqipërisë”. Ligji i synuar nuk është një ligj i ri, por ligj ekzistues, i krijuar në vitin 2006, dhe i cili ka pësuar vetëm një herë ndryshime, në vitin 2014.</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Ligji u ripunua si një ligj i ri dhe jo si ligj ndryshues për të rregulluar gjithashtu formën e tij në tërësi në përputhje me teknikën legjislative, duke qënë një ligj i vjetër në kohë. Konkretisht nenet e ligjit sikundër është aktualisht janë të ndarë në paragrafë të pa numërtuar.  Ky lloj organizimi vjen në kundershtim me rregullat e teknikes legjislative dhe krijon probleme gjatë zbatimit të ligjit kur nevojitet referenca ndaj pjesëve të caktuara të tij.</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 xml:space="preserve">Nevoja për ndryshimin e ligjit lindi nga një sërë problematikash e vështirësish të ndodhura pas emetimit, në kushtet e emergjencës së shkaktuar nga pandemia COVID-19, të dy Garancive Sovrane për ti ardhur në ndihmë bizneseve të prekura. </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Për të adresuar një sërë shqetësimesh që lindën në lidhje me administrimin e këtyre skemave, në kushtet ku strukturat e Ministrisë ë Financave dhe Ekonomisë, nuk kanë kapacitetet për administrimin e një sërë aspektesh, si:</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w:t>
            </w:r>
            <w:r w:rsidRPr="00A64A4B">
              <w:rPr>
                <w:rFonts w:asciiTheme="minorHAnsi" w:hAnsiTheme="minorHAnsi" w:cstheme="minorHAnsi"/>
                <w:color w:val="2E74B5" w:themeColor="accent5" w:themeShade="BF"/>
                <w:szCs w:val="22"/>
              </w:rPr>
              <w:tab/>
              <w:t>verifikimi i rasteve të thirjes së garancisë;</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w:t>
            </w:r>
            <w:r w:rsidRPr="00A64A4B">
              <w:rPr>
                <w:rFonts w:asciiTheme="minorHAnsi" w:hAnsiTheme="minorHAnsi" w:cstheme="minorHAnsi"/>
                <w:color w:val="2E74B5" w:themeColor="accent5" w:themeShade="BF"/>
                <w:szCs w:val="22"/>
              </w:rPr>
              <w:tab/>
              <w:t>rikuperimin e të drejtave që i lindin MFE pas çdo pagese në kuadër të garancive të lëshuara,</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 xml:space="preserve">lindi nevoja që këto funksione, t’i kalohen një strukture, që është nën varësinë e MFE dhe që ka ekspertizën e nevojshme në këtë drejtim, konkretisht, Agjencia e Trajtimit të Kredive (ATK). </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Në këtë mënyrë, 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ATK-së një sërë funksionesh për menaxhimin e skemave të Garancive Sovrane, këto të lëshuara për ti ardhur në ndihmë biznesit në situatën e Covid 19, apo çdo skemë të ngjashme që mund të jetë e nevojshme në të ardhmen të miratohet.</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 xml:space="preserve">Përveç ndryshimeve në këtë drejtim, në ligj janë bërë edhe disa ndërhyrje të tjera në drejtim të përmirësimit të tij në funksion të veprimtarisë së huamarrjes shtetërore dhe të menaxhimit të borxhit shtetëror. </w:t>
            </w:r>
          </w:p>
          <w:p w:rsidR="00A64A4B"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Një ndryshim ligjor i rëndësishëm që synohet gjithashtu lidhet me kalimin te ATK e funksionit të rikuperimit të të drejtave të Ministrisë së Financave dhe Ekonomisë referuar edhe Garancive Shtetërore apo Marrëveshjeve të Nënhuave nga të cilat përfitojnë subjekte publike apo ndërmarrje shtetërore siç janë operatorët e energjisë, ujësjellësat etj., pra duke mundësuar rekuperimin e të drejtave edhe përtej skemave të veçanta të garancive, duke qënë se ATK gëzon ekspertizën e nevojshme për ta bërë këtë.</w:t>
            </w:r>
          </w:p>
          <w:p w:rsidR="001E4573" w:rsidRPr="00A64A4B" w:rsidRDefault="00A64A4B" w:rsidP="00A64A4B">
            <w:pPr>
              <w:pStyle w:val="BodyText"/>
              <w:jc w:val="both"/>
              <w:rPr>
                <w:rFonts w:asciiTheme="minorHAnsi" w:hAnsiTheme="minorHAnsi" w:cstheme="minorHAnsi"/>
                <w:color w:val="2E74B5" w:themeColor="accent5" w:themeShade="BF"/>
                <w:szCs w:val="22"/>
              </w:rPr>
            </w:pPr>
            <w:r w:rsidRPr="00A64A4B">
              <w:rPr>
                <w:rFonts w:asciiTheme="minorHAnsi" w:hAnsiTheme="minorHAnsi" w:cstheme="minorHAnsi"/>
                <w:color w:val="2E74B5" w:themeColor="accent5" w:themeShade="BF"/>
                <w:szCs w:val="22"/>
              </w:rPr>
              <w:t>Cështja e mbledhjes së detyrimeve nga këto subjekte kundrejt buxhetit të shtetit është një problem që i është kushtuar vëmendje e veçantë gjatë auditimeve të KLSH, si dhe është pjesë e raporteve të lëshuara nga ky institucion, ndaj konsiderohet mëse e nevojshme ndërmarrja e gjithë masave të mundshme në këtë drejtim, duke përfshirë këtu edhe ndryshime të nevojshme ligjore.</w:t>
            </w:r>
          </w:p>
          <w:p w:rsidR="001E4573" w:rsidRPr="00A64A4B" w:rsidRDefault="001E4573" w:rsidP="009F3A30">
            <w:pPr>
              <w:pStyle w:val="BodyText"/>
              <w:jc w:val="both"/>
              <w:rPr>
                <w:rFonts w:asciiTheme="minorHAnsi" w:hAnsiTheme="minorHAnsi" w:cstheme="minorHAnsi"/>
                <w:color w:val="2E74B5" w:themeColor="accent5" w:themeShade="BF"/>
                <w:szCs w:val="22"/>
              </w:rPr>
            </w:pPr>
          </w:p>
          <w:p w:rsidR="001E4573" w:rsidRPr="00200893" w:rsidRDefault="001E4573" w:rsidP="009F3A30">
            <w:pPr>
              <w:pStyle w:val="BodyText"/>
              <w:jc w:val="both"/>
              <w:rPr>
                <w:rFonts w:asciiTheme="minorHAnsi" w:hAnsiTheme="minorHAnsi" w:cstheme="minorHAnsi"/>
                <w:i/>
                <w:szCs w:val="22"/>
              </w:rPr>
            </w:pPr>
          </w:p>
        </w:tc>
      </w:tr>
    </w:tbl>
    <w:p w:rsidR="008675CA" w:rsidRPr="00200893" w:rsidRDefault="008675CA" w:rsidP="008675CA">
      <w:pPr>
        <w:pStyle w:val="BodyText"/>
        <w:jc w:val="both"/>
        <w:rPr>
          <w:rFonts w:asciiTheme="minorHAnsi" w:hAnsiTheme="minorHAnsi" w:cstheme="minorHAnsi"/>
          <w:szCs w:val="22"/>
        </w:rPr>
      </w:pPr>
    </w:p>
    <w:p w:rsidR="00E54C97" w:rsidRDefault="00E54C97" w:rsidP="008675CA">
      <w:pPr>
        <w:pStyle w:val="BodyText"/>
        <w:jc w:val="both"/>
        <w:rPr>
          <w:rFonts w:asciiTheme="minorHAnsi" w:hAnsiTheme="minorHAnsi" w:cstheme="minorHAns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8675CA" w:rsidRDefault="00E54C97" w:rsidP="009F3A30">
            <w:pPr>
              <w:pStyle w:val="BodyText"/>
              <w:jc w:val="both"/>
              <w:rPr>
                <w:rFonts w:asciiTheme="minorHAnsi" w:hAnsiTheme="minorHAnsi" w:cstheme="minorHAnsi"/>
                <w:szCs w:val="22"/>
              </w:rPr>
            </w:pPr>
            <w:r w:rsidRPr="00E54C97">
              <w:rPr>
                <w:rFonts w:asciiTheme="minorHAnsi" w:hAnsiTheme="minorHAnsi" w:cstheme="minorHAnsi"/>
                <w:i/>
                <w:szCs w:val="22"/>
              </w:rPr>
              <w:t>Renditni dhe përshkruani në mënyrë të shkurtër dhe koncize të gjitha propozimet dhe ndryshimet që doni të prezantoni me rregullore</w:t>
            </w:r>
            <w:r>
              <w:rPr>
                <w:rFonts w:asciiTheme="minorHAnsi" w:hAnsiTheme="minorHAnsi" w:cstheme="minorHAnsi"/>
                <w:i/>
                <w:szCs w:val="22"/>
              </w:rPr>
              <w:t>n e</w:t>
            </w:r>
            <w:r w:rsidRPr="00E54C97">
              <w:rPr>
                <w:rFonts w:asciiTheme="minorHAnsi" w:hAnsiTheme="minorHAnsi" w:cstheme="minorHAnsi"/>
                <w:i/>
                <w:szCs w:val="22"/>
              </w:rPr>
              <w:t xml:space="preserve"> reja. Përdorni </w:t>
            </w:r>
            <w:r>
              <w:rPr>
                <w:rFonts w:asciiTheme="minorHAnsi" w:hAnsiTheme="minorHAnsi" w:cstheme="minorHAnsi"/>
                <w:i/>
                <w:szCs w:val="22"/>
              </w:rPr>
              <w:t>nj</w:t>
            </w:r>
            <w:r w:rsidR="00044810">
              <w:rPr>
                <w:rFonts w:asciiTheme="minorHAnsi" w:hAnsiTheme="minorHAnsi" w:cstheme="minorHAnsi"/>
                <w:i/>
                <w:szCs w:val="22"/>
              </w:rPr>
              <w:t>ë</w:t>
            </w:r>
            <w:r w:rsidRPr="00E54C97">
              <w:rPr>
                <w:rFonts w:asciiTheme="minorHAnsi" w:hAnsiTheme="minorHAnsi" w:cstheme="minorHAnsi"/>
                <w:i/>
                <w:szCs w:val="22"/>
              </w:rPr>
              <w:t>gjuhë të thjeshtë.</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lastRenderedPageBreak/>
              <w:t>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ATK-së një sërë funksionesh për menaxhimin e skemave të Garancive Sovrane, këto të lëshuara për ti ardhur në ndihmë biznesit në situatën e Covid 19, apo çdo skemë të ngjashme që mund të jetë e nevojshme në të ardhmen të miratohet. Në këtë kontekst, ATK-së, nëpërmjet ndryshimeve ligjore të propozuara i kalojnë për t’u menaxhuar aktivitetet/funksionet e mëposhtme:</w:t>
            </w:r>
          </w:p>
          <w:p w:rsidR="00A64A4B" w:rsidRPr="00A64A4B" w:rsidRDefault="00A64A4B" w:rsidP="00A64A4B">
            <w:pPr>
              <w:numPr>
                <w:ilvl w:val="0"/>
                <w:numId w:val="1"/>
              </w:numPr>
              <w:spacing w:after="200" w:line="276" w:lineRule="auto"/>
              <w:contextualSpacing/>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Administrimi dhe ruajtja e dokumentacionit dhe të dhënave sa i takon skemave të garancive, pa cënuar detyrimin e Ministrisë së Financave dhe Ekonomisë për ruajtjen e dokumentacionit dhe regjistrimin e të dhënave për borxhin shtetëror dhe garancive shtetërore të huave;</w:t>
            </w:r>
          </w:p>
          <w:p w:rsidR="00A64A4B" w:rsidRPr="00A64A4B" w:rsidRDefault="00A64A4B" w:rsidP="00A64A4B">
            <w:pPr>
              <w:numPr>
                <w:ilvl w:val="0"/>
                <w:numId w:val="1"/>
              </w:numPr>
              <w:spacing w:after="200" w:line="276" w:lineRule="auto"/>
              <w:contextualSpacing/>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Mbajtja e bazës së të dhënave dhe regjistrin analitik të garancive që menaxhon; </w:t>
            </w:r>
          </w:p>
          <w:p w:rsidR="00A64A4B" w:rsidRPr="00A64A4B" w:rsidRDefault="00A64A4B" w:rsidP="00A64A4B">
            <w:pPr>
              <w:numPr>
                <w:ilvl w:val="0"/>
                <w:numId w:val="1"/>
              </w:numPr>
              <w:spacing w:after="200" w:line="276" w:lineRule="auto"/>
              <w:contextualSpacing/>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Verifikimi i rasteve të thirjes së Garancisë për pagesë, në rastet e mospagimit nga Huamarrësi dhe njoftimi i MFE;</w:t>
            </w:r>
          </w:p>
          <w:p w:rsidR="00A64A4B" w:rsidRPr="00A64A4B" w:rsidRDefault="00A64A4B" w:rsidP="00A64A4B">
            <w:pPr>
              <w:numPr>
                <w:ilvl w:val="0"/>
                <w:numId w:val="1"/>
              </w:numPr>
              <w:spacing w:after="200" w:line="276" w:lineRule="auto"/>
              <w:contextualSpacing/>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Ndjekja e rikuperimit të të drejtave që i lindin Ministrisë së Financave dhe Ekonomisë pas pagesave të kryera sipas skemave të garancisë;</w:t>
            </w:r>
          </w:p>
          <w:p w:rsidR="00A64A4B" w:rsidRPr="00A64A4B" w:rsidRDefault="00A64A4B" w:rsidP="00A64A4B">
            <w:pPr>
              <w:numPr>
                <w:ilvl w:val="0"/>
                <w:numId w:val="1"/>
              </w:numPr>
              <w:spacing w:after="200" w:line="276" w:lineRule="auto"/>
              <w:contextualSpacing/>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Raportimi në MFE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Në projekt-ligjin e propozuar synohet të shtohet një nen mbi </w:t>
            </w:r>
            <w:r w:rsidRPr="00A64A4B">
              <w:rPr>
                <w:rFonts w:asciiTheme="minorHAnsi" w:eastAsia="Calibri" w:hAnsiTheme="minorHAnsi"/>
                <w:b/>
                <w:i/>
                <w:color w:val="2E74B5" w:themeColor="accent5" w:themeShade="BF"/>
                <w:szCs w:val="22"/>
                <w:lang w:val="sq-AL"/>
              </w:rPr>
              <w:t>Qëllimin e lëshimit të garancisë shtetërore të huasë</w:t>
            </w:r>
            <w:r w:rsidRPr="00A64A4B">
              <w:rPr>
                <w:rFonts w:asciiTheme="minorHAnsi" w:eastAsia="Calibri" w:hAnsiTheme="minorHAnsi"/>
                <w:color w:val="2E74B5" w:themeColor="accent5" w:themeShade="BF"/>
                <w:szCs w:val="22"/>
                <w:lang w:val="sq-AL"/>
              </w:rPr>
              <w:t xml:space="preserve">, si më poshtë, në vijim të nenit që përcakton </w:t>
            </w:r>
            <w:r w:rsidRPr="00A64A4B">
              <w:rPr>
                <w:rFonts w:asciiTheme="minorHAnsi" w:eastAsia="Calibri" w:hAnsiTheme="minorHAnsi"/>
                <w:b/>
                <w:i/>
                <w:color w:val="2E74B5" w:themeColor="accent5" w:themeShade="BF"/>
                <w:szCs w:val="22"/>
                <w:lang w:val="sq-AL"/>
              </w:rPr>
              <w:t>Qëllimin e marrjes së borxhit</w:t>
            </w:r>
            <w:r w:rsidRPr="00A64A4B">
              <w:rPr>
                <w:rFonts w:asciiTheme="minorHAnsi" w:eastAsia="Calibri" w:hAnsiTheme="minorHAnsi"/>
                <w:color w:val="2E74B5" w:themeColor="accent5" w:themeShade="BF"/>
                <w:szCs w:val="22"/>
                <w:lang w:val="sq-AL"/>
              </w:rPr>
              <w:t xml:space="preserve">. Në këtë mënyrë, sipas projekt-ligjit të propozuar: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i/>
                <w:color w:val="2E74B5" w:themeColor="accent5" w:themeShade="BF"/>
                <w:szCs w:val="22"/>
                <w:lang w:val="sq-AL"/>
              </w:rPr>
            </w:pPr>
            <w:r w:rsidRPr="00A64A4B">
              <w:rPr>
                <w:rFonts w:asciiTheme="minorHAnsi" w:eastAsia="Calibri" w:hAnsiTheme="minorHAnsi"/>
                <w:color w:val="2E74B5" w:themeColor="accent5" w:themeShade="BF"/>
                <w:szCs w:val="22"/>
                <w:lang w:val="sq-AL"/>
              </w:rPr>
              <w:t>“</w:t>
            </w:r>
            <w:r w:rsidRPr="00A64A4B">
              <w:rPr>
                <w:rFonts w:asciiTheme="minorHAnsi" w:eastAsia="Calibri" w:hAnsiTheme="minorHAnsi"/>
                <w:i/>
                <w:color w:val="2E74B5" w:themeColor="accent5" w:themeShade="BF"/>
                <w:szCs w:val="22"/>
                <w:lang w:val="sq-AL"/>
              </w:rPr>
              <w:t>Ministri përgjegjës për financat, në emër të Këshilli i Ministrave lëshon garanci shtetërore të huasë:</w:t>
            </w:r>
          </w:p>
          <w:p w:rsidR="00A64A4B" w:rsidRPr="00A64A4B" w:rsidRDefault="00A64A4B" w:rsidP="00A64A4B">
            <w:pPr>
              <w:numPr>
                <w:ilvl w:val="0"/>
                <w:numId w:val="2"/>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Për të mbështetur politikat zhvillimore të sektorëve të ekonomisë;</w:t>
            </w:r>
          </w:p>
          <w:p w:rsidR="00A64A4B" w:rsidRPr="00A64A4B" w:rsidRDefault="00A64A4B" w:rsidP="00A64A4B">
            <w:pPr>
              <w:numPr>
                <w:ilvl w:val="0"/>
                <w:numId w:val="2"/>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Për të mbështetur kreditimin e ndërmarrjeve shtetërorë më rëndësi strategjike me qëllim realizimin e projekteve të investimeve nga këto ndërmarrje;</w:t>
            </w:r>
          </w:p>
          <w:p w:rsidR="00A64A4B" w:rsidRPr="00A64A4B" w:rsidRDefault="00A64A4B" w:rsidP="00A64A4B">
            <w:pPr>
              <w:numPr>
                <w:ilvl w:val="0"/>
                <w:numId w:val="2"/>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Për të mbështetur kreditimin e ndërmarrjeve private, në zbatim të politikave të veçanta të Qeverisë. Në këtë rast mund të përdoren skema të veçanta kolektive të garancive shtetërore. Menaxhimi i disa aspekteve të këtyre skemave të veçanta të garancive, duke përfshirë por pa u kufizuar në, shqyrtimin, vlerësimin dhe miratimin i aplikimeve/kërkesave për garanci, dokumentacioni, mbikqyrja dhe ndjekja e kthimit të garancisë, do të mundësohet nga një institucion i caktuar me ligj për kryerjen e këtyre funksioneve (referuar në këtë ligj si “</w:t>
            </w:r>
            <w:r w:rsidRPr="00A64A4B">
              <w:rPr>
                <w:rFonts w:asciiTheme="minorHAnsi" w:eastAsia="Calibri" w:hAnsiTheme="minorHAnsi"/>
                <w:i/>
                <w:iCs/>
                <w:color w:val="2E74B5" w:themeColor="accent5" w:themeShade="BF"/>
                <w:szCs w:val="22"/>
                <w:lang w:val="en-US"/>
              </w:rPr>
              <w:t>institucioni i caktuar me ligj për menaxhimin e skemave të veçanta të garancive”)</w:t>
            </w:r>
            <w:r w:rsidRPr="00A64A4B">
              <w:rPr>
                <w:rFonts w:asciiTheme="minorHAnsi" w:eastAsia="Calibri" w:hAnsiTheme="minorHAnsi"/>
                <w:i/>
                <w:iCs/>
                <w:color w:val="2E74B5" w:themeColor="accent5" w:themeShade="BF"/>
                <w:szCs w:val="22"/>
                <w:lang w:val="sq-AL"/>
              </w:rPr>
              <w:t>;</w:t>
            </w:r>
          </w:p>
          <w:p w:rsidR="00A64A4B" w:rsidRPr="00A64A4B" w:rsidRDefault="00A64A4B" w:rsidP="00A64A4B">
            <w:pPr>
              <w:numPr>
                <w:ilvl w:val="0"/>
                <w:numId w:val="2"/>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Për të mbështetur masat që mund të ndërmerren në rastet e ndonjë krize  të sistemit financiar;</w:t>
            </w:r>
          </w:p>
          <w:p w:rsidR="00A64A4B" w:rsidRPr="00A64A4B" w:rsidRDefault="00A64A4B" w:rsidP="00A64A4B">
            <w:pPr>
              <w:numPr>
                <w:ilvl w:val="0"/>
                <w:numId w:val="2"/>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Për të mbështetur ristrukturimin e portofolit ekzistues të garancive shtetërore të huasë me qëllim reduktimin e nivelit të riskut.”</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Gjithashtu, referuar pjesës së ligjit që rregullon Dhënien e garancisë shtetërore të huasë, shtohet një nen i posaçëm që rregullon lëshimin e Skemave të veçanta të garancive si më poshtë, parashikim i cili është në të njëjtën linjë me lëshimin e garancive sovrane të zakonshme: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i/>
                <w:color w:val="2E74B5" w:themeColor="accent5" w:themeShade="BF"/>
                <w:szCs w:val="22"/>
                <w:lang w:val="sq-AL"/>
              </w:rPr>
            </w:pPr>
            <w:r w:rsidRPr="00A64A4B">
              <w:rPr>
                <w:rFonts w:asciiTheme="minorHAnsi" w:eastAsia="Calibri" w:hAnsiTheme="minorHAnsi"/>
                <w:color w:val="2E74B5" w:themeColor="accent5" w:themeShade="BF"/>
                <w:szCs w:val="22"/>
                <w:lang w:val="sq-AL"/>
              </w:rPr>
              <w:lastRenderedPageBreak/>
              <w:t>“</w:t>
            </w:r>
            <w:r w:rsidRPr="00A64A4B">
              <w:rPr>
                <w:rFonts w:asciiTheme="minorHAnsi" w:eastAsia="Calibri" w:hAnsiTheme="minorHAnsi"/>
                <w:i/>
                <w:color w:val="2E74B5" w:themeColor="accent5" w:themeShade="BF"/>
                <w:szCs w:val="22"/>
                <w:lang w:val="sq-AL"/>
              </w:rPr>
              <w:t xml:space="preserve">1.Në rastin e skemave të veçanta të garancive, të cilat menaxhohen nga institucion i caktuar me ligj për këtë </w:t>
            </w:r>
            <w:r w:rsidRPr="00A64A4B">
              <w:rPr>
                <w:rFonts w:asciiTheme="minorHAnsi" w:eastAsia="Calibri" w:hAnsiTheme="minorHAnsi"/>
                <w:i/>
                <w:color w:val="2E74B5" w:themeColor="accent5" w:themeShade="BF"/>
                <w:szCs w:val="22"/>
                <w:lang w:val="sq-AL"/>
              </w:rPr>
              <w:tab/>
              <w:t>qëllim, Ministri përgjegjës për financat miraton:</w:t>
            </w:r>
          </w:p>
          <w:p w:rsidR="00A64A4B" w:rsidRPr="00A64A4B" w:rsidRDefault="00A64A4B" w:rsidP="00A64A4B">
            <w:pPr>
              <w:numPr>
                <w:ilvl w:val="0"/>
                <w:numId w:val="3"/>
              </w:numPr>
              <w:spacing w:after="200" w:line="276" w:lineRule="auto"/>
              <w:contextualSpacing/>
              <w:jc w:val="both"/>
              <w:rPr>
                <w:rFonts w:asciiTheme="minorHAnsi" w:eastAsia="Calibri" w:hAnsiTheme="minorHAnsi"/>
                <w:i/>
                <w:color w:val="2E74B5" w:themeColor="accent5" w:themeShade="BF"/>
                <w:szCs w:val="22"/>
                <w:lang w:val="sq-AL"/>
              </w:rPr>
            </w:pPr>
            <w:r w:rsidRPr="00A64A4B">
              <w:rPr>
                <w:rFonts w:asciiTheme="minorHAnsi" w:eastAsia="Calibri" w:hAnsiTheme="minorHAnsi"/>
                <w:i/>
                <w:color w:val="2E74B5" w:themeColor="accent5" w:themeShade="BF"/>
                <w:szCs w:val="22"/>
                <w:lang w:val="sq-AL"/>
              </w:rPr>
              <w:t>termat kryesore të huasë ndërmjet institucionit huadhënës dhe huamarrësit;</w:t>
            </w:r>
          </w:p>
          <w:p w:rsidR="00A64A4B" w:rsidRPr="00A64A4B" w:rsidRDefault="00A64A4B" w:rsidP="00A64A4B">
            <w:pPr>
              <w:numPr>
                <w:ilvl w:val="0"/>
                <w:numId w:val="3"/>
              </w:numPr>
              <w:spacing w:after="200" w:line="276" w:lineRule="auto"/>
              <w:contextualSpacing/>
              <w:jc w:val="both"/>
              <w:rPr>
                <w:rFonts w:asciiTheme="minorHAnsi" w:eastAsia="Calibri" w:hAnsiTheme="minorHAnsi"/>
                <w:i/>
                <w:color w:val="2E74B5" w:themeColor="accent5" w:themeShade="BF"/>
                <w:szCs w:val="22"/>
                <w:lang w:val="sq-AL"/>
              </w:rPr>
            </w:pPr>
            <w:r w:rsidRPr="00A64A4B">
              <w:rPr>
                <w:rFonts w:asciiTheme="minorHAnsi" w:eastAsia="Calibri" w:hAnsiTheme="minorHAnsi"/>
                <w:i/>
                <w:color w:val="2E74B5" w:themeColor="accent5" w:themeShade="BF"/>
                <w:szCs w:val="22"/>
                <w:lang w:val="sq-AL"/>
              </w:rPr>
              <w:t>projektmarrëveshjen e garancisë ndërmjet institucionit huadhënës dhe shtetit;</w:t>
            </w:r>
          </w:p>
          <w:p w:rsidR="00A64A4B" w:rsidRPr="00A64A4B" w:rsidRDefault="00A64A4B" w:rsidP="00A64A4B">
            <w:pPr>
              <w:numPr>
                <w:ilvl w:val="0"/>
                <w:numId w:val="3"/>
              </w:numPr>
              <w:spacing w:after="200" w:line="276" w:lineRule="auto"/>
              <w:contextualSpacing/>
              <w:jc w:val="both"/>
              <w:rPr>
                <w:rFonts w:asciiTheme="minorHAnsi" w:eastAsia="Calibri" w:hAnsiTheme="minorHAnsi"/>
                <w:i/>
                <w:color w:val="2E74B5" w:themeColor="accent5" w:themeShade="BF"/>
                <w:szCs w:val="22"/>
                <w:lang w:val="sq-AL"/>
              </w:rPr>
            </w:pPr>
            <w:r w:rsidRPr="00A64A4B">
              <w:rPr>
                <w:rFonts w:asciiTheme="minorHAnsi" w:eastAsia="Calibri" w:hAnsiTheme="minorHAnsi"/>
                <w:i/>
                <w:color w:val="2E74B5" w:themeColor="accent5" w:themeShade="BF"/>
                <w:szCs w:val="22"/>
                <w:lang w:val="sq-AL"/>
              </w:rPr>
              <w:t>projektmarrëveshjen tip të mirëkuptimit, që do të nënshkruarhet nga huamarrësi</w:t>
            </w:r>
          </w:p>
          <w:p w:rsidR="00A64A4B" w:rsidRPr="00A64A4B" w:rsidRDefault="00A64A4B" w:rsidP="00A64A4B">
            <w:pPr>
              <w:spacing w:line="276" w:lineRule="auto"/>
              <w:jc w:val="both"/>
              <w:rPr>
                <w:rFonts w:asciiTheme="minorHAnsi" w:eastAsia="Calibri" w:hAnsiTheme="minorHAnsi"/>
                <w:i/>
                <w:color w:val="2E74B5" w:themeColor="accent5" w:themeShade="BF"/>
                <w:szCs w:val="22"/>
                <w:lang w:val="sq-AL"/>
              </w:rPr>
            </w:pPr>
            <w:r w:rsidRPr="00A64A4B">
              <w:rPr>
                <w:rFonts w:asciiTheme="minorHAnsi" w:eastAsia="Calibri" w:hAnsiTheme="minorHAnsi"/>
                <w:i/>
                <w:color w:val="2E74B5" w:themeColor="accent5" w:themeShade="BF"/>
                <w:szCs w:val="22"/>
                <w:lang w:val="sq-AL"/>
              </w:rPr>
              <w:t>2. Nënshkrimi i marrëveshjes së garancisë dhe i marrëveshjes së mirëkuptimit bëhen në bazë të kritereve dhe kushteve të përcaktuara nga Këshilli i Ministrave.”</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Sa i takon ndryshimeve në kuadër të menaxhimit të skemave të veçanta të garancive shtetërore, sqarojmë sa vijon.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en-US"/>
              </w:rPr>
              <w:t>N</w:t>
            </w:r>
            <w:r w:rsidRPr="00A64A4B">
              <w:rPr>
                <w:rFonts w:asciiTheme="minorHAnsi" w:eastAsia="Calibri" w:hAnsiTheme="minorHAnsi"/>
                <w:color w:val="2E74B5" w:themeColor="accent5" w:themeShade="BF"/>
                <w:szCs w:val="22"/>
                <w:lang w:val="sq-AL"/>
              </w:rPr>
              <w:t>ë</w:t>
            </w:r>
            <w:r w:rsidRPr="00A64A4B">
              <w:rPr>
                <w:rFonts w:asciiTheme="minorHAnsi" w:eastAsia="Calibri" w:hAnsiTheme="minorHAnsi"/>
                <w:color w:val="2E74B5" w:themeColor="accent5" w:themeShade="BF"/>
                <w:szCs w:val="22"/>
                <w:lang w:val="en-US"/>
              </w:rPr>
              <w:t xml:space="preserve"> rastin e skemave të veçanta të garancive, mbik</w:t>
            </w:r>
            <w:r w:rsidRPr="00A64A4B">
              <w:rPr>
                <w:rFonts w:asciiTheme="minorHAnsi" w:eastAsia="Calibri" w:hAnsiTheme="minorHAnsi"/>
                <w:color w:val="2E74B5" w:themeColor="accent5" w:themeShade="BF"/>
                <w:szCs w:val="22"/>
                <w:lang w:val="sq-AL"/>
              </w:rPr>
              <w:t>ë</w:t>
            </w:r>
            <w:r w:rsidRPr="00A64A4B">
              <w:rPr>
                <w:rFonts w:asciiTheme="minorHAnsi" w:eastAsia="Calibri" w:hAnsiTheme="minorHAnsi"/>
                <w:color w:val="2E74B5" w:themeColor="accent5" w:themeShade="BF"/>
                <w:szCs w:val="22"/>
                <w:lang w:val="en-US"/>
              </w:rPr>
              <w:t xml:space="preserve">qyrja e kushteve financiare të të gjithë huamarrësve, që kanë </w:t>
            </w:r>
            <w:r w:rsidRPr="00A64A4B">
              <w:rPr>
                <w:rFonts w:asciiTheme="minorHAnsi" w:eastAsia="Calibri" w:hAnsiTheme="minorHAnsi"/>
                <w:color w:val="2E74B5" w:themeColor="accent5" w:themeShade="BF"/>
                <w:szCs w:val="22"/>
                <w:lang w:val="sq-AL"/>
              </w:rPr>
              <w:t xml:space="preserve">përfituar nga skema e garancisë </w:t>
            </w:r>
            <w:r w:rsidRPr="00A64A4B">
              <w:rPr>
                <w:rFonts w:asciiTheme="minorHAnsi" w:eastAsia="Calibri" w:hAnsiTheme="minorHAnsi"/>
                <w:color w:val="2E74B5" w:themeColor="accent5" w:themeShade="BF"/>
                <w:szCs w:val="22"/>
                <w:lang w:val="en-US"/>
              </w:rPr>
              <w:t xml:space="preserve">do të kryhet nga </w:t>
            </w:r>
            <w:r w:rsidRPr="00A64A4B">
              <w:rPr>
                <w:rFonts w:asciiTheme="minorHAnsi" w:eastAsia="Calibri" w:hAnsiTheme="minorHAnsi"/>
                <w:color w:val="2E74B5" w:themeColor="accent5" w:themeShade="BF"/>
                <w:szCs w:val="22"/>
                <w:lang w:val="sq-AL"/>
              </w:rPr>
              <w:t>ATK dhe kjo e fundit do të kryejë edhe verifikimin e rasteve kur kërkohet pagesë nga garancia shtetërore.</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ATK, në emër të MFE do të </w:t>
            </w:r>
            <w:r w:rsidRPr="00A64A4B">
              <w:rPr>
                <w:rFonts w:asciiTheme="minorHAnsi" w:eastAsia="Calibri" w:hAnsiTheme="minorHAnsi"/>
                <w:color w:val="2E74B5" w:themeColor="accent5" w:themeShade="BF"/>
                <w:szCs w:val="22"/>
                <w:lang w:val="en-US"/>
              </w:rPr>
              <w:t>ndërm</w:t>
            </w:r>
            <w:r w:rsidRPr="00A64A4B">
              <w:rPr>
                <w:rFonts w:asciiTheme="minorHAnsi" w:eastAsia="Calibri" w:hAnsiTheme="minorHAnsi"/>
                <w:color w:val="2E74B5" w:themeColor="accent5" w:themeShade="BF"/>
                <w:szCs w:val="22"/>
                <w:lang w:val="sq-AL"/>
              </w:rPr>
              <w:t>a</w:t>
            </w:r>
            <w:r w:rsidRPr="00A64A4B">
              <w:rPr>
                <w:rFonts w:asciiTheme="minorHAnsi" w:eastAsia="Calibri" w:hAnsiTheme="minorHAnsi"/>
                <w:color w:val="2E74B5" w:themeColor="accent5" w:themeShade="BF"/>
                <w:szCs w:val="22"/>
                <w:lang w:val="en-US"/>
              </w:rPr>
              <w:t>rr</w:t>
            </w:r>
            <w:r w:rsidRPr="00A64A4B">
              <w:rPr>
                <w:rFonts w:asciiTheme="minorHAnsi" w:eastAsia="Calibri" w:hAnsiTheme="minorHAnsi"/>
                <w:color w:val="2E74B5" w:themeColor="accent5" w:themeShade="BF"/>
                <w:szCs w:val="22"/>
                <w:lang w:val="sq-AL"/>
              </w:rPr>
              <w:t>ë</w:t>
            </w:r>
            <w:r w:rsidRPr="00A64A4B">
              <w:rPr>
                <w:rFonts w:asciiTheme="minorHAnsi" w:eastAsia="Calibri" w:hAnsiTheme="minorHAnsi"/>
                <w:color w:val="2E74B5" w:themeColor="accent5" w:themeShade="BF"/>
                <w:szCs w:val="22"/>
                <w:lang w:val="en-US"/>
              </w:rPr>
              <w:t xml:space="preserve"> të gjitha masat e paracaktuara në këtë ligj, në ligje të tjera në fuqi dhe në marrëveshjet e mirëkuptimit, për rikuperimin e garancisë të përftuar nga huamarrësi çdo pagesë të bërë sipas garancisë, duke përfshirë edhe kostot që lidhen me të, referuar të gjitha garancive shtetërore të lëshuara sipas objektit të këtij ligji, dhe garancive të tjera të lëshuara para hyrjes në fuqi të tij</w:t>
            </w:r>
            <w:r w:rsidRPr="00A64A4B">
              <w:rPr>
                <w:rFonts w:asciiTheme="minorHAnsi" w:eastAsia="Calibri" w:hAnsiTheme="minorHAnsi"/>
                <w:color w:val="2E74B5" w:themeColor="accent5" w:themeShade="BF"/>
                <w:szCs w:val="22"/>
                <w:lang w:val="sq-AL"/>
              </w:rPr>
              <w:t>. Ndryshimi në ligj synon të rregullojë edhe rekuperimin e të drejtave të Ministrisë së Financave dhe Ekonomisë në kuadër të marrëveshjeve të nënhuasë, ku serish funksioni i rekuperimit të këtyre të drejtave do ti kalohet ATK.</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ATK do të mbajë dhe administrojë të dhënat dhe dokumentacionin që lidhen me skemat e veçanta të garancisë, pa cënuar detyrimin e MFE për administrimin e të dhënave të borxhit dhe garancive shtetërore.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ATK do të raportojë rregullisht pranë MFE të dhënat e regjistrit për garancitë që do të menaxhojnë, si dhe do të dokumentojë përfundimin e garancisë referuar skemave të veçanta të garancive.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Ndryshimet ligjore gjithashtu përfshijnë disa modifikime të nevojshme në kuadër të rekomandimeve të lëna nga KLSH në raportet e auditimit të kryera në Drejtorinë e Borxhit Publik, dhe të cilat kryesisht synojnë shtimin e instrumenteve/ mekanizmave ligjore për mbledhjen e të drejtave që i lindin MFE në kuadër të marrëveshjeve të nënhuave dhe garancive.</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Një sërë ndryshimesh të tjera synohen në ligj, në drejtim të përmirësimit të tij, të sqaruara si më poshtë: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numPr>
                <w:ilvl w:val="0"/>
                <w:numId w:val="4"/>
              </w:numPr>
              <w:spacing w:after="200" w:line="276" w:lineRule="auto"/>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 xml:space="preserve">Në ligj synohet të ndryshohet një parashikim i cili vjen në kundërshtim me marrëveshjet ndërkombëtare të garancive shtetërore. Sipas parashikimeve aktuale të ligjit, </w:t>
            </w:r>
            <w:r w:rsidRPr="00A64A4B">
              <w:rPr>
                <w:rFonts w:asciiTheme="minorHAnsi" w:eastAsia="Calibri" w:hAnsiTheme="minorHAnsi"/>
                <w:i/>
                <w:iCs/>
                <w:color w:val="2E74B5" w:themeColor="accent5" w:themeShade="BF"/>
                <w:szCs w:val="22"/>
                <w:lang w:val="sq-AL"/>
              </w:rPr>
              <w:t xml:space="preserve">Kur huamarrësi s'ka mundur të bëjë pagesën/pagesat, në përputhje me kushtet dhe afatet e marrëveshjes së huasë, të përcaktuara për këtë qëllim dhe institucioni huadhënës vërteton se ka marrë të gjitha masat e nevojshme, siç përcaktohet në këtë ligj dhe në marrëveshjen e garancisë, për të marrë në dorëzim pagesën/pagesat e premtuara, institucioni huadhënës i paraqet Ministrit të Financave një kërkesë për pagesë, në përmbushje të së drejtës së tij, sipas garancisë shtetërore të huasë. Ministri i Financave, pasi vëren se kërkesa për pagesë është në përputhje me kushtet </w:t>
            </w:r>
            <w:r w:rsidRPr="00A64A4B">
              <w:rPr>
                <w:rFonts w:asciiTheme="minorHAnsi" w:eastAsia="Calibri" w:hAnsiTheme="minorHAnsi"/>
                <w:i/>
                <w:iCs/>
                <w:color w:val="2E74B5" w:themeColor="accent5" w:themeShade="BF"/>
                <w:szCs w:val="22"/>
                <w:lang w:val="sq-AL"/>
              </w:rPr>
              <w:lastRenderedPageBreak/>
              <w:t xml:space="preserve">që bëjnë të nevojshme paraqitjen e një kërkese të tillë, sipas përcaktimeve të marrëveshjes së huasë, autorizon transfertën e pagesës ose pagesave për institucionin huadhënës brenda pesëmbëdhjetë ditëve pune nga data e marrjes së kërkesës. </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Ndërkohë, marrëveshjet e garancive të lidhura, ndryshe nga sa parashikon ligji, parashikojnë që MFE duhet të paguajë në okhë detyrimin që nuk e paguan huamarrësi. Të vepruarit sikundër parashikon ligji, do të conte në shkelje të marrëveshjeve ndërkombëtare të garancive shtetërore. Në këtë mënyrë, u riformulua neni përkatës si vijon, për të siguruar një përputhshmëri maksimale të kuadrtit tonë ligjor, me marrëveshjet ndërkombëtare që lidhen në këtë fushë. Paragrafi i rishikuar i ligjit paraqitet si vijon:</w:t>
            </w: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“1. Kur huamarrësi nuk ka mundësi të kryejë pagesën/pagesat, në përputhje me kushtet dhe afatet e marrëveshjes së huasë, të përcaktuara për këtë qëllim, njofton menjëherë Ministrinë përgjegjëse për financat. Pas këtij njoftimi, Ministria përgjegjëse për financat verifikon paaftësinë paguese të huamarrësit. Për kryerjen e këtij verifikimi, Ministria përgjegjëse për financat është e autorizuar të kërkojë dhe të marrë nga bankat informacion mbi gjendjen e llogarive bankare të subjekteve përfituese të garancisë.</w:t>
            </w: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r w:rsidRPr="00A64A4B">
              <w:rPr>
                <w:rFonts w:asciiTheme="minorHAnsi" w:eastAsia="Calibri" w:hAnsiTheme="minorHAnsi"/>
                <w:i/>
                <w:iCs/>
                <w:color w:val="2E74B5" w:themeColor="accent5" w:themeShade="BF"/>
                <w:szCs w:val="22"/>
                <w:lang w:val="sq-AL"/>
              </w:rPr>
              <w:t>2. Kërkesa për pagesë mund t’i vijë Ministrisë përgjegjëse për financat edhe nga institucioni huadhënës.”</w:t>
            </w:r>
          </w:p>
          <w:p w:rsidR="00A64A4B" w:rsidRPr="00A64A4B" w:rsidRDefault="00A64A4B" w:rsidP="00A64A4B">
            <w:pPr>
              <w:spacing w:line="276" w:lineRule="auto"/>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Ky paragraf është plotësuar edhe me një sërë parashikimesh si vijojnë, në kuadër të zgjerimit të instrumenteve të MFE në mbledhjen e të drejtave referuar pagesave të kryera nga Garancitë. Gjithësesi kryerja e pagesës sipas Marrëveshjes përkatëse të Garancisë nuk mund të kushtëzohet nga këto masa që ndërmer MFE, përndryshe do të rezultonte në mospërmbushjen e detyrimeve që rrjedhin nga Marrëveshjet e Garancisë:</w:t>
            </w: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r w:rsidRPr="00A64A4B">
              <w:rPr>
                <w:rFonts w:asciiTheme="minorHAnsi" w:eastAsia="Calibri" w:hAnsiTheme="minorHAnsi"/>
                <w:i/>
                <w:iCs/>
                <w:color w:val="2E74B5" w:themeColor="accent5" w:themeShade="BF"/>
                <w:szCs w:val="22"/>
                <w:lang w:val="sq-AL"/>
              </w:rPr>
              <w:t>“3. Në zbatim të detyrimeve që lindin nga marreëveshja e garancisë, me marrjen e njoftimit/kërkesës  të lartpeërmendur, Ministri përgjegjës për financat, autorizon kryerjen e pageseës në peërputhje me përcaktimet e marrëveshjeve të huasë dhe garancisë. Kryerja e pagesës kryhet përpara dhe pavarësisht rezultatit të verifikimit të aftsisë paguese të huamarrësve.</w:t>
            </w: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r w:rsidRPr="00A64A4B">
              <w:rPr>
                <w:rFonts w:asciiTheme="minorHAnsi" w:eastAsia="Calibri" w:hAnsiTheme="minorHAnsi"/>
                <w:i/>
                <w:iCs/>
                <w:color w:val="2E74B5" w:themeColor="accent5" w:themeShade="BF"/>
                <w:szCs w:val="22"/>
                <w:lang w:val="sq-AL"/>
              </w:rPr>
              <w:t>4. Pas kryerjes së pagesës, në rast se nga verifikimi i aftësisë paguese të huamarrësve rezulton se ka mundësi pagese, Ministria përgjegjëse për financat, me Urdhër kërkon bllokimin e llogarive dhe sekuestrimin e kundravleftës që ajo ka paguar. Njëkohësisht, ngarkohet Ministri përgjegjës për financat të marrë masat administrative në bazë të legjislacionit në fuqi, në rast të konstatimit të mospagesës nga keqadministrimi i përfituesve të garancisë.</w:t>
            </w: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r w:rsidRPr="00A64A4B">
              <w:rPr>
                <w:rFonts w:asciiTheme="minorHAnsi" w:eastAsia="Calibri" w:hAnsiTheme="minorHAnsi"/>
                <w:i/>
                <w:iCs/>
                <w:color w:val="2E74B5" w:themeColor="accent5" w:themeShade="BF"/>
                <w:szCs w:val="22"/>
                <w:lang w:val="sq-AL"/>
              </w:rPr>
              <w:t>5. Urdhëri i Ministrit përgjegjës për financat sipas pikës 4, të këtij neni përbën titull ekzekutiv.”</w:t>
            </w: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color w:val="2E74B5" w:themeColor="accent5" w:themeShade="BF"/>
                <w:szCs w:val="22"/>
                <w:lang w:val="sq-AL"/>
              </w:rPr>
            </w:pPr>
            <w:r w:rsidRPr="00A64A4B">
              <w:rPr>
                <w:rFonts w:asciiTheme="minorHAnsi" w:eastAsia="Calibri" w:hAnsiTheme="minorHAnsi"/>
                <w:color w:val="2E74B5" w:themeColor="accent5" w:themeShade="BF"/>
                <w:szCs w:val="22"/>
                <w:lang w:val="sq-AL"/>
              </w:rPr>
              <w:t>Sa i takon skemave të veçanta të garancisë, parashikimi për këtë çështje është formuluar si vijon:</w:t>
            </w: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p>
          <w:p w:rsidR="00A64A4B" w:rsidRPr="00A64A4B" w:rsidRDefault="00A64A4B" w:rsidP="00A64A4B">
            <w:pPr>
              <w:spacing w:line="276" w:lineRule="auto"/>
              <w:ind w:left="360"/>
              <w:jc w:val="both"/>
              <w:rPr>
                <w:rFonts w:asciiTheme="minorHAnsi" w:eastAsia="Calibri" w:hAnsiTheme="minorHAnsi"/>
                <w:i/>
                <w:iCs/>
                <w:color w:val="2E74B5" w:themeColor="accent5" w:themeShade="BF"/>
                <w:szCs w:val="22"/>
                <w:lang w:val="sq-AL"/>
              </w:rPr>
            </w:pPr>
            <w:r w:rsidRPr="00A64A4B">
              <w:rPr>
                <w:rFonts w:asciiTheme="minorHAnsi" w:eastAsia="Calibri" w:hAnsiTheme="minorHAnsi"/>
                <w:i/>
                <w:iCs/>
                <w:color w:val="2E74B5" w:themeColor="accent5" w:themeShade="BF"/>
                <w:szCs w:val="22"/>
                <w:lang w:val="sq-AL"/>
              </w:rPr>
              <w:t xml:space="preserve">“6. Në rastin e skemave të veçanta të garancisë, kërkesa për pagesë i drejtohet institucionit të caktuar me ligj për administrimin e skemave të vecanta të garancisë, në përputhje me marrëveshjen e huasë dhe të garancisë, ku ky i fundit kryen verifikimin e përputhshmërisë së </w:t>
            </w:r>
            <w:r w:rsidRPr="00A64A4B">
              <w:rPr>
                <w:rFonts w:asciiTheme="minorHAnsi" w:eastAsia="Calibri" w:hAnsiTheme="minorHAnsi"/>
                <w:i/>
                <w:iCs/>
                <w:color w:val="2E74B5" w:themeColor="accent5" w:themeShade="BF"/>
                <w:szCs w:val="22"/>
                <w:lang w:val="sq-AL"/>
              </w:rPr>
              <w:lastRenderedPageBreak/>
              <w:t>kërkesës për pagesë me kushtet e përcakuara në marrëveshjen e huasë dhe garancisë.  Institucioni i caktuar me ligj për administrimin e skemave të veçanta të garancisë përcjell kërkesën për pagesë pranë Ministrit përgjegjës për financat në kohë, për të mundesuar pagesën brenda afateve të parashikuara në marrëveshje.”</w:t>
            </w:r>
          </w:p>
          <w:p w:rsidR="001E4573" w:rsidRPr="00200893" w:rsidRDefault="001E4573" w:rsidP="009F3A30">
            <w:pPr>
              <w:pStyle w:val="BodyText"/>
              <w:jc w:val="both"/>
              <w:rPr>
                <w:rFonts w:asciiTheme="minorHAnsi" w:hAnsiTheme="minorHAnsi" w:cstheme="minorHAnsi"/>
                <w:szCs w:val="22"/>
              </w:rPr>
            </w:pPr>
          </w:p>
        </w:tc>
      </w:tr>
    </w:tbl>
    <w:p w:rsidR="008675CA" w:rsidRPr="00200893" w:rsidRDefault="008675CA" w:rsidP="008675CA">
      <w:pPr>
        <w:pStyle w:val="BodyText"/>
        <w:jc w:val="both"/>
        <w:rPr>
          <w:rFonts w:asciiTheme="minorHAnsi" w:hAnsiTheme="minorHAnsi" w:cstheme="minorHAnsi"/>
          <w:i/>
          <w:szCs w:val="22"/>
        </w:rPr>
      </w:pPr>
    </w:p>
    <w:p w:rsidR="008675CA" w:rsidRPr="00200893" w:rsidRDefault="00E54C97" w:rsidP="008675CA">
      <w:pPr>
        <w:pStyle w:val="BodyText"/>
        <w:jc w:val="both"/>
        <w:rPr>
          <w:rFonts w:asciiTheme="minorHAnsi" w:hAnsiTheme="minorHAnsi" w:cstheme="minorHAnsi"/>
          <w:szCs w:val="22"/>
        </w:rPr>
      </w:pPr>
      <w:r>
        <w:rPr>
          <w:rFonts w:asciiTheme="minorHAnsi" w:hAnsiTheme="minorHAnsi" w:cstheme="minorHAnsi"/>
          <w:szCs w:val="22"/>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675CA" w:rsidRPr="00200893" w:rsidTr="009F3A30">
        <w:tc>
          <w:tcPr>
            <w:tcW w:w="9212" w:type="dxa"/>
          </w:tcPr>
          <w:p w:rsidR="001E4573" w:rsidRDefault="00E54C97" w:rsidP="009F3A30">
            <w:pPr>
              <w:pStyle w:val="BodyText"/>
              <w:jc w:val="both"/>
              <w:rPr>
                <w:rFonts w:asciiTheme="minorHAnsi" w:hAnsiTheme="minorHAnsi" w:cstheme="minorHAnsi"/>
                <w:i/>
                <w:szCs w:val="22"/>
              </w:rPr>
            </w:pPr>
            <w:r w:rsidRPr="00E54C97">
              <w:rPr>
                <w:rFonts w:asciiTheme="minorHAnsi" w:hAnsiTheme="minorHAnsi" w:cstheme="minorHAnsi"/>
                <w:i/>
                <w:szCs w:val="22"/>
              </w:rPr>
              <w:t xml:space="preserve">Listoni pyetje për të cilat po kërkoni reagime. Ato mund të lidhen me propozimet tuaja (p.sh. A jeni dakord me propozimin për ..., A jeni dakord që duhet të ndërmerren veprime </w:t>
            </w:r>
            <w:r>
              <w:rPr>
                <w:rFonts w:asciiTheme="minorHAnsi" w:hAnsiTheme="minorHAnsi" w:cstheme="minorHAnsi"/>
                <w:i/>
                <w:szCs w:val="22"/>
              </w:rPr>
              <w:t>të mëtejshme për të parandaluar/</w:t>
            </w:r>
            <w:r w:rsidRPr="00E54C97">
              <w:rPr>
                <w:rFonts w:asciiTheme="minorHAnsi" w:hAnsiTheme="minorHAnsi" w:cstheme="minorHAnsi"/>
                <w:i/>
                <w:szCs w:val="22"/>
              </w:rPr>
              <w:t xml:space="preserve">rritur ..., A jeni dakord që ne e </w:t>
            </w:r>
            <w:r>
              <w:rPr>
                <w:rFonts w:asciiTheme="minorHAnsi" w:hAnsiTheme="minorHAnsi" w:cstheme="minorHAnsi"/>
                <w:i/>
                <w:szCs w:val="22"/>
              </w:rPr>
              <w:t>quajm</w:t>
            </w:r>
            <w:r w:rsidR="00044810">
              <w:rPr>
                <w:rFonts w:asciiTheme="minorHAnsi" w:hAnsiTheme="minorHAnsi" w:cstheme="minorHAnsi"/>
                <w:i/>
                <w:szCs w:val="22"/>
              </w:rPr>
              <w:t>ë</w:t>
            </w:r>
            <w:r>
              <w:rPr>
                <w:rFonts w:asciiTheme="minorHAnsi" w:hAnsiTheme="minorHAnsi" w:cstheme="minorHAnsi"/>
                <w:i/>
                <w:szCs w:val="22"/>
              </w:rPr>
              <w:t xml:space="preserve"> shkelje</w:t>
            </w:r>
            <w:r w:rsidRPr="00E54C97">
              <w:rPr>
                <w:rFonts w:asciiTheme="minorHAnsi" w:hAnsiTheme="minorHAnsi" w:cstheme="minorHAnsi"/>
                <w:i/>
                <w:szCs w:val="22"/>
              </w:rPr>
              <w:t xml:space="preserve"> ..., A pajtoheni me përkufizimin tonë të ri për ..., etj.) ose thjesht përdoren për të mbledhur të dhëna shtesë që ju kërkoni (p.sh. Cili do të ishte ndikimi i propozimeve tona në biznesin tuaj, organizatat, </w:t>
            </w:r>
            <w:r w:rsidR="00785430">
              <w:rPr>
                <w:rFonts w:asciiTheme="minorHAnsi" w:hAnsiTheme="minorHAnsi" w:cstheme="minorHAnsi"/>
                <w:i/>
                <w:szCs w:val="22"/>
              </w:rPr>
              <w:t>A e bën organizataj</w:t>
            </w:r>
            <w:r w:rsidRPr="00E54C97">
              <w:rPr>
                <w:rFonts w:asciiTheme="minorHAnsi" w:hAnsiTheme="minorHAnsi" w:cstheme="minorHAnsi"/>
                <w:i/>
                <w:szCs w:val="22"/>
              </w:rPr>
              <w:t xml:space="preserve">uaj ..., etj.). Ju mund të merrni parasysh kufizimin e gjatësisë së përgjigjeve </w:t>
            </w:r>
            <w:r w:rsidR="00785430">
              <w:rPr>
                <w:rFonts w:asciiTheme="minorHAnsi" w:hAnsiTheme="minorHAnsi" w:cstheme="minorHAnsi"/>
                <w:i/>
                <w:szCs w:val="22"/>
              </w:rPr>
              <w:t>p</w:t>
            </w:r>
            <w:r w:rsidR="00044810">
              <w:rPr>
                <w:rFonts w:asciiTheme="minorHAnsi" w:hAnsiTheme="minorHAnsi" w:cstheme="minorHAnsi"/>
                <w:i/>
                <w:szCs w:val="22"/>
              </w:rPr>
              <w:t>ë</w:t>
            </w:r>
            <w:r w:rsidR="00785430">
              <w:rPr>
                <w:rFonts w:asciiTheme="minorHAnsi" w:hAnsiTheme="minorHAnsi" w:cstheme="minorHAnsi"/>
                <w:i/>
                <w:szCs w:val="22"/>
              </w:rPr>
              <w:t xml:space="preserve">r </w:t>
            </w:r>
            <w:r w:rsidRPr="00E54C97">
              <w:rPr>
                <w:rFonts w:asciiTheme="minorHAnsi" w:hAnsiTheme="minorHAnsi" w:cstheme="minorHAnsi"/>
                <w:i/>
                <w:szCs w:val="22"/>
              </w:rPr>
              <w:t xml:space="preserve"> pyetje</w:t>
            </w:r>
            <w:r w:rsidR="00785430">
              <w:rPr>
                <w:rFonts w:asciiTheme="minorHAnsi" w:hAnsiTheme="minorHAnsi" w:cstheme="minorHAnsi"/>
                <w:i/>
                <w:szCs w:val="22"/>
              </w:rPr>
              <w:t>t</w:t>
            </w:r>
            <w:r w:rsidRPr="00E54C97">
              <w:rPr>
                <w:rFonts w:asciiTheme="minorHAnsi" w:hAnsiTheme="minorHAnsi" w:cstheme="minorHAnsi"/>
                <w:i/>
                <w:szCs w:val="22"/>
              </w:rPr>
              <w:t xml:space="preserve"> individuale (p.sh. 250/500 fjalë).</w:t>
            </w:r>
          </w:p>
          <w:p w:rsidR="001E4573" w:rsidRDefault="001E4573" w:rsidP="009F3A30">
            <w:pPr>
              <w:pStyle w:val="BodyText"/>
              <w:jc w:val="both"/>
              <w:rPr>
                <w:rFonts w:asciiTheme="minorHAnsi" w:hAnsiTheme="minorHAnsi" w:cstheme="minorHAnsi"/>
                <w:i/>
                <w:szCs w:val="22"/>
              </w:rPr>
            </w:pPr>
          </w:p>
          <w:p w:rsidR="00A64A4B" w:rsidRPr="00A64A4B" w:rsidRDefault="00F633DA" w:rsidP="009F3A30">
            <w:pPr>
              <w:pStyle w:val="BodyText"/>
              <w:jc w:val="both"/>
              <w:rPr>
                <w:rFonts w:asciiTheme="minorHAnsi" w:eastAsia="Calibri" w:hAnsiTheme="minorHAnsi"/>
                <w:color w:val="2E74B5" w:themeColor="accent5" w:themeShade="BF"/>
                <w:szCs w:val="22"/>
                <w:lang w:val="sq-AL"/>
              </w:rPr>
            </w:pPr>
            <w:r>
              <w:rPr>
                <w:rFonts w:asciiTheme="minorHAnsi" w:eastAsia="Calibri" w:hAnsiTheme="minorHAnsi"/>
                <w:color w:val="2E74B5" w:themeColor="accent5" w:themeShade="BF"/>
                <w:szCs w:val="22"/>
                <w:lang w:val="sq-AL"/>
              </w:rPr>
              <w:t>Mendoni se rregullimet e synuara ne ligjin e borxhit do të adresojnë në mënyrën më të mirë të mundshme problematiken e hasur dhe të sqaruar në relacion?</w:t>
            </w: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Default="001E4573" w:rsidP="009F3A30">
            <w:pPr>
              <w:pStyle w:val="BodyText"/>
              <w:jc w:val="both"/>
              <w:rPr>
                <w:rFonts w:asciiTheme="minorHAnsi" w:hAnsiTheme="minorHAnsi" w:cstheme="minorHAnsi"/>
                <w:i/>
                <w:szCs w:val="22"/>
              </w:rPr>
            </w:pPr>
          </w:p>
          <w:p w:rsidR="001E4573" w:rsidRPr="00200893" w:rsidRDefault="001E4573" w:rsidP="009F3A30">
            <w:pPr>
              <w:pStyle w:val="BodyText"/>
              <w:jc w:val="both"/>
              <w:rPr>
                <w:rFonts w:asciiTheme="minorHAnsi" w:hAnsiTheme="minorHAnsi" w:cstheme="minorHAnsi"/>
                <w:i/>
                <w:szCs w:val="22"/>
              </w:rPr>
            </w:pPr>
          </w:p>
        </w:tc>
      </w:tr>
    </w:tbl>
    <w:p w:rsidR="008675CA" w:rsidRPr="00200893" w:rsidRDefault="008675CA" w:rsidP="008675CA">
      <w:pPr>
        <w:pStyle w:val="BodyText"/>
        <w:jc w:val="both"/>
        <w:rPr>
          <w:rFonts w:asciiTheme="minorHAnsi" w:hAnsiTheme="minorHAnsi" w:cstheme="minorHAnsi"/>
          <w:b/>
          <w:szCs w:val="22"/>
        </w:rPr>
      </w:pPr>
    </w:p>
    <w:p w:rsidR="008675CA" w:rsidRDefault="008675CA"/>
    <w:sectPr w:rsidR="008675CA" w:rsidSect="00453FE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58F5"/>
    <w:multiLevelType w:val="hybridMultilevel"/>
    <w:tmpl w:val="C9BE1CC6"/>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4A3D45FA"/>
    <w:multiLevelType w:val="hybridMultilevel"/>
    <w:tmpl w:val="B94C50C6"/>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6D67449C"/>
    <w:multiLevelType w:val="hybridMultilevel"/>
    <w:tmpl w:val="9B5C9ECA"/>
    <w:lvl w:ilvl="0" w:tplc="39A49BBC">
      <w:start w:val="1"/>
      <w:numFmt w:val="bullet"/>
      <w:lvlText w:val=""/>
      <w:lvlJc w:val="left"/>
      <w:pPr>
        <w:tabs>
          <w:tab w:val="num" w:pos="360"/>
        </w:tabs>
        <w:ind w:left="360" w:hanging="360"/>
      </w:pPr>
      <w:rPr>
        <w:rFonts w:ascii="Wingdings" w:hAnsi="Wingdings" w:hint="default"/>
      </w:rPr>
    </w:lvl>
    <w:lvl w:ilvl="1" w:tplc="2A763D0E">
      <w:start w:val="1"/>
      <w:numFmt w:val="bullet"/>
      <w:lvlText w:val=""/>
      <w:lvlJc w:val="left"/>
      <w:pPr>
        <w:tabs>
          <w:tab w:val="num" w:pos="1080"/>
        </w:tabs>
        <w:ind w:left="1080" w:hanging="360"/>
      </w:pPr>
      <w:rPr>
        <w:rFonts w:ascii="Wingdings" w:hAnsi="Wingdings" w:hint="default"/>
      </w:rPr>
    </w:lvl>
    <w:lvl w:ilvl="2" w:tplc="A5A42072" w:tentative="1">
      <w:start w:val="1"/>
      <w:numFmt w:val="bullet"/>
      <w:lvlText w:val=""/>
      <w:lvlJc w:val="left"/>
      <w:pPr>
        <w:tabs>
          <w:tab w:val="num" w:pos="1800"/>
        </w:tabs>
        <w:ind w:left="1800" w:hanging="360"/>
      </w:pPr>
      <w:rPr>
        <w:rFonts w:ascii="Wingdings" w:hAnsi="Wingdings" w:hint="default"/>
      </w:rPr>
    </w:lvl>
    <w:lvl w:ilvl="3" w:tplc="23BC38B6" w:tentative="1">
      <w:start w:val="1"/>
      <w:numFmt w:val="bullet"/>
      <w:lvlText w:val=""/>
      <w:lvlJc w:val="left"/>
      <w:pPr>
        <w:tabs>
          <w:tab w:val="num" w:pos="2520"/>
        </w:tabs>
        <w:ind w:left="2520" w:hanging="360"/>
      </w:pPr>
      <w:rPr>
        <w:rFonts w:ascii="Wingdings" w:hAnsi="Wingdings" w:hint="default"/>
      </w:rPr>
    </w:lvl>
    <w:lvl w:ilvl="4" w:tplc="05CA6610" w:tentative="1">
      <w:start w:val="1"/>
      <w:numFmt w:val="bullet"/>
      <w:lvlText w:val=""/>
      <w:lvlJc w:val="left"/>
      <w:pPr>
        <w:tabs>
          <w:tab w:val="num" w:pos="3240"/>
        </w:tabs>
        <w:ind w:left="3240" w:hanging="360"/>
      </w:pPr>
      <w:rPr>
        <w:rFonts w:ascii="Wingdings" w:hAnsi="Wingdings" w:hint="default"/>
      </w:rPr>
    </w:lvl>
    <w:lvl w:ilvl="5" w:tplc="114280F2" w:tentative="1">
      <w:start w:val="1"/>
      <w:numFmt w:val="bullet"/>
      <w:lvlText w:val=""/>
      <w:lvlJc w:val="left"/>
      <w:pPr>
        <w:tabs>
          <w:tab w:val="num" w:pos="3960"/>
        </w:tabs>
        <w:ind w:left="3960" w:hanging="360"/>
      </w:pPr>
      <w:rPr>
        <w:rFonts w:ascii="Wingdings" w:hAnsi="Wingdings" w:hint="default"/>
      </w:rPr>
    </w:lvl>
    <w:lvl w:ilvl="6" w:tplc="6818B884" w:tentative="1">
      <w:start w:val="1"/>
      <w:numFmt w:val="bullet"/>
      <w:lvlText w:val=""/>
      <w:lvlJc w:val="left"/>
      <w:pPr>
        <w:tabs>
          <w:tab w:val="num" w:pos="4680"/>
        </w:tabs>
        <w:ind w:left="4680" w:hanging="360"/>
      </w:pPr>
      <w:rPr>
        <w:rFonts w:ascii="Wingdings" w:hAnsi="Wingdings" w:hint="default"/>
      </w:rPr>
    </w:lvl>
    <w:lvl w:ilvl="7" w:tplc="1F623B88" w:tentative="1">
      <w:start w:val="1"/>
      <w:numFmt w:val="bullet"/>
      <w:lvlText w:val=""/>
      <w:lvlJc w:val="left"/>
      <w:pPr>
        <w:tabs>
          <w:tab w:val="num" w:pos="5400"/>
        </w:tabs>
        <w:ind w:left="5400" w:hanging="360"/>
      </w:pPr>
      <w:rPr>
        <w:rFonts w:ascii="Wingdings" w:hAnsi="Wingdings" w:hint="default"/>
      </w:rPr>
    </w:lvl>
    <w:lvl w:ilvl="8" w:tplc="5C98CB52" w:tentative="1">
      <w:start w:val="1"/>
      <w:numFmt w:val="bullet"/>
      <w:lvlText w:val=""/>
      <w:lvlJc w:val="left"/>
      <w:pPr>
        <w:tabs>
          <w:tab w:val="num" w:pos="6120"/>
        </w:tabs>
        <w:ind w:left="6120" w:hanging="360"/>
      </w:pPr>
      <w:rPr>
        <w:rFonts w:ascii="Wingdings" w:hAnsi="Wingdings" w:hint="default"/>
      </w:rPr>
    </w:lvl>
  </w:abstractNum>
  <w:abstractNum w:abstractNumId="3">
    <w:nsid w:val="7E2E07DC"/>
    <w:multiLevelType w:val="hybridMultilevel"/>
    <w:tmpl w:val="590C9BDE"/>
    <w:lvl w:ilvl="0" w:tplc="02A241F0">
      <w:start w:val="1"/>
      <w:numFmt w:val="lowerLetter"/>
      <w:lvlText w:val="%1)"/>
      <w:lvlJc w:val="left"/>
      <w:pPr>
        <w:tabs>
          <w:tab w:val="num" w:pos="720"/>
        </w:tabs>
        <w:ind w:left="720" w:hanging="360"/>
      </w:pPr>
    </w:lvl>
    <w:lvl w:ilvl="1" w:tplc="220A2406">
      <w:start w:val="1"/>
      <w:numFmt w:val="lowerLetter"/>
      <w:lvlText w:val="%2)"/>
      <w:lvlJc w:val="left"/>
      <w:pPr>
        <w:tabs>
          <w:tab w:val="num" w:pos="1440"/>
        </w:tabs>
        <w:ind w:left="1440" w:hanging="360"/>
      </w:pPr>
    </w:lvl>
    <w:lvl w:ilvl="2" w:tplc="48FA2828" w:tentative="1">
      <w:start w:val="1"/>
      <w:numFmt w:val="lowerLetter"/>
      <w:lvlText w:val="%3)"/>
      <w:lvlJc w:val="left"/>
      <w:pPr>
        <w:tabs>
          <w:tab w:val="num" w:pos="2160"/>
        </w:tabs>
        <w:ind w:left="2160" w:hanging="360"/>
      </w:pPr>
    </w:lvl>
    <w:lvl w:ilvl="3" w:tplc="CA92D7B4" w:tentative="1">
      <w:start w:val="1"/>
      <w:numFmt w:val="lowerLetter"/>
      <w:lvlText w:val="%4)"/>
      <w:lvlJc w:val="left"/>
      <w:pPr>
        <w:tabs>
          <w:tab w:val="num" w:pos="2880"/>
        </w:tabs>
        <w:ind w:left="2880" w:hanging="360"/>
      </w:pPr>
    </w:lvl>
    <w:lvl w:ilvl="4" w:tplc="8D6CCC26" w:tentative="1">
      <w:start w:val="1"/>
      <w:numFmt w:val="lowerLetter"/>
      <w:lvlText w:val="%5)"/>
      <w:lvlJc w:val="left"/>
      <w:pPr>
        <w:tabs>
          <w:tab w:val="num" w:pos="3600"/>
        </w:tabs>
        <w:ind w:left="3600" w:hanging="360"/>
      </w:pPr>
    </w:lvl>
    <w:lvl w:ilvl="5" w:tplc="6BE21C6C" w:tentative="1">
      <w:start w:val="1"/>
      <w:numFmt w:val="lowerLetter"/>
      <w:lvlText w:val="%6)"/>
      <w:lvlJc w:val="left"/>
      <w:pPr>
        <w:tabs>
          <w:tab w:val="num" w:pos="4320"/>
        </w:tabs>
        <w:ind w:left="4320" w:hanging="360"/>
      </w:pPr>
    </w:lvl>
    <w:lvl w:ilvl="6" w:tplc="BAAC07EC" w:tentative="1">
      <w:start w:val="1"/>
      <w:numFmt w:val="lowerLetter"/>
      <w:lvlText w:val="%7)"/>
      <w:lvlJc w:val="left"/>
      <w:pPr>
        <w:tabs>
          <w:tab w:val="num" w:pos="5040"/>
        </w:tabs>
        <w:ind w:left="5040" w:hanging="360"/>
      </w:pPr>
    </w:lvl>
    <w:lvl w:ilvl="7" w:tplc="4682355A" w:tentative="1">
      <w:start w:val="1"/>
      <w:numFmt w:val="lowerLetter"/>
      <w:lvlText w:val="%8)"/>
      <w:lvlJc w:val="left"/>
      <w:pPr>
        <w:tabs>
          <w:tab w:val="num" w:pos="5760"/>
        </w:tabs>
        <w:ind w:left="5760" w:hanging="360"/>
      </w:pPr>
    </w:lvl>
    <w:lvl w:ilvl="8" w:tplc="4B1CE602"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8675CA"/>
    <w:rsid w:val="00044810"/>
    <w:rsid w:val="00103C86"/>
    <w:rsid w:val="001E4573"/>
    <w:rsid w:val="00453FEB"/>
    <w:rsid w:val="00463C25"/>
    <w:rsid w:val="004C5AE2"/>
    <w:rsid w:val="00574E6C"/>
    <w:rsid w:val="005D2540"/>
    <w:rsid w:val="00785430"/>
    <w:rsid w:val="008675CA"/>
    <w:rsid w:val="00A64A4B"/>
    <w:rsid w:val="00AF41B4"/>
    <w:rsid w:val="00B258C7"/>
    <w:rsid w:val="00BC317E"/>
    <w:rsid w:val="00BD2CC2"/>
    <w:rsid w:val="00CC3D10"/>
    <w:rsid w:val="00E54C97"/>
    <w:rsid w:val="00F633DA"/>
    <w:rsid w:val="00FA4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Megi</cp:lastModifiedBy>
  <cp:revision>2</cp:revision>
  <dcterms:created xsi:type="dcterms:W3CDTF">2021-11-25T13:38:00Z</dcterms:created>
  <dcterms:modified xsi:type="dcterms:W3CDTF">2021-11-25T13:38:00Z</dcterms:modified>
</cp:coreProperties>
</file>