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BE6" w:rsidRPr="008A4CDD" w:rsidRDefault="00366BE6" w:rsidP="005B6D2B">
      <w:pPr>
        <w:jc w:val="center"/>
        <w:rPr>
          <w:rFonts w:ascii="Times New Roman" w:hAnsi="Times New Roman"/>
          <w:b/>
          <w:bCs/>
          <w:iCs/>
          <w:sz w:val="24"/>
          <w:szCs w:val="24"/>
          <w:lang w:val="sq-AL" w:bidi="en-GB"/>
        </w:rPr>
      </w:pPr>
      <w:bookmarkStart w:id="0" w:name="_GoBack"/>
      <w:bookmarkEnd w:id="0"/>
      <w:r w:rsidRPr="008A4CDD">
        <w:rPr>
          <w:rFonts w:ascii="Times New Roman" w:eastAsia="Batang" w:hAnsi="Times New Roman"/>
          <w:noProof/>
          <w:sz w:val="24"/>
          <w:szCs w:val="24"/>
          <w:lang w:val="en-US"/>
        </w:rPr>
        <w:drawing>
          <wp:inline distT="0" distB="0" distL="0" distR="0" wp14:anchorId="5C8ACB76" wp14:editId="53AC4382">
            <wp:extent cx="5756910" cy="14893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489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6BE6" w:rsidRPr="008A4CDD" w:rsidRDefault="00366BE6" w:rsidP="005B6D2B">
      <w:pPr>
        <w:jc w:val="center"/>
        <w:rPr>
          <w:rFonts w:ascii="Times New Roman" w:hAnsi="Times New Roman"/>
          <w:b/>
          <w:bCs/>
          <w:iCs/>
          <w:sz w:val="24"/>
          <w:szCs w:val="24"/>
          <w:lang w:val="sq-AL" w:bidi="en-GB"/>
        </w:rPr>
      </w:pPr>
    </w:p>
    <w:p w:rsidR="00D35E2A" w:rsidRPr="00D35E2A" w:rsidRDefault="005B6D2B" w:rsidP="00D35E2A">
      <w:pPr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D35E2A">
        <w:rPr>
          <w:rFonts w:ascii="Times New Roman" w:hAnsi="Times New Roman"/>
          <w:b/>
          <w:bCs/>
          <w:iCs/>
          <w:sz w:val="24"/>
          <w:szCs w:val="24"/>
          <w:lang w:val="sq-AL" w:bidi="en-GB"/>
        </w:rPr>
        <w:t>Raport p</w:t>
      </w:r>
      <w:r w:rsidR="00B35CE4" w:rsidRPr="00D35E2A">
        <w:rPr>
          <w:rFonts w:ascii="Times New Roman" w:hAnsi="Times New Roman"/>
          <w:b/>
          <w:bCs/>
          <w:iCs/>
          <w:sz w:val="24"/>
          <w:szCs w:val="24"/>
          <w:lang w:val="sq-AL" w:bidi="en-GB"/>
        </w:rPr>
        <w:t>ë</w:t>
      </w:r>
      <w:r w:rsidR="008B78AF">
        <w:rPr>
          <w:rFonts w:ascii="Times New Roman" w:hAnsi="Times New Roman"/>
          <w:b/>
          <w:bCs/>
          <w:iCs/>
          <w:sz w:val="24"/>
          <w:szCs w:val="24"/>
          <w:lang w:val="sq-AL" w:bidi="en-GB"/>
        </w:rPr>
        <w:t>r rezultatin</w:t>
      </w:r>
      <w:r w:rsidR="00D35E2A" w:rsidRPr="00D35E2A">
        <w:rPr>
          <w:rFonts w:ascii="Times New Roman" w:hAnsi="Times New Roman"/>
          <w:b/>
          <w:bCs/>
          <w:iCs/>
          <w:sz w:val="24"/>
          <w:szCs w:val="24"/>
          <w:lang w:val="sq-AL" w:bidi="en-GB"/>
        </w:rPr>
        <w:t xml:space="preserve"> e konsultimit publik për </w:t>
      </w:r>
      <w:r w:rsidR="00D35E2A" w:rsidRPr="00D35E2A">
        <w:rPr>
          <w:rFonts w:ascii="Times New Roman" w:hAnsi="Times New Roman"/>
          <w:b/>
          <w:sz w:val="24"/>
          <w:szCs w:val="24"/>
          <w:lang w:val="sq-AL"/>
        </w:rPr>
        <w:t>Projektligjin “</w:t>
      </w:r>
      <w:r w:rsidR="00D35E2A" w:rsidRPr="00D35E2A">
        <w:rPr>
          <w:rFonts w:ascii="Times New Roman" w:hAnsi="Times New Roman"/>
          <w:b/>
          <w:i/>
          <w:sz w:val="24"/>
          <w:szCs w:val="24"/>
          <w:lang w:val="sq-AL"/>
        </w:rPr>
        <w:t>Për disa shtesa dhe ndryshime në ligjin nr. 9917, datë 19.05.2008 “Për parandalimin e pastrimit të parave dhe financimit të terrorizmit</w:t>
      </w:r>
      <w:r w:rsidR="00D35E2A" w:rsidRPr="00D35E2A">
        <w:rPr>
          <w:rFonts w:ascii="Times New Roman" w:hAnsi="Times New Roman"/>
          <w:b/>
          <w:sz w:val="24"/>
          <w:szCs w:val="24"/>
          <w:lang w:val="sq-AL"/>
        </w:rPr>
        <w:t xml:space="preserve">”, </w:t>
      </w:r>
      <w:r w:rsidR="00D35E2A" w:rsidRPr="008B7137">
        <w:rPr>
          <w:rFonts w:ascii="Times New Roman" w:hAnsi="Times New Roman"/>
          <w:b/>
          <w:i/>
          <w:sz w:val="24"/>
          <w:szCs w:val="24"/>
          <w:lang w:val="sq-AL"/>
        </w:rPr>
        <w:t>i ndryshuar</w:t>
      </w:r>
    </w:p>
    <w:p w:rsidR="005B6D2B" w:rsidRPr="008A4CDD" w:rsidRDefault="005B6D2B" w:rsidP="005B6D2B">
      <w:pPr>
        <w:jc w:val="center"/>
        <w:rPr>
          <w:rFonts w:ascii="Times New Roman" w:hAnsi="Times New Roman"/>
          <w:b/>
          <w:bCs/>
          <w:iCs/>
          <w:sz w:val="24"/>
          <w:szCs w:val="24"/>
          <w:lang w:val="sq-AL" w:bidi="en-GB"/>
        </w:rPr>
      </w:pPr>
    </w:p>
    <w:p w:rsidR="005B6D2B" w:rsidRPr="008A4CDD" w:rsidRDefault="005B6D2B" w:rsidP="005B6D2B">
      <w:pPr>
        <w:rPr>
          <w:rFonts w:ascii="Times New Roman" w:hAnsi="Times New Roman"/>
          <w:sz w:val="24"/>
          <w:szCs w:val="24"/>
          <w:lang w:val="sq-AL"/>
        </w:rPr>
      </w:pPr>
    </w:p>
    <w:p w:rsidR="00F86B3A" w:rsidRPr="008A4CDD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8A4CDD">
        <w:rPr>
          <w:rFonts w:ascii="Times New Roman" w:hAnsi="Times New Roman"/>
          <w:b/>
          <w:bCs/>
          <w:sz w:val="24"/>
          <w:szCs w:val="24"/>
          <w:lang w:val="sq-AL"/>
        </w:rPr>
        <w:t>Titulli i draft aktit</w:t>
      </w:r>
      <w:r w:rsidR="005A6E7D" w:rsidRPr="008A4CDD">
        <w:rPr>
          <w:rFonts w:ascii="Times New Roman" w:hAnsi="Times New Roman"/>
          <w:b/>
          <w:bCs/>
          <w:sz w:val="24"/>
          <w:szCs w:val="24"/>
          <w:lang w:val="sq-AL"/>
        </w:rPr>
        <w:t xml:space="preserve">: </w:t>
      </w:r>
    </w:p>
    <w:p w:rsidR="005B6D2B" w:rsidRPr="008A4CDD" w:rsidRDefault="005A6E7D" w:rsidP="00F86B3A">
      <w:p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8A4CDD">
        <w:rPr>
          <w:rFonts w:ascii="Times New Roman" w:hAnsi="Times New Roman"/>
          <w:sz w:val="24"/>
          <w:szCs w:val="24"/>
          <w:lang w:val="sq-AL"/>
        </w:rPr>
        <w:t>Projektligji “</w:t>
      </w:r>
      <w:r w:rsidRPr="008A4CDD">
        <w:rPr>
          <w:rFonts w:ascii="Times New Roman" w:hAnsi="Times New Roman"/>
          <w:i/>
          <w:sz w:val="24"/>
          <w:szCs w:val="24"/>
          <w:lang w:val="sq-AL"/>
        </w:rPr>
        <w:t>P</w:t>
      </w:r>
      <w:r w:rsidR="00B35CE4" w:rsidRPr="008A4CDD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i/>
          <w:sz w:val="24"/>
          <w:szCs w:val="24"/>
          <w:lang w:val="sq-AL"/>
        </w:rPr>
        <w:t>r disa shtesa dhe ndryshime n</w:t>
      </w:r>
      <w:r w:rsidR="00B35CE4" w:rsidRPr="008A4CDD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i/>
          <w:sz w:val="24"/>
          <w:szCs w:val="24"/>
          <w:lang w:val="sq-AL"/>
        </w:rPr>
        <w:t xml:space="preserve"> ligjin nr. 9917, dat</w:t>
      </w:r>
      <w:r w:rsidR="00B35CE4" w:rsidRPr="008A4CDD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i/>
          <w:sz w:val="24"/>
          <w:szCs w:val="24"/>
          <w:lang w:val="sq-AL"/>
        </w:rPr>
        <w:t xml:space="preserve"> 19.05.2008 “P</w:t>
      </w:r>
      <w:r w:rsidR="00B35CE4" w:rsidRPr="008A4CDD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i/>
          <w:sz w:val="24"/>
          <w:szCs w:val="24"/>
          <w:lang w:val="sq-AL"/>
        </w:rPr>
        <w:t>r parandalimin e pastrimit t</w:t>
      </w:r>
      <w:r w:rsidR="00B35CE4" w:rsidRPr="008A4CDD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i/>
          <w:sz w:val="24"/>
          <w:szCs w:val="24"/>
          <w:lang w:val="sq-AL"/>
        </w:rPr>
        <w:t xml:space="preserve"> parave dhe financimit t</w:t>
      </w:r>
      <w:r w:rsidR="00B35CE4" w:rsidRPr="008A4CDD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i/>
          <w:sz w:val="24"/>
          <w:szCs w:val="24"/>
          <w:lang w:val="sq-AL"/>
        </w:rPr>
        <w:t xml:space="preserve"> terrorizmit</w:t>
      </w:r>
      <w:r w:rsidRPr="008A4CDD">
        <w:rPr>
          <w:rFonts w:ascii="Times New Roman" w:hAnsi="Times New Roman"/>
          <w:sz w:val="24"/>
          <w:szCs w:val="24"/>
          <w:lang w:val="sq-AL"/>
        </w:rPr>
        <w:t>”, i ndryshuar</w:t>
      </w:r>
    </w:p>
    <w:p w:rsidR="00A121AB" w:rsidRPr="008A4CDD" w:rsidRDefault="00A121AB" w:rsidP="00A121AB">
      <w:pPr>
        <w:ind w:left="36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:rsidR="005B6D2B" w:rsidRPr="008A4CDD" w:rsidRDefault="005B6D2B" w:rsidP="005B6D2B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8A4CDD">
        <w:rPr>
          <w:rFonts w:ascii="Times New Roman" w:hAnsi="Times New Roman"/>
          <w:b/>
          <w:bCs/>
          <w:sz w:val="24"/>
          <w:szCs w:val="24"/>
          <w:lang w:val="sq-AL"/>
        </w:rPr>
        <w:t>Koh</w:t>
      </w:r>
      <w:r w:rsidR="00B35CE4" w:rsidRPr="008A4CDD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b/>
          <w:bCs/>
          <w:sz w:val="24"/>
          <w:szCs w:val="24"/>
          <w:lang w:val="sq-AL"/>
        </w:rPr>
        <w:t>zgjatja e konsultimeve</w:t>
      </w:r>
    </w:p>
    <w:p w:rsidR="002C7B1D" w:rsidRPr="008A4CDD" w:rsidRDefault="002C7B1D" w:rsidP="0002568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8A4CDD">
        <w:rPr>
          <w:rFonts w:ascii="Times New Roman" w:hAnsi="Times New Roman"/>
          <w:sz w:val="24"/>
          <w:szCs w:val="24"/>
          <w:lang w:val="sq-AL"/>
        </w:rPr>
        <w:t xml:space="preserve">Projektligji 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>sht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 xml:space="preserve"> hedhur </w:t>
      </w:r>
      <w:r w:rsidR="00F86B3A" w:rsidRPr="008A4CDD">
        <w:rPr>
          <w:rFonts w:ascii="Times New Roman" w:hAnsi="Times New Roman"/>
          <w:sz w:val="24"/>
          <w:szCs w:val="24"/>
          <w:lang w:val="sq-AL"/>
        </w:rPr>
        <w:t xml:space="preserve">nga MFE </w:t>
      </w:r>
      <w:r w:rsidRPr="008A4CDD">
        <w:rPr>
          <w:rFonts w:ascii="Times New Roman" w:hAnsi="Times New Roman"/>
          <w:sz w:val="24"/>
          <w:szCs w:val="24"/>
          <w:lang w:val="sq-AL"/>
        </w:rPr>
        <w:t>n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 xml:space="preserve"> platform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>n onl</w:t>
      </w:r>
      <w:r w:rsidR="00F86B3A" w:rsidRPr="008A4CDD">
        <w:rPr>
          <w:rFonts w:ascii="Times New Roman" w:hAnsi="Times New Roman"/>
          <w:sz w:val="24"/>
          <w:szCs w:val="24"/>
          <w:lang w:val="sq-AL"/>
        </w:rPr>
        <w:t>in</w:t>
      </w:r>
      <w:r w:rsidRPr="008A4CDD">
        <w:rPr>
          <w:rFonts w:ascii="Times New Roman" w:hAnsi="Times New Roman"/>
          <w:sz w:val="24"/>
          <w:szCs w:val="24"/>
          <w:lang w:val="sq-AL"/>
        </w:rPr>
        <w:t>e t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 xml:space="preserve"> konsultimit publik n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 xml:space="preserve"> dat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 xml:space="preserve"> 22.01.2021.</w:t>
      </w:r>
    </w:p>
    <w:p w:rsidR="002C7B1D" w:rsidRPr="008A4CDD" w:rsidRDefault="002C7B1D" w:rsidP="0002568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8A4CDD">
        <w:rPr>
          <w:rFonts w:ascii="Times New Roman" w:hAnsi="Times New Roman"/>
          <w:sz w:val="24"/>
          <w:szCs w:val="24"/>
          <w:lang w:val="sq-AL"/>
        </w:rPr>
        <w:t>Takimi i par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 xml:space="preserve"> online u zhvillua n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 xml:space="preserve"> dat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 xml:space="preserve"> 23.02.2021.</w:t>
      </w:r>
    </w:p>
    <w:p w:rsidR="0002568A" w:rsidRPr="008A4CDD" w:rsidRDefault="0002568A" w:rsidP="0002568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8A4CDD">
        <w:rPr>
          <w:rFonts w:ascii="Times New Roman" w:hAnsi="Times New Roman"/>
          <w:sz w:val="24"/>
          <w:szCs w:val="24"/>
          <w:lang w:val="sq-AL"/>
        </w:rPr>
        <w:t>Konsultimi mbi projektligjin, me subjektet q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 xml:space="preserve"> i n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>nshtrohen ligjit si dhe me Instit</w:t>
      </w:r>
      <w:r w:rsidR="002C7B1D" w:rsidRPr="008A4CDD">
        <w:rPr>
          <w:rFonts w:ascii="Times New Roman" w:hAnsi="Times New Roman"/>
          <w:sz w:val="24"/>
          <w:szCs w:val="24"/>
          <w:lang w:val="sq-AL"/>
        </w:rPr>
        <w:t xml:space="preserve">ucione publike 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="002C7B1D" w:rsidRPr="008A4CDD">
        <w:rPr>
          <w:rFonts w:ascii="Times New Roman" w:hAnsi="Times New Roman"/>
          <w:sz w:val="24"/>
          <w:szCs w:val="24"/>
          <w:lang w:val="sq-AL"/>
        </w:rPr>
        <w:t>sht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="002C7B1D" w:rsidRPr="008A4CDD">
        <w:rPr>
          <w:rFonts w:ascii="Times New Roman" w:hAnsi="Times New Roman"/>
          <w:sz w:val="24"/>
          <w:szCs w:val="24"/>
          <w:lang w:val="sq-AL"/>
        </w:rPr>
        <w:t xml:space="preserve"> realizuar </w:t>
      </w:r>
      <w:r w:rsidRPr="008A4CDD">
        <w:rPr>
          <w:rFonts w:ascii="Times New Roman" w:hAnsi="Times New Roman"/>
          <w:sz w:val="24"/>
          <w:szCs w:val="24"/>
          <w:lang w:val="sq-AL"/>
        </w:rPr>
        <w:t>p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>r periudh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 xml:space="preserve">n </w:t>
      </w:r>
      <w:r w:rsidR="002C7B1D" w:rsidRPr="008A4CDD">
        <w:rPr>
          <w:rFonts w:ascii="Times New Roman" w:hAnsi="Times New Roman"/>
          <w:sz w:val="24"/>
          <w:szCs w:val="24"/>
          <w:lang w:val="sq-AL"/>
        </w:rPr>
        <w:t xml:space="preserve">Janar </w:t>
      </w:r>
      <w:r w:rsidRPr="008A4CDD">
        <w:rPr>
          <w:rFonts w:ascii="Times New Roman" w:hAnsi="Times New Roman"/>
          <w:sz w:val="24"/>
          <w:szCs w:val="24"/>
          <w:lang w:val="sq-AL"/>
        </w:rPr>
        <w:t>2021-</w:t>
      </w:r>
      <w:r w:rsidR="002C7B1D" w:rsidRPr="008A4CDD">
        <w:rPr>
          <w:rFonts w:ascii="Times New Roman" w:hAnsi="Times New Roman"/>
          <w:sz w:val="24"/>
          <w:szCs w:val="24"/>
          <w:lang w:val="sq-AL"/>
        </w:rPr>
        <w:t xml:space="preserve"> Maj </w:t>
      </w:r>
      <w:r w:rsidRPr="008A4CDD">
        <w:rPr>
          <w:rFonts w:ascii="Times New Roman" w:hAnsi="Times New Roman"/>
          <w:sz w:val="24"/>
          <w:szCs w:val="24"/>
          <w:lang w:val="sq-AL"/>
        </w:rPr>
        <w:t>2021.</w:t>
      </w:r>
    </w:p>
    <w:p w:rsidR="002C7B1D" w:rsidRPr="008A4CDD" w:rsidRDefault="002C7B1D" w:rsidP="0002568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7755F2" w:rsidRPr="008A4CDD" w:rsidRDefault="007755F2" w:rsidP="00E93100">
      <w:p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:rsidR="005B6D2B" w:rsidRPr="008A4CDD" w:rsidRDefault="005B6D2B" w:rsidP="005B6D2B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8A4CDD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  <w:r w:rsidR="00F86B3A" w:rsidRPr="008A4CDD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</w:p>
    <w:p w:rsidR="008A4CDD" w:rsidRPr="008A4CDD" w:rsidRDefault="0002568A" w:rsidP="008A4CDD">
      <w:p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8A4CDD">
        <w:rPr>
          <w:rFonts w:ascii="Times New Roman" w:hAnsi="Times New Roman"/>
          <w:iCs/>
          <w:sz w:val="24"/>
          <w:szCs w:val="24"/>
          <w:lang w:val="sq-AL"/>
        </w:rPr>
        <w:t>Metodat e konsultimit t</w:t>
      </w:r>
      <w:r w:rsidR="00B35CE4" w:rsidRPr="008A4CD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iCs/>
          <w:sz w:val="24"/>
          <w:szCs w:val="24"/>
          <w:lang w:val="sq-AL"/>
        </w:rPr>
        <w:t xml:space="preserve"> p</w:t>
      </w:r>
      <w:r w:rsidR="00B35CE4" w:rsidRPr="008A4CD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iCs/>
          <w:sz w:val="24"/>
          <w:szCs w:val="24"/>
          <w:lang w:val="sq-AL"/>
        </w:rPr>
        <w:t xml:space="preserve">rdorura </w:t>
      </w:r>
      <w:r w:rsidR="008A4CDD" w:rsidRPr="008A4CDD">
        <w:rPr>
          <w:rFonts w:ascii="Times New Roman" w:hAnsi="Times New Roman"/>
          <w:iCs/>
          <w:sz w:val="24"/>
          <w:szCs w:val="24"/>
          <w:lang w:val="sq-AL"/>
        </w:rPr>
        <w:t>në</w:t>
      </w:r>
      <w:r w:rsidR="00F86B3A" w:rsidRPr="008A4CDD">
        <w:rPr>
          <w:rFonts w:ascii="Times New Roman" w:hAnsi="Times New Roman"/>
          <w:iCs/>
          <w:sz w:val="24"/>
          <w:szCs w:val="24"/>
          <w:lang w:val="sq-AL"/>
        </w:rPr>
        <w:t xml:space="preserve"> lidhje me k</w:t>
      </w:r>
      <w:r w:rsidR="008A4CDD" w:rsidRPr="008A4CDD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F86B3A" w:rsidRPr="008A4CDD">
        <w:rPr>
          <w:rFonts w:ascii="Times New Roman" w:hAnsi="Times New Roman"/>
          <w:iCs/>
          <w:sz w:val="24"/>
          <w:szCs w:val="24"/>
          <w:lang w:val="sq-AL"/>
        </w:rPr>
        <w:t>t</w:t>
      </w:r>
      <w:r w:rsidR="008A4CDD" w:rsidRPr="008A4CDD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F86B3A" w:rsidRPr="008A4CDD">
        <w:rPr>
          <w:rFonts w:ascii="Times New Roman" w:hAnsi="Times New Roman"/>
          <w:iCs/>
          <w:sz w:val="24"/>
          <w:szCs w:val="24"/>
          <w:lang w:val="sq-AL"/>
        </w:rPr>
        <w:t xml:space="preserve"> projektligji </w:t>
      </w:r>
      <w:r w:rsidRPr="008A4CDD">
        <w:rPr>
          <w:rFonts w:ascii="Times New Roman" w:hAnsi="Times New Roman"/>
          <w:iCs/>
          <w:sz w:val="24"/>
          <w:szCs w:val="24"/>
          <w:lang w:val="sq-AL"/>
        </w:rPr>
        <w:t>jan</w:t>
      </w:r>
      <w:r w:rsidR="00B35CE4" w:rsidRPr="008A4CDD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F86B3A" w:rsidRPr="008A4CDD">
        <w:rPr>
          <w:rFonts w:ascii="Times New Roman" w:hAnsi="Times New Roman"/>
          <w:iCs/>
          <w:sz w:val="24"/>
          <w:szCs w:val="24"/>
          <w:lang w:val="sq-AL"/>
        </w:rPr>
        <w:t>:</w:t>
      </w:r>
      <w:r w:rsidR="008A4CDD" w:rsidRPr="008A4CDD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Pr="008A4CDD">
        <w:rPr>
          <w:rFonts w:ascii="Times New Roman" w:hAnsi="Times New Roman"/>
          <w:iCs/>
          <w:sz w:val="24"/>
          <w:szCs w:val="24"/>
          <w:lang w:val="sq-AL"/>
        </w:rPr>
        <w:t>n</w:t>
      </w:r>
      <w:r w:rsidR="00B35CE4" w:rsidRPr="008A4CD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iCs/>
          <w:sz w:val="24"/>
          <w:szCs w:val="24"/>
          <w:lang w:val="sq-AL"/>
        </w:rPr>
        <w:t>p</w:t>
      </w:r>
      <w:r w:rsidR="00B35CE4" w:rsidRPr="008A4CDD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D35E2A">
        <w:rPr>
          <w:rFonts w:ascii="Times New Roman" w:hAnsi="Times New Roman"/>
          <w:iCs/>
          <w:sz w:val="24"/>
          <w:szCs w:val="24"/>
          <w:lang w:val="sq-AL"/>
        </w:rPr>
        <w:t>rmjet e</w:t>
      </w:r>
      <w:r w:rsidRPr="008A4CDD">
        <w:rPr>
          <w:rFonts w:ascii="Times New Roman" w:hAnsi="Times New Roman"/>
          <w:iCs/>
          <w:sz w:val="24"/>
          <w:szCs w:val="24"/>
          <w:lang w:val="sq-AL"/>
        </w:rPr>
        <w:t>mail</w:t>
      </w:r>
      <w:r w:rsidR="00D35E2A">
        <w:rPr>
          <w:rFonts w:ascii="Times New Roman" w:hAnsi="Times New Roman"/>
          <w:iCs/>
          <w:sz w:val="24"/>
          <w:szCs w:val="24"/>
          <w:lang w:val="sq-AL"/>
        </w:rPr>
        <w:t>-it</w:t>
      </w:r>
      <w:r w:rsidRPr="008A4CDD">
        <w:rPr>
          <w:rFonts w:ascii="Times New Roman" w:hAnsi="Times New Roman"/>
          <w:iCs/>
          <w:sz w:val="24"/>
          <w:szCs w:val="24"/>
          <w:lang w:val="sq-AL"/>
        </w:rPr>
        <w:t xml:space="preserve"> dhe n</w:t>
      </w:r>
      <w:r w:rsidR="00B35CE4" w:rsidRPr="008A4CD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iCs/>
          <w:sz w:val="24"/>
          <w:szCs w:val="24"/>
          <w:lang w:val="sq-AL"/>
        </w:rPr>
        <w:t>p</w:t>
      </w:r>
      <w:r w:rsidR="00B35CE4" w:rsidRPr="008A4CD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iCs/>
          <w:sz w:val="24"/>
          <w:szCs w:val="24"/>
          <w:lang w:val="sq-AL"/>
        </w:rPr>
        <w:t xml:space="preserve">rmjet takimit online. </w:t>
      </w:r>
    </w:p>
    <w:p w:rsidR="008A4CDD" w:rsidRPr="008A4CDD" w:rsidRDefault="0002568A" w:rsidP="008A4CDD">
      <w:p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8A4CDD">
        <w:rPr>
          <w:rFonts w:ascii="Times New Roman" w:hAnsi="Times New Roman"/>
          <w:iCs/>
          <w:sz w:val="24"/>
          <w:szCs w:val="24"/>
          <w:lang w:val="sq-AL"/>
        </w:rPr>
        <w:t>Lidhur me afatin kohor t</w:t>
      </w:r>
      <w:r w:rsidR="00B35CE4" w:rsidRPr="008A4CD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iCs/>
          <w:sz w:val="24"/>
          <w:szCs w:val="24"/>
          <w:lang w:val="sq-AL"/>
        </w:rPr>
        <w:t xml:space="preserve"> tak</w:t>
      </w:r>
      <w:r w:rsidR="008A4CDD" w:rsidRPr="008A4CDD">
        <w:rPr>
          <w:rFonts w:ascii="Times New Roman" w:hAnsi="Times New Roman"/>
          <w:iCs/>
          <w:sz w:val="24"/>
          <w:szCs w:val="24"/>
          <w:lang w:val="sq-AL"/>
        </w:rPr>
        <w:t>imit online, i cili u realizua n</w:t>
      </w:r>
      <w:r w:rsidR="00B35CE4" w:rsidRPr="008A4CD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iCs/>
          <w:sz w:val="24"/>
          <w:szCs w:val="24"/>
          <w:lang w:val="sq-AL"/>
        </w:rPr>
        <w:t xml:space="preserve"> dat</w:t>
      </w:r>
      <w:r w:rsidR="00B35CE4" w:rsidRPr="008A4CD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iCs/>
          <w:sz w:val="24"/>
          <w:szCs w:val="24"/>
          <w:lang w:val="sq-AL"/>
        </w:rPr>
        <w:t xml:space="preserve"> 23.02.2021, </w:t>
      </w:r>
      <w:r w:rsidR="00B35CE4" w:rsidRPr="008A4CD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iCs/>
          <w:sz w:val="24"/>
          <w:szCs w:val="24"/>
          <w:lang w:val="sq-AL"/>
        </w:rPr>
        <w:t>sht</w:t>
      </w:r>
      <w:r w:rsidR="00B35CE4" w:rsidRPr="008A4CD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iCs/>
          <w:sz w:val="24"/>
          <w:szCs w:val="24"/>
          <w:lang w:val="sq-AL"/>
        </w:rPr>
        <w:t xml:space="preserve"> zhvilluar p</w:t>
      </w:r>
      <w:r w:rsidR="00B35CE4" w:rsidRPr="008A4CD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iCs/>
          <w:sz w:val="24"/>
          <w:szCs w:val="24"/>
          <w:lang w:val="sq-AL"/>
        </w:rPr>
        <w:t>r nj</w:t>
      </w:r>
      <w:r w:rsidR="00B35CE4" w:rsidRPr="008A4CD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iCs/>
          <w:sz w:val="24"/>
          <w:szCs w:val="24"/>
          <w:lang w:val="sq-AL"/>
        </w:rPr>
        <w:t xml:space="preserve"> afat kohor: ora 11:00- 15:00. </w:t>
      </w:r>
    </w:p>
    <w:p w:rsidR="00332DB4" w:rsidRPr="008A4CDD" w:rsidRDefault="0002568A" w:rsidP="008A4CDD">
      <w:p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8A4CDD">
        <w:rPr>
          <w:rFonts w:ascii="Times New Roman" w:hAnsi="Times New Roman"/>
          <w:iCs/>
          <w:sz w:val="24"/>
          <w:szCs w:val="24"/>
          <w:lang w:val="sq-AL"/>
        </w:rPr>
        <w:t xml:space="preserve">DPPPP, </w:t>
      </w:r>
      <w:r w:rsidR="008A4CDD" w:rsidRPr="008A4CDD">
        <w:rPr>
          <w:rFonts w:ascii="Times New Roman" w:hAnsi="Times New Roman"/>
          <w:iCs/>
          <w:sz w:val="24"/>
          <w:szCs w:val="24"/>
          <w:lang w:val="sq-AL"/>
        </w:rPr>
        <w:t>nëpërmjet</w:t>
      </w:r>
      <w:r w:rsidRPr="008A4CDD">
        <w:rPr>
          <w:rFonts w:ascii="Times New Roman" w:hAnsi="Times New Roman"/>
          <w:iCs/>
          <w:sz w:val="24"/>
          <w:szCs w:val="24"/>
          <w:lang w:val="sq-AL"/>
        </w:rPr>
        <w:t xml:space="preserve"> Emailit zyrtar (</w:t>
      </w:r>
      <w:hyperlink r:id="rId6" w:history="1">
        <w:r w:rsidRPr="008A4CDD">
          <w:rPr>
            <w:rStyle w:val="Hyperlink"/>
            <w:rFonts w:ascii="Times New Roman" w:hAnsi="Times New Roman"/>
            <w:iCs/>
            <w:sz w:val="24"/>
            <w:szCs w:val="24"/>
            <w:lang w:val="sq-AL"/>
          </w:rPr>
          <w:t>info@fint.gov.al</w:t>
        </w:r>
      </w:hyperlink>
      <w:r w:rsidRPr="008A4CDD">
        <w:rPr>
          <w:rFonts w:ascii="Times New Roman" w:hAnsi="Times New Roman"/>
          <w:iCs/>
          <w:sz w:val="24"/>
          <w:szCs w:val="24"/>
          <w:lang w:val="sq-AL"/>
        </w:rPr>
        <w:t>), ftoi t</w:t>
      </w:r>
      <w:r w:rsidR="00B35CE4" w:rsidRPr="008A4CD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iCs/>
          <w:sz w:val="24"/>
          <w:szCs w:val="24"/>
          <w:lang w:val="sq-AL"/>
        </w:rPr>
        <w:t xml:space="preserve"> gjitha subjektet p</w:t>
      </w:r>
      <w:r w:rsidR="00B35CE4" w:rsidRPr="008A4CDD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E93100" w:rsidRPr="008A4CDD">
        <w:rPr>
          <w:rFonts w:ascii="Times New Roman" w:hAnsi="Times New Roman"/>
          <w:iCs/>
          <w:sz w:val="24"/>
          <w:szCs w:val="24"/>
          <w:lang w:val="sq-AL"/>
        </w:rPr>
        <w:t xml:space="preserve">r </w:t>
      </w:r>
      <w:r w:rsidR="002C7B1D" w:rsidRPr="008A4CDD">
        <w:rPr>
          <w:rFonts w:ascii="Times New Roman" w:hAnsi="Times New Roman"/>
          <w:iCs/>
          <w:sz w:val="24"/>
          <w:szCs w:val="24"/>
          <w:lang w:val="sq-AL"/>
        </w:rPr>
        <w:t>pjes</w:t>
      </w:r>
      <w:r w:rsidR="00B35CE4" w:rsidRPr="008A4CDD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2C7B1D" w:rsidRPr="008A4CDD">
        <w:rPr>
          <w:rFonts w:ascii="Times New Roman" w:hAnsi="Times New Roman"/>
          <w:iCs/>
          <w:sz w:val="24"/>
          <w:szCs w:val="24"/>
          <w:lang w:val="sq-AL"/>
        </w:rPr>
        <w:t>marrje</w:t>
      </w:r>
      <w:r w:rsidR="00E93100" w:rsidRPr="008A4CDD">
        <w:rPr>
          <w:rFonts w:ascii="Times New Roman" w:hAnsi="Times New Roman"/>
          <w:iCs/>
          <w:sz w:val="24"/>
          <w:szCs w:val="24"/>
          <w:lang w:val="sq-AL"/>
        </w:rPr>
        <w:t xml:space="preserve"> n</w:t>
      </w:r>
      <w:r w:rsidR="00B35CE4" w:rsidRPr="008A4CDD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E93100" w:rsidRPr="008A4CDD">
        <w:rPr>
          <w:rFonts w:ascii="Times New Roman" w:hAnsi="Times New Roman"/>
          <w:iCs/>
          <w:sz w:val="24"/>
          <w:szCs w:val="24"/>
          <w:lang w:val="sq-AL"/>
        </w:rPr>
        <w:t xml:space="preserve"> takimin online. </w:t>
      </w:r>
    </w:p>
    <w:p w:rsidR="00E93100" w:rsidRPr="008A4CDD" w:rsidRDefault="00E93100" w:rsidP="00E93100">
      <w:pPr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:rsidR="00E93100" w:rsidRPr="008A4CDD" w:rsidRDefault="00E93100" w:rsidP="00E93100">
      <w:p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8A4CDD">
        <w:rPr>
          <w:rFonts w:ascii="Times New Roman" w:hAnsi="Times New Roman"/>
          <w:iCs/>
          <w:sz w:val="24"/>
          <w:szCs w:val="24"/>
          <w:lang w:val="sq-AL"/>
        </w:rPr>
        <w:t>Gjithashtu, komente n</w:t>
      </w:r>
      <w:r w:rsidR="00B35CE4" w:rsidRPr="008A4CD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iCs/>
          <w:sz w:val="24"/>
          <w:szCs w:val="24"/>
          <w:lang w:val="sq-AL"/>
        </w:rPr>
        <w:t>p</w:t>
      </w:r>
      <w:r w:rsidR="00B35CE4" w:rsidRPr="008A4CDD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D35E2A">
        <w:rPr>
          <w:rFonts w:ascii="Times New Roman" w:hAnsi="Times New Roman"/>
          <w:iCs/>
          <w:sz w:val="24"/>
          <w:szCs w:val="24"/>
          <w:lang w:val="sq-AL"/>
        </w:rPr>
        <w:t>rmjet e</w:t>
      </w:r>
      <w:r w:rsidRPr="008A4CDD">
        <w:rPr>
          <w:rFonts w:ascii="Times New Roman" w:hAnsi="Times New Roman"/>
          <w:iCs/>
          <w:sz w:val="24"/>
          <w:szCs w:val="24"/>
          <w:lang w:val="sq-AL"/>
        </w:rPr>
        <w:t>mailit, jan</w:t>
      </w:r>
      <w:r w:rsidR="00B35CE4" w:rsidRPr="008A4CD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iCs/>
          <w:sz w:val="24"/>
          <w:szCs w:val="24"/>
          <w:lang w:val="sq-AL"/>
        </w:rPr>
        <w:t xml:space="preserve"> paraqitur n</w:t>
      </w:r>
      <w:r w:rsidR="00B35CE4" w:rsidRPr="008A4CD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iCs/>
          <w:sz w:val="24"/>
          <w:szCs w:val="24"/>
          <w:lang w:val="sq-AL"/>
        </w:rPr>
        <w:t xml:space="preserve"> datat si m</w:t>
      </w:r>
      <w:r w:rsidR="00B35CE4" w:rsidRPr="008A4CD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iCs/>
          <w:sz w:val="24"/>
          <w:szCs w:val="24"/>
          <w:lang w:val="sq-AL"/>
        </w:rPr>
        <w:t xml:space="preserve"> posht</w:t>
      </w:r>
      <w:r w:rsidR="00B35CE4" w:rsidRPr="008A4CD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iCs/>
          <w:sz w:val="24"/>
          <w:szCs w:val="24"/>
          <w:lang w:val="sq-AL"/>
        </w:rPr>
        <w:t>:</w:t>
      </w:r>
    </w:p>
    <w:p w:rsidR="00E93100" w:rsidRPr="008A4CDD" w:rsidRDefault="00E93100" w:rsidP="00E93100">
      <w:pPr>
        <w:rPr>
          <w:rFonts w:ascii="Times New Roman" w:hAnsi="Times New Roman"/>
          <w:iCs/>
          <w:sz w:val="24"/>
          <w:szCs w:val="24"/>
          <w:lang w:val="sq-AL"/>
        </w:rPr>
      </w:pPr>
    </w:p>
    <w:p w:rsidR="00E93100" w:rsidRPr="008A4CDD" w:rsidRDefault="00E93100" w:rsidP="00E93100">
      <w:pPr>
        <w:pStyle w:val="BodyTex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A4CDD">
        <w:rPr>
          <w:rFonts w:ascii="Times New Roman" w:hAnsi="Times New Roman"/>
          <w:sz w:val="24"/>
          <w:szCs w:val="24"/>
          <w:lang w:val="sq-AL"/>
        </w:rPr>
        <w:t>Eksperti nd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>rkomb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>tar e GIZ ka paraqitur komentet me emailin e dat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>s 08.01.2021;</w:t>
      </w:r>
    </w:p>
    <w:p w:rsidR="00E93100" w:rsidRPr="008A4CDD" w:rsidRDefault="008A4CDD" w:rsidP="00E93100">
      <w:pPr>
        <w:pStyle w:val="BodyTex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A4CDD">
        <w:rPr>
          <w:rFonts w:ascii="Times New Roman" w:hAnsi="Times New Roman"/>
          <w:sz w:val="24"/>
          <w:szCs w:val="24"/>
          <w:lang w:val="sq-AL"/>
        </w:rPr>
        <w:t>Delegacioni i</w:t>
      </w:r>
      <w:r w:rsidR="00E93100" w:rsidRPr="008A4CDD">
        <w:rPr>
          <w:rFonts w:ascii="Times New Roman" w:hAnsi="Times New Roman"/>
          <w:sz w:val="24"/>
          <w:szCs w:val="24"/>
          <w:lang w:val="sq-AL"/>
        </w:rPr>
        <w:t xml:space="preserve"> BE n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="00E93100" w:rsidRPr="008A4CDD">
        <w:rPr>
          <w:rFonts w:ascii="Times New Roman" w:hAnsi="Times New Roman"/>
          <w:sz w:val="24"/>
          <w:szCs w:val="24"/>
          <w:lang w:val="sq-AL"/>
        </w:rPr>
        <w:t xml:space="preserve"> Shqip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="00E93100" w:rsidRPr="008A4CDD">
        <w:rPr>
          <w:rFonts w:ascii="Times New Roman" w:hAnsi="Times New Roman"/>
          <w:sz w:val="24"/>
          <w:szCs w:val="24"/>
          <w:lang w:val="sq-AL"/>
        </w:rPr>
        <w:t>ri paraqiti komente me emailin e dat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="00E93100" w:rsidRPr="008A4CDD">
        <w:rPr>
          <w:rFonts w:ascii="Times New Roman" w:hAnsi="Times New Roman"/>
          <w:sz w:val="24"/>
          <w:szCs w:val="24"/>
          <w:lang w:val="sq-AL"/>
        </w:rPr>
        <w:t>s 11.02.2021;</w:t>
      </w:r>
    </w:p>
    <w:p w:rsidR="00E93100" w:rsidRPr="008A4CDD" w:rsidRDefault="00E93100" w:rsidP="00E93100">
      <w:pPr>
        <w:pStyle w:val="BodyTex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A4CDD">
        <w:rPr>
          <w:rFonts w:ascii="Times New Roman" w:hAnsi="Times New Roman"/>
          <w:sz w:val="24"/>
          <w:szCs w:val="24"/>
          <w:lang w:val="sq-AL"/>
        </w:rPr>
        <w:t>Ministria e Drejt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>sis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 xml:space="preserve"> paraqiti komente me shkres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>n e dat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>s 07.04.2021;</w:t>
      </w:r>
    </w:p>
    <w:p w:rsidR="00E93100" w:rsidRPr="008A4CDD" w:rsidRDefault="00E93100" w:rsidP="00E93100">
      <w:pPr>
        <w:pStyle w:val="BodyText"/>
        <w:numPr>
          <w:ilvl w:val="0"/>
          <w:numId w:val="5"/>
        </w:num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A4CDD">
        <w:rPr>
          <w:rFonts w:ascii="Times New Roman" w:hAnsi="Times New Roman"/>
          <w:sz w:val="24"/>
          <w:szCs w:val="24"/>
          <w:lang w:val="sq-AL"/>
        </w:rPr>
        <w:t>Agjencia Komb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>tare e Shoq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>ris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 xml:space="preserve"> Informacionit, paraqiti komente me shkres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>n e dat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>s 02.04.2021,</w:t>
      </w:r>
    </w:p>
    <w:p w:rsidR="00E93100" w:rsidRPr="008A4CDD" w:rsidRDefault="00E93100" w:rsidP="00E93100">
      <w:pPr>
        <w:pStyle w:val="BodyText"/>
        <w:numPr>
          <w:ilvl w:val="0"/>
          <w:numId w:val="5"/>
        </w:num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A4CDD">
        <w:rPr>
          <w:rFonts w:ascii="Times New Roman" w:hAnsi="Times New Roman"/>
          <w:sz w:val="24"/>
          <w:szCs w:val="24"/>
          <w:lang w:val="sq-AL"/>
        </w:rPr>
        <w:t>Banka e Shqip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>ris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>, paraqiti komente me email-in e dat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>s 05.05.2021;</w:t>
      </w:r>
    </w:p>
    <w:p w:rsidR="00E93100" w:rsidRPr="008A4CDD" w:rsidRDefault="00E93100" w:rsidP="00E93100">
      <w:pPr>
        <w:pStyle w:val="BodyText"/>
        <w:numPr>
          <w:ilvl w:val="0"/>
          <w:numId w:val="5"/>
        </w:num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A4CDD">
        <w:rPr>
          <w:rFonts w:ascii="Times New Roman" w:hAnsi="Times New Roman"/>
          <w:sz w:val="24"/>
          <w:szCs w:val="24"/>
          <w:lang w:val="sq-AL"/>
        </w:rPr>
        <w:t>Shoqata Shqiptare e Bankave, paraqiti komente me email-in e dat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>s 12.05.2021;</w:t>
      </w:r>
    </w:p>
    <w:p w:rsidR="00E93100" w:rsidRPr="008A4CDD" w:rsidRDefault="00E93100" w:rsidP="00E93100">
      <w:pPr>
        <w:pStyle w:val="BodyText"/>
        <w:numPr>
          <w:ilvl w:val="0"/>
          <w:numId w:val="5"/>
        </w:numPr>
        <w:ind w:left="630" w:hanging="27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A4CDD">
        <w:rPr>
          <w:rFonts w:ascii="Times New Roman" w:hAnsi="Times New Roman"/>
          <w:sz w:val="24"/>
          <w:szCs w:val="24"/>
          <w:lang w:val="sq-AL"/>
        </w:rPr>
        <w:lastRenderedPageBreak/>
        <w:t>-Inspektorati i Lart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 xml:space="preserve"> i Deklarimit dhe Kontrollit t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 xml:space="preserve"> Pasurive dhe Konfliktit t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 xml:space="preserve"> Interesave, paraqiti komente me email-in e dat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>s 05.05.2021;</w:t>
      </w:r>
    </w:p>
    <w:p w:rsidR="00E93100" w:rsidRPr="008A4CDD" w:rsidRDefault="00E93100" w:rsidP="00E93100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A4CDD">
        <w:rPr>
          <w:rFonts w:ascii="Times New Roman" w:hAnsi="Times New Roman"/>
          <w:sz w:val="24"/>
          <w:szCs w:val="24"/>
          <w:lang w:val="sq-AL"/>
        </w:rPr>
        <w:t>Autoriteti i Mbik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>qyrjes Financiare, paraqiti komente me email-in e dat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>s 05.05.2021.</w:t>
      </w:r>
    </w:p>
    <w:p w:rsidR="00E93100" w:rsidRPr="008A4CDD" w:rsidRDefault="00E93100" w:rsidP="00E93100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:rsidR="00E93100" w:rsidRPr="008A4CDD" w:rsidRDefault="00E93100" w:rsidP="005B6D2B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332DB4" w:rsidRPr="002A243B" w:rsidRDefault="005B6D2B" w:rsidP="000C4F31">
      <w:pPr>
        <w:pStyle w:val="ListParagraph"/>
        <w:numPr>
          <w:ilvl w:val="0"/>
          <w:numId w:val="1"/>
        </w:numPr>
        <w:tabs>
          <w:tab w:val="left" w:pos="7552"/>
        </w:tabs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2A243B">
        <w:rPr>
          <w:rFonts w:ascii="Times New Roman" w:hAnsi="Times New Roman"/>
          <w:b/>
          <w:bCs/>
          <w:sz w:val="24"/>
          <w:szCs w:val="24"/>
          <w:lang w:val="sq-AL"/>
        </w:rPr>
        <w:t>Pal</w:t>
      </w:r>
      <w:r w:rsidR="00B35CE4" w:rsidRPr="002A243B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2A243B">
        <w:rPr>
          <w:rFonts w:ascii="Times New Roman" w:hAnsi="Times New Roman"/>
          <w:b/>
          <w:bCs/>
          <w:sz w:val="24"/>
          <w:szCs w:val="24"/>
          <w:lang w:val="sq-AL"/>
        </w:rPr>
        <w:t>t e interesit t</w:t>
      </w:r>
      <w:r w:rsidR="00B35CE4" w:rsidRPr="002A243B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2A243B">
        <w:rPr>
          <w:rFonts w:ascii="Times New Roman" w:hAnsi="Times New Roman"/>
          <w:b/>
          <w:bCs/>
          <w:sz w:val="24"/>
          <w:szCs w:val="24"/>
          <w:lang w:val="sq-AL"/>
        </w:rPr>
        <w:t xml:space="preserve"> p</w:t>
      </w:r>
      <w:r w:rsidR="00B35CE4" w:rsidRPr="002A243B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2A243B">
        <w:rPr>
          <w:rFonts w:ascii="Times New Roman" w:hAnsi="Times New Roman"/>
          <w:b/>
          <w:bCs/>
          <w:sz w:val="24"/>
          <w:szCs w:val="24"/>
          <w:lang w:val="sq-AL"/>
        </w:rPr>
        <w:t>rfshira</w:t>
      </w:r>
      <w:r w:rsidR="008A4CDD" w:rsidRPr="002A243B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</w:p>
    <w:p w:rsidR="007755F2" w:rsidRPr="008A4CDD" w:rsidRDefault="00294A59" w:rsidP="00294A59">
      <w:pPr>
        <w:tabs>
          <w:tab w:val="left" w:pos="7552"/>
        </w:tabs>
        <w:jc w:val="both"/>
        <w:rPr>
          <w:rFonts w:ascii="Times New Roman" w:hAnsi="Times New Roman"/>
          <w:sz w:val="24"/>
          <w:szCs w:val="24"/>
          <w:lang w:val="sq-AL"/>
        </w:rPr>
      </w:pPr>
      <w:r w:rsidRPr="008A4CDD">
        <w:rPr>
          <w:rFonts w:ascii="Times New Roman" w:hAnsi="Times New Roman"/>
          <w:sz w:val="24"/>
          <w:szCs w:val="24"/>
          <w:lang w:val="sq-AL"/>
        </w:rPr>
        <w:t>Subjektet t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 xml:space="preserve"> cilat kan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 xml:space="preserve"> dh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>n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 xml:space="preserve"> kontribut n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>p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>rmjet komenteve t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8A4CDD" w:rsidRPr="008A4CDD">
        <w:rPr>
          <w:rFonts w:ascii="Times New Roman" w:hAnsi="Times New Roman"/>
          <w:sz w:val="24"/>
          <w:szCs w:val="24"/>
          <w:lang w:val="sq-AL"/>
        </w:rPr>
        <w:t>tyre</w:t>
      </w:r>
      <w:r w:rsidRPr="008A4CDD">
        <w:rPr>
          <w:rFonts w:ascii="Times New Roman" w:hAnsi="Times New Roman"/>
          <w:sz w:val="24"/>
          <w:szCs w:val="24"/>
          <w:lang w:val="sq-AL"/>
        </w:rPr>
        <w:t>, t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 xml:space="preserve"> cil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>t mor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>n pjes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 xml:space="preserve"> edhe n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 xml:space="preserve"> takimin online t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8A4CDD" w:rsidRPr="008A4CDD">
        <w:rPr>
          <w:rFonts w:ascii="Times New Roman" w:hAnsi="Times New Roman"/>
          <w:sz w:val="24"/>
          <w:szCs w:val="24"/>
          <w:lang w:val="sq-AL"/>
        </w:rPr>
        <w:t>organizuar</w:t>
      </w:r>
      <w:r w:rsidRPr="008A4CDD">
        <w:rPr>
          <w:rFonts w:ascii="Times New Roman" w:hAnsi="Times New Roman"/>
          <w:sz w:val="24"/>
          <w:szCs w:val="24"/>
          <w:lang w:val="sq-AL"/>
        </w:rPr>
        <w:t xml:space="preserve"> nga DPPPP jan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>: Banka e Shqip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>ris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>, bankat e nivelit t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 xml:space="preserve"> dyt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 xml:space="preserve"> (Credins Bank, OTP BANK, Banka Tirana, Alpha Bank Albania (ABA), Banka Komb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>tare Tregtare (BKT), Raiffeisen Bank, Procredit-Group, Union Bank, Fibank, Intesa Sanpaolo Bank, American Bank of Investment (ABI), United Bank of Albania (UBA)), instituioni financiar jobank (Ak-Invest), shoq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>rit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 xml:space="preserve"> e transfertave  (Union Financiar Tiran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 xml:space="preserve"> (UFT) dhe Easypay), Bordi i Mbik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 xml:space="preserve">qyrjes Publike (BMP), IEKA, Posta Shqiptare, kompania e auditimit Deloide Albania. </w:t>
      </w:r>
    </w:p>
    <w:p w:rsidR="00294A59" w:rsidRPr="008A4CDD" w:rsidRDefault="00294A59" w:rsidP="00294A59">
      <w:pPr>
        <w:tabs>
          <w:tab w:val="left" w:pos="7552"/>
        </w:tabs>
        <w:jc w:val="both"/>
        <w:rPr>
          <w:rFonts w:ascii="Times New Roman" w:hAnsi="Times New Roman"/>
          <w:sz w:val="24"/>
          <w:szCs w:val="24"/>
          <w:lang w:val="sq-AL"/>
        </w:rPr>
      </w:pPr>
      <w:r w:rsidRPr="008A4CDD">
        <w:rPr>
          <w:rFonts w:ascii="Times New Roman" w:hAnsi="Times New Roman"/>
          <w:sz w:val="24"/>
          <w:szCs w:val="24"/>
          <w:lang w:val="sq-AL"/>
        </w:rPr>
        <w:t>Lidhur me struktur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>n e subjekteve t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 xml:space="preserve"> cilat mor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 xml:space="preserve"> pjes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 xml:space="preserve"> takim, ishin t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 xml:space="preserve"> organizuar nga 1 (nj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>) p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>rfaq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>sues p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 xml:space="preserve">r subjekt. </w:t>
      </w:r>
    </w:p>
    <w:p w:rsidR="00294A59" w:rsidRPr="008A4CDD" w:rsidRDefault="00294A59" w:rsidP="00294A59">
      <w:pPr>
        <w:pStyle w:val="BodyText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A4CDD">
        <w:rPr>
          <w:rFonts w:ascii="Times New Roman" w:hAnsi="Times New Roman"/>
          <w:i/>
          <w:sz w:val="24"/>
          <w:szCs w:val="24"/>
          <w:lang w:val="sq-AL"/>
        </w:rPr>
        <w:t>Gjithashtu komente mbi projektligjin kan</w:t>
      </w:r>
      <w:r w:rsidR="00B35CE4" w:rsidRPr="008A4CDD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i/>
          <w:sz w:val="24"/>
          <w:szCs w:val="24"/>
          <w:lang w:val="sq-AL"/>
        </w:rPr>
        <w:t xml:space="preserve"> paraqitur edhe Eksperti nd</w:t>
      </w:r>
      <w:r w:rsidR="00B35CE4" w:rsidRPr="008A4CDD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i/>
          <w:sz w:val="24"/>
          <w:szCs w:val="24"/>
          <w:lang w:val="sq-AL"/>
        </w:rPr>
        <w:t>rkomb</w:t>
      </w:r>
      <w:r w:rsidR="00B35CE4" w:rsidRPr="008A4CDD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i/>
          <w:sz w:val="24"/>
          <w:szCs w:val="24"/>
          <w:lang w:val="sq-AL"/>
        </w:rPr>
        <w:t xml:space="preserve">tar e GIZ, Delegacioni </w:t>
      </w:r>
      <w:r w:rsidR="008A4CDD">
        <w:rPr>
          <w:rFonts w:ascii="Times New Roman" w:hAnsi="Times New Roman"/>
          <w:i/>
          <w:sz w:val="24"/>
          <w:szCs w:val="24"/>
          <w:lang w:val="sq-AL"/>
        </w:rPr>
        <w:t>i</w:t>
      </w:r>
      <w:r w:rsidRPr="008A4CDD">
        <w:rPr>
          <w:rFonts w:ascii="Times New Roman" w:hAnsi="Times New Roman"/>
          <w:i/>
          <w:sz w:val="24"/>
          <w:szCs w:val="24"/>
          <w:lang w:val="sq-AL"/>
        </w:rPr>
        <w:t xml:space="preserve"> BE n</w:t>
      </w:r>
      <w:r w:rsidR="00B35CE4" w:rsidRPr="008A4CDD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i/>
          <w:sz w:val="24"/>
          <w:szCs w:val="24"/>
          <w:lang w:val="sq-AL"/>
        </w:rPr>
        <w:t xml:space="preserve"> Shqip</w:t>
      </w:r>
      <w:r w:rsidR="00B35CE4" w:rsidRPr="008A4CDD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i/>
          <w:sz w:val="24"/>
          <w:szCs w:val="24"/>
          <w:lang w:val="sq-AL"/>
        </w:rPr>
        <w:t xml:space="preserve">ri, </w:t>
      </w:r>
      <w:r w:rsidRPr="008A4CDD">
        <w:rPr>
          <w:rFonts w:ascii="Times New Roman" w:hAnsi="Times New Roman"/>
          <w:sz w:val="24"/>
          <w:szCs w:val="24"/>
          <w:lang w:val="sq-AL"/>
        </w:rPr>
        <w:t>Ministria e Drejt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>sis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>, Agjencia Komb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>tare e Shoq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>ris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 xml:space="preserve"> Informacionit,</w:t>
      </w:r>
      <w:r w:rsidRPr="008A4CDD">
        <w:rPr>
          <w:rFonts w:ascii="Times New Roman" w:hAnsi="Times New Roman"/>
          <w:i/>
          <w:sz w:val="24"/>
          <w:szCs w:val="24"/>
          <w:lang w:val="sq-AL"/>
        </w:rPr>
        <w:t xml:space="preserve"> </w:t>
      </w:r>
      <w:r w:rsidRPr="008A4CDD">
        <w:rPr>
          <w:rFonts w:ascii="Times New Roman" w:hAnsi="Times New Roman"/>
          <w:sz w:val="24"/>
          <w:szCs w:val="24"/>
          <w:lang w:val="sq-AL"/>
        </w:rPr>
        <w:t>Banka e Shqip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>ris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i/>
          <w:sz w:val="24"/>
          <w:szCs w:val="24"/>
          <w:lang w:val="sq-AL"/>
        </w:rPr>
        <w:t xml:space="preserve">, </w:t>
      </w:r>
      <w:r w:rsidRPr="008A4CDD">
        <w:rPr>
          <w:rFonts w:ascii="Times New Roman" w:hAnsi="Times New Roman"/>
          <w:sz w:val="24"/>
          <w:szCs w:val="24"/>
          <w:lang w:val="sq-AL"/>
        </w:rPr>
        <w:t>Shoqata Shqiptare e Bankave, Inspektorati i Lart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 xml:space="preserve"> i Deklarimit dhe Kontrollit t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 xml:space="preserve"> Pasurive dhe Konfliktit t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 xml:space="preserve"> Interesave, Autoriteti i Mbik</w:t>
      </w:r>
      <w:r w:rsidR="00B35CE4" w:rsidRPr="008A4CDD">
        <w:rPr>
          <w:rFonts w:ascii="Times New Roman" w:hAnsi="Times New Roman"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sz w:val="24"/>
          <w:szCs w:val="24"/>
          <w:lang w:val="sq-AL"/>
        </w:rPr>
        <w:t xml:space="preserve">qyrjes Financiare. </w:t>
      </w:r>
    </w:p>
    <w:p w:rsidR="00294A59" w:rsidRPr="008A4CDD" w:rsidRDefault="00B35CE4" w:rsidP="00294A59">
      <w:pPr>
        <w:tabs>
          <w:tab w:val="left" w:pos="7552"/>
        </w:tabs>
        <w:jc w:val="both"/>
        <w:rPr>
          <w:rFonts w:ascii="Times New Roman" w:hAnsi="Times New Roman"/>
          <w:sz w:val="24"/>
          <w:szCs w:val="24"/>
          <w:lang w:val="sq-AL"/>
        </w:rPr>
      </w:pPr>
      <w:r w:rsidRPr="008A4CDD">
        <w:rPr>
          <w:rFonts w:ascii="Times New Roman" w:hAnsi="Times New Roman"/>
          <w:sz w:val="24"/>
          <w:szCs w:val="24"/>
          <w:lang w:val="sq-AL"/>
        </w:rPr>
        <w:t xml:space="preserve">Numri i pjesëmarrësve në konsultimin publik,  në takim online të organizuar ashtu dhe nëpërmjet email </w:t>
      </w:r>
      <w:r w:rsidR="008A4CDD" w:rsidRPr="008A4CDD">
        <w:rPr>
          <w:rFonts w:ascii="Times New Roman" w:hAnsi="Times New Roman"/>
          <w:sz w:val="24"/>
          <w:szCs w:val="24"/>
          <w:lang w:val="sq-AL"/>
        </w:rPr>
        <w:t>ishte</w:t>
      </w:r>
      <w:r w:rsidRPr="008A4CDD">
        <w:rPr>
          <w:rFonts w:ascii="Times New Roman" w:hAnsi="Times New Roman"/>
          <w:sz w:val="24"/>
          <w:szCs w:val="24"/>
          <w:lang w:val="sq-AL"/>
        </w:rPr>
        <w:t xml:space="preserve"> 28. </w:t>
      </w:r>
    </w:p>
    <w:p w:rsidR="008A4CDD" w:rsidRPr="008A4CDD" w:rsidRDefault="008A4CDD" w:rsidP="00294A59">
      <w:pPr>
        <w:tabs>
          <w:tab w:val="left" w:pos="7552"/>
        </w:tabs>
        <w:jc w:val="both"/>
        <w:rPr>
          <w:rFonts w:ascii="Times New Roman" w:hAnsi="Times New Roman"/>
          <w:color w:val="FF0000"/>
          <w:sz w:val="24"/>
          <w:szCs w:val="24"/>
          <w:lang w:val="sq-AL"/>
        </w:rPr>
      </w:pPr>
    </w:p>
    <w:p w:rsidR="005B6D2B" w:rsidRPr="008A4CDD" w:rsidRDefault="005B6D2B" w:rsidP="005B6D2B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8A4CDD">
        <w:rPr>
          <w:rFonts w:ascii="Times New Roman" w:hAnsi="Times New Roman"/>
          <w:b/>
          <w:bCs/>
          <w:sz w:val="24"/>
          <w:szCs w:val="24"/>
          <w:lang w:val="sq-AL"/>
        </w:rPr>
        <w:t xml:space="preserve"> Pasqyra e komenteve t</w:t>
      </w:r>
      <w:r w:rsidR="00B35CE4" w:rsidRPr="008A4CDD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b/>
          <w:bCs/>
          <w:sz w:val="24"/>
          <w:szCs w:val="24"/>
          <w:lang w:val="sq-AL"/>
        </w:rPr>
        <w:t xml:space="preserve"> pranuara me arsyetimin e komenteve t</w:t>
      </w:r>
      <w:r w:rsidR="00B35CE4" w:rsidRPr="008A4CDD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8A4CDD">
        <w:rPr>
          <w:rFonts w:ascii="Times New Roman" w:hAnsi="Times New Roman"/>
          <w:b/>
          <w:bCs/>
          <w:sz w:val="24"/>
          <w:szCs w:val="24"/>
          <w:lang w:val="sq-AL"/>
        </w:rPr>
        <w:t xml:space="preserve"> pranuara/ refuzuara</w:t>
      </w:r>
      <w:r w:rsidR="008A4CDD" w:rsidRPr="008A4CDD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</w:p>
    <w:p w:rsidR="00B35CE4" w:rsidRPr="008A4CDD" w:rsidRDefault="00B35CE4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:rsidR="00B35CE4" w:rsidRPr="00AF1FE3" w:rsidRDefault="004C1DBE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AF1FE3">
        <w:rPr>
          <w:rFonts w:ascii="Times New Roman" w:hAnsi="Times New Roman"/>
          <w:iCs/>
          <w:sz w:val="24"/>
          <w:szCs w:val="24"/>
          <w:lang w:val="sq-AL"/>
        </w:rPr>
        <w:t xml:space="preserve">Komentet në total të ardhura nga grupet e </w:t>
      </w:r>
      <w:r w:rsidR="00AF1FE3" w:rsidRPr="00AF1FE3">
        <w:rPr>
          <w:rFonts w:ascii="Times New Roman" w:hAnsi="Times New Roman"/>
          <w:iCs/>
          <w:sz w:val="24"/>
          <w:szCs w:val="24"/>
          <w:lang w:val="sq-AL"/>
        </w:rPr>
        <w:t>kontribuuese</w:t>
      </w:r>
      <w:r w:rsidRPr="00AF1FE3">
        <w:rPr>
          <w:rFonts w:ascii="Times New Roman" w:hAnsi="Times New Roman"/>
          <w:iCs/>
          <w:sz w:val="24"/>
          <w:szCs w:val="24"/>
          <w:lang w:val="sq-AL"/>
        </w:rPr>
        <w:t xml:space="preserve"> janë 44, 19 prej të cilave janë të pranuara plotësisht.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2277"/>
        <w:gridCol w:w="1650"/>
        <w:gridCol w:w="1672"/>
        <w:gridCol w:w="1828"/>
      </w:tblGrid>
      <w:tr w:rsidR="0017562E" w:rsidRPr="00AF1FE3" w:rsidTr="0017562E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AF1FE3" w:rsidRDefault="005B6D2B" w:rsidP="0021058A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Ç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shtja</w:t>
            </w:r>
            <w:r w:rsidR="00765F3C" w:rsidRPr="00AF1FE3">
              <w:rPr>
                <w:rFonts w:ascii="Times New Roman" w:hAnsi="Times New Roman"/>
                <w:sz w:val="20"/>
                <w:lang w:val="sq-AL"/>
              </w:rPr>
              <w:t xml:space="preserve"> 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e  adresuar</w:t>
            </w:r>
          </w:p>
          <w:p w:rsidR="005B6D2B" w:rsidRPr="00AF1FE3" w:rsidRDefault="005B6D2B" w:rsidP="0021058A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(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psh. p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rkufizimi i ri i…, kushtet p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r regjistrimin e…, rregullimi i…, etj.)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AF1FE3" w:rsidRDefault="005B6D2B" w:rsidP="0021058A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Komenti</w:t>
            </w:r>
          </w:p>
          <w:p w:rsidR="005B6D2B" w:rsidRPr="00AF1FE3" w:rsidRDefault="005B6D2B" w:rsidP="0021058A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(grumbulloni dhe p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rmblidhni komente identike/t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ngjashme nga pal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t e ndryshme 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interesuara s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bashku) </w:t>
            </w:r>
          </w:p>
          <w:p w:rsidR="0017562E" w:rsidRPr="00AF1FE3" w:rsidRDefault="0017562E" w:rsidP="0021058A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0"/>
                <w:lang w:val="sq-AL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AF1FE3" w:rsidRDefault="005B6D2B" w:rsidP="0021058A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Pal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t e interesuara 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(renditni 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gjith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ata q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adresuan ç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shtjen n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m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nyr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ngjashme)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AF1FE3" w:rsidRDefault="005B6D2B" w:rsidP="0021058A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Vendimi (I pranuar/I pranuar pjes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risht/I refuzuar)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AF1FE3" w:rsidRDefault="005B6D2B" w:rsidP="0021058A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Justifikimi</w:t>
            </w:r>
          </w:p>
        </w:tc>
      </w:tr>
      <w:tr w:rsidR="0017562E" w:rsidRPr="00AF1FE3" w:rsidTr="0017562E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F2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rkufizimi i “bank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guask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”,</w:t>
            </w:r>
          </w:p>
          <w:p w:rsidR="007755F2" w:rsidRPr="00AF1FE3" w:rsidRDefault="007755F2" w:rsidP="0021058A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2B" w:rsidRPr="00AF1FE3" w:rsidRDefault="0017562E" w:rsidP="0017562E">
            <w:pPr>
              <w:pStyle w:val="BodyText"/>
              <w:jc w:val="both"/>
              <w:rPr>
                <w:rFonts w:ascii="Times New Roman" w:hAnsi="Times New Roman"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-Z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vend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simi i fjal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s “jurisdiction” me fjal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n “vend”;</w:t>
            </w:r>
          </w:p>
          <w:p w:rsidR="0017562E" w:rsidRPr="00AF1FE3" w:rsidRDefault="0017562E" w:rsidP="002C7B1D">
            <w:pPr>
              <w:pStyle w:val="BodyText"/>
              <w:rPr>
                <w:rFonts w:ascii="Times New Roman" w:hAnsi="Times New Roman"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-sugjerohet q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p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rkufizimi t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ndryshohet p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r ta p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rshtatur me edhe me terminologjin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e p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rdorur n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kuadrin ligjor e </w:t>
            </w:r>
            <w:r w:rsidR="002C7B1D" w:rsidRPr="00AF1FE3">
              <w:rPr>
                <w:rFonts w:ascii="Times New Roman" w:hAnsi="Times New Roman"/>
                <w:iCs/>
                <w:sz w:val="20"/>
                <w:lang w:val="sq-AL"/>
              </w:rPr>
              <w:t>rregullator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t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Bank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s s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Shqip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ris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2B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-Ministria e Drejt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sis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;</w:t>
            </w:r>
          </w:p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-Banka e Shqip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ris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D3" w:rsidRPr="00AF1FE3" w:rsidRDefault="0017562E" w:rsidP="0021058A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pranuar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B1" w:rsidRPr="00AF1FE3" w:rsidRDefault="008F44B1" w:rsidP="0021058A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</w:p>
        </w:tc>
      </w:tr>
      <w:tr w:rsidR="0017562E" w:rsidRPr="00AF1FE3" w:rsidTr="0017562E">
        <w:trPr>
          <w:trHeight w:val="98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rkufizimi i  “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marr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dh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nies korrespondente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”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F03EFF">
            <w:pPr>
              <w:pStyle w:val="BodyText"/>
              <w:jc w:val="both"/>
              <w:rPr>
                <w:rFonts w:ascii="Times New Roman" w:hAnsi="Times New Roman"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-T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p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rshtatet p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rmbajtja e saj n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p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rputhje me 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lastRenderedPageBreak/>
              <w:t>Direktiv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n e BE  849/2015;</w:t>
            </w:r>
          </w:p>
          <w:p w:rsidR="0017562E" w:rsidRPr="00AF1FE3" w:rsidRDefault="0017562E" w:rsidP="00F03EFF">
            <w:pPr>
              <w:pStyle w:val="BodyText"/>
              <w:jc w:val="both"/>
              <w:rPr>
                <w:rFonts w:ascii="Times New Roman" w:hAnsi="Times New Roman"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-sugjerojm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t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b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hen ndryshime p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r ta p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rshtatur me edhe me terminologjin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e p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rdorur n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kuadrin ligjor e rregullativ t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Bank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s s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Shqip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ris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edhe p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r termin “llogari p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r pagesa’ dhe p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r “institucion korrespondent” t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parashikohen p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rkufizime;</w:t>
            </w:r>
          </w:p>
          <w:p w:rsidR="0017562E" w:rsidRPr="00AF1FE3" w:rsidRDefault="0017562E" w:rsidP="00F03EFF">
            <w:pPr>
              <w:pStyle w:val="BodyText"/>
              <w:jc w:val="both"/>
              <w:rPr>
                <w:rFonts w:ascii="Times New Roman" w:hAnsi="Times New Roman"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- </w:t>
            </w:r>
            <w:r w:rsidR="000A636C" w:rsidRPr="00AF1FE3">
              <w:rPr>
                <w:rFonts w:ascii="Times New Roman" w:hAnsi="Times New Roman"/>
                <w:iCs/>
                <w:sz w:val="20"/>
                <w:lang w:val="sq-AL"/>
              </w:rPr>
              <w:t>Komenti i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Ekspertit Nd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rkomb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tar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GIZ: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N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paragraf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t 3 dhe 3.1. t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nenit 2 jepen p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rkufizimet e "Bank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s korrespondente" dhe "Bank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s korrespondente" q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kufizojn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marr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dh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niet korresponduese me sh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rbimet bankare dhe financiare t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ofruara vet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m nga bankat. Direktiva e kat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rt e LPP / LFT e BE n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paragrafin 8 t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Nenit 3 p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rcakton "marr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dh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nien korresponduese"</w:t>
            </w:r>
          </w:p>
          <w:p w:rsidR="0017562E" w:rsidRPr="00AF1FE3" w:rsidRDefault="0017562E" w:rsidP="00F03EFF">
            <w:pPr>
              <w:pStyle w:val="BodyText"/>
              <w:jc w:val="both"/>
              <w:rPr>
                <w:rFonts w:ascii="Times New Roman" w:hAnsi="Times New Roman"/>
                <w:iCs/>
                <w:sz w:val="20"/>
                <w:lang w:val="sq-AL"/>
              </w:rPr>
            </w:pPr>
          </w:p>
          <w:p w:rsidR="0017562E" w:rsidRPr="00AF1FE3" w:rsidRDefault="0017562E" w:rsidP="00F03EFF">
            <w:pPr>
              <w:pStyle w:val="BodyText"/>
              <w:jc w:val="both"/>
              <w:rPr>
                <w:rFonts w:ascii="Times New Roman" w:hAnsi="Times New Roman"/>
                <w:iCs/>
                <w:sz w:val="20"/>
                <w:lang w:val="sq-AL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lastRenderedPageBreak/>
              <w:t>-Ministria e Drejt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sis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’</w:t>
            </w:r>
          </w:p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lastRenderedPageBreak/>
              <w:t>-Banka e Shqip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ris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</w:p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-Eksperti Nd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rkomb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tar i GIZ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21058A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lastRenderedPageBreak/>
              <w:t>-Pranuar komenti i Ministris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Drejt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sis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.</w:t>
            </w:r>
          </w:p>
          <w:p w:rsidR="0017562E" w:rsidRPr="00AF1FE3" w:rsidRDefault="0017562E" w:rsidP="0021058A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</w:p>
          <w:p w:rsidR="0017562E" w:rsidRPr="00AF1FE3" w:rsidRDefault="0017562E" w:rsidP="000A636C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-Pranuar pjes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risht komenti i Bank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 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</w:t>
            </w:r>
            <w:r w:rsidR="000A636C" w:rsidRPr="00AF1FE3">
              <w:rPr>
                <w:rFonts w:ascii="Times New Roman" w:hAnsi="Times New Roman"/>
                <w:sz w:val="20"/>
                <w:lang w:val="sq-AL"/>
              </w:rPr>
              <w:t>Shqip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="000A636C" w:rsidRPr="00AF1FE3">
              <w:rPr>
                <w:rFonts w:ascii="Times New Roman" w:hAnsi="Times New Roman"/>
                <w:sz w:val="20"/>
                <w:lang w:val="sq-AL"/>
              </w:rPr>
              <w:t>ris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</w:p>
          <w:p w:rsidR="0017562E" w:rsidRPr="00AF1FE3" w:rsidRDefault="000A636C" w:rsidP="000A636C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Pranuar komenti i</w:t>
            </w:r>
            <w:r w:rsidR="0017562E" w:rsidRPr="00AF1FE3">
              <w:rPr>
                <w:rFonts w:ascii="Times New Roman" w:hAnsi="Times New Roman"/>
                <w:sz w:val="20"/>
                <w:lang w:val="sq-AL"/>
              </w:rPr>
              <w:t xml:space="preserve"> Ekspertit Nd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="0017562E" w:rsidRPr="00AF1FE3">
              <w:rPr>
                <w:rFonts w:ascii="Times New Roman" w:hAnsi="Times New Roman"/>
                <w:sz w:val="20"/>
                <w:lang w:val="sq-AL"/>
              </w:rPr>
              <w:t>rkomb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="0017562E" w:rsidRPr="00AF1FE3">
              <w:rPr>
                <w:rFonts w:ascii="Times New Roman" w:hAnsi="Times New Roman"/>
                <w:sz w:val="20"/>
                <w:lang w:val="sq-AL"/>
              </w:rPr>
              <w:t>tar i GIZ, duke u shtuar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="0017562E" w:rsidRPr="00AF1FE3">
              <w:rPr>
                <w:rFonts w:ascii="Times New Roman" w:hAnsi="Times New Roman"/>
                <w:sz w:val="20"/>
                <w:lang w:val="sq-AL"/>
              </w:rPr>
              <w:t>rkufizimi i “</w:t>
            </w:r>
            <w:r w:rsidR="0017562E" w:rsidRPr="00AF1FE3">
              <w:rPr>
                <w:rFonts w:ascii="Times New Roman" w:hAnsi="Times New Roman"/>
                <w:i/>
                <w:sz w:val="20"/>
                <w:lang w:val="sq-AL"/>
              </w:rPr>
              <w:t>marr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="0017562E" w:rsidRPr="00AF1FE3">
              <w:rPr>
                <w:rFonts w:ascii="Times New Roman" w:hAnsi="Times New Roman"/>
                <w:i/>
                <w:sz w:val="20"/>
                <w:lang w:val="sq-AL"/>
              </w:rPr>
              <w:t>dh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="0017562E" w:rsidRPr="00AF1FE3">
              <w:rPr>
                <w:rFonts w:ascii="Times New Roman" w:hAnsi="Times New Roman"/>
                <w:i/>
                <w:sz w:val="20"/>
                <w:lang w:val="sq-AL"/>
              </w:rPr>
              <w:t>nies korrespondente</w:t>
            </w:r>
            <w:r w:rsidR="0017562E" w:rsidRPr="00AF1FE3">
              <w:rPr>
                <w:rFonts w:ascii="Times New Roman" w:hAnsi="Times New Roman"/>
                <w:sz w:val="20"/>
                <w:lang w:val="sq-AL"/>
              </w:rPr>
              <w:t>”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0A636C">
            <w:pPr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lastRenderedPageBreak/>
              <w:t xml:space="preserve">Komenti </w:t>
            </w:r>
            <w:r w:rsidR="002C7B1D" w:rsidRPr="00AF1FE3">
              <w:rPr>
                <w:rFonts w:ascii="Times New Roman" w:hAnsi="Times New Roman"/>
                <w:sz w:val="20"/>
                <w:lang w:val="sq-AL"/>
              </w:rPr>
              <w:t>i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</w:t>
            </w:r>
            <w:r w:rsidR="002C7B1D" w:rsidRPr="00AF1FE3">
              <w:rPr>
                <w:rFonts w:ascii="Times New Roman" w:hAnsi="Times New Roman"/>
                <w:sz w:val="20"/>
                <w:lang w:val="sq-AL"/>
              </w:rPr>
              <w:t>Bank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="002C7B1D" w:rsidRPr="00AF1FE3">
              <w:rPr>
                <w:rFonts w:ascii="Times New Roman" w:hAnsi="Times New Roman"/>
                <w:sz w:val="20"/>
                <w:lang w:val="sq-AL"/>
              </w:rPr>
              <w:t>s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Shqip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ris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sht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="002C7B1D" w:rsidRPr="00AF1FE3">
              <w:rPr>
                <w:rFonts w:ascii="Times New Roman" w:hAnsi="Times New Roman"/>
                <w:sz w:val="20"/>
                <w:lang w:val="sq-AL"/>
              </w:rPr>
              <w:t xml:space="preserve"> p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ranuar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r </w:t>
            </w:r>
            <w:r w:rsidR="002C7B1D" w:rsidRPr="00AF1FE3">
              <w:rPr>
                <w:rFonts w:ascii="Times New Roman" w:hAnsi="Times New Roman"/>
                <w:sz w:val="20"/>
                <w:lang w:val="sq-AL"/>
              </w:rPr>
              <w:lastRenderedPageBreak/>
              <w:t>terminologjin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e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rdorur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rkufizim dhe 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sht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refuzuar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r 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p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rkufizimin   e termit “llogari p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r pagesa’ dhe “institucion korrespondent” 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”, pasi jan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 terma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rgjithsh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m,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rdorur edhe m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par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praktik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, 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cil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t  nuk l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vend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 keqinterpretim.</w:t>
            </w:r>
          </w:p>
          <w:p w:rsidR="0017562E" w:rsidRPr="00AF1FE3" w:rsidRDefault="0017562E" w:rsidP="0017562E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</w:p>
        </w:tc>
      </w:tr>
      <w:tr w:rsidR="0017562E" w:rsidRPr="00AF1FE3" w:rsidTr="0017562E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lastRenderedPageBreak/>
              <w:t>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rkufizimi i termit “pasuri”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Sugjerohet t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p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rdoret p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rkufizimi pik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s 3 t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</w:t>
            </w:r>
            <w:r w:rsidR="000A636C" w:rsidRPr="00AF1FE3">
              <w:rPr>
                <w:rFonts w:ascii="Times New Roman" w:hAnsi="Times New Roman"/>
                <w:iCs/>
                <w:sz w:val="20"/>
                <w:lang w:val="sq-AL"/>
              </w:rPr>
              <w:t>nenit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3 t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Direktiv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s e BE  849/2015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Ministria e </w:t>
            </w:r>
          </w:p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Drejt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sis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21058A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refuzuar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0A636C">
            <w:pPr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rkufizimi i termit “pasu</w:t>
            </w:r>
            <w:r w:rsidR="000A636C" w:rsidRPr="00AF1FE3">
              <w:rPr>
                <w:rFonts w:ascii="Times New Roman" w:hAnsi="Times New Roman"/>
                <w:sz w:val="20"/>
                <w:lang w:val="sq-AL"/>
              </w:rPr>
              <w:t>r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i”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ligjin nr. 9917/2008, 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sht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rputhje me pik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n 3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nenit 3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Direktiv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s.</w:t>
            </w:r>
          </w:p>
          <w:p w:rsidR="0017562E" w:rsidRPr="00AF1FE3" w:rsidRDefault="0017562E" w:rsidP="0021058A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</w:p>
        </w:tc>
      </w:tr>
      <w:tr w:rsidR="0017562E" w:rsidRPr="00AF1FE3" w:rsidTr="0017562E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rkufizimi i “trustit”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0A636C">
            <w:pPr>
              <w:pStyle w:val="BodyText"/>
              <w:rPr>
                <w:rFonts w:ascii="Times New Roman" w:hAnsi="Times New Roman"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-Direktiva e BE 849/2015 nuk p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rmban p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rkufizimin e trustit ;</w:t>
            </w:r>
          </w:p>
          <w:p w:rsidR="0017562E" w:rsidRPr="00AF1FE3" w:rsidRDefault="0017562E" w:rsidP="000A636C">
            <w:pPr>
              <w:pStyle w:val="BodyText"/>
              <w:rPr>
                <w:rFonts w:ascii="Times New Roman" w:hAnsi="Times New Roman"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-</w:t>
            </w:r>
            <w:r w:rsidR="000A636C" w:rsidRPr="00AF1FE3">
              <w:rPr>
                <w:rFonts w:ascii="Times New Roman" w:hAnsi="Times New Roman"/>
                <w:iCs/>
                <w:sz w:val="20"/>
                <w:lang w:val="sq-AL"/>
              </w:rPr>
              <w:t>sugjerohet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t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riformulohet pasi nuk del I qart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q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llimi.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-Ministria e </w:t>
            </w:r>
          </w:p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Drejt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sis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;</w:t>
            </w:r>
          </w:p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-Shoqata </w:t>
            </w:r>
            <w:r w:rsidR="000A636C" w:rsidRPr="00AF1FE3">
              <w:rPr>
                <w:rFonts w:ascii="Times New Roman" w:hAnsi="Times New Roman"/>
                <w:sz w:val="20"/>
                <w:lang w:val="sq-AL"/>
              </w:rPr>
              <w:t>Shqiptare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e Bankave.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21058A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refuzuar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0A636C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rkufizimi i “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trustit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” 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sht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i domosdosh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m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funksion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zbatimit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vler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simeve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MONEYVAL dhe 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sht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rputhje </w:t>
            </w:r>
            <w:r w:rsidRPr="00AF1FE3">
              <w:rPr>
                <w:rFonts w:ascii="Times New Roman" w:hAnsi="Times New Roman"/>
                <w:bCs/>
                <w:sz w:val="20"/>
                <w:lang w:val="sq-AL"/>
              </w:rPr>
              <w:t>me nenin 2 t</w:t>
            </w:r>
            <w:r w:rsidR="00B35CE4" w:rsidRPr="00AF1FE3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bCs/>
                <w:sz w:val="20"/>
                <w:lang w:val="sq-AL"/>
              </w:rPr>
              <w:t xml:space="preserve"> Konvent</w:t>
            </w:r>
            <w:r w:rsidR="00B35CE4" w:rsidRPr="00AF1FE3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bCs/>
                <w:sz w:val="20"/>
                <w:lang w:val="sq-AL"/>
              </w:rPr>
              <w:t>s s</w:t>
            </w:r>
            <w:r w:rsidR="00B35CE4" w:rsidRPr="00AF1FE3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bCs/>
                <w:sz w:val="20"/>
                <w:lang w:val="sq-AL"/>
              </w:rPr>
              <w:t xml:space="preserve"> Hag</w:t>
            </w:r>
            <w:r w:rsidR="00B35CE4" w:rsidRPr="00AF1FE3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bCs/>
                <w:sz w:val="20"/>
                <w:lang w:val="sq-AL"/>
              </w:rPr>
              <w:t>s t</w:t>
            </w:r>
            <w:r w:rsidR="00B35CE4" w:rsidRPr="00AF1FE3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bCs/>
                <w:sz w:val="20"/>
                <w:lang w:val="sq-AL"/>
              </w:rPr>
              <w:t xml:space="preserve"> vitit 1985 “</w:t>
            </w:r>
            <w:r w:rsidRPr="00AF1FE3">
              <w:rPr>
                <w:rFonts w:ascii="Times New Roman" w:hAnsi="Times New Roman"/>
                <w:bCs/>
                <w:i/>
                <w:sz w:val="20"/>
                <w:lang w:val="sq-AL"/>
              </w:rPr>
              <w:t>Mbi ligjin e zbatuesh</w:t>
            </w:r>
            <w:r w:rsidR="00B35CE4" w:rsidRPr="00AF1FE3">
              <w:rPr>
                <w:rFonts w:ascii="Times New Roman" w:hAnsi="Times New Roman"/>
                <w:bCs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bCs/>
                <w:i/>
                <w:sz w:val="20"/>
                <w:lang w:val="sq-AL"/>
              </w:rPr>
              <w:t>m ndaj trusteve dhe mbi njohjen e tyre</w:t>
            </w:r>
            <w:r w:rsidRPr="00AF1FE3">
              <w:rPr>
                <w:rFonts w:ascii="Times New Roman" w:hAnsi="Times New Roman"/>
                <w:bCs/>
                <w:sz w:val="20"/>
                <w:lang w:val="sq-AL"/>
              </w:rPr>
              <w:t>”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.</w:t>
            </w:r>
          </w:p>
        </w:tc>
      </w:tr>
      <w:tr w:rsidR="0017562E" w:rsidRPr="00AF1FE3" w:rsidTr="0017562E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lastRenderedPageBreak/>
              <w:t>Shkronja “gj” e nenit 3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ligjit nr.9917/2008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F03EFF">
            <w:pPr>
              <w:pStyle w:val="BodyText"/>
              <w:jc w:val="both"/>
              <w:rPr>
                <w:rFonts w:ascii="Times New Roman" w:hAnsi="Times New Roman"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P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r shkak se ndryshon shum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her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sugjerohet z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vend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simi n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t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r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sin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 e saj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Ministria e </w:t>
            </w:r>
          </w:p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Drejt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sis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21058A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pranohet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21058A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</w:p>
        </w:tc>
      </w:tr>
      <w:tr w:rsidR="0017562E" w:rsidRPr="00AF1FE3" w:rsidTr="0017562E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Shkronja “k” e nenit 3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ligjit nr.9917/2008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Direktiva e BE, p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r veprat e artit, nuk parashikon nj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afat prej 24 or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sh p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r kryerjen e transakioneve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Ministria e </w:t>
            </w:r>
          </w:p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Drejt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sis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21058A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refuzohet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0A636C" w:rsidP="000A636C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r </w:t>
            </w:r>
            <w:r w:rsidR="0017562E" w:rsidRPr="00AF1FE3">
              <w:rPr>
                <w:rFonts w:ascii="Times New Roman" w:hAnsi="Times New Roman"/>
                <w:sz w:val="20"/>
                <w:lang w:val="sq-AL"/>
              </w:rPr>
              <w:t>sa i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="0017562E" w:rsidRPr="00AF1FE3">
              <w:rPr>
                <w:rFonts w:ascii="Times New Roman" w:hAnsi="Times New Roman"/>
                <w:sz w:val="20"/>
                <w:lang w:val="sq-AL"/>
              </w:rPr>
              <w:t>rket afati 24 or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="0017562E" w:rsidRPr="00AF1FE3">
              <w:rPr>
                <w:rFonts w:ascii="Times New Roman" w:hAnsi="Times New Roman"/>
                <w:sz w:val="20"/>
                <w:lang w:val="sq-AL"/>
              </w:rPr>
              <w:t xml:space="preserve">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="0017562E" w:rsidRPr="00AF1FE3">
              <w:rPr>
                <w:rFonts w:ascii="Times New Roman" w:hAnsi="Times New Roman"/>
                <w:sz w:val="20"/>
                <w:lang w:val="sq-AL"/>
              </w:rPr>
              <w:t>r transaksionet q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="0017562E" w:rsidRPr="00AF1FE3">
              <w:rPr>
                <w:rFonts w:ascii="Times New Roman" w:hAnsi="Times New Roman"/>
                <w:sz w:val="20"/>
                <w:lang w:val="sq-AL"/>
              </w:rPr>
              <w:t xml:space="preserve"> lidhen me veprat e artit,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="0017562E" w:rsidRPr="00AF1FE3">
              <w:rPr>
                <w:rFonts w:ascii="Times New Roman" w:hAnsi="Times New Roman"/>
                <w:sz w:val="20"/>
                <w:lang w:val="sq-AL"/>
              </w:rPr>
              <w:t xml:space="preserve"> shtuar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="0017562E" w:rsidRPr="00AF1FE3">
              <w:rPr>
                <w:rFonts w:ascii="Times New Roman" w:hAnsi="Times New Roman"/>
                <w:sz w:val="20"/>
                <w:lang w:val="sq-AL"/>
              </w:rPr>
              <w:t xml:space="preserve"> numrin (v/1) dhe (v/2), 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="0017562E" w:rsidRPr="00AF1FE3">
              <w:rPr>
                <w:rFonts w:ascii="Times New Roman" w:hAnsi="Times New Roman"/>
                <w:sz w:val="20"/>
                <w:lang w:val="sq-AL"/>
              </w:rPr>
              <w:t>sht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="0017562E" w:rsidRPr="00AF1FE3">
              <w:rPr>
                <w:rFonts w:ascii="Times New Roman" w:hAnsi="Times New Roman"/>
                <w:sz w:val="20"/>
                <w:lang w:val="sq-AL"/>
              </w:rPr>
              <w:t xml:space="preserve"> parashikuar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="0017562E" w:rsidRPr="00AF1FE3">
              <w:rPr>
                <w:rFonts w:ascii="Times New Roman" w:hAnsi="Times New Roman"/>
                <w:sz w:val="20"/>
                <w:lang w:val="sq-AL"/>
              </w:rPr>
              <w:t>r arsye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="0017562E" w:rsidRPr="00AF1FE3">
              <w:rPr>
                <w:rFonts w:ascii="Times New Roman" w:hAnsi="Times New Roman"/>
                <w:sz w:val="20"/>
                <w:lang w:val="sq-AL"/>
              </w:rPr>
              <w:t xml:space="preserve"> konformitetit me afatet e parashikuara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="0017562E" w:rsidRPr="00AF1FE3">
              <w:rPr>
                <w:rFonts w:ascii="Times New Roman" w:hAnsi="Times New Roman"/>
                <w:sz w:val="20"/>
                <w:lang w:val="sq-AL"/>
              </w:rPr>
              <w:t xml:space="preserve"> nenin 12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="0017562E" w:rsidRPr="00AF1FE3">
              <w:rPr>
                <w:rFonts w:ascii="Times New Roman" w:hAnsi="Times New Roman"/>
                <w:sz w:val="20"/>
                <w:lang w:val="sq-AL"/>
              </w:rPr>
              <w:t xml:space="preserve"> ligjit.</w:t>
            </w:r>
          </w:p>
        </w:tc>
      </w:tr>
      <w:tr w:rsidR="0017562E" w:rsidRPr="00AF1FE3" w:rsidTr="0017562E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neni 4/1 “Masat e vigjilenc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s s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duhur pika 1, germa (b) shtohet numri (iii)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0A636C">
            <w:pPr>
              <w:pStyle w:val="BodyText"/>
              <w:rPr>
                <w:rFonts w:ascii="Times New Roman" w:hAnsi="Times New Roman"/>
                <w:i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Togfjal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shi “informacion i mjaftuesh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m “ 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sht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nj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</w:t>
            </w:r>
            <w:r w:rsidR="000A636C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koncept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shum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="000A636C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i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gjer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dhe l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="000A636C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vend p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r keqinterpretim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Ministria e </w:t>
            </w:r>
          </w:p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Drejt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sis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21058A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refuzuar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0A636C">
            <w:pPr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Togfjal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shi “</w:t>
            </w:r>
            <w:r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>informacion t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 xml:space="preserve"> mjaftuesh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>m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”, 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sht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n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p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rputhje me 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13(6)t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direktiv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 dhe lidhet me nenin 5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ligjit nr.9917/2008.</w:t>
            </w:r>
          </w:p>
          <w:p w:rsidR="0017562E" w:rsidRPr="00AF1FE3" w:rsidRDefault="0017562E" w:rsidP="0021058A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</w:p>
        </w:tc>
      </w:tr>
      <w:tr w:rsidR="0017562E" w:rsidRPr="00AF1FE3" w:rsidTr="0017562E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nenin 5, pas pik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 2 shtohet pika 2.1 I cili ka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masat q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zbatohen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rastin e  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klient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ve rast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sor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 xml:space="preserve"> q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 xml:space="preserve"> kryejn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 xml:space="preserve"> transaksione n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 xml:space="preserve"> vlera m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 xml:space="preserve"> t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 xml:space="preserve"> vogla se 100,000 lek.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-Sugjerohet rishikimi, pasi p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rmbajtja 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sht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e ndryshme nga direktiva 849/2015.;</w:t>
            </w:r>
          </w:p>
          <w:p w:rsidR="0017562E" w:rsidRPr="00AF1FE3" w:rsidRDefault="0017562E" w:rsidP="000A636C">
            <w:pPr>
              <w:pStyle w:val="BodyText"/>
              <w:rPr>
                <w:rFonts w:ascii="Times New Roman" w:hAnsi="Times New Roman"/>
                <w:i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-ky </w:t>
            </w:r>
            <w:r w:rsidR="000A636C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propozim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nuk 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sht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k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rkes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e </w:t>
            </w:r>
            <w:r w:rsidR="000A636C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standardeve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dhe e direktiv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s si dhe nuk 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sht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n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linj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me </w:t>
            </w:r>
            <w:r w:rsidR="000A636C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standardet.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nd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rkomb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tare si dhe me vet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ligjin n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fuqi p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r PPP/PFT I cili ka vendosur nj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prag identifikimi dhe propozimi e b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n nul pragun e identifikimit. </w:t>
            </w:r>
          </w:p>
          <w:p w:rsidR="0017562E" w:rsidRPr="00AF1FE3" w:rsidRDefault="0017562E" w:rsidP="000A636C">
            <w:pPr>
              <w:pStyle w:val="BodyText"/>
              <w:rPr>
                <w:rFonts w:ascii="Times New Roman" w:hAnsi="Times New Roman"/>
                <w:i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-k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rkohet 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rishikohet duke hequr </w:t>
            </w:r>
            <w:r w:rsidR="000A636C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detyrimin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p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r </w:t>
            </w:r>
            <w:r w:rsidR="000A636C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transaksionet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n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n 100,000 lek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ose 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pakt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n kategorizimin e tij p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r lloje 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caktuara 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veprimeve bankare.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-Ministria e </w:t>
            </w:r>
          </w:p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Drejt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sis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;</w:t>
            </w:r>
          </w:p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-Banka e Shqip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ris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;</w:t>
            </w:r>
          </w:p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-Shoqata </w:t>
            </w:r>
            <w:r w:rsidR="000A636C" w:rsidRPr="00AF1FE3">
              <w:rPr>
                <w:rFonts w:ascii="Times New Roman" w:hAnsi="Times New Roman"/>
                <w:sz w:val="20"/>
                <w:lang w:val="sq-AL"/>
              </w:rPr>
              <w:t xml:space="preserve">Shqiptare 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e bankave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21058A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Pranohet, duke e hequr 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pik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shtu</w:t>
            </w:r>
            <w:r w:rsidR="000A636C" w:rsidRPr="00AF1FE3">
              <w:rPr>
                <w:rFonts w:ascii="Times New Roman" w:hAnsi="Times New Roman"/>
                <w:sz w:val="20"/>
                <w:lang w:val="sq-AL"/>
              </w:rPr>
              <w:t>a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 rishtazi.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21058A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</w:p>
        </w:tc>
      </w:tr>
      <w:tr w:rsidR="0017562E" w:rsidRPr="00AF1FE3" w:rsidTr="0017562E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N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nenin 7 t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ligjit “Vigjilenca e zgjeruar ndaj klientit”, ndryshon pika 1.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0A636C">
            <w:pPr>
              <w:pStyle w:val="BodyText"/>
              <w:rPr>
                <w:rFonts w:ascii="Times New Roman" w:hAnsi="Times New Roman"/>
                <w:i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Zgjerimi i fush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s s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zbatimit 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k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tij ligji nuk mund 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jet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kompetenc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e subjekteve 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k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tij ligji. N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se do 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shtohen profesione apo kategori 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tjera 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sip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rmarrjeve at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her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kjo duhet 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lastRenderedPageBreak/>
              <w:t>b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het me vendim 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K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shillit 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Ministrave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lastRenderedPageBreak/>
              <w:t xml:space="preserve">Ministria e </w:t>
            </w:r>
          </w:p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Drejt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sis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21058A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refuzuar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0A636C">
            <w:pPr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lidhur me ndryshimin e fjalis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dyt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pik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 1,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nenit 7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ligjit, synon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rcaktoj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masat q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duhet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merren nga subjektet e 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lastRenderedPageBreak/>
              <w:t>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rcaktuara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nenin 3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ligjit, dhe nuk synon shtimin e profesioneve apo kategorive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tjera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subjekteve. </w:t>
            </w:r>
          </w:p>
          <w:p w:rsidR="0017562E" w:rsidRPr="00AF1FE3" w:rsidRDefault="0017562E" w:rsidP="0021058A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</w:p>
        </w:tc>
      </w:tr>
      <w:tr w:rsidR="0017562E" w:rsidRPr="00AF1FE3" w:rsidTr="0017562E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 w:eastAsia="bg-BG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lastRenderedPageBreak/>
              <w:t>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pik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n  5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nenit 8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ligjit, pika1, 2 dhe 3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nenit 16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ligjit dhe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pik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n 5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nenit 10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ligjit, </w:t>
            </w:r>
            <w:r w:rsidR="000A636C" w:rsidRPr="00AF1FE3">
              <w:rPr>
                <w:rFonts w:ascii="Times New Roman" w:hAnsi="Times New Roman"/>
                <w:sz w:val="20"/>
                <w:lang w:val="sq-AL"/>
              </w:rPr>
              <w:t>ndryshon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afati i ruajtjes 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dokumentacionit nga “5 vite”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“40 vite”.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0A636C">
            <w:pPr>
              <w:pStyle w:val="BodyText"/>
              <w:rPr>
                <w:rFonts w:ascii="Times New Roman" w:hAnsi="Times New Roman"/>
                <w:i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-N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direktiv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n e BE nuk gjendet nj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afat i till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. neni 40 i saj </w:t>
            </w:r>
            <w:r w:rsidR="000A636C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parashikon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nj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afat 5 vjeçar I cili mund 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zgjatet me 5 vite 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tjera. </w:t>
            </w:r>
          </w:p>
          <w:p w:rsidR="0017562E" w:rsidRPr="00AF1FE3" w:rsidRDefault="0017562E" w:rsidP="000A636C">
            <w:pPr>
              <w:pStyle w:val="BodyText"/>
              <w:rPr>
                <w:rFonts w:ascii="Times New Roman" w:hAnsi="Times New Roman"/>
                <w:i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-ka ndonj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arsye konkrete p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r zgjatjen e konsiderueshme 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afatit p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r ruajtjen e dokumentacionit?</w:t>
            </w:r>
          </w:p>
          <w:p w:rsidR="0017562E" w:rsidRPr="00AF1FE3" w:rsidRDefault="0017562E" w:rsidP="0017562E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0"/>
                <w:lang w:val="sq-AL"/>
              </w:rPr>
            </w:pPr>
          </w:p>
          <w:p w:rsidR="0017562E" w:rsidRPr="00AF1FE3" w:rsidRDefault="0017562E" w:rsidP="0017562E">
            <w:pPr>
              <w:rPr>
                <w:rFonts w:ascii="Times New Roman" w:hAnsi="Times New Roman"/>
                <w:sz w:val="20"/>
                <w:lang w:val="sq-AL" w:eastAsia="sq-AL"/>
              </w:rPr>
            </w:pP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- 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Rritja e 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tij afati 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sht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sisht e paarsyetuar, e pa mb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shtetur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standarde apo legjislacion evropian apo praktika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tjera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vendeve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zhvilluara. </w:t>
            </w:r>
            <w:r w:rsidRPr="00AF1FE3">
              <w:rPr>
                <w:rFonts w:ascii="Times New Roman" w:hAnsi="Times New Roman"/>
                <w:sz w:val="20"/>
                <w:lang w:val="sq-AL" w:eastAsia="sq-AL"/>
              </w:rPr>
              <w:t xml:space="preserve"> </w:t>
            </w:r>
          </w:p>
          <w:p w:rsidR="0017562E" w:rsidRPr="00AF1FE3" w:rsidRDefault="0017562E" w:rsidP="0017562E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0"/>
                <w:lang w:val="sq-AL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Ministria e </w:t>
            </w:r>
          </w:p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Drejt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sis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;</w:t>
            </w:r>
          </w:p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-Banka e Shqip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ris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.</w:t>
            </w:r>
          </w:p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-Shoqata Shqiptare e Bankave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21058A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refuzuar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0A636C">
            <w:pPr>
              <w:shd w:val="clear" w:color="auto" w:fill="FFFFFF"/>
              <w:rPr>
                <w:rFonts w:ascii="Times New Roman" w:hAnsi="Times New Roman"/>
                <w:spacing w:val="-2"/>
                <w:sz w:val="20"/>
                <w:lang w:val="sq-AL" w:eastAsia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Lidhur me afatin “40 vite”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r ruajtjen e dokumentacionit, 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sht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rputhje me nenin 40 (1) i direktiv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s, i cili referon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ligjin komb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tar,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lidhje me afatin q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u nevojitet autoriteteve kompetente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kryer hetimin, ndjekjen penale dhe gjykimin e veprave penale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pastrimit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parave dhe financimit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terrorizmit. Ligji </w:t>
            </w:r>
            <w:r w:rsidRPr="00AF1FE3">
              <w:rPr>
                <w:rFonts w:ascii="Times New Roman" w:hAnsi="Times New Roman"/>
                <w:spacing w:val="-2"/>
                <w:sz w:val="20"/>
                <w:lang w:val="sq-AL" w:eastAsia="sq-AL"/>
              </w:rPr>
              <w:t>Nr. 7895, dat</w:t>
            </w:r>
            <w:r w:rsidR="00B35CE4" w:rsidRPr="00AF1FE3">
              <w:rPr>
                <w:rFonts w:ascii="Times New Roman" w:hAnsi="Times New Roman"/>
                <w:spacing w:val="-2"/>
                <w:sz w:val="20"/>
                <w:lang w:val="sq-AL" w:eastAsia="sq-AL"/>
              </w:rPr>
              <w:t>ë</w:t>
            </w:r>
            <w:r w:rsidRPr="00AF1FE3">
              <w:rPr>
                <w:rFonts w:ascii="Times New Roman" w:hAnsi="Times New Roman"/>
                <w:spacing w:val="-2"/>
                <w:sz w:val="20"/>
                <w:lang w:val="sq-AL" w:eastAsia="sq-AL"/>
              </w:rPr>
              <w:t xml:space="preserve"> 27.1.1995 “</w:t>
            </w:r>
            <w:r w:rsidRPr="00AF1FE3">
              <w:rPr>
                <w:rFonts w:ascii="Times New Roman" w:hAnsi="Times New Roman"/>
                <w:i/>
                <w:spacing w:val="-2"/>
                <w:sz w:val="20"/>
                <w:lang w:val="sq-AL" w:eastAsia="sq-AL"/>
              </w:rPr>
              <w:t>Kodi Penal i Republik</w:t>
            </w:r>
            <w:r w:rsidR="00B35CE4" w:rsidRPr="00AF1FE3">
              <w:rPr>
                <w:rFonts w:ascii="Times New Roman" w:hAnsi="Times New Roman"/>
                <w:i/>
                <w:spacing w:val="-2"/>
                <w:sz w:val="20"/>
                <w:lang w:val="sq-AL" w:eastAsia="sq-AL"/>
              </w:rPr>
              <w:t>ë</w:t>
            </w:r>
            <w:r w:rsidRPr="00AF1FE3">
              <w:rPr>
                <w:rFonts w:ascii="Times New Roman" w:hAnsi="Times New Roman"/>
                <w:i/>
                <w:spacing w:val="-2"/>
                <w:sz w:val="20"/>
                <w:lang w:val="sq-AL" w:eastAsia="sq-AL"/>
              </w:rPr>
              <w:t>s s</w:t>
            </w:r>
            <w:r w:rsidR="00B35CE4" w:rsidRPr="00AF1FE3">
              <w:rPr>
                <w:rFonts w:ascii="Times New Roman" w:hAnsi="Times New Roman"/>
                <w:i/>
                <w:spacing w:val="-2"/>
                <w:sz w:val="20"/>
                <w:lang w:val="sq-AL" w:eastAsia="sq-AL"/>
              </w:rPr>
              <w:t>ë</w:t>
            </w:r>
            <w:r w:rsidRPr="00AF1FE3">
              <w:rPr>
                <w:rFonts w:ascii="Times New Roman" w:hAnsi="Times New Roman"/>
                <w:i/>
                <w:spacing w:val="-2"/>
                <w:sz w:val="20"/>
                <w:lang w:val="sq-AL" w:eastAsia="sq-AL"/>
              </w:rPr>
              <w:t xml:space="preserve"> Shqip</w:t>
            </w:r>
            <w:r w:rsidR="00B35CE4" w:rsidRPr="00AF1FE3">
              <w:rPr>
                <w:rFonts w:ascii="Times New Roman" w:hAnsi="Times New Roman"/>
                <w:i/>
                <w:spacing w:val="-2"/>
                <w:sz w:val="20"/>
                <w:lang w:val="sq-AL" w:eastAsia="sq-AL"/>
              </w:rPr>
              <w:t>ë</w:t>
            </w:r>
            <w:r w:rsidRPr="00AF1FE3">
              <w:rPr>
                <w:rFonts w:ascii="Times New Roman" w:hAnsi="Times New Roman"/>
                <w:i/>
                <w:spacing w:val="-2"/>
                <w:sz w:val="20"/>
                <w:lang w:val="sq-AL" w:eastAsia="sq-AL"/>
              </w:rPr>
              <w:t>ris</w:t>
            </w:r>
            <w:r w:rsidR="00B35CE4" w:rsidRPr="00AF1FE3">
              <w:rPr>
                <w:rFonts w:ascii="Times New Roman" w:hAnsi="Times New Roman"/>
                <w:i/>
                <w:spacing w:val="-2"/>
                <w:sz w:val="20"/>
                <w:lang w:val="sq-AL" w:eastAsia="sq-AL"/>
              </w:rPr>
              <w:t>ë</w:t>
            </w:r>
            <w:r w:rsidRPr="00AF1FE3">
              <w:rPr>
                <w:rFonts w:ascii="Times New Roman" w:hAnsi="Times New Roman"/>
                <w:spacing w:val="-2"/>
                <w:sz w:val="20"/>
                <w:lang w:val="sq-AL" w:eastAsia="sq-AL"/>
              </w:rPr>
              <w:t>”, i ndryshuar, n</w:t>
            </w:r>
            <w:r w:rsidR="00B35CE4" w:rsidRPr="00AF1FE3">
              <w:rPr>
                <w:rFonts w:ascii="Times New Roman" w:hAnsi="Times New Roman"/>
                <w:spacing w:val="-2"/>
                <w:sz w:val="20"/>
                <w:lang w:val="sq-AL" w:eastAsia="sq-AL"/>
              </w:rPr>
              <w:t>ë</w:t>
            </w:r>
            <w:r w:rsidRPr="00AF1FE3">
              <w:rPr>
                <w:rFonts w:ascii="Times New Roman" w:hAnsi="Times New Roman"/>
                <w:spacing w:val="-2"/>
                <w:sz w:val="20"/>
                <w:lang w:val="sq-AL" w:eastAsia="sq-AL"/>
              </w:rPr>
              <w:t xml:space="preserve"> t</w:t>
            </w:r>
            <w:r w:rsidR="00B35CE4" w:rsidRPr="00AF1FE3">
              <w:rPr>
                <w:rFonts w:ascii="Times New Roman" w:hAnsi="Times New Roman"/>
                <w:spacing w:val="-2"/>
                <w:sz w:val="20"/>
                <w:lang w:val="sq-AL" w:eastAsia="sq-AL"/>
              </w:rPr>
              <w:t>ë</w:t>
            </w:r>
            <w:r w:rsidRPr="00AF1FE3">
              <w:rPr>
                <w:rFonts w:ascii="Times New Roman" w:hAnsi="Times New Roman"/>
                <w:spacing w:val="-2"/>
                <w:sz w:val="20"/>
                <w:lang w:val="sq-AL" w:eastAsia="sq-AL"/>
              </w:rPr>
              <w:t xml:space="preserve"> cilin referon direktiva, n</w:t>
            </w:r>
            <w:r w:rsidR="00B35CE4" w:rsidRPr="00AF1FE3">
              <w:rPr>
                <w:rFonts w:ascii="Times New Roman" w:hAnsi="Times New Roman"/>
                <w:spacing w:val="-2"/>
                <w:sz w:val="20"/>
                <w:lang w:val="sq-AL" w:eastAsia="sq-AL"/>
              </w:rPr>
              <w:t>ë</w:t>
            </w:r>
            <w:r w:rsidRPr="00AF1FE3">
              <w:rPr>
                <w:rFonts w:ascii="Times New Roman" w:hAnsi="Times New Roman"/>
                <w:spacing w:val="-2"/>
                <w:sz w:val="20"/>
                <w:lang w:val="sq-AL" w:eastAsia="sq-AL"/>
              </w:rPr>
              <w:t xml:space="preserve"> nenin 66 t</w:t>
            </w:r>
            <w:r w:rsidR="00B35CE4" w:rsidRPr="00AF1FE3">
              <w:rPr>
                <w:rFonts w:ascii="Times New Roman" w:hAnsi="Times New Roman"/>
                <w:spacing w:val="-2"/>
                <w:sz w:val="20"/>
                <w:lang w:val="sq-AL" w:eastAsia="sq-AL"/>
              </w:rPr>
              <w:t>ë</w:t>
            </w:r>
            <w:r w:rsidRPr="00AF1FE3">
              <w:rPr>
                <w:rFonts w:ascii="Times New Roman" w:hAnsi="Times New Roman"/>
                <w:spacing w:val="-2"/>
                <w:sz w:val="20"/>
                <w:lang w:val="sq-AL" w:eastAsia="sq-AL"/>
              </w:rPr>
              <w:t xml:space="preserve"> tij, n</w:t>
            </w:r>
            <w:r w:rsidR="00B35CE4" w:rsidRPr="00AF1FE3">
              <w:rPr>
                <w:rFonts w:ascii="Times New Roman" w:hAnsi="Times New Roman"/>
                <w:spacing w:val="-2"/>
                <w:sz w:val="20"/>
                <w:lang w:val="sq-AL" w:eastAsia="sq-AL"/>
              </w:rPr>
              <w:t>ë</w:t>
            </w:r>
            <w:r w:rsidRPr="00AF1FE3">
              <w:rPr>
                <w:rFonts w:ascii="Times New Roman" w:hAnsi="Times New Roman"/>
                <w:spacing w:val="-2"/>
                <w:sz w:val="20"/>
                <w:lang w:val="sq-AL" w:eastAsia="sq-AL"/>
              </w:rPr>
              <w:t xml:space="preserve"> pik</w:t>
            </w:r>
            <w:r w:rsidR="00B35CE4" w:rsidRPr="00AF1FE3">
              <w:rPr>
                <w:rFonts w:ascii="Times New Roman" w:hAnsi="Times New Roman"/>
                <w:spacing w:val="-2"/>
                <w:sz w:val="20"/>
                <w:lang w:val="sq-AL" w:eastAsia="sq-AL"/>
              </w:rPr>
              <w:t>ë</w:t>
            </w:r>
            <w:r w:rsidRPr="00AF1FE3">
              <w:rPr>
                <w:rFonts w:ascii="Times New Roman" w:hAnsi="Times New Roman"/>
                <w:spacing w:val="-2"/>
                <w:sz w:val="20"/>
                <w:lang w:val="sq-AL" w:eastAsia="sq-AL"/>
              </w:rPr>
              <w:t>n a) parashikon q</w:t>
            </w:r>
            <w:r w:rsidR="00B35CE4" w:rsidRPr="00AF1FE3">
              <w:rPr>
                <w:rFonts w:ascii="Times New Roman" w:hAnsi="Times New Roman"/>
                <w:spacing w:val="-2"/>
                <w:sz w:val="20"/>
                <w:lang w:val="sq-AL" w:eastAsia="sq-AL"/>
              </w:rPr>
              <w:t>ë</w:t>
            </w:r>
            <w:r w:rsidRPr="00AF1FE3">
              <w:rPr>
                <w:rFonts w:ascii="Times New Roman" w:hAnsi="Times New Roman"/>
                <w:spacing w:val="-2"/>
                <w:sz w:val="20"/>
                <w:lang w:val="sq-AL" w:eastAsia="sq-AL"/>
              </w:rPr>
              <w:t xml:space="preserve"> </w:t>
            </w:r>
            <w:r w:rsidRPr="00AF1FE3">
              <w:rPr>
                <w:rFonts w:ascii="Times New Roman" w:hAnsi="Times New Roman"/>
                <w:spacing w:val="-2"/>
                <w:sz w:val="20"/>
                <w:shd w:val="clear" w:color="auto" w:fill="FFFFFF"/>
                <w:lang w:val="sq-AL"/>
              </w:rPr>
              <w:t>nuk mund t</w:t>
            </w:r>
            <w:r w:rsidR="00B35CE4" w:rsidRPr="00AF1FE3">
              <w:rPr>
                <w:rFonts w:ascii="Times New Roman" w:hAnsi="Times New Roman"/>
                <w:spacing w:val="-2"/>
                <w:sz w:val="20"/>
                <w:shd w:val="clear" w:color="auto" w:fill="FFFFFF"/>
                <w:lang w:val="sq-AL"/>
              </w:rPr>
              <w:t>ë</w:t>
            </w:r>
            <w:r w:rsidRPr="00AF1FE3">
              <w:rPr>
                <w:rFonts w:ascii="Times New Roman" w:hAnsi="Times New Roman"/>
                <w:spacing w:val="-2"/>
                <w:sz w:val="20"/>
                <w:shd w:val="clear" w:color="auto" w:fill="FFFFFF"/>
                <w:lang w:val="sq-AL"/>
              </w:rPr>
              <w:t xml:space="preserve"> filloj</w:t>
            </w:r>
            <w:r w:rsidR="00B35CE4" w:rsidRPr="00AF1FE3">
              <w:rPr>
                <w:rFonts w:ascii="Times New Roman" w:hAnsi="Times New Roman"/>
                <w:spacing w:val="-2"/>
                <w:sz w:val="20"/>
                <w:shd w:val="clear" w:color="auto" w:fill="FFFFFF"/>
                <w:lang w:val="sq-AL"/>
              </w:rPr>
              <w:t>ë</w:t>
            </w:r>
            <w:r w:rsidRPr="00AF1FE3">
              <w:rPr>
                <w:rFonts w:ascii="Times New Roman" w:hAnsi="Times New Roman"/>
                <w:spacing w:val="-2"/>
                <w:sz w:val="20"/>
                <w:shd w:val="clear" w:color="auto" w:fill="FFFFFF"/>
                <w:lang w:val="sq-AL"/>
              </w:rPr>
              <w:t xml:space="preserve"> ndjekje penale kur nga kryerja e vepr</w:t>
            </w:r>
            <w:r w:rsidR="00B35CE4" w:rsidRPr="00AF1FE3">
              <w:rPr>
                <w:rFonts w:ascii="Times New Roman" w:hAnsi="Times New Roman"/>
                <w:spacing w:val="-2"/>
                <w:sz w:val="20"/>
                <w:shd w:val="clear" w:color="auto" w:fill="FFFFFF"/>
                <w:lang w:val="sq-AL"/>
              </w:rPr>
              <w:t>ë</w:t>
            </w:r>
            <w:r w:rsidRPr="00AF1FE3">
              <w:rPr>
                <w:rFonts w:ascii="Times New Roman" w:hAnsi="Times New Roman"/>
                <w:spacing w:val="-2"/>
                <w:sz w:val="20"/>
                <w:shd w:val="clear" w:color="auto" w:fill="FFFFFF"/>
                <w:lang w:val="sq-AL"/>
              </w:rPr>
              <w:t>s d</w:t>
            </w:r>
            <w:r w:rsidRPr="00AF1FE3">
              <w:rPr>
                <w:rFonts w:ascii="Times New Roman" w:hAnsi="Times New Roman"/>
                <w:spacing w:val="-2"/>
                <w:sz w:val="20"/>
                <w:lang w:val="sq-AL" w:eastAsia="sq-AL"/>
              </w:rPr>
              <w:t>eri n</w:t>
            </w:r>
            <w:r w:rsidR="00B35CE4" w:rsidRPr="00AF1FE3">
              <w:rPr>
                <w:rFonts w:ascii="Times New Roman" w:hAnsi="Times New Roman"/>
                <w:spacing w:val="-2"/>
                <w:sz w:val="20"/>
                <w:lang w:val="sq-AL" w:eastAsia="sq-AL"/>
              </w:rPr>
              <w:t>ë</w:t>
            </w:r>
            <w:r w:rsidRPr="00AF1FE3">
              <w:rPr>
                <w:rFonts w:ascii="Times New Roman" w:hAnsi="Times New Roman"/>
                <w:spacing w:val="-2"/>
                <w:sz w:val="20"/>
                <w:lang w:val="sq-AL" w:eastAsia="sq-AL"/>
              </w:rPr>
              <w:t xml:space="preserve"> çastin e marrjes s</w:t>
            </w:r>
            <w:r w:rsidR="00B35CE4" w:rsidRPr="00AF1FE3">
              <w:rPr>
                <w:rFonts w:ascii="Times New Roman" w:hAnsi="Times New Roman"/>
                <w:spacing w:val="-2"/>
                <w:sz w:val="20"/>
                <w:lang w:val="sq-AL" w:eastAsia="sq-AL"/>
              </w:rPr>
              <w:t>ë</w:t>
            </w:r>
            <w:r w:rsidRPr="00AF1FE3">
              <w:rPr>
                <w:rFonts w:ascii="Times New Roman" w:hAnsi="Times New Roman"/>
                <w:spacing w:val="-2"/>
                <w:sz w:val="20"/>
                <w:lang w:val="sq-AL" w:eastAsia="sq-AL"/>
              </w:rPr>
              <w:t xml:space="preserve"> personit si t</w:t>
            </w:r>
            <w:r w:rsidR="00B35CE4" w:rsidRPr="00AF1FE3">
              <w:rPr>
                <w:rFonts w:ascii="Times New Roman" w:hAnsi="Times New Roman"/>
                <w:spacing w:val="-2"/>
                <w:sz w:val="20"/>
                <w:lang w:val="sq-AL" w:eastAsia="sq-AL"/>
              </w:rPr>
              <w:t>ë</w:t>
            </w:r>
            <w:r w:rsidRPr="00AF1FE3">
              <w:rPr>
                <w:rFonts w:ascii="Times New Roman" w:hAnsi="Times New Roman"/>
                <w:spacing w:val="-2"/>
                <w:sz w:val="20"/>
                <w:lang w:val="sq-AL" w:eastAsia="sq-AL"/>
              </w:rPr>
              <w:t xml:space="preserve"> pandehur kan</w:t>
            </w:r>
            <w:r w:rsidR="00B35CE4" w:rsidRPr="00AF1FE3">
              <w:rPr>
                <w:rFonts w:ascii="Times New Roman" w:hAnsi="Times New Roman"/>
                <w:spacing w:val="-2"/>
                <w:sz w:val="20"/>
                <w:lang w:val="sq-AL" w:eastAsia="sq-AL"/>
              </w:rPr>
              <w:t>ë</w:t>
            </w:r>
            <w:r w:rsidRPr="00AF1FE3">
              <w:rPr>
                <w:rFonts w:ascii="Times New Roman" w:hAnsi="Times New Roman"/>
                <w:spacing w:val="-2"/>
                <w:sz w:val="20"/>
                <w:lang w:val="sq-AL" w:eastAsia="sq-AL"/>
              </w:rPr>
              <w:t xml:space="preserve"> kaluar d</w:t>
            </w:r>
            <w:r w:rsidRPr="00AF1FE3">
              <w:rPr>
                <w:rFonts w:ascii="Times New Roman" w:hAnsi="Times New Roman"/>
                <w:spacing w:val="-2"/>
                <w:sz w:val="20"/>
                <w:shd w:val="clear" w:color="auto" w:fill="FFFFFF"/>
                <w:lang w:val="sq-AL"/>
              </w:rPr>
              <w:t>yzet vjet n</w:t>
            </w:r>
            <w:r w:rsidR="00B35CE4" w:rsidRPr="00AF1FE3">
              <w:rPr>
                <w:rFonts w:ascii="Times New Roman" w:hAnsi="Times New Roman"/>
                <w:spacing w:val="-2"/>
                <w:sz w:val="20"/>
                <w:shd w:val="clear" w:color="auto" w:fill="FFFFFF"/>
                <w:lang w:val="sq-AL"/>
              </w:rPr>
              <w:t>ë</w:t>
            </w:r>
            <w:r w:rsidRPr="00AF1FE3">
              <w:rPr>
                <w:rFonts w:ascii="Times New Roman" w:hAnsi="Times New Roman"/>
                <w:spacing w:val="-2"/>
                <w:sz w:val="20"/>
                <w:shd w:val="clear" w:color="auto" w:fill="FFFFFF"/>
                <w:lang w:val="sq-AL"/>
              </w:rPr>
              <w:t xml:space="preserve"> rastin e krimeve q</w:t>
            </w:r>
            <w:r w:rsidR="00B35CE4" w:rsidRPr="00AF1FE3">
              <w:rPr>
                <w:rFonts w:ascii="Times New Roman" w:hAnsi="Times New Roman"/>
                <w:spacing w:val="-2"/>
                <w:sz w:val="20"/>
                <w:shd w:val="clear" w:color="auto" w:fill="FFFFFF"/>
                <w:lang w:val="sq-AL"/>
              </w:rPr>
              <w:t>ë</w:t>
            </w:r>
            <w:r w:rsidRPr="00AF1FE3">
              <w:rPr>
                <w:rFonts w:ascii="Times New Roman" w:hAnsi="Times New Roman"/>
                <w:spacing w:val="-2"/>
                <w:sz w:val="20"/>
                <w:shd w:val="clear" w:color="auto" w:fill="FFFFFF"/>
                <w:lang w:val="sq-AL"/>
              </w:rPr>
              <w:t xml:space="preserve"> parashikojn</w:t>
            </w:r>
            <w:r w:rsidR="00B35CE4" w:rsidRPr="00AF1FE3">
              <w:rPr>
                <w:rFonts w:ascii="Times New Roman" w:hAnsi="Times New Roman"/>
                <w:spacing w:val="-2"/>
                <w:sz w:val="20"/>
                <w:shd w:val="clear" w:color="auto" w:fill="FFFFFF"/>
                <w:lang w:val="sq-AL"/>
              </w:rPr>
              <w:t>ë</w:t>
            </w:r>
            <w:r w:rsidRPr="00AF1FE3">
              <w:rPr>
                <w:rFonts w:ascii="Times New Roman" w:hAnsi="Times New Roman"/>
                <w:spacing w:val="-2"/>
                <w:sz w:val="20"/>
                <w:shd w:val="clear" w:color="auto" w:fill="FFFFFF"/>
                <w:lang w:val="sq-AL"/>
              </w:rPr>
              <w:t xml:space="preserve"> d</w:t>
            </w:r>
            <w:r w:rsidR="00B35CE4" w:rsidRPr="00AF1FE3">
              <w:rPr>
                <w:rFonts w:ascii="Times New Roman" w:hAnsi="Times New Roman"/>
                <w:spacing w:val="-2"/>
                <w:sz w:val="20"/>
                <w:shd w:val="clear" w:color="auto" w:fill="FFFFFF"/>
                <w:lang w:val="sq-AL"/>
              </w:rPr>
              <w:t>ë</w:t>
            </w:r>
            <w:r w:rsidRPr="00AF1FE3">
              <w:rPr>
                <w:rFonts w:ascii="Times New Roman" w:hAnsi="Times New Roman"/>
                <w:spacing w:val="-2"/>
                <w:sz w:val="20"/>
                <w:shd w:val="clear" w:color="auto" w:fill="FFFFFF"/>
                <w:lang w:val="sq-AL"/>
              </w:rPr>
              <w:t>nim me burgim t</w:t>
            </w:r>
            <w:r w:rsidR="00B35CE4" w:rsidRPr="00AF1FE3">
              <w:rPr>
                <w:rFonts w:ascii="Times New Roman" w:hAnsi="Times New Roman"/>
                <w:spacing w:val="-2"/>
                <w:sz w:val="20"/>
                <w:shd w:val="clear" w:color="auto" w:fill="FFFFFF"/>
                <w:lang w:val="sq-AL"/>
              </w:rPr>
              <w:t>ë</w:t>
            </w:r>
            <w:r w:rsidRPr="00AF1FE3">
              <w:rPr>
                <w:rFonts w:ascii="Times New Roman" w:hAnsi="Times New Roman"/>
                <w:spacing w:val="-2"/>
                <w:sz w:val="20"/>
                <w:shd w:val="clear" w:color="auto" w:fill="FFFFFF"/>
                <w:lang w:val="sq-AL"/>
              </w:rPr>
              <w:t xml:space="preserve"> p</w:t>
            </w:r>
            <w:r w:rsidR="00B35CE4" w:rsidRPr="00AF1FE3">
              <w:rPr>
                <w:rFonts w:ascii="Times New Roman" w:hAnsi="Times New Roman"/>
                <w:spacing w:val="-2"/>
                <w:sz w:val="20"/>
                <w:shd w:val="clear" w:color="auto" w:fill="FFFFFF"/>
                <w:lang w:val="sq-AL"/>
              </w:rPr>
              <w:t>ë</w:t>
            </w:r>
            <w:r w:rsidRPr="00AF1FE3">
              <w:rPr>
                <w:rFonts w:ascii="Times New Roman" w:hAnsi="Times New Roman"/>
                <w:spacing w:val="-2"/>
                <w:sz w:val="20"/>
                <w:shd w:val="clear" w:color="auto" w:fill="FFFFFF"/>
                <w:lang w:val="sq-AL"/>
              </w:rPr>
              <w:t>rjetsh</w:t>
            </w:r>
            <w:r w:rsidR="00B35CE4" w:rsidRPr="00AF1FE3">
              <w:rPr>
                <w:rFonts w:ascii="Times New Roman" w:hAnsi="Times New Roman"/>
                <w:spacing w:val="-2"/>
                <w:sz w:val="20"/>
                <w:shd w:val="clear" w:color="auto" w:fill="FFFFFF"/>
                <w:lang w:val="sq-AL"/>
              </w:rPr>
              <w:t>ë</w:t>
            </w:r>
            <w:r w:rsidRPr="00AF1FE3">
              <w:rPr>
                <w:rFonts w:ascii="Times New Roman" w:hAnsi="Times New Roman"/>
                <w:spacing w:val="-2"/>
                <w:sz w:val="20"/>
                <w:shd w:val="clear" w:color="auto" w:fill="FFFFFF"/>
                <w:lang w:val="sq-AL"/>
              </w:rPr>
              <w:t>m</w:t>
            </w:r>
            <w:r w:rsidRPr="00AF1FE3">
              <w:rPr>
                <w:rFonts w:ascii="Times New Roman" w:hAnsi="Times New Roman"/>
                <w:spacing w:val="-2"/>
                <w:sz w:val="20"/>
                <w:lang w:val="sq-AL" w:eastAsia="sq-AL"/>
              </w:rPr>
              <w:t>. Vepra penale “</w:t>
            </w:r>
            <w:r w:rsidRPr="00AF1FE3">
              <w:rPr>
                <w:rFonts w:ascii="Times New Roman" w:hAnsi="Times New Roman"/>
                <w:i/>
                <w:spacing w:val="-2"/>
                <w:sz w:val="20"/>
                <w:lang w:val="sq-AL" w:eastAsia="sq-AL"/>
              </w:rPr>
              <w:t>financim i terrorizmit</w:t>
            </w:r>
            <w:r w:rsidRPr="00AF1FE3">
              <w:rPr>
                <w:rFonts w:ascii="Times New Roman" w:hAnsi="Times New Roman"/>
                <w:spacing w:val="-2"/>
                <w:sz w:val="20"/>
                <w:lang w:val="sq-AL" w:eastAsia="sq-AL"/>
              </w:rPr>
              <w:t>”  i parashikuar n</w:t>
            </w:r>
            <w:r w:rsidR="00B35CE4" w:rsidRPr="00AF1FE3">
              <w:rPr>
                <w:rFonts w:ascii="Times New Roman" w:hAnsi="Times New Roman"/>
                <w:spacing w:val="-2"/>
                <w:sz w:val="20"/>
                <w:lang w:val="sq-AL" w:eastAsia="sq-AL"/>
              </w:rPr>
              <w:t>ë</w:t>
            </w:r>
            <w:r w:rsidRPr="00AF1FE3">
              <w:rPr>
                <w:rFonts w:ascii="Times New Roman" w:hAnsi="Times New Roman"/>
                <w:spacing w:val="-2"/>
                <w:sz w:val="20"/>
                <w:lang w:val="sq-AL" w:eastAsia="sq-AL"/>
              </w:rPr>
              <w:t xml:space="preserve"> nenin 230/a t</w:t>
            </w:r>
            <w:r w:rsidR="00B35CE4" w:rsidRPr="00AF1FE3">
              <w:rPr>
                <w:rFonts w:ascii="Times New Roman" w:hAnsi="Times New Roman"/>
                <w:spacing w:val="-2"/>
                <w:sz w:val="20"/>
                <w:lang w:val="sq-AL" w:eastAsia="sq-AL"/>
              </w:rPr>
              <w:t>ë</w:t>
            </w:r>
            <w:r w:rsidRPr="00AF1FE3">
              <w:rPr>
                <w:rFonts w:ascii="Times New Roman" w:hAnsi="Times New Roman"/>
                <w:spacing w:val="-2"/>
                <w:sz w:val="20"/>
                <w:lang w:val="sq-AL" w:eastAsia="sq-AL"/>
              </w:rPr>
              <w:t xml:space="preserve"> Kodit Penal, d</w:t>
            </w:r>
            <w:r w:rsidR="00B35CE4" w:rsidRPr="00AF1FE3">
              <w:rPr>
                <w:rFonts w:ascii="Times New Roman" w:hAnsi="Times New Roman"/>
                <w:spacing w:val="-2"/>
                <w:sz w:val="20"/>
                <w:lang w:val="sq-AL" w:eastAsia="sq-AL"/>
              </w:rPr>
              <w:t>ë</w:t>
            </w:r>
            <w:r w:rsidRPr="00AF1FE3">
              <w:rPr>
                <w:rFonts w:ascii="Times New Roman" w:hAnsi="Times New Roman"/>
                <w:spacing w:val="-2"/>
                <w:sz w:val="20"/>
                <w:lang w:val="sq-AL" w:eastAsia="sq-AL"/>
              </w:rPr>
              <w:t>nohet edhe me burgim t</w:t>
            </w:r>
            <w:r w:rsidR="00B35CE4" w:rsidRPr="00AF1FE3">
              <w:rPr>
                <w:rFonts w:ascii="Times New Roman" w:hAnsi="Times New Roman"/>
                <w:spacing w:val="-2"/>
                <w:sz w:val="20"/>
                <w:lang w:val="sq-AL" w:eastAsia="sq-AL"/>
              </w:rPr>
              <w:t>ë</w:t>
            </w:r>
            <w:r w:rsidRPr="00AF1FE3">
              <w:rPr>
                <w:rFonts w:ascii="Times New Roman" w:hAnsi="Times New Roman"/>
                <w:spacing w:val="-2"/>
                <w:sz w:val="20"/>
                <w:lang w:val="sq-AL" w:eastAsia="sq-AL"/>
              </w:rPr>
              <w:t xml:space="preserve"> p</w:t>
            </w:r>
            <w:r w:rsidR="00B35CE4" w:rsidRPr="00AF1FE3">
              <w:rPr>
                <w:rFonts w:ascii="Times New Roman" w:hAnsi="Times New Roman"/>
                <w:spacing w:val="-2"/>
                <w:sz w:val="20"/>
                <w:lang w:val="sq-AL" w:eastAsia="sq-AL"/>
              </w:rPr>
              <w:t>ë</w:t>
            </w:r>
            <w:r w:rsidRPr="00AF1FE3">
              <w:rPr>
                <w:rFonts w:ascii="Times New Roman" w:hAnsi="Times New Roman"/>
                <w:spacing w:val="-2"/>
                <w:sz w:val="20"/>
                <w:lang w:val="sq-AL" w:eastAsia="sq-AL"/>
              </w:rPr>
              <w:t>rjetsh</w:t>
            </w:r>
            <w:r w:rsidR="00B35CE4" w:rsidRPr="00AF1FE3">
              <w:rPr>
                <w:rFonts w:ascii="Times New Roman" w:hAnsi="Times New Roman"/>
                <w:spacing w:val="-2"/>
                <w:sz w:val="20"/>
                <w:lang w:val="sq-AL" w:eastAsia="sq-AL"/>
              </w:rPr>
              <w:t>ë</w:t>
            </w:r>
            <w:r w:rsidRPr="00AF1FE3">
              <w:rPr>
                <w:rFonts w:ascii="Times New Roman" w:hAnsi="Times New Roman"/>
                <w:spacing w:val="-2"/>
                <w:sz w:val="20"/>
                <w:lang w:val="sq-AL" w:eastAsia="sq-AL"/>
              </w:rPr>
              <w:t xml:space="preserve">m. </w:t>
            </w:r>
          </w:p>
          <w:p w:rsidR="0017562E" w:rsidRPr="00AF1FE3" w:rsidRDefault="0017562E" w:rsidP="0017562E">
            <w:pPr>
              <w:shd w:val="clear" w:color="auto" w:fill="FFFFFF"/>
              <w:ind w:left="720"/>
              <w:jc w:val="both"/>
              <w:rPr>
                <w:rFonts w:ascii="Times New Roman" w:hAnsi="Times New Roman"/>
                <w:sz w:val="20"/>
                <w:lang w:val="sq-AL"/>
              </w:rPr>
            </w:pPr>
          </w:p>
        </w:tc>
      </w:tr>
      <w:tr w:rsidR="0017562E" w:rsidRPr="00AF1FE3" w:rsidTr="0017562E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bCs/>
                <w:i/>
                <w:color w:val="000000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Neni 22/2 i shtuar </w:t>
            </w:r>
            <w:r w:rsidR="000A636C" w:rsidRPr="00AF1FE3">
              <w:rPr>
                <w:rFonts w:ascii="Times New Roman" w:hAnsi="Times New Roman"/>
                <w:sz w:val="20"/>
                <w:lang w:val="sq-AL" w:eastAsia="bg-BG"/>
              </w:rPr>
              <w:t>rishtazi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me an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t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projektligjit, I cili parashikon </w:t>
            </w:r>
            <w:r w:rsidRPr="00AF1FE3">
              <w:rPr>
                <w:rFonts w:ascii="Times New Roman" w:hAnsi="Times New Roman"/>
                <w:bCs/>
                <w:i/>
                <w:color w:val="000000"/>
                <w:sz w:val="20"/>
                <w:lang w:val="sq-AL"/>
              </w:rPr>
              <w:lastRenderedPageBreak/>
              <w:t>detyrime t</w:t>
            </w:r>
            <w:r w:rsidR="00B35CE4" w:rsidRPr="00AF1FE3">
              <w:rPr>
                <w:rFonts w:ascii="Times New Roman" w:hAnsi="Times New Roman"/>
                <w:bCs/>
                <w:i/>
                <w:color w:val="000000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bCs/>
                <w:i/>
                <w:color w:val="000000"/>
                <w:sz w:val="20"/>
                <w:lang w:val="sq-AL"/>
              </w:rPr>
              <w:t xml:space="preserve">  operator</w:t>
            </w:r>
            <w:r w:rsidR="00B35CE4" w:rsidRPr="00AF1FE3">
              <w:rPr>
                <w:rFonts w:ascii="Times New Roman" w:hAnsi="Times New Roman"/>
                <w:bCs/>
                <w:i/>
                <w:color w:val="000000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bCs/>
                <w:i/>
                <w:color w:val="000000"/>
                <w:sz w:val="20"/>
                <w:lang w:val="sq-AL"/>
              </w:rPr>
              <w:t>ve q</w:t>
            </w:r>
            <w:r w:rsidR="00B35CE4" w:rsidRPr="00AF1FE3">
              <w:rPr>
                <w:rFonts w:ascii="Times New Roman" w:hAnsi="Times New Roman"/>
                <w:bCs/>
                <w:i/>
                <w:color w:val="000000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bCs/>
                <w:i/>
                <w:color w:val="000000"/>
                <w:sz w:val="20"/>
                <w:lang w:val="sq-AL"/>
              </w:rPr>
              <w:t xml:space="preserve"> ushtrojn</w:t>
            </w:r>
            <w:r w:rsidR="00B35CE4" w:rsidRPr="00AF1FE3">
              <w:rPr>
                <w:rFonts w:ascii="Times New Roman" w:hAnsi="Times New Roman"/>
                <w:bCs/>
                <w:i/>
                <w:color w:val="000000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bCs/>
                <w:i/>
                <w:color w:val="000000"/>
                <w:sz w:val="20"/>
                <w:lang w:val="sq-AL"/>
              </w:rPr>
              <w:t xml:space="preserve"> veprimtari n</w:t>
            </w:r>
            <w:r w:rsidR="00B35CE4" w:rsidRPr="00AF1FE3">
              <w:rPr>
                <w:rFonts w:ascii="Times New Roman" w:hAnsi="Times New Roman"/>
                <w:bCs/>
                <w:i/>
                <w:color w:val="000000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bCs/>
                <w:i/>
                <w:color w:val="000000"/>
                <w:sz w:val="20"/>
                <w:lang w:val="sq-AL"/>
              </w:rPr>
              <w:t xml:space="preserve"> fush</w:t>
            </w:r>
            <w:r w:rsidR="00B35CE4" w:rsidRPr="00AF1FE3">
              <w:rPr>
                <w:rFonts w:ascii="Times New Roman" w:hAnsi="Times New Roman"/>
                <w:bCs/>
                <w:i/>
                <w:color w:val="000000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bCs/>
                <w:i/>
                <w:color w:val="000000"/>
                <w:sz w:val="20"/>
                <w:lang w:val="sq-AL"/>
              </w:rPr>
              <w:t>n e komunikimeve elektronike</w:t>
            </w:r>
          </w:p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bCs/>
                <w:i/>
                <w:color w:val="000000"/>
                <w:sz w:val="20"/>
                <w:lang w:val="sq-AL"/>
              </w:rPr>
            </w:pPr>
          </w:p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 w:eastAsia="bg-BG"/>
              </w:rPr>
            </w:pPr>
          </w:p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 w:eastAsia="bg-BG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0A636C">
            <w:pPr>
              <w:pStyle w:val="BodyText"/>
              <w:rPr>
                <w:rFonts w:ascii="Times New Roman" w:hAnsi="Times New Roman"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lastRenderedPageBreak/>
              <w:t>P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rmbajtja e k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tij neni duket e pakuptimt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, pasi operator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t e </w:t>
            </w:r>
            <w:r w:rsidR="000A636C" w:rsidRPr="00AF1FE3">
              <w:rPr>
                <w:rFonts w:ascii="Times New Roman" w:hAnsi="Times New Roman"/>
                <w:iCs/>
                <w:sz w:val="20"/>
                <w:lang w:val="sq-AL"/>
              </w:rPr>
              <w:t>komunikimeve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lastRenderedPageBreak/>
              <w:t>elektronike nuk jan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</w:t>
            </w:r>
            <w:r w:rsidR="000A636C" w:rsidRPr="00AF1FE3">
              <w:rPr>
                <w:rFonts w:ascii="Times New Roman" w:hAnsi="Times New Roman"/>
                <w:iCs/>
                <w:sz w:val="20"/>
                <w:lang w:val="sq-AL"/>
              </w:rPr>
              <w:t>subjekt i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k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tij ligji.</w:t>
            </w:r>
          </w:p>
          <w:p w:rsidR="0017562E" w:rsidRPr="00AF1FE3" w:rsidRDefault="0017562E" w:rsidP="0017562E">
            <w:pPr>
              <w:pStyle w:val="BodyText"/>
              <w:jc w:val="both"/>
              <w:rPr>
                <w:rFonts w:ascii="Times New Roman" w:hAnsi="Times New Roman"/>
                <w:iCs/>
                <w:sz w:val="20"/>
                <w:lang w:val="sq-AL"/>
              </w:rPr>
            </w:pPr>
          </w:p>
          <w:p w:rsidR="0017562E" w:rsidRPr="00AF1FE3" w:rsidRDefault="0017562E" w:rsidP="000A636C">
            <w:pPr>
              <w:pStyle w:val="BodyText"/>
              <w:rPr>
                <w:rFonts w:ascii="Times New Roman" w:hAnsi="Times New Roman"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Sugjerimin nga AKSHI p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r shtimin e dy paragraf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ve t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tjer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n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k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t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ne,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lastRenderedPageBreak/>
              <w:t xml:space="preserve">Ministria e </w:t>
            </w:r>
          </w:p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Drejt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sis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;</w:t>
            </w:r>
          </w:p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AKSHI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21058A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Pranuar, duke hequr 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nen. </w:t>
            </w:r>
          </w:p>
          <w:p w:rsidR="0017562E" w:rsidRPr="00AF1FE3" w:rsidRDefault="0017562E" w:rsidP="0021058A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-Refuzuar komenti I AKSHI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B35CE4">
            <w:pPr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Komenti 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i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AKSHI-t 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sht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refuzuar pasi me sugjerimin e </w:t>
            </w:r>
            <w:r w:rsidR="000A636C" w:rsidRPr="00AF1FE3">
              <w:rPr>
                <w:rFonts w:ascii="Times New Roman" w:hAnsi="Times New Roman"/>
                <w:sz w:val="20"/>
                <w:lang w:val="sq-AL"/>
              </w:rPr>
              <w:t>Ministris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lastRenderedPageBreak/>
              <w:t>Drejt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sis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ky nen u hoq. </w:t>
            </w:r>
          </w:p>
        </w:tc>
      </w:tr>
      <w:tr w:rsidR="0017562E" w:rsidRPr="00AF1FE3" w:rsidTr="0017562E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 w:eastAsia="bg-BG"/>
              </w:rPr>
            </w:pPr>
            <w:r w:rsidRPr="00AF1FE3">
              <w:rPr>
                <w:rFonts w:ascii="Times New Roman" w:hAnsi="Times New Roman"/>
                <w:sz w:val="20"/>
                <w:lang w:val="sq-AL" w:eastAsia="bg-BG"/>
              </w:rPr>
              <w:lastRenderedPageBreak/>
              <w:t>Shkronja “e” e shtuar n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nenin 27 t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ligjit.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4D418C">
            <w:pPr>
              <w:pStyle w:val="BodyText"/>
              <w:rPr>
                <w:rFonts w:ascii="Times New Roman" w:hAnsi="Times New Roman"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Formulimi “p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r shkeljet e detyrimeve t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k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tij ligji q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jan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serioze” l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vend p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r interpretim dhe e b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n norm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="004D418C" w:rsidRPr="00AF1FE3">
              <w:rPr>
                <w:rFonts w:ascii="Times New Roman" w:hAnsi="Times New Roman"/>
                <w:iCs/>
                <w:sz w:val="20"/>
                <w:lang w:val="sq-AL"/>
              </w:rPr>
              <w:t>n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t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paqart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.</w:t>
            </w:r>
          </w:p>
          <w:p w:rsidR="0017562E" w:rsidRPr="00AF1FE3" w:rsidRDefault="004D418C" w:rsidP="004D418C">
            <w:pPr>
              <w:pStyle w:val="BodyText"/>
              <w:rPr>
                <w:rFonts w:ascii="Times New Roman" w:hAnsi="Times New Roman"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-niveli i</w:t>
            </w:r>
            <w:r w:rsidR="0017562E"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sanksioneve 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="0017562E" w:rsidRPr="00AF1FE3">
              <w:rPr>
                <w:rFonts w:ascii="Times New Roman" w:hAnsi="Times New Roman"/>
                <w:iCs/>
                <w:sz w:val="20"/>
                <w:lang w:val="sq-AL"/>
              </w:rPr>
              <w:t>sht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="0017562E"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shum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i</w:t>
            </w:r>
            <w:r w:rsidR="0017562E"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lart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="0017562E"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. </w:t>
            </w:r>
          </w:p>
          <w:p w:rsidR="0017562E" w:rsidRPr="00AF1FE3" w:rsidRDefault="0017562E" w:rsidP="0017562E">
            <w:pPr>
              <w:pStyle w:val="BodyText"/>
              <w:jc w:val="both"/>
              <w:rPr>
                <w:rFonts w:ascii="Times New Roman" w:hAnsi="Times New Roman"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-Ndryshimet e propozuara p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rmbajn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rritje ekspancionale t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vlerave.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Ministria e </w:t>
            </w:r>
          </w:p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Drejt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sis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</w:p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-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- Banka e Shqip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ris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;</w:t>
            </w:r>
          </w:p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Shoqata shqiptare e bankave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Pranuar Duke z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vend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suar fjal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n “serioze” me ‘t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r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nda”;</w:t>
            </w:r>
          </w:p>
          <w:p w:rsidR="0017562E" w:rsidRPr="00AF1FE3" w:rsidRDefault="0017562E" w:rsidP="0017562E">
            <w:pPr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Refuzuar </w:t>
            </w:r>
            <w:r w:rsidR="004D418C" w:rsidRPr="00AF1FE3">
              <w:rPr>
                <w:rFonts w:ascii="Times New Roman" w:hAnsi="Times New Roman"/>
                <w:sz w:val="20"/>
                <w:lang w:val="sq-AL"/>
              </w:rPr>
              <w:t>komenti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i BSH </w:t>
            </w:r>
          </w:p>
          <w:p w:rsidR="0017562E" w:rsidRPr="00AF1FE3" w:rsidRDefault="0017562E" w:rsidP="0021058A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4D418C">
            <w:pPr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Shkronja (e) dhe (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), e shtuar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nenin 27,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pik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n 3, pas germ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 (dh),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cilin jan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parashikuar sanksione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 shkelje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dispozitave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ligjit, 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sht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shtuar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rputhje me nenin 59(2)(e) dhe 59 (3)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Direktiv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s. </w:t>
            </w:r>
          </w:p>
          <w:p w:rsidR="0017562E" w:rsidRPr="00AF1FE3" w:rsidRDefault="0017562E" w:rsidP="0017562E">
            <w:pPr>
              <w:jc w:val="both"/>
              <w:rPr>
                <w:rFonts w:ascii="Times New Roman" w:hAnsi="Times New Roman"/>
                <w:sz w:val="20"/>
                <w:lang w:val="sq-AL"/>
              </w:rPr>
            </w:pPr>
          </w:p>
        </w:tc>
      </w:tr>
      <w:tr w:rsidR="0017562E" w:rsidRPr="00AF1FE3" w:rsidTr="0017562E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shtesa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pik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n 3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neni 6/1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ligjit “Mb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shtetja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pal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t e treta’</w:t>
            </w:r>
          </w:p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 w:eastAsia="bg-BG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4D418C" w:rsidP="004D418C">
            <w:pPr>
              <w:pStyle w:val="BodyText"/>
              <w:rPr>
                <w:rFonts w:ascii="Times New Roman" w:hAnsi="Times New Roman"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Komenti i</w:t>
            </w:r>
            <w:r w:rsidR="0017562E"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Ekspertit 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Nd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rkomb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tare</w:t>
            </w:r>
            <w:r w:rsidR="0017562E"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t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="0017562E"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GIZ: t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="0017562E"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parashikohet n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="0017562E"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pik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="0017562E" w:rsidRPr="00AF1FE3">
              <w:rPr>
                <w:rFonts w:ascii="Times New Roman" w:hAnsi="Times New Roman"/>
                <w:iCs/>
                <w:sz w:val="20"/>
                <w:lang w:val="sq-AL"/>
              </w:rPr>
              <w:t>n 3 t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="0017562E"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nenit 6/1 n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="0017562E"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p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="0017562E" w:rsidRPr="00AF1FE3">
              <w:rPr>
                <w:rFonts w:ascii="Times New Roman" w:hAnsi="Times New Roman"/>
                <w:iCs/>
                <w:sz w:val="20"/>
                <w:lang w:val="sq-AL"/>
              </w:rPr>
              <w:t>rputhje me direktiv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="0017562E" w:rsidRPr="00AF1FE3">
              <w:rPr>
                <w:rFonts w:ascii="Times New Roman" w:hAnsi="Times New Roman"/>
                <w:iCs/>
                <w:sz w:val="20"/>
                <w:lang w:val="sq-AL"/>
              </w:rPr>
              <w:t>n sa vijon: “Ndalohet mb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="0017562E" w:rsidRPr="00AF1FE3">
              <w:rPr>
                <w:rFonts w:ascii="Times New Roman" w:hAnsi="Times New Roman"/>
                <w:iCs/>
                <w:sz w:val="20"/>
                <w:lang w:val="sq-AL"/>
              </w:rPr>
              <w:t>shtetja te pal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="0017562E" w:rsidRPr="00AF1FE3">
              <w:rPr>
                <w:rFonts w:ascii="Times New Roman" w:hAnsi="Times New Roman"/>
                <w:iCs/>
                <w:sz w:val="20"/>
                <w:lang w:val="sq-AL"/>
              </w:rPr>
              <w:t>t e treta t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="0017562E"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krijuara n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="0017562E"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vendet me rrezik t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="0017562E"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lart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="0017562E" w:rsidRPr="00AF1FE3">
              <w:rPr>
                <w:rFonts w:ascii="Times New Roman" w:hAnsi="Times New Roman"/>
                <w:iCs/>
                <w:sz w:val="20"/>
                <w:lang w:val="sq-AL"/>
              </w:rPr>
              <w:t>, p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="0017562E" w:rsidRPr="00AF1FE3">
              <w:rPr>
                <w:rFonts w:ascii="Times New Roman" w:hAnsi="Times New Roman"/>
                <w:iCs/>
                <w:sz w:val="20"/>
                <w:lang w:val="sq-AL"/>
              </w:rPr>
              <w:t>rveç n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="0017562E" w:rsidRPr="00AF1FE3">
              <w:rPr>
                <w:rFonts w:ascii="Times New Roman" w:hAnsi="Times New Roman"/>
                <w:iCs/>
                <w:sz w:val="20"/>
                <w:lang w:val="sq-AL"/>
              </w:rPr>
              <w:t>se……”</w:t>
            </w:r>
          </w:p>
          <w:p w:rsidR="0017562E" w:rsidRPr="00AF1FE3" w:rsidRDefault="0017562E" w:rsidP="0017562E">
            <w:pPr>
              <w:pStyle w:val="BodyText"/>
              <w:jc w:val="both"/>
              <w:rPr>
                <w:rFonts w:ascii="Times New Roman" w:hAnsi="Times New Roman"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-Sugjerojm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t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riformulohet pasi 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sht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e paqart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si: “sipas politikave dhe procedurave t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shoq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ris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m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m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t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cilat jan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p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rputhje me me k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t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ligj’;</w:t>
            </w:r>
          </w:p>
          <w:p w:rsidR="0017562E" w:rsidRPr="00AF1FE3" w:rsidRDefault="0017562E" w:rsidP="0017562E">
            <w:pPr>
              <w:pStyle w:val="BodyText"/>
              <w:jc w:val="both"/>
              <w:rPr>
                <w:rFonts w:ascii="Times New Roman" w:hAnsi="Times New Roman"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-</w:t>
            </w:r>
          </w:p>
          <w:p w:rsidR="0017562E" w:rsidRPr="00AF1FE3" w:rsidRDefault="0017562E" w:rsidP="0017562E">
            <w:pPr>
              <w:pStyle w:val="BodyText"/>
              <w:jc w:val="both"/>
              <w:rPr>
                <w:rFonts w:ascii="Times New Roman" w:hAnsi="Times New Roman"/>
                <w:iCs/>
                <w:sz w:val="20"/>
                <w:lang w:val="sq-AL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Komenti I Ekspertit </w:t>
            </w:r>
            <w:r w:rsidR="004D418C" w:rsidRPr="00AF1FE3">
              <w:rPr>
                <w:rFonts w:ascii="Times New Roman" w:hAnsi="Times New Roman"/>
                <w:iCs/>
                <w:sz w:val="20"/>
                <w:lang w:val="sq-AL"/>
              </w:rPr>
              <w:t>Nd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="004D418C" w:rsidRPr="00AF1FE3">
              <w:rPr>
                <w:rFonts w:ascii="Times New Roman" w:hAnsi="Times New Roman"/>
                <w:iCs/>
                <w:sz w:val="20"/>
                <w:lang w:val="sq-AL"/>
              </w:rPr>
              <w:t>rkomb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="004D418C" w:rsidRPr="00AF1FE3">
              <w:rPr>
                <w:rFonts w:ascii="Times New Roman" w:hAnsi="Times New Roman"/>
                <w:iCs/>
                <w:sz w:val="20"/>
                <w:lang w:val="sq-AL"/>
              </w:rPr>
              <w:t>tare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t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GIZ</w:t>
            </w:r>
          </w:p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- Banka e Shqip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ris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;</w:t>
            </w:r>
          </w:p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-Shoqata Shqiptare e Bankave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Pranuar 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Komenti I Ekspertit </w:t>
            </w:r>
            <w:r w:rsidR="004D418C" w:rsidRPr="00AF1FE3">
              <w:rPr>
                <w:rFonts w:ascii="Times New Roman" w:hAnsi="Times New Roman"/>
                <w:iCs/>
                <w:sz w:val="20"/>
                <w:lang w:val="sq-AL"/>
              </w:rPr>
              <w:t>Nd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="004D418C" w:rsidRPr="00AF1FE3">
              <w:rPr>
                <w:rFonts w:ascii="Times New Roman" w:hAnsi="Times New Roman"/>
                <w:iCs/>
                <w:sz w:val="20"/>
                <w:lang w:val="sq-AL"/>
              </w:rPr>
              <w:t>rkomb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="004D418C" w:rsidRPr="00AF1FE3">
              <w:rPr>
                <w:rFonts w:ascii="Times New Roman" w:hAnsi="Times New Roman"/>
                <w:iCs/>
                <w:sz w:val="20"/>
                <w:lang w:val="sq-AL"/>
              </w:rPr>
              <w:t>tare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t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GIZ, duke e parashikuar k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t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 sugjerim. </w:t>
            </w:r>
          </w:p>
          <w:p w:rsidR="0017562E" w:rsidRPr="00AF1FE3" w:rsidRDefault="0017562E" w:rsidP="0017562E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</w:p>
          <w:p w:rsidR="0017562E" w:rsidRPr="00AF1FE3" w:rsidRDefault="0017562E" w:rsidP="0017562E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</w:p>
          <w:p w:rsidR="0017562E" w:rsidRPr="00AF1FE3" w:rsidRDefault="0017562E" w:rsidP="0017562E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</w:p>
          <w:p w:rsidR="0017562E" w:rsidRPr="00AF1FE3" w:rsidRDefault="0017562E" w:rsidP="0017562E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Pranuar komenti I BSH, refuzuar komenti I 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Shoqat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s Shqiptare e Bankave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4D418C">
            <w:pPr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Lidhur me sugjerimin e 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Shoqat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s Shqiptare e Bankave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 parashikimin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projektligj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mb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shtetjes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pal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treta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entitet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cilat jan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specializuara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ofrimin e sh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rbimeve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 aspekte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caktuara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vigjilenc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 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duhur, nuk mb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shtetet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direktiv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dhe as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standardet nd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rkomb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tare; </w:t>
            </w:r>
          </w:p>
          <w:p w:rsidR="0017562E" w:rsidRPr="00AF1FE3" w:rsidRDefault="0017562E" w:rsidP="0017562E">
            <w:pPr>
              <w:jc w:val="both"/>
              <w:rPr>
                <w:rFonts w:ascii="Times New Roman" w:hAnsi="Times New Roman"/>
                <w:sz w:val="20"/>
                <w:lang w:val="sq-AL"/>
              </w:rPr>
            </w:pPr>
          </w:p>
        </w:tc>
      </w:tr>
      <w:tr w:rsidR="0017562E" w:rsidRPr="00AF1FE3" w:rsidTr="0017562E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 w:eastAsia="bg-BG"/>
              </w:rPr>
            </w:pP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ndryshimi i pik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s 1 t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nenit 10 t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ligjit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4D418C">
            <w:pPr>
              <w:pStyle w:val="BodyText"/>
              <w:rPr>
                <w:rFonts w:ascii="Times New Roman" w:hAnsi="Times New Roman"/>
                <w:i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Propozohet 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p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rshtatet n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nj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jt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n m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nyr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sipas ndryshimeve rregullative 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viti 2017 dhe 2019 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rregullores s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Bank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s s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Shqip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ris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nr.44/2009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- Banka e Shqip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ris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21058A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refuzuar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4D418C">
            <w:pPr>
              <w:rPr>
                <w:rFonts w:ascii="Times New Roman" w:hAnsi="Times New Roman"/>
                <w:b/>
                <w:sz w:val="20"/>
                <w:lang w:val="sq-AL" w:eastAsia="bg-BG"/>
              </w:rPr>
            </w:pP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Lidhur me ndryshimin e pik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s 1 t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nenit 10 t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ligjit, p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r t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cil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n 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sht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sugjeruar riformulim, 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sht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n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p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rputhje me Rekomandimin 16 t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FATF, n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p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rputhje me nenin 11 (a-b) t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Direktiv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s dhe me 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lastRenderedPageBreak/>
              <w:t>Rregulloren (BE) 2015/847 “Mbi informacionin q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shoq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ron transferimin e fondeve” dhe gjithashtu ndryshimi i saj 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sht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bazuar edhe ne Rregulloren nr. 44/2009 “P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r parandalimin e pastrimit t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parave dhe financimit t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terrorizmit”.</w:t>
            </w:r>
          </w:p>
          <w:p w:rsidR="0017562E" w:rsidRPr="00AF1FE3" w:rsidRDefault="0017562E" w:rsidP="0017562E">
            <w:pPr>
              <w:jc w:val="both"/>
              <w:rPr>
                <w:rFonts w:ascii="Times New Roman" w:hAnsi="Times New Roman"/>
                <w:sz w:val="20"/>
                <w:lang w:val="sq-AL"/>
              </w:rPr>
            </w:pPr>
          </w:p>
        </w:tc>
      </w:tr>
      <w:tr w:rsidR="0017562E" w:rsidRPr="00AF1FE3" w:rsidTr="0017562E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 w:eastAsia="bg-BG"/>
              </w:rPr>
            </w:pPr>
            <w:r w:rsidRPr="00AF1FE3">
              <w:rPr>
                <w:rFonts w:ascii="Times New Roman" w:hAnsi="Times New Roman"/>
                <w:sz w:val="20"/>
                <w:lang w:val="sq-AL" w:eastAsia="bg-BG"/>
              </w:rPr>
              <w:lastRenderedPageBreak/>
              <w:t>P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rkufizimi i “personit p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rgjegj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s”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CommentText"/>
              <w:rPr>
                <w:rFonts w:ascii="Times New Roman" w:hAnsi="Times New Roman"/>
                <w:lang w:val="sq-AL"/>
              </w:rPr>
            </w:pPr>
            <w:r w:rsidRPr="00AF1FE3">
              <w:rPr>
                <w:rFonts w:ascii="Times New Roman" w:hAnsi="Times New Roman"/>
                <w:lang w:val="sq-AL"/>
              </w:rPr>
              <w:t xml:space="preserve">-Pika 28/1 nuk duket te </w:t>
            </w:r>
            <w:r w:rsidR="004D418C" w:rsidRPr="00AF1FE3">
              <w:rPr>
                <w:rFonts w:ascii="Times New Roman" w:hAnsi="Times New Roman"/>
                <w:lang w:val="sq-AL"/>
              </w:rPr>
              <w:t>k</w:t>
            </w:r>
            <w:r w:rsidR="00B35CE4" w:rsidRPr="00AF1FE3">
              <w:rPr>
                <w:rFonts w:ascii="Times New Roman" w:hAnsi="Times New Roman"/>
                <w:lang w:val="sq-AL"/>
              </w:rPr>
              <w:t>ë</w:t>
            </w:r>
            <w:r w:rsidR="004D418C" w:rsidRPr="00AF1FE3">
              <w:rPr>
                <w:rFonts w:ascii="Times New Roman" w:hAnsi="Times New Roman"/>
                <w:lang w:val="sq-AL"/>
              </w:rPr>
              <w:t>t</w:t>
            </w:r>
            <w:r w:rsidR="00B35CE4" w:rsidRPr="00AF1FE3">
              <w:rPr>
                <w:rFonts w:ascii="Times New Roman" w:hAnsi="Times New Roman"/>
                <w:lang w:val="sq-AL"/>
              </w:rPr>
              <w:t>ë</w:t>
            </w:r>
            <w:r w:rsidRPr="00AF1FE3">
              <w:rPr>
                <w:rFonts w:ascii="Times New Roman" w:hAnsi="Times New Roman"/>
                <w:lang w:val="sq-AL"/>
              </w:rPr>
              <w:t xml:space="preserve"> lidhje integrale me piken 28 pasi kjo e fundit nuk lidhet ne </w:t>
            </w:r>
            <w:r w:rsidR="004D418C" w:rsidRPr="00AF1FE3">
              <w:rPr>
                <w:rFonts w:ascii="Times New Roman" w:hAnsi="Times New Roman"/>
                <w:lang w:val="sq-AL"/>
              </w:rPr>
              <w:t>m</w:t>
            </w:r>
            <w:r w:rsidR="00B35CE4" w:rsidRPr="00AF1FE3">
              <w:rPr>
                <w:rFonts w:ascii="Times New Roman" w:hAnsi="Times New Roman"/>
                <w:lang w:val="sq-AL"/>
              </w:rPr>
              <w:t>ë</w:t>
            </w:r>
            <w:r w:rsidR="004D418C" w:rsidRPr="00AF1FE3">
              <w:rPr>
                <w:rFonts w:ascii="Times New Roman" w:hAnsi="Times New Roman"/>
                <w:lang w:val="sq-AL"/>
              </w:rPr>
              <w:t>nyr</w:t>
            </w:r>
            <w:r w:rsidR="00B35CE4" w:rsidRPr="00AF1FE3">
              <w:rPr>
                <w:rFonts w:ascii="Times New Roman" w:hAnsi="Times New Roman"/>
                <w:lang w:val="sq-AL"/>
              </w:rPr>
              <w:t>ë</w:t>
            </w:r>
            <w:r w:rsidRPr="00AF1FE3">
              <w:rPr>
                <w:rFonts w:ascii="Times New Roman" w:hAnsi="Times New Roman"/>
                <w:lang w:val="sq-AL"/>
              </w:rPr>
              <w:t xml:space="preserve"> </w:t>
            </w:r>
            <w:r w:rsidR="004D418C" w:rsidRPr="00AF1FE3">
              <w:rPr>
                <w:rFonts w:ascii="Times New Roman" w:hAnsi="Times New Roman"/>
                <w:lang w:val="sq-AL"/>
              </w:rPr>
              <w:t>direkte</w:t>
            </w:r>
            <w:r w:rsidRPr="00AF1FE3">
              <w:rPr>
                <w:rFonts w:ascii="Times New Roman" w:hAnsi="Times New Roman"/>
                <w:lang w:val="sq-AL"/>
              </w:rPr>
              <w:t xml:space="preserve"> me funksionin e personit </w:t>
            </w:r>
            <w:r w:rsidR="004D418C" w:rsidRPr="00AF1FE3">
              <w:rPr>
                <w:rFonts w:ascii="Times New Roman" w:hAnsi="Times New Roman"/>
                <w:lang w:val="sq-AL"/>
              </w:rPr>
              <w:t>p</w:t>
            </w:r>
            <w:r w:rsidR="00B35CE4" w:rsidRPr="00AF1FE3">
              <w:rPr>
                <w:rFonts w:ascii="Times New Roman" w:hAnsi="Times New Roman"/>
                <w:lang w:val="sq-AL"/>
              </w:rPr>
              <w:t>ë</w:t>
            </w:r>
            <w:r w:rsidR="004D418C" w:rsidRPr="00AF1FE3">
              <w:rPr>
                <w:rFonts w:ascii="Times New Roman" w:hAnsi="Times New Roman"/>
                <w:lang w:val="sq-AL"/>
              </w:rPr>
              <w:t>rgjegj</w:t>
            </w:r>
            <w:r w:rsidR="00B35CE4" w:rsidRPr="00AF1FE3">
              <w:rPr>
                <w:rFonts w:ascii="Times New Roman" w:hAnsi="Times New Roman"/>
                <w:lang w:val="sq-AL"/>
              </w:rPr>
              <w:t>ë</w:t>
            </w:r>
            <w:r w:rsidR="004D418C" w:rsidRPr="00AF1FE3">
              <w:rPr>
                <w:rFonts w:ascii="Times New Roman" w:hAnsi="Times New Roman"/>
                <w:lang w:val="sq-AL"/>
              </w:rPr>
              <w:t>s</w:t>
            </w:r>
            <w:r w:rsidRPr="00AF1FE3">
              <w:rPr>
                <w:rFonts w:ascii="Times New Roman" w:hAnsi="Times New Roman"/>
                <w:lang w:val="sq-AL"/>
              </w:rPr>
              <w:t xml:space="preserve"> apo karakteristikave qe ai duhet te </w:t>
            </w:r>
            <w:r w:rsidR="004D418C" w:rsidRPr="00AF1FE3">
              <w:rPr>
                <w:rFonts w:ascii="Times New Roman" w:hAnsi="Times New Roman"/>
                <w:lang w:val="sq-AL"/>
              </w:rPr>
              <w:t>ket</w:t>
            </w:r>
            <w:r w:rsidR="00B35CE4" w:rsidRPr="00AF1FE3">
              <w:rPr>
                <w:rFonts w:ascii="Times New Roman" w:hAnsi="Times New Roman"/>
                <w:lang w:val="sq-AL"/>
              </w:rPr>
              <w:t>ë</w:t>
            </w:r>
            <w:r w:rsidRPr="00AF1FE3">
              <w:rPr>
                <w:rFonts w:ascii="Times New Roman" w:hAnsi="Times New Roman"/>
                <w:lang w:val="sq-AL"/>
              </w:rPr>
              <w:t xml:space="preserve">. </w:t>
            </w:r>
            <w:r w:rsidR="004D418C" w:rsidRPr="00AF1FE3">
              <w:rPr>
                <w:rFonts w:ascii="Times New Roman" w:hAnsi="Times New Roman"/>
                <w:lang w:val="sq-AL"/>
              </w:rPr>
              <w:t>N</w:t>
            </w:r>
            <w:r w:rsidR="00B35CE4" w:rsidRPr="00AF1FE3">
              <w:rPr>
                <w:rFonts w:ascii="Times New Roman" w:hAnsi="Times New Roman"/>
                <w:lang w:val="sq-AL"/>
              </w:rPr>
              <w:t>ë</w:t>
            </w:r>
            <w:r w:rsidR="004D418C" w:rsidRPr="00AF1FE3">
              <w:rPr>
                <w:rFonts w:ascii="Times New Roman" w:hAnsi="Times New Roman"/>
                <w:lang w:val="sq-AL"/>
              </w:rPr>
              <w:t>se</w:t>
            </w:r>
            <w:r w:rsidRPr="00AF1FE3">
              <w:rPr>
                <w:rFonts w:ascii="Times New Roman" w:hAnsi="Times New Roman"/>
                <w:lang w:val="sq-AL"/>
              </w:rPr>
              <w:t xml:space="preserve"> pika 28/1 </w:t>
            </w:r>
            <w:r w:rsidR="004D418C" w:rsidRPr="00AF1FE3">
              <w:rPr>
                <w:rFonts w:ascii="Times New Roman" w:hAnsi="Times New Roman"/>
                <w:lang w:val="sq-AL"/>
              </w:rPr>
              <w:t>q</w:t>
            </w:r>
            <w:r w:rsidR="00B35CE4" w:rsidRPr="00AF1FE3">
              <w:rPr>
                <w:rFonts w:ascii="Times New Roman" w:hAnsi="Times New Roman"/>
                <w:lang w:val="sq-AL"/>
              </w:rPr>
              <w:t>ë</w:t>
            </w:r>
            <w:r w:rsidR="004D418C" w:rsidRPr="00AF1FE3">
              <w:rPr>
                <w:rFonts w:ascii="Times New Roman" w:hAnsi="Times New Roman"/>
                <w:lang w:val="sq-AL"/>
              </w:rPr>
              <w:t>ndron</w:t>
            </w:r>
            <w:r w:rsidRPr="00AF1FE3">
              <w:rPr>
                <w:rFonts w:ascii="Times New Roman" w:hAnsi="Times New Roman"/>
                <w:lang w:val="sq-AL"/>
              </w:rPr>
              <w:t xml:space="preserve"> me vete nga ana funksionale </w:t>
            </w:r>
            <w:r w:rsidR="004D418C" w:rsidRPr="00AF1FE3">
              <w:rPr>
                <w:rFonts w:ascii="Times New Roman" w:hAnsi="Times New Roman"/>
                <w:lang w:val="sq-AL"/>
              </w:rPr>
              <w:t>sugjerojm</w:t>
            </w:r>
            <w:r w:rsidR="00B35CE4" w:rsidRPr="00AF1FE3">
              <w:rPr>
                <w:rFonts w:ascii="Times New Roman" w:hAnsi="Times New Roman"/>
                <w:lang w:val="sq-AL"/>
              </w:rPr>
              <w:t>ë</w:t>
            </w:r>
            <w:r w:rsidRPr="00AF1FE3">
              <w:rPr>
                <w:rFonts w:ascii="Times New Roman" w:hAnsi="Times New Roman"/>
                <w:lang w:val="sq-AL"/>
              </w:rPr>
              <w:t xml:space="preserve"> qe te shtohet si pike me vete </w:t>
            </w:r>
            <w:r w:rsidR="004D418C" w:rsidRPr="00AF1FE3">
              <w:rPr>
                <w:rFonts w:ascii="Times New Roman" w:hAnsi="Times New Roman"/>
                <w:lang w:val="sq-AL"/>
              </w:rPr>
              <w:t>p</w:t>
            </w:r>
            <w:r w:rsidR="00B35CE4" w:rsidRPr="00AF1FE3">
              <w:rPr>
                <w:rFonts w:ascii="Times New Roman" w:hAnsi="Times New Roman"/>
                <w:lang w:val="sq-AL"/>
              </w:rPr>
              <w:t>ë</w:t>
            </w:r>
            <w:r w:rsidR="004D418C" w:rsidRPr="00AF1FE3">
              <w:rPr>
                <w:rFonts w:ascii="Times New Roman" w:hAnsi="Times New Roman"/>
                <w:lang w:val="sq-AL"/>
              </w:rPr>
              <w:t>r</w:t>
            </w:r>
            <w:r w:rsidRPr="00AF1FE3">
              <w:rPr>
                <w:rFonts w:ascii="Times New Roman" w:hAnsi="Times New Roman"/>
                <w:lang w:val="sq-AL"/>
              </w:rPr>
              <w:t xml:space="preserve"> te shmangur </w:t>
            </w:r>
            <w:r w:rsidR="004D418C" w:rsidRPr="00AF1FE3">
              <w:rPr>
                <w:rFonts w:ascii="Times New Roman" w:hAnsi="Times New Roman"/>
                <w:lang w:val="sq-AL"/>
              </w:rPr>
              <w:t>çdo</w:t>
            </w:r>
            <w:r w:rsidRPr="00AF1FE3">
              <w:rPr>
                <w:rFonts w:ascii="Times New Roman" w:hAnsi="Times New Roman"/>
                <w:lang w:val="sq-AL"/>
              </w:rPr>
              <w:t xml:space="preserve"> keqinterpretim te </w:t>
            </w:r>
            <w:r w:rsidR="00AF1FE3" w:rsidRPr="00AF1FE3">
              <w:rPr>
                <w:rFonts w:ascii="Times New Roman" w:hAnsi="Times New Roman"/>
                <w:lang w:val="sq-AL"/>
              </w:rPr>
              <w:t>mundshëm</w:t>
            </w:r>
            <w:r w:rsidRPr="00AF1FE3">
              <w:rPr>
                <w:rFonts w:ascii="Times New Roman" w:hAnsi="Times New Roman"/>
                <w:lang w:val="sq-AL"/>
              </w:rPr>
              <w:t xml:space="preserve"> nga zbatuesit e ligjit (psh. pika 31 e Nenit 2).</w:t>
            </w:r>
          </w:p>
          <w:p w:rsidR="0017562E" w:rsidRPr="00AF1FE3" w:rsidRDefault="0017562E" w:rsidP="0017562E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0"/>
                <w:lang w:val="sq-AL"/>
              </w:rPr>
            </w:pPr>
          </w:p>
          <w:p w:rsidR="0017562E" w:rsidRPr="00AF1FE3" w:rsidRDefault="0017562E" w:rsidP="004D418C">
            <w:pPr>
              <w:pStyle w:val="BodyText"/>
              <w:rPr>
                <w:rFonts w:ascii="Times New Roman" w:hAnsi="Times New Roman"/>
                <w:i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-Ky p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rkufizim q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</w:t>
            </w:r>
            <w:r w:rsidR="004D418C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propozohet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shtohet n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pik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n 1 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nenit 11 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ligjit, 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shtohet n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nenin 2 “P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rkufizime’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- 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Alpha Bank Albania (ABA)</w:t>
            </w:r>
          </w:p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iCs/>
                <w:sz w:val="20"/>
                <w:lang w:val="sq-AL"/>
              </w:rPr>
            </w:pPr>
          </w:p>
          <w:p w:rsidR="005A6E7D" w:rsidRPr="00AF1FE3" w:rsidRDefault="005A6E7D" w:rsidP="0017562E">
            <w:pPr>
              <w:pStyle w:val="BodyText"/>
              <w:rPr>
                <w:rFonts w:ascii="Times New Roman" w:hAnsi="Times New Roman"/>
                <w:iCs/>
                <w:sz w:val="20"/>
                <w:lang w:val="sq-AL"/>
              </w:rPr>
            </w:pPr>
          </w:p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-Banka e Shqip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ris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21058A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Pranuar komenti Alpha Bank Albania (ABA), duke e vendosur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rkufizimin e personit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rgjegj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nenin 11.</w:t>
            </w:r>
          </w:p>
          <w:p w:rsidR="0017562E" w:rsidRPr="00AF1FE3" w:rsidRDefault="0017562E" w:rsidP="0021058A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</w:p>
          <w:p w:rsidR="0017562E" w:rsidRPr="00AF1FE3" w:rsidRDefault="0017562E" w:rsidP="0021058A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Refuzuar komenti I Bank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 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Shqip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ris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.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4D418C">
            <w:pPr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Lidhur me komentin e </w:t>
            </w:r>
            <w:r w:rsidR="004D418C" w:rsidRPr="00AF1FE3">
              <w:rPr>
                <w:rFonts w:ascii="Times New Roman" w:hAnsi="Times New Roman"/>
                <w:sz w:val="20"/>
                <w:lang w:val="sq-AL"/>
              </w:rPr>
              <w:t>B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ank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 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</w:t>
            </w:r>
            <w:r w:rsidR="004D418C" w:rsidRPr="00AF1FE3">
              <w:rPr>
                <w:rFonts w:ascii="Times New Roman" w:hAnsi="Times New Roman"/>
                <w:sz w:val="20"/>
                <w:lang w:val="sq-AL"/>
              </w:rPr>
              <w:t>Shqip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="004D418C" w:rsidRPr="00AF1FE3">
              <w:rPr>
                <w:rFonts w:ascii="Times New Roman" w:hAnsi="Times New Roman"/>
                <w:sz w:val="20"/>
                <w:lang w:val="sq-AL"/>
              </w:rPr>
              <w:t>ris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rkufizimin e “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personit p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rgjegj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s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”, i cili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projektligj 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sht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pasqyruar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nenin 11, pika 1, pas  pik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 b dhe jo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nenin 2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ligjit sikurse 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sht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propozuar,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 arsye se termi “person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rgjegj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s” ka kuptim specifik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var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si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kontekstit ku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rdoret.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rastin konkret synon detajimin e nenit 11 pika b.</w:t>
            </w:r>
          </w:p>
          <w:p w:rsidR="0017562E" w:rsidRPr="00AF1FE3" w:rsidRDefault="0017562E" w:rsidP="0017562E">
            <w:pPr>
              <w:jc w:val="both"/>
              <w:rPr>
                <w:rFonts w:ascii="Times New Roman" w:hAnsi="Times New Roman"/>
                <w:sz w:val="20"/>
                <w:lang w:val="sq-AL" w:eastAsia="bg-BG"/>
              </w:rPr>
            </w:pPr>
          </w:p>
        </w:tc>
      </w:tr>
      <w:tr w:rsidR="0017562E" w:rsidRPr="00AF1FE3" w:rsidTr="0017562E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 w:eastAsia="bg-BG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4D418C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Te z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vend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sohet fjala ‘kompetente” me fjal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n </w:t>
            </w:r>
            <w:r w:rsidR="004D418C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“mbik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="004D418C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qyr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="004D418C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se”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- Banka e Shqip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ris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21058A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refuzuar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4D418C">
            <w:pPr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Shtesa e togfjal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shit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pik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n 3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nenit 16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ligjit  “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dhe p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 xml:space="preserve">r autoritetet e tjera kompetente” 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cil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n propozohet z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vend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simi me togfjal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shin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 xml:space="preserve"> “dhe p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r autoritetet e tjera mbik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qyr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se”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, 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sht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shtuar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rputhje me Rekomandimin 11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FATF dhe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rputhje me neni 40 (1)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Direktiv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s, e cila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rfshin edhe autoritetet mbik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qyr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se.  </w:t>
            </w:r>
          </w:p>
          <w:p w:rsidR="0017562E" w:rsidRPr="00AF1FE3" w:rsidRDefault="0017562E" w:rsidP="0017562E">
            <w:pPr>
              <w:jc w:val="both"/>
              <w:rPr>
                <w:rFonts w:ascii="Times New Roman" w:hAnsi="Times New Roman"/>
                <w:sz w:val="20"/>
                <w:lang w:val="sq-AL" w:eastAsia="bg-BG"/>
              </w:rPr>
            </w:pPr>
          </w:p>
        </w:tc>
      </w:tr>
      <w:tr w:rsidR="0017562E" w:rsidRPr="00AF1FE3" w:rsidTr="0017562E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 w:eastAsia="bg-BG"/>
              </w:rPr>
            </w:pPr>
            <w:r w:rsidRPr="00AF1FE3">
              <w:rPr>
                <w:rFonts w:ascii="Times New Roman" w:hAnsi="Times New Roman"/>
                <w:sz w:val="20"/>
                <w:lang w:val="sq-AL" w:eastAsia="bg-BG"/>
              </w:rPr>
              <w:lastRenderedPageBreak/>
              <w:t>Neni 24/1 i shtuar rishtazi , i cili parashikon masat shtes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p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r vendet me rrezik t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lart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.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-dy pikat e para 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nenit 24/1 parashikojn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refuzimin e miratimit p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r hapjen e deg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ve , filialeve apo zyrave n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vendet me rrezikshm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ri 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larte. Ligji duhet 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sqaroj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ç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shtjen n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se nga k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to vende do 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ket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k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rkesa p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r tu p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rfshir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si aksioner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.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-Banka e Shqip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ris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/>
              </w:rPr>
              <w:t>ë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21058A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refuzuar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4D418C">
            <w:pPr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Lidhur me sugjerimet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nenin 24/1, nuk jan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pasqyruar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projektligj pasi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nen jan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parashikuar 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masat</w:t>
            </w:r>
            <w:r w:rsidRPr="00AF1FE3">
              <w:rPr>
                <w:rFonts w:ascii="Times New Roman" w:hAnsi="Times New Roman"/>
                <w:bCs/>
                <w:sz w:val="20"/>
                <w:lang w:val="sq-AL"/>
              </w:rPr>
              <w:t xml:space="preserve"> q</w:t>
            </w:r>
            <w:r w:rsidR="00B35CE4" w:rsidRPr="00AF1FE3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bCs/>
                <w:sz w:val="20"/>
                <w:lang w:val="sq-AL"/>
              </w:rPr>
              <w:t xml:space="preserve"> duhet t</w:t>
            </w:r>
            <w:r w:rsidR="00B35CE4" w:rsidRPr="00AF1FE3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bCs/>
                <w:sz w:val="20"/>
                <w:lang w:val="sq-AL"/>
              </w:rPr>
              <w:t xml:space="preserve"> zbatohen nga 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autoritetet mbik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qyr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se dhe/ose licencuese n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raport me vendet me rrezik t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lart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, p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r t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arritur p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rputhshm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rin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e plot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me nenin 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18a (3)t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Direktiv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s. </w:t>
            </w:r>
          </w:p>
          <w:p w:rsidR="0017562E" w:rsidRPr="00AF1FE3" w:rsidRDefault="0017562E" w:rsidP="0017562E">
            <w:pPr>
              <w:jc w:val="both"/>
              <w:rPr>
                <w:rFonts w:ascii="Times New Roman" w:hAnsi="Times New Roman"/>
                <w:sz w:val="20"/>
                <w:lang w:val="sq-AL"/>
              </w:rPr>
            </w:pPr>
          </w:p>
        </w:tc>
      </w:tr>
      <w:tr w:rsidR="0017562E" w:rsidRPr="00AF1FE3" w:rsidTr="0017562E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 w:eastAsia="bg-BG"/>
              </w:rPr>
            </w:pP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Neni 2, p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rkufizimi i “personave t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ekspozuar politikisht”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4D418C">
            <w:pPr>
              <w:pStyle w:val="BodyText"/>
              <w:rPr>
                <w:rFonts w:ascii="Times New Roman" w:hAnsi="Times New Roman"/>
                <w:i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-Nuk 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sht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e qart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</w:t>
            </w:r>
            <w:r w:rsidR="004D418C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çfar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n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nkuptohet me pron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si p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rdituese e p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rbashk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t dhe duhet 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ket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nj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list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mir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="004D418C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p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rcaktuar 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personave 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konsideruar sit 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lidhur </w:t>
            </w:r>
          </w:p>
          <w:p w:rsidR="0017562E" w:rsidRPr="00AF1FE3" w:rsidRDefault="0017562E" w:rsidP="0017562E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-t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qart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sohet fjala “dihet’</w:t>
            </w:r>
          </w:p>
          <w:p w:rsidR="0017562E" w:rsidRPr="00AF1FE3" w:rsidRDefault="0017562E" w:rsidP="0017562E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-Komenti nga Tirana Bank p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r riformulimin n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pik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n 10/2 </w:t>
            </w:r>
            <w:r w:rsidR="004D418C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germa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(iii).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-Shoqata Shqiptare e Bankave;</w:t>
            </w:r>
          </w:p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 xml:space="preserve">Tirana Bank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21058A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-Refuzuar;</w:t>
            </w:r>
          </w:p>
          <w:p w:rsidR="0017562E" w:rsidRPr="00AF1FE3" w:rsidRDefault="0017562E" w:rsidP="004D418C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-Komenti I Tirana </w:t>
            </w:r>
            <w:r w:rsidR="004D418C" w:rsidRPr="00AF1FE3">
              <w:rPr>
                <w:rFonts w:ascii="Times New Roman" w:hAnsi="Times New Roman"/>
                <w:sz w:val="20"/>
                <w:lang w:val="sq-AL"/>
              </w:rPr>
              <w:t>Bank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pranuar.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4D41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-N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lidhje me konceptin “pron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si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rfituese e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rbashk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t”, 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sht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e detajuar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ligjin “P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 pronar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t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rfitues’.</w:t>
            </w:r>
          </w:p>
          <w:p w:rsidR="0017562E" w:rsidRPr="00AF1FE3" w:rsidRDefault="0017562E" w:rsidP="004D41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-Lidhur me “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an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tar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t e familjes t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 xml:space="preserve"> personit t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 xml:space="preserve"> ekspozuar politikisht” 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jan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rcaktuar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m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nyr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qart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riformulimin e pik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 10, dhe nuk l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vend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 keqinterpretim.</w:t>
            </w:r>
          </w:p>
          <w:p w:rsidR="0017562E" w:rsidRPr="00AF1FE3" w:rsidRDefault="0017562E" w:rsidP="004D418C">
            <w:pPr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-Lidhur me fjal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n “</w:t>
            </w:r>
            <w:r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>dihet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”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rdorur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germ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n b),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pik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 10,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nenit 2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ligjit, jan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raste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cilat identifikohen nga vet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subjektet raportuese. Shembuj mund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jen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rastet e 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prokurave te nd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 xml:space="preserve">rsjella 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apo rastet 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e shoq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rimit t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 xml:space="preserve"> nj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 xml:space="preserve"> PEP ne rastin e veprimeve n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 xml:space="preserve"> bank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.</w:t>
            </w:r>
          </w:p>
          <w:p w:rsidR="0017562E" w:rsidRPr="00AF1FE3" w:rsidRDefault="0017562E" w:rsidP="00175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i/>
                <w:sz w:val="20"/>
                <w:lang w:val="sq-AL"/>
              </w:rPr>
            </w:pPr>
          </w:p>
          <w:p w:rsidR="0017562E" w:rsidRPr="00AF1FE3" w:rsidRDefault="0017562E" w:rsidP="0017562E">
            <w:pPr>
              <w:jc w:val="both"/>
              <w:rPr>
                <w:rFonts w:ascii="Times New Roman" w:hAnsi="Times New Roman"/>
                <w:sz w:val="20"/>
                <w:lang w:val="sq-AL"/>
              </w:rPr>
            </w:pPr>
          </w:p>
        </w:tc>
      </w:tr>
      <w:tr w:rsidR="0017562E" w:rsidRPr="00AF1FE3" w:rsidTr="0017562E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 w:eastAsia="bg-BG"/>
              </w:rPr>
            </w:pP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Pika 3/1 e ligjit “organizimet ligjore”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rishikohet, pasi duket sikur kujdestar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t duhet 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lastRenderedPageBreak/>
              <w:t>mbajn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="004D418C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re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korde p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r veten e tyre.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lastRenderedPageBreak/>
              <w:t>-Shoqata Shqiptare e Bankave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21058A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4D418C">
            <w:pPr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Lidhur me sugjerimin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r rishikimin e 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lastRenderedPageBreak/>
              <w:t>togfjal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shit “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Kujdestar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t e organizimeve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”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pik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n 3/1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ligjit, nuk 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sht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marr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konsiderat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pasi organizimet ligjore nuk kan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personalitet juridik, ndaj detyrimet iu ngarkohen kujdestar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ve.</w:t>
            </w:r>
          </w:p>
          <w:p w:rsidR="0017562E" w:rsidRPr="00AF1FE3" w:rsidRDefault="0017562E" w:rsidP="0017562E">
            <w:pPr>
              <w:jc w:val="both"/>
              <w:rPr>
                <w:rFonts w:ascii="Times New Roman" w:hAnsi="Times New Roman"/>
                <w:sz w:val="20"/>
                <w:lang w:val="sq-AL"/>
              </w:rPr>
            </w:pPr>
          </w:p>
        </w:tc>
      </w:tr>
      <w:tr w:rsidR="0017562E" w:rsidRPr="00AF1FE3" w:rsidTr="0017562E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lastRenderedPageBreak/>
              <w:t>pika b/1) e  shtuar pas pik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 b,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pik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n 1,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nenin 4/1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ligjit “Masa e vigjilenc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 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duhur”</w:t>
            </w:r>
          </w:p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 w:eastAsia="bg-BG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02709E">
            <w:pPr>
              <w:pStyle w:val="BodyText"/>
              <w:rPr>
                <w:rFonts w:ascii="Times New Roman" w:hAnsi="Times New Roman"/>
                <w:i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Sugjerohet </w:t>
            </w:r>
            <w:r w:rsidR="004D418C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rishikim</w:t>
            </w:r>
            <w:r w:rsidR="0002709E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i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</w:t>
            </w:r>
            <w:r w:rsidR="0002709E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i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k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saj pike </w:t>
            </w:r>
            <w:r w:rsidRPr="00AF1FE3">
              <w:rPr>
                <w:rFonts w:ascii="Times New Roman" w:hAnsi="Times New Roman"/>
                <w:iCs/>
                <w:sz w:val="20"/>
                <w:lang w:val="sq-AL" w:eastAsia="bg-BG"/>
              </w:rPr>
              <w:t>me synim p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 w:eastAsia="bg-BG"/>
              </w:rPr>
              <w:t>rafrimin n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 w:eastAsia="bg-BG"/>
              </w:rPr>
              <w:t xml:space="preserve"> m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 w:eastAsia="bg-BG"/>
              </w:rPr>
              <w:t>nyr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 w:eastAsia="bg-BG"/>
              </w:rPr>
              <w:t xml:space="preserve"> korrekte me direktiv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 w:eastAsia="bg-BG"/>
              </w:rPr>
              <w:t>n dhe standardet nd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 w:eastAsia="bg-BG"/>
              </w:rPr>
              <w:t>rkomb</w:t>
            </w:r>
            <w:r w:rsidR="00B35CE4" w:rsidRPr="00AF1FE3">
              <w:rPr>
                <w:rFonts w:ascii="Times New Roman" w:hAnsi="Times New Roman"/>
                <w:iCs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iCs/>
                <w:sz w:val="20"/>
                <w:lang w:val="sq-AL" w:eastAsia="bg-BG"/>
              </w:rPr>
              <w:t>tare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-Shoqata Shqiptare e Bankave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02709E">
            <w:pPr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Pranuar, duke shtuar pas togfjal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shit “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N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 xml:space="preserve"> rastin e kryerjes, t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r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sisht ose pjes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risht, t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 xml:space="preserve"> sigurimit t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 xml:space="preserve"> jet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s ose t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 xml:space="preserve"> investimet n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 xml:space="preserve"> dobi t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 xml:space="preserve"> nj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 xml:space="preserve"> pale t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 xml:space="preserve"> tret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 xml:space="preserve">, 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togfjal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shin 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“subjektet n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 xml:space="preserve"> dijeni t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 xml:space="preserve"> caktimit t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 xml:space="preserve"> nj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 xml:space="preserve"> pale t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 xml:space="preserve"> tret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…”.</w:t>
            </w:r>
          </w:p>
          <w:p w:rsidR="0017562E" w:rsidRPr="00AF1FE3" w:rsidRDefault="0017562E" w:rsidP="0021058A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jc w:val="both"/>
              <w:rPr>
                <w:rFonts w:ascii="Times New Roman" w:hAnsi="Times New Roman"/>
                <w:sz w:val="20"/>
                <w:lang w:val="sq-AL"/>
              </w:rPr>
            </w:pPr>
          </w:p>
        </w:tc>
      </w:tr>
      <w:tr w:rsidR="0017562E" w:rsidRPr="00AF1FE3" w:rsidTr="0017562E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pika (dhe) e  sht</w:t>
            </w:r>
            <w:r w:rsidR="0002709E" w:rsidRPr="00AF1FE3">
              <w:rPr>
                <w:rFonts w:ascii="Times New Roman" w:hAnsi="Times New Roman"/>
                <w:sz w:val="20"/>
                <w:lang w:val="sq-AL"/>
              </w:rPr>
              <w:t>uar,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="0002709E" w:rsidRPr="00AF1FE3">
              <w:rPr>
                <w:rFonts w:ascii="Times New Roman" w:hAnsi="Times New Roman"/>
                <w:sz w:val="20"/>
                <w:lang w:val="sq-AL"/>
              </w:rPr>
              <w:t xml:space="preserve"> nenin 4/1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="0002709E" w:rsidRPr="00AF1FE3">
              <w:rPr>
                <w:rFonts w:ascii="Times New Roman" w:hAnsi="Times New Roman"/>
                <w:sz w:val="20"/>
                <w:lang w:val="sq-AL"/>
              </w:rPr>
              <w:t xml:space="preserve"> ligjit “Mas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a e vigjilenc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 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duhur”</w:t>
            </w:r>
          </w:p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 w:eastAsia="bg-BG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02709E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Nj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detyrim shtes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p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r sektorin bankar dhe nuk 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sht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</w:t>
            </w:r>
            <w:r w:rsidR="0002709E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i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qart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p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rse k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rkohet 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</w:t>
            </w:r>
            <w:r w:rsidR="0002709E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shtohet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.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-Shoqata Shqiptare e Bankave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02709E">
            <w:pPr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Pranuar, duke z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vend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suar fjal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n “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regjistra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” me fjal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n “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t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 xml:space="preserve"> dh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na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”.</w:t>
            </w:r>
          </w:p>
          <w:p w:rsidR="0017562E" w:rsidRPr="00AF1FE3" w:rsidRDefault="0017562E" w:rsidP="0021058A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jc w:val="both"/>
              <w:rPr>
                <w:rFonts w:ascii="Times New Roman" w:hAnsi="Times New Roman"/>
                <w:sz w:val="20"/>
                <w:lang w:val="sq-AL"/>
              </w:rPr>
            </w:pPr>
          </w:p>
        </w:tc>
      </w:tr>
      <w:tr w:rsidR="0017562E" w:rsidRPr="00AF1FE3" w:rsidTr="0017562E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 w:eastAsia="bg-BG"/>
              </w:rPr>
            </w:pP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Pika 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5/1 e shtuar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nenin 8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ligjit “Kategorit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e klient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ve dhe transaksioneve, ndaj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cil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ve zbatohet vigjilenca e zgjeruar’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02709E">
            <w:pPr>
              <w:pStyle w:val="ListParagraph"/>
              <w:spacing w:after="0" w:line="276" w:lineRule="auto"/>
              <w:ind w:left="15" w:firstLine="75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koncepti 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“...drejtuesve 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lart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vendimmarr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s...”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, duket si nj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rkes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e ndryshme nga 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rkesat pararend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se dhe sikur tanim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rkohen drejtues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ndrysh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m nga ata q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duhet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marrin vendim. p.sh.,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 fillimin /vazhdimin e marr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dh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nies 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biznesit me PEP.</w:t>
            </w:r>
            <w:r w:rsidR="0002709E" w:rsidRPr="00AF1FE3">
              <w:rPr>
                <w:rFonts w:ascii="Times New Roman" w:hAnsi="Times New Roman"/>
                <w:sz w:val="20"/>
                <w:lang w:val="sq-AL"/>
              </w:rPr>
              <w:t xml:space="preserve"> 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Nevojitet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qart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sohet se çfar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do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nkuptohet me “drejtues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lart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”.</w:t>
            </w:r>
          </w:p>
          <w:p w:rsidR="0017562E" w:rsidRPr="00AF1FE3" w:rsidRDefault="0017562E" w:rsidP="0017562E">
            <w:pPr>
              <w:rPr>
                <w:rFonts w:ascii="Times New Roman" w:hAnsi="Times New Roman"/>
                <w:sz w:val="20"/>
                <w:lang w:val="sq-AL" w:eastAsia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-Pjesa e fundit e fjalis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propozuar 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“...pronarit t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 xml:space="preserve"> fundit p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rfitues”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 nuk parashikohet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lastRenderedPageBreak/>
              <w:t>rekomandimin 19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FATF. </w:t>
            </w:r>
          </w:p>
          <w:p w:rsidR="0017562E" w:rsidRPr="00AF1FE3" w:rsidRDefault="0017562E" w:rsidP="0017562E">
            <w:pPr>
              <w:pStyle w:val="ListParagraph"/>
              <w:spacing w:after="0" w:line="276" w:lineRule="auto"/>
              <w:ind w:left="426"/>
              <w:rPr>
                <w:rFonts w:ascii="Times New Roman" w:hAnsi="Times New Roman"/>
                <w:sz w:val="20"/>
                <w:lang w:val="sq-AL"/>
              </w:rPr>
            </w:pPr>
          </w:p>
          <w:p w:rsidR="0017562E" w:rsidRPr="00AF1FE3" w:rsidRDefault="0017562E" w:rsidP="0017562E">
            <w:pPr>
              <w:rPr>
                <w:rFonts w:ascii="Times New Roman" w:hAnsi="Times New Roman"/>
                <w:sz w:val="20"/>
                <w:lang w:val="sq-AL" w:eastAsia="sq-AL"/>
              </w:rPr>
            </w:pP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-</w:t>
            </w:r>
            <w:r w:rsidRPr="00AF1FE3">
              <w:rPr>
                <w:rFonts w:ascii="Times New Roman" w:hAnsi="Times New Roman"/>
                <w:b/>
                <w:sz w:val="20"/>
                <w:lang w:val="sq-AL"/>
              </w:rPr>
              <w:t>pika</w:t>
            </w:r>
            <w:r w:rsidRPr="00AF1FE3">
              <w:rPr>
                <w:rFonts w:ascii="Times New Roman" w:hAnsi="Times New Roman"/>
                <w:b/>
                <w:i/>
                <w:sz w:val="20"/>
                <w:lang w:val="sq-AL"/>
              </w:rPr>
              <w:t>‘v’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propozohet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shtohet nj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paragraf i cili nuk kuptohet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se ndjek linj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n logjike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saj pike apo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rmbledh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gjitha pikat e propozuara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 t’u shtuar, nd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rkoh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q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</w:t>
            </w:r>
            <w:r w:rsidRPr="00AF1FE3">
              <w:rPr>
                <w:rFonts w:ascii="Times New Roman" w:hAnsi="Times New Roman"/>
                <w:b/>
                <w:sz w:val="20"/>
                <w:lang w:val="sq-AL"/>
              </w:rPr>
              <w:t>pika ‘</w:t>
            </w:r>
            <w:r w:rsidRPr="00AF1FE3">
              <w:rPr>
                <w:rFonts w:ascii="Times New Roman" w:hAnsi="Times New Roman"/>
                <w:b/>
                <w:i/>
                <w:iCs/>
                <w:sz w:val="20"/>
                <w:lang w:val="sq-AL"/>
              </w:rPr>
              <w:t>ii</w:t>
            </w:r>
            <w:r w:rsidRPr="00AF1FE3">
              <w:rPr>
                <w:rFonts w:ascii="Times New Roman" w:hAnsi="Times New Roman"/>
                <w:b/>
                <w:sz w:val="20"/>
                <w:lang w:val="sq-AL"/>
              </w:rPr>
              <w:t>’ e k</w:t>
            </w:r>
            <w:r w:rsidR="00B35CE4" w:rsidRPr="00AF1FE3">
              <w:rPr>
                <w:rFonts w:ascii="Times New Roman" w:hAnsi="Times New Roman"/>
                <w:b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b/>
                <w:sz w:val="20"/>
                <w:lang w:val="sq-AL"/>
              </w:rPr>
              <w:t>tij paragrafi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referon 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n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mekanizma 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p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rmir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suar p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r raportime apo raportim sistematik t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transaksioneve financiare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, çka e konfuzon m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tej parashikimin e 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saj dispozite dhe nuk kuptohet se çfar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duhet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rmir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sohet apo çfar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duhet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raportohet.</w:t>
            </w:r>
            <w:r w:rsidRPr="00AF1FE3">
              <w:rPr>
                <w:rFonts w:ascii="Times New Roman" w:hAnsi="Times New Roman"/>
                <w:sz w:val="20"/>
                <w:lang w:val="sq-AL" w:eastAsia="sq-AL"/>
              </w:rPr>
              <w:t xml:space="preserve"> </w:t>
            </w:r>
          </w:p>
          <w:p w:rsidR="0017562E" w:rsidRPr="00AF1FE3" w:rsidRDefault="0017562E" w:rsidP="0017562E">
            <w:pPr>
              <w:rPr>
                <w:rFonts w:ascii="Times New Roman" w:hAnsi="Times New Roman"/>
                <w:sz w:val="20"/>
                <w:lang w:val="sq-AL" w:eastAsia="sq-AL"/>
              </w:rPr>
            </w:pPr>
          </w:p>
          <w:p w:rsidR="0017562E" w:rsidRPr="00AF1FE3" w:rsidRDefault="0017562E" w:rsidP="0017562E">
            <w:pPr>
              <w:rPr>
                <w:rFonts w:ascii="Times New Roman" w:hAnsi="Times New Roman"/>
                <w:sz w:val="20"/>
                <w:lang w:val="sq-AL" w:eastAsia="sq-AL"/>
              </w:rPr>
            </w:pPr>
            <w:r w:rsidRPr="00AF1FE3">
              <w:rPr>
                <w:rFonts w:ascii="Times New Roman" w:hAnsi="Times New Roman"/>
                <w:sz w:val="20"/>
                <w:lang w:val="sq-AL" w:eastAsia="sq-AL"/>
              </w:rPr>
              <w:t>-</w:t>
            </w:r>
            <w:r w:rsidRPr="00AF1FE3">
              <w:rPr>
                <w:rFonts w:ascii="Times New Roman" w:hAnsi="Times New Roman"/>
                <w:b/>
                <w:sz w:val="20"/>
                <w:lang w:val="sq-AL"/>
              </w:rPr>
              <w:t>Po n</w:t>
            </w:r>
            <w:r w:rsidR="00B35CE4" w:rsidRPr="00AF1FE3">
              <w:rPr>
                <w:rFonts w:ascii="Times New Roman" w:hAnsi="Times New Roman"/>
                <w:b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b/>
                <w:sz w:val="20"/>
                <w:lang w:val="sq-AL"/>
              </w:rPr>
              <w:t xml:space="preserve"> k</w:t>
            </w:r>
            <w:r w:rsidR="00B35CE4" w:rsidRPr="00AF1FE3">
              <w:rPr>
                <w:rFonts w:ascii="Times New Roman" w:hAnsi="Times New Roman"/>
                <w:b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b/>
                <w:sz w:val="20"/>
                <w:lang w:val="sq-AL"/>
              </w:rPr>
              <w:t>t</w:t>
            </w:r>
            <w:r w:rsidR="00B35CE4" w:rsidRPr="00AF1FE3">
              <w:rPr>
                <w:rFonts w:ascii="Times New Roman" w:hAnsi="Times New Roman"/>
                <w:b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b/>
                <w:sz w:val="20"/>
                <w:lang w:val="sq-AL"/>
              </w:rPr>
              <w:t xml:space="preserve"> nen, shtesa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: 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“Krahas masave te m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sip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rme, n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zbatim te angazhimeve nd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rkomb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tare ....” e n</w:t>
            </w:r>
            <w:r w:rsidR="00B35CE4"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 xml:space="preserve"> vijim pikat i), ii), iii)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- nuk 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sht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e qart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se kjo dispozit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gjen zbatim automatikisht apo mbi baz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n e nj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rkese nga autoriteti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rgjegj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s. </w:t>
            </w:r>
          </w:p>
          <w:p w:rsidR="0017562E" w:rsidRPr="00AF1FE3" w:rsidRDefault="0017562E" w:rsidP="0017562E">
            <w:pPr>
              <w:rPr>
                <w:rFonts w:ascii="Times New Roman" w:hAnsi="Times New Roman"/>
                <w:sz w:val="20"/>
                <w:lang w:val="sq-AL" w:eastAsia="sq-AL"/>
              </w:rPr>
            </w:pPr>
          </w:p>
          <w:p w:rsidR="0017562E" w:rsidRPr="00AF1FE3" w:rsidRDefault="0017562E" w:rsidP="0017562E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0"/>
                <w:lang w:val="sq-AL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lastRenderedPageBreak/>
              <w:t>-Shoqata Shqiptare e Bankave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Pranuar pjes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risht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Pranuar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 sa I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rket:</w:t>
            </w:r>
          </w:p>
          <w:p w:rsidR="0017562E" w:rsidRPr="00AF1FE3" w:rsidRDefault="0017562E" w:rsidP="0002709E">
            <w:pPr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duke hequr fjal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n ‘</w:t>
            </w:r>
            <w:r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>vendimmarr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>s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” n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numrin v), t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k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saj pike; dhe n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numrin ii), t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paragrafit t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dyt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, pas togfjal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shit “</w:t>
            </w:r>
            <w:r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>t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 xml:space="preserve"> p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>rdorin mekanizma t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 xml:space="preserve"> p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>rmir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>suar p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>r raportime apo raportim sistematik t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 xml:space="preserve"> transaksioneve financiare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” shtohet “</w:t>
            </w:r>
            <w:r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>tek personi\strukturat p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>rgjegj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>se brenda subjektit’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; dhe gjithashtu u hoq togfjal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shi “n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 xml:space="preserve"> </w:t>
            </w:r>
            <w:r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lastRenderedPageBreak/>
              <w:t>zbatim t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 xml:space="preserve"> angazhimeve nd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>rkomb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>tare te Republik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>s s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 xml:space="preserve"> Shqip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>ris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>,”.</w:t>
            </w:r>
          </w:p>
          <w:p w:rsidR="0017562E" w:rsidRPr="00AF1FE3" w:rsidRDefault="0017562E" w:rsidP="0017562E">
            <w:pPr>
              <w:jc w:val="both"/>
              <w:rPr>
                <w:rFonts w:ascii="Times New Roman" w:hAnsi="Times New Roman"/>
                <w:sz w:val="20"/>
                <w:lang w:val="sq-AL" w:eastAsia="bg-BG"/>
              </w:rPr>
            </w:pPr>
          </w:p>
          <w:p w:rsidR="0017562E" w:rsidRPr="00AF1FE3" w:rsidRDefault="0017562E" w:rsidP="0017562E">
            <w:pPr>
              <w:jc w:val="both"/>
              <w:rPr>
                <w:rFonts w:ascii="Times New Roman" w:hAnsi="Times New Roman"/>
                <w:sz w:val="20"/>
                <w:lang w:val="sq-AL" w:eastAsia="bg-BG"/>
              </w:rPr>
            </w:pPr>
          </w:p>
          <w:p w:rsidR="0017562E" w:rsidRPr="00AF1FE3" w:rsidRDefault="0017562E" w:rsidP="0017562E">
            <w:pPr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Lidhur me  pik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n (5/1), t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shtuar pas pik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n 5, n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nenin 8 t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ligjit, sugjerimet e tjera, p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rveç atyre t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marra n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konsiderat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, nuk u pasqyruan n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projektligj pasi nuk ishin n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p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rputhje me direktiv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n. Kjo pik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e shtuar 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sht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n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p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rputhje me nenin 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18a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direktiv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s.</w:t>
            </w:r>
          </w:p>
          <w:p w:rsidR="0017562E" w:rsidRPr="00AF1FE3" w:rsidRDefault="0017562E" w:rsidP="0017562E">
            <w:pPr>
              <w:jc w:val="both"/>
              <w:rPr>
                <w:rFonts w:ascii="Times New Roman" w:hAnsi="Times New Roman"/>
                <w:sz w:val="20"/>
                <w:lang w:val="sq-AL"/>
              </w:rPr>
            </w:pPr>
          </w:p>
        </w:tc>
      </w:tr>
      <w:tr w:rsidR="0017562E" w:rsidRPr="00AF1FE3" w:rsidTr="0017562E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 w:eastAsia="bg-BG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lastRenderedPageBreak/>
              <w:t>Fjalia e shtuar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pik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n 1, germa (a/1),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numrit (ii) dhe (iii)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nenin 11 “Masat parandaluese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nd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rmarra nga subjektet’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rPr>
                <w:rFonts w:ascii="Times New Roman" w:hAnsi="Times New Roman"/>
                <w:sz w:val="20"/>
                <w:lang w:val="sq-AL" w:eastAsia="sq-AL"/>
              </w:rPr>
            </w:pP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-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nuk del i qart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dhe nuk kuptohet rrjedha logjike me nenin ku propozohet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shtohet, pasi  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ta faktor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vler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sohen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rcaktim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riskut ML/FT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nivel klienti, nd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rsa kjo pik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flet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 vler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sim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riskut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gjith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subjektit. </w:t>
            </w:r>
            <w:r w:rsidRPr="00AF1FE3">
              <w:rPr>
                <w:rFonts w:ascii="Times New Roman" w:hAnsi="Times New Roman"/>
                <w:sz w:val="20"/>
                <w:lang w:val="sq-AL" w:eastAsia="sq-AL"/>
              </w:rPr>
              <w:t xml:space="preserve"> </w:t>
            </w:r>
          </w:p>
          <w:p w:rsidR="0017562E" w:rsidRPr="00AF1FE3" w:rsidRDefault="0017562E" w:rsidP="0017562E">
            <w:pPr>
              <w:rPr>
                <w:rFonts w:ascii="Times New Roman" w:hAnsi="Times New Roman"/>
                <w:sz w:val="20"/>
                <w:lang w:val="sq-AL" w:eastAsia="sq-AL"/>
              </w:rPr>
            </w:pPr>
          </w:p>
          <w:p w:rsidR="0017562E" w:rsidRPr="00AF1FE3" w:rsidRDefault="0017562E" w:rsidP="0017562E">
            <w:pPr>
              <w:rPr>
                <w:rFonts w:ascii="Times New Roman" w:hAnsi="Times New Roman"/>
                <w:sz w:val="20"/>
                <w:lang w:val="sq-AL" w:eastAsia="sq-AL"/>
              </w:rPr>
            </w:pPr>
            <w:r w:rsidRPr="00AF1FE3">
              <w:rPr>
                <w:rFonts w:ascii="Times New Roman" w:hAnsi="Times New Roman"/>
                <w:sz w:val="20"/>
                <w:lang w:val="sq-AL" w:eastAsia="sq-AL"/>
              </w:rPr>
              <w:t>-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ky detyrim q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ndron, 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pari, me autoritetin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rgjegj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s, i cili duhet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ket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detyrimin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publikuar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gjitha raportet e institucioneve nd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rkomb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tare mbi vler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simin e riskut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vendit </w:t>
            </w:r>
            <w:r w:rsidRPr="00AF1FE3">
              <w:rPr>
                <w:rFonts w:ascii="Times New Roman" w:hAnsi="Times New Roman"/>
                <w:sz w:val="20"/>
                <w:lang w:val="sq-AL" w:eastAsia="sq-AL"/>
              </w:rPr>
              <w:t xml:space="preserve"> </w:t>
            </w:r>
          </w:p>
          <w:p w:rsidR="0017562E" w:rsidRPr="00AF1FE3" w:rsidRDefault="0017562E" w:rsidP="0017562E">
            <w:pPr>
              <w:rPr>
                <w:rFonts w:ascii="Times New Roman" w:hAnsi="Times New Roman"/>
                <w:i/>
                <w:iCs/>
                <w:sz w:val="20"/>
                <w:lang w:val="sq-AL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Shoqata Shqiptare e Bankave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B35CE4" w:rsidP="0021058A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   </w:t>
            </w:r>
            <w:r w:rsidR="0017562E" w:rsidRPr="00AF1FE3">
              <w:rPr>
                <w:rFonts w:ascii="Times New Roman" w:hAnsi="Times New Roman"/>
                <w:sz w:val="20"/>
                <w:lang w:val="sq-AL"/>
              </w:rPr>
              <w:t xml:space="preserve">-refuzuar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0270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Fjalia e shtuar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pik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n 1, germa (a/1),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numrit (ii),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nenin 11, 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sht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p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rputhje me Aneksin I t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direktiv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s dhe synon t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p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rcaktoj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masat 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q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duhet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marrin subjektet raportuese ndaj klient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ve dhe togfjal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shi “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rregullshm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ria ose koh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zgjatja e marr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dh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nies s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 xml:space="preserve"> biznesit”, 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sht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diskrecion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subjektit raportues.</w:t>
            </w:r>
          </w:p>
          <w:p w:rsidR="0017562E" w:rsidRPr="00AF1FE3" w:rsidRDefault="0017562E" w:rsidP="000270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sq-AL"/>
              </w:rPr>
            </w:pPr>
          </w:p>
          <w:p w:rsidR="0017562E" w:rsidRPr="00AF1FE3" w:rsidRDefault="0017562E" w:rsidP="0002709E">
            <w:pPr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-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Gjithashtu, numrin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(iii),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nenin 11 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lastRenderedPageBreak/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sht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ndryshuar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</w:t>
            </w:r>
            <w:r w:rsidRPr="00AF1FE3">
              <w:rPr>
                <w:rFonts w:ascii="Times New Roman" w:hAnsi="Times New Roman"/>
                <w:bCs/>
                <w:sz w:val="20"/>
                <w:lang w:val="sq-AL"/>
              </w:rPr>
              <w:t>p</w:t>
            </w:r>
            <w:r w:rsidR="00B35CE4" w:rsidRPr="00AF1FE3">
              <w:rPr>
                <w:rFonts w:ascii="Times New Roman" w:hAnsi="Times New Roman"/>
                <w:bCs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bCs/>
                <w:sz w:val="20"/>
                <w:lang w:val="sq-AL"/>
              </w:rPr>
              <w:t xml:space="preserve">rputhje me 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parashikimet e nenit 18, germa (a) e direktiv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s dhe lidhur me 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vler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simet komb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tare t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 xml:space="preserve"> riskut apo vler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simet e tjera t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 xml:space="preserve"> ngjashme, 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sht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rgjegj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si e autoritetit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rgjegj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 i cili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rcjell bankave apo subjekteve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tjera raportuese,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çdo kohe dokumentacionin mbi 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to vler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sime.</w:t>
            </w:r>
          </w:p>
          <w:p w:rsidR="0017562E" w:rsidRPr="00AF1FE3" w:rsidRDefault="0017562E" w:rsidP="00175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sq-AL"/>
              </w:rPr>
            </w:pPr>
          </w:p>
          <w:p w:rsidR="0017562E" w:rsidRPr="00AF1FE3" w:rsidRDefault="0017562E" w:rsidP="0017562E">
            <w:pPr>
              <w:jc w:val="both"/>
              <w:rPr>
                <w:rFonts w:ascii="Times New Roman" w:hAnsi="Times New Roman"/>
                <w:sz w:val="20"/>
                <w:lang w:val="sq-AL"/>
              </w:rPr>
            </w:pPr>
          </w:p>
        </w:tc>
      </w:tr>
      <w:tr w:rsidR="0017562E" w:rsidRPr="00AF1FE3" w:rsidTr="0017562E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lastRenderedPageBreak/>
              <w:t>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nenin 14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ligjit “P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rjashtimi nga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rgjegj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sia ligjore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 raportim pran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autoritetit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rgjegj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s”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rPr>
                <w:rFonts w:ascii="Times New Roman" w:hAnsi="Times New Roman"/>
                <w:i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/>
                <w:iCs/>
                <w:sz w:val="20"/>
                <w:lang w:val="sq-AL"/>
              </w:rPr>
              <w:t>-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 paragraf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t e propozuar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 t’u shtuar duket sikur e tejkalojn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kompetencat e Autoritetit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rgjegj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 dhe prekin rregullime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drejt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 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pun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s,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cilat i rregullon Kodi i Pun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s.</w:t>
            </w:r>
            <w:r w:rsidRPr="00AF1FE3">
              <w:rPr>
                <w:rFonts w:ascii="Times New Roman" w:hAnsi="Times New Roman"/>
                <w:b/>
                <w:sz w:val="20"/>
                <w:lang w:val="sq-AL"/>
              </w:rPr>
              <w:t xml:space="preserve"> 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Sugjerojm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q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to paragraf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rishikohen ose mund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sisht mos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jen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pjes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e 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tyre propozimeve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Shoqata Shqiptare e Bankave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21058A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Pranuar pjes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risht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02709E">
            <w:pPr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Lidhur me paragraf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t e shtuar n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nenin 14 t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ligjit, jan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pasqyruar ndryshime duke hequr togfjal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shin “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kthimin n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 xml:space="preserve"> pun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”. Nuk 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sht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pranuar p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r tu he</w:t>
            </w:r>
            <w:r w:rsidR="0002709E" w:rsidRPr="00AF1FE3">
              <w:rPr>
                <w:rFonts w:ascii="Times New Roman" w:hAnsi="Times New Roman"/>
                <w:sz w:val="20"/>
                <w:lang w:val="sq-AL" w:eastAsia="bg-BG"/>
              </w:rPr>
              <w:t>q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ur </w:t>
            </w:r>
            <w:r w:rsidR="0002709E" w:rsidRPr="00AF1FE3">
              <w:rPr>
                <w:rFonts w:ascii="Times New Roman" w:hAnsi="Times New Roman"/>
                <w:sz w:val="20"/>
                <w:lang w:val="sq-AL" w:eastAsia="bg-BG"/>
              </w:rPr>
              <w:t>paragraf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pasi jan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n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 p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rputhje me Direktiv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n. </w:t>
            </w:r>
          </w:p>
          <w:p w:rsidR="0017562E" w:rsidRPr="00AF1FE3" w:rsidRDefault="0017562E" w:rsidP="00175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sq-AL"/>
              </w:rPr>
            </w:pPr>
          </w:p>
        </w:tc>
      </w:tr>
      <w:tr w:rsidR="0017562E" w:rsidRPr="00AF1FE3" w:rsidTr="0017562E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Ndryshime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pik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n 2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neni 17 dhe 18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ligjit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referojn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detyrime sipas nenit 28, i cili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fakt lidhet me nxjerrjen e akteve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nligjore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zbatim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ligjit! Sugjerojm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rishikimin e tij.</w:t>
            </w:r>
          </w:p>
          <w:p w:rsidR="0017562E" w:rsidRPr="00AF1FE3" w:rsidRDefault="0017562E" w:rsidP="0017562E">
            <w:pPr>
              <w:rPr>
                <w:rFonts w:ascii="Times New Roman" w:hAnsi="Times New Roman"/>
                <w:i/>
                <w:iCs/>
                <w:sz w:val="20"/>
                <w:lang w:val="sq-AL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Shoqata Shqiptare e Bankave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21058A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refuzuar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Ndryshimet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pik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n 2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neni 17 dhe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nenit 18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ligjit, jan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ndryshime q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lidhen me strukturat shtet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rore.</w:t>
            </w:r>
          </w:p>
          <w:p w:rsidR="0017562E" w:rsidRPr="00AF1FE3" w:rsidRDefault="0017562E" w:rsidP="00175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sq-AL"/>
              </w:rPr>
            </w:pPr>
          </w:p>
        </w:tc>
      </w:tr>
      <w:tr w:rsidR="0017562E" w:rsidRPr="00AF1FE3" w:rsidTr="0017562E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pik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n d/1, e shtuar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nenin 22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ligjit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rPr>
                <w:rFonts w:ascii="Times New Roman" w:hAnsi="Times New Roman"/>
                <w:sz w:val="20"/>
                <w:lang w:val="sq-AL" w:eastAsia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sugjerojm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q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fjala “...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jasht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zakonshme.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..”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z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vend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sohet me fjal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n 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“...veçanta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...” </w:t>
            </w:r>
          </w:p>
          <w:p w:rsidR="0017562E" w:rsidRPr="00AF1FE3" w:rsidRDefault="0017562E" w:rsidP="0017562E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0"/>
                <w:lang w:val="sq-AL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iCs/>
                <w:sz w:val="20"/>
                <w:lang w:val="sq-AL"/>
              </w:rPr>
              <w:t>Shoqata Shqiptare e Bankave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21058A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refuzuar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Fjala e “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jasht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zakonshme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” e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rdorur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 pik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n d/1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shtuar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nenin 22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ligjit, 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sht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rputhje me nenin 53 pika 3 e direktiv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s.</w:t>
            </w:r>
          </w:p>
          <w:p w:rsidR="0017562E" w:rsidRPr="00AF1FE3" w:rsidRDefault="0017562E" w:rsidP="0017562E">
            <w:pPr>
              <w:jc w:val="both"/>
              <w:rPr>
                <w:rFonts w:ascii="Times New Roman" w:hAnsi="Times New Roman"/>
                <w:sz w:val="20"/>
                <w:lang w:val="sq-AL"/>
              </w:rPr>
            </w:pPr>
          </w:p>
        </w:tc>
      </w:tr>
      <w:tr w:rsidR="0017562E" w:rsidRPr="00AF1FE3" w:rsidTr="0017562E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Ndryshime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pik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n 2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nenit 28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ligjit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Z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vend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simi i togfjal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shit “sa her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ndryshohet” me  “jo m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pak se dy her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vit’”</w:t>
            </w:r>
          </w:p>
          <w:p w:rsidR="0017562E" w:rsidRPr="00AF1FE3" w:rsidRDefault="0017562E" w:rsidP="0017562E">
            <w:pPr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Dhe heqjen e togfjal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shit “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p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r 3 vitet e fundi”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Inspektorati i Lart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i Deklarimit dhe Kontrollit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Pasurive dhe Konfliktit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Interesave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21058A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refuzuar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jc w:val="both"/>
              <w:rPr>
                <w:rFonts w:ascii="Times New Roman" w:hAnsi="Times New Roman"/>
                <w:sz w:val="20"/>
                <w:lang w:val="sq-AL"/>
              </w:rPr>
            </w:pPr>
          </w:p>
          <w:p w:rsidR="0017562E" w:rsidRPr="00AF1FE3" w:rsidRDefault="0017562E" w:rsidP="0002709E">
            <w:pPr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R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nd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sia e paraqitjes 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list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 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personave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ekspozuar politikisht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m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nyr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elektronike “sa her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lastRenderedPageBreak/>
              <w:t>ndryshohet” dhe jo “jo m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pak se dy her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vit’” siç sugjerohet nga ILDKPKI, ka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b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j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me v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nien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dispozicion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list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 nga DPPPP, subjekteve raportuese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rmbushur detyrimet e tyre sipas nenit 7 “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Vigjilenca e zgjeruar e klientit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” dhe nenit 8 “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Kategorit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 xml:space="preserve"> e klient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ve dhe transaksioneve, ndaj t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 xml:space="preserve"> cil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ve zbatohet vigjilenca e zgjeruar”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.</w:t>
            </w:r>
          </w:p>
          <w:p w:rsidR="0017562E" w:rsidRPr="00AF1FE3" w:rsidRDefault="0017562E" w:rsidP="0002709E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i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Lidhur me togfjal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shin “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p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r tre vitet e fundit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”, po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nen, 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sht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parashikuar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 arsye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konformitetit me pik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n 10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nenit 2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ligjit ku parashikohet 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“...Kjo kategori personash konsiderohen “persona t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 xml:space="preserve"> ekspozuar politikisht” deri n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 xml:space="preserve"> 3 vite pas largimit nga funksioni”. </w:t>
            </w:r>
          </w:p>
          <w:p w:rsidR="0017562E" w:rsidRPr="00AF1FE3" w:rsidRDefault="0017562E" w:rsidP="0017562E">
            <w:pPr>
              <w:tabs>
                <w:tab w:val="center" w:pos="4320"/>
                <w:tab w:val="right" w:pos="8640"/>
              </w:tabs>
              <w:ind w:left="720"/>
              <w:jc w:val="both"/>
              <w:rPr>
                <w:rFonts w:ascii="Times New Roman" w:hAnsi="Times New Roman"/>
                <w:i/>
                <w:sz w:val="20"/>
                <w:lang w:val="sq-AL"/>
              </w:rPr>
            </w:pPr>
          </w:p>
          <w:p w:rsidR="0017562E" w:rsidRPr="00AF1FE3" w:rsidRDefault="0017562E" w:rsidP="0017562E">
            <w:pPr>
              <w:jc w:val="both"/>
              <w:rPr>
                <w:rFonts w:ascii="Times New Roman" w:hAnsi="Times New Roman"/>
                <w:sz w:val="20"/>
                <w:lang w:val="sq-AL"/>
              </w:rPr>
            </w:pPr>
          </w:p>
        </w:tc>
      </w:tr>
      <w:tr w:rsidR="0017562E" w:rsidRPr="00AF1FE3" w:rsidTr="0017562E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lastRenderedPageBreak/>
              <w:t>pik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n (e) dhe (nj)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nenit 3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ligjit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(Agjent, broker, sht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pi brokerimi)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z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vend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sohet me togfjal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shin “shoq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ri komisionere dhe agjent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t e tyre.’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Autoriteti i Mbik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qyrjes Financiare (AMF),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21058A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Pranuar pjes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risht.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02709E">
            <w:pPr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Autoriteti i Mbik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qyrjes Financiare (AMF), me email-in e dat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 05.05.2021, ka paraqitur sugjerime lidhur me pik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n (e) dhe (nj)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nenit 3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ligjit,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cilat pas shqyrtimit duke u bazuar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rkufizimin e dh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nenin 3, pika 2,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direktiv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s, u pasqyruan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projektligj duke 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z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vend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 xml:space="preserve">suar tek 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lastRenderedPageBreak/>
              <w:t>germa (e) togfjal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shin “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sht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>pi brokerimi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” me togfjal</w:t>
            </w:r>
            <w:r w:rsidR="00B35CE4" w:rsidRPr="00AF1FE3">
              <w:rPr>
                <w:rFonts w:ascii="Times New Roman" w:hAnsi="Times New Roman"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 w:eastAsia="bg-BG"/>
              </w:rPr>
              <w:t>shin “s</w:t>
            </w:r>
            <w:r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>hoq</w:t>
            </w:r>
            <w:r w:rsidR="00B35CE4"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>ë</w:t>
            </w:r>
            <w:r w:rsidRPr="00AF1FE3">
              <w:rPr>
                <w:rFonts w:ascii="Times New Roman" w:hAnsi="Times New Roman"/>
                <w:i/>
                <w:sz w:val="20"/>
                <w:lang w:val="sq-AL" w:eastAsia="bg-BG"/>
              </w:rPr>
              <w:t xml:space="preserve">ri </w:t>
            </w:r>
            <w:r w:rsidRPr="00AF1FE3">
              <w:rPr>
                <w:rFonts w:ascii="Times New Roman" w:hAnsi="Times New Roman"/>
                <w:i/>
                <w:sz w:val="20"/>
                <w:lang w:val="sq-AL"/>
              </w:rPr>
              <w:t xml:space="preserve">komisionere 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”.</w:t>
            </w:r>
          </w:p>
          <w:p w:rsidR="0017562E" w:rsidRPr="00AF1FE3" w:rsidRDefault="0017562E" w:rsidP="0002709E">
            <w:pPr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Pjesa tjet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 e komenteve, nuk u mor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n parasysh nga DPPPP pasi secila prej dispozitave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propozuara 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sht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e mb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shtetur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Direktiv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n (BE) 2015/849 ndryshuar me 2018/843. </w:t>
            </w:r>
          </w:p>
          <w:p w:rsidR="0017562E" w:rsidRPr="00AF1FE3" w:rsidRDefault="0017562E" w:rsidP="0017562E">
            <w:pPr>
              <w:jc w:val="both"/>
              <w:rPr>
                <w:rFonts w:ascii="Times New Roman" w:hAnsi="Times New Roman"/>
                <w:sz w:val="20"/>
                <w:lang w:val="sq-AL"/>
              </w:rPr>
            </w:pPr>
          </w:p>
        </w:tc>
      </w:tr>
      <w:tr w:rsidR="0017562E" w:rsidRPr="00AF1FE3" w:rsidTr="0017562E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lastRenderedPageBreak/>
              <w:t xml:space="preserve">Neni 27 i ligjit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Mungon 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rafrimi i  nenit 27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ligjit me nenin 59 (2) (e) t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</w:t>
            </w:r>
            <w:r w:rsidR="0002709E" w:rsidRPr="00AF1FE3">
              <w:rPr>
                <w:rFonts w:ascii="Times New Roman" w:hAnsi="Times New Roman"/>
                <w:sz w:val="20"/>
                <w:lang w:val="sq-AL"/>
              </w:rPr>
              <w:t>Direktiv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="0002709E" w:rsidRPr="00AF1FE3">
              <w:rPr>
                <w:rFonts w:ascii="Times New Roman" w:hAnsi="Times New Roman"/>
                <w:sz w:val="20"/>
                <w:lang w:val="sq-AL"/>
              </w:rPr>
              <w:t>s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pStyle w:val="BodyText"/>
              <w:rPr>
                <w:rFonts w:ascii="Times New Roman" w:hAnsi="Times New Roman"/>
                <w:iCs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Delegacioni i BE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Shqip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>ri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21058A">
            <w:pPr>
              <w:pStyle w:val="BodyText"/>
              <w:jc w:val="both"/>
              <w:rPr>
                <w:rFonts w:ascii="Times New Roman" w:hAnsi="Times New Roman"/>
                <w:sz w:val="20"/>
                <w:lang w:val="sq-AL"/>
              </w:rPr>
            </w:pPr>
            <w:r w:rsidRPr="00AF1FE3">
              <w:rPr>
                <w:rFonts w:ascii="Times New Roman" w:hAnsi="Times New Roman"/>
                <w:sz w:val="20"/>
                <w:lang w:val="sq-AL"/>
              </w:rPr>
              <w:t>Pranuar, duke u shtuar n</w:t>
            </w:r>
            <w:r w:rsidR="00B35CE4" w:rsidRPr="00AF1FE3">
              <w:rPr>
                <w:rFonts w:ascii="Times New Roman" w:hAnsi="Times New Roman"/>
                <w:sz w:val="20"/>
                <w:lang w:val="sq-AL"/>
              </w:rPr>
              <w:t>ë</w:t>
            </w:r>
            <w:r w:rsidRPr="00AF1FE3">
              <w:rPr>
                <w:rFonts w:ascii="Times New Roman" w:hAnsi="Times New Roman"/>
                <w:sz w:val="20"/>
                <w:lang w:val="sq-AL"/>
              </w:rPr>
              <w:t xml:space="preserve"> projektligj.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2E" w:rsidRPr="00AF1FE3" w:rsidRDefault="0017562E" w:rsidP="0017562E">
            <w:pPr>
              <w:jc w:val="both"/>
              <w:rPr>
                <w:rFonts w:ascii="Times New Roman" w:hAnsi="Times New Roman"/>
                <w:sz w:val="20"/>
                <w:lang w:val="sq-AL"/>
              </w:rPr>
            </w:pPr>
          </w:p>
        </w:tc>
      </w:tr>
    </w:tbl>
    <w:p w:rsidR="005B6D2B" w:rsidRPr="008A4CDD" w:rsidRDefault="005B6D2B">
      <w:pPr>
        <w:rPr>
          <w:rFonts w:ascii="Times New Roman" w:hAnsi="Times New Roman"/>
          <w:sz w:val="24"/>
          <w:szCs w:val="24"/>
          <w:lang w:val="sq-AL"/>
        </w:rPr>
      </w:pPr>
    </w:p>
    <w:sectPr w:rsidR="005B6D2B" w:rsidRPr="008A4CDD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C0502"/>
    <w:multiLevelType w:val="hybridMultilevel"/>
    <w:tmpl w:val="49860098"/>
    <w:lvl w:ilvl="0" w:tplc="317498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570B1"/>
    <w:multiLevelType w:val="hybridMultilevel"/>
    <w:tmpl w:val="54C0E25A"/>
    <w:lvl w:ilvl="0" w:tplc="1E446E1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C54D4"/>
    <w:multiLevelType w:val="multilevel"/>
    <w:tmpl w:val="1F2C2A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C110D1"/>
    <w:multiLevelType w:val="hybridMultilevel"/>
    <w:tmpl w:val="71EE1A5A"/>
    <w:lvl w:ilvl="0" w:tplc="FC8873D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F21E65"/>
    <w:multiLevelType w:val="hybridMultilevel"/>
    <w:tmpl w:val="9B04915C"/>
    <w:lvl w:ilvl="0" w:tplc="0409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21C3E"/>
    <w:rsid w:val="0002568A"/>
    <w:rsid w:val="0002709E"/>
    <w:rsid w:val="0004166D"/>
    <w:rsid w:val="000A636C"/>
    <w:rsid w:val="0017562E"/>
    <w:rsid w:val="00196392"/>
    <w:rsid w:val="001A5FF9"/>
    <w:rsid w:val="00260E60"/>
    <w:rsid w:val="00294A59"/>
    <w:rsid w:val="002A243B"/>
    <w:rsid w:val="002B161B"/>
    <w:rsid w:val="002C7B1D"/>
    <w:rsid w:val="00332DB4"/>
    <w:rsid w:val="00366BE6"/>
    <w:rsid w:val="00435429"/>
    <w:rsid w:val="00445CC3"/>
    <w:rsid w:val="004C1DBE"/>
    <w:rsid w:val="004C711D"/>
    <w:rsid w:val="004D418C"/>
    <w:rsid w:val="005A6E7D"/>
    <w:rsid w:val="005B1920"/>
    <w:rsid w:val="005B6D2B"/>
    <w:rsid w:val="00656BB0"/>
    <w:rsid w:val="00741C60"/>
    <w:rsid w:val="00765F3C"/>
    <w:rsid w:val="007755F2"/>
    <w:rsid w:val="008530A2"/>
    <w:rsid w:val="008A4CDD"/>
    <w:rsid w:val="008B7137"/>
    <w:rsid w:val="008B78AF"/>
    <w:rsid w:val="008D735E"/>
    <w:rsid w:val="008F44B1"/>
    <w:rsid w:val="0091093C"/>
    <w:rsid w:val="00963283"/>
    <w:rsid w:val="00965584"/>
    <w:rsid w:val="009B696C"/>
    <w:rsid w:val="00A06DA1"/>
    <w:rsid w:val="00A121AB"/>
    <w:rsid w:val="00A3438A"/>
    <w:rsid w:val="00AF1FE3"/>
    <w:rsid w:val="00B33196"/>
    <w:rsid w:val="00B35CE4"/>
    <w:rsid w:val="00C20DD3"/>
    <w:rsid w:val="00D35E2A"/>
    <w:rsid w:val="00DD5D4E"/>
    <w:rsid w:val="00E93100"/>
    <w:rsid w:val="00ED29E9"/>
    <w:rsid w:val="00EF0386"/>
    <w:rsid w:val="00EF4F89"/>
    <w:rsid w:val="00F03EFF"/>
    <w:rsid w:val="00F46EF6"/>
    <w:rsid w:val="00F86B3A"/>
    <w:rsid w:val="00FF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C432D4-36C4-4563-A6DC-6C8FF146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fint.gov.a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3497</Words>
  <Characters>19934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Megi Melani</cp:lastModifiedBy>
  <cp:revision>2</cp:revision>
  <dcterms:created xsi:type="dcterms:W3CDTF">2021-10-08T10:03:00Z</dcterms:created>
  <dcterms:modified xsi:type="dcterms:W3CDTF">2021-10-08T10:03:00Z</dcterms:modified>
</cp:coreProperties>
</file>