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Pr="00F40CEB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sq-AL"/>
        </w:rPr>
      </w:pPr>
      <w:bookmarkStart w:id="0" w:name="_GoBack"/>
      <w:bookmarkEnd w:id="0"/>
      <w:r w:rsidRPr="00F40CEB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MODEL</w:t>
      </w:r>
      <w:r w:rsidR="00463C25" w:rsidRPr="00F40CEB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 xml:space="preserve">I </w:t>
      </w:r>
      <w:r w:rsidRPr="00F40CEB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P</w:t>
      </w:r>
      <w:r w:rsidR="00044810" w:rsidRPr="00F40CEB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Ë</w:t>
      </w:r>
      <w:r w:rsidRPr="00F40CEB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R DOKUMENTIN KONSULTATIV</w:t>
      </w:r>
    </w:p>
    <w:p w14:paraId="6372D3DD" w14:textId="5CEBA4F9" w:rsidR="008675CA" w:rsidRDefault="00E54C97" w:rsidP="001E4573">
      <w:pPr>
        <w:pStyle w:val="BodyText"/>
        <w:jc w:val="center"/>
        <w:rPr>
          <w:rFonts w:ascii="Times New Roman" w:hAnsi="Times New Roman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t>P</w:t>
      </w:r>
      <w:r w:rsidR="00044810" w:rsidRPr="00F40CEB">
        <w:rPr>
          <w:rFonts w:asciiTheme="minorHAnsi" w:hAnsiTheme="minorHAnsi" w:cstheme="minorHAnsi"/>
          <w:szCs w:val="22"/>
          <w:lang w:val="sq-AL"/>
        </w:rPr>
        <w:t>ë</w:t>
      </w:r>
      <w:r w:rsidRPr="00F40CEB">
        <w:rPr>
          <w:rFonts w:asciiTheme="minorHAnsi" w:hAnsiTheme="minorHAnsi" w:cstheme="minorHAnsi"/>
          <w:szCs w:val="22"/>
          <w:lang w:val="sq-AL"/>
        </w:rPr>
        <w:t>r draftin</w:t>
      </w:r>
      <w:r w:rsidR="00A95AD7" w:rsidRPr="00F40CEB">
        <w:rPr>
          <w:rFonts w:asciiTheme="minorHAnsi" w:hAnsiTheme="minorHAnsi" w:cstheme="minorHAnsi"/>
          <w:szCs w:val="22"/>
          <w:lang w:val="sq-AL"/>
        </w:rPr>
        <w:t xml:space="preserve"> : </w:t>
      </w:r>
      <w:r w:rsidR="00A95AD7" w:rsidRPr="00F40CEB">
        <w:rPr>
          <w:rFonts w:ascii="Times New Roman" w:hAnsi="Times New Roman"/>
          <w:szCs w:val="22"/>
          <w:lang w:val="sq-AL"/>
        </w:rPr>
        <w:t>Projektligj</w:t>
      </w:r>
      <w:r w:rsidR="000F5EC8" w:rsidRPr="00F40CEB">
        <w:rPr>
          <w:rFonts w:ascii="Times New Roman" w:hAnsi="Times New Roman"/>
          <w:szCs w:val="22"/>
          <w:lang w:val="sq-AL"/>
        </w:rPr>
        <w:t>i</w:t>
      </w:r>
      <w:r w:rsidR="00A95AD7" w:rsidRPr="00F40CEB">
        <w:rPr>
          <w:rFonts w:ascii="Times New Roman" w:hAnsi="Times New Roman"/>
          <w:szCs w:val="22"/>
          <w:lang w:val="sq-AL"/>
        </w:rPr>
        <w:t xml:space="preserve"> “Për disa shtesa dhe ndryshime në ligjin nr. 9917, datë 19.05.2008 “Për parandalimin e pastrimit të parave dhe financimit të terrorizmit”, i ndryshuar</w:t>
      </w:r>
    </w:p>
    <w:p w14:paraId="6C9966CF" w14:textId="77777777" w:rsidR="00F40CEB" w:rsidRPr="00F40CEB" w:rsidRDefault="00F40CEB" w:rsidP="001E4573">
      <w:pPr>
        <w:pStyle w:val="BodyText"/>
        <w:jc w:val="center"/>
        <w:rPr>
          <w:rFonts w:asciiTheme="minorHAnsi" w:hAnsiTheme="minorHAnsi" w:cstheme="minorHAnsi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3BF55563" w14:textId="77777777" w:rsidTr="009F3A30">
        <w:tc>
          <w:tcPr>
            <w:tcW w:w="9212" w:type="dxa"/>
          </w:tcPr>
          <w:p w14:paraId="4736AAD0" w14:textId="182A22F7" w:rsidR="008675CA" w:rsidRPr="00F40CEB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E54C97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Përcaktoni/shkruani komentet e kujt po kërkoni (veçanërisht), p.sh. komente (t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E54C97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1743CC20" w14:textId="589F314D" w:rsidR="008675CA" w:rsidRPr="00F40CEB" w:rsidRDefault="00A95AD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Drejtoria e Përgjithshme e </w:t>
            </w:r>
            <w:r w:rsidR="00F40CEB" w:rsidRPr="00F40CEB">
              <w:rPr>
                <w:rFonts w:asciiTheme="minorHAnsi" w:hAnsiTheme="minorHAnsi" w:cstheme="minorHAnsi"/>
                <w:szCs w:val="22"/>
                <w:lang w:val="sq-AL"/>
              </w:rPr>
              <w:t>Parandalimit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të Pastrimit të Parave, ka kërkuar komente mbi projektligjin nga</w:t>
            </w:r>
            <w:r w:rsidR="00B11EA7" w:rsidRPr="00F40CEB">
              <w:rPr>
                <w:rFonts w:asciiTheme="minorHAnsi" w:hAnsiTheme="minorHAnsi" w:cstheme="minorHAnsi"/>
                <w:szCs w:val="22"/>
                <w:lang w:val="sq-AL"/>
              </w:rPr>
              <w:t>: Banka e Shqipërisë, bankat e nivelit të dytë (Credins Bank, OTP BANK, Banka Tirana, Alpha Bank Albania (ABA), Banka Kombëtare Tregtare (BKT), Raiffeisen Bank, Procredit-Group, Union Bank, Fibank, Intesa Sanpaolo Bank, American Bank of Investment (ABI), United Bank of Albania (UBA)), me instituionin financiar jobank (Ak-Invest), shoqëritë e transfertave  (Union Fina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nciar Tiranë (UFT) dhe Easypay), Dhoma e Avokatëve të Shqipërisë (DhASH), Dhoma e Noterëve të Shqipërisë (DHNSH), agjentë te pasurive të  paluajtshme dhe nga shoqata e ndërtuesve, </w:t>
            </w:r>
            <w:r w:rsidR="00B11EA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Bordi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i </w:t>
            </w:r>
            <w:r w:rsidR="00B11EA7" w:rsidRPr="00F40CEB">
              <w:rPr>
                <w:rFonts w:asciiTheme="minorHAnsi" w:hAnsiTheme="minorHAnsi" w:cstheme="minorHAnsi"/>
                <w:szCs w:val="22"/>
                <w:lang w:val="sq-AL"/>
              </w:rPr>
              <w:t>Mbikëqyrjes Publi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ke (BMP), IEKA, Posta Shqiptare, </w:t>
            </w:r>
            <w:r w:rsidR="00B11EA7" w:rsidRPr="00F40CEB">
              <w:rPr>
                <w:rFonts w:asciiTheme="minorHAnsi" w:hAnsiTheme="minorHAnsi" w:cstheme="minorHAnsi"/>
                <w:szCs w:val="22"/>
                <w:lang w:val="sq-AL"/>
              </w:rPr>
              <w:t>kompan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ia e auditimit Deloide Albania, nga </w:t>
            </w:r>
            <w:r w:rsidR="00B11EA7" w:rsidRPr="00F40CEB">
              <w:rPr>
                <w:rFonts w:asciiTheme="minorHAnsi" w:hAnsiTheme="minorHAnsi" w:cstheme="minorHAnsi"/>
                <w:szCs w:val="22"/>
                <w:lang w:val="sq-AL"/>
              </w:rPr>
              <w:t>eksperti ndërkombëtar i GIZ dhe Delegacioni i BE në Shqipëri.</w:t>
            </w:r>
          </w:p>
          <w:p w14:paraId="1EFAA3F2" w14:textId="30D553FC" w:rsidR="001E4573" w:rsidRPr="00F40CEB" w:rsidRDefault="00A95AD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Gjithashtu jan</w:t>
            </w:r>
            <w:r w:rsidR="00FB0FB4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k</w:t>
            </w:r>
            <w:r w:rsidR="00FB0FB4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rkuar komente edhe nga </w:t>
            </w:r>
            <w:r w:rsidR="00B11EA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Ministria e Drejtësisë, Agjencia Kombëtare e Shoqërisë së Informacionit, Inspektorati i Lartë i Deklarimit dhe Kontrollit të Pasurive dhe Konfliktit të Interesave, Autoriteti i Mbikëqyrjes Financiare. </w:t>
            </w:r>
          </w:p>
          <w:p w14:paraId="107036DC" w14:textId="77777777" w:rsidR="001E4573" w:rsidRPr="00F40CEB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4DD98B09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DB7AA78" w14:textId="77777777" w:rsidR="008675CA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t>Kohëzgjatja e konsultimeve</w:t>
      </w:r>
      <w:r w:rsidR="008675CA" w:rsidRPr="00F40CEB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0A95A18B" w14:textId="77777777" w:rsidTr="009F3A30">
        <w:tc>
          <w:tcPr>
            <w:tcW w:w="9212" w:type="dxa"/>
          </w:tcPr>
          <w:p w14:paraId="7A137B08" w14:textId="3D5D27CE" w:rsidR="008675CA" w:rsidRPr="00F40CEB" w:rsidRDefault="00FB0FB4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Konsultimi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5F2E7B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me subjektet dhe </w:t>
            </w:r>
            <w:r w:rsidR="00F40CEB" w:rsidRPr="00F40CEB">
              <w:rPr>
                <w:rFonts w:asciiTheme="minorHAnsi" w:hAnsiTheme="minorHAnsi" w:cstheme="minorHAnsi"/>
                <w:szCs w:val="22"/>
                <w:lang w:val="sq-AL"/>
              </w:rPr>
              <w:t>Institucionet</w:t>
            </w:r>
            <w:r w:rsidR="005F2E7B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si m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sip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r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sht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realizuar p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r periudh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n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janar 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2021-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maj 2021.</w:t>
            </w:r>
          </w:p>
          <w:p w14:paraId="5863E002" w14:textId="77777777" w:rsidR="001E4573" w:rsidRPr="00F40CEB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29630BCB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7C82A5C" w14:textId="77777777" w:rsidR="008675CA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0FF81B91" w14:textId="77777777" w:rsidTr="009F3A30">
        <w:tc>
          <w:tcPr>
            <w:tcW w:w="9212" w:type="dxa"/>
          </w:tcPr>
          <w:p w14:paraId="350DED6E" w14:textId="77777777" w:rsidR="008675CA" w:rsidRPr="00F40CEB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Shkruani si mund të p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rgjigjen  palët e interesuara/publiku në konsultime, p.sh. Me email:, Me post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në:, Duke plotësuar formularin në internet në RENJKP (siguroni linket e drejtpërdrejta)</w:t>
            </w:r>
            <w:r w:rsidR="008675CA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.</w:t>
            </w:r>
          </w:p>
          <w:p w14:paraId="725A5EEA" w14:textId="6D0C35FA" w:rsidR="008675CA" w:rsidRPr="00F40CEB" w:rsidRDefault="00B11EA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Subjektet dhe Institucionet si m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sip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r </w:t>
            </w:r>
            <w:r w:rsidR="00FB0FB4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janë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rgjigj</w:t>
            </w:r>
            <w:r w:rsidR="00FB0FB4" w:rsidRPr="00F40CEB">
              <w:rPr>
                <w:rFonts w:asciiTheme="minorHAnsi" w:hAnsiTheme="minorHAnsi" w:cstheme="minorHAnsi"/>
                <w:szCs w:val="22"/>
                <w:lang w:val="sq-AL"/>
              </w:rPr>
              <w:t>ur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n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rmjet adres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s elektronike, n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rmjet form</w:t>
            </w:r>
            <w:r w:rsidR="00A95AD7" w:rsidRPr="00F40CE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s shkresore </w:t>
            </w:r>
            <w:r w:rsidR="00FB0FB4"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si edhe në takim online.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</w:p>
        </w:tc>
      </w:tr>
    </w:tbl>
    <w:p w14:paraId="3C463429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C4BE25B" w14:textId="77777777" w:rsidR="008675CA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t>Kontakti</w:t>
      </w:r>
      <w:r w:rsidR="008675CA" w:rsidRPr="00F40CEB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12B24D1C" w14:textId="77777777" w:rsidTr="009F3A30">
        <w:tc>
          <w:tcPr>
            <w:tcW w:w="9212" w:type="dxa"/>
          </w:tcPr>
          <w:p w14:paraId="28B50E73" w14:textId="77777777" w:rsidR="008675CA" w:rsidRPr="00F40CEB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Duhet t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jepen t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dh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nat e kontaktit të koordinatorit përkatës për konsultime publike dhe /ose të ndonjë personi tjetër t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cilit i drejtohen pyetjet.</w:t>
            </w:r>
          </w:p>
          <w:p w14:paraId="44F81729" w14:textId="3ACDDF53" w:rsidR="009A11A2" w:rsidRPr="00F40CEB" w:rsidRDefault="0019291B" w:rsidP="009A11A2">
            <w:pPr>
              <w:rPr>
                <w:rFonts w:ascii="Times New Roman" w:eastAsia="Calibri" w:hAnsi="Times New Roman"/>
                <w:szCs w:val="22"/>
                <w:lang w:val="sq-AL"/>
              </w:rPr>
            </w:pPr>
            <w:r w:rsidRPr="00F40CEB">
              <w:rPr>
                <w:rFonts w:ascii="Times New Roman" w:eastAsia="Calibri" w:hAnsi="Times New Roman"/>
                <w:szCs w:val="22"/>
                <w:lang w:val="sq-AL"/>
              </w:rPr>
              <w:t xml:space="preserve">Z. </w:t>
            </w:r>
            <w:r w:rsidR="009A11A2" w:rsidRPr="00F40CEB">
              <w:rPr>
                <w:rFonts w:ascii="Times New Roman" w:eastAsia="Calibri" w:hAnsi="Times New Roman"/>
                <w:szCs w:val="22"/>
                <w:lang w:val="sq-AL"/>
              </w:rPr>
              <w:t>Elvis Koçi</w:t>
            </w:r>
            <w:r w:rsidRPr="00F40CEB">
              <w:rPr>
                <w:rFonts w:ascii="Times New Roman" w:eastAsia="Calibri" w:hAnsi="Times New Roman"/>
                <w:szCs w:val="22"/>
                <w:lang w:val="sq-AL"/>
              </w:rPr>
              <w:t xml:space="preserve"> (Drejtor i Përgjithshëm i Drejtorisë Së Përgjithshme të Parandalimit të Pastrimit të Parave.</w:t>
            </w:r>
          </w:p>
          <w:p w14:paraId="4A967D2C" w14:textId="77777777" w:rsidR="009A11A2" w:rsidRPr="00F40CEB" w:rsidRDefault="0019291B" w:rsidP="009A11A2">
            <w:pPr>
              <w:rPr>
                <w:rStyle w:val="Hyperlink"/>
                <w:rFonts w:ascii="Times New Roman" w:eastAsia="Calibri" w:hAnsi="Times New Roman"/>
                <w:szCs w:val="22"/>
                <w:lang w:val="sq-AL"/>
              </w:rPr>
            </w:pPr>
            <w:r w:rsidRPr="00F40CEB">
              <w:rPr>
                <w:lang w:val="sq-AL"/>
              </w:rPr>
              <w:t xml:space="preserve">Email: </w:t>
            </w:r>
            <w:hyperlink r:id="rId5" w:history="1">
              <w:r w:rsidR="009A11A2" w:rsidRPr="00F40CEB">
                <w:rPr>
                  <w:rStyle w:val="Hyperlink"/>
                  <w:rFonts w:ascii="Times New Roman" w:eastAsia="Calibri" w:hAnsi="Times New Roman"/>
                  <w:szCs w:val="22"/>
                  <w:lang w:val="sq-AL"/>
                </w:rPr>
                <w:t>ekoci@fint.gov.al</w:t>
              </w:r>
            </w:hyperlink>
          </w:p>
          <w:p w14:paraId="3637B89E" w14:textId="62E02E06" w:rsidR="00363F84" w:rsidRPr="00F40CEB" w:rsidRDefault="00363F84" w:rsidP="009A11A2">
            <w:pPr>
              <w:rPr>
                <w:rFonts w:ascii="Times New Roman" w:eastAsia="Calibri" w:hAnsi="Times New Roman"/>
                <w:szCs w:val="22"/>
                <w:lang w:val="sq-AL"/>
              </w:rPr>
            </w:pPr>
            <w:r w:rsidRPr="00F40CEB">
              <w:rPr>
                <w:rStyle w:val="Hyperlink"/>
                <w:rFonts w:ascii="Times New Roman" w:eastAsia="Calibri" w:hAnsi="Times New Roman"/>
                <w:szCs w:val="22"/>
                <w:lang w:val="sq-AL"/>
              </w:rPr>
              <w:t>info@fint.gov.al</w:t>
            </w:r>
          </w:p>
        </w:tc>
      </w:tr>
    </w:tbl>
    <w:p w14:paraId="5D44D821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1D6E4131" w14:textId="77777777" w:rsidR="0019291B" w:rsidRPr="00F40CEB" w:rsidRDefault="0019291B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9C7B04C" w14:textId="77777777" w:rsidR="0019291B" w:rsidRPr="00F40CEB" w:rsidRDefault="0019291B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66A73DD" w14:textId="77777777" w:rsidR="000F5EC8" w:rsidRPr="00F40CEB" w:rsidRDefault="000F5EC8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3524433B" w14:textId="77777777" w:rsidR="008675CA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lastRenderedPageBreak/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7239AD1E" w14:textId="77777777" w:rsidTr="009F3A30">
        <w:tc>
          <w:tcPr>
            <w:tcW w:w="9212" w:type="dxa"/>
          </w:tcPr>
          <w:p w14:paraId="4B33EEB9" w14:textId="77777777" w:rsidR="008675CA" w:rsidRPr="00F40CEB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Siguroni informacionin nëse ato janë të organizuar.</w:t>
            </w:r>
          </w:p>
          <w:p w14:paraId="3FE4C0C9" w14:textId="77777777" w:rsidR="00F52AA2" w:rsidRPr="00F40CEB" w:rsidRDefault="00F52AA2" w:rsidP="00F52AA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Datat dhe vendet e konsultimeve:</w:t>
            </w:r>
          </w:p>
          <w:p w14:paraId="45C4B723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Eksperti ndërkombëtar e GIZ ka paraqitur komentet me emailin e datës 08.01.2021;</w:t>
            </w:r>
          </w:p>
          <w:p w14:paraId="26B28492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Delegacioni I BE në Shqipëri paraqiti komente me emailin e datës 11.02.2021;</w:t>
            </w:r>
          </w:p>
          <w:p w14:paraId="29949A20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540"/>
              </w:tabs>
              <w:ind w:left="540" w:hanging="180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Me subjektet: Banka e Shqipërisë, bankat e nivelit të dytë (Credins Bank, OTP BANK, Banka Tirana, Alpha Bank Albania (ABA), Banka Kombëtare Tregtare (BKT), Raiffeisen Bank, Procredit-Group, Union Bank, Fibank, Intesa Sanpaolo Bank, American Bank of Investment (ABI), United Bank of Albania (UBA)), me instituionin financiar jobank (Ak-Invest), shoqëritë e transfertave  (Union Financiar Tiranë (UFT) dhe Easypay), Bordi i Mbikëqyrjes Publike (BMP), IEKA, Posta Shqiptare, kompania e auditimit Deloide Albania u organizua takim online në datë 23.02.2021.</w:t>
            </w:r>
          </w:p>
          <w:p w14:paraId="44E9833C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Ministria e Drejtësisë paraqiti komente me shkresën e datës 07.04.2021;</w:t>
            </w:r>
          </w:p>
          <w:p w14:paraId="4D5C64D2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Agjencia Kombëtare e Shoqërisë së Informacionit, paraqiti komente me shkresën e datës 02.04.2021,</w:t>
            </w:r>
          </w:p>
          <w:p w14:paraId="6C94A5D3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Banka e Shqipërisë, paraqiti komente me email-in e datës 05.05.2021;</w:t>
            </w:r>
          </w:p>
          <w:p w14:paraId="1DAA922E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Shoqata Shqiptare e Bankave, paraqiti komente me email-in e datës 12.05.2021;</w:t>
            </w:r>
          </w:p>
          <w:p w14:paraId="33B6B239" w14:textId="77777777" w:rsidR="00F52AA2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-Inspektorati i Lartë i Deklarimit dhe Kontrollit të Pasurive dhe Konfliktit të Interesave, paraqiti komente me email-in e datës 05.05.2021;</w:t>
            </w:r>
          </w:p>
          <w:p w14:paraId="225A0334" w14:textId="3C2427DB" w:rsidR="00E54C97" w:rsidRPr="00F40CEB" w:rsidRDefault="00F52AA2" w:rsidP="00F52AA2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Autoriteti i Mbikëqyrjes Financiare, paraqiti komente me email-in e datës 05.05.2021</w:t>
            </w:r>
            <w:r w:rsidRPr="00F40CE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B33FD3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CA45918" w14:textId="77777777" w:rsidR="008675CA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5017327A" w14:textId="77777777" w:rsidTr="009F3A30">
        <w:tc>
          <w:tcPr>
            <w:tcW w:w="9212" w:type="dxa"/>
          </w:tcPr>
          <w:p w14:paraId="27FAC696" w14:textId="58BFDFA3" w:rsidR="001E4573" w:rsidRPr="00F40CEB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rregulloreve ekzistuese, çfar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r w:rsidR="00F40CEB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është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bërë në të kaluarën ashtu siç duhet me </w:t>
            </w:r>
            <w:r w:rsidR="00F40CEB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këto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politika.</w:t>
            </w:r>
          </w:p>
          <w:p w14:paraId="2CEFB09B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1F0C1B3" w14:textId="4ECE9E54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Lidhur me problematikat që janë evidentuar  në ligjin ekzistues nr. 9917/2008, janë si më poshtë:</w:t>
            </w:r>
          </w:p>
          <w:p w14:paraId="0256E428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C43B57D" w14:textId="511E3D66" w:rsidR="0019291B" w:rsidRPr="00F40CEB" w:rsidRDefault="0019291B" w:rsidP="0019291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Ligji 9917/2008 ka të parashikuar përkufizimet por jo plotësisht në përputhje me Direktivën e BE AML, konkretisht sa i përket përkufizimit të “Bankës guaskë”, “marrëdhënieve korrespondente”, “personave të ekspozuat politikisht”, “pronarë përfitues”, “trust dhe kujdestari” si dhe përafrimin e përkufizimeve me kuadrin e ri ligjor në lidhje me ofruesit e shërbimit të kujdestarit të portofolit. </w:t>
            </w:r>
          </w:p>
          <w:p w14:paraId="3C963E7F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6AE86FEA" w14:textId="77777777" w:rsidR="0019291B" w:rsidRPr="00F40CEB" w:rsidRDefault="0019291B" w:rsidP="0019291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Ka mangësi në lidhje me mosparashikimin e të gjitha subjekteve që i nënshtrohen ligjit 9917/2008 ose subjektet raportuese:</w:t>
            </w:r>
          </w:p>
          <w:p w14:paraId="721A65C8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Ka disa paqartësi të cilat janë evidentuar si gjatë zbatimit të ligjit 9917/2008 por edhe gjatë hartimit të tabelës së përputhshmërisë. Në këtë kuadër lind nevoja për përputhshmërinë e plotë të nenit 3 të ligjit 9917/2008 me Direktivën e BE AML</w:t>
            </w:r>
          </w:p>
          <w:p w14:paraId="79BF9A92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Gjithashtu në funksion të përputhshmërisë të plotë në projektligj janë parashikuar edhe shtimi i subjekteve të tjera raportuese si shitësit e veprave të artit, kërkesën për të raportuar ndërmjetësit e pasurive të paluajtshme çdo transaksion mbi 500.000 lek në rastet e dhënies me qera, si dhe përfshirjen si subjekt raportues të çdo individi, person fizik apo juridik që tregtojnë mallra mbi 1.000.000 lek. </w:t>
            </w:r>
          </w:p>
          <w:p w14:paraId="19113747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448265FA" w14:textId="07784BA7" w:rsidR="0019291B" w:rsidRPr="00F40CEB" w:rsidRDefault="0019291B" w:rsidP="0019291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“Vigjilenca e duhur ndaj klientit” parim bazë mbi të cilin ngrihet dhe vepron sistemi parandalues i pastrimit te parave dhe financimit te terrorizmit, në ligjin 9917/2008 (i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lastRenderedPageBreak/>
              <w:t xml:space="preserve">ndryshuar), nuk ka të sanksionuar masat që duhet të merren nga subjektet në rastin e </w:t>
            </w:r>
            <w:r w:rsidRPr="00F40CEB">
              <w:rPr>
                <w:rFonts w:asciiTheme="minorHAnsi" w:hAnsiTheme="minorHAnsi" w:cstheme="minorHAnsi"/>
                <w:szCs w:val="22"/>
                <w:lang w:val="sq-AL" w:eastAsia="bg-BG"/>
              </w:rPr>
              <w:t>sigurimit të jetës apo sigurimet e tjera të lidhura me investimet.</w:t>
            </w:r>
          </w:p>
          <w:p w14:paraId="598EF0B9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5BB5DF4B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 w:eastAsia="bg-BG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Projektligji, në përputhje me Direktivën </w:t>
            </w:r>
            <w:r w:rsidRPr="00F40CEB">
              <w:rPr>
                <w:rStyle w:val="fontstyle01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Direktiva (BE) 2015/ 849, ka parashikuar në mënyrë të detajuar masat që duhet të merren nga subjektet, 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në rastin e </w:t>
            </w:r>
            <w:r w:rsidRPr="00F40CEB">
              <w:rPr>
                <w:rFonts w:asciiTheme="minorHAnsi" w:hAnsiTheme="minorHAnsi" w:cstheme="minorHAnsi"/>
                <w:szCs w:val="22"/>
                <w:lang w:val="sq-AL" w:eastAsia="bg-BG"/>
              </w:rPr>
              <w:t>sigurimit të jetës apo sigurimet e tjera të lidhura me investimet.</w:t>
            </w:r>
          </w:p>
          <w:p w14:paraId="6B442446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Cs w:val="22"/>
                <w:lang w:val="sq-AL" w:eastAsia="bg-BG"/>
              </w:rPr>
            </w:pPr>
          </w:p>
          <w:p w14:paraId="30307E14" w14:textId="77777777" w:rsidR="0019291B" w:rsidRPr="00F40CEB" w:rsidRDefault="0019291B" w:rsidP="0019291B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 w:eastAsia="bg-BG"/>
              </w:rPr>
              <w:t>Afati i shkurtër i ruajtjes së dokumentacionit, nga subjektet zbatuese të ligjit 9917/2008.</w:t>
            </w:r>
          </w:p>
          <w:p w14:paraId="4F618747" w14:textId="77777777" w:rsidR="0019291B" w:rsidRPr="00F40CEB" w:rsidRDefault="0019291B" w:rsidP="0019291B">
            <w:pPr>
              <w:spacing w:line="276" w:lineRule="auto"/>
              <w:ind w:left="360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6B8F899B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Projektligji zgjat në mënyrë të konsiderueshme afatin e ruajtjes së dokumentacionit, duke i mundësuar kështu autoriteteve kompetente për të kryer hetimin, ndjekjen penale dhe gjykimin e veprave penale të pastrimit të parave dhe financimit të terrorizmit.</w:t>
            </w:r>
          </w:p>
          <w:p w14:paraId="7C9EDED7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75D7CEB8" w14:textId="77777777" w:rsidR="0019291B" w:rsidRPr="00F40CEB" w:rsidRDefault="0019291B" w:rsidP="0019291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“Vigjilenca e zgjeruar e klientit”, në lidhje me mosparashikimin e të gjitha kategorive të klientëve dhe transaksioneve ndaj të cilëve zbatohet vigjilenca e zgjeruar: </w:t>
            </w:r>
          </w:p>
          <w:p w14:paraId="73226958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Tabela e përputhshmërisë evidentoi nevojën për të përputhur nenin 7, 8 dhe 24/1 me neni 18 (3-4) të direktivës sa i përket kategorisë të klientëve dhe transaksioneve ndaj të cilëve zbatohet vigjilenca e zgjeruar. Për këtë qëllim është propozuar në projektligj ndryshimi i pikës 1 të nenit 7, si dhe janë propozuar për tu shtuar pikat 5/1 në nenin 8 të cilat pasqyrojnë në mënyrë të hollësishme procedurat që duhet të ndiqen në rastet e vigjilencës së zgjeruar për vendosjen e marrëdhënieve të biznesit apo transaksione me vendet me risk të lartë, të cilat nuk janë aktualisht të parashikuara në ligjit 9917/2008 (i ndryshuar). </w:t>
            </w:r>
          </w:p>
          <w:p w14:paraId="0A304298" w14:textId="77777777" w:rsidR="0019291B" w:rsidRPr="00F40CEB" w:rsidRDefault="0019291B" w:rsidP="0019291B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78776ACD" w14:textId="77777777" w:rsidR="0019291B" w:rsidRPr="00F40CEB" w:rsidRDefault="0019291B" w:rsidP="0019291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Sanksionet administrative të vlerësuara nga FATF dhe Moneyval shumë të ulta.</w:t>
            </w:r>
          </w:p>
          <w:p w14:paraId="18493369" w14:textId="77777777" w:rsidR="0019291B" w:rsidRPr="00F40CEB" w:rsidRDefault="0019291B" w:rsidP="0019291B">
            <w:pPr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Ligji 9917/2008 (i ndryshuar) vlerësuar nga FATF dhe Moneyval ka nxjerrë si mangësi parashikimin e masave/ sanksioneve administrative shumë të ulta në krahasim me ato që Direktiva parashikon por edhe në përmbushje të parimit “sanksione proporcionale dhe frenuese”. Në këtë linjë në projektligj është propozuar shtimi i germës (e) në neni 27 me qëllim përafrimin e plotë me Direktivën BE AML.</w:t>
            </w:r>
          </w:p>
          <w:p w14:paraId="5AA12C4D" w14:textId="77777777" w:rsidR="001E4573" w:rsidRPr="00F40CEB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</w:p>
          <w:p w14:paraId="7590D3B8" w14:textId="743D9ACD" w:rsidR="001E4573" w:rsidRPr="00F40CEB" w:rsidRDefault="00F52AA2" w:rsidP="00F52AA2">
            <w:pPr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>Nevoja e ndërhyrjes lidhet me mbrojtjen e sistemit financiar dhe e ekonomisë në tërësi nga kërcënimet e pastrimit të parave dhe financimit të terrorizmit, duke forcuar integritetin e sistemit parandalues në vend dhe duke kontribuar për paqen dhe sigurinë dhe gjithashtu harmonizimi i plotë me Direktivat e BE kundër pastrimit të parave, brenda periudhës 2020-2021.</w:t>
            </w:r>
          </w:p>
        </w:tc>
      </w:tr>
    </w:tbl>
    <w:p w14:paraId="24F85D3F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71DF514" w14:textId="77777777" w:rsidR="00E54C97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034FED24" w14:textId="77777777" w:rsidR="008675CA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59FC2C08" w14:textId="77777777" w:rsidTr="009F3A30">
        <w:tc>
          <w:tcPr>
            <w:tcW w:w="9212" w:type="dxa"/>
          </w:tcPr>
          <w:p w14:paraId="2C492EA2" w14:textId="7DCF806A" w:rsidR="008675CA" w:rsidRPr="00F40CEB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gjuhë të thjeshtë.</w:t>
            </w:r>
          </w:p>
          <w:p w14:paraId="5CDC2BD6" w14:textId="41B4253B" w:rsidR="00F4658D" w:rsidRPr="00F40CEB" w:rsidRDefault="009A11A2" w:rsidP="00F4658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lang w:val="sq-AL"/>
              </w:rPr>
            </w:pPr>
            <w:r w:rsidRPr="00F40CEB">
              <w:rPr>
                <w:rFonts w:ascii="Times New Roman" w:hAnsi="Times New Roman"/>
                <w:i/>
                <w:szCs w:val="22"/>
                <w:lang w:val="sq-AL"/>
              </w:rPr>
              <w:t xml:space="preserve">Ndryshime </w:t>
            </w:r>
            <w:r w:rsidR="00F4658D" w:rsidRPr="00F40CEB">
              <w:rPr>
                <w:rFonts w:ascii="Times New Roman" w:hAnsi="Times New Roman"/>
                <w:i/>
                <w:szCs w:val="22"/>
                <w:lang w:val="sq-AL"/>
              </w:rPr>
              <w:t>lid</w:t>
            </w:r>
            <w:r w:rsidR="009B5161" w:rsidRPr="00F40CEB">
              <w:rPr>
                <w:rFonts w:ascii="Times New Roman" w:hAnsi="Times New Roman"/>
                <w:i/>
                <w:szCs w:val="22"/>
                <w:lang w:val="sq-AL"/>
              </w:rPr>
              <w:t>h</w:t>
            </w:r>
            <w:r w:rsidR="00F4658D" w:rsidRPr="00F40CEB">
              <w:rPr>
                <w:rFonts w:ascii="Times New Roman" w:hAnsi="Times New Roman"/>
                <w:i/>
                <w:szCs w:val="22"/>
                <w:lang w:val="sq-AL"/>
              </w:rPr>
              <w:t xml:space="preserve">ur me </w:t>
            </w:r>
            <w:r w:rsidR="00F40CEB" w:rsidRPr="00F40CEB">
              <w:rPr>
                <w:rFonts w:ascii="Times New Roman" w:hAnsi="Times New Roman"/>
                <w:i/>
                <w:szCs w:val="22"/>
                <w:lang w:val="sq-AL"/>
              </w:rPr>
              <w:t>përkufizimet</w:t>
            </w:r>
            <w:r w:rsidR="00F4658D" w:rsidRPr="00F40CEB">
              <w:rPr>
                <w:rFonts w:ascii="Times New Roman" w:hAnsi="Times New Roman"/>
                <w:i/>
                <w:szCs w:val="22"/>
                <w:lang w:val="sq-AL"/>
              </w:rPr>
              <w:t xml:space="preserve"> e </w:t>
            </w:r>
            <w:r w:rsidR="000936A4" w:rsidRPr="00F40CEB">
              <w:rPr>
                <w:rFonts w:ascii="Times New Roman" w:hAnsi="Times New Roman"/>
                <w:i/>
                <w:lang w:val="sq-AL"/>
              </w:rPr>
              <w:t>termave t</w:t>
            </w:r>
            <w:r w:rsidR="00A95AD7" w:rsidRPr="00F40CEB">
              <w:rPr>
                <w:rFonts w:ascii="Times New Roman" w:hAnsi="Times New Roman"/>
                <w:i/>
                <w:lang w:val="sq-AL"/>
              </w:rPr>
              <w:t>ë</w:t>
            </w:r>
            <w:r w:rsidR="000936A4" w:rsidRPr="00F40CEB">
              <w:rPr>
                <w:rFonts w:ascii="Times New Roman" w:hAnsi="Times New Roman"/>
                <w:i/>
                <w:lang w:val="sq-AL"/>
              </w:rPr>
              <w:t xml:space="preserve"> p</w:t>
            </w:r>
            <w:r w:rsidR="00A95AD7" w:rsidRPr="00F40CEB">
              <w:rPr>
                <w:rFonts w:ascii="Times New Roman" w:hAnsi="Times New Roman"/>
                <w:i/>
                <w:lang w:val="sq-AL"/>
              </w:rPr>
              <w:t>ë</w:t>
            </w:r>
            <w:r w:rsidR="000936A4" w:rsidRPr="00F40CEB">
              <w:rPr>
                <w:rFonts w:ascii="Times New Roman" w:hAnsi="Times New Roman"/>
                <w:i/>
                <w:lang w:val="sq-AL"/>
              </w:rPr>
              <w:t>rdorur n</w:t>
            </w:r>
            <w:r w:rsidR="00A95AD7" w:rsidRPr="00F40CEB">
              <w:rPr>
                <w:rFonts w:ascii="Times New Roman" w:hAnsi="Times New Roman"/>
                <w:i/>
                <w:lang w:val="sq-AL"/>
              </w:rPr>
              <w:t>ë</w:t>
            </w:r>
            <w:r w:rsidR="000936A4" w:rsidRPr="00F40CEB">
              <w:rPr>
                <w:rFonts w:ascii="Times New Roman" w:hAnsi="Times New Roman"/>
                <w:i/>
                <w:lang w:val="sq-AL"/>
              </w:rPr>
              <w:t xml:space="preserve"> ligj;</w:t>
            </w:r>
          </w:p>
          <w:p w14:paraId="6FCAA53D" w14:textId="2AC60133" w:rsidR="00F4658D" w:rsidRPr="00F40CEB" w:rsidRDefault="00F4658D" w:rsidP="00F4658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lang w:val="sq-AL"/>
              </w:rPr>
            </w:pPr>
            <w:r w:rsidRPr="00F40CEB">
              <w:rPr>
                <w:rFonts w:ascii="Times New Roman" w:hAnsi="Times New Roman"/>
                <w:i/>
                <w:lang w:val="sq-AL"/>
              </w:rPr>
              <w:t xml:space="preserve">Ndryshime </w:t>
            </w:r>
            <w:r w:rsidR="009B5161" w:rsidRPr="00F40CEB">
              <w:rPr>
                <w:rFonts w:ascii="Times New Roman" w:hAnsi="Times New Roman"/>
                <w:i/>
                <w:lang w:val="sq-AL"/>
              </w:rPr>
              <w:t>lidhur me s</w:t>
            </w:r>
            <w:r w:rsidRPr="00F40CEB">
              <w:rPr>
                <w:rFonts w:ascii="Times New Roman" w:hAnsi="Times New Roman"/>
                <w:i/>
                <w:lang w:val="sq-AL"/>
              </w:rPr>
              <w:t>ubjektet q</w:t>
            </w:r>
            <w:r w:rsidR="00A95AD7" w:rsidRPr="00F40CEB">
              <w:rPr>
                <w:rFonts w:ascii="Times New Roman" w:hAnsi="Times New Roman"/>
                <w:i/>
                <w:lang w:val="sq-AL"/>
              </w:rPr>
              <w:t>ë</w:t>
            </w:r>
            <w:r w:rsidRPr="00F40CEB">
              <w:rPr>
                <w:rFonts w:ascii="Times New Roman" w:hAnsi="Times New Roman"/>
                <w:i/>
                <w:lang w:val="sq-AL"/>
              </w:rPr>
              <w:t xml:space="preserve"> i n</w:t>
            </w:r>
            <w:r w:rsidR="00A95AD7" w:rsidRPr="00F40CEB">
              <w:rPr>
                <w:rFonts w:ascii="Times New Roman" w:hAnsi="Times New Roman"/>
                <w:i/>
                <w:lang w:val="sq-AL"/>
              </w:rPr>
              <w:t>ë</w:t>
            </w:r>
            <w:r w:rsidRPr="00F40CEB">
              <w:rPr>
                <w:rFonts w:ascii="Times New Roman" w:hAnsi="Times New Roman"/>
                <w:i/>
                <w:lang w:val="sq-AL"/>
              </w:rPr>
              <w:t>nshtrohen k</w:t>
            </w:r>
            <w:r w:rsidR="00A95AD7" w:rsidRPr="00F40CEB">
              <w:rPr>
                <w:rFonts w:ascii="Times New Roman" w:hAnsi="Times New Roman"/>
                <w:i/>
                <w:lang w:val="sq-AL"/>
              </w:rPr>
              <w:t>ë</w:t>
            </w:r>
            <w:r w:rsidRPr="00F40CEB">
              <w:rPr>
                <w:rFonts w:ascii="Times New Roman" w:hAnsi="Times New Roman"/>
                <w:i/>
                <w:lang w:val="sq-AL"/>
              </w:rPr>
              <w:t>tij ligji</w:t>
            </w:r>
            <w:r w:rsidR="000936A4" w:rsidRPr="00F40CEB">
              <w:rPr>
                <w:rFonts w:ascii="Times New Roman" w:hAnsi="Times New Roman"/>
                <w:i/>
                <w:lang w:val="sq-AL"/>
              </w:rPr>
              <w:t>;</w:t>
            </w:r>
          </w:p>
          <w:p w14:paraId="50D08989" w14:textId="27409CFE" w:rsidR="009B5161" w:rsidRPr="00F40CEB" w:rsidRDefault="009B5161" w:rsidP="00F4658D">
            <w:pPr>
              <w:pStyle w:val="BodyText"/>
              <w:numPr>
                <w:ilvl w:val="0"/>
                <w:numId w:val="1"/>
              </w:numPr>
              <w:jc w:val="both"/>
              <w:rPr>
                <w:i/>
                <w:lang w:val="sq-AL"/>
              </w:rPr>
            </w:pPr>
            <w:r w:rsidRPr="00F40CEB">
              <w:rPr>
                <w:i/>
                <w:lang w:val="sq-AL"/>
              </w:rPr>
              <w:t>Ndryshime lidhur me masat e vigjilenc</w:t>
            </w:r>
            <w:r w:rsidR="00A95AD7" w:rsidRPr="00F40CEB">
              <w:rPr>
                <w:i/>
                <w:lang w:val="sq-AL"/>
              </w:rPr>
              <w:t>ë</w:t>
            </w:r>
            <w:r w:rsidRPr="00F40CEB">
              <w:rPr>
                <w:i/>
                <w:lang w:val="sq-AL"/>
              </w:rPr>
              <w:t>s s</w:t>
            </w:r>
            <w:r w:rsidR="00A95AD7" w:rsidRPr="00F40CEB">
              <w:rPr>
                <w:i/>
                <w:lang w:val="sq-AL"/>
              </w:rPr>
              <w:t>ë</w:t>
            </w:r>
            <w:r w:rsidRPr="00F40CEB">
              <w:rPr>
                <w:i/>
                <w:lang w:val="sq-AL"/>
              </w:rPr>
              <w:t xml:space="preserve"> duhur</w:t>
            </w:r>
            <w:r w:rsidR="000936A4" w:rsidRPr="00F40CEB">
              <w:rPr>
                <w:i/>
                <w:lang w:val="sq-AL"/>
              </w:rPr>
              <w:t>;</w:t>
            </w:r>
          </w:p>
          <w:p w14:paraId="58CF00DE" w14:textId="0B295946" w:rsidR="009B5161" w:rsidRPr="00F40CEB" w:rsidRDefault="000936A4" w:rsidP="00F4658D">
            <w:pPr>
              <w:pStyle w:val="BodyText"/>
              <w:numPr>
                <w:ilvl w:val="0"/>
                <w:numId w:val="1"/>
              </w:numPr>
              <w:jc w:val="both"/>
              <w:rPr>
                <w:i/>
                <w:lang w:val="sq-AL"/>
              </w:rPr>
            </w:pPr>
            <w:r w:rsidRPr="00F40CEB">
              <w:rPr>
                <w:i/>
                <w:lang w:val="sq-AL"/>
              </w:rPr>
              <w:t>Ndryshime lidhur me masat e vigjilenc</w:t>
            </w:r>
            <w:r w:rsidR="00A95AD7" w:rsidRPr="00F40CEB">
              <w:rPr>
                <w:i/>
                <w:lang w:val="sq-AL"/>
              </w:rPr>
              <w:t>ë</w:t>
            </w:r>
            <w:r w:rsidRPr="00F40CEB">
              <w:rPr>
                <w:i/>
                <w:lang w:val="sq-AL"/>
              </w:rPr>
              <w:t>s s</w:t>
            </w:r>
            <w:r w:rsidR="00A95AD7" w:rsidRPr="00F40CEB">
              <w:rPr>
                <w:i/>
                <w:lang w:val="sq-AL"/>
              </w:rPr>
              <w:t>ë</w:t>
            </w:r>
            <w:r w:rsidRPr="00F40CEB">
              <w:rPr>
                <w:i/>
                <w:lang w:val="sq-AL"/>
              </w:rPr>
              <w:t xml:space="preserve"> zgjeruar dhe me masat e vigjilenc</w:t>
            </w:r>
            <w:r w:rsidR="00A95AD7" w:rsidRPr="00F40CEB">
              <w:rPr>
                <w:i/>
                <w:lang w:val="sq-AL"/>
              </w:rPr>
              <w:t>ë</w:t>
            </w:r>
            <w:r w:rsidRPr="00F40CEB">
              <w:rPr>
                <w:i/>
                <w:lang w:val="sq-AL"/>
              </w:rPr>
              <w:t>s s</w:t>
            </w:r>
            <w:r w:rsidR="00A95AD7" w:rsidRPr="00F40CEB">
              <w:rPr>
                <w:i/>
                <w:lang w:val="sq-AL"/>
              </w:rPr>
              <w:t>ë</w:t>
            </w:r>
            <w:r w:rsidRPr="00F40CEB">
              <w:rPr>
                <w:i/>
                <w:lang w:val="sq-AL"/>
              </w:rPr>
              <w:t xml:space="preserve"> zgjeruar</w:t>
            </w:r>
            <w:r w:rsidRPr="00F40CEB">
              <w:rPr>
                <w:i/>
                <w:lang w:val="sq-AL" w:eastAsia="bg-BG"/>
              </w:rPr>
              <w:t xml:space="preserve"> në raport me vendet rrezik të lart</w:t>
            </w:r>
            <w:r w:rsidR="00A95AD7" w:rsidRPr="00F40CEB">
              <w:rPr>
                <w:i/>
                <w:lang w:val="sq-AL" w:eastAsia="bg-BG"/>
              </w:rPr>
              <w:t>ë</w:t>
            </w:r>
            <w:r w:rsidRPr="00F40CEB">
              <w:rPr>
                <w:i/>
                <w:lang w:val="sq-AL" w:eastAsia="bg-BG"/>
              </w:rPr>
              <w:t>;</w:t>
            </w:r>
          </w:p>
          <w:p w14:paraId="1C365E9E" w14:textId="4D4B9B83" w:rsidR="000936A4" w:rsidRPr="00F40CEB" w:rsidRDefault="000936A4" w:rsidP="00F4658D">
            <w:pPr>
              <w:pStyle w:val="BodyText"/>
              <w:numPr>
                <w:ilvl w:val="0"/>
                <w:numId w:val="1"/>
              </w:numPr>
              <w:jc w:val="both"/>
              <w:rPr>
                <w:i/>
                <w:lang w:val="sq-AL"/>
              </w:rPr>
            </w:pPr>
            <w:r w:rsidRPr="00F40CEB">
              <w:rPr>
                <w:i/>
                <w:lang w:val="sq-AL" w:eastAsia="bg-BG"/>
              </w:rPr>
              <w:t>Ndryshime lidhur me afatin e ruajtjes s</w:t>
            </w:r>
            <w:r w:rsidR="00A95AD7" w:rsidRPr="00F40CEB">
              <w:rPr>
                <w:i/>
                <w:lang w:val="sq-AL" w:eastAsia="bg-BG"/>
              </w:rPr>
              <w:t>ë</w:t>
            </w:r>
            <w:r w:rsidRPr="00F40CEB">
              <w:rPr>
                <w:i/>
                <w:lang w:val="sq-AL" w:eastAsia="bg-BG"/>
              </w:rPr>
              <w:t xml:space="preserve"> dokumentacionit nga subjektet q</w:t>
            </w:r>
            <w:r w:rsidR="00A95AD7" w:rsidRPr="00F40CEB">
              <w:rPr>
                <w:i/>
                <w:lang w:val="sq-AL" w:eastAsia="bg-BG"/>
              </w:rPr>
              <w:t>ë</w:t>
            </w:r>
            <w:r w:rsidRPr="00F40CEB">
              <w:rPr>
                <w:i/>
                <w:lang w:val="sq-AL" w:eastAsia="bg-BG"/>
              </w:rPr>
              <w:t xml:space="preserve"> I n</w:t>
            </w:r>
            <w:r w:rsidR="00A95AD7" w:rsidRPr="00F40CEB">
              <w:rPr>
                <w:i/>
                <w:lang w:val="sq-AL" w:eastAsia="bg-BG"/>
              </w:rPr>
              <w:t>ë</w:t>
            </w:r>
            <w:r w:rsidRPr="00F40CEB">
              <w:rPr>
                <w:i/>
                <w:lang w:val="sq-AL" w:eastAsia="bg-BG"/>
              </w:rPr>
              <w:t>nshtrohen k</w:t>
            </w:r>
            <w:r w:rsidR="00A95AD7" w:rsidRPr="00F40CEB">
              <w:rPr>
                <w:i/>
                <w:lang w:val="sq-AL" w:eastAsia="bg-BG"/>
              </w:rPr>
              <w:t>ë</w:t>
            </w:r>
            <w:r w:rsidRPr="00F40CEB">
              <w:rPr>
                <w:i/>
                <w:lang w:val="sq-AL" w:eastAsia="bg-BG"/>
              </w:rPr>
              <w:t>tij ligji;</w:t>
            </w:r>
          </w:p>
          <w:p w14:paraId="7A7AF454" w14:textId="5B6DF7AB" w:rsidR="001E4573" w:rsidRPr="00F40CEB" w:rsidRDefault="000936A4" w:rsidP="009F3A30">
            <w:pPr>
              <w:pStyle w:val="BodyText"/>
              <w:numPr>
                <w:ilvl w:val="0"/>
                <w:numId w:val="1"/>
              </w:numPr>
              <w:jc w:val="both"/>
              <w:rPr>
                <w:i/>
                <w:lang w:val="sq-AL"/>
              </w:rPr>
            </w:pPr>
            <w:r w:rsidRPr="00F40CEB">
              <w:rPr>
                <w:i/>
                <w:lang w:val="sq-AL" w:eastAsia="bg-BG"/>
              </w:rPr>
              <w:t>Ndryshime lid</w:t>
            </w:r>
            <w:r w:rsidR="00F52AA2" w:rsidRPr="00F40CEB">
              <w:rPr>
                <w:i/>
                <w:lang w:val="sq-AL" w:eastAsia="bg-BG"/>
              </w:rPr>
              <w:t xml:space="preserve">hur me </w:t>
            </w:r>
            <w:r w:rsidR="00F40CEB" w:rsidRPr="00F40CEB">
              <w:rPr>
                <w:i/>
                <w:lang w:val="sq-AL" w:eastAsia="bg-BG"/>
              </w:rPr>
              <w:t>sanksionet</w:t>
            </w:r>
            <w:r w:rsidR="00F52AA2" w:rsidRPr="00F40CEB">
              <w:rPr>
                <w:i/>
                <w:lang w:val="sq-AL" w:eastAsia="bg-BG"/>
              </w:rPr>
              <w:t xml:space="preserve"> administrative.</w:t>
            </w:r>
          </w:p>
        </w:tc>
      </w:tr>
    </w:tbl>
    <w:p w14:paraId="3A320FF0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  <w:lang w:val="sq-AL"/>
        </w:rPr>
      </w:pPr>
    </w:p>
    <w:p w14:paraId="17C47D5F" w14:textId="77777777" w:rsidR="0019291B" w:rsidRPr="00F40CEB" w:rsidRDefault="0019291B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D9A4CA5" w14:textId="77777777" w:rsidR="008675CA" w:rsidRPr="00F40CEB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F40CEB">
        <w:rPr>
          <w:rFonts w:asciiTheme="minorHAnsi" w:hAnsiTheme="minorHAnsi" w:cstheme="minorHAnsi"/>
          <w:szCs w:val="22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F40CEB" w14:paraId="6F85D1AB" w14:textId="77777777" w:rsidTr="009F3A30">
        <w:tc>
          <w:tcPr>
            <w:tcW w:w="9212" w:type="dxa"/>
          </w:tcPr>
          <w:p w14:paraId="137B2358" w14:textId="4E8DD9F6" w:rsidR="001E4573" w:rsidRPr="00F40CEB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A e bën organizata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r w:rsidR="0078543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j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uaj ..., etj.). Ju mund të merrni parasysh kufizimin e gjatësisë së përgjigjeve </w:t>
            </w:r>
            <w:r w:rsidR="0078543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p</w:t>
            </w:r>
            <w:r w:rsidR="0004481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78543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r 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pyetje</w:t>
            </w:r>
            <w:r w:rsidR="00785430"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>t</w:t>
            </w:r>
            <w:r w:rsidRPr="00F40CEB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individuale (p.sh. 250/500 fjalë).</w:t>
            </w:r>
          </w:p>
          <w:p w14:paraId="3D4086F2" w14:textId="026D9279" w:rsidR="001E4573" w:rsidRPr="00F40CEB" w:rsidRDefault="00F52AA2" w:rsidP="00F52AA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DPPPP, nëpërmjet Emailit, gjithashtu edhe në takimin online të organizuar më datë 23.02.2021, subjekteve dhe institucioneve të listuara më sipër i ka kërkuar të paraqesin komentet dhe propozimet e tyre për secilin ndryshim të ligjit nr.9917/2008 </w:t>
            </w:r>
            <w:r w:rsidR="00F40CEB" w:rsidRPr="00F40CEB">
              <w:rPr>
                <w:rFonts w:asciiTheme="minorHAnsi" w:hAnsiTheme="minorHAnsi" w:cstheme="minorHAnsi"/>
                <w:szCs w:val="22"/>
                <w:lang w:val="sq-AL"/>
              </w:rPr>
              <w:t>të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propozuar nëpërmjet projektligjit. Secili nga propozimet e </w:t>
            </w:r>
            <w:r w:rsidR="00F40CEB" w:rsidRPr="00F40CEB">
              <w:rPr>
                <w:rFonts w:asciiTheme="minorHAnsi" w:hAnsiTheme="minorHAnsi" w:cstheme="minorHAnsi"/>
                <w:szCs w:val="22"/>
                <w:lang w:val="sq-AL"/>
              </w:rPr>
              <w:t>paraqitura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është shqyrtuar nga </w:t>
            </w:r>
            <w:r w:rsidR="00F40CEB" w:rsidRPr="00F40CEB">
              <w:rPr>
                <w:rFonts w:asciiTheme="minorHAnsi" w:hAnsiTheme="minorHAnsi" w:cstheme="minorHAnsi"/>
                <w:szCs w:val="22"/>
                <w:lang w:val="sq-AL"/>
              </w:rPr>
              <w:t>stafi</w:t>
            </w:r>
            <w:r w:rsidRPr="00F40CEB">
              <w:rPr>
                <w:rFonts w:asciiTheme="minorHAnsi" w:hAnsiTheme="minorHAnsi" w:cstheme="minorHAnsi"/>
                <w:szCs w:val="22"/>
                <w:lang w:val="sq-AL"/>
              </w:rPr>
              <w:t xml:space="preserve"> i DPPPP, ku secili prej tyre është argumentuar nëse është pasqyruar në projektligj ose jo. </w:t>
            </w:r>
          </w:p>
        </w:tc>
      </w:tr>
    </w:tbl>
    <w:p w14:paraId="7BC99291" w14:textId="77777777" w:rsidR="008675CA" w:rsidRPr="00F40CEB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  <w:lang w:val="sq-AL"/>
        </w:rPr>
      </w:pPr>
    </w:p>
    <w:p w14:paraId="7F08B1D8" w14:textId="77777777" w:rsidR="008675CA" w:rsidRPr="00F40CEB" w:rsidRDefault="008675CA">
      <w:pPr>
        <w:rPr>
          <w:lang w:val="sq-AL"/>
        </w:rPr>
      </w:pPr>
    </w:p>
    <w:sectPr w:rsidR="008675CA" w:rsidRPr="00F40CEB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C07E5"/>
    <w:multiLevelType w:val="hybridMultilevel"/>
    <w:tmpl w:val="BA9EC58A"/>
    <w:lvl w:ilvl="0" w:tplc="A2AE8F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80BBE"/>
    <w:multiLevelType w:val="hybridMultilevel"/>
    <w:tmpl w:val="D56C4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110D1"/>
    <w:multiLevelType w:val="hybridMultilevel"/>
    <w:tmpl w:val="71EE1A5A"/>
    <w:lvl w:ilvl="0" w:tplc="FC8873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057BB"/>
    <w:multiLevelType w:val="hybridMultilevel"/>
    <w:tmpl w:val="C7267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936A4"/>
    <w:rsid w:val="000F5EC8"/>
    <w:rsid w:val="00103C86"/>
    <w:rsid w:val="0019291B"/>
    <w:rsid w:val="001E4573"/>
    <w:rsid w:val="00363F84"/>
    <w:rsid w:val="00453FEB"/>
    <w:rsid w:val="00463C25"/>
    <w:rsid w:val="004C5AE2"/>
    <w:rsid w:val="004E7B9A"/>
    <w:rsid w:val="00574E6C"/>
    <w:rsid w:val="005F2E7B"/>
    <w:rsid w:val="00785430"/>
    <w:rsid w:val="008675CA"/>
    <w:rsid w:val="009A11A2"/>
    <w:rsid w:val="009B5161"/>
    <w:rsid w:val="00A95AD7"/>
    <w:rsid w:val="00B118BF"/>
    <w:rsid w:val="00B11EA7"/>
    <w:rsid w:val="00BC317E"/>
    <w:rsid w:val="00BD2CC2"/>
    <w:rsid w:val="00CC3D10"/>
    <w:rsid w:val="00E54C97"/>
    <w:rsid w:val="00E55830"/>
    <w:rsid w:val="00F40CEB"/>
    <w:rsid w:val="00F4658D"/>
    <w:rsid w:val="00F52AA2"/>
    <w:rsid w:val="00FB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3233C94-2EC8-4518-B5C6-2DB47FE5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A11A2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9291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19291B"/>
    <w:rPr>
      <w:rFonts w:ascii="Calibri" w:eastAsia="Times New Roman" w:hAnsi="Calibri" w:cs="Times New Roman"/>
      <w:sz w:val="22"/>
      <w:szCs w:val="20"/>
      <w:lang w:val="en-GB"/>
    </w:rPr>
  </w:style>
  <w:style w:type="character" w:customStyle="1" w:styleId="fontstyle01">
    <w:name w:val="fontstyle01"/>
    <w:basedOn w:val="DefaultParagraphFont"/>
    <w:rsid w:val="0019291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ci@fint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Megi Melani</cp:lastModifiedBy>
  <cp:revision>2</cp:revision>
  <dcterms:created xsi:type="dcterms:W3CDTF">2021-09-14T10:05:00Z</dcterms:created>
  <dcterms:modified xsi:type="dcterms:W3CDTF">2021-09-14T10:05:00Z</dcterms:modified>
</cp:coreProperties>
</file>