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B1F42" w14:textId="77777777" w:rsidR="008F50A3" w:rsidRPr="00ED34F9" w:rsidRDefault="008F50A3" w:rsidP="00023FDC">
      <w:pPr>
        <w:pStyle w:val="Heading1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ED34F9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6296D7F" wp14:editId="2E5A9B32">
            <wp:extent cx="492760" cy="572770"/>
            <wp:effectExtent l="0" t="0" r="254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EB9D" w14:textId="77777777" w:rsidR="008F50A3" w:rsidRPr="00ED34F9" w:rsidRDefault="008F50A3" w:rsidP="00023FDC">
      <w:pPr>
        <w:pStyle w:val="NoSpacing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iCs/>
          <w:color w:val="000000" w:themeColor="text1"/>
          <w:sz w:val="24"/>
          <w:szCs w:val="24"/>
          <w:lang w:val="sq-AL"/>
        </w:rPr>
        <w:t>REPUBLIKA E SHQIPËRISË</w:t>
      </w:r>
    </w:p>
    <w:p w14:paraId="686DBF33" w14:textId="77777777" w:rsidR="008F50A3" w:rsidRPr="00ED34F9" w:rsidRDefault="008F50A3" w:rsidP="00023FDC">
      <w:pPr>
        <w:tabs>
          <w:tab w:val="left" w:pos="1119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Kuvendi</w:t>
      </w:r>
    </w:p>
    <w:p w14:paraId="554CE736" w14:textId="77777777" w:rsidR="008F50A3" w:rsidRPr="00ED34F9" w:rsidRDefault="008F50A3" w:rsidP="00023FDC">
      <w:pPr>
        <w:pStyle w:val="Heading2"/>
        <w:tabs>
          <w:tab w:val="left" w:pos="11199"/>
        </w:tabs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24EDABD" w14:textId="77777777" w:rsidR="008F50A3" w:rsidRPr="00ED34F9" w:rsidRDefault="008F50A3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62A2927" w14:textId="77777777" w:rsidR="008F50A3" w:rsidRPr="00ED34F9" w:rsidRDefault="008F50A3" w:rsidP="00023FDC">
      <w:pPr>
        <w:pStyle w:val="Heading2"/>
        <w:tabs>
          <w:tab w:val="left" w:pos="11199"/>
        </w:tabs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</w:rPr>
        <w:t>P R O J E K T L I GJ</w:t>
      </w:r>
    </w:p>
    <w:p w14:paraId="3A798241" w14:textId="77777777" w:rsidR="008F50A3" w:rsidRPr="00ED34F9" w:rsidRDefault="008F50A3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286D439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lang w:val="sq-AL"/>
        </w:rPr>
      </w:pPr>
    </w:p>
    <w:p w14:paraId="69887C06" w14:textId="47F6D4F3" w:rsidR="008F50A3" w:rsidRPr="00ED34F9" w:rsidRDefault="008F50A3" w:rsidP="00023FDC">
      <w:pPr>
        <w:spacing w:after="0" w:line="240" w:lineRule="auto"/>
        <w:jc w:val="center"/>
        <w:rPr>
          <w:rFonts w:ascii="Times New Roman" w:eastAsia="MS Mincho" w:hAnsi="Times New Roman"/>
          <w:bCs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MS Mincho" w:hAnsi="Times New Roman"/>
          <w:bCs/>
          <w:color w:val="000000" w:themeColor="text1"/>
          <w:sz w:val="24"/>
          <w:szCs w:val="24"/>
          <w:lang w:val="sq-AL"/>
        </w:rPr>
        <w:t>Nr._____/____/201</w:t>
      </w:r>
      <w:r w:rsidR="00CF5351" w:rsidRPr="00ED34F9">
        <w:rPr>
          <w:rFonts w:ascii="Times New Roman" w:eastAsia="MS Mincho" w:hAnsi="Times New Roman"/>
          <w:bCs/>
          <w:color w:val="000000" w:themeColor="text1"/>
          <w:sz w:val="24"/>
          <w:szCs w:val="24"/>
          <w:lang w:val="sq-AL"/>
        </w:rPr>
        <w:t>9</w:t>
      </w:r>
    </w:p>
    <w:p w14:paraId="340AF2E8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lang w:val="sq-AL"/>
        </w:rPr>
      </w:pPr>
    </w:p>
    <w:p w14:paraId="23158A5F" w14:textId="77777777" w:rsidR="008F50A3" w:rsidRPr="00ED34F9" w:rsidRDefault="008F50A3" w:rsidP="0002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</w:p>
    <w:p w14:paraId="0C6A1B0F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lang w:val="sq-AL"/>
        </w:rPr>
        <w:t>PËR</w:t>
      </w:r>
    </w:p>
    <w:p w14:paraId="5D9CB8EF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lang w:val="sq-AL"/>
        </w:rPr>
      </w:pPr>
    </w:p>
    <w:p w14:paraId="606F8249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</w:pPr>
      <w:r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DISA SHTESA DHE NDRYSHIME NË LIGJIN NR.10</w:t>
      </w:r>
      <w:r w:rsidR="00415969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 xml:space="preserve"> 440 </w:t>
      </w:r>
      <w:r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 xml:space="preserve">DATË </w:t>
      </w:r>
      <w:r w:rsidR="008929DD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0</w:t>
      </w:r>
      <w:r w:rsidR="00415969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7.</w:t>
      </w:r>
      <w:r w:rsidR="008929DD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0</w:t>
      </w:r>
      <w:r w:rsidR="00415969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7.2011</w:t>
      </w:r>
      <w:r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 xml:space="preserve"> “PËR </w:t>
      </w:r>
      <w:r w:rsidR="00415969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VLER</w:t>
      </w:r>
      <w:r w:rsidR="00CE255D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Ë</w:t>
      </w:r>
      <w:r w:rsidR="00415969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SIMIN  E NDIKIMIT N</w:t>
      </w:r>
      <w:r w:rsidR="00CE255D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Ë</w:t>
      </w:r>
      <w:r w:rsidR="00415969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 xml:space="preserve"> MJEDIS </w:t>
      </w:r>
      <w:r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”</w:t>
      </w:r>
      <w:r w:rsidR="008929DD"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>,</w:t>
      </w:r>
      <w:r w:rsidRPr="00ED34F9"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  <w:t xml:space="preserve"> TË NDRYSHUAR</w:t>
      </w:r>
    </w:p>
    <w:p w14:paraId="30E62614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MS Mincho" w:hAnsi="Times New Roman"/>
          <w:b/>
          <w:bCs/>
          <w:color w:val="000000" w:themeColor="text1"/>
          <w:sz w:val="24"/>
          <w:szCs w:val="24"/>
          <w:u w:val="single"/>
          <w:lang w:val="sq-AL"/>
        </w:rPr>
      </w:pPr>
    </w:p>
    <w:p w14:paraId="084F94E7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sq-AL" w:eastAsia="sq-AL"/>
        </w:rPr>
      </w:pPr>
    </w:p>
    <w:p w14:paraId="701007E7" w14:textId="77777777" w:rsidR="008F50A3" w:rsidRPr="00ED34F9" w:rsidRDefault="008F50A3" w:rsidP="00023FD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Në mbështetje të neneve 78, dhe 83, pika 1, të Kushtetutës, me propozimin e Këshillit të Ministrave, Kuvendi i Republikës së Shqipërisë,</w:t>
      </w:r>
    </w:p>
    <w:p w14:paraId="320C2CA5" w14:textId="77777777" w:rsidR="008F50A3" w:rsidRPr="00ED34F9" w:rsidRDefault="008F50A3" w:rsidP="00023FD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</w:pPr>
    </w:p>
    <w:p w14:paraId="18197602" w14:textId="77777777" w:rsidR="008F50A3" w:rsidRPr="00ED34F9" w:rsidRDefault="008F50A3" w:rsidP="00023FD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</w:t>
      </w:r>
    </w:p>
    <w:p w14:paraId="23D0E9D1" w14:textId="77777777" w:rsidR="008F50A3" w:rsidRDefault="008F50A3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  <w:t>V E N D O S I:</w:t>
      </w:r>
    </w:p>
    <w:p w14:paraId="534ABB7C" w14:textId="77777777" w:rsidR="00ED34F9" w:rsidRPr="00ED34F9" w:rsidRDefault="00ED34F9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</w:p>
    <w:p w14:paraId="20A6CE85" w14:textId="77777777" w:rsidR="008F50A3" w:rsidRPr="00ED34F9" w:rsidRDefault="008F50A3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</w:p>
    <w:p w14:paraId="3A4D84C1" w14:textId="77777777" w:rsidR="008F50A3" w:rsidRPr="00ED34F9" w:rsidRDefault="008F50A3" w:rsidP="00023FD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Në ligjin nr.</w:t>
      </w:r>
      <w:r w:rsidR="008929D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10 440, dat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8929D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07.07.2011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“Për </w:t>
      </w:r>
      <w:r w:rsidR="00415969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vler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415969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simin e ndikimit n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415969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mjedis 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”, të ndryshuar bëhen këto shtesa dhe ndryshime:</w:t>
      </w:r>
    </w:p>
    <w:p w14:paraId="4AEAC20B" w14:textId="77777777" w:rsidR="008F50A3" w:rsidRPr="00ED34F9" w:rsidRDefault="008F50A3" w:rsidP="00023FD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</w:p>
    <w:p w14:paraId="2B230959" w14:textId="77777777" w:rsidR="0042761F" w:rsidRPr="00ED34F9" w:rsidRDefault="008F50A3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  <w:t>Neni 1</w:t>
      </w:r>
    </w:p>
    <w:p w14:paraId="7A2A5DA4" w14:textId="77777777" w:rsidR="0042761F" w:rsidRPr="00ED34F9" w:rsidRDefault="0042761F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</w:p>
    <w:p w14:paraId="46575344" w14:textId="77777777" w:rsidR="0042761F" w:rsidRPr="00ED34F9" w:rsidRDefault="0042761F" w:rsidP="00023F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Neni 4 shfuqizohet. </w:t>
      </w:r>
    </w:p>
    <w:p w14:paraId="1F2226C1" w14:textId="77777777" w:rsidR="0042761F" w:rsidRPr="00ED34F9" w:rsidRDefault="0042761F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</w:p>
    <w:p w14:paraId="7C3585CA" w14:textId="77777777" w:rsidR="0042761F" w:rsidRPr="00ED34F9" w:rsidRDefault="0042761F" w:rsidP="00023F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  <w:t>Neni 2</w:t>
      </w:r>
    </w:p>
    <w:p w14:paraId="2C5A81C2" w14:textId="77777777" w:rsidR="008F50A3" w:rsidRPr="00ED34F9" w:rsidRDefault="008F50A3" w:rsidP="00023FD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</w:p>
    <w:p w14:paraId="2730AE32" w14:textId="77777777" w:rsidR="000B58A6" w:rsidRPr="00ED34F9" w:rsidRDefault="000B58A6" w:rsidP="00023FD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nenin 5 </w:t>
      </w:r>
      <w:r w:rsidR="00F15EA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b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hen ndyshimet si vijon:</w:t>
      </w:r>
    </w:p>
    <w:p w14:paraId="119768EB" w14:textId="77777777" w:rsidR="00C05B86" w:rsidRPr="00ED34F9" w:rsidRDefault="00C05B86" w:rsidP="00023FD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</w:p>
    <w:p w14:paraId="78A0AE0C" w14:textId="77777777" w:rsidR="008F50A3" w:rsidRPr="00ED34F9" w:rsidRDefault="00F15EAC" w:rsidP="00023FD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a) 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Paragrafi</w:t>
      </w:r>
      <w:r w:rsidR="000B58A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“a” 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ndryshon me p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474208C8" w14:textId="77777777" w:rsidR="00C05B86" w:rsidRPr="00ED34F9" w:rsidRDefault="00C05B86" w:rsidP="00023F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“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a) “Projektet ose pjesë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projekteve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rcaktuara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Shtojcën I dhe II të këtij ligji, të hartuar për qëllimet e mbrojtjes kombëtare dhe/ ose për përballimin e emergjencave civile, për të cilat argumentohet se vlerësimi i ndikimit të tyre në mjedis bie ndesh me qëllimet e mbrojtjes kombëtare dhe /ose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rballimin e emergjencave civile”;</w:t>
      </w:r>
    </w:p>
    <w:p w14:paraId="4B57B566" w14:textId="77777777" w:rsidR="00F15EAC" w:rsidRPr="00ED34F9" w:rsidRDefault="00F15EAC" w:rsidP="00023FD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b) N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paragrafin “b” pas to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g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fjal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shit “Ministria e Mbrojtjes...” shtohet togfjal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shi “dhe/apo autoriteti p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s p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r emergjencat civile"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si dhe pas togfjal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shit ...”e ndikimeve t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r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nd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sishme negative” shtohet togfjal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 w:rsidR="00C05B8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shi “</w:t>
      </w:r>
      <w:r w:rsidR="00C05B8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të drejtpërdrejta ose jo, në mjedis”.</w:t>
      </w:r>
    </w:p>
    <w:p w14:paraId="7ED6F499" w14:textId="77777777" w:rsidR="008929DD" w:rsidRPr="00ED34F9" w:rsidRDefault="008929DD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7729D07" w14:textId="77777777" w:rsidR="008929DD" w:rsidRPr="00ED34F9" w:rsidRDefault="0042761F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lastRenderedPageBreak/>
        <w:t>Neni 3</w:t>
      </w:r>
    </w:p>
    <w:p w14:paraId="22FECA5F" w14:textId="77777777" w:rsidR="00553B19" w:rsidRPr="00ED34F9" w:rsidRDefault="00553B19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23A6542A" w14:textId="77777777" w:rsidR="00E90315" w:rsidRPr="00ED34F9" w:rsidRDefault="00553B19" w:rsidP="00023FD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nenin 6 b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hen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9031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to shtesa dhe ndryshime : </w:t>
      </w:r>
    </w:p>
    <w:p w14:paraId="3EF784D5" w14:textId="77777777" w:rsidR="0042761F" w:rsidRPr="00ED34F9" w:rsidRDefault="0042761F" w:rsidP="00023FDC">
      <w:pPr>
        <w:pStyle w:val="NormalWeb"/>
        <w:suppressAutoHyphens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ED34F9">
        <w:rPr>
          <w:color w:val="000000" w:themeColor="text1"/>
          <w:lang w:val="sq-AL"/>
        </w:rPr>
        <w:t>1. Pika 3 ndryshon me p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 xml:space="preserve">rmbajtje si vijon: </w:t>
      </w:r>
    </w:p>
    <w:p w14:paraId="38AFB459" w14:textId="6366B658" w:rsidR="0042761F" w:rsidRPr="00ED34F9" w:rsidRDefault="0042761F" w:rsidP="00023FDC">
      <w:pPr>
        <w:pStyle w:val="NormalWeb"/>
        <w:suppressAutoHyphens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ED34F9">
        <w:rPr>
          <w:color w:val="000000" w:themeColor="text1"/>
          <w:lang w:val="sq-AL"/>
        </w:rPr>
        <w:t>“3. “Vlerësimi i ndikimit në mjedis (VNM)</w:t>
      </w:r>
      <w:r w:rsidRPr="00BB1F96">
        <w:rPr>
          <w:color w:val="000000" w:themeColor="text1"/>
          <w:lang w:val="sq-AL"/>
        </w:rPr>
        <w:t>”</w:t>
      </w:r>
      <w:r w:rsidRPr="00ED34F9">
        <w:rPr>
          <w:b/>
          <w:color w:val="000000" w:themeColor="text1"/>
          <w:lang w:val="sq-AL"/>
        </w:rPr>
        <w:t xml:space="preserve"> </w:t>
      </w:r>
      <w:r w:rsidRPr="00ED34F9">
        <w:rPr>
          <w:color w:val="000000" w:themeColor="text1"/>
          <w:lang w:val="sq-AL"/>
        </w:rPr>
        <w:t>është</w:t>
      </w:r>
      <w:r w:rsidRPr="00ED34F9">
        <w:rPr>
          <w:b/>
          <w:color w:val="000000" w:themeColor="text1"/>
          <w:lang w:val="sq-AL"/>
        </w:rPr>
        <w:t xml:space="preserve"> </w:t>
      </w:r>
      <w:r w:rsidRPr="00ED34F9">
        <w:rPr>
          <w:color w:val="000000" w:themeColor="text1"/>
          <w:lang w:val="sq-AL"/>
        </w:rPr>
        <w:t xml:space="preserve">procesi që kryhet për vlerësimin e ndikimeve të rëndësishme, të drejtpërdrejta ose jo, në mjedis, nga projekte të propozuara publike </w:t>
      </w:r>
      <w:r w:rsidR="00357F15" w:rsidRPr="00ED34F9">
        <w:rPr>
          <w:color w:val="000000" w:themeColor="text1"/>
          <w:lang w:val="sq-AL"/>
        </w:rPr>
        <w:t>ose</w:t>
      </w:r>
      <w:r w:rsidRPr="00ED34F9">
        <w:rPr>
          <w:color w:val="000000" w:themeColor="text1"/>
          <w:lang w:val="sq-AL"/>
        </w:rPr>
        <w:t xml:space="preserve"> private n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>p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>rmjet:</w:t>
      </w:r>
    </w:p>
    <w:p w14:paraId="47A6936C" w14:textId="77777777" w:rsidR="0042761F" w:rsidRPr="00ED34F9" w:rsidRDefault="0042761F" w:rsidP="00023FDC">
      <w:pPr>
        <w:pStyle w:val="ListParagraph"/>
        <w:numPr>
          <w:ilvl w:val="1"/>
          <w:numId w:val="2"/>
        </w:numPr>
        <w:spacing w:after="0" w:line="240" w:lineRule="auto"/>
        <w:ind w:left="253" w:hanging="18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Përgatitjes s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raportit të vlerësimit të ndikimit në mjedis nga zhvilluesi, </w:t>
      </w:r>
    </w:p>
    <w:p w14:paraId="5C726EF3" w14:textId="77777777" w:rsidR="0042761F" w:rsidRPr="00ED34F9" w:rsidRDefault="0042761F" w:rsidP="00023FDC">
      <w:pPr>
        <w:pStyle w:val="ListParagraph"/>
        <w:numPr>
          <w:ilvl w:val="1"/>
          <w:numId w:val="2"/>
        </w:numPr>
        <w:spacing w:after="0" w:line="240" w:lineRule="auto"/>
        <w:ind w:left="253" w:hanging="18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Kryerjes s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konsultimeve, </w:t>
      </w:r>
      <w:r w:rsidR="003D219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sipas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D219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rkesave dhe procedurave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D219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D219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rcaktuara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D219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kreun III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D219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ketij ligji;</w:t>
      </w:r>
    </w:p>
    <w:p w14:paraId="2D173C84" w14:textId="77777777" w:rsidR="00BD28CC" w:rsidRPr="00ED34F9" w:rsidRDefault="003D2193" w:rsidP="00023FDC">
      <w:pPr>
        <w:pStyle w:val="ListParagraph"/>
        <w:numPr>
          <w:ilvl w:val="1"/>
          <w:numId w:val="2"/>
        </w:numPr>
        <w:spacing w:after="0" w:line="240" w:lineRule="auto"/>
        <w:ind w:left="253" w:hanging="18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hqyrtimi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nga autoriteti kompetent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të raportit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vlerësimit të ndikimit në mjedis, </w:t>
      </w:r>
      <w:r w:rsidR="00BD28C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dhe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çdo informacioni </w:t>
      </w:r>
      <w:r w:rsidR="00BD28C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tjet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D28C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shtes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D28C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nga zhvilluesi kur është i nevojshëm, si dhe çdo informacion tjetër i rëndësishëm marrë nëpërmjet </w:t>
      </w:r>
      <w:r w:rsidR="00BD28C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procesit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D28C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konsultimeve</w:t>
      </w:r>
      <w:r w:rsidR="00BD28C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6F795E6E" w14:textId="77777777" w:rsidR="0042761F" w:rsidRPr="00ED34F9" w:rsidRDefault="00BD28CC" w:rsidP="00023FDC">
      <w:pPr>
        <w:pStyle w:val="ListParagraph"/>
        <w:numPr>
          <w:ilvl w:val="1"/>
          <w:numId w:val="2"/>
        </w:numPr>
        <w:spacing w:after="0" w:line="240" w:lineRule="auto"/>
        <w:ind w:left="253" w:hanging="18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onkluzioni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arsyetuar nga autoriteti kompetent mbi ndikimet </w:t>
      </w:r>
      <w:r w:rsidR="00FE7AF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 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sishme</w:t>
      </w:r>
      <w:r w:rsidR="00FE7AF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mjedis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të projektit,</w:t>
      </w:r>
      <w:r w:rsidR="007750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duke marrë në konsideratë rezultatet e shqyrtimit të </w:t>
      </w:r>
      <w:r w:rsidR="007750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raportit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7750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vlerësimit të ndikimit në mjedis nga autoriteti kompetent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1E2890EF" w14:textId="77777777" w:rsidR="002D2EE5" w:rsidRPr="00ED34F9" w:rsidRDefault="002D2EE5" w:rsidP="00023FDC">
      <w:pPr>
        <w:pStyle w:val="ListParagraph"/>
        <w:numPr>
          <w:ilvl w:val="1"/>
          <w:numId w:val="2"/>
        </w:numPr>
        <w:spacing w:after="0" w:line="240" w:lineRule="auto"/>
        <w:ind w:left="253" w:hanging="18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rfshirjes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vendimin e miratimit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zhvillimit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projektit</w:t>
      </w:r>
      <w:r w:rsidR="00FE7AF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nga autoriteti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miratimin e zhvillimit</w:t>
      </w:r>
      <w:r w:rsidR="00FE7AF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konkluzioneve ta arsy</w:t>
      </w:r>
      <w:r w:rsidR="00FE7AF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etuara nga autoriteti kompetent</w:t>
      </w:r>
      <w:r w:rsidR="0047570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  <w:r w:rsidR="00FE7AF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154CD4C1" w14:textId="77777777" w:rsidR="0042761F" w:rsidRPr="00ED34F9" w:rsidRDefault="0042761F" w:rsidP="00023FD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3FD91AD" w14:textId="766E336B" w:rsidR="008F50A3" w:rsidRPr="00ED34F9" w:rsidRDefault="0047570A" w:rsidP="00BB1F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2</w:t>
      </w:r>
      <w:r w:rsidR="00E90315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. </w:t>
      </w:r>
      <w:r w:rsidR="00486C8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Pas pik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486C8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s 8 </w:t>
      </w:r>
      <w:r w:rsidR="00553B19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shtohet </w:t>
      </w:r>
      <w:r w:rsidR="00486C8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pika 8/1 me p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486C8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rmbajtje si vijon: </w:t>
      </w:r>
    </w:p>
    <w:p w14:paraId="71CA6A51" w14:textId="029F61B5" w:rsidR="00486C8D" w:rsidRDefault="00486C8D" w:rsidP="00023FD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"8.1 Autoriteti ose autoritetet kompetente" është autoriteti ose autoritetet e përcaktuara si përgjegjëse për kryerjen e </w:t>
      </w:r>
      <w:r w:rsidR="00553B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procesit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VNM</w:t>
      </w:r>
      <w:r w:rsidR="00553B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-s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53B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referuar detyrimeve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rcaktuara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ligj</w:t>
      </w:r>
      <w:r w:rsidR="00553B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”.</w:t>
      </w:r>
    </w:p>
    <w:p w14:paraId="37740969" w14:textId="77777777" w:rsidR="00943868" w:rsidRPr="00ED34F9" w:rsidRDefault="00943868" w:rsidP="00023FD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D5DA8C6" w14:textId="7999E4E0" w:rsidR="0047570A" w:rsidRDefault="0047570A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3. Pika 9 shfuqizohet </w:t>
      </w:r>
    </w:p>
    <w:p w14:paraId="1FEE4D27" w14:textId="77777777" w:rsidR="00943868" w:rsidRPr="00ED34F9" w:rsidRDefault="00943868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D209DCF" w14:textId="77777777" w:rsidR="00E90315" w:rsidRPr="00ED34F9" w:rsidRDefault="0047570A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4</w:t>
      </w:r>
      <w:r w:rsidR="00E9031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 Pika 10 ndryshon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9031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3752B4A3" w14:textId="28C8BE88" w:rsidR="00E90315" w:rsidRPr="00ED34F9" w:rsidRDefault="00E90315" w:rsidP="00023FDC">
      <w:pPr>
        <w:pStyle w:val="NormalWeb"/>
        <w:suppressAutoHyphens/>
        <w:spacing w:before="0" w:beforeAutospacing="0" w:after="0" w:afterAutospacing="0"/>
        <w:ind w:firstLine="720"/>
        <w:jc w:val="both"/>
        <w:rPr>
          <w:color w:val="000000" w:themeColor="text1"/>
          <w:lang w:val="sq-AL"/>
        </w:rPr>
      </w:pPr>
      <w:r w:rsidRPr="00ED34F9">
        <w:rPr>
          <w:color w:val="000000" w:themeColor="text1"/>
          <w:lang w:val="sq-AL"/>
        </w:rPr>
        <w:t>“10. “Autoriteti përgjegjës pë</w:t>
      </w:r>
      <w:r w:rsidR="00553B19" w:rsidRPr="00ED34F9">
        <w:rPr>
          <w:color w:val="000000" w:themeColor="text1"/>
          <w:lang w:val="sq-AL"/>
        </w:rPr>
        <w:t>r</w:t>
      </w:r>
      <w:r w:rsidRPr="00ED34F9">
        <w:rPr>
          <w:color w:val="000000" w:themeColor="text1"/>
          <w:lang w:val="sq-AL"/>
        </w:rPr>
        <w:t xml:space="preserve"> miratimin e zhvillimit” është institucioni publik që, brenda</w:t>
      </w:r>
      <w:r w:rsidR="00553B19" w:rsidRPr="00ED34F9">
        <w:rPr>
          <w:color w:val="000000" w:themeColor="text1"/>
          <w:lang w:val="sq-AL"/>
        </w:rPr>
        <w:t xml:space="preserve"> fush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>s s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 xml:space="preserve"> p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>rgjegj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>sis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 xml:space="preserve"> q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 xml:space="preserve"> mbulon, </w:t>
      </w:r>
      <w:r w:rsidRPr="00ED34F9">
        <w:rPr>
          <w:color w:val="000000" w:themeColor="text1"/>
          <w:lang w:val="sq-AL"/>
        </w:rPr>
        <w:t xml:space="preserve">funksioneve dhe kompetencave të </w:t>
      </w:r>
      <w:r w:rsidR="00553B19" w:rsidRPr="00ED34F9">
        <w:rPr>
          <w:color w:val="000000" w:themeColor="text1"/>
          <w:lang w:val="sq-AL"/>
        </w:rPr>
        <w:t>p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>rca</w:t>
      </w:r>
      <w:r w:rsidRPr="00ED34F9">
        <w:rPr>
          <w:color w:val="000000" w:themeColor="text1"/>
          <w:lang w:val="sq-AL"/>
        </w:rPr>
        <w:t>ktuara në ligj</w:t>
      </w:r>
      <w:r w:rsidR="00553B19" w:rsidRPr="00ED34F9">
        <w:rPr>
          <w:color w:val="000000" w:themeColor="text1"/>
          <w:lang w:val="sq-AL"/>
        </w:rPr>
        <w:t>in sektorial p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>rkat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>s</w:t>
      </w:r>
      <w:r w:rsidR="007372A5">
        <w:rPr>
          <w:color w:val="000000" w:themeColor="text1"/>
          <w:lang w:val="sq-AL"/>
        </w:rPr>
        <w:t>,</w:t>
      </w:r>
      <w:r w:rsidR="00553B19" w:rsidRPr="00ED34F9">
        <w:rPr>
          <w:color w:val="000000" w:themeColor="text1"/>
          <w:lang w:val="sq-AL"/>
        </w:rPr>
        <w:t xml:space="preserve"> </w:t>
      </w:r>
      <w:r w:rsidRPr="00ED34F9">
        <w:rPr>
          <w:color w:val="000000" w:themeColor="text1"/>
          <w:lang w:val="sq-AL"/>
        </w:rPr>
        <w:t xml:space="preserve">është përgjegjës për miratimin e zhvillimit për projektet që janë </w:t>
      </w:r>
      <w:r w:rsidR="007372A5">
        <w:rPr>
          <w:color w:val="000000" w:themeColor="text1"/>
          <w:lang w:val="sq-AL"/>
        </w:rPr>
        <w:t xml:space="preserve"> objekt </w:t>
      </w:r>
      <w:r w:rsidRPr="00ED34F9">
        <w:rPr>
          <w:color w:val="000000" w:themeColor="text1"/>
          <w:lang w:val="sq-AL"/>
        </w:rPr>
        <w:t xml:space="preserve"> i këtij ligji”.</w:t>
      </w:r>
    </w:p>
    <w:p w14:paraId="7AE8B205" w14:textId="77777777" w:rsidR="00E90315" w:rsidRPr="00ED34F9" w:rsidRDefault="00E90315" w:rsidP="00023FDC">
      <w:pPr>
        <w:pStyle w:val="NormalWeb"/>
        <w:suppressAutoHyphens/>
        <w:spacing w:before="0" w:beforeAutospacing="0" w:after="0" w:afterAutospacing="0"/>
        <w:ind w:firstLine="720"/>
        <w:jc w:val="both"/>
        <w:rPr>
          <w:color w:val="000000" w:themeColor="text1"/>
          <w:lang w:val="sq-AL"/>
        </w:rPr>
      </w:pPr>
    </w:p>
    <w:p w14:paraId="11D2A8C7" w14:textId="38422A05" w:rsidR="00553B19" w:rsidRPr="00ED34F9" w:rsidRDefault="00E90315" w:rsidP="00023FDC">
      <w:pPr>
        <w:pStyle w:val="NormalWeb"/>
        <w:suppressAutoHyphens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ED34F9">
        <w:rPr>
          <w:color w:val="000000" w:themeColor="text1"/>
          <w:lang w:val="sq-AL"/>
        </w:rPr>
        <w:t>3. Pika 11 ndryshon me p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 xml:space="preserve">rmbajtje si vijon: </w:t>
      </w:r>
    </w:p>
    <w:p w14:paraId="59A1859A" w14:textId="77777777" w:rsidR="00E90315" w:rsidRPr="00ED34F9" w:rsidRDefault="00E90315" w:rsidP="00023FDC">
      <w:pPr>
        <w:pStyle w:val="NormalWeb"/>
        <w:suppressAutoHyphens/>
        <w:spacing w:before="0" w:beforeAutospacing="0" w:after="0" w:afterAutospacing="0"/>
        <w:ind w:firstLine="720"/>
        <w:jc w:val="both"/>
        <w:rPr>
          <w:color w:val="000000" w:themeColor="text1"/>
          <w:lang w:val="sq-AL"/>
        </w:rPr>
      </w:pPr>
      <w:r w:rsidRPr="00ED34F9">
        <w:rPr>
          <w:rFonts w:eastAsia="Calibri"/>
          <w:color w:val="000000" w:themeColor="text1"/>
          <w:lang w:val="sq-AL"/>
        </w:rPr>
        <w:t>“11. “Zona t</w:t>
      </w:r>
      <w:r w:rsidR="00CE255D" w:rsidRPr="00ED34F9">
        <w:rPr>
          <w:rFonts w:eastAsia="Calibri"/>
          <w:color w:val="000000" w:themeColor="text1"/>
          <w:lang w:val="sq-AL"/>
        </w:rPr>
        <w:t>ë</w:t>
      </w:r>
      <w:r w:rsidRPr="00ED34F9">
        <w:rPr>
          <w:rFonts w:eastAsia="Calibri"/>
          <w:color w:val="000000" w:themeColor="text1"/>
          <w:lang w:val="sq-AL"/>
        </w:rPr>
        <w:t xml:space="preserve"> veçanta ruajtjeje” ka kuptimin që jepet në ligjin nr. 81/2017“Për zonat e mbrojtura”.</w:t>
      </w:r>
    </w:p>
    <w:p w14:paraId="248F3E56" w14:textId="77777777" w:rsidR="00553B19" w:rsidRPr="00ED34F9" w:rsidRDefault="00553B19" w:rsidP="00023FDC">
      <w:pPr>
        <w:pStyle w:val="NormalWeb"/>
        <w:suppressAutoHyphens/>
        <w:spacing w:before="0" w:beforeAutospacing="0" w:after="0" w:afterAutospacing="0"/>
        <w:ind w:firstLine="720"/>
        <w:jc w:val="both"/>
        <w:rPr>
          <w:color w:val="000000" w:themeColor="text1"/>
          <w:lang w:val="sq-AL"/>
        </w:rPr>
      </w:pPr>
    </w:p>
    <w:p w14:paraId="7AF7C258" w14:textId="5D52C7A6" w:rsidR="00553B19" w:rsidRPr="00ED34F9" w:rsidRDefault="00E90315" w:rsidP="00023FDC">
      <w:pPr>
        <w:pStyle w:val="NormalWeb"/>
        <w:suppressAutoHyphens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ED34F9">
        <w:rPr>
          <w:color w:val="000000" w:themeColor="text1"/>
          <w:lang w:val="sq-AL"/>
        </w:rPr>
        <w:t>4. Pas pik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>s 14 shtohet pika 14/1 me p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>rmbajtje si vijon:</w:t>
      </w:r>
    </w:p>
    <w:p w14:paraId="0DE79C50" w14:textId="77777777" w:rsidR="00E90315" w:rsidRPr="00ED34F9" w:rsidRDefault="00E90315" w:rsidP="00023FDC">
      <w:pPr>
        <w:pStyle w:val="NormalWeb"/>
        <w:suppressAutoHyphens/>
        <w:spacing w:before="0" w:beforeAutospacing="0" w:after="0" w:afterAutospacing="0"/>
        <w:ind w:firstLine="720"/>
        <w:jc w:val="both"/>
        <w:rPr>
          <w:color w:val="000000" w:themeColor="text1"/>
          <w:lang w:val="sq-AL"/>
        </w:rPr>
      </w:pPr>
      <w:r w:rsidRPr="00ED34F9">
        <w:rPr>
          <w:color w:val="000000" w:themeColor="text1"/>
          <w:lang w:val="sq-AL"/>
        </w:rPr>
        <w:t>“14/1. "Miratim zhvillimi"</w:t>
      </w:r>
      <w:r w:rsidR="00553B19" w:rsidRPr="00ED34F9">
        <w:rPr>
          <w:color w:val="000000" w:themeColor="text1"/>
          <w:lang w:val="sq-AL"/>
        </w:rPr>
        <w:t>,</w:t>
      </w:r>
      <w:r w:rsidRPr="00ED34F9">
        <w:rPr>
          <w:color w:val="000000" w:themeColor="text1"/>
          <w:lang w:val="sq-AL"/>
        </w:rPr>
        <w:t xml:space="preserve"> është </w:t>
      </w:r>
      <w:r w:rsidR="00553B19" w:rsidRPr="00ED34F9">
        <w:rPr>
          <w:color w:val="000000" w:themeColor="text1"/>
          <w:lang w:val="sq-AL"/>
        </w:rPr>
        <w:t>akti i lëshuar nga autoriteti</w:t>
      </w:r>
      <w:r w:rsidRPr="00ED34F9">
        <w:rPr>
          <w:color w:val="000000" w:themeColor="text1"/>
          <w:lang w:val="sq-AL"/>
        </w:rPr>
        <w:t xml:space="preserve"> p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>rgjegj</w:t>
      </w:r>
      <w:r w:rsidR="00CE255D" w:rsidRPr="00ED34F9">
        <w:rPr>
          <w:color w:val="000000" w:themeColor="text1"/>
          <w:lang w:val="sq-AL"/>
        </w:rPr>
        <w:t>ë</w:t>
      </w:r>
      <w:r w:rsidR="00FE7AF2" w:rsidRPr="00ED34F9">
        <w:rPr>
          <w:color w:val="000000" w:themeColor="text1"/>
          <w:lang w:val="sq-AL"/>
        </w:rPr>
        <w:t>s</w:t>
      </w:r>
      <w:r w:rsidR="00553B19" w:rsidRPr="00ED34F9">
        <w:rPr>
          <w:color w:val="000000" w:themeColor="text1"/>
          <w:lang w:val="sq-AL"/>
        </w:rPr>
        <w:t xml:space="preserve"> për miratimin e zhvillimit</w:t>
      </w:r>
      <w:r w:rsidR="00F915E1" w:rsidRPr="00ED34F9">
        <w:rPr>
          <w:color w:val="000000" w:themeColor="text1"/>
          <w:lang w:val="sq-AL"/>
        </w:rPr>
        <w:t xml:space="preserve"> p</w:t>
      </w:r>
      <w:r w:rsidR="004A2F16" w:rsidRPr="00ED34F9">
        <w:rPr>
          <w:color w:val="000000" w:themeColor="text1"/>
          <w:lang w:val="sq-AL"/>
        </w:rPr>
        <w:t>ë</w:t>
      </w:r>
      <w:r w:rsidR="00F915E1" w:rsidRPr="00ED34F9">
        <w:rPr>
          <w:color w:val="000000" w:themeColor="text1"/>
          <w:lang w:val="sq-AL"/>
        </w:rPr>
        <w:t>r projektet që janë subjekt i këtij ligji</w:t>
      </w:r>
      <w:r w:rsidRPr="00ED34F9">
        <w:rPr>
          <w:color w:val="000000" w:themeColor="text1"/>
          <w:lang w:val="sq-AL"/>
        </w:rPr>
        <w:t>, që i jep të drejtë zhvilluesit</w:t>
      </w:r>
      <w:r w:rsidR="00F915E1" w:rsidRPr="00ED34F9">
        <w:rPr>
          <w:color w:val="000000" w:themeColor="text1"/>
          <w:lang w:val="sq-AL"/>
        </w:rPr>
        <w:t>,</w:t>
      </w:r>
      <w:r w:rsidRPr="00ED34F9">
        <w:rPr>
          <w:color w:val="000000" w:themeColor="text1"/>
          <w:lang w:val="sq-AL"/>
        </w:rPr>
        <w:t xml:space="preserve"> të </w:t>
      </w:r>
      <w:r w:rsidR="00553B19" w:rsidRPr="00ED34F9">
        <w:rPr>
          <w:color w:val="000000" w:themeColor="text1"/>
          <w:lang w:val="sq-AL"/>
        </w:rPr>
        <w:t>vijoj</w:t>
      </w:r>
      <w:r w:rsidR="00CE255D" w:rsidRPr="00ED34F9">
        <w:rPr>
          <w:color w:val="000000" w:themeColor="text1"/>
          <w:lang w:val="sq-AL"/>
        </w:rPr>
        <w:t>ë</w:t>
      </w:r>
      <w:r w:rsidR="00553B19" w:rsidRPr="00ED34F9">
        <w:rPr>
          <w:color w:val="000000" w:themeColor="text1"/>
          <w:lang w:val="sq-AL"/>
        </w:rPr>
        <w:t xml:space="preserve"> </w:t>
      </w:r>
      <w:r w:rsidRPr="00ED34F9">
        <w:rPr>
          <w:color w:val="000000" w:themeColor="text1"/>
          <w:lang w:val="sq-AL"/>
        </w:rPr>
        <w:t>me zbatimin e tij.”</w:t>
      </w:r>
    </w:p>
    <w:p w14:paraId="096463BC" w14:textId="77777777" w:rsidR="00553B19" w:rsidRPr="00ED34F9" w:rsidRDefault="00553B19" w:rsidP="00023FDC">
      <w:pPr>
        <w:pStyle w:val="NormalWeb"/>
        <w:suppressAutoHyphens/>
        <w:spacing w:before="0" w:beforeAutospacing="0" w:after="0" w:afterAutospacing="0"/>
        <w:ind w:firstLine="720"/>
        <w:jc w:val="both"/>
        <w:rPr>
          <w:color w:val="000000" w:themeColor="text1"/>
          <w:lang w:val="sq-AL"/>
        </w:rPr>
      </w:pPr>
    </w:p>
    <w:p w14:paraId="6550CCBA" w14:textId="4BC2103C" w:rsidR="007438FE" w:rsidRPr="00ED34F9" w:rsidRDefault="007438FE" w:rsidP="00BB1F96">
      <w:pPr>
        <w:pStyle w:val="NormalWeb"/>
        <w:suppressAutoHyphens/>
        <w:spacing w:before="0" w:beforeAutospacing="0" w:after="0" w:afterAutospacing="0"/>
        <w:jc w:val="both"/>
      </w:pPr>
      <w:r w:rsidRPr="00ED34F9">
        <w:rPr>
          <w:color w:val="000000" w:themeColor="text1"/>
          <w:lang w:val="sq-AL"/>
        </w:rPr>
        <w:t>5. Pas pik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>s 16 shtohet pika 16/1 me p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>rmbajtje si vijon:</w:t>
      </w:r>
    </w:p>
    <w:p w14:paraId="67CAEDD5" w14:textId="77777777" w:rsidR="00677945" w:rsidRPr="00ED34F9" w:rsidRDefault="007438FE" w:rsidP="00BB1F9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“16/</w:t>
      </w:r>
      <w:r w:rsidR="0042761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67794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“Vlerësimi i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Duhur”</w:t>
      </w: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është procesi q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vler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son r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sin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e ndikimeve </w:t>
      </w:r>
      <w:r w:rsidR="00F915E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</w:t>
      </w:r>
      <w:r w:rsidR="000778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F915E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propozuar,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nyr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individuale apo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kombinim me </w:t>
      </w:r>
      <w:r w:rsidR="0067794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planet ose projektet e tjera </w:t>
      </w:r>
      <w:r w:rsidR="008422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422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miratuara ose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422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zhvillim </w:t>
      </w:r>
      <w:r w:rsidR="0067794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në Zonat e Veçanta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7794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Ruajtjes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me q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llim informimin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352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proceset e vendimmarrjes</w:t>
      </w:r>
      <w:r w:rsidR="008422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  <w:r w:rsidR="0067794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</w:p>
    <w:p w14:paraId="28C49998" w14:textId="77777777" w:rsidR="00943868" w:rsidRDefault="00943868" w:rsidP="00023FDC">
      <w:pPr>
        <w:pStyle w:val="ListParagraph"/>
        <w:spacing w:after="0" w:line="240" w:lineRule="auto"/>
        <w:ind w:left="25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47A679AC" w14:textId="14129AAD" w:rsidR="007438FE" w:rsidRPr="00ED34F9" w:rsidRDefault="0020746B" w:rsidP="00023FDC">
      <w:pPr>
        <w:pStyle w:val="ListParagraph"/>
        <w:spacing w:after="0" w:line="240" w:lineRule="auto"/>
        <w:ind w:left="25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lastRenderedPageBreak/>
        <w:t xml:space="preserve">Neni </w:t>
      </w:r>
      <w:r w:rsidR="00292019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4</w:t>
      </w:r>
    </w:p>
    <w:p w14:paraId="589690D4" w14:textId="77777777" w:rsidR="00B37422" w:rsidRPr="00ED34F9" w:rsidRDefault="00B37422" w:rsidP="00023FDC">
      <w:pPr>
        <w:pStyle w:val="ListParagraph"/>
        <w:spacing w:after="0" w:line="240" w:lineRule="auto"/>
        <w:ind w:left="253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33EEA96" w14:textId="77777777" w:rsidR="00B37422" w:rsidRPr="00ED34F9" w:rsidRDefault="00677945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nenin 7 b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hen shtesat si vijon: </w:t>
      </w:r>
    </w:p>
    <w:p w14:paraId="3FBA409A" w14:textId="77777777" w:rsidR="0020746B" w:rsidRPr="00ED34F9" w:rsidRDefault="0020746B" w:rsidP="00023FDC">
      <w:pPr>
        <w:pStyle w:val="ListParagraph"/>
        <w:spacing w:after="0" w:line="240" w:lineRule="auto"/>
        <w:ind w:left="253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74D320E" w14:textId="6A023CAB" w:rsidR="00B37422" w:rsidRPr="00ED34F9" w:rsidRDefault="00DF41CA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 Pas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 </w:t>
      </w:r>
      <w:r w:rsidR="008E085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shtohet pika </w:t>
      </w:r>
      <w:r w:rsidR="008E085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1/1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17862253" w14:textId="5F471FBE" w:rsidR="00B37422" w:rsidRPr="00ED34F9" w:rsidRDefault="00B37422" w:rsidP="00023F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</w:t>
      </w:r>
      <w:r w:rsidR="008E085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1/1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Zhvilluesi, </w:t>
      </w:r>
      <w:r w:rsidR="00DF41C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F41C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se 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F41C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F41C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e nevojshme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="00DF41C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kërko</w:t>
      </w:r>
      <w:r w:rsidR="00DF41C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mendim paraprak nga ministria ose AKM-ja, nëse projekti që synon të zhvillojë është </w:t>
      </w:r>
      <w:r w:rsidR="00943868">
        <w:rPr>
          <w:rFonts w:ascii="Times New Roman" w:hAnsi="Times New Roman"/>
          <w:color w:val="000000" w:themeColor="text1"/>
          <w:sz w:val="24"/>
          <w:szCs w:val="24"/>
          <w:lang w:val="sq-AL"/>
        </w:rPr>
        <w:t>o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bjekt i këtij ligji“. </w:t>
      </w:r>
    </w:p>
    <w:p w14:paraId="013E0E74" w14:textId="44CD4594" w:rsidR="008E0857" w:rsidRPr="00ED34F9" w:rsidRDefault="008E0857" w:rsidP="00023F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2. Pas pikës 5 shtohet pika 6 me përmbajtje si vijon:</w:t>
      </w:r>
    </w:p>
    <w:p w14:paraId="0FDF7876" w14:textId="7F7C2291" w:rsidR="00FF7F2E" w:rsidRPr="00ED34F9" w:rsidRDefault="00D476B2" w:rsidP="00023F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</w:t>
      </w:r>
      <w:r w:rsidR="008E085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6</w:t>
      </w:r>
      <w:r w:rsidR="007C1E2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Ministri 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 mjedisin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miraton 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me udh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zim</w:t>
      </w:r>
      <w:r w:rsidR="002D725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shpjegimin e detajuar</w:t>
      </w:r>
      <w:r w:rsidR="00486622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projekt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210B9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parashikuara 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shtojcat I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dhe </w:t>
      </w:r>
      <w:r w:rsidR="007A34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II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tij ligji”. </w:t>
      </w:r>
    </w:p>
    <w:p w14:paraId="0B1D0416" w14:textId="77777777" w:rsidR="00292019" w:rsidRPr="00ED34F9" w:rsidRDefault="00292019" w:rsidP="00023F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33282D3" w14:textId="77777777" w:rsidR="0020746B" w:rsidRPr="00ED34F9" w:rsidRDefault="00292019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Neni 5</w:t>
      </w:r>
    </w:p>
    <w:p w14:paraId="3ECF53CD" w14:textId="77777777" w:rsidR="00F430E4" w:rsidRPr="00ED34F9" w:rsidRDefault="00F430E4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7AA4975D" w14:textId="635B0064" w:rsidR="00F430E4" w:rsidRPr="00ED34F9" w:rsidRDefault="00F44A66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nin 8 b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hen k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to shtesa dhe ndryshime:</w:t>
      </w:r>
    </w:p>
    <w:p w14:paraId="73D1D9C0" w14:textId="77777777" w:rsidR="006F57B2" w:rsidRPr="00ED34F9" w:rsidRDefault="006F57B2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549B99C1" w14:textId="01050891" w:rsidR="0061204C" w:rsidRPr="00ED34F9" w:rsidRDefault="00F430E4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1. Shkronja </w:t>
      </w:r>
      <w:r w:rsidR="00F12F4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“ç” nd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ryshon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vijon:</w:t>
      </w:r>
    </w:p>
    <w:p w14:paraId="70665674" w14:textId="77777777" w:rsidR="0061204C" w:rsidRPr="00ED34F9" w:rsidRDefault="0061204C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277784B" w14:textId="46999B68" w:rsidR="00F430E4" w:rsidRPr="00ED34F9" w:rsidRDefault="00F12F4A" w:rsidP="00023FD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“ç) projektet e listuara apo jo në shtojcën I ose II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tij ligji, </w:t>
      </w:r>
      <w:r w:rsidR="006520F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ose 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që nuk kan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F44A6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ndikim 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të drejtpërdrejtë</w:t>
      </w:r>
      <w:r w:rsidR="006520F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apo nuk lidhen domosdoshm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risht me menaxhimin e një zone të veçantë të ruajtjes, por që ka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ngjar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të ketë 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një efekt të rëndësishëm në k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t</w:t>
      </w:r>
      <w:r w:rsidR="004A2F1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zon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i nënshtrohet </w:t>
      </w:r>
      <w:r w:rsidR="006E71D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edhe </w:t>
      </w:r>
      <w:r w:rsidR="0061204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Vlerësimit të Duhur</w:t>
      </w:r>
      <w:r w:rsidR="0061204C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, 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me q</w:t>
      </w:r>
      <w:r w:rsidR="004A2F1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llim sigurimin e autoriteteve kompetente</w:t>
      </w:r>
      <w:r w:rsidR="006F57B2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,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q</w:t>
      </w:r>
      <w:r w:rsidR="004A2F1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ky projekt nuk do t</w:t>
      </w:r>
      <w:r w:rsidR="004A2F1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sjel</w:t>
      </w:r>
      <w:r w:rsidR="006F57B2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l</w:t>
      </w:r>
      <w:r w:rsidR="004A2F1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pasoja  n</w:t>
      </w:r>
      <w:r w:rsidR="004A2F16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 integritetin e zon</w:t>
      </w:r>
      <w:r w:rsidR="00CE255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ë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s</w:t>
      </w:r>
      <w:r w:rsidR="00943868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”</w:t>
      </w:r>
      <w:r w:rsidR="0061204C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 xml:space="preserve">. </w:t>
      </w:r>
    </w:p>
    <w:p w14:paraId="678EC3B3" w14:textId="77777777" w:rsidR="00FF4E43" w:rsidRPr="00ED34F9" w:rsidRDefault="00FF4E43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24BA5DA" w14:textId="2FEA28C3" w:rsidR="006520F4" w:rsidRPr="00ED34F9" w:rsidRDefault="00F430E4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2. </w:t>
      </w:r>
      <w:r w:rsidR="006520F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Pas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shkronj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 </w:t>
      </w:r>
      <w:r w:rsidR="006520F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“ç” shtohet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shkronja </w:t>
      </w:r>
      <w:r w:rsidR="006520F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“d” me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520F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vijon:</w:t>
      </w:r>
    </w:p>
    <w:p w14:paraId="09B81F43" w14:textId="078C38CF" w:rsidR="006520F4" w:rsidRPr="00ED34F9" w:rsidRDefault="006520F4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“d) projektet e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rcaktuara n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shkronj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“ç” m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sip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r, q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 n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nshtrohen edhe Vler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simit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Duhur, identifikohen rast pas rasti nga autoriteti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menaxhimin e zonave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veçanta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ruajtjes, 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referuar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legjislacioni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fuqi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zonat e mbrojtura”.</w:t>
      </w:r>
    </w:p>
    <w:p w14:paraId="4376A993" w14:textId="00910A8A" w:rsidR="006520F4" w:rsidRPr="00ED34F9" w:rsidRDefault="00FF4E43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Në këtë rast, raporti paraprak i VNM-së përfshin edhe Vlerësimin e Duhur të përcaktuar në pikën 16/1 të nenit 6 të ndikimeve të këtyre projekteve në atë zonë, i cili shqyrtohet nga autoriteti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menaxhimin e zonave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veçanta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ruajtjes”.</w:t>
      </w:r>
    </w:p>
    <w:p w14:paraId="100AD7DB" w14:textId="77777777" w:rsidR="00FF4E43" w:rsidRPr="00ED34F9" w:rsidRDefault="00FF4E43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07A95F2" w14:textId="77777777" w:rsidR="00B0314D" w:rsidRPr="00ED34F9" w:rsidRDefault="00B0314D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292019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6</w:t>
      </w:r>
    </w:p>
    <w:p w14:paraId="19D715B2" w14:textId="77777777" w:rsidR="006E6FA1" w:rsidRPr="00ED34F9" w:rsidRDefault="006E6FA1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6B680AA7" w14:textId="77777777" w:rsidR="00B37422" w:rsidRPr="00ED34F9" w:rsidRDefault="00B37422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nenin 9 </w:t>
      </w:r>
      <w:r w:rsidR="00D476B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b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hen </w:t>
      </w:r>
      <w:r w:rsidR="00D476B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to shtesa dhe ndryshime:</w:t>
      </w:r>
    </w:p>
    <w:p w14:paraId="116DA354" w14:textId="77777777" w:rsidR="00B37422" w:rsidRPr="00ED34F9" w:rsidRDefault="00ED4FFF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1. Pika 2 ndryshon 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361F8E54" w14:textId="77777777" w:rsidR="00B37422" w:rsidRPr="00ED34F9" w:rsidRDefault="00B37422" w:rsidP="00023FD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“2. Vlerësimi i ndikimit në mjedis i thelluar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projektet 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rcaktuara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1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tij neni, identifikon, përshkruan dhe vlerëson ndikimet e drejtpërdrejta 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ose jo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projektit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minimalisht mbi faktorët e mëposhtëm:</w:t>
      </w:r>
    </w:p>
    <w:p w14:paraId="73A40AEC" w14:textId="77777777" w:rsidR="00B37422" w:rsidRPr="00ED34F9" w:rsidRDefault="00B37422" w:rsidP="00023F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popullsinë dhe shëndetin e njeriut;</w:t>
      </w:r>
    </w:p>
    <w:p w14:paraId="7743FAD7" w14:textId="77777777" w:rsidR="00FF7F2E" w:rsidRPr="00ED34F9" w:rsidRDefault="00B37422" w:rsidP="00023F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biodiversitetin, me vëmendje të veçantë ndaj specieve dhe habitateve 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të mbrojtura,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aktet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nligjore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 miratimin 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listave të tipeve të habitateve natyrore, bimëve, kafshëve dhe shpendëve me interes për Bashkimin Evropian dhe listës së shpendëve të egër veçanërisht </w:t>
      </w:r>
      <w:r w:rsidR="00FF7F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vulnerable</w:t>
      </w:r>
    </w:p>
    <w:p w14:paraId="05FAF4BB" w14:textId="77777777" w:rsidR="00B37422" w:rsidRPr="00ED34F9" w:rsidRDefault="00B37422" w:rsidP="00023F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terrenin, tokën, ujin, ajrin dhe klimën;</w:t>
      </w:r>
    </w:p>
    <w:p w14:paraId="078B6FB2" w14:textId="77777777" w:rsidR="00B37422" w:rsidRPr="00ED34F9" w:rsidRDefault="00FF7F2E" w:rsidP="00023FDC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ç. 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pasuritë materiale, trashëgiminë kulturore dhe peizazhin;</w:t>
      </w:r>
    </w:p>
    <w:p w14:paraId="0B48B744" w14:textId="77777777" w:rsidR="00B37422" w:rsidRPr="00ED34F9" w:rsidRDefault="00FF7F2E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     d. </w:t>
      </w:r>
      <w:r w:rsidR="00B3742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ndërveprim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in midis faktorëve të përmendura m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sip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r”.</w:t>
      </w:r>
    </w:p>
    <w:p w14:paraId="7FAB56A2" w14:textId="77777777" w:rsidR="00FF7F2E" w:rsidRPr="00ED34F9" w:rsidRDefault="00FF7F2E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2. Pas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2 sh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tohet pika 3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D4FF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m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posht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: </w:t>
      </w:r>
    </w:p>
    <w:p w14:paraId="6B278820" w14:textId="77777777" w:rsidR="00FF7F2E" w:rsidRPr="00ED34F9" w:rsidRDefault="00FF7F2E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“3.Ndikimet e përmendura në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2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tij neni mbi faktorët e përcaktuar në të, përfshin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edhe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efektet e pritshme 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rastet e rreziqeve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shkaktuara nga aksidentet madhore</w:t>
      </w:r>
      <w:r w:rsidR="00F017B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industriale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dhe/ose fatkeqësive natyrore gjat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96D8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zhvillimit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projektit”. </w:t>
      </w:r>
    </w:p>
    <w:p w14:paraId="669E1674" w14:textId="77777777" w:rsidR="00FF7F2E" w:rsidRPr="00ED34F9" w:rsidRDefault="00FF7F2E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E8D8E71" w14:textId="47142720" w:rsidR="00161B4A" w:rsidRPr="00ED34F9" w:rsidRDefault="00161B4A" w:rsidP="00023FD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2B4D34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7</w:t>
      </w:r>
    </w:p>
    <w:p w14:paraId="079E4558" w14:textId="77777777" w:rsidR="006E6FA1" w:rsidRPr="00ED34F9" w:rsidRDefault="006E6FA1" w:rsidP="00023FD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5DD6EE99" w14:textId="77777777" w:rsidR="00580FE4" w:rsidRPr="00ED34F9" w:rsidRDefault="00161B4A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nenin 11 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b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hen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to shtesa dhe ndryshime:</w:t>
      </w:r>
    </w:p>
    <w:p w14:paraId="198C552D" w14:textId="77777777" w:rsidR="00580FE4" w:rsidRPr="00ED34F9" w:rsidRDefault="00580FE4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1.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1 togfjal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shi “...një projekt i shtojcës II” z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sohet me togfjal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shin “...një projekt i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nenin 8,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tij ligji”. </w:t>
      </w:r>
    </w:p>
    <w:p w14:paraId="37AC60E9" w14:textId="77777777" w:rsidR="00580FE4" w:rsidRPr="00ED34F9" w:rsidRDefault="00580FE4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B0EA202" w14:textId="77777777" w:rsidR="00580FE4" w:rsidRPr="00ED34F9" w:rsidRDefault="00580FE4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2. Pas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3 shtohet pika 4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vijon:</w:t>
      </w:r>
    </w:p>
    <w:p w14:paraId="2B6A1EFD" w14:textId="03812846" w:rsidR="00161B4A" w:rsidRPr="00ED34F9" w:rsidRDefault="00161B4A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“4. AKM</w:t>
      </w:r>
      <w:r w:rsidR="00BD5C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-ja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mund ta zgjasë afatin e marrjes së 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Vendimit për VNM paraprake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BD5C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në raste të vecanta që lidhen me natyrën, kompleksitetin, vendndodhjen ose madhësinë e projektit, deri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D5C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D5C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muaj 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nga afati i </w:t>
      </w:r>
      <w:r w:rsidR="00BD5C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D5CB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zbatim</w:t>
      </w:r>
      <w:r w:rsidR="008E085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E085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E085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tij ligji.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rast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AKM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-ja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informon zhvilluesin për arsyet e zgjatjes së afatit, si dhe për</w:t>
      </w:r>
      <w:r w:rsidR="0023601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datën 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 marrjes s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23601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Vendimi</w:t>
      </w:r>
      <w:r w:rsidR="00812CA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23601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”.</w:t>
      </w:r>
    </w:p>
    <w:p w14:paraId="5357DB33" w14:textId="77777777" w:rsidR="00292019" w:rsidRPr="00ED34F9" w:rsidRDefault="00292019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6C8122A5" w14:textId="22404B46" w:rsidR="0023601E" w:rsidRPr="00ED34F9" w:rsidRDefault="0023601E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2B4D34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8</w:t>
      </w:r>
    </w:p>
    <w:p w14:paraId="311AFC18" w14:textId="77777777" w:rsidR="0009224B" w:rsidRPr="00ED34F9" w:rsidRDefault="0009224B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7345EAC6" w14:textId="77777777" w:rsidR="0023601E" w:rsidRPr="00ED34F9" w:rsidRDefault="0023601E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1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nenit 12 </w:t>
      </w:r>
      <w:r w:rsidR="00975E3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tog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fjal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shi</w:t>
      </w:r>
      <w:r w:rsidR="00975E3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“…autoritetit planifikues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” 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z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sohet me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togfjal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shi</w:t>
      </w:r>
      <w:r w:rsidR="00580F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“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autoriteti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miratimin e zhvillimit</w:t>
      </w:r>
      <w:r w:rsidR="00975E3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:</w:t>
      </w:r>
      <w:r w:rsidR="002D73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”.</w:t>
      </w:r>
    </w:p>
    <w:p w14:paraId="5C4CA7C3" w14:textId="77777777" w:rsidR="009A3AA2" w:rsidRPr="00ED34F9" w:rsidRDefault="009A3AA2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350154A3" w14:textId="77777777" w:rsidR="009A3AA2" w:rsidRPr="00ED34F9" w:rsidRDefault="009A3AA2" w:rsidP="00023FDC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F18BD0C" w14:textId="1598D3EF" w:rsidR="00161B4A" w:rsidRPr="00ED34F9" w:rsidRDefault="00110379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9</w:t>
      </w:r>
    </w:p>
    <w:p w14:paraId="431921F1" w14:textId="45C5E27F" w:rsidR="000F51C1" w:rsidRPr="00ED34F9" w:rsidRDefault="000F51C1" w:rsidP="00023F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3637F750" w14:textId="267C2DE8" w:rsidR="000F51C1" w:rsidRPr="00ED34F9" w:rsidRDefault="000F51C1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pik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1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nenit 15 shkronjat “c”, “ç” dhe “dh” z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sohen me shkronjat ”c” deri “</w:t>
      </w:r>
      <w:r w:rsidR="00C818B5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</w:p>
    <w:p w14:paraId="1C178CF5" w14:textId="20B6CF9F" w:rsidR="00292019" w:rsidRPr="00ED34F9" w:rsidRDefault="00292019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4E876520" w14:textId="64C9323A" w:rsidR="000F51C1" w:rsidRPr="00ED34F9" w:rsidRDefault="000F51C1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10</w:t>
      </w:r>
    </w:p>
    <w:p w14:paraId="3B3F5976" w14:textId="77777777" w:rsidR="007210B0" w:rsidRPr="00ED34F9" w:rsidRDefault="007210B0" w:rsidP="00023F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857DFBC" w14:textId="77777777" w:rsidR="009A651D" w:rsidRPr="00ED34F9" w:rsidRDefault="00110379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Titulli</w:t>
      </w:r>
      <w:r w:rsidR="007210B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9A651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 </w:t>
      </w:r>
      <w:r w:rsidR="007210B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Kreut IV </w:t>
      </w:r>
      <w:r w:rsidR="009A651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ndryshon me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651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2E2ED6EF" w14:textId="77777777" w:rsidR="009A651D" w:rsidRPr="00ED34F9" w:rsidRDefault="009A651D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5F86C09" w14:textId="77777777" w:rsidR="007210B0" w:rsidRPr="00ED34F9" w:rsidRDefault="007210B0" w:rsidP="00023FD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</w:t>
      </w:r>
      <w:r w:rsidR="009A651D" w:rsidRPr="00ED34F9">
        <w:rPr>
          <w:rFonts w:ascii="Times New Roman" w:hAnsi="Times New Roman"/>
          <w:color w:val="000000" w:themeColor="text1"/>
          <w:sz w:val="24"/>
          <w:szCs w:val="24"/>
          <w:lang w:val="it-IT"/>
        </w:rPr>
        <w:t>DHËNIA E INFORMACIONIT, RUAJTJA E TË DHËNAVE KONFIDENCIALE</w:t>
      </w:r>
      <w:r w:rsidR="009A651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DHE KONFLIKTI I INTERESIT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</w:t>
      </w:r>
    </w:p>
    <w:p w14:paraId="36556D9C" w14:textId="77777777" w:rsidR="007210B0" w:rsidRPr="00ED34F9" w:rsidRDefault="007210B0" w:rsidP="00023F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65AD96F" w14:textId="5C505284" w:rsidR="000E0764" w:rsidRPr="00ED34F9" w:rsidRDefault="000E0764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B5375A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</w:t>
      </w:r>
    </w:p>
    <w:p w14:paraId="6654300B" w14:textId="77777777" w:rsidR="000E0764" w:rsidRPr="00ED34F9" w:rsidRDefault="000E0764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46C40317" w14:textId="0C35A048" w:rsidR="000E0764" w:rsidRPr="00ED34F9" w:rsidRDefault="000E0764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Neni 18 nd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yshon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vijon:</w:t>
      </w:r>
    </w:p>
    <w:p w14:paraId="00529744" w14:textId="448ABBF8" w:rsidR="00FD50E7" w:rsidRPr="00ED34F9" w:rsidRDefault="00FD50E7" w:rsidP="00FD50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“Neni 18</w:t>
      </w:r>
    </w:p>
    <w:p w14:paraId="5D1B95E4" w14:textId="569B2EBA" w:rsidR="00FD50E7" w:rsidRPr="00ED34F9" w:rsidRDefault="00FD50E7" w:rsidP="00FD50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Dh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nia e informacionit</w:t>
      </w:r>
    </w:p>
    <w:p w14:paraId="54909BC7" w14:textId="77777777" w:rsidR="00023FDC" w:rsidRPr="00ED34F9" w:rsidRDefault="00023FDC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8B7752D" w14:textId="4E81685C" w:rsidR="000E0764" w:rsidRPr="00ED34F9" w:rsidRDefault="000E0764" w:rsidP="00023FDC">
      <w:pPr>
        <w:pStyle w:val="NormalWeb"/>
        <w:suppressAutoHyphens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ED34F9">
        <w:rPr>
          <w:color w:val="000000" w:themeColor="text1"/>
          <w:lang w:val="sq-AL"/>
        </w:rPr>
        <w:t xml:space="preserve">Autoritetet </w:t>
      </w:r>
      <w:r w:rsidR="00B51931" w:rsidRPr="00ED34F9">
        <w:rPr>
          <w:color w:val="000000" w:themeColor="text1"/>
          <w:lang w:val="sq-AL"/>
        </w:rPr>
        <w:t>publike, me kërkesë t</w:t>
      </w:r>
      <w:r w:rsidR="004A2F16" w:rsidRPr="00ED34F9">
        <w:rPr>
          <w:color w:val="000000" w:themeColor="text1"/>
          <w:lang w:val="sq-AL"/>
        </w:rPr>
        <w:t>ë</w:t>
      </w:r>
      <w:r w:rsidR="00B51931" w:rsidRPr="00ED34F9">
        <w:rPr>
          <w:color w:val="000000" w:themeColor="text1"/>
          <w:lang w:val="sq-AL"/>
        </w:rPr>
        <w:t xml:space="preserve"> zhvilluesit apo personit fizik/juridik i pajisur me licencë për hartimin e raportit të VNM-së</w:t>
      </w:r>
      <w:r w:rsidRPr="00ED34F9">
        <w:rPr>
          <w:color w:val="000000" w:themeColor="text1"/>
          <w:lang w:val="sq-AL"/>
        </w:rPr>
        <w:t xml:space="preserve">, vënë në  dispozicion të </w:t>
      </w:r>
      <w:r w:rsidR="00B51931" w:rsidRPr="00ED34F9">
        <w:rPr>
          <w:color w:val="000000" w:themeColor="text1"/>
          <w:lang w:val="sq-AL"/>
        </w:rPr>
        <w:t>tyre</w:t>
      </w:r>
      <w:r w:rsidRPr="00ED34F9">
        <w:rPr>
          <w:color w:val="000000" w:themeColor="text1"/>
          <w:lang w:val="sq-AL"/>
        </w:rPr>
        <w:t xml:space="preserve"> informacionin e disponueshëm për përgatitjen e raportit të vlerësimit të ndikimit në mjedis, në përputhje me legjislacionin n</w:t>
      </w:r>
      <w:r w:rsidR="00CE255D" w:rsidRPr="00ED34F9">
        <w:rPr>
          <w:color w:val="000000" w:themeColor="text1"/>
          <w:lang w:val="sq-AL"/>
        </w:rPr>
        <w:t>ë</w:t>
      </w:r>
      <w:r w:rsidRPr="00ED34F9">
        <w:rPr>
          <w:color w:val="000000" w:themeColor="text1"/>
          <w:lang w:val="sq-AL"/>
        </w:rPr>
        <w:t xml:space="preserve"> fuqi për të drejtën e informimit për dokumentet zyrtare, dhe legjislacionin në fuqi për mbrojtjen e mjedisit</w:t>
      </w:r>
      <w:r w:rsidR="00FD50E7" w:rsidRPr="00ED34F9">
        <w:rPr>
          <w:color w:val="000000" w:themeColor="text1"/>
          <w:lang w:val="sq-AL"/>
        </w:rPr>
        <w:t>”</w:t>
      </w:r>
      <w:r w:rsidRPr="00ED34F9">
        <w:rPr>
          <w:color w:val="000000" w:themeColor="text1"/>
          <w:lang w:val="sq-AL"/>
        </w:rPr>
        <w:t xml:space="preserve">.  </w:t>
      </w:r>
    </w:p>
    <w:p w14:paraId="611727CC" w14:textId="77777777" w:rsidR="000E0764" w:rsidRPr="00ED34F9" w:rsidRDefault="000E0764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05E9EE4" w14:textId="6D17C919" w:rsidR="007B41C8" w:rsidRPr="00ED34F9" w:rsidRDefault="007B41C8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lastRenderedPageBreak/>
        <w:t>Neni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12</w:t>
      </w:r>
    </w:p>
    <w:p w14:paraId="59026C3D" w14:textId="77777777" w:rsidR="007B41C8" w:rsidRPr="00ED34F9" w:rsidRDefault="007B41C8" w:rsidP="00023F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CFF5114" w14:textId="77777777" w:rsidR="007210B0" w:rsidRPr="00ED34F9" w:rsidRDefault="007210B0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Pas nenit 19 shtohet neni 19/1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79D63BD6" w14:textId="77777777" w:rsidR="007210B0" w:rsidRPr="00ED34F9" w:rsidRDefault="007210B0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AC27D33" w14:textId="3BBBFD9B" w:rsidR="007210B0" w:rsidRPr="00ED34F9" w:rsidRDefault="00ED34F9" w:rsidP="00023F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“</w:t>
      </w:r>
      <w:r w:rsidR="007210B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Neni 19/1</w:t>
      </w:r>
    </w:p>
    <w:p w14:paraId="0249DC22" w14:textId="77777777" w:rsidR="007210B0" w:rsidRPr="00ED34F9" w:rsidRDefault="007210B0" w:rsidP="00023F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68EA638" w14:textId="77777777" w:rsidR="007210B0" w:rsidRDefault="007210B0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Konflikti i interesit </w:t>
      </w:r>
    </w:p>
    <w:p w14:paraId="75076B72" w14:textId="77777777" w:rsidR="00ED34F9" w:rsidRPr="00ED34F9" w:rsidRDefault="00ED34F9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098B9016" w14:textId="4D0F56BD" w:rsidR="00937ED9" w:rsidRPr="000A7CC1" w:rsidRDefault="007210B0" w:rsidP="000A7CC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Palët e përfshira në zbatimin e këtij ligji, duke përfshirë të gjithë </w:t>
      </w:r>
      <w:r w:rsidR="002E06C7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aktor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E06C7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 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 </w:t>
      </w:r>
      <w:r w:rsidR="002E06C7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E06C7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r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shir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procesin e konsultimit, garantojn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nj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vendimarrje t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paanshme, transparante n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rmjet parandalimit t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konfliktit t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interesit nd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rmjet interesave publike dhe atyre privat</w:t>
      </w:r>
      <w:r w:rsidR="00557E44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="00E07C0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, sipas legjislacionit n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07C0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fuqi p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07C0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r parandalimin e konfliktit t</w:t>
      </w:r>
      <w:r w:rsidR="00CE255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07C0D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interesit</w:t>
      </w:r>
      <w:r w:rsidR="00ED34F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  <w:r w:rsidR="00937ED9" w:rsidRP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63389781" w14:textId="77777777" w:rsidR="00292019" w:rsidRPr="00ED34F9" w:rsidRDefault="00292019" w:rsidP="00023FDC">
      <w:pPr>
        <w:pStyle w:val="ListParagraph"/>
        <w:spacing w:after="0" w:line="240" w:lineRule="auto"/>
        <w:ind w:left="360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0D191DF0" w14:textId="3633D254" w:rsidR="004851D8" w:rsidRPr="00ED34F9" w:rsidRDefault="004851D8" w:rsidP="00023FDC">
      <w:pPr>
        <w:pStyle w:val="ListParagraph"/>
        <w:spacing w:after="0" w:line="240" w:lineRule="auto"/>
        <w:ind w:left="360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13</w:t>
      </w:r>
    </w:p>
    <w:p w14:paraId="4720FDCD" w14:textId="77777777" w:rsidR="00A246AB" w:rsidRPr="00ED34F9" w:rsidRDefault="00A246AB" w:rsidP="00023FDC">
      <w:pPr>
        <w:pStyle w:val="ListParagraph"/>
        <w:spacing w:after="0" w:line="240" w:lineRule="auto"/>
        <w:ind w:left="360"/>
        <w:contextualSpacing w:val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4FC3C646" w14:textId="66ED4958" w:rsidR="00F430E4" w:rsidRPr="00ED34F9" w:rsidRDefault="00A246AB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Titulli 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reut V ndryshon me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4C30FD87" w14:textId="77777777" w:rsidR="00A246AB" w:rsidRPr="00ED34F9" w:rsidRDefault="00A246AB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03D38C2" w14:textId="5B93E5F3" w:rsidR="00F430E4" w:rsidRPr="00ED34F9" w:rsidRDefault="00A246AB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VENDIMI I AUTORITET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MIRATIMIN</w:t>
      </w:r>
      <w:r w:rsidR="00941EE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 ZHVILLIMIT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  <w:r w:rsidR="00F430E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6DFB30B7" w14:textId="77777777" w:rsidR="00A246AB" w:rsidRPr="00ED34F9" w:rsidRDefault="00A246AB" w:rsidP="00023FDC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F280406" w14:textId="588D5B1A" w:rsidR="00A246AB" w:rsidRPr="00ED34F9" w:rsidRDefault="00A246AB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8F01DB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4</w:t>
      </w:r>
    </w:p>
    <w:p w14:paraId="2A36BDAF" w14:textId="77777777" w:rsidR="004851D8" w:rsidRPr="00ED34F9" w:rsidRDefault="004851D8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Neni 20 ndryshon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vijon :</w:t>
      </w:r>
    </w:p>
    <w:p w14:paraId="1117A2DE" w14:textId="77777777" w:rsidR="004851D8" w:rsidRPr="00ED34F9" w:rsidRDefault="004851D8" w:rsidP="00023FDC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2CFCC47" w14:textId="77777777" w:rsidR="00042367" w:rsidRPr="00ED34F9" w:rsidRDefault="00E07C0D" w:rsidP="00023FDC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D34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“</w:t>
      </w:r>
      <w:r w:rsidR="00042367" w:rsidRPr="00ED34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Neni 20</w:t>
      </w:r>
    </w:p>
    <w:p w14:paraId="08DCB163" w14:textId="77777777" w:rsidR="00042367" w:rsidRPr="00ED34F9" w:rsidRDefault="00042367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58DE488" w14:textId="77777777" w:rsidR="00042367" w:rsidRPr="00ED34F9" w:rsidRDefault="00042367" w:rsidP="00023FDC">
      <w:pPr>
        <w:pStyle w:val="NoSpacing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Vendimi i autoritetit </w:t>
      </w:r>
      <w:r w:rsidR="00252A85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përgjegjës</w:t>
      </w: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për </w:t>
      </w:r>
      <w:r w:rsidR="00E07C0D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miratimin e zhvillimit</w:t>
      </w:r>
    </w:p>
    <w:p w14:paraId="7F84E668" w14:textId="77777777" w:rsidR="00042367" w:rsidRPr="00ED34F9" w:rsidRDefault="00042367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8881C0B" w14:textId="1A2216D6" w:rsidR="00042367" w:rsidRPr="00ED34F9" w:rsidRDefault="00042367" w:rsidP="00023FDC">
      <w:pPr>
        <w:pStyle w:val="NoSpacing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1. Autorit</w:t>
      </w:r>
      <w:r w:rsidR="004477F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eti</w:t>
      </w:r>
      <w:r w:rsidR="00E07C0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përgjegjës për miratimin e zhvillimit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një projekt publik ose privat të </w:t>
      </w:r>
      <w:r w:rsidR="00B5193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5193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 n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5193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5193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E07C0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l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igj, përpara vendimit për dhënien ose jo të miratimit</w:t>
      </w:r>
      <w:r w:rsidR="00E07C0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 zhvillimit, sigurohe</w:t>
      </w:r>
      <w:r w:rsidR="00252A8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që projekti t’i jetë nënshtruar kërkesave të këtij ligji dhe, në varësi të projektit, të jetë pajisur me 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Deklaratë</w:t>
      </w:r>
      <w:r w:rsidR="00B5193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Mjedisore ose 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 për VNM paraprake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</w:p>
    <w:p w14:paraId="08A89A02" w14:textId="77777777" w:rsidR="00042367" w:rsidRPr="00ED34F9" w:rsidRDefault="00042367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2. </w:t>
      </w:r>
      <w:r w:rsidR="00E07C0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Autoritet</w:t>
      </w:r>
      <w:r w:rsidR="00252A8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</w:t>
      </w:r>
      <w:r w:rsidR="00E07C0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252A8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përgjegjës</w:t>
      </w:r>
      <w:r w:rsidR="00E07C0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miratimin e zhvillimit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kur shqyrton dhënien ose jo të miratimit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zhvillimit për një projekt, apo vendosjen e kushteve për zhvilluesin, merr në konsideratë </w:t>
      </w:r>
      <w:r w:rsidR="00C4555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Deklaratën Mjedisore ose 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Vendimin për VNM paraprake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për ndikimet në mjedis të projektit të propozuar.</w:t>
      </w:r>
    </w:p>
    <w:p w14:paraId="4728E132" w14:textId="166D1116" w:rsidR="00042367" w:rsidRPr="00ED34F9" w:rsidRDefault="00042367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3. Në rast se </w:t>
      </w:r>
      <w:r w:rsidR="00D5059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autoritet</w:t>
      </w:r>
      <w:r w:rsidR="00252A8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 </w:t>
      </w:r>
      <w:r w:rsidR="00D5059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përgjegjës për miratimin e zhvillimit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projektit m</w:t>
      </w:r>
      <w:r w:rsidR="00252A8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rr vendim për miratimin e zhvillimit të projektit, në kundërshtim me </w:t>
      </w:r>
      <w:r w:rsidR="008A6D9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Vendimin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A6D9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VNM paraprake</w:t>
      </w:r>
      <w:r w:rsidR="00252A8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apo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deklaratën mjedisore, jep argumentet përkatëse për këtë vendim. </w:t>
      </w:r>
    </w:p>
    <w:p w14:paraId="065403EC" w14:textId="632CA9F4" w:rsidR="00042367" w:rsidRPr="00ED34F9" w:rsidRDefault="00042367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4. </w:t>
      </w:r>
      <w:r w:rsidR="008A6D9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Akti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miratimin e zhvillimit duhet të përfshijë të paktën informacionin e mëposhtëm: </w:t>
      </w:r>
    </w:p>
    <w:p w14:paraId="60273685" w14:textId="77777777" w:rsidR="00042367" w:rsidRPr="00ED34F9" w:rsidRDefault="00042367" w:rsidP="00023FDC">
      <w:pPr>
        <w:spacing w:after="0" w:line="240" w:lineRule="auto"/>
        <w:ind w:left="108" w:right="6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(a) arsyetimin nga autoriteti kompetent mbi efektet domethënëse të projektit në mjedis, duke marrë parasysh rezultatet e shqyrtimit </w:t>
      </w:r>
    </w:p>
    <w:p w14:paraId="5B637896" w14:textId="0114D9C5" w:rsidR="00042367" w:rsidRPr="00ED34F9" w:rsidRDefault="00042367" w:rsidP="00023FDC">
      <w:pPr>
        <w:spacing w:after="0" w:line="240" w:lineRule="auto"/>
        <w:ind w:left="108" w:right="1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(b) çdo kusht mjedisor të </w:t>
      </w:r>
      <w:r w:rsidR="00C4555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4555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Deklarat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Mjedisore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apo Vendimin për VNM paraprake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përshkrim të karakteristikave të projektit dhe / ose masat e parashikuara për të shmangur, parandaluar ose zvogëluar dhe, nëse është e mundur, kompensuar ndikimet </w:t>
      </w:r>
      <w:r w:rsidR="00C4555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 r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4555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4555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sish</w:t>
      </w:r>
      <w:r w:rsidR="00486622">
        <w:rPr>
          <w:rFonts w:ascii="Times New Roman" w:hAnsi="Times New Roman"/>
          <w:color w:val="000000" w:themeColor="text1"/>
          <w:sz w:val="24"/>
          <w:szCs w:val="24"/>
          <w:lang w:val="sq-AL"/>
        </w:rPr>
        <w:t>m</w:t>
      </w:r>
      <w:r w:rsidR="00C4555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 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mjedis, si dhe masat e monitorimit. </w:t>
      </w:r>
    </w:p>
    <w:p w14:paraId="70CD0B61" w14:textId="77777777" w:rsidR="00247DC6" w:rsidRPr="00ED34F9" w:rsidRDefault="00247DC6" w:rsidP="00023FD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53A8C44" w14:textId="641C9644" w:rsidR="00042367" w:rsidRPr="00ED34F9" w:rsidRDefault="00042367" w:rsidP="00ED34F9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Neni 1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5</w:t>
      </w:r>
    </w:p>
    <w:p w14:paraId="3223C247" w14:textId="77777777" w:rsidR="00042367" w:rsidRPr="00ED34F9" w:rsidRDefault="00042367" w:rsidP="00ED34F9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Neni 21 ndrysho</w:t>
      </w:r>
      <w:r w:rsidR="00C15F5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20E0F2C4" w14:textId="77777777" w:rsidR="00CE255D" w:rsidRPr="00ED34F9" w:rsidRDefault="00CE255D" w:rsidP="00ED34F9">
      <w:pPr>
        <w:pStyle w:val="Heading1"/>
        <w:spacing w:before="0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70CDFBED" w14:textId="38DA074D" w:rsidR="00042367" w:rsidRPr="00ED34F9" w:rsidRDefault="00CE255D" w:rsidP="00ED34F9">
      <w:pPr>
        <w:pStyle w:val="Heading1"/>
        <w:spacing w:before="0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D34F9">
        <w:rPr>
          <w:rFonts w:ascii="Times New Roman" w:hAnsi="Times New Roman"/>
          <w:b w:val="0"/>
          <w:color w:val="000000" w:themeColor="text1"/>
          <w:sz w:val="24"/>
          <w:szCs w:val="24"/>
        </w:rPr>
        <w:t>“</w:t>
      </w:r>
      <w:r w:rsidR="00042367" w:rsidRPr="00ED34F9">
        <w:rPr>
          <w:rFonts w:ascii="Times New Roman" w:hAnsi="Times New Roman"/>
          <w:b w:val="0"/>
          <w:color w:val="000000" w:themeColor="text1"/>
          <w:sz w:val="24"/>
          <w:szCs w:val="24"/>
        </w:rPr>
        <w:t>Neni 21</w:t>
      </w:r>
    </w:p>
    <w:p w14:paraId="2946B22E" w14:textId="20A161A3" w:rsidR="00042367" w:rsidRPr="00ED34F9" w:rsidRDefault="0064725A" w:rsidP="00ED34F9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Miratimi i zhvilimit n</w:t>
      </w:r>
      <w:r w:rsidR="00023FDC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042367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Zonat e Veçanta të Ruajtjes </w:t>
      </w:r>
    </w:p>
    <w:p w14:paraId="182E4496" w14:textId="77777777" w:rsidR="00227E47" w:rsidRPr="00ED34F9" w:rsidRDefault="00227E47" w:rsidP="00ED34F9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13A13111" w14:textId="62DBC8C1" w:rsidR="004031E3" w:rsidRPr="00ED34F9" w:rsidRDefault="0064725A" w:rsidP="00ED34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1</w:t>
      </w:r>
      <w:r w:rsidR="004031E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EC0F5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Autoritetet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C0F5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EC0F5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se për miratimin e zhvillimit, japin miratimin përkatës vetëm</w:t>
      </w:r>
      <w:r w:rsidR="000E39E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E39E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rast se </w:t>
      </w:r>
      <w:r w:rsidR="00EC0F5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Vlerësimi i Duhur ka konstatuar se nuk do të ketë efekte të konsiderueshme në integritetin e</w:t>
      </w:r>
      <w:r w:rsidR="00855E8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55E8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saj</w:t>
      </w:r>
      <w:r w:rsidR="00EC0F5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zon</w:t>
      </w:r>
      <w:r w:rsidR="00855E8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="00271A2D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29E40D07" w14:textId="24B175DC" w:rsidR="00042367" w:rsidRPr="00ED34F9" w:rsidRDefault="0064725A" w:rsidP="00ED34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2</w:t>
      </w:r>
      <w:r w:rsidR="004031E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Kur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projekti duhet të zhvillohet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arsye </w:t>
      </w:r>
      <w:r w:rsidR="00C937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madhore</w:t>
      </w:r>
      <w:r w:rsidR="00855E8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55E8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interesit</w:t>
      </w:r>
      <w:r w:rsidR="00A246A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publik</w:t>
      </w:r>
      <w:r w:rsidR="00855E8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komb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55E8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tar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pa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varësisht ndikimeve 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zonë të 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identifikuara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Vlerësimin e Duhur dhe 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mungesës së zgje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dhjeve alternative, autoritetet </w:t>
      </w:r>
      <w:r w:rsidR="000C113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C113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C113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se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miratojnë zhvillimin, vetëm me kushtin që zhvilluesi të marrë të gjitha masat kompensuese 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me q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llim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sigur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imin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q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zona e veçant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6779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e ruajtjes nuk e humb </w:t>
      </w:r>
      <w:r w:rsidR="00B67790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integritetin e saj</w:t>
      </w:r>
      <w:r w:rsidR="0004236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7232D872" w14:textId="77777777" w:rsidR="00E35B94" w:rsidRPr="00ED34F9" w:rsidRDefault="00E35B94" w:rsidP="00ED34F9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3A683E1" w14:textId="37BDA3E4" w:rsidR="00292019" w:rsidRPr="00ED34F9" w:rsidRDefault="00292019" w:rsidP="00ED34F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Neni</w:t>
      </w:r>
      <w:r w:rsidR="00782E01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16 </w:t>
      </w:r>
    </w:p>
    <w:p w14:paraId="461E08F5" w14:textId="77777777" w:rsidR="00292019" w:rsidRPr="00ED34F9" w:rsidRDefault="00292019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094A7E04" w14:textId="77777777" w:rsidR="004031E3" w:rsidRPr="00ED34F9" w:rsidRDefault="004031E3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Titulli i  Kreut VIII ndryshon me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rmbajtje si vijon: </w:t>
      </w:r>
    </w:p>
    <w:p w14:paraId="09D11F39" w14:textId="4F8A3ECA" w:rsidR="00292019" w:rsidRPr="00ED34F9" w:rsidRDefault="00EA7476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</w:t>
      </w:r>
      <w:r w:rsidRPr="00ED34F9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 xml:space="preserve">ANKIMI,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MONITORIMI, VLEFSHMËRIA</w:t>
      </w:r>
      <w:r w:rsidRPr="00ED34F9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>, KUNDRAVAJTJET ADMINISTRATIVE DHE SANKSIONET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” </w:t>
      </w:r>
    </w:p>
    <w:p w14:paraId="36A770ED" w14:textId="77777777" w:rsidR="00247DC6" w:rsidRPr="00ED34F9" w:rsidRDefault="00247DC6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50A3F5CF" w14:textId="1EA21A28" w:rsidR="00AC2159" w:rsidRPr="00ED34F9" w:rsidRDefault="00AC2159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17 </w:t>
      </w:r>
    </w:p>
    <w:p w14:paraId="3D19EB81" w14:textId="77777777" w:rsidR="00AB658C" w:rsidRPr="00ED34F9" w:rsidRDefault="00AB658C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266C7D85" w14:textId="78779412" w:rsidR="00AB658C" w:rsidRPr="00ED34F9" w:rsidRDefault="00CB45CD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AB658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enin 25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ndryshon</w:t>
      </w:r>
      <w:r w:rsidR="00AB658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AB658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vijon:</w:t>
      </w:r>
    </w:p>
    <w:p w14:paraId="1E786DFA" w14:textId="0D1FD7FB" w:rsidR="00FD50E7" w:rsidRPr="00ED34F9" w:rsidRDefault="00FD50E7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9AD6897" w14:textId="1AEDDB2E" w:rsidR="00FD50E7" w:rsidRPr="00ED34F9" w:rsidRDefault="00FD50E7" w:rsidP="00342B0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“Neni 25</w:t>
      </w:r>
    </w:p>
    <w:p w14:paraId="31FE2FF4" w14:textId="70860E26" w:rsidR="00FD50E7" w:rsidRPr="00ED34F9" w:rsidRDefault="00FD50E7" w:rsidP="00342B0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Ankimi</w:t>
      </w:r>
    </w:p>
    <w:p w14:paraId="710302CB" w14:textId="77777777" w:rsidR="00FD50E7" w:rsidRPr="00ED34F9" w:rsidRDefault="00FD50E7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B182000" w14:textId="02912F9E" w:rsidR="00CB45CD" w:rsidRPr="00ED34F9" w:rsidRDefault="00C3453F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1. 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Çdo palë e interesuar, </w:t>
      </w:r>
      <w:r w:rsidR="00271A2D">
        <w:rPr>
          <w:rFonts w:ascii="Times New Roman" w:hAnsi="Times New Roman"/>
          <w:color w:val="000000" w:themeColor="text1"/>
          <w:sz w:val="24"/>
          <w:szCs w:val="24"/>
          <w:lang w:val="sq-AL"/>
        </w:rPr>
        <w:t>p</w:t>
      </w:r>
      <w:r w:rsidR="00943868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71A2D">
        <w:rPr>
          <w:rFonts w:ascii="Times New Roman" w:hAnsi="Times New Roman"/>
          <w:color w:val="000000" w:themeColor="text1"/>
          <w:sz w:val="24"/>
          <w:szCs w:val="24"/>
          <w:lang w:val="sq-AL"/>
        </w:rPr>
        <w:t>rfshir</w:t>
      </w:r>
      <w:r w:rsidR="00943868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71A2D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edhe publikun e ndikuar, 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subjekt i këtij ligji, ka të drejtë të ankohet në rrugë administrative te ministri ndaj akteve, veprimeve apo mosveprimeve të ministrisë dhe AKM-së, sipas Kodit të Procedurave Administrative.</w:t>
      </w:r>
    </w:p>
    <w:p w14:paraId="04C1B2F4" w14:textId="120CBE6B" w:rsidR="00AC2159" w:rsidRPr="00ED34F9" w:rsidRDefault="00AC2159" w:rsidP="00D92B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5490FD76" w14:textId="0DF1D143" w:rsidR="00AC2159" w:rsidRPr="00ED34F9" w:rsidRDefault="00271A2D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2</w:t>
      </w:r>
      <w:r w:rsidR="001F396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Me qëllim rritjen e efektiv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itetit të dispozitave të këtij n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eni, </w:t>
      </w:r>
      <w:r w:rsidR="001F396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ministria dhe AKM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-ja</w:t>
      </w:r>
      <w:r w:rsidR="001F396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publikojn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F396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F396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faqen zyrtare </w:t>
      </w:r>
      <w:r w:rsidR="006E6F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elektronike</w:t>
      </w:r>
      <w:r w:rsidR="001F396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informacion</w:t>
      </w:r>
      <w:r w:rsidR="001F3963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in 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mbi të drejtën e 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publikut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ndikuar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drejt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e tyre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të ankimimit 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administrativ dhe gjyqësor</w:t>
      </w:r>
      <w:r w:rsidR="00CB45C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  <w:r w:rsidR="00AC215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</w:p>
    <w:p w14:paraId="595871C8" w14:textId="77777777" w:rsidR="00AC2159" w:rsidRPr="00ED34F9" w:rsidRDefault="00AC2159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3111DE4C" w14:textId="67A1271F" w:rsidR="00292019" w:rsidRPr="00ED34F9" w:rsidRDefault="00292019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18</w:t>
      </w:r>
    </w:p>
    <w:p w14:paraId="1589DEE1" w14:textId="77777777" w:rsidR="00292019" w:rsidRPr="00ED34F9" w:rsidRDefault="00292019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65382C56" w14:textId="77777777" w:rsidR="003F692B" w:rsidRPr="00ED34F9" w:rsidRDefault="00292019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Kreun VIII, pas nenit 25 shtohet neni 25/1</w:t>
      </w:r>
      <w:r w:rsidR="003F692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F692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vijon:</w:t>
      </w:r>
    </w:p>
    <w:p w14:paraId="3709CDD6" w14:textId="77777777" w:rsidR="00AC2159" w:rsidRPr="00ED34F9" w:rsidRDefault="00AC2159" w:rsidP="00023FD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E2A687B" w14:textId="77777777" w:rsidR="003F692B" w:rsidRPr="00ED34F9" w:rsidRDefault="00AC2159" w:rsidP="00023FDC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D34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F692B" w:rsidRPr="00ED34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“Neni 2</w:t>
      </w:r>
      <w:r w:rsidRPr="00ED34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5/1</w:t>
      </w:r>
    </w:p>
    <w:p w14:paraId="0BF6F314" w14:textId="77777777" w:rsidR="003F692B" w:rsidRPr="00ED34F9" w:rsidRDefault="003F692B" w:rsidP="00023F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BD8092E" w14:textId="36D68BBD" w:rsidR="00292019" w:rsidRPr="00ED34F9" w:rsidRDefault="00292019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Monitorimi dhe Vlefshm</w:t>
      </w:r>
      <w:r w:rsidR="00CE255D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ria </w:t>
      </w:r>
    </w:p>
    <w:p w14:paraId="13567FF5" w14:textId="77777777" w:rsidR="00FD50E7" w:rsidRPr="00ED34F9" w:rsidRDefault="00FD50E7" w:rsidP="00023FD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D341E87" w14:textId="10F5A845" w:rsidR="00292019" w:rsidRPr="00ED34F9" w:rsidRDefault="00DE6AE5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1. 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AKM-ja përcakton llojin e parametrave q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monitorohen dhe kohëzgjatjen e monitorimit në raport me natyrën, vendndodhjen dhe madhësinë e projektit dhe </w:t>
      </w:r>
      <w:r w:rsidR="009D0BF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ndikimeve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D0BF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D0BF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D0BF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sishme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 të tij në mjedis,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cilat </w:t>
      </w:r>
      <w:r w:rsidR="0005044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parashikohen 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në Vendimin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VNM Paraprake apo Deklaratën Mjedisore.</w:t>
      </w:r>
    </w:p>
    <w:p w14:paraId="03841616" w14:textId="25C2E20D" w:rsidR="00292019" w:rsidRPr="00ED34F9" w:rsidRDefault="00DE6AE5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 xml:space="preserve">2. 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Zhvilluesi, gjatë fazës së zbatimit të projektit </w:t>
      </w:r>
      <w:r w:rsidR="00C320B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kryen vet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monitorimin e 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ndikimeve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nd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sishme të projektit në mjedis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dhe i raporton </w:t>
      </w:r>
      <w:r w:rsidR="00C320B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AKM-s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001C7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masat e marra për mbrojtjen e mjedisit.</w:t>
      </w:r>
    </w:p>
    <w:p w14:paraId="7D4FF2F9" w14:textId="77777777" w:rsidR="00292019" w:rsidRPr="00ED34F9" w:rsidRDefault="00DE6AE5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3. 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Struktura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inspekti</w:t>
      </w:r>
      <w:r w:rsidR="00F4289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in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fush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e mjedisit inspekton ndikimet në mjedis nga zbatimi i projektit, si dhe kushtet e monitorimit të përcaktuara në Vendimin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201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VNM Paraprake apo Deklaratën Mjedisore.</w:t>
      </w:r>
    </w:p>
    <w:p w14:paraId="6DCA3F8C" w14:textId="2B160D25" w:rsidR="00292019" w:rsidRPr="00ED34F9" w:rsidRDefault="004257F3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4</w:t>
      </w:r>
      <w:r w:rsidR="00DE6AE5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Deklarata Mjedisore apo Vendimi për VNM paraprake për projektin e propozuar është e vlefshme për aq kohë sa është i vlefsh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 dhe dokumenti i miratimit të zhvillimin përkatës për projektin. </w:t>
      </w:r>
    </w:p>
    <w:p w14:paraId="02F4D260" w14:textId="1ED3FFCA" w:rsidR="00B51931" w:rsidRPr="00ED34F9" w:rsidRDefault="004257F3" w:rsidP="00023FDC">
      <w:pPr>
        <w:pStyle w:val="NoSpacing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5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 Nëse projekti, që i është nënshtruar procesit të VNM-së, nuk fillon zbatimin në terren brenda 2 vjetëve nga data e miratimit të Deklaratës Mjedisore apo Vendimi për VNM paraprake, atëherë këto dokumente konsiderohen të pavlefshme dhe procesi i VNM-së fillon nga e para</w:t>
      </w:r>
      <w:r w:rsidR="00335A8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”</w:t>
      </w:r>
      <w:r w:rsidR="00D17FB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  <w:r w:rsidR="00B5193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053771BD" w14:textId="77777777" w:rsidR="00247DC6" w:rsidRPr="00ED34F9" w:rsidRDefault="00247DC6" w:rsidP="00023FDC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3B13105E" w14:textId="7EA50B49" w:rsidR="004851D8" w:rsidRPr="00ED34F9" w:rsidRDefault="00B215A1" w:rsidP="00023FDC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8F01D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19  </w:t>
      </w:r>
    </w:p>
    <w:p w14:paraId="6567B32A" w14:textId="77777777" w:rsidR="00B06568" w:rsidRPr="00ED34F9" w:rsidRDefault="00B06568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65138AF" w14:textId="77777777" w:rsidR="00B215A1" w:rsidRPr="00ED34F9" w:rsidRDefault="00904051" w:rsidP="00023FDC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Neni 26 ndryshon </w:t>
      </w:r>
      <w:r w:rsidR="009B16E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me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B16E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rmbajtje si m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B16E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posht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B16E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:</w:t>
      </w:r>
    </w:p>
    <w:p w14:paraId="04F87708" w14:textId="77777777" w:rsidR="001F3963" w:rsidRPr="00ED34F9" w:rsidRDefault="001F3963" w:rsidP="00023FDC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AFB1F22" w14:textId="77777777" w:rsidR="009B16E0" w:rsidRPr="00ED34F9" w:rsidRDefault="009B16E0" w:rsidP="00023FDC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“Neni 26</w:t>
      </w:r>
    </w:p>
    <w:p w14:paraId="1EE64228" w14:textId="77777777" w:rsidR="009B16E0" w:rsidRPr="00ED34F9" w:rsidRDefault="009B16E0" w:rsidP="00023FDC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284B41A" w14:textId="77777777" w:rsidR="00B215A1" w:rsidRPr="00ED34F9" w:rsidRDefault="00B215A1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Kundërvajtjet administrative </w:t>
      </w:r>
      <w:r w:rsidR="009B16E0"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dhe sanksionet</w:t>
      </w:r>
    </w:p>
    <w:p w14:paraId="37FE0C6F" w14:textId="77777777" w:rsidR="00F432C2" w:rsidRPr="00ED34F9" w:rsidRDefault="00F432C2" w:rsidP="00023FD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282FC0A4" w14:textId="77777777" w:rsidR="00B215A1" w:rsidRPr="00ED34F9" w:rsidRDefault="009B16E0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1. </w:t>
      </w:r>
      <w:r w:rsidR="0081682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Shkeljet e mëposhtme të këtij ligji, që nuk përbëjnë vepër penale, përbëjnë kundërvajtje administrative dhe dënohen si më poshtë:</w:t>
      </w:r>
    </w:p>
    <w:p w14:paraId="4AFE148A" w14:textId="51EFF91E" w:rsidR="00B215A1" w:rsidRPr="00ED34F9" w:rsidRDefault="009B16E0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a) 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Zhvilluesi q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zhvillon nj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81682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proje</w:t>
      </w:r>
      <w:r w:rsidR="00B25A4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</w:t>
      </w:r>
      <w:r w:rsidR="0081682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t,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 cili listohet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shtojc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 </w:t>
      </w:r>
      <w:r w:rsidR="0081682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dhe </w:t>
      </w:r>
      <w:r w:rsidR="0081682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II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tij li</w:t>
      </w:r>
      <w:r w:rsidR="002576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gji, pa ju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576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nshtruar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576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rkesave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tij ligji dhe pa u pajisur me 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 për VNM paraprake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ose Deklaratë Mjedisore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dënohet me gjobë nga </w:t>
      </w:r>
      <w:r w:rsidR="00335A8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5</w:t>
      </w:r>
      <w:r w:rsidR="002576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0 000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E2708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deri n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2576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500 000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lekë dhe me pezullimin e punimeve.</w:t>
      </w:r>
    </w:p>
    <w:p w14:paraId="1066DE7B" w14:textId="77777777" w:rsidR="00335A8E" w:rsidRPr="00ED34F9" w:rsidRDefault="00335A8E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b)</w:t>
      </w:r>
      <w:r w:rsidRPr="00ED34F9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Mospërmbushja dhe mosrespektimi i kushteve të 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Vendimit për VNM paraprake </w:t>
      </w:r>
      <w:r w:rsidR="000077A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ose Deklaratës Mjedisore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nga </w:t>
      </w:r>
      <w:r w:rsidR="000077A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zhvilluesi i projektit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:</w:t>
      </w:r>
    </w:p>
    <w:p w14:paraId="5571E12F" w14:textId="6E07C53E" w:rsidR="000077AE" w:rsidRPr="00ED34F9" w:rsidRDefault="000077AE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i.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 </w:t>
      </w:r>
      <w:r w:rsidR="00E2787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Vendimin për VNM paraprake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dënohet me gjobë nga 5</w:t>
      </w:r>
      <w:r w:rsidR="00A0084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0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000 </w:t>
      </w:r>
      <w:r w:rsidR="00E2708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deri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në 200 000 lekë;</w:t>
      </w:r>
    </w:p>
    <w:p w14:paraId="0CD8B360" w14:textId="3B26DAC1" w:rsidR="000077AE" w:rsidRPr="00ED34F9" w:rsidRDefault="000077AE" w:rsidP="00023FD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ii.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 Deklaratë Mjedisore dënohet me gjobë nga 50 000 </w:t>
      </w:r>
      <w:r w:rsidR="00E2708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deri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në 500 000 lekë</w:t>
      </w:r>
    </w:p>
    <w:p w14:paraId="7066218B" w14:textId="5ED8E3C4" w:rsidR="00B215A1" w:rsidRPr="00ED34F9" w:rsidRDefault="000976CF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c</w:t>
      </w:r>
      <w:r w:rsidR="009B16E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) 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Paraqitja e fakteve, të dhënave dhe dokumente të rreme, nga zhvilluesi apo personi fizik/juridik, i pajisur me licencë për hartimin e raportit të VNM-së, t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cilat kan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ndikuar n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vendimmarrjen e autoritetit kompetent </w:t>
      </w:r>
      <w:r w:rsidR="001167EF" w:rsidRPr="00ED34F9">
        <w:rPr>
          <w:rFonts w:ascii="Times New Roman" w:hAnsi="Times New Roman"/>
          <w:bCs/>
          <w:color w:val="000000" w:themeColor="text1"/>
          <w:sz w:val="24"/>
          <w:szCs w:val="24"/>
          <w:lang w:val="sq-AL"/>
        </w:rPr>
        <w:t>perben veper penale dhe organi administrativ shfuqizon aktin dhe ben kallzim penal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413A3491" w14:textId="4DCADA8B" w:rsidR="002D4CDA" w:rsidRPr="00ED34F9" w:rsidRDefault="009B16E0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2. 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Krah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d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nimit me gjob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0077A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 parashikuar pik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077A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1/b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077A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0077A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tij neni, n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ë rast të 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mosp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rmbushjes dhe 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mosrespektimit </w:t>
      </w:r>
      <w:r w:rsidR="000973C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nga ana e zhvilluesit</w:t>
      </w:r>
      <w:r w:rsidR="002C59F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të kushteve të përcaktuara në 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Vendimin për VNM-n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paraprake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ose </w:t>
      </w:r>
      <w:r w:rsidR="00B215A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Deklaratën Mjedisore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:</w:t>
      </w:r>
      <w:r w:rsidR="000973C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117D6B9F" w14:textId="70EB474A" w:rsidR="002D4CDA" w:rsidRPr="00ED34F9" w:rsidRDefault="002D4CDA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a) AKM-ja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F404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Vendimin e VNM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-s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9F404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paraprake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pezullon aktivitetin për zbatimin e projektit nga 1 deri 12 muaj deri n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zbatimin e kushteve;</w:t>
      </w:r>
    </w:p>
    <w:p w14:paraId="16E01F30" w14:textId="421B4F56" w:rsidR="002D4CDA" w:rsidRPr="00ED34F9" w:rsidRDefault="002D4CDA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b) Ministri,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Deklarat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Mjedisore, me propozim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AKM-s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F404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pezullon aktivitetin për zbatimin e projektit nga 3 deri 12 muaj deri n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zbatimin e kushteve;</w:t>
      </w:r>
    </w:p>
    <w:p w14:paraId="769B0575" w14:textId="5B37F98C" w:rsidR="00D17F06" w:rsidRPr="00ED34F9" w:rsidRDefault="00D17F06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3. Në rast të 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pezullimit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37089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Vendimi</w:t>
      </w:r>
      <w:r w:rsidR="009F404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37089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VNM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-n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167E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37089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paraprake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ose Deklaratë</w:t>
      </w:r>
      <w:r w:rsidR="009F404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Mjedisore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rcaktuara n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pik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2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tij neni,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zhvilluesi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dor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zo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 n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AKM p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shqyrtim dhe miratim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jo m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von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se 30 dit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nga marrja dijeni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aktit 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pezullimit, dokumentet e m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posht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:</w:t>
      </w:r>
    </w:p>
    <w:p w14:paraId="342D4999" w14:textId="77777777" w:rsidR="004666F0" w:rsidRPr="00ED34F9" w:rsidRDefault="00D17F06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a) raport</w:t>
      </w:r>
      <w:r w:rsidR="0017533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in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detajuar mbi dëmin e shkaktuar, ku të përfshihen masat e mar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 për par</w:t>
      </w:r>
      <w:r w:rsidR="004666F0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andalimin e dëmeve të mëtejshme;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486D423B" w14:textId="77777777" w:rsidR="00D17F06" w:rsidRPr="00ED34F9" w:rsidRDefault="004666F0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b) </w:t>
      </w:r>
      <w:r w:rsidR="00D17F0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planin i rehabilitimit me qëllim kompesimin e dëmit të shkaktuar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="00D17F0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terma konkret ku përcaktohen masat dhe kohëzgjatja e realizimit të ketij plani. </w:t>
      </w:r>
    </w:p>
    <w:p w14:paraId="19F4BDFF" w14:textId="7F72E4F4" w:rsidR="005333CB" w:rsidRPr="00ED34F9" w:rsidRDefault="00D71124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4. Pas rehabilitimit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zon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s, referuar dokumentave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rcaktuara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pik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3 m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sip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r, zhvilluesi 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dor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zon raportin p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 zbatimin e planit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rehabilitmit dhe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i k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rkon 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autoritetit kompetent</w:t>
      </w:r>
      <w:r w:rsidR="009F404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shfuqizimin e aktit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F404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pezullimit.</w:t>
      </w:r>
      <w:r w:rsidR="005333CB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3BF97285" w14:textId="782813A8" w:rsidR="00D71124" w:rsidRPr="00ED34F9" w:rsidRDefault="009F4042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5. Në rast të konstatimit se zona nuk 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rehabilituar, AKM-ja shfuqizon Vendimin e VNM</w:t>
      </w:r>
      <w:r w:rsidR="00843A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-s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paraprake dhe 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rastin e</w:t>
      </w:r>
      <w:r w:rsid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0A7CC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Deklaratë</w:t>
      </w:r>
      <w:r w:rsidR="000A7CC1">
        <w:rPr>
          <w:rFonts w:ascii="Times New Roman" w:hAnsi="Times New Roman"/>
          <w:color w:val="000000" w:themeColor="text1"/>
          <w:sz w:val="24"/>
          <w:szCs w:val="24"/>
          <w:lang w:val="sq-AL"/>
        </w:rPr>
        <w:t>s</w:t>
      </w:r>
      <w:r w:rsidR="000A7CC1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Mjedisore 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shfuqizimi b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het nga Ministri,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me propozim 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AKM-s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D71124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2292AE7F" w14:textId="61946223" w:rsidR="00F36A5F" w:rsidRPr="00ED34F9" w:rsidRDefault="00575D1D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6</w:t>
      </w:r>
      <w:r w:rsidR="00D17F0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F36A5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36A5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rast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F36A5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konstatimit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nga AKM-ja,</w:t>
      </w:r>
      <w:r w:rsidR="00F36A5F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akti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i miratimit 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zhvillimit, 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bazuar 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projekt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karakteristikat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kryesore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023FDC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tij</w:t>
      </w:r>
      <w:r w:rsidR="0017183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janë ndryshuar në mënyrë të ndjeshme nga ato mbi të cilat është bazuar vendimmarrja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 </w:t>
      </w:r>
      <w:r w:rsidR="0037089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Vendimin për VNM paraprake 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ose Deklarat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 Mjedisore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</w:t>
      </w:r>
      <w:r w:rsidR="004A2F16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Ministri</w:t>
      </w:r>
      <w:r w:rsidR="0017183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propozon pran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autoriteteve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rgjegj</w:t>
      </w:r>
      <w:r w:rsidR="00CE255D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se </w:t>
      </w: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shfuqizimin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e aktit t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miratimit t</w:t>
      </w:r>
      <w:r w:rsidR="00ED34F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4D30A9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zhvillimit</w:t>
      </w:r>
      <w:r w:rsidR="005F516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36AC91E4" w14:textId="3B312E73" w:rsidR="00575D1D" w:rsidRPr="00ED34F9" w:rsidRDefault="00575D1D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7</w:t>
      </w:r>
      <w:r w:rsidR="0088690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 Në rast të paraqitjes</w:t>
      </w:r>
      <w:r w:rsidR="00843A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, nga personi fizik/juridik i pajisur me licenc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843A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për hartimin e raportit të VNM-së</w:t>
      </w:r>
      <w:r w:rsidR="0088690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mbi 3 herë të raporteve të VNM-së me mangësi, bazuar në metodologjinë kombëtare për hartimin e raporteve të vlerësimit të ndikimit në mjedis, ministri vendos pezullimin </w:t>
      </w:r>
      <w:r w:rsidR="00843A2E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apo heqjen e certifikatës</w:t>
      </w:r>
      <w:r w:rsidR="0029026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dhe njofton autoritetin q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026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ka l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026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shuar licenc</w:t>
      </w:r>
      <w:r w:rsidR="00AC6C1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90268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886902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47E13308" w14:textId="77777777" w:rsidR="0098497A" w:rsidRPr="00ED34F9" w:rsidRDefault="00575D1D" w:rsidP="00023FD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8. Në rastet kur shkeljet përbëjnë vepër penale, </w:t>
      </w:r>
      <w:r w:rsidR="0098497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struktura përgjegjëse për inspektimin në fushën e mjedisit 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bën kallëzim penal pranë organeve përkatëse.</w:t>
      </w:r>
    </w:p>
    <w:p w14:paraId="5D89C307" w14:textId="43CB32DE" w:rsidR="004D30A9" w:rsidRDefault="004D30A9" w:rsidP="004D30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>9</w:t>
      </w:r>
      <w:r w:rsidR="0098497A" w:rsidRPr="00ED34F9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575D1D"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Procedura e konstatimit, vendosjes dhe ankimit të masave administrative</w:t>
      </w: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si dhe ekzekutimi i masave administrative bëhet në përputhje me legjislacionin për kundërvajtjet administrative.</w:t>
      </w:r>
    </w:p>
    <w:p w14:paraId="656B578C" w14:textId="620A7B16" w:rsidR="008F01DB" w:rsidRDefault="008F01DB" w:rsidP="004D30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</w:p>
    <w:p w14:paraId="5E3D7D44" w14:textId="77777777" w:rsidR="008F01DB" w:rsidRPr="00ED34F9" w:rsidRDefault="008F01DB" w:rsidP="008F01DB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</w:p>
    <w:p w14:paraId="77FB8F56" w14:textId="77777777" w:rsidR="008F01DB" w:rsidRDefault="008F01DB" w:rsidP="008F01DB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t>20</w:t>
      </w:r>
    </w:p>
    <w:p w14:paraId="3D8DA50D" w14:textId="77777777" w:rsidR="00C818B5" w:rsidRPr="00ED34F9" w:rsidRDefault="00C818B5" w:rsidP="008F01DB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</w:p>
    <w:p w14:paraId="4720E40B" w14:textId="261E9931" w:rsidR="008F01DB" w:rsidRDefault="008F01DB" w:rsidP="004D30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Kudo n</w:t>
      </w:r>
      <w:r w:rsidR="00943868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p</w:t>
      </w:r>
      <w:r w:rsidR="00943868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rmbajtje t</w:t>
      </w:r>
      <w:r w:rsidR="00943868"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  <w:t xml:space="preserve"> ligjit fjala “negative” hiqet.</w:t>
      </w:r>
    </w:p>
    <w:p w14:paraId="2E21E0F2" w14:textId="77777777" w:rsidR="008F01DB" w:rsidRDefault="008F01DB" w:rsidP="004D30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/>
        </w:rPr>
      </w:pPr>
    </w:p>
    <w:p w14:paraId="5BF3262E" w14:textId="77777777" w:rsidR="008F01DB" w:rsidRPr="00ED34F9" w:rsidRDefault="008F01DB" w:rsidP="004D3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992C2EE" w14:textId="77777777" w:rsidR="008929DD" w:rsidRPr="00ED34F9" w:rsidRDefault="008929DD" w:rsidP="00023FDC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</w:p>
    <w:p w14:paraId="0E4D1A67" w14:textId="674F3C33" w:rsidR="008929DD" w:rsidRPr="00ED34F9" w:rsidRDefault="008929DD" w:rsidP="00023FDC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CD4359"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t>2</w:t>
      </w:r>
      <w:r w:rsidR="008F01DB"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t>1</w:t>
      </w:r>
    </w:p>
    <w:p w14:paraId="3EFA914C" w14:textId="77777777" w:rsidR="008929DD" w:rsidRPr="00ED34F9" w:rsidRDefault="008929DD" w:rsidP="00023FD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</w:pPr>
    </w:p>
    <w:p w14:paraId="2DA4ED13" w14:textId="77777777" w:rsidR="008929DD" w:rsidRPr="00ED34F9" w:rsidRDefault="008929DD" w:rsidP="00023FD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q-AL" w:eastAsia="sq-AL"/>
        </w:rPr>
      </w:pPr>
      <w:r w:rsidRPr="00ED34F9">
        <w:rPr>
          <w:rFonts w:ascii="Times New Roman" w:eastAsia="Times New Roman" w:hAnsi="Times New Roman"/>
          <w:color w:val="000000" w:themeColor="text1"/>
          <w:sz w:val="24"/>
          <w:szCs w:val="24"/>
          <w:lang w:val="sq-AL" w:eastAsia="sq-AL"/>
        </w:rPr>
        <w:t>Ky ligj hyn në fuqi 15 ditë pas botimit në “Fletoren zyrtare”.</w:t>
      </w:r>
    </w:p>
    <w:p w14:paraId="2B27AAED" w14:textId="77777777" w:rsidR="008929DD" w:rsidRPr="00ED34F9" w:rsidRDefault="008929DD" w:rsidP="00023FDC">
      <w:pPr>
        <w:spacing w:after="0" w:line="240" w:lineRule="auto"/>
        <w:ind w:firstLine="720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</w:p>
    <w:p w14:paraId="607F7403" w14:textId="77777777" w:rsidR="00ED34F9" w:rsidRDefault="00ED34F9" w:rsidP="00023FDC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</w:p>
    <w:p w14:paraId="149291C0" w14:textId="77777777" w:rsidR="00ED34F9" w:rsidRDefault="00ED34F9" w:rsidP="00023FDC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</w:p>
    <w:p w14:paraId="2BD50257" w14:textId="77777777" w:rsidR="008929DD" w:rsidRPr="00ED34F9" w:rsidRDefault="008929DD" w:rsidP="00023FDC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t>K R Y E T A R I</w:t>
      </w:r>
    </w:p>
    <w:p w14:paraId="55EE337D" w14:textId="77777777" w:rsidR="00ED34F9" w:rsidRDefault="0098497A" w:rsidP="00023FDC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br/>
      </w:r>
    </w:p>
    <w:p w14:paraId="25C79EF2" w14:textId="2E3A19DA" w:rsidR="008929DD" w:rsidRPr="00ED34F9" w:rsidRDefault="003266AC" w:rsidP="00023FDC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</w:pPr>
      <w:r w:rsidRPr="00ED34F9">
        <w:rPr>
          <w:rFonts w:ascii="Times New Roman" w:eastAsia="MS Mincho" w:hAnsi="Times New Roman"/>
          <w:b/>
          <w:color w:val="000000" w:themeColor="text1"/>
          <w:sz w:val="24"/>
          <w:szCs w:val="24"/>
          <w:lang w:val="sq-AL"/>
        </w:rPr>
        <w:t>Gramoz RUCI</w:t>
      </w:r>
    </w:p>
    <w:sectPr w:rsidR="008929DD" w:rsidRPr="00ED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8AC4F" w14:textId="77777777" w:rsidR="009204BE" w:rsidRDefault="009204BE" w:rsidP="00AC2159">
      <w:pPr>
        <w:spacing w:after="0" w:line="240" w:lineRule="auto"/>
      </w:pPr>
      <w:r>
        <w:separator/>
      </w:r>
    </w:p>
  </w:endnote>
  <w:endnote w:type="continuationSeparator" w:id="0">
    <w:p w14:paraId="350E8627" w14:textId="77777777" w:rsidR="009204BE" w:rsidRDefault="009204BE" w:rsidP="00AC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9E78C" w14:textId="77777777" w:rsidR="009204BE" w:rsidRDefault="009204BE" w:rsidP="00AC2159">
      <w:pPr>
        <w:spacing w:after="0" w:line="240" w:lineRule="auto"/>
      </w:pPr>
      <w:r>
        <w:separator/>
      </w:r>
    </w:p>
  </w:footnote>
  <w:footnote w:type="continuationSeparator" w:id="0">
    <w:p w14:paraId="32FDA11B" w14:textId="77777777" w:rsidR="009204BE" w:rsidRDefault="009204BE" w:rsidP="00AC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894EE8A1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-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-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-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-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-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-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-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-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1F54A22"/>
    <w:multiLevelType w:val="hybridMultilevel"/>
    <w:tmpl w:val="94E23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7">
      <w:start w:val="1"/>
      <w:numFmt w:val="lowerLetter"/>
      <w:lvlText w:val="%3)"/>
      <w:lvlJc w:val="lef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74DB8"/>
    <w:multiLevelType w:val="hybridMultilevel"/>
    <w:tmpl w:val="B922C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C0A4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949AE"/>
    <w:multiLevelType w:val="hybridMultilevel"/>
    <w:tmpl w:val="D472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F90190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80855"/>
    <w:multiLevelType w:val="singleLevel"/>
    <w:tmpl w:val="A2504364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3D885B07"/>
    <w:multiLevelType w:val="hybridMultilevel"/>
    <w:tmpl w:val="C9462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F8AE5A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61A602A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43144"/>
    <w:multiLevelType w:val="hybridMultilevel"/>
    <w:tmpl w:val="88B8A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B73CC"/>
    <w:multiLevelType w:val="hybridMultilevel"/>
    <w:tmpl w:val="367E0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037BE"/>
    <w:multiLevelType w:val="hybridMultilevel"/>
    <w:tmpl w:val="D472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F90190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C1DF7"/>
    <w:multiLevelType w:val="hybridMultilevel"/>
    <w:tmpl w:val="7CBEEC06"/>
    <w:lvl w:ilvl="0" w:tplc="8FC05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5552B"/>
    <w:multiLevelType w:val="hybridMultilevel"/>
    <w:tmpl w:val="4692C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72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BF"/>
    <w:rsid w:val="000077AE"/>
    <w:rsid w:val="00023FDC"/>
    <w:rsid w:val="00042367"/>
    <w:rsid w:val="0004428F"/>
    <w:rsid w:val="0005044A"/>
    <w:rsid w:val="00067FA6"/>
    <w:rsid w:val="000778EF"/>
    <w:rsid w:val="0009224B"/>
    <w:rsid w:val="000973CE"/>
    <w:rsid w:val="000976CF"/>
    <w:rsid w:val="000A7CC1"/>
    <w:rsid w:val="000B58A6"/>
    <w:rsid w:val="000C1135"/>
    <w:rsid w:val="000D3C49"/>
    <w:rsid w:val="000E0764"/>
    <w:rsid w:val="000E39EB"/>
    <w:rsid w:val="000F19CB"/>
    <w:rsid w:val="000F51C1"/>
    <w:rsid w:val="000F6A77"/>
    <w:rsid w:val="00110379"/>
    <w:rsid w:val="001167EF"/>
    <w:rsid w:val="001430B3"/>
    <w:rsid w:val="0015007B"/>
    <w:rsid w:val="0015637B"/>
    <w:rsid w:val="00161B4A"/>
    <w:rsid w:val="0017183A"/>
    <w:rsid w:val="00175334"/>
    <w:rsid w:val="001E57E9"/>
    <w:rsid w:val="001F3963"/>
    <w:rsid w:val="00202DD6"/>
    <w:rsid w:val="0020746B"/>
    <w:rsid w:val="002105A4"/>
    <w:rsid w:val="00210B94"/>
    <w:rsid w:val="00227E47"/>
    <w:rsid w:val="002341E8"/>
    <w:rsid w:val="0023601E"/>
    <w:rsid w:val="00247DC6"/>
    <w:rsid w:val="00252A85"/>
    <w:rsid w:val="00253ADF"/>
    <w:rsid w:val="00257674"/>
    <w:rsid w:val="00261151"/>
    <w:rsid w:val="00271A2D"/>
    <w:rsid w:val="002849AF"/>
    <w:rsid w:val="00290268"/>
    <w:rsid w:val="00292019"/>
    <w:rsid w:val="0029730E"/>
    <w:rsid w:val="00297E12"/>
    <w:rsid w:val="002B4D34"/>
    <w:rsid w:val="002C3C0B"/>
    <w:rsid w:val="002C59F4"/>
    <w:rsid w:val="002C5E7E"/>
    <w:rsid w:val="002D07F4"/>
    <w:rsid w:val="002D2EE5"/>
    <w:rsid w:val="002D4CDA"/>
    <w:rsid w:val="002D725F"/>
    <w:rsid w:val="002D73F9"/>
    <w:rsid w:val="002E06C7"/>
    <w:rsid w:val="002F7C55"/>
    <w:rsid w:val="00305D6E"/>
    <w:rsid w:val="003204E9"/>
    <w:rsid w:val="00321040"/>
    <w:rsid w:val="003266AC"/>
    <w:rsid w:val="003312FC"/>
    <w:rsid w:val="00335A8E"/>
    <w:rsid w:val="00342B0B"/>
    <w:rsid w:val="00344B1A"/>
    <w:rsid w:val="00357F15"/>
    <w:rsid w:val="00363505"/>
    <w:rsid w:val="0037089E"/>
    <w:rsid w:val="00382457"/>
    <w:rsid w:val="003A27FE"/>
    <w:rsid w:val="003D2193"/>
    <w:rsid w:val="003F692B"/>
    <w:rsid w:val="00402C37"/>
    <w:rsid w:val="004031E3"/>
    <w:rsid w:val="0041344B"/>
    <w:rsid w:val="00415969"/>
    <w:rsid w:val="004257F3"/>
    <w:rsid w:val="0042761F"/>
    <w:rsid w:val="0043138E"/>
    <w:rsid w:val="004354BF"/>
    <w:rsid w:val="004477FA"/>
    <w:rsid w:val="004534CE"/>
    <w:rsid w:val="004576FF"/>
    <w:rsid w:val="004666F0"/>
    <w:rsid w:val="004748C5"/>
    <w:rsid w:val="0047570A"/>
    <w:rsid w:val="00475832"/>
    <w:rsid w:val="004851D8"/>
    <w:rsid w:val="00486622"/>
    <w:rsid w:val="00486C8D"/>
    <w:rsid w:val="00496D83"/>
    <w:rsid w:val="004A2F16"/>
    <w:rsid w:val="004B4236"/>
    <w:rsid w:val="004D30A9"/>
    <w:rsid w:val="004E0F90"/>
    <w:rsid w:val="005330A8"/>
    <w:rsid w:val="005333CB"/>
    <w:rsid w:val="00540F58"/>
    <w:rsid w:val="00553B19"/>
    <w:rsid w:val="00557E44"/>
    <w:rsid w:val="00575D1D"/>
    <w:rsid w:val="00576949"/>
    <w:rsid w:val="00580FE4"/>
    <w:rsid w:val="005B49A1"/>
    <w:rsid w:val="005D6667"/>
    <w:rsid w:val="005F516A"/>
    <w:rsid w:val="00606C92"/>
    <w:rsid w:val="0061204C"/>
    <w:rsid w:val="00630B89"/>
    <w:rsid w:val="00642075"/>
    <w:rsid w:val="0064725A"/>
    <w:rsid w:val="006520F4"/>
    <w:rsid w:val="00677945"/>
    <w:rsid w:val="00696ED4"/>
    <w:rsid w:val="006E6FA1"/>
    <w:rsid w:val="006E71D4"/>
    <w:rsid w:val="006F57B2"/>
    <w:rsid w:val="007132FF"/>
    <w:rsid w:val="00716037"/>
    <w:rsid w:val="007210B0"/>
    <w:rsid w:val="007372A5"/>
    <w:rsid w:val="00743346"/>
    <w:rsid w:val="007438FE"/>
    <w:rsid w:val="00745835"/>
    <w:rsid w:val="00746821"/>
    <w:rsid w:val="00755154"/>
    <w:rsid w:val="00775083"/>
    <w:rsid w:val="00782E01"/>
    <w:rsid w:val="007A34BD"/>
    <w:rsid w:val="007A50C6"/>
    <w:rsid w:val="007B41C8"/>
    <w:rsid w:val="007C1E24"/>
    <w:rsid w:val="007E719F"/>
    <w:rsid w:val="008001C7"/>
    <w:rsid w:val="008113F2"/>
    <w:rsid w:val="00812CA8"/>
    <w:rsid w:val="00816821"/>
    <w:rsid w:val="008422F0"/>
    <w:rsid w:val="00842CFB"/>
    <w:rsid w:val="00843A2E"/>
    <w:rsid w:val="00855E8A"/>
    <w:rsid w:val="00886902"/>
    <w:rsid w:val="008929DD"/>
    <w:rsid w:val="00894FB7"/>
    <w:rsid w:val="008A2FE9"/>
    <w:rsid w:val="008A594C"/>
    <w:rsid w:val="008A6D9C"/>
    <w:rsid w:val="008B18A0"/>
    <w:rsid w:val="008E0857"/>
    <w:rsid w:val="008F01DB"/>
    <w:rsid w:val="008F50A3"/>
    <w:rsid w:val="00904051"/>
    <w:rsid w:val="009204BE"/>
    <w:rsid w:val="00937ED9"/>
    <w:rsid w:val="00941EEA"/>
    <w:rsid w:val="00943868"/>
    <w:rsid w:val="00975E32"/>
    <w:rsid w:val="0098497A"/>
    <w:rsid w:val="0099654D"/>
    <w:rsid w:val="009A3AA2"/>
    <w:rsid w:val="009A651D"/>
    <w:rsid w:val="009B16E0"/>
    <w:rsid w:val="009D0BF6"/>
    <w:rsid w:val="009F4042"/>
    <w:rsid w:val="00A00844"/>
    <w:rsid w:val="00A05138"/>
    <w:rsid w:val="00A23D90"/>
    <w:rsid w:val="00A246AB"/>
    <w:rsid w:val="00A5695F"/>
    <w:rsid w:val="00AB658C"/>
    <w:rsid w:val="00AC2159"/>
    <w:rsid w:val="00AC6C1A"/>
    <w:rsid w:val="00AD697B"/>
    <w:rsid w:val="00AE4148"/>
    <w:rsid w:val="00B0314D"/>
    <w:rsid w:val="00B06568"/>
    <w:rsid w:val="00B16F26"/>
    <w:rsid w:val="00B215A1"/>
    <w:rsid w:val="00B224F4"/>
    <w:rsid w:val="00B25A4E"/>
    <w:rsid w:val="00B37422"/>
    <w:rsid w:val="00B51931"/>
    <w:rsid w:val="00B5375A"/>
    <w:rsid w:val="00B56203"/>
    <w:rsid w:val="00B56726"/>
    <w:rsid w:val="00B60F50"/>
    <w:rsid w:val="00B67790"/>
    <w:rsid w:val="00B8293F"/>
    <w:rsid w:val="00B967F2"/>
    <w:rsid w:val="00BB1F96"/>
    <w:rsid w:val="00BD28CC"/>
    <w:rsid w:val="00BD5CBD"/>
    <w:rsid w:val="00C05B86"/>
    <w:rsid w:val="00C11607"/>
    <w:rsid w:val="00C15F56"/>
    <w:rsid w:val="00C320B2"/>
    <w:rsid w:val="00C3453F"/>
    <w:rsid w:val="00C3524E"/>
    <w:rsid w:val="00C41CC8"/>
    <w:rsid w:val="00C4555B"/>
    <w:rsid w:val="00C601D0"/>
    <w:rsid w:val="00C64110"/>
    <w:rsid w:val="00C818B5"/>
    <w:rsid w:val="00C934CE"/>
    <w:rsid w:val="00C937DC"/>
    <w:rsid w:val="00CB45CD"/>
    <w:rsid w:val="00CD4359"/>
    <w:rsid w:val="00CE255D"/>
    <w:rsid w:val="00CF5351"/>
    <w:rsid w:val="00D037BC"/>
    <w:rsid w:val="00D05583"/>
    <w:rsid w:val="00D17F06"/>
    <w:rsid w:val="00D17FB1"/>
    <w:rsid w:val="00D35812"/>
    <w:rsid w:val="00D47282"/>
    <w:rsid w:val="00D476B2"/>
    <w:rsid w:val="00D50591"/>
    <w:rsid w:val="00D51E6E"/>
    <w:rsid w:val="00D71124"/>
    <w:rsid w:val="00D754DC"/>
    <w:rsid w:val="00D92BE9"/>
    <w:rsid w:val="00D940B3"/>
    <w:rsid w:val="00DD05A1"/>
    <w:rsid w:val="00DD6CCB"/>
    <w:rsid w:val="00DE6AE5"/>
    <w:rsid w:val="00DF41CA"/>
    <w:rsid w:val="00DF6C62"/>
    <w:rsid w:val="00E07C0D"/>
    <w:rsid w:val="00E11412"/>
    <w:rsid w:val="00E2708E"/>
    <w:rsid w:val="00E27874"/>
    <w:rsid w:val="00E35B94"/>
    <w:rsid w:val="00E71D70"/>
    <w:rsid w:val="00E87A87"/>
    <w:rsid w:val="00E90315"/>
    <w:rsid w:val="00E920BF"/>
    <w:rsid w:val="00E94185"/>
    <w:rsid w:val="00EA7476"/>
    <w:rsid w:val="00EB5E1B"/>
    <w:rsid w:val="00EC0F56"/>
    <w:rsid w:val="00EC289E"/>
    <w:rsid w:val="00EC45F6"/>
    <w:rsid w:val="00EC6A7E"/>
    <w:rsid w:val="00ED34F9"/>
    <w:rsid w:val="00ED4FFF"/>
    <w:rsid w:val="00F017B8"/>
    <w:rsid w:val="00F12F4A"/>
    <w:rsid w:val="00F13205"/>
    <w:rsid w:val="00F15EAC"/>
    <w:rsid w:val="00F36A5F"/>
    <w:rsid w:val="00F41FFA"/>
    <w:rsid w:val="00F42891"/>
    <w:rsid w:val="00F430E4"/>
    <w:rsid w:val="00F432C2"/>
    <w:rsid w:val="00F44A66"/>
    <w:rsid w:val="00F5024F"/>
    <w:rsid w:val="00F70F14"/>
    <w:rsid w:val="00F869DD"/>
    <w:rsid w:val="00F915E1"/>
    <w:rsid w:val="00F96CB2"/>
    <w:rsid w:val="00FB00E3"/>
    <w:rsid w:val="00FD335D"/>
    <w:rsid w:val="00FD50E7"/>
    <w:rsid w:val="00FE7AF2"/>
    <w:rsid w:val="00FF4E4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A3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8F50A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sq-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0A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sq-AL"/>
    </w:rPr>
  </w:style>
  <w:style w:type="paragraph" w:styleId="Heading3">
    <w:name w:val="heading 3"/>
    <w:basedOn w:val="Normal"/>
    <w:next w:val="Normal"/>
    <w:link w:val="Heading3Char"/>
    <w:qFormat/>
    <w:rsid w:val="004851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50A3"/>
    <w:rPr>
      <w:rFonts w:ascii="Cambria" w:eastAsia="Times New Roman" w:hAnsi="Cambria" w:cs="Times New Roman"/>
      <w:b/>
      <w:bCs/>
      <w:color w:val="365F91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semiHidden/>
    <w:rsid w:val="008F50A3"/>
    <w:rPr>
      <w:rFonts w:ascii="Cambria" w:eastAsia="Times New Roman" w:hAnsi="Cambria" w:cs="Times New Roman"/>
      <w:b/>
      <w:bCs/>
      <w:color w:val="4F81BD"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8F50A3"/>
    <w:pPr>
      <w:ind w:left="720"/>
      <w:contextualSpacing/>
    </w:pPr>
  </w:style>
  <w:style w:type="paragraph" w:styleId="NoSpacing">
    <w:name w:val="No Spacing"/>
    <w:uiPriority w:val="1"/>
    <w:qFormat/>
    <w:rsid w:val="008F50A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A3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486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851D8"/>
    <w:rPr>
      <w:rFonts w:ascii="Arial" w:eastAsia="Times New Roman" w:hAnsi="Arial" w:cs="Arial"/>
      <w:b/>
      <w:bCs/>
      <w:sz w:val="26"/>
      <w:szCs w:val="26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D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667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667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C215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1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C21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A3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8F50A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sq-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0A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sq-AL"/>
    </w:rPr>
  </w:style>
  <w:style w:type="paragraph" w:styleId="Heading3">
    <w:name w:val="heading 3"/>
    <w:basedOn w:val="Normal"/>
    <w:next w:val="Normal"/>
    <w:link w:val="Heading3Char"/>
    <w:qFormat/>
    <w:rsid w:val="004851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50A3"/>
    <w:rPr>
      <w:rFonts w:ascii="Cambria" w:eastAsia="Times New Roman" w:hAnsi="Cambria" w:cs="Times New Roman"/>
      <w:b/>
      <w:bCs/>
      <w:color w:val="365F91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semiHidden/>
    <w:rsid w:val="008F50A3"/>
    <w:rPr>
      <w:rFonts w:ascii="Cambria" w:eastAsia="Times New Roman" w:hAnsi="Cambria" w:cs="Times New Roman"/>
      <w:b/>
      <w:bCs/>
      <w:color w:val="4F81BD"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8F50A3"/>
    <w:pPr>
      <w:ind w:left="720"/>
      <w:contextualSpacing/>
    </w:pPr>
  </w:style>
  <w:style w:type="paragraph" w:styleId="NoSpacing">
    <w:name w:val="No Spacing"/>
    <w:uiPriority w:val="1"/>
    <w:qFormat/>
    <w:rsid w:val="008F50A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A3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486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851D8"/>
    <w:rPr>
      <w:rFonts w:ascii="Arial" w:eastAsia="Times New Roman" w:hAnsi="Arial" w:cs="Arial"/>
      <w:b/>
      <w:bCs/>
      <w:sz w:val="26"/>
      <w:szCs w:val="26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D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667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667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C215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1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C2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0x00CAA99023F074F34CABA55C18CE73FF3A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CAA99023F074F34CABA55C18CE73FF3A" ma:contentTypeVersion="" ma:contentTypeDescription="" ma:contentTypeScope="" ma:versionID="331916bed0ccd4952004d0d14af622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9DF3-1E1B-45D4-85AE-98815B1B29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BE3630-3FFF-46D9-B849-6407D3D5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37C28-FC3E-408D-8C0A-6437A4A1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2465</Words>
  <Characters>14053</Characters>
  <Application>Microsoft Office Word</Application>
  <DocSecurity>4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>Microsoft</Company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Ertenka Cabej</dc:creator>
  <cp:lastModifiedBy>Ertenka Cabej</cp:lastModifiedBy>
  <cp:revision>2</cp:revision>
  <cp:lastPrinted>2019-11-25T16:41:00Z</cp:lastPrinted>
  <dcterms:created xsi:type="dcterms:W3CDTF">2020-01-22T15:31:00Z</dcterms:created>
  <dcterms:modified xsi:type="dcterms:W3CDTF">2020-01-22T15:31:00Z</dcterms:modified>
</cp:coreProperties>
</file>