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1E8E8" w14:textId="77777777" w:rsidR="00DC204A" w:rsidRPr="00010E6E" w:rsidRDefault="00DC204A" w:rsidP="00910120">
      <w:pPr>
        <w:jc w:val="both"/>
        <w:rPr>
          <w:lang w:val="sq-AL"/>
        </w:rPr>
      </w:pPr>
      <w:bookmarkStart w:id="0" w:name="_GoBack"/>
      <w:bookmarkEnd w:id="0"/>
    </w:p>
    <w:p w14:paraId="5F80FB8C" w14:textId="77777777" w:rsidR="00DC204A" w:rsidRPr="00010E6E" w:rsidRDefault="00DC204A" w:rsidP="00910120">
      <w:pPr>
        <w:jc w:val="both"/>
        <w:rPr>
          <w:lang w:val="sq-AL"/>
        </w:rPr>
      </w:pPr>
    </w:p>
    <w:p w14:paraId="6F3F178A" w14:textId="77777777" w:rsidR="000627FC" w:rsidRPr="00010E6E" w:rsidRDefault="000627FC" w:rsidP="000627FC">
      <w:pPr>
        <w:spacing w:line="276" w:lineRule="auto"/>
        <w:jc w:val="both"/>
        <w:rPr>
          <w:lang w:val="sq-AL"/>
        </w:rPr>
      </w:pPr>
    </w:p>
    <w:p w14:paraId="6276F687" w14:textId="77777777" w:rsidR="000627FC" w:rsidRPr="00010E6E" w:rsidRDefault="000627FC" w:rsidP="000627FC">
      <w:pPr>
        <w:spacing w:line="276" w:lineRule="auto"/>
        <w:jc w:val="center"/>
        <w:rPr>
          <w:b/>
          <w:lang w:val="sq-AL"/>
        </w:rPr>
      </w:pPr>
      <w:r w:rsidRPr="00010E6E">
        <w:rPr>
          <w:b/>
          <w:lang w:val="sq-AL"/>
        </w:rPr>
        <w:t xml:space="preserve">RELACION MBI PROJEKTLIGJIN </w:t>
      </w:r>
    </w:p>
    <w:p w14:paraId="08DC7A61" w14:textId="77777777" w:rsidR="000627FC" w:rsidRPr="00010E6E" w:rsidRDefault="000627FC" w:rsidP="00396A5A">
      <w:pPr>
        <w:spacing w:line="276" w:lineRule="auto"/>
        <w:jc w:val="center"/>
        <w:rPr>
          <w:b/>
          <w:lang w:val="sq-AL"/>
        </w:rPr>
      </w:pPr>
      <w:r w:rsidRPr="00010E6E">
        <w:rPr>
          <w:b/>
          <w:lang w:val="sq-AL"/>
        </w:rPr>
        <w:t>“PËR SH</w:t>
      </w:r>
      <w:r w:rsidR="00283EA6" w:rsidRPr="00010E6E">
        <w:rPr>
          <w:b/>
          <w:lang w:val="sq-AL"/>
        </w:rPr>
        <w:t>Ë</w:t>
      </w:r>
      <w:r w:rsidRPr="00010E6E">
        <w:rPr>
          <w:b/>
          <w:lang w:val="sq-AL"/>
        </w:rPr>
        <w:t>RBIMET E PAGESAVE”</w:t>
      </w:r>
    </w:p>
    <w:p w14:paraId="0D4F8CD8" w14:textId="77777777" w:rsidR="00283EA6" w:rsidRPr="00010E6E" w:rsidRDefault="00283EA6" w:rsidP="000627FC">
      <w:pPr>
        <w:pStyle w:val="Default"/>
        <w:spacing w:line="276" w:lineRule="auto"/>
        <w:jc w:val="both"/>
        <w:rPr>
          <w:rFonts w:ascii="Times New Roman" w:hAnsi="Times New Roman" w:cs="Times New Roman"/>
          <w:b/>
          <w:bCs/>
          <w:lang w:val="sq-AL"/>
        </w:rPr>
      </w:pPr>
    </w:p>
    <w:p w14:paraId="3FDAF763" w14:textId="77777777" w:rsidR="000627FC" w:rsidRPr="00010E6E" w:rsidRDefault="000627FC" w:rsidP="000627FC">
      <w:pPr>
        <w:pStyle w:val="Default"/>
        <w:spacing w:line="276" w:lineRule="auto"/>
        <w:jc w:val="both"/>
        <w:rPr>
          <w:rFonts w:ascii="Times New Roman" w:hAnsi="Times New Roman" w:cs="Times New Roman"/>
          <w:b/>
          <w:bCs/>
          <w:lang w:val="sq-AL"/>
        </w:rPr>
      </w:pPr>
    </w:p>
    <w:p w14:paraId="4E515E4A" w14:textId="77777777" w:rsidR="004D6F5B" w:rsidRPr="00010E6E" w:rsidRDefault="004D6F5B" w:rsidP="004D6F5B">
      <w:pPr>
        <w:pStyle w:val="Default"/>
        <w:spacing w:line="276" w:lineRule="auto"/>
        <w:ind w:left="1080"/>
        <w:jc w:val="both"/>
        <w:rPr>
          <w:rFonts w:ascii="Times New Roman" w:hAnsi="Times New Roman" w:cs="Times New Roman"/>
          <w:b/>
          <w:bCs/>
          <w:lang w:val="sq-AL"/>
        </w:rPr>
      </w:pPr>
    </w:p>
    <w:p w14:paraId="229B281B" w14:textId="77777777" w:rsidR="005A2D01" w:rsidRPr="003A149E" w:rsidRDefault="004D6F5B" w:rsidP="003A149E">
      <w:pPr>
        <w:pStyle w:val="TOC1"/>
        <w:tabs>
          <w:tab w:val="right" w:leader="dot" w:pos="8828"/>
        </w:tabs>
        <w:spacing w:line="360" w:lineRule="auto"/>
        <w:ind w:left="540" w:hanging="540"/>
        <w:rPr>
          <w:rFonts w:ascii="Calibri" w:eastAsia="Times New Roman" w:hAnsi="Calibri"/>
          <w:sz w:val="20"/>
          <w:szCs w:val="22"/>
          <w:lang w:val="sq-AL"/>
        </w:rPr>
      </w:pPr>
      <w:r w:rsidRPr="003A149E">
        <w:rPr>
          <w:sz w:val="22"/>
          <w:lang w:val="sq-AL"/>
        </w:rPr>
        <w:fldChar w:fldCharType="begin"/>
      </w:r>
      <w:r w:rsidRPr="003A149E">
        <w:rPr>
          <w:sz w:val="22"/>
          <w:lang w:val="sq-AL"/>
        </w:rPr>
        <w:instrText xml:space="preserve"> TOC \o "1-3" \h \z \u </w:instrText>
      </w:r>
      <w:r w:rsidRPr="003A149E">
        <w:rPr>
          <w:sz w:val="22"/>
          <w:lang w:val="sq-AL"/>
        </w:rPr>
        <w:fldChar w:fldCharType="separate"/>
      </w:r>
      <w:hyperlink w:anchor="_Toc511995005" w:history="1">
        <w:r w:rsidR="005A2D01" w:rsidRPr="003A149E">
          <w:rPr>
            <w:rStyle w:val="Hyperlink"/>
            <w:b/>
            <w:sz w:val="22"/>
            <w:lang w:val="sq-AL"/>
          </w:rPr>
          <w:t>I.</w:t>
        </w:r>
        <w:r w:rsidR="005A2D01" w:rsidRPr="003A149E">
          <w:rPr>
            <w:rFonts w:ascii="Calibri" w:eastAsia="Times New Roman" w:hAnsi="Calibri"/>
            <w:sz w:val="20"/>
            <w:szCs w:val="22"/>
            <w:lang w:val="sq-AL"/>
          </w:rPr>
          <w:tab/>
        </w:r>
        <w:r w:rsidR="005A2D01" w:rsidRPr="003A149E">
          <w:rPr>
            <w:rStyle w:val="Hyperlink"/>
            <w:b/>
            <w:sz w:val="22"/>
            <w:lang w:val="sq-AL"/>
          </w:rPr>
          <w:t>QËLLIMI I PROJEKTLIGJIT DHE OBJEKTIVAT QË SYNOHEN TË ARRIHEN</w:t>
        </w:r>
        <w:r w:rsidR="005A2D01" w:rsidRPr="003A149E">
          <w:rPr>
            <w:webHidden/>
            <w:sz w:val="22"/>
            <w:lang w:val="sq-AL"/>
          </w:rPr>
          <w:tab/>
        </w:r>
        <w:r w:rsidR="005A2D01" w:rsidRPr="003A149E">
          <w:rPr>
            <w:webHidden/>
            <w:sz w:val="22"/>
            <w:lang w:val="sq-AL"/>
          </w:rPr>
          <w:fldChar w:fldCharType="begin"/>
        </w:r>
        <w:r w:rsidR="005A2D01" w:rsidRPr="003A149E">
          <w:rPr>
            <w:webHidden/>
            <w:sz w:val="22"/>
            <w:lang w:val="sq-AL"/>
          </w:rPr>
          <w:instrText xml:space="preserve"> PAGEREF _Toc511995005 \h </w:instrText>
        </w:r>
        <w:r w:rsidR="005A2D01" w:rsidRPr="003A149E">
          <w:rPr>
            <w:webHidden/>
            <w:sz w:val="22"/>
            <w:lang w:val="sq-AL"/>
          </w:rPr>
        </w:r>
        <w:r w:rsidR="005A2D01" w:rsidRPr="003A149E">
          <w:rPr>
            <w:webHidden/>
            <w:sz w:val="22"/>
            <w:lang w:val="sq-AL"/>
          </w:rPr>
          <w:fldChar w:fldCharType="separate"/>
        </w:r>
        <w:r w:rsidR="005A2D01" w:rsidRPr="003A149E">
          <w:rPr>
            <w:webHidden/>
            <w:sz w:val="22"/>
            <w:lang w:val="sq-AL"/>
          </w:rPr>
          <w:t>1</w:t>
        </w:r>
        <w:r w:rsidR="005A2D01" w:rsidRPr="003A149E">
          <w:rPr>
            <w:webHidden/>
            <w:sz w:val="22"/>
            <w:lang w:val="sq-AL"/>
          </w:rPr>
          <w:fldChar w:fldCharType="end"/>
        </w:r>
      </w:hyperlink>
    </w:p>
    <w:p w14:paraId="355E6AE0" w14:textId="13AE7684" w:rsidR="005A2D01" w:rsidRPr="003A149E" w:rsidRDefault="00633444" w:rsidP="003A149E">
      <w:pPr>
        <w:pStyle w:val="TOC1"/>
        <w:tabs>
          <w:tab w:val="left" w:pos="660"/>
          <w:tab w:val="right" w:leader="dot" w:pos="8828"/>
        </w:tabs>
        <w:spacing w:line="360" w:lineRule="auto"/>
        <w:ind w:left="540" w:hanging="540"/>
        <w:rPr>
          <w:rFonts w:ascii="Calibri" w:eastAsia="Times New Roman" w:hAnsi="Calibri"/>
          <w:sz w:val="20"/>
          <w:szCs w:val="22"/>
          <w:lang w:val="sq-AL"/>
        </w:rPr>
      </w:pPr>
      <w:hyperlink w:anchor="_Toc511995006" w:history="1">
        <w:r w:rsidR="005A2D01" w:rsidRPr="003A149E">
          <w:rPr>
            <w:rStyle w:val="Hyperlink"/>
            <w:b/>
            <w:sz w:val="22"/>
            <w:lang w:val="sq-AL"/>
          </w:rPr>
          <w:t>II.</w:t>
        </w:r>
        <w:r w:rsidR="005A2D01" w:rsidRPr="003A149E">
          <w:rPr>
            <w:rFonts w:ascii="Calibri" w:eastAsia="Times New Roman" w:hAnsi="Calibri"/>
            <w:sz w:val="20"/>
            <w:szCs w:val="22"/>
            <w:lang w:val="sq-AL"/>
          </w:rPr>
          <w:tab/>
        </w:r>
        <w:r w:rsidR="005A2D01" w:rsidRPr="003A149E">
          <w:rPr>
            <w:rStyle w:val="Hyperlink"/>
            <w:b/>
            <w:sz w:val="22"/>
            <w:lang w:val="sq-AL"/>
          </w:rPr>
          <w:t>VLERËSIMI I PROJEKTAKTIT NË RAPORT ME PROGRAMIN POLITIK TË KËSHILLIT TË MINISTRAVE, ME PROGRAMIN ANALITIK TË AKTEVE DHE DOKUMENTEVE TË TJERA POLITIKE</w:t>
        </w:r>
        <w:r w:rsidR="005A2D01" w:rsidRPr="003A149E">
          <w:rPr>
            <w:webHidden/>
            <w:sz w:val="22"/>
            <w:lang w:val="sq-AL"/>
          </w:rPr>
          <w:tab/>
        </w:r>
        <w:r w:rsidR="005A2D01" w:rsidRPr="003A149E">
          <w:rPr>
            <w:webHidden/>
            <w:sz w:val="22"/>
            <w:lang w:val="sq-AL"/>
          </w:rPr>
          <w:fldChar w:fldCharType="begin"/>
        </w:r>
        <w:r w:rsidR="005A2D01" w:rsidRPr="003A149E">
          <w:rPr>
            <w:webHidden/>
            <w:sz w:val="22"/>
            <w:lang w:val="sq-AL"/>
          </w:rPr>
          <w:instrText xml:space="preserve"> PAGEREF _Toc511995006 \h </w:instrText>
        </w:r>
        <w:r w:rsidR="005A2D01" w:rsidRPr="003A149E">
          <w:rPr>
            <w:webHidden/>
            <w:sz w:val="22"/>
            <w:lang w:val="sq-AL"/>
          </w:rPr>
        </w:r>
        <w:r w:rsidR="005A2D01" w:rsidRPr="003A149E">
          <w:rPr>
            <w:webHidden/>
            <w:sz w:val="22"/>
            <w:lang w:val="sq-AL"/>
          </w:rPr>
          <w:fldChar w:fldCharType="separate"/>
        </w:r>
        <w:r w:rsidR="005A2D01" w:rsidRPr="003A149E">
          <w:rPr>
            <w:webHidden/>
            <w:sz w:val="22"/>
            <w:lang w:val="sq-AL"/>
          </w:rPr>
          <w:t>2</w:t>
        </w:r>
        <w:r w:rsidR="005A2D01" w:rsidRPr="003A149E">
          <w:rPr>
            <w:webHidden/>
            <w:sz w:val="22"/>
            <w:lang w:val="sq-AL"/>
          </w:rPr>
          <w:fldChar w:fldCharType="end"/>
        </w:r>
      </w:hyperlink>
    </w:p>
    <w:p w14:paraId="0236EFC4" w14:textId="77777777" w:rsidR="005A2D01" w:rsidRPr="003A149E" w:rsidRDefault="00633444" w:rsidP="003A149E">
      <w:pPr>
        <w:pStyle w:val="TOC1"/>
        <w:tabs>
          <w:tab w:val="left" w:pos="660"/>
          <w:tab w:val="right" w:leader="dot" w:pos="8828"/>
        </w:tabs>
        <w:spacing w:line="360" w:lineRule="auto"/>
        <w:ind w:left="540" w:hanging="540"/>
        <w:rPr>
          <w:rFonts w:ascii="Calibri" w:eastAsia="Times New Roman" w:hAnsi="Calibri"/>
          <w:sz w:val="20"/>
          <w:szCs w:val="22"/>
          <w:lang w:val="sq-AL"/>
        </w:rPr>
      </w:pPr>
      <w:hyperlink w:anchor="_Toc511995007" w:history="1">
        <w:r w:rsidR="005A2D01" w:rsidRPr="003A149E">
          <w:rPr>
            <w:rStyle w:val="Hyperlink"/>
            <w:rFonts w:cs="Arial"/>
            <w:b/>
            <w:sz w:val="22"/>
            <w:lang w:val="sq-AL"/>
          </w:rPr>
          <w:t>III.</w:t>
        </w:r>
        <w:r w:rsidR="005A2D01" w:rsidRPr="003A149E">
          <w:rPr>
            <w:rFonts w:ascii="Calibri" w:eastAsia="Times New Roman" w:hAnsi="Calibri"/>
            <w:sz w:val="20"/>
            <w:szCs w:val="22"/>
            <w:lang w:val="sq-AL"/>
          </w:rPr>
          <w:tab/>
        </w:r>
        <w:r w:rsidR="005A2D01" w:rsidRPr="003A149E">
          <w:rPr>
            <w:rStyle w:val="Hyperlink"/>
            <w:rFonts w:cs="Arial"/>
            <w:b/>
            <w:sz w:val="22"/>
            <w:lang w:val="sq-AL"/>
          </w:rPr>
          <w:t>VLERËSIMI I LIGJSHMËRISË, KUSHTETUTSHMËRISË DHE HARMONIZIMI ME LEGJISLACIONIN NË FUQI VENDAS E NDËRKOMBËTAR</w:t>
        </w:r>
        <w:r w:rsidR="005A2D01" w:rsidRPr="003A149E">
          <w:rPr>
            <w:webHidden/>
            <w:sz w:val="22"/>
            <w:lang w:val="sq-AL"/>
          </w:rPr>
          <w:tab/>
        </w:r>
        <w:r w:rsidR="005A2D01" w:rsidRPr="003A149E">
          <w:rPr>
            <w:webHidden/>
            <w:sz w:val="22"/>
            <w:lang w:val="sq-AL"/>
          </w:rPr>
          <w:fldChar w:fldCharType="begin"/>
        </w:r>
        <w:r w:rsidR="005A2D01" w:rsidRPr="003A149E">
          <w:rPr>
            <w:webHidden/>
            <w:sz w:val="22"/>
            <w:lang w:val="sq-AL"/>
          </w:rPr>
          <w:instrText xml:space="preserve"> PAGEREF _Toc511995007 \h </w:instrText>
        </w:r>
        <w:r w:rsidR="005A2D01" w:rsidRPr="003A149E">
          <w:rPr>
            <w:webHidden/>
            <w:sz w:val="22"/>
            <w:lang w:val="sq-AL"/>
          </w:rPr>
        </w:r>
        <w:r w:rsidR="005A2D01" w:rsidRPr="003A149E">
          <w:rPr>
            <w:webHidden/>
            <w:sz w:val="22"/>
            <w:lang w:val="sq-AL"/>
          </w:rPr>
          <w:fldChar w:fldCharType="separate"/>
        </w:r>
        <w:r w:rsidR="005A2D01" w:rsidRPr="003A149E">
          <w:rPr>
            <w:webHidden/>
            <w:sz w:val="22"/>
            <w:lang w:val="sq-AL"/>
          </w:rPr>
          <w:t>2</w:t>
        </w:r>
        <w:r w:rsidR="005A2D01" w:rsidRPr="003A149E">
          <w:rPr>
            <w:webHidden/>
            <w:sz w:val="22"/>
            <w:lang w:val="sq-AL"/>
          </w:rPr>
          <w:fldChar w:fldCharType="end"/>
        </w:r>
      </w:hyperlink>
    </w:p>
    <w:p w14:paraId="1098E442" w14:textId="77777777" w:rsidR="005A2D01" w:rsidRPr="003A149E" w:rsidRDefault="00633444" w:rsidP="003A149E">
      <w:pPr>
        <w:pStyle w:val="TOC1"/>
        <w:tabs>
          <w:tab w:val="left" w:pos="660"/>
          <w:tab w:val="right" w:leader="dot" w:pos="8828"/>
        </w:tabs>
        <w:spacing w:line="360" w:lineRule="auto"/>
        <w:ind w:left="540" w:hanging="540"/>
        <w:rPr>
          <w:rFonts w:ascii="Calibri" w:eastAsia="Times New Roman" w:hAnsi="Calibri"/>
          <w:sz w:val="20"/>
          <w:szCs w:val="22"/>
          <w:lang w:val="sq-AL"/>
        </w:rPr>
      </w:pPr>
      <w:hyperlink w:anchor="_Toc511995008" w:history="1">
        <w:r w:rsidR="005A2D01" w:rsidRPr="003A149E">
          <w:rPr>
            <w:rStyle w:val="Hyperlink"/>
            <w:b/>
            <w:bCs/>
            <w:iCs/>
            <w:sz w:val="22"/>
            <w:lang w:val="sq-AL"/>
          </w:rPr>
          <w:t>IV</w:t>
        </w:r>
        <w:r w:rsidR="005A2D01" w:rsidRPr="003A149E">
          <w:rPr>
            <w:rStyle w:val="Hyperlink"/>
            <w:b/>
            <w:bCs/>
            <w:i/>
            <w:iCs/>
            <w:sz w:val="22"/>
            <w:lang w:val="sq-AL"/>
          </w:rPr>
          <w:t>.</w:t>
        </w:r>
        <w:r w:rsidR="005A2D01" w:rsidRPr="003A149E">
          <w:rPr>
            <w:rFonts w:ascii="Calibri" w:eastAsia="Times New Roman" w:hAnsi="Calibri"/>
            <w:sz w:val="20"/>
            <w:szCs w:val="22"/>
            <w:lang w:val="sq-AL"/>
          </w:rPr>
          <w:tab/>
        </w:r>
        <w:r w:rsidR="005A2D01" w:rsidRPr="003A149E">
          <w:rPr>
            <w:rStyle w:val="Hyperlink"/>
            <w:rFonts w:cs="Arial"/>
            <w:b/>
            <w:sz w:val="22"/>
            <w:lang w:val="sq-AL"/>
          </w:rPr>
          <w:t>VLERËSIMI I SHKALLËS SË PËRAFRIMIT ME ACQUIS COMMUNAUTAIRE</w:t>
        </w:r>
        <w:r w:rsidR="005A2D01" w:rsidRPr="003A149E">
          <w:rPr>
            <w:webHidden/>
            <w:sz w:val="22"/>
            <w:lang w:val="sq-AL"/>
          </w:rPr>
          <w:tab/>
        </w:r>
        <w:r w:rsidR="005A2D01" w:rsidRPr="003A149E">
          <w:rPr>
            <w:webHidden/>
            <w:sz w:val="22"/>
            <w:lang w:val="sq-AL"/>
          </w:rPr>
          <w:fldChar w:fldCharType="begin"/>
        </w:r>
        <w:r w:rsidR="005A2D01" w:rsidRPr="003A149E">
          <w:rPr>
            <w:webHidden/>
            <w:sz w:val="22"/>
            <w:lang w:val="sq-AL"/>
          </w:rPr>
          <w:instrText xml:space="preserve"> PAGEREF _Toc511995008 \h </w:instrText>
        </w:r>
        <w:r w:rsidR="005A2D01" w:rsidRPr="003A149E">
          <w:rPr>
            <w:webHidden/>
            <w:sz w:val="22"/>
            <w:lang w:val="sq-AL"/>
          </w:rPr>
        </w:r>
        <w:r w:rsidR="005A2D01" w:rsidRPr="003A149E">
          <w:rPr>
            <w:webHidden/>
            <w:sz w:val="22"/>
            <w:lang w:val="sq-AL"/>
          </w:rPr>
          <w:fldChar w:fldCharType="separate"/>
        </w:r>
        <w:r w:rsidR="005A2D01" w:rsidRPr="003A149E">
          <w:rPr>
            <w:webHidden/>
            <w:sz w:val="22"/>
            <w:lang w:val="sq-AL"/>
          </w:rPr>
          <w:t>2</w:t>
        </w:r>
        <w:r w:rsidR="005A2D01" w:rsidRPr="003A149E">
          <w:rPr>
            <w:webHidden/>
            <w:sz w:val="22"/>
            <w:lang w:val="sq-AL"/>
          </w:rPr>
          <w:fldChar w:fldCharType="end"/>
        </w:r>
      </w:hyperlink>
    </w:p>
    <w:p w14:paraId="54797857" w14:textId="77777777" w:rsidR="005A2D01" w:rsidRPr="003A149E" w:rsidRDefault="00633444" w:rsidP="003A149E">
      <w:pPr>
        <w:pStyle w:val="TOC1"/>
        <w:tabs>
          <w:tab w:val="left" w:pos="660"/>
          <w:tab w:val="right" w:leader="dot" w:pos="8828"/>
        </w:tabs>
        <w:spacing w:line="360" w:lineRule="auto"/>
        <w:ind w:left="540" w:hanging="540"/>
        <w:rPr>
          <w:rFonts w:ascii="Calibri" w:eastAsia="Times New Roman" w:hAnsi="Calibri"/>
          <w:sz w:val="20"/>
          <w:szCs w:val="22"/>
          <w:lang w:val="sq-AL"/>
        </w:rPr>
      </w:pPr>
      <w:hyperlink w:anchor="_Toc511995009" w:history="1">
        <w:r w:rsidR="005A2D01" w:rsidRPr="003A149E">
          <w:rPr>
            <w:rStyle w:val="Hyperlink"/>
            <w:rFonts w:cs="Arial"/>
            <w:b/>
            <w:sz w:val="22"/>
            <w:lang w:val="sq-AL"/>
          </w:rPr>
          <w:t>V.</w:t>
        </w:r>
        <w:r w:rsidR="005A2D01" w:rsidRPr="003A149E">
          <w:rPr>
            <w:rFonts w:ascii="Calibri" w:eastAsia="Times New Roman" w:hAnsi="Calibri"/>
            <w:sz w:val="20"/>
            <w:szCs w:val="22"/>
            <w:lang w:val="sq-AL"/>
          </w:rPr>
          <w:tab/>
        </w:r>
        <w:r w:rsidR="005A2D01" w:rsidRPr="003A149E">
          <w:rPr>
            <w:rStyle w:val="Hyperlink"/>
            <w:rFonts w:cs="Arial"/>
            <w:b/>
            <w:sz w:val="22"/>
            <w:lang w:val="sq-AL"/>
          </w:rPr>
          <w:t>PËRMBLEDHJE SHPJEGUESE E PËRMBAJTJES SË PROJEKTLIGJIT</w:t>
        </w:r>
        <w:r w:rsidR="005A2D01" w:rsidRPr="003A149E">
          <w:rPr>
            <w:webHidden/>
            <w:sz w:val="22"/>
            <w:lang w:val="sq-AL"/>
          </w:rPr>
          <w:tab/>
        </w:r>
        <w:r w:rsidR="005A2D01" w:rsidRPr="003A149E">
          <w:rPr>
            <w:webHidden/>
            <w:sz w:val="22"/>
            <w:lang w:val="sq-AL"/>
          </w:rPr>
          <w:fldChar w:fldCharType="begin"/>
        </w:r>
        <w:r w:rsidR="005A2D01" w:rsidRPr="003A149E">
          <w:rPr>
            <w:webHidden/>
            <w:sz w:val="22"/>
            <w:lang w:val="sq-AL"/>
          </w:rPr>
          <w:instrText xml:space="preserve"> PAGEREF _Toc511995009 \h </w:instrText>
        </w:r>
        <w:r w:rsidR="005A2D01" w:rsidRPr="003A149E">
          <w:rPr>
            <w:webHidden/>
            <w:sz w:val="22"/>
            <w:lang w:val="sq-AL"/>
          </w:rPr>
        </w:r>
        <w:r w:rsidR="005A2D01" w:rsidRPr="003A149E">
          <w:rPr>
            <w:webHidden/>
            <w:sz w:val="22"/>
            <w:lang w:val="sq-AL"/>
          </w:rPr>
          <w:fldChar w:fldCharType="separate"/>
        </w:r>
        <w:r w:rsidR="005A2D01" w:rsidRPr="003A149E">
          <w:rPr>
            <w:webHidden/>
            <w:sz w:val="22"/>
            <w:lang w:val="sq-AL"/>
          </w:rPr>
          <w:t>2</w:t>
        </w:r>
        <w:r w:rsidR="005A2D01" w:rsidRPr="003A149E">
          <w:rPr>
            <w:webHidden/>
            <w:sz w:val="22"/>
            <w:lang w:val="sq-AL"/>
          </w:rPr>
          <w:fldChar w:fldCharType="end"/>
        </w:r>
      </w:hyperlink>
    </w:p>
    <w:p w14:paraId="530A9392" w14:textId="77777777" w:rsidR="005A2D01" w:rsidRPr="003A149E" w:rsidRDefault="00633444" w:rsidP="003A149E">
      <w:pPr>
        <w:pStyle w:val="TOC1"/>
        <w:tabs>
          <w:tab w:val="left" w:pos="660"/>
          <w:tab w:val="right" w:leader="dot" w:pos="8828"/>
        </w:tabs>
        <w:spacing w:line="360" w:lineRule="auto"/>
        <w:ind w:left="540" w:hanging="540"/>
        <w:rPr>
          <w:rFonts w:ascii="Calibri" w:eastAsia="Times New Roman" w:hAnsi="Calibri"/>
          <w:sz w:val="20"/>
          <w:szCs w:val="22"/>
          <w:lang w:val="sq-AL"/>
        </w:rPr>
      </w:pPr>
      <w:hyperlink w:anchor="_Toc511995010" w:history="1">
        <w:r w:rsidR="005A2D01" w:rsidRPr="003A149E">
          <w:rPr>
            <w:rStyle w:val="Hyperlink"/>
            <w:b/>
            <w:sz w:val="22"/>
            <w:lang w:val="sq-AL"/>
          </w:rPr>
          <w:t>VI.</w:t>
        </w:r>
        <w:r w:rsidR="005A2D01" w:rsidRPr="003A149E">
          <w:rPr>
            <w:rFonts w:ascii="Calibri" w:eastAsia="Times New Roman" w:hAnsi="Calibri"/>
            <w:sz w:val="20"/>
            <w:szCs w:val="22"/>
            <w:lang w:val="sq-AL"/>
          </w:rPr>
          <w:tab/>
        </w:r>
        <w:r w:rsidR="005A2D01" w:rsidRPr="003A149E">
          <w:rPr>
            <w:rStyle w:val="Hyperlink"/>
            <w:b/>
            <w:sz w:val="22"/>
            <w:lang w:val="sq-AL"/>
          </w:rPr>
          <w:t>INSTITUCIONET DHE ORGANET QË NGARKOHEN PËR ZBATIMIN E PROJEKTLIGJIT</w:t>
        </w:r>
        <w:r w:rsidR="005A2D01" w:rsidRPr="003A149E">
          <w:rPr>
            <w:webHidden/>
            <w:sz w:val="22"/>
            <w:lang w:val="sq-AL"/>
          </w:rPr>
          <w:tab/>
        </w:r>
        <w:r w:rsidR="005A2D01" w:rsidRPr="003A149E">
          <w:rPr>
            <w:webHidden/>
            <w:sz w:val="22"/>
            <w:lang w:val="sq-AL"/>
          </w:rPr>
          <w:fldChar w:fldCharType="begin"/>
        </w:r>
        <w:r w:rsidR="005A2D01" w:rsidRPr="003A149E">
          <w:rPr>
            <w:webHidden/>
            <w:sz w:val="22"/>
            <w:lang w:val="sq-AL"/>
          </w:rPr>
          <w:instrText xml:space="preserve"> PAGEREF _Toc511995010 \h </w:instrText>
        </w:r>
        <w:r w:rsidR="005A2D01" w:rsidRPr="003A149E">
          <w:rPr>
            <w:webHidden/>
            <w:sz w:val="22"/>
            <w:lang w:val="sq-AL"/>
          </w:rPr>
        </w:r>
        <w:r w:rsidR="005A2D01" w:rsidRPr="003A149E">
          <w:rPr>
            <w:webHidden/>
            <w:sz w:val="22"/>
            <w:lang w:val="sq-AL"/>
          </w:rPr>
          <w:fldChar w:fldCharType="separate"/>
        </w:r>
        <w:r w:rsidR="005A2D01" w:rsidRPr="003A149E">
          <w:rPr>
            <w:webHidden/>
            <w:sz w:val="22"/>
            <w:lang w:val="sq-AL"/>
          </w:rPr>
          <w:t>20</w:t>
        </w:r>
        <w:r w:rsidR="005A2D01" w:rsidRPr="003A149E">
          <w:rPr>
            <w:webHidden/>
            <w:sz w:val="22"/>
            <w:lang w:val="sq-AL"/>
          </w:rPr>
          <w:fldChar w:fldCharType="end"/>
        </w:r>
      </w:hyperlink>
    </w:p>
    <w:p w14:paraId="57CC2C71" w14:textId="77777777" w:rsidR="005A2D01" w:rsidRPr="003A149E" w:rsidRDefault="00633444" w:rsidP="003A149E">
      <w:pPr>
        <w:pStyle w:val="TOC1"/>
        <w:tabs>
          <w:tab w:val="left" w:pos="660"/>
          <w:tab w:val="right" w:leader="dot" w:pos="8828"/>
        </w:tabs>
        <w:spacing w:line="360" w:lineRule="auto"/>
        <w:ind w:left="540" w:hanging="540"/>
        <w:rPr>
          <w:rFonts w:ascii="Calibri" w:eastAsia="Times New Roman" w:hAnsi="Calibri"/>
          <w:sz w:val="20"/>
          <w:szCs w:val="22"/>
          <w:lang w:val="sq-AL"/>
        </w:rPr>
      </w:pPr>
      <w:hyperlink w:anchor="_Toc511995011" w:history="1">
        <w:r w:rsidR="005A2D01" w:rsidRPr="003A149E">
          <w:rPr>
            <w:rStyle w:val="Hyperlink"/>
            <w:b/>
            <w:sz w:val="22"/>
            <w:lang w:val="sq-AL"/>
          </w:rPr>
          <w:t>VII.</w:t>
        </w:r>
        <w:r w:rsidR="005A2D01" w:rsidRPr="003A149E">
          <w:rPr>
            <w:rFonts w:ascii="Calibri" w:eastAsia="Times New Roman" w:hAnsi="Calibri"/>
            <w:sz w:val="20"/>
            <w:szCs w:val="22"/>
            <w:lang w:val="sq-AL"/>
          </w:rPr>
          <w:tab/>
        </w:r>
        <w:r w:rsidR="005A2D01" w:rsidRPr="003A149E">
          <w:rPr>
            <w:rStyle w:val="Hyperlink"/>
            <w:b/>
            <w:sz w:val="22"/>
            <w:lang w:val="sq-AL"/>
          </w:rPr>
          <w:t>PERSONAT DHE INSTITUCIONET QË KANË KONTRIBUAR NË HARTIMIN E PROJEKTLIGJIT</w:t>
        </w:r>
        <w:r w:rsidR="005A2D01" w:rsidRPr="003A149E">
          <w:rPr>
            <w:webHidden/>
            <w:sz w:val="22"/>
            <w:lang w:val="sq-AL"/>
          </w:rPr>
          <w:tab/>
        </w:r>
        <w:r w:rsidR="005A2D01" w:rsidRPr="003A149E">
          <w:rPr>
            <w:webHidden/>
            <w:sz w:val="22"/>
            <w:lang w:val="sq-AL"/>
          </w:rPr>
          <w:fldChar w:fldCharType="begin"/>
        </w:r>
        <w:r w:rsidR="005A2D01" w:rsidRPr="003A149E">
          <w:rPr>
            <w:webHidden/>
            <w:sz w:val="22"/>
            <w:lang w:val="sq-AL"/>
          </w:rPr>
          <w:instrText xml:space="preserve"> PAGEREF _Toc511995011 \h </w:instrText>
        </w:r>
        <w:r w:rsidR="005A2D01" w:rsidRPr="003A149E">
          <w:rPr>
            <w:webHidden/>
            <w:sz w:val="22"/>
            <w:lang w:val="sq-AL"/>
          </w:rPr>
        </w:r>
        <w:r w:rsidR="005A2D01" w:rsidRPr="003A149E">
          <w:rPr>
            <w:webHidden/>
            <w:sz w:val="22"/>
            <w:lang w:val="sq-AL"/>
          </w:rPr>
          <w:fldChar w:fldCharType="separate"/>
        </w:r>
        <w:r w:rsidR="005A2D01" w:rsidRPr="003A149E">
          <w:rPr>
            <w:webHidden/>
            <w:sz w:val="22"/>
            <w:lang w:val="sq-AL"/>
          </w:rPr>
          <w:t>20</w:t>
        </w:r>
        <w:r w:rsidR="005A2D01" w:rsidRPr="003A149E">
          <w:rPr>
            <w:webHidden/>
            <w:sz w:val="22"/>
            <w:lang w:val="sq-AL"/>
          </w:rPr>
          <w:fldChar w:fldCharType="end"/>
        </w:r>
      </w:hyperlink>
    </w:p>
    <w:p w14:paraId="4ED1D42D" w14:textId="77777777" w:rsidR="005A2D01" w:rsidRPr="003A149E" w:rsidRDefault="00633444" w:rsidP="003A149E">
      <w:pPr>
        <w:pStyle w:val="TOC1"/>
        <w:tabs>
          <w:tab w:val="left" w:pos="880"/>
          <w:tab w:val="right" w:leader="dot" w:pos="8828"/>
        </w:tabs>
        <w:spacing w:line="360" w:lineRule="auto"/>
        <w:ind w:left="540" w:hanging="540"/>
        <w:rPr>
          <w:rFonts w:ascii="Calibri" w:eastAsia="Times New Roman" w:hAnsi="Calibri"/>
          <w:sz w:val="20"/>
          <w:szCs w:val="22"/>
          <w:lang w:val="sq-AL"/>
        </w:rPr>
      </w:pPr>
      <w:hyperlink w:anchor="_Toc511995012" w:history="1">
        <w:r w:rsidR="005A2D01" w:rsidRPr="003A149E">
          <w:rPr>
            <w:rStyle w:val="Hyperlink"/>
            <w:b/>
            <w:sz w:val="22"/>
            <w:lang w:val="sq-AL" w:eastAsia="en-GB"/>
          </w:rPr>
          <w:t>VIII.</w:t>
        </w:r>
        <w:r w:rsidR="005A2D01" w:rsidRPr="003A149E">
          <w:rPr>
            <w:rFonts w:ascii="Calibri" w:eastAsia="Times New Roman" w:hAnsi="Calibri"/>
            <w:sz w:val="20"/>
            <w:szCs w:val="22"/>
            <w:lang w:val="sq-AL"/>
          </w:rPr>
          <w:tab/>
        </w:r>
        <w:r w:rsidR="005A2D01" w:rsidRPr="003A149E">
          <w:rPr>
            <w:rStyle w:val="Hyperlink"/>
            <w:b/>
            <w:sz w:val="22"/>
            <w:lang w:val="sq-AL"/>
          </w:rPr>
          <w:t>RAPORTI I VLERËSIMIT TË TË ARDHURAVE DHE SHPENZIMEVE BUXHETORE</w:t>
        </w:r>
        <w:r w:rsidR="005A2D01" w:rsidRPr="003A149E">
          <w:rPr>
            <w:webHidden/>
            <w:sz w:val="22"/>
            <w:lang w:val="sq-AL"/>
          </w:rPr>
          <w:tab/>
        </w:r>
        <w:r w:rsidR="005A2D01" w:rsidRPr="003A149E">
          <w:rPr>
            <w:webHidden/>
            <w:sz w:val="22"/>
            <w:lang w:val="sq-AL"/>
          </w:rPr>
          <w:fldChar w:fldCharType="begin"/>
        </w:r>
        <w:r w:rsidR="005A2D01" w:rsidRPr="003A149E">
          <w:rPr>
            <w:webHidden/>
            <w:sz w:val="22"/>
            <w:lang w:val="sq-AL"/>
          </w:rPr>
          <w:instrText xml:space="preserve"> PAGEREF _Toc511995012 \h </w:instrText>
        </w:r>
        <w:r w:rsidR="005A2D01" w:rsidRPr="003A149E">
          <w:rPr>
            <w:webHidden/>
            <w:sz w:val="22"/>
            <w:lang w:val="sq-AL"/>
          </w:rPr>
        </w:r>
        <w:r w:rsidR="005A2D01" w:rsidRPr="003A149E">
          <w:rPr>
            <w:webHidden/>
            <w:sz w:val="22"/>
            <w:lang w:val="sq-AL"/>
          </w:rPr>
          <w:fldChar w:fldCharType="separate"/>
        </w:r>
        <w:r w:rsidR="005A2D01" w:rsidRPr="003A149E">
          <w:rPr>
            <w:webHidden/>
            <w:sz w:val="22"/>
            <w:lang w:val="sq-AL"/>
          </w:rPr>
          <w:t>21</w:t>
        </w:r>
        <w:r w:rsidR="005A2D01" w:rsidRPr="003A149E">
          <w:rPr>
            <w:webHidden/>
            <w:sz w:val="22"/>
            <w:lang w:val="sq-AL"/>
          </w:rPr>
          <w:fldChar w:fldCharType="end"/>
        </w:r>
      </w:hyperlink>
    </w:p>
    <w:p w14:paraId="62C5961E" w14:textId="77777777" w:rsidR="005A2D01" w:rsidRPr="003A149E" w:rsidRDefault="00633444" w:rsidP="003A149E">
      <w:pPr>
        <w:pStyle w:val="TOC1"/>
        <w:tabs>
          <w:tab w:val="left" w:pos="660"/>
          <w:tab w:val="right" w:leader="dot" w:pos="8828"/>
        </w:tabs>
        <w:spacing w:line="360" w:lineRule="auto"/>
        <w:ind w:left="540" w:hanging="540"/>
        <w:rPr>
          <w:rFonts w:ascii="Calibri" w:eastAsia="Times New Roman" w:hAnsi="Calibri"/>
          <w:sz w:val="20"/>
          <w:szCs w:val="22"/>
          <w:lang w:val="sq-AL"/>
        </w:rPr>
      </w:pPr>
      <w:hyperlink w:anchor="_Toc511995013" w:history="1">
        <w:r w:rsidR="005A2D01" w:rsidRPr="003A149E">
          <w:rPr>
            <w:rStyle w:val="Hyperlink"/>
            <w:b/>
            <w:sz w:val="22"/>
            <w:lang w:val="sq-AL"/>
          </w:rPr>
          <w:t>IX.</w:t>
        </w:r>
        <w:r w:rsidR="005A2D01" w:rsidRPr="003A149E">
          <w:rPr>
            <w:rFonts w:ascii="Calibri" w:eastAsia="Times New Roman" w:hAnsi="Calibri"/>
            <w:sz w:val="20"/>
            <w:szCs w:val="22"/>
            <w:lang w:val="sq-AL"/>
          </w:rPr>
          <w:tab/>
        </w:r>
        <w:r w:rsidR="005A2D01" w:rsidRPr="003A149E">
          <w:rPr>
            <w:rStyle w:val="Hyperlink"/>
            <w:b/>
            <w:sz w:val="22"/>
            <w:lang w:val="sq-AL"/>
          </w:rPr>
          <w:t>KOMENTET E MINISTRIVE, INSTITUCIONEVE DHE SUBJEKTEVE TË TJERA</w:t>
        </w:r>
        <w:r w:rsidR="005A2D01" w:rsidRPr="003A149E">
          <w:rPr>
            <w:webHidden/>
            <w:sz w:val="22"/>
            <w:lang w:val="sq-AL"/>
          </w:rPr>
          <w:tab/>
        </w:r>
        <w:r w:rsidR="005A2D01" w:rsidRPr="003A149E">
          <w:rPr>
            <w:webHidden/>
            <w:sz w:val="22"/>
            <w:lang w:val="sq-AL"/>
          </w:rPr>
          <w:fldChar w:fldCharType="begin"/>
        </w:r>
        <w:r w:rsidR="005A2D01" w:rsidRPr="003A149E">
          <w:rPr>
            <w:webHidden/>
            <w:sz w:val="22"/>
            <w:lang w:val="sq-AL"/>
          </w:rPr>
          <w:instrText xml:space="preserve"> PAGEREF _Toc511995013 \h </w:instrText>
        </w:r>
        <w:r w:rsidR="005A2D01" w:rsidRPr="003A149E">
          <w:rPr>
            <w:webHidden/>
            <w:sz w:val="22"/>
            <w:lang w:val="sq-AL"/>
          </w:rPr>
        </w:r>
        <w:r w:rsidR="005A2D01" w:rsidRPr="003A149E">
          <w:rPr>
            <w:webHidden/>
            <w:sz w:val="22"/>
            <w:lang w:val="sq-AL"/>
          </w:rPr>
          <w:fldChar w:fldCharType="separate"/>
        </w:r>
        <w:r w:rsidR="005A2D01" w:rsidRPr="003A149E">
          <w:rPr>
            <w:webHidden/>
            <w:sz w:val="22"/>
            <w:lang w:val="sq-AL"/>
          </w:rPr>
          <w:t>21</w:t>
        </w:r>
        <w:r w:rsidR="005A2D01" w:rsidRPr="003A149E">
          <w:rPr>
            <w:webHidden/>
            <w:sz w:val="22"/>
            <w:lang w:val="sq-AL"/>
          </w:rPr>
          <w:fldChar w:fldCharType="end"/>
        </w:r>
      </w:hyperlink>
    </w:p>
    <w:p w14:paraId="511CD996" w14:textId="77777777" w:rsidR="005A2D01" w:rsidRPr="003A149E" w:rsidRDefault="00633444" w:rsidP="003A149E">
      <w:pPr>
        <w:pStyle w:val="TOC1"/>
        <w:tabs>
          <w:tab w:val="left" w:pos="660"/>
          <w:tab w:val="right" w:leader="dot" w:pos="8828"/>
        </w:tabs>
        <w:spacing w:line="360" w:lineRule="auto"/>
        <w:ind w:left="540" w:hanging="540"/>
        <w:rPr>
          <w:rFonts w:ascii="Calibri" w:eastAsia="Times New Roman" w:hAnsi="Calibri"/>
          <w:sz w:val="20"/>
          <w:szCs w:val="22"/>
          <w:lang w:val="sq-AL"/>
        </w:rPr>
      </w:pPr>
      <w:hyperlink w:anchor="_Toc511995014" w:history="1">
        <w:r w:rsidR="005A2D01" w:rsidRPr="003A149E">
          <w:rPr>
            <w:rStyle w:val="Hyperlink"/>
            <w:b/>
            <w:sz w:val="22"/>
            <w:lang w:val="sq-AL"/>
          </w:rPr>
          <w:t>X.</w:t>
        </w:r>
        <w:r w:rsidR="005A2D01" w:rsidRPr="003A149E">
          <w:rPr>
            <w:rFonts w:ascii="Calibri" w:eastAsia="Times New Roman" w:hAnsi="Calibri"/>
            <w:sz w:val="20"/>
            <w:szCs w:val="22"/>
            <w:lang w:val="sq-AL"/>
          </w:rPr>
          <w:tab/>
        </w:r>
        <w:r w:rsidR="005A2D01" w:rsidRPr="003A149E">
          <w:rPr>
            <w:rStyle w:val="Hyperlink"/>
            <w:b/>
            <w:sz w:val="22"/>
            <w:lang w:val="sq-AL"/>
          </w:rPr>
          <w:t>ANEKS</w:t>
        </w:r>
        <w:r w:rsidR="005A2D01" w:rsidRPr="003A149E">
          <w:rPr>
            <w:webHidden/>
            <w:sz w:val="22"/>
            <w:lang w:val="sq-AL"/>
          </w:rPr>
          <w:tab/>
        </w:r>
        <w:r w:rsidR="005A2D01" w:rsidRPr="003A149E">
          <w:rPr>
            <w:webHidden/>
            <w:sz w:val="22"/>
            <w:lang w:val="sq-AL"/>
          </w:rPr>
          <w:fldChar w:fldCharType="begin"/>
        </w:r>
        <w:r w:rsidR="005A2D01" w:rsidRPr="003A149E">
          <w:rPr>
            <w:webHidden/>
            <w:sz w:val="22"/>
            <w:lang w:val="sq-AL"/>
          </w:rPr>
          <w:instrText xml:space="preserve"> PAGEREF _Toc511995014 \h </w:instrText>
        </w:r>
        <w:r w:rsidR="005A2D01" w:rsidRPr="003A149E">
          <w:rPr>
            <w:webHidden/>
            <w:sz w:val="22"/>
            <w:lang w:val="sq-AL"/>
          </w:rPr>
        </w:r>
        <w:r w:rsidR="005A2D01" w:rsidRPr="003A149E">
          <w:rPr>
            <w:webHidden/>
            <w:sz w:val="22"/>
            <w:lang w:val="sq-AL"/>
          </w:rPr>
          <w:fldChar w:fldCharType="separate"/>
        </w:r>
        <w:r w:rsidR="005A2D01" w:rsidRPr="003A149E">
          <w:rPr>
            <w:webHidden/>
            <w:sz w:val="22"/>
            <w:lang w:val="sq-AL"/>
          </w:rPr>
          <w:t>21</w:t>
        </w:r>
        <w:r w:rsidR="005A2D01" w:rsidRPr="003A149E">
          <w:rPr>
            <w:webHidden/>
            <w:sz w:val="22"/>
            <w:lang w:val="sq-AL"/>
          </w:rPr>
          <w:fldChar w:fldCharType="end"/>
        </w:r>
      </w:hyperlink>
    </w:p>
    <w:p w14:paraId="5AD41D6B" w14:textId="77777777" w:rsidR="004D6F5B" w:rsidRPr="00010E6E" w:rsidRDefault="004D6F5B" w:rsidP="003A149E">
      <w:pPr>
        <w:spacing w:line="360" w:lineRule="auto"/>
        <w:ind w:left="540" w:hanging="540"/>
        <w:rPr>
          <w:lang w:val="sq-AL"/>
        </w:rPr>
      </w:pPr>
      <w:r w:rsidRPr="003A149E">
        <w:rPr>
          <w:b/>
          <w:bCs/>
          <w:sz w:val="22"/>
          <w:lang w:val="sq-AL"/>
        </w:rPr>
        <w:fldChar w:fldCharType="end"/>
      </w:r>
    </w:p>
    <w:p w14:paraId="1679681E" w14:textId="77777777" w:rsidR="00B70634" w:rsidRPr="00010E6E" w:rsidRDefault="00B70634" w:rsidP="00B70634">
      <w:pPr>
        <w:pStyle w:val="Default"/>
        <w:spacing w:line="276" w:lineRule="auto"/>
        <w:jc w:val="both"/>
        <w:rPr>
          <w:rFonts w:ascii="Times New Roman" w:hAnsi="Times New Roman" w:cs="Times New Roman"/>
          <w:lang w:val="sq-AL"/>
        </w:rPr>
      </w:pPr>
    </w:p>
    <w:p w14:paraId="4A9BFCFF" w14:textId="77777777" w:rsidR="00C177F7" w:rsidRPr="00010E6E" w:rsidRDefault="00C177F7" w:rsidP="00C177F7">
      <w:pPr>
        <w:pStyle w:val="Default"/>
        <w:spacing w:line="276" w:lineRule="auto"/>
        <w:jc w:val="both"/>
        <w:rPr>
          <w:rFonts w:ascii="Times New Roman" w:hAnsi="Times New Roman" w:cs="Times New Roman"/>
          <w:b/>
          <w:bCs/>
          <w:lang w:val="sq-AL"/>
        </w:rPr>
      </w:pPr>
    </w:p>
    <w:p w14:paraId="5D45A205" w14:textId="77777777" w:rsidR="00103EFC" w:rsidRPr="00010E6E" w:rsidRDefault="00103EFC" w:rsidP="00C177F7">
      <w:pPr>
        <w:pStyle w:val="Default"/>
        <w:spacing w:line="276" w:lineRule="auto"/>
        <w:jc w:val="both"/>
        <w:rPr>
          <w:rFonts w:ascii="Times New Roman" w:hAnsi="Times New Roman" w:cs="Times New Roman"/>
          <w:b/>
          <w:bCs/>
          <w:lang w:val="sq-AL"/>
        </w:rPr>
      </w:pPr>
    </w:p>
    <w:p w14:paraId="53657C6C" w14:textId="77777777" w:rsidR="005A2D01" w:rsidRPr="00010E6E" w:rsidRDefault="005A2D01" w:rsidP="00C177F7">
      <w:pPr>
        <w:pStyle w:val="Default"/>
        <w:spacing w:line="276" w:lineRule="auto"/>
        <w:jc w:val="both"/>
        <w:rPr>
          <w:rFonts w:ascii="Times New Roman" w:hAnsi="Times New Roman" w:cs="Times New Roman"/>
          <w:b/>
          <w:bCs/>
          <w:lang w:val="sq-AL"/>
        </w:rPr>
      </w:pPr>
    </w:p>
    <w:p w14:paraId="77631692" w14:textId="77777777" w:rsidR="005A2D01" w:rsidRPr="00010E6E" w:rsidRDefault="005A2D01" w:rsidP="00C177F7">
      <w:pPr>
        <w:pStyle w:val="Default"/>
        <w:spacing w:line="276" w:lineRule="auto"/>
        <w:jc w:val="both"/>
        <w:rPr>
          <w:rFonts w:ascii="Times New Roman" w:hAnsi="Times New Roman" w:cs="Times New Roman"/>
          <w:b/>
          <w:bCs/>
          <w:lang w:val="sq-AL"/>
        </w:rPr>
      </w:pPr>
    </w:p>
    <w:p w14:paraId="2F65C8FD" w14:textId="5B0FD335" w:rsidR="003A149E" w:rsidRDefault="003A149E">
      <w:pPr>
        <w:rPr>
          <w:b/>
          <w:bCs/>
          <w:color w:val="000000"/>
          <w:lang w:val="sq-AL"/>
        </w:rPr>
      </w:pPr>
      <w:r>
        <w:rPr>
          <w:b/>
          <w:bCs/>
          <w:lang w:val="sq-AL"/>
        </w:rPr>
        <w:br w:type="page"/>
      </w:r>
    </w:p>
    <w:p w14:paraId="09268641" w14:textId="77777777" w:rsidR="00C177F7" w:rsidRPr="00010E6E" w:rsidRDefault="00C177F7" w:rsidP="00C177F7">
      <w:pPr>
        <w:pStyle w:val="Default"/>
        <w:spacing w:line="276" w:lineRule="auto"/>
        <w:jc w:val="both"/>
        <w:rPr>
          <w:rFonts w:ascii="Times New Roman" w:hAnsi="Times New Roman" w:cs="Times New Roman"/>
          <w:b/>
          <w:bCs/>
          <w:lang w:val="sq-AL"/>
        </w:rPr>
      </w:pPr>
    </w:p>
    <w:p w14:paraId="6EDC65C1" w14:textId="283E7053" w:rsidR="00C177F7" w:rsidRPr="00010E6E" w:rsidRDefault="00C177F7" w:rsidP="004E2752">
      <w:pPr>
        <w:pStyle w:val="Default"/>
        <w:numPr>
          <w:ilvl w:val="0"/>
          <w:numId w:val="19"/>
        </w:numPr>
        <w:spacing w:line="276" w:lineRule="auto"/>
        <w:jc w:val="both"/>
        <w:rPr>
          <w:rStyle w:val="Heading1Char"/>
          <w:rFonts w:ascii="Times New Roman" w:eastAsia="MS Mincho" w:hAnsi="Times New Roman" w:cs="Times New Roman"/>
          <w:b/>
          <w:color w:val="000000"/>
          <w:sz w:val="24"/>
          <w:szCs w:val="24"/>
          <w:lang w:val="sq-AL"/>
        </w:rPr>
      </w:pPr>
      <w:bookmarkStart w:id="1" w:name="_Toc511995005"/>
      <w:r w:rsidRPr="00010E6E">
        <w:rPr>
          <w:rStyle w:val="Heading1Char"/>
          <w:rFonts w:ascii="Times New Roman" w:eastAsia="MS Mincho" w:hAnsi="Times New Roman" w:cs="Times New Roman"/>
          <w:b/>
          <w:color w:val="000000"/>
          <w:sz w:val="24"/>
          <w:szCs w:val="24"/>
          <w:lang w:val="sq-AL"/>
        </w:rPr>
        <w:t>QËLLIMI I PROJEKTLIGJIT DHE OBJEKTIVAT QË SYNOHEN TË ARRIHEN</w:t>
      </w:r>
      <w:bookmarkEnd w:id="1"/>
      <w:r w:rsidRPr="00010E6E">
        <w:rPr>
          <w:rStyle w:val="Heading1Char"/>
          <w:rFonts w:ascii="Times New Roman" w:eastAsia="MS Mincho" w:hAnsi="Times New Roman" w:cs="Times New Roman"/>
          <w:b/>
          <w:color w:val="000000"/>
          <w:sz w:val="24"/>
          <w:szCs w:val="24"/>
          <w:lang w:val="sq-AL"/>
        </w:rPr>
        <w:t xml:space="preserve"> </w:t>
      </w:r>
    </w:p>
    <w:p w14:paraId="183880C5" w14:textId="77777777" w:rsidR="004B6D0E" w:rsidRPr="00010E6E" w:rsidRDefault="004B6D0E" w:rsidP="004B6D0E">
      <w:pPr>
        <w:spacing w:line="276" w:lineRule="auto"/>
        <w:jc w:val="both"/>
        <w:rPr>
          <w:rFonts w:eastAsia="Times New Roman"/>
          <w:lang w:val="sq-AL"/>
        </w:rPr>
      </w:pPr>
    </w:p>
    <w:p w14:paraId="4AB0CF85" w14:textId="4AA07A01" w:rsidR="00C177F7" w:rsidRPr="00010E6E" w:rsidRDefault="00521829" w:rsidP="008D736E">
      <w:pPr>
        <w:spacing w:line="276" w:lineRule="auto"/>
        <w:jc w:val="both"/>
        <w:rPr>
          <w:rFonts w:eastAsia="Times New Roman"/>
          <w:lang w:val="sq-AL"/>
        </w:rPr>
      </w:pPr>
      <w:r>
        <w:rPr>
          <w:rFonts w:eastAsia="Times New Roman"/>
          <w:lang w:val="sq-AL"/>
        </w:rPr>
        <w:t xml:space="preserve">Qëllimi i projektligjit, i hartuar me asistencën e Bankës Botërore dhe Bankën e Italisë, </w:t>
      </w:r>
      <w:r w:rsidR="004B6D0E" w:rsidRPr="00010E6E">
        <w:rPr>
          <w:rFonts w:eastAsia="Times New Roman"/>
          <w:lang w:val="sq-AL"/>
        </w:rPr>
        <w:t xml:space="preserve">është krijimi i kuadrit ligjor për funksionimin e shërbimeve të pagesave në Republikën e Shqipërisë. </w:t>
      </w:r>
      <w:r w:rsidR="004B6D0E" w:rsidRPr="00010E6E">
        <w:rPr>
          <w:lang w:val="sq-AL"/>
        </w:rPr>
        <w:t>Objekti i tij lidhet me përcaktimin e kushteve dhe rregullave për: a) krijimin, licencimin, organizimin, veprimtarinë dhe mbikëqyrjen e institucioneve të pagesave; b) transparencën e kushteve dhe kërkesat për informim mbi shërbimet e pagesave; dhe c) të drejtat dhe detyrimet përkatëse të përdoruesve dhe të ofruesve të shërbimeve të pagesave në lidhje me ofrimin e shërbimeve të pagesave.</w:t>
      </w:r>
    </w:p>
    <w:p w14:paraId="7C1605DE" w14:textId="77777777" w:rsidR="004B6D0E" w:rsidRPr="00010E6E" w:rsidRDefault="004B6D0E" w:rsidP="004B6D0E">
      <w:pPr>
        <w:pStyle w:val="Default"/>
        <w:spacing w:line="276" w:lineRule="auto"/>
        <w:jc w:val="both"/>
        <w:rPr>
          <w:rFonts w:ascii="Times New Roman" w:hAnsi="Times New Roman" w:cs="Times New Roman"/>
          <w:lang w:val="sq-AL"/>
        </w:rPr>
      </w:pPr>
    </w:p>
    <w:p w14:paraId="73EC0CB5" w14:textId="77777777" w:rsidR="00C177F7" w:rsidRPr="00010E6E" w:rsidRDefault="00C177F7" w:rsidP="004E2752">
      <w:pPr>
        <w:numPr>
          <w:ilvl w:val="0"/>
          <w:numId w:val="19"/>
        </w:numPr>
        <w:spacing w:line="276" w:lineRule="auto"/>
        <w:jc w:val="both"/>
        <w:rPr>
          <w:rStyle w:val="Heading1Char"/>
          <w:rFonts w:ascii="Times New Roman" w:eastAsia="MS Mincho" w:hAnsi="Times New Roman"/>
          <w:b/>
          <w:color w:val="000000"/>
          <w:sz w:val="24"/>
          <w:szCs w:val="24"/>
          <w:lang w:val="sq-AL"/>
        </w:rPr>
      </w:pPr>
      <w:bookmarkStart w:id="2" w:name="_Toc511995006"/>
      <w:r w:rsidRPr="00010E6E">
        <w:rPr>
          <w:rStyle w:val="Heading1Char"/>
          <w:rFonts w:ascii="Times New Roman" w:eastAsia="MS Mincho" w:hAnsi="Times New Roman"/>
          <w:b/>
          <w:color w:val="000000"/>
          <w:sz w:val="24"/>
          <w:szCs w:val="24"/>
          <w:lang w:val="sq-AL"/>
        </w:rPr>
        <w:t>VLERËSIMI I PROJEKTAKTIT NË RAPORT ME PROGRAMIN POLITIK TË KËSHILLIT TË MINISTRAVE, ME PROGRAMIN ANALITIK TË AKTEVE DHE DOKUMENTEVE TË TJERA POLITIKE</w:t>
      </w:r>
      <w:bookmarkEnd w:id="2"/>
    </w:p>
    <w:p w14:paraId="41B06DB8" w14:textId="77777777" w:rsidR="00C177F7" w:rsidRPr="00010E6E" w:rsidRDefault="00C177F7" w:rsidP="00C177F7">
      <w:pPr>
        <w:spacing w:line="276" w:lineRule="auto"/>
        <w:jc w:val="both"/>
        <w:rPr>
          <w:b/>
          <w:lang w:val="sq-AL"/>
        </w:rPr>
      </w:pPr>
    </w:p>
    <w:p w14:paraId="286E1053" w14:textId="082977C4" w:rsidR="00C177F7" w:rsidRPr="00010E6E" w:rsidRDefault="00C177F7" w:rsidP="00C177F7">
      <w:pPr>
        <w:spacing w:line="276" w:lineRule="auto"/>
        <w:jc w:val="both"/>
        <w:rPr>
          <w:lang w:val="sq-AL"/>
        </w:rPr>
      </w:pPr>
      <w:r w:rsidRPr="00010E6E">
        <w:rPr>
          <w:color w:val="000000"/>
          <w:lang w:val="sq-AL"/>
        </w:rPr>
        <w:t>Projektligji “</w:t>
      </w:r>
      <w:r w:rsidRPr="00010E6E">
        <w:rPr>
          <w:lang w:val="sq-AL"/>
        </w:rPr>
        <w:t>Për shërbimet e pagesave”</w:t>
      </w:r>
      <w:r w:rsidRPr="00010E6E">
        <w:rPr>
          <w:b/>
          <w:lang w:val="sq-AL"/>
        </w:rPr>
        <w:t xml:space="preserve"> </w:t>
      </w:r>
      <w:r w:rsidRPr="00010E6E">
        <w:rPr>
          <w:lang w:val="sq-AL"/>
        </w:rPr>
        <w:t xml:space="preserve">nuk është parashikuar në programin analitik të akteve të miratuara me VKM </w:t>
      </w:r>
      <w:r w:rsidR="00B87BC4" w:rsidRPr="00010E6E">
        <w:rPr>
          <w:lang w:val="sq-AL"/>
        </w:rPr>
        <w:t xml:space="preserve">nr.764, datë 27.12.2018 </w:t>
      </w:r>
      <w:r w:rsidRPr="00010E6E">
        <w:rPr>
          <w:lang w:val="sq-AL"/>
        </w:rPr>
        <w:t xml:space="preserve">“Për miratimin e programit të përgjithshëm analitik të projektakteve që do të paraqiten për shqyrtim në Këshillin e Ministrave gjatë vitit </w:t>
      </w:r>
      <w:r w:rsidR="009E2350" w:rsidRPr="00010E6E">
        <w:rPr>
          <w:lang w:val="sq-AL"/>
        </w:rPr>
        <w:t>2019</w:t>
      </w:r>
      <w:r w:rsidRPr="00010E6E">
        <w:rPr>
          <w:lang w:val="sq-AL"/>
        </w:rPr>
        <w:t>”.</w:t>
      </w:r>
      <w:r w:rsidR="00A36D7E" w:rsidRPr="00010E6E">
        <w:rPr>
          <w:lang w:val="sq-AL"/>
        </w:rPr>
        <w:t xml:space="preserve"> Megjithatë vlen të theksohet se ky projektligj </w:t>
      </w:r>
      <w:r w:rsidR="00A947D8" w:rsidRPr="00010E6E">
        <w:rPr>
          <w:lang w:val="sq-AL"/>
        </w:rPr>
        <w:t>është një</w:t>
      </w:r>
      <w:r w:rsidR="00A36D7E" w:rsidRPr="00010E6E">
        <w:rPr>
          <w:lang w:val="sq-AL"/>
        </w:rPr>
        <w:t xml:space="preserve"> kërkesë </w:t>
      </w:r>
      <w:r w:rsidR="00010E6E">
        <w:rPr>
          <w:lang w:val="sq-AL"/>
        </w:rPr>
        <w:t>e</w:t>
      </w:r>
      <w:r w:rsidR="00010E6E" w:rsidRPr="00010E6E">
        <w:rPr>
          <w:lang w:val="sq-AL"/>
        </w:rPr>
        <w:t xml:space="preserve"> </w:t>
      </w:r>
      <w:r w:rsidR="00A947D8" w:rsidRPr="00010E6E">
        <w:rPr>
          <w:lang w:val="sq-AL"/>
        </w:rPr>
        <w:t>vazhdueshme e</w:t>
      </w:r>
      <w:r w:rsidR="00A36D7E" w:rsidRPr="00010E6E">
        <w:rPr>
          <w:lang w:val="sq-AL"/>
        </w:rPr>
        <w:t xml:space="preserve"> Komisionit Evropia</w:t>
      </w:r>
      <w:r w:rsidR="000628E0" w:rsidRPr="00010E6E">
        <w:rPr>
          <w:lang w:val="sq-AL"/>
        </w:rPr>
        <w:t>n</w:t>
      </w:r>
      <w:r w:rsidR="00A36D7E" w:rsidRPr="00010E6E">
        <w:rPr>
          <w:lang w:val="sq-AL"/>
        </w:rPr>
        <w:t xml:space="preserve"> </w:t>
      </w:r>
      <w:r w:rsidR="00A947D8" w:rsidRPr="00010E6E">
        <w:rPr>
          <w:lang w:val="sq-AL"/>
        </w:rPr>
        <w:t xml:space="preserve">për </w:t>
      </w:r>
      <w:r w:rsidR="00BB527C">
        <w:rPr>
          <w:lang w:val="sq-AL"/>
        </w:rPr>
        <w:t>K</w:t>
      </w:r>
      <w:r w:rsidR="00A947D8" w:rsidRPr="00010E6E">
        <w:rPr>
          <w:lang w:val="sq-AL"/>
        </w:rPr>
        <w:t xml:space="preserve">apitullin 4 </w:t>
      </w:r>
      <w:r w:rsidR="00BB527C" w:rsidRPr="00010E6E">
        <w:rPr>
          <w:lang w:val="sq-AL"/>
        </w:rPr>
        <w:t>“</w:t>
      </w:r>
      <w:r w:rsidR="00A947D8" w:rsidRPr="00010E6E">
        <w:rPr>
          <w:lang w:val="sq-AL"/>
        </w:rPr>
        <w:t xml:space="preserve">Lëvizja e </w:t>
      </w:r>
      <w:r w:rsidR="00010E6E">
        <w:rPr>
          <w:lang w:val="sq-AL"/>
        </w:rPr>
        <w:t>l</w:t>
      </w:r>
      <w:r w:rsidR="00A947D8" w:rsidRPr="00010E6E">
        <w:rPr>
          <w:lang w:val="sq-AL"/>
        </w:rPr>
        <w:t xml:space="preserve">irë e kapitalit” si baza kryesore e </w:t>
      </w:r>
      <w:r w:rsidR="00A947D8" w:rsidRPr="00010E6E">
        <w:rPr>
          <w:i/>
          <w:lang w:val="sq-AL"/>
        </w:rPr>
        <w:t>Aquis</w:t>
      </w:r>
      <w:r w:rsidR="00A947D8" w:rsidRPr="00010E6E">
        <w:rPr>
          <w:lang w:val="sq-AL"/>
        </w:rPr>
        <w:t xml:space="preserve"> për tregun e vetëm të pagesave në euro</w:t>
      </w:r>
      <w:r w:rsidR="00010E6E">
        <w:rPr>
          <w:lang w:val="sq-AL"/>
        </w:rPr>
        <w:t>,</w:t>
      </w:r>
      <w:r w:rsidR="00A947D8" w:rsidRPr="00010E6E">
        <w:rPr>
          <w:lang w:val="sq-AL"/>
        </w:rPr>
        <w:t xml:space="preserve"> të ashtëquajturin SEPA. Për më shumë, ky projektligj </w:t>
      </w:r>
      <w:r w:rsidR="008419C5" w:rsidRPr="00010E6E">
        <w:rPr>
          <w:lang w:val="sq-AL"/>
        </w:rPr>
        <w:t>përbën një prioritet edhe për Str</w:t>
      </w:r>
      <w:r w:rsidR="000628E0" w:rsidRPr="00010E6E">
        <w:rPr>
          <w:lang w:val="sq-AL"/>
        </w:rPr>
        <w:t>a</w:t>
      </w:r>
      <w:r w:rsidR="008419C5" w:rsidRPr="00010E6E">
        <w:rPr>
          <w:lang w:val="sq-AL"/>
        </w:rPr>
        <w:t xml:space="preserve">tegjinë Kombëtare </w:t>
      </w:r>
      <w:r w:rsidR="00566851" w:rsidRPr="00010E6E">
        <w:rPr>
          <w:lang w:val="sq-AL"/>
        </w:rPr>
        <w:t>për Pagesat me Vlerë të Vogël</w:t>
      </w:r>
      <w:r w:rsidR="00B87BC4" w:rsidRPr="00010E6E">
        <w:rPr>
          <w:lang w:val="sq-AL"/>
        </w:rPr>
        <w:t>,</w:t>
      </w:r>
      <w:r w:rsidR="00566851" w:rsidRPr="00010E6E">
        <w:rPr>
          <w:lang w:val="sq-AL"/>
        </w:rPr>
        <w:t xml:space="preserve"> e cila synon modernizimin e këtij tregu me qëllim zgjerimin e përfshi</w:t>
      </w:r>
      <w:r w:rsidR="000628E0" w:rsidRPr="00010E6E">
        <w:rPr>
          <w:lang w:val="sq-AL"/>
        </w:rPr>
        <w:t>r</w:t>
      </w:r>
      <w:r w:rsidR="00566851" w:rsidRPr="00010E6E">
        <w:rPr>
          <w:lang w:val="sq-AL"/>
        </w:rPr>
        <w:t>jes financiare të popullsisë shqiptare, e cila rezulton në nivele relativisht të ul</w:t>
      </w:r>
      <w:r w:rsidR="00010E6E">
        <w:rPr>
          <w:lang w:val="sq-AL"/>
        </w:rPr>
        <w:t>ë</w:t>
      </w:r>
      <w:r w:rsidR="00566851" w:rsidRPr="00010E6E">
        <w:rPr>
          <w:lang w:val="sq-AL"/>
        </w:rPr>
        <w:t xml:space="preserve">ta krahasuar me vendet e tjera të rajonit por dhe më gjerë. Së fundi, </w:t>
      </w:r>
      <w:r w:rsidR="00B87BC4" w:rsidRPr="00010E6E">
        <w:rPr>
          <w:lang w:val="sq-AL"/>
        </w:rPr>
        <w:t>p</w:t>
      </w:r>
      <w:r w:rsidR="00566851" w:rsidRPr="00010E6E">
        <w:rPr>
          <w:lang w:val="sq-AL"/>
        </w:rPr>
        <w:t>roje</w:t>
      </w:r>
      <w:r w:rsidR="000628E0" w:rsidRPr="00010E6E">
        <w:rPr>
          <w:lang w:val="sq-AL"/>
        </w:rPr>
        <w:t>k</w:t>
      </w:r>
      <w:r w:rsidR="00566851" w:rsidRPr="00010E6E">
        <w:rPr>
          <w:lang w:val="sq-AL"/>
        </w:rPr>
        <w:t>tligji është përfshirë dhe në planin e veprimit të St</w:t>
      </w:r>
      <w:r w:rsidR="000628E0" w:rsidRPr="00010E6E">
        <w:rPr>
          <w:lang w:val="sq-AL"/>
        </w:rPr>
        <w:t>r</w:t>
      </w:r>
      <w:r w:rsidR="00566851" w:rsidRPr="00010E6E">
        <w:rPr>
          <w:lang w:val="sq-AL"/>
        </w:rPr>
        <w:t>a</w:t>
      </w:r>
      <w:r w:rsidR="000628E0" w:rsidRPr="00010E6E">
        <w:rPr>
          <w:lang w:val="sq-AL"/>
        </w:rPr>
        <w:t>t</w:t>
      </w:r>
      <w:r w:rsidR="00566851" w:rsidRPr="00010E6E">
        <w:rPr>
          <w:lang w:val="sq-AL"/>
        </w:rPr>
        <w:t xml:space="preserve">egjisë Kombëtare për Diasporën.  </w:t>
      </w:r>
    </w:p>
    <w:p w14:paraId="217509E2" w14:textId="77777777" w:rsidR="00B70634" w:rsidRPr="00010E6E" w:rsidRDefault="00B70634" w:rsidP="00B70634">
      <w:pPr>
        <w:pStyle w:val="Default"/>
        <w:spacing w:line="276" w:lineRule="auto"/>
        <w:rPr>
          <w:rFonts w:ascii="Times New Roman" w:hAnsi="Times New Roman" w:cs="Times New Roman"/>
          <w:lang w:val="sq-AL"/>
        </w:rPr>
      </w:pPr>
    </w:p>
    <w:p w14:paraId="2208F2C1" w14:textId="77777777" w:rsidR="007C328E" w:rsidRPr="00010E6E" w:rsidRDefault="007C328E" w:rsidP="007C3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val="sq-AL"/>
        </w:rPr>
      </w:pPr>
    </w:p>
    <w:p w14:paraId="4C558CCF" w14:textId="77777777" w:rsidR="00CC0758" w:rsidRPr="00010E6E" w:rsidRDefault="00CC0758" w:rsidP="004E2752">
      <w:pPr>
        <w:pStyle w:val="Default"/>
        <w:numPr>
          <w:ilvl w:val="0"/>
          <w:numId w:val="19"/>
        </w:numPr>
        <w:spacing w:line="276" w:lineRule="auto"/>
        <w:jc w:val="both"/>
        <w:rPr>
          <w:rStyle w:val="Heading1Char"/>
          <w:rFonts w:ascii="Times New Roman" w:eastAsia="MS Mincho" w:hAnsi="Times New Roman"/>
          <w:b/>
          <w:color w:val="000000"/>
          <w:sz w:val="24"/>
          <w:szCs w:val="24"/>
          <w:lang w:val="sq-AL"/>
        </w:rPr>
      </w:pPr>
      <w:bookmarkStart w:id="3" w:name="_Toc511995007"/>
      <w:r w:rsidRPr="00010E6E">
        <w:rPr>
          <w:rStyle w:val="Heading1Char"/>
          <w:rFonts w:ascii="Times New Roman" w:eastAsia="MS Mincho" w:hAnsi="Times New Roman"/>
          <w:b/>
          <w:color w:val="000000"/>
          <w:sz w:val="24"/>
          <w:szCs w:val="24"/>
          <w:lang w:val="sq-AL"/>
        </w:rPr>
        <w:t>VLERËSIMI I LIGJSHMËRISË, KUSHTETUTSHMËRISË DHE HARMONIZIMI ME LEGJISLACIONIN NË FUQI VENDAS E NDËRKOMBËTAR</w:t>
      </w:r>
      <w:bookmarkEnd w:id="3"/>
      <w:r w:rsidRPr="00010E6E">
        <w:rPr>
          <w:rStyle w:val="Heading1Char"/>
          <w:rFonts w:ascii="Times New Roman" w:eastAsia="MS Mincho" w:hAnsi="Times New Roman"/>
          <w:b/>
          <w:color w:val="000000"/>
          <w:sz w:val="24"/>
          <w:szCs w:val="24"/>
          <w:lang w:val="sq-AL"/>
        </w:rPr>
        <w:t xml:space="preserve"> </w:t>
      </w:r>
    </w:p>
    <w:p w14:paraId="0907D1F8" w14:textId="77777777" w:rsidR="00CC0758" w:rsidRPr="00010E6E" w:rsidRDefault="00CC0758" w:rsidP="00CC0758">
      <w:pPr>
        <w:jc w:val="both"/>
        <w:rPr>
          <w:rFonts w:eastAsia="Times New Roman"/>
          <w:lang w:val="sq-AL" w:eastAsia="en-GB"/>
        </w:rPr>
      </w:pPr>
    </w:p>
    <w:p w14:paraId="0C0ED8BC" w14:textId="77777777" w:rsidR="00CC0758" w:rsidRDefault="00CC0758" w:rsidP="00CC0758">
      <w:pPr>
        <w:jc w:val="both"/>
        <w:rPr>
          <w:rFonts w:eastAsia="Times New Roman"/>
          <w:lang w:val="sq-AL" w:eastAsia="en-GB"/>
        </w:rPr>
      </w:pPr>
      <w:r w:rsidRPr="00010E6E">
        <w:rPr>
          <w:rFonts w:eastAsia="Times New Roman"/>
          <w:lang w:val="sq-AL" w:eastAsia="en-GB"/>
        </w:rPr>
        <w:t>Projektligji i propozuar mbështetet në nenet 78 dhe 83, pika 1 të Kushtetutës.</w:t>
      </w:r>
    </w:p>
    <w:p w14:paraId="5E926310" w14:textId="77777777" w:rsidR="007166A9" w:rsidRPr="00010E6E" w:rsidRDefault="007166A9" w:rsidP="00CC0758">
      <w:pPr>
        <w:jc w:val="both"/>
        <w:rPr>
          <w:rFonts w:eastAsia="Times New Roman"/>
          <w:lang w:val="sq-AL" w:eastAsia="en-GB"/>
        </w:rPr>
      </w:pPr>
    </w:p>
    <w:p w14:paraId="1FE990D8" w14:textId="77777777" w:rsidR="0002198C" w:rsidRPr="00010E6E" w:rsidRDefault="0002198C" w:rsidP="00D73AF9">
      <w:pPr>
        <w:jc w:val="both"/>
        <w:rPr>
          <w:b/>
          <w:lang w:val="sq-AL"/>
        </w:rPr>
      </w:pPr>
    </w:p>
    <w:p w14:paraId="5E6676C6" w14:textId="77777777" w:rsidR="0002198C" w:rsidRPr="00010E6E" w:rsidRDefault="00711144" w:rsidP="004E2752">
      <w:pPr>
        <w:numPr>
          <w:ilvl w:val="0"/>
          <w:numId w:val="19"/>
        </w:numPr>
        <w:jc w:val="both"/>
        <w:rPr>
          <w:b/>
          <w:bCs/>
          <w:i/>
          <w:iCs/>
          <w:lang w:val="sq-AL"/>
        </w:rPr>
      </w:pPr>
      <w:bookmarkStart w:id="4" w:name="_Toc511995008"/>
      <w:r w:rsidRPr="00010E6E">
        <w:rPr>
          <w:rStyle w:val="Heading1Char"/>
          <w:rFonts w:ascii="Times New Roman" w:eastAsia="MS Mincho" w:hAnsi="Times New Roman" w:cs="Arial"/>
          <w:b/>
          <w:color w:val="000000"/>
          <w:sz w:val="24"/>
          <w:szCs w:val="24"/>
          <w:lang w:val="sq-AL"/>
        </w:rPr>
        <w:t xml:space="preserve">VLERËSIMI I SHKALLËS SË PËRAFRIMIT ME </w:t>
      </w:r>
      <w:r w:rsidRPr="00BB527C">
        <w:rPr>
          <w:rStyle w:val="Heading1Char"/>
          <w:rFonts w:ascii="Times New Roman" w:eastAsia="MS Mincho" w:hAnsi="Times New Roman" w:cs="Arial"/>
          <w:b/>
          <w:i/>
          <w:color w:val="000000"/>
          <w:sz w:val="24"/>
          <w:szCs w:val="24"/>
          <w:lang w:val="sq-AL"/>
        </w:rPr>
        <w:t>ACQUIS COMMUNAUTAIRE</w:t>
      </w:r>
      <w:bookmarkEnd w:id="4"/>
    </w:p>
    <w:p w14:paraId="1BE76EA3" w14:textId="77777777" w:rsidR="00711144" w:rsidRPr="00010E6E" w:rsidRDefault="00711144" w:rsidP="00D73AF9">
      <w:pPr>
        <w:jc w:val="both"/>
        <w:rPr>
          <w:b/>
          <w:bCs/>
          <w:i/>
          <w:iCs/>
          <w:lang w:val="sq-AL"/>
        </w:rPr>
      </w:pPr>
    </w:p>
    <w:p w14:paraId="188C1B7D" w14:textId="632D34AF" w:rsidR="004B6D0E" w:rsidRPr="00010E6E" w:rsidRDefault="004B6D0E" w:rsidP="004B6D0E">
      <w:pPr>
        <w:pStyle w:val="FootnoteText"/>
        <w:tabs>
          <w:tab w:val="left" w:pos="0"/>
        </w:tabs>
        <w:jc w:val="both"/>
        <w:rPr>
          <w:sz w:val="24"/>
          <w:szCs w:val="24"/>
          <w:lang w:val="sq-AL"/>
        </w:rPr>
      </w:pPr>
      <w:r w:rsidRPr="00010E6E">
        <w:rPr>
          <w:sz w:val="24"/>
          <w:szCs w:val="24"/>
          <w:lang w:val="sq-AL"/>
        </w:rPr>
        <w:t>Projekt</w:t>
      </w:r>
      <w:r w:rsidR="00711144" w:rsidRPr="00010E6E">
        <w:rPr>
          <w:sz w:val="24"/>
          <w:szCs w:val="24"/>
          <w:lang w:val="sq-AL"/>
        </w:rPr>
        <w:t>ligj</w:t>
      </w:r>
      <w:r w:rsidRPr="00010E6E">
        <w:rPr>
          <w:sz w:val="24"/>
          <w:szCs w:val="24"/>
          <w:lang w:val="sq-AL"/>
        </w:rPr>
        <w:t>i</w:t>
      </w:r>
      <w:r w:rsidR="00711144" w:rsidRPr="00010E6E">
        <w:rPr>
          <w:sz w:val="24"/>
          <w:szCs w:val="24"/>
          <w:lang w:val="sq-AL"/>
        </w:rPr>
        <w:t xml:space="preserve"> ka si qëllim krijimin e një baze të qartë ligjore për sh</w:t>
      </w:r>
      <w:r w:rsidRPr="00010E6E">
        <w:rPr>
          <w:sz w:val="24"/>
          <w:szCs w:val="24"/>
          <w:lang w:val="sq-AL"/>
        </w:rPr>
        <w:t>ë</w:t>
      </w:r>
      <w:r w:rsidR="00711144" w:rsidRPr="00010E6E">
        <w:rPr>
          <w:sz w:val="24"/>
          <w:szCs w:val="24"/>
          <w:lang w:val="sq-AL"/>
        </w:rPr>
        <w:t>rbimet e pagesave n</w:t>
      </w:r>
      <w:r w:rsidRPr="00010E6E">
        <w:rPr>
          <w:sz w:val="24"/>
          <w:szCs w:val="24"/>
          <w:lang w:val="sq-AL"/>
        </w:rPr>
        <w:t>ë</w:t>
      </w:r>
      <w:r w:rsidR="00711144" w:rsidRPr="00010E6E">
        <w:rPr>
          <w:sz w:val="24"/>
          <w:szCs w:val="24"/>
          <w:lang w:val="sq-AL"/>
        </w:rPr>
        <w:t xml:space="preserve"> Republik</w:t>
      </w:r>
      <w:r w:rsidRPr="00010E6E">
        <w:rPr>
          <w:sz w:val="24"/>
          <w:szCs w:val="24"/>
          <w:lang w:val="sq-AL"/>
        </w:rPr>
        <w:t>ë</w:t>
      </w:r>
      <w:r w:rsidR="00711144" w:rsidRPr="00010E6E">
        <w:rPr>
          <w:sz w:val="24"/>
          <w:szCs w:val="24"/>
          <w:lang w:val="sq-AL"/>
        </w:rPr>
        <w:t>n e Shqip</w:t>
      </w:r>
      <w:r w:rsidRPr="00010E6E">
        <w:rPr>
          <w:sz w:val="24"/>
          <w:szCs w:val="24"/>
          <w:lang w:val="sq-AL"/>
        </w:rPr>
        <w:t>ë</w:t>
      </w:r>
      <w:r w:rsidR="00711144" w:rsidRPr="00010E6E">
        <w:rPr>
          <w:sz w:val="24"/>
          <w:szCs w:val="24"/>
          <w:lang w:val="sq-AL"/>
        </w:rPr>
        <w:t>ris</w:t>
      </w:r>
      <w:r w:rsidRPr="00010E6E">
        <w:rPr>
          <w:sz w:val="24"/>
          <w:szCs w:val="24"/>
          <w:lang w:val="sq-AL"/>
        </w:rPr>
        <w:t>ë</w:t>
      </w:r>
      <w:r w:rsidR="00711144" w:rsidRPr="00010E6E">
        <w:rPr>
          <w:sz w:val="24"/>
          <w:szCs w:val="24"/>
          <w:lang w:val="sq-AL"/>
        </w:rPr>
        <w:t xml:space="preserve"> dhe synon të përafrojë pjesërisht legjislacionin shqiptar me </w:t>
      </w:r>
      <w:r w:rsidRPr="00010E6E">
        <w:rPr>
          <w:sz w:val="24"/>
          <w:szCs w:val="24"/>
          <w:lang w:val="sq-AL"/>
        </w:rPr>
        <w:t>Direktivën 2015/2366 BE të Parlamentit Evropian dhe të Këshillit</w:t>
      </w:r>
      <w:r w:rsidR="003A4B22">
        <w:rPr>
          <w:sz w:val="24"/>
          <w:szCs w:val="24"/>
          <w:lang w:val="sq-AL"/>
        </w:rPr>
        <w:t xml:space="preserve">, </w:t>
      </w:r>
      <w:r w:rsidRPr="00010E6E">
        <w:rPr>
          <w:sz w:val="24"/>
          <w:szCs w:val="24"/>
          <w:lang w:val="sq-AL"/>
        </w:rPr>
        <w:t xml:space="preserve">të datës 25 </w:t>
      </w:r>
      <w:r w:rsidR="00010E6E">
        <w:rPr>
          <w:sz w:val="24"/>
          <w:szCs w:val="24"/>
          <w:lang w:val="sq-AL"/>
        </w:rPr>
        <w:t>n</w:t>
      </w:r>
      <w:r w:rsidRPr="00010E6E">
        <w:rPr>
          <w:sz w:val="24"/>
          <w:szCs w:val="24"/>
          <w:lang w:val="sq-AL"/>
        </w:rPr>
        <w:t>ëntor 2015 “Për shërbimet e pagesave në tregun e brendshëm”</w:t>
      </w:r>
      <w:r w:rsidR="00010E6E">
        <w:rPr>
          <w:sz w:val="24"/>
          <w:szCs w:val="24"/>
          <w:lang w:val="sq-AL"/>
        </w:rPr>
        <w:t>,</w:t>
      </w:r>
      <w:r w:rsidRPr="00010E6E">
        <w:rPr>
          <w:sz w:val="24"/>
          <w:szCs w:val="24"/>
          <w:lang w:val="sq-AL"/>
        </w:rPr>
        <w:t xml:space="preserve"> </w:t>
      </w:r>
      <w:r w:rsidR="003A4B22">
        <w:rPr>
          <w:sz w:val="24"/>
          <w:szCs w:val="24"/>
          <w:lang w:val="sq-AL"/>
        </w:rPr>
        <w:t>q</w:t>
      </w:r>
      <w:r w:rsidRPr="00010E6E">
        <w:rPr>
          <w:sz w:val="24"/>
          <w:szCs w:val="24"/>
          <w:lang w:val="sq-AL"/>
        </w:rPr>
        <w:t>ë</w:t>
      </w:r>
      <w:r w:rsidR="003A4B22">
        <w:rPr>
          <w:sz w:val="24"/>
          <w:szCs w:val="24"/>
          <w:lang w:val="sq-AL"/>
        </w:rPr>
        <w:t xml:space="preserve"> </w:t>
      </w:r>
      <w:r w:rsidRPr="00010E6E">
        <w:rPr>
          <w:sz w:val="24"/>
          <w:szCs w:val="24"/>
          <w:lang w:val="sq-AL"/>
        </w:rPr>
        <w:t>ndrysh</w:t>
      </w:r>
      <w:r w:rsidR="003A4B22">
        <w:rPr>
          <w:sz w:val="24"/>
          <w:szCs w:val="24"/>
          <w:lang w:val="sq-AL"/>
        </w:rPr>
        <w:t>on D</w:t>
      </w:r>
      <w:r w:rsidRPr="00010E6E">
        <w:rPr>
          <w:sz w:val="24"/>
          <w:szCs w:val="24"/>
          <w:lang w:val="sq-AL"/>
        </w:rPr>
        <w:t>irektiv</w:t>
      </w:r>
      <w:r w:rsidR="003A4B22">
        <w:rPr>
          <w:sz w:val="24"/>
          <w:szCs w:val="24"/>
          <w:lang w:val="sq-AL"/>
        </w:rPr>
        <w:t>at</w:t>
      </w:r>
      <w:r w:rsidRPr="00010E6E">
        <w:rPr>
          <w:sz w:val="24"/>
          <w:szCs w:val="24"/>
          <w:lang w:val="sq-AL"/>
        </w:rPr>
        <w:t xml:space="preserve"> 2002/65/EC, 2009/110/EC dhe 2013/36/EU dhe rregulloren (EU) </w:t>
      </w:r>
      <w:r w:rsidR="00010E6E">
        <w:rPr>
          <w:sz w:val="24"/>
          <w:szCs w:val="24"/>
          <w:lang w:val="sq-AL"/>
        </w:rPr>
        <w:t>n</w:t>
      </w:r>
      <w:r w:rsidRPr="00010E6E">
        <w:rPr>
          <w:sz w:val="24"/>
          <w:szCs w:val="24"/>
          <w:lang w:val="sq-AL"/>
        </w:rPr>
        <w:t>r</w:t>
      </w:r>
      <w:r w:rsidR="00010E6E">
        <w:rPr>
          <w:sz w:val="24"/>
          <w:szCs w:val="24"/>
          <w:lang w:val="sq-AL"/>
        </w:rPr>
        <w:t>.</w:t>
      </w:r>
      <w:r w:rsidRPr="00010E6E">
        <w:rPr>
          <w:sz w:val="24"/>
          <w:szCs w:val="24"/>
          <w:lang w:val="sq-AL"/>
        </w:rPr>
        <w:t xml:space="preserve"> 1093/2010, </w:t>
      </w:r>
      <w:r w:rsidR="003A4B22">
        <w:rPr>
          <w:sz w:val="24"/>
          <w:szCs w:val="24"/>
          <w:lang w:val="sq-AL"/>
        </w:rPr>
        <w:t>dhe</w:t>
      </w:r>
      <w:r w:rsidRPr="00010E6E">
        <w:rPr>
          <w:sz w:val="24"/>
          <w:szCs w:val="24"/>
          <w:lang w:val="sq-AL"/>
        </w:rPr>
        <w:t xml:space="preserve"> </w:t>
      </w:r>
      <w:r w:rsidR="003A4B22" w:rsidRPr="00010E6E">
        <w:rPr>
          <w:sz w:val="24"/>
          <w:szCs w:val="24"/>
          <w:lang w:val="sq-AL"/>
        </w:rPr>
        <w:t>shfuqiz</w:t>
      </w:r>
      <w:r w:rsidR="003A4B22">
        <w:rPr>
          <w:sz w:val="24"/>
          <w:szCs w:val="24"/>
          <w:lang w:val="sq-AL"/>
        </w:rPr>
        <w:t>on</w:t>
      </w:r>
      <w:r w:rsidR="003A4B22" w:rsidRPr="00010E6E">
        <w:rPr>
          <w:sz w:val="24"/>
          <w:szCs w:val="24"/>
          <w:lang w:val="sq-AL"/>
        </w:rPr>
        <w:t xml:space="preserve"> </w:t>
      </w:r>
      <w:r w:rsidRPr="00010E6E">
        <w:rPr>
          <w:sz w:val="24"/>
          <w:szCs w:val="24"/>
          <w:lang w:val="sq-AL"/>
        </w:rPr>
        <w:t>Direktivën 2007/64/EC</w:t>
      </w:r>
      <w:r w:rsidR="00436D89" w:rsidRPr="00010E6E">
        <w:rPr>
          <w:sz w:val="24"/>
          <w:szCs w:val="24"/>
          <w:lang w:val="sq-AL"/>
        </w:rPr>
        <w:t>.</w:t>
      </w:r>
    </w:p>
    <w:p w14:paraId="52074DB2" w14:textId="77777777" w:rsidR="005F0299" w:rsidRPr="00010E6E" w:rsidRDefault="005F0299" w:rsidP="004B6D0E">
      <w:pPr>
        <w:pStyle w:val="FootnoteText"/>
        <w:tabs>
          <w:tab w:val="left" w:pos="0"/>
        </w:tabs>
        <w:jc w:val="both"/>
        <w:rPr>
          <w:sz w:val="24"/>
          <w:szCs w:val="24"/>
          <w:lang w:val="sq-AL"/>
        </w:rPr>
      </w:pPr>
    </w:p>
    <w:p w14:paraId="7F161990" w14:textId="77777777" w:rsidR="00283EA6" w:rsidRPr="00010E6E" w:rsidRDefault="00283EA6" w:rsidP="004E2752">
      <w:pPr>
        <w:pStyle w:val="Default"/>
        <w:numPr>
          <w:ilvl w:val="0"/>
          <w:numId w:val="19"/>
        </w:numPr>
        <w:spacing w:line="276" w:lineRule="auto"/>
        <w:jc w:val="both"/>
        <w:rPr>
          <w:rStyle w:val="Heading1Char"/>
          <w:rFonts w:ascii="Times New Roman" w:eastAsia="MS Mincho" w:hAnsi="Times New Roman"/>
          <w:b/>
          <w:color w:val="000000"/>
          <w:sz w:val="24"/>
          <w:szCs w:val="24"/>
          <w:lang w:val="sq-AL"/>
        </w:rPr>
      </w:pPr>
      <w:bookmarkStart w:id="5" w:name="_Toc511995009"/>
      <w:r w:rsidRPr="00010E6E">
        <w:rPr>
          <w:rStyle w:val="Heading1Char"/>
          <w:rFonts w:ascii="Times New Roman" w:eastAsia="MS Mincho" w:hAnsi="Times New Roman"/>
          <w:b/>
          <w:color w:val="000000"/>
          <w:sz w:val="24"/>
          <w:szCs w:val="24"/>
          <w:lang w:val="sq-AL"/>
        </w:rPr>
        <w:t>PËRMBLEDHJE SHPJEGUESE E PËRMBAJTJES SË PROJEKTLIGJIT</w:t>
      </w:r>
      <w:bookmarkEnd w:id="5"/>
      <w:r w:rsidRPr="00010E6E">
        <w:rPr>
          <w:rStyle w:val="Heading1Char"/>
          <w:rFonts w:ascii="Times New Roman" w:eastAsia="MS Mincho" w:hAnsi="Times New Roman"/>
          <w:b/>
          <w:color w:val="000000"/>
          <w:sz w:val="24"/>
          <w:szCs w:val="24"/>
          <w:lang w:val="sq-AL"/>
        </w:rPr>
        <w:t xml:space="preserve"> </w:t>
      </w:r>
    </w:p>
    <w:p w14:paraId="0DDFA3D3" w14:textId="77777777" w:rsidR="0002198C" w:rsidRPr="00010E6E" w:rsidRDefault="0002198C" w:rsidP="00D73AF9">
      <w:pPr>
        <w:jc w:val="both"/>
        <w:rPr>
          <w:b/>
          <w:lang w:val="sq-AL"/>
        </w:rPr>
      </w:pPr>
    </w:p>
    <w:p w14:paraId="579C8887" w14:textId="77777777" w:rsidR="00B05A2E" w:rsidRPr="00010E6E" w:rsidRDefault="00B05A2E" w:rsidP="00B05A2E">
      <w:pPr>
        <w:pStyle w:val="ListParagraph"/>
        <w:spacing w:after="0" w:line="240" w:lineRule="auto"/>
        <w:ind w:left="0"/>
        <w:contextualSpacing w:val="0"/>
        <w:rPr>
          <w:rFonts w:ascii="Times New Roman" w:hAnsi="Times New Roman"/>
          <w:sz w:val="24"/>
          <w:szCs w:val="24"/>
          <w:lang w:val="sq-AL"/>
        </w:rPr>
      </w:pPr>
    </w:p>
    <w:p w14:paraId="2B2E89B2" w14:textId="77777777" w:rsidR="0002198C" w:rsidRPr="00010E6E" w:rsidRDefault="0002198C" w:rsidP="007223AA">
      <w:pPr>
        <w:pStyle w:val="ListParagraph"/>
        <w:shd w:val="clear" w:color="auto" w:fill="D9D9D9"/>
        <w:spacing w:after="0" w:line="240" w:lineRule="auto"/>
        <w:ind w:left="0"/>
        <w:contextualSpacing w:val="0"/>
        <w:jc w:val="both"/>
        <w:rPr>
          <w:rFonts w:ascii="Times New Roman" w:hAnsi="Times New Roman"/>
          <w:color w:val="000000"/>
          <w:sz w:val="24"/>
          <w:szCs w:val="24"/>
          <w:lang w:val="sq-AL"/>
        </w:rPr>
      </w:pPr>
      <w:r w:rsidRPr="00010E6E">
        <w:rPr>
          <w:rFonts w:ascii="Times New Roman" w:hAnsi="Times New Roman"/>
          <w:b/>
          <w:sz w:val="24"/>
          <w:szCs w:val="24"/>
          <w:lang w:val="sq-AL"/>
        </w:rPr>
        <w:t>Titulli I</w:t>
      </w:r>
      <w:r w:rsidR="00FA1823" w:rsidRPr="00010E6E">
        <w:rPr>
          <w:rFonts w:ascii="Times New Roman" w:hAnsi="Times New Roman"/>
          <w:b/>
          <w:sz w:val="24"/>
          <w:szCs w:val="24"/>
          <w:lang w:val="sq-AL"/>
        </w:rPr>
        <w:t>:</w:t>
      </w:r>
      <w:r w:rsidRPr="00010E6E">
        <w:rPr>
          <w:rFonts w:ascii="Times New Roman" w:hAnsi="Times New Roman"/>
          <w:b/>
          <w:sz w:val="24"/>
          <w:szCs w:val="24"/>
          <w:lang w:val="sq-AL"/>
        </w:rPr>
        <w:t xml:space="preserve"> </w:t>
      </w:r>
      <w:r w:rsidRPr="00010E6E">
        <w:rPr>
          <w:rFonts w:ascii="Times New Roman" w:hAnsi="Times New Roman"/>
          <w:b/>
          <w:color w:val="000000"/>
          <w:sz w:val="24"/>
          <w:szCs w:val="24"/>
          <w:lang w:val="sq-AL"/>
        </w:rPr>
        <w:t xml:space="preserve">Dispozita të përgjithshme </w:t>
      </w:r>
    </w:p>
    <w:p w14:paraId="336545A9" w14:textId="77777777" w:rsidR="00C52D19" w:rsidRPr="00010E6E" w:rsidRDefault="00C52D19" w:rsidP="00C6342C">
      <w:pPr>
        <w:contextualSpacing/>
        <w:jc w:val="both"/>
        <w:rPr>
          <w:rFonts w:eastAsia="Times New Roman"/>
          <w:b/>
          <w:color w:val="000000"/>
          <w:lang w:val="sq-AL" w:eastAsia="sq-AL"/>
        </w:rPr>
      </w:pPr>
    </w:p>
    <w:p w14:paraId="4F2E2F9F" w14:textId="77777777" w:rsidR="00396A5A" w:rsidRPr="00010E6E" w:rsidRDefault="008C234C" w:rsidP="00C6342C">
      <w:pPr>
        <w:contextualSpacing/>
        <w:jc w:val="both"/>
        <w:rPr>
          <w:rFonts w:eastAsia="Times New Roman"/>
          <w:color w:val="000000"/>
          <w:lang w:val="sq-AL" w:eastAsia="sq-AL"/>
        </w:rPr>
      </w:pPr>
      <w:r w:rsidRPr="00010E6E">
        <w:rPr>
          <w:rFonts w:eastAsia="Times New Roman"/>
          <w:color w:val="000000"/>
          <w:lang w:val="sq-AL" w:eastAsia="sq-AL"/>
        </w:rPr>
        <w:t>Titulli</w:t>
      </w:r>
      <w:r w:rsidR="00396A5A" w:rsidRPr="00010E6E">
        <w:rPr>
          <w:rFonts w:eastAsia="Times New Roman"/>
          <w:color w:val="000000"/>
          <w:lang w:val="sq-AL" w:eastAsia="sq-AL"/>
        </w:rPr>
        <w:t xml:space="preserve"> </w:t>
      </w:r>
      <w:r w:rsidR="00C52D19" w:rsidRPr="00010E6E">
        <w:rPr>
          <w:rFonts w:eastAsia="Times New Roman"/>
          <w:color w:val="000000"/>
          <w:lang w:val="sq-AL" w:eastAsia="sq-AL"/>
        </w:rPr>
        <w:t xml:space="preserve">I </w:t>
      </w:r>
      <w:r w:rsidR="00396A5A" w:rsidRPr="00010E6E">
        <w:rPr>
          <w:rFonts w:eastAsia="Times New Roman"/>
          <w:color w:val="000000"/>
          <w:lang w:val="sq-AL" w:eastAsia="sq-AL"/>
        </w:rPr>
        <w:t xml:space="preserve">i </w:t>
      </w:r>
      <w:r w:rsidR="00C52D19" w:rsidRPr="00010E6E">
        <w:rPr>
          <w:rFonts w:eastAsia="Times New Roman"/>
          <w:color w:val="000000"/>
          <w:lang w:val="sq-AL" w:eastAsia="sq-AL"/>
        </w:rPr>
        <w:t xml:space="preserve">projektligjit </w:t>
      </w:r>
      <w:r w:rsidR="00396A5A" w:rsidRPr="00010E6E">
        <w:rPr>
          <w:rFonts w:eastAsia="Times New Roman"/>
          <w:color w:val="000000"/>
          <w:lang w:val="sq-AL" w:eastAsia="sq-AL"/>
        </w:rPr>
        <w:t>parashikon n</w:t>
      </w:r>
      <w:r w:rsidR="004B6D0E" w:rsidRPr="00010E6E">
        <w:rPr>
          <w:rFonts w:eastAsia="Times New Roman"/>
          <w:color w:val="000000"/>
          <w:lang w:val="sq-AL" w:eastAsia="sq-AL"/>
        </w:rPr>
        <w:t>ë</w:t>
      </w:r>
      <w:r w:rsidR="00C52D19" w:rsidRPr="00010E6E">
        <w:rPr>
          <w:rFonts w:eastAsia="Times New Roman"/>
          <w:color w:val="000000"/>
          <w:lang w:val="sq-AL" w:eastAsia="sq-AL"/>
        </w:rPr>
        <w:t xml:space="preserve"> nene të veçanta objekti</w:t>
      </w:r>
      <w:r w:rsidR="00396A5A" w:rsidRPr="00010E6E">
        <w:rPr>
          <w:rFonts w:eastAsia="Times New Roman"/>
          <w:color w:val="000000"/>
          <w:lang w:val="sq-AL" w:eastAsia="sq-AL"/>
        </w:rPr>
        <w:t>n</w:t>
      </w:r>
      <w:r w:rsidR="00C52D19" w:rsidRPr="00010E6E">
        <w:rPr>
          <w:rFonts w:eastAsia="Times New Roman"/>
          <w:color w:val="000000"/>
          <w:lang w:val="sq-AL" w:eastAsia="sq-AL"/>
        </w:rPr>
        <w:t>, qëllimi</w:t>
      </w:r>
      <w:r w:rsidR="00396A5A" w:rsidRPr="00010E6E">
        <w:rPr>
          <w:rFonts w:eastAsia="Times New Roman"/>
          <w:color w:val="000000"/>
          <w:lang w:val="sq-AL" w:eastAsia="sq-AL"/>
        </w:rPr>
        <w:t>n</w:t>
      </w:r>
      <w:r w:rsidR="00C52D19" w:rsidRPr="00010E6E">
        <w:rPr>
          <w:rFonts w:eastAsia="Times New Roman"/>
          <w:color w:val="000000"/>
          <w:lang w:val="sq-AL" w:eastAsia="sq-AL"/>
        </w:rPr>
        <w:t xml:space="preserve">, </w:t>
      </w:r>
      <w:r w:rsidR="00396A5A" w:rsidRPr="00010E6E">
        <w:rPr>
          <w:rFonts w:eastAsia="Times New Roman"/>
          <w:color w:val="000000"/>
          <w:lang w:val="sq-AL" w:eastAsia="sq-AL"/>
        </w:rPr>
        <w:t>subjektet, p</w:t>
      </w:r>
      <w:r w:rsidR="004B6D0E" w:rsidRPr="00010E6E">
        <w:rPr>
          <w:rFonts w:eastAsia="Times New Roman"/>
          <w:color w:val="000000"/>
          <w:lang w:val="sq-AL" w:eastAsia="sq-AL"/>
        </w:rPr>
        <w:t>ë</w:t>
      </w:r>
      <w:r w:rsidR="00396A5A" w:rsidRPr="00010E6E">
        <w:rPr>
          <w:rFonts w:eastAsia="Times New Roman"/>
          <w:color w:val="000000"/>
          <w:lang w:val="sq-AL" w:eastAsia="sq-AL"/>
        </w:rPr>
        <w:t>rjashtimet dhe p</w:t>
      </w:r>
      <w:r w:rsidR="004B6D0E" w:rsidRPr="00010E6E">
        <w:rPr>
          <w:rFonts w:eastAsia="Times New Roman"/>
          <w:color w:val="000000"/>
          <w:lang w:val="sq-AL" w:eastAsia="sq-AL"/>
        </w:rPr>
        <w:t>ë</w:t>
      </w:r>
      <w:r w:rsidR="00396A5A" w:rsidRPr="00010E6E">
        <w:rPr>
          <w:rFonts w:eastAsia="Times New Roman"/>
          <w:color w:val="000000"/>
          <w:lang w:val="sq-AL" w:eastAsia="sq-AL"/>
        </w:rPr>
        <w:t xml:space="preserve">rkufizimet. </w:t>
      </w:r>
    </w:p>
    <w:p w14:paraId="39E5CEB0" w14:textId="77777777" w:rsidR="00230D92" w:rsidRPr="00010E6E" w:rsidRDefault="00230D92" w:rsidP="00C6342C">
      <w:pPr>
        <w:contextualSpacing/>
        <w:jc w:val="both"/>
        <w:rPr>
          <w:rFonts w:eastAsia="Times New Roman"/>
          <w:color w:val="000000"/>
          <w:lang w:val="sq-AL" w:eastAsia="sq-AL"/>
        </w:rPr>
      </w:pPr>
    </w:p>
    <w:p w14:paraId="40370D4E" w14:textId="77777777" w:rsidR="00C52D19" w:rsidRPr="00010E6E" w:rsidRDefault="00C52D19" w:rsidP="00C6342C">
      <w:pPr>
        <w:contextualSpacing/>
        <w:jc w:val="both"/>
        <w:rPr>
          <w:rFonts w:eastAsia="Times New Roman"/>
          <w:color w:val="000000"/>
          <w:lang w:val="sq-AL" w:eastAsia="sq-AL"/>
        </w:rPr>
      </w:pPr>
      <w:r w:rsidRPr="00010E6E">
        <w:rPr>
          <w:rFonts w:eastAsia="Times New Roman"/>
          <w:color w:val="000000"/>
          <w:lang w:val="sq-AL" w:eastAsia="sq-AL"/>
        </w:rPr>
        <w:t>Objekti i projektligjit (neni 1) është përcaktimi i kushteve dhe rregullave për:</w:t>
      </w:r>
    </w:p>
    <w:p w14:paraId="1B063B3C" w14:textId="77777777" w:rsidR="00C52D19" w:rsidRPr="00010E6E" w:rsidRDefault="00C52D19" w:rsidP="00C6342C">
      <w:pPr>
        <w:numPr>
          <w:ilvl w:val="0"/>
          <w:numId w:val="5"/>
        </w:numPr>
        <w:contextualSpacing/>
        <w:jc w:val="both"/>
        <w:rPr>
          <w:rFonts w:eastAsia="Times New Roman"/>
          <w:color w:val="000000"/>
          <w:lang w:val="sq-AL" w:eastAsia="sq-AL"/>
        </w:rPr>
      </w:pPr>
      <w:r w:rsidRPr="00010E6E">
        <w:rPr>
          <w:rFonts w:eastAsia="Times New Roman"/>
          <w:color w:val="000000"/>
          <w:lang w:val="sq-AL" w:eastAsia="sq-AL"/>
        </w:rPr>
        <w:t xml:space="preserve">krijimin, licencimin, organizimin, veprimtarinë dhe mbikëqyrjen e institucioneve të pagesave; </w:t>
      </w:r>
    </w:p>
    <w:p w14:paraId="591B34BA" w14:textId="77777777" w:rsidR="00C52D19" w:rsidRPr="00010E6E" w:rsidRDefault="00C52D19" w:rsidP="00C6342C">
      <w:pPr>
        <w:numPr>
          <w:ilvl w:val="0"/>
          <w:numId w:val="5"/>
        </w:numPr>
        <w:contextualSpacing/>
        <w:jc w:val="both"/>
        <w:rPr>
          <w:rFonts w:eastAsia="Times New Roman"/>
          <w:color w:val="000000"/>
          <w:lang w:val="sq-AL" w:eastAsia="sq-AL"/>
        </w:rPr>
      </w:pPr>
      <w:r w:rsidRPr="00010E6E">
        <w:rPr>
          <w:rFonts w:eastAsia="Times New Roman"/>
          <w:color w:val="000000"/>
          <w:lang w:val="sq-AL" w:eastAsia="sq-AL"/>
        </w:rPr>
        <w:t xml:space="preserve">transparencën e kushteve dhe kërkesat për informim mbi shërbimet e pagesave; </w:t>
      </w:r>
    </w:p>
    <w:p w14:paraId="03C2ABCD" w14:textId="77777777" w:rsidR="00C52D19" w:rsidRPr="00010E6E" w:rsidRDefault="00C52D19" w:rsidP="00C6342C">
      <w:pPr>
        <w:numPr>
          <w:ilvl w:val="0"/>
          <w:numId w:val="5"/>
        </w:numPr>
        <w:contextualSpacing/>
        <w:jc w:val="both"/>
        <w:rPr>
          <w:rFonts w:eastAsia="Times New Roman"/>
          <w:color w:val="000000"/>
          <w:lang w:val="sq-AL" w:eastAsia="sq-AL"/>
        </w:rPr>
      </w:pPr>
      <w:r w:rsidRPr="00010E6E">
        <w:rPr>
          <w:rFonts w:eastAsia="Times New Roman"/>
          <w:color w:val="000000"/>
          <w:lang w:val="sq-AL" w:eastAsia="sq-AL"/>
        </w:rPr>
        <w:t>të drejtat dhe detyrimet përkatëse të përdoruesve dhe të ofruesve të shërbimeve të pagesave në lidhje me ofrimin e shërbimeve të pagesave.</w:t>
      </w:r>
    </w:p>
    <w:p w14:paraId="5E457DFC" w14:textId="77777777" w:rsidR="00C52D19" w:rsidRPr="00010E6E" w:rsidRDefault="00C52D19" w:rsidP="00C6342C">
      <w:pPr>
        <w:ind w:left="720"/>
        <w:contextualSpacing/>
        <w:jc w:val="both"/>
        <w:rPr>
          <w:rFonts w:eastAsia="Times New Roman"/>
          <w:color w:val="000000"/>
          <w:lang w:val="sq-AL" w:eastAsia="sq-AL"/>
        </w:rPr>
      </w:pPr>
    </w:p>
    <w:p w14:paraId="544B1653" w14:textId="1C16CC71" w:rsidR="00010E6E" w:rsidRDefault="00C52D19" w:rsidP="00C6342C">
      <w:pPr>
        <w:contextualSpacing/>
        <w:jc w:val="both"/>
        <w:rPr>
          <w:rFonts w:eastAsia="Times New Roman"/>
          <w:color w:val="000000"/>
          <w:lang w:val="sq-AL" w:eastAsia="sq-AL"/>
        </w:rPr>
      </w:pPr>
      <w:r w:rsidRPr="00010E6E">
        <w:rPr>
          <w:rFonts w:eastAsia="Times New Roman"/>
          <w:color w:val="000000"/>
          <w:lang w:val="sq-AL" w:eastAsia="sq-AL"/>
        </w:rPr>
        <w:t>Bazuar në këtë projektligj</w:t>
      </w:r>
      <w:r w:rsidR="00230D92" w:rsidRPr="00010E6E">
        <w:rPr>
          <w:rFonts w:eastAsia="Times New Roman"/>
          <w:color w:val="000000"/>
          <w:lang w:val="sq-AL" w:eastAsia="sq-AL"/>
        </w:rPr>
        <w:t>,</w:t>
      </w:r>
      <w:r w:rsidRPr="00010E6E">
        <w:rPr>
          <w:rFonts w:eastAsia="Times New Roman"/>
          <w:color w:val="000000"/>
          <w:lang w:val="sq-AL" w:eastAsia="sq-AL"/>
        </w:rPr>
        <w:t xml:space="preserve"> do të trajtohen nëpërmjet krijimit, licencimit</w:t>
      </w:r>
      <w:r w:rsidR="00010E6E">
        <w:rPr>
          <w:rFonts w:eastAsia="Times New Roman"/>
          <w:color w:val="000000"/>
          <w:lang w:val="sq-AL" w:eastAsia="sq-AL"/>
        </w:rPr>
        <w:t>,</w:t>
      </w:r>
      <w:r w:rsidRPr="00010E6E">
        <w:rPr>
          <w:rFonts w:eastAsia="Times New Roman"/>
          <w:color w:val="000000"/>
          <w:lang w:val="sq-AL" w:eastAsia="sq-AL"/>
        </w:rPr>
        <w:t xml:space="preserve"> organizimit dhe mbikëqyrjes, institucionet e pagesave</w:t>
      </w:r>
      <w:r w:rsidR="00010E6E">
        <w:rPr>
          <w:rFonts w:eastAsia="Times New Roman"/>
          <w:color w:val="000000"/>
          <w:lang w:val="sq-AL" w:eastAsia="sq-AL"/>
        </w:rPr>
        <w:t>,</w:t>
      </w:r>
      <w:r w:rsidRPr="00010E6E">
        <w:rPr>
          <w:rFonts w:eastAsia="Times New Roman"/>
          <w:color w:val="000000"/>
          <w:lang w:val="sq-AL" w:eastAsia="sq-AL"/>
        </w:rPr>
        <w:t xml:space="preserve"> të cilat do të</w:t>
      </w:r>
      <w:r w:rsidRPr="00010E6E">
        <w:rPr>
          <w:rFonts w:eastAsia="Calibri"/>
          <w:lang w:val="sq-AL"/>
        </w:rPr>
        <w:t xml:space="preserve"> ofrojnë dhe kryejnë shërbime pagesash</w:t>
      </w:r>
      <w:r w:rsidR="006343C1" w:rsidRPr="00010E6E">
        <w:rPr>
          <w:rFonts w:eastAsia="Calibri"/>
          <w:lang w:val="sq-AL"/>
        </w:rPr>
        <w:t xml:space="preserve"> sipas listimit konkret q</w:t>
      </w:r>
      <w:r w:rsidR="00051273" w:rsidRPr="00010E6E">
        <w:rPr>
          <w:rFonts w:eastAsia="Calibri"/>
          <w:lang w:val="sq-AL"/>
        </w:rPr>
        <w:t>ë</w:t>
      </w:r>
      <w:r w:rsidR="006343C1" w:rsidRPr="00010E6E">
        <w:rPr>
          <w:rFonts w:eastAsia="Calibri"/>
          <w:lang w:val="sq-AL"/>
        </w:rPr>
        <w:t xml:space="preserve"> b</w:t>
      </w:r>
      <w:r w:rsidR="00051273" w:rsidRPr="00010E6E">
        <w:rPr>
          <w:rFonts w:eastAsia="Calibri"/>
          <w:lang w:val="sq-AL"/>
        </w:rPr>
        <w:t>ë</w:t>
      </w:r>
      <w:r w:rsidR="006343C1" w:rsidRPr="00010E6E">
        <w:rPr>
          <w:rFonts w:eastAsia="Calibri"/>
          <w:lang w:val="sq-AL"/>
        </w:rPr>
        <w:t>het n</w:t>
      </w:r>
      <w:r w:rsidR="00051273" w:rsidRPr="00010E6E">
        <w:rPr>
          <w:rFonts w:eastAsia="Calibri"/>
          <w:lang w:val="sq-AL"/>
        </w:rPr>
        <w:t>ë</w:t>
      </w:r>
      <w:r w:rsidR="006343C1" w:rsidRPr="00010E6E">
        <w:rPr>
          <w:rFonts w:eastAsia="Calibri"/>
          <w:lang w:val="sq-AL"/>
        </w:rPr>
        <w:t xml:space="preserve"> Aneksin 1, bashk</w:t>
      </w:r>
      <w:r w:rsidR="00051273" w:rsidRPr="00010E6E">
        <w:rPr>
          <w:rFonts w:eastAsia="Calibri"/>
          <w:lang w:val="sq-AL"/>
        </w:rPr>
        <w:t>ë</w:t>
      </w:r>
      <w:r w:rsidR="006343C1" w:rsidRPr="00010E6E">
        <w:rPr>
          <w:rFonts w:eastAsia="Calibri"/>
          <w:lang w:val="sq-AL"/>
        </w:rPr>
        <w:t>lidhur projektligjit dhe q</w:t>
      </w:r>
      <w:r w:rsidR="00051273" w:rsidRPr="00010E6E">
        <w:rPr>
          <w:rFonts w:eastAsia="Calibri"/>
          <w:lang w:val="sq-AL"/>
        </w:rPr>
        <w:t>ë</w:t>
      </w:r>
      <w:r w:rsidR="006343C1" w:rsidRPr="00010E6E">
        <w:rPr>
          <w:rFonts w:eastAsia="Calibri"/>
          <w:lang w:val="sq-AL"/>
        </w:rPr>
        <w:t xml:space="preserve"> kryhen n</w:t>
      </w:r>
      <w:r w:rsidR="00051273" w:rsidRPr="00010E6E">
        <w:rPr>
          <w:rFonts w:eastAsia="Calibri"/>
          <w:lang w:val="sq-AL"/>
        </w:rPr>
        <w:t>ë</w:t>
      </w:r>
      <w:r w:rsidR="006343C1" w:rsidRPr="00010E6E">
        <w:rPr>
          <w:rFonts w:eastAsia="Calibri"/>
          <w:lang w:val="sq-AL"/>
        </w:rPr>
        <w:t xml:space="preserve"> territorin e Republik</w:t>
      </w:r>
      <w:r w:rsidR="00051273" w:rsidRPr="00010E6E">
        <w:rPr>
          <w:rFonts w:eastAsia="Calibri"/>
          <w:lang w:val="sq-AL"/>
        </w:rPr>
        <w:t>ë</w:t>
      </w:r>
      <w:r w:rsidR="006343C1" w:rsidRPr="00010E6E">
        <w:rPr>
          <w:rFonts w:eastAsia="Calibri"/>
          <w:lang w:val="sq-AL"/>
        </w:rPr>
        <w:t>s s</w:t>
      </w:r>
      <w:r w:rsidR="00051273" w:rsidRPr="00010E6E">
        <w:rPr>
          <w:rFonts w:eastAsia="Calibri"/>
          <w:lang w:val="sq-AL"/>
        </w:rPr>
        <w:t>ë</w:t>
      </w:r>
      <w:r w:rsidR="006343C1" w:rsidRPr="00010E6E">
        <w:rPr>
          <w:rFonts w:eastAsia="Calibri"/>
          <w:lang w:val="sq-AL"/>
        </w:rPr>
        <w:t xml:space="preserve"> Shqip</w:t>
      </w:r>
      <w:r w:rsidR="00051273" w:rsidRPr="00010E6E">
        <w:rPr>
          <w:rFonts w:eastAsia="Calibri"/>
          <w:lang w:val="sq-AL"/>
        </w:rPr>
        <w:t>ë</w:t>
      </w:r>
      <w:r w:rsidR="006343C1" w:rsidRPr="00010E6E">
        <w:rPr>
          <w:rFonts w:eastAsia="Calibri"/>
          <w:lang w:val="sq-AL"/>
        </w:rPr>
        <w:t>ris</w:t>
      </w:r>
      <w:r w:rsidR="00051273" w:rsidRPr="00010E6E">
        <w:rPr>
          <w:rFonts w:eastAsia="Calibri"/>
          <w:lang w:val="sq-AL"/>
        </w:rPr>
        <w:t>ë</w:t>
      </w:r>
      <w:r w:rsidRPr="00010E6E">
        <w:rPr>
          <w:rFonts w:eastAsia="Times New Roman"/>
          <w:color w:val="000000"/>
          <w:lang w:val="sq-AL" w:eastAsia="sq-AL"/>
        </w:rPr>
        <w:t>.</w:t>
      </w:r>
    </w:p>
    <w:p w14:paraId="2AFF1453" w14:textId="5053B269" w:rsidR="00C52D19" w:rsidRPr="00010E6E" w:rsidRDefault="00C52D19" w:rsidP="00C6342C">
      <w:pPr>
        <w:contextualSpacing/>
        <w:jc w:val="both"/>
        <w:rPr>
          <w:rFonts w:eastAsia="Times New Roman"/>
          <w:color w:val="000000"/>
          <w:lang w:val="sq-AL" w:eastAsia="sq-AL"/>
        </w:rPr>
      </w:pPr>
    </w:p>
    <w:p w14:paraId="16BB7D96" w14:textId="3A9F7645" w:rsidR="003422BF" w:rsidRPr="00010E6E" w:rsidRDefault="003422BF" w:rsidP="003422BF">
      <w:pPr>
        <w:contextualSpacing/>
        <w:jc w:val="both"/>
        <w:rPr>
          <w:rFonts w:eastAsia="Times New Roman"/>
          <w:lang w:val="sq-AL" w:eastAsia="sq-AL"/>
        </w:rPr>
      </w:pPr>
      <w:r w:rsidRPr="00010E6E">
        <w:rPr>
          <w:rFonts w:eastAsia="Times New Roman"/>
          <w:color w:val="000000"/>
          <w:lang w:val="sq-AL" w:eastAsia="sq-AL"/>
        </w:rPr>
        <w:t xml:space="preserve">Krijimi i këtyre institucioneve përbën një risi në tregun financiar shqiptar. </w:t>
      </w:r>
      <w:r w:rsidR="0072315F">
        <w:rPr>
          <w:rFonts w:eastAsia="Times New Roman"/>
          <w:color w:val="000000"/>
          <w:lang w:val="sq-AL" w:eastAsia="sq-AL"/>
        </w:rPr>
        <w:t>A</w:t>
      </w:r>
      <w:r w:rsidRPr="00010E6E">
        <w:rPr>
          <w:rFonts w:eastAsia="Times New Roman"/>
          <w:color w:val="000000"/>
          <w:lang w:val="sq-AL" w:eastAsia="sq-AL"/>
        </w:rPr>
        <w:t>ktualisht</w:t>
      </w:r>
      <w:r w:rsidR="0072315F">
        <w:rPr>
          <w:rFonts w:eastAsia="Times New Roman"/>
          <w:color w:val="000000"/>
          <w:lang w:val="sq-AL" w:eastAsia="sq-AL"/>
        </w:rPr>
        <w:t>,</w:t>
      </w:r>
      <w:r w:rsidRPr="00010E6E">
        <w:rPr>
          <w:rFonts w:eastAsia="Times New Roman"/>
          <w:color w:val="000000"/>
          <w:lang w:val="sq-AL" w:eastAsia="sq-AL"/>
        </w:rPr>
        <w:t xml:space="preserve"> veprimtaria e shërbimeve të pagesave dhe të transferimit të parave ofrohet nga bankat në </w:t>
      </w:r>
      <w:r w:rsidRPr="00010E6E">
        <w:rPr>
          <w:rFonts w:eastAsia="Times New Roman"/>
          <w:color w:val="000000"/>
          <w:lang w:val="sq-AL" w:eastAsia="sq-AL"/>
        </w:rPr>
        <w:lastRenderedPageBreak/>
        <w:t xml:space="preserve">zbatim të dispozitave të </w:t>
      </w:r>
      <w:r w:rsidR="006343C1" w:rsidRPr="00010E6E">
        <w:rPr>
          <w:rFonts w:eastAsia="Times New Roman"/>
          <w:color w:val="000000"/>
          <w:lang w:val="sq-AL" w:eastAsia="sq-AL"/>
        </w:rPr>
        <w:t>L</w:t>
      </w:r>
      <w:r w:rsidRPr="00010E6E">
        <w:rPr>
          <w:rFonts w:eastAsia="Times New Roman"/>
          <w:color w:val="000000"/>
          <w:lang w:val="sq-AL" w:eastAsia="sq-AL"/>
        </w:rPr>
        <w:t>igjit për bankat dhe nga subjektet financiare jobanka dhe institucionet e parasë elektronike</w:t>
      </w:r>
      <w:r w:rsidR="00010E6E">
        <w:rPr>
          <w:rFonts w:eastAsia="Times New Roman"/>
          <w:color w:val="000000"/>
          <w:lang w:val="sq-AL" w:eastAsia="sq-AL"/>
        </w:rPr>
        <w:t>,</w:t>
      </w:r>
      <w:r w:rsidRPr="00010E6E">
        <w:rPr>
          <w:rFonts w:eastAsia="Times New Roman"/>
          <w:color w:val="000000"/>
          <w:lang w:val="sq-AL" w:eastAsia="sq-AL"/>
        </w:rPr>
        <w:t xml:space="preserve"> të cilat janë licencuar për të kryer veprimtarinë e shërbimeve të pagesave dhe të transferimit të parave. Në bazë të kuadrit ligjor dhe rregullativ në fuqi për shoqëritë e </w:t>
      </w:r>
      <w:r w:rsidR="0072315F" w:rsidRPr="00010E6E">
        <w:rPr>
          <w:rFonts w:eastAsia="Times New Roman"/>
          <w:color w:val="000000"/>
          <w:lang w:val="sq-AL" w:eastAsia="sq-AL"/>
        </w:rPr>
        <w:t>kursim</w:t>
      </w:r>
      <w:r w:rsidR="0072315F">
        <w:rPr>
          <w:rFonts w:eastAsia="Times New Roman"/>
          <w:color w:val="000000"/>
          <w:lang w:val="sq-AL" w:eastAsia="sq-AL"/>
        </w:rPr>
        <w:t>-</w:t>
      </w:r>
      <w:r w:rsidRPr="00010E6E">
        <w:rPr>
          <w:rFonts w:eastAsia="Times New Roman"/>
          <w:color w:val="000000"/>
          <w:lang w:val="sq-AL" w:eastAsia="sq-AL"/>
        </w:rPr>
        <w:t>kreditit dhe unionet e tyre, veprimtarinë e shërbimit të pages</w:t>
      </w:r>
      <w:r w:rsidR="003A3F0D" w:rsidRPr="00010E6E">
        <w:rPr>
          <w:rFonts w:eastAsia="Times New Roman"/>
          <w:color w:val="000000"/>
          <w:lang w:val="sq-AL" w:eastAsia="sq-AL"/>
        </w:rPr>
        <w:t>a</w:t>
      </w:r>
      <w:r w:rsidRPr="00010E6E">
        <w:rPr>
          <w:rFonts w:eastAsia="Times New Roman"/>
          <w:color w:val="000000"/>
          <w:lang w:val="sq-AL" w:eastAsia="sq-AL"/>
        </w:rPr>
        <w:t xml:space="preserve">ve dhe të transferimit të parave mund ta ushtrojnë </w:t>
      </w:r>
      <w:r w:rsidRPr="0072315F">
        <w:rPr>
          <w:rFonts w:eastAsia="Times New Roman"/>
          <w:color w:val="000000"/>
          <w:lang w:val="sq-AL" w:eastAsia="sq-AL"/>
        </w:rPr>
        <w:t>edhe</w:t>
      </w:r>
      <w:r w:rsidRPr="00010E6E">
        <w:rPr>
          <w:rFonts w:eastAsia="Times New Roman"/>
          <w:color w:val="000000"/>
          <w:lang w:val="sq-AL" w:eastAsia="sq-AL"/>
        </w:rPr>
        <w:t xml:space="preserve"> shoqëritë e </w:t>
      </w:r>
      <w:r w:rsidR="0072315F" w:rsidRPr="00010E6E">
        <w:rPr>
          <w:rFonts w:eastAsia="Times New Roman"/>
          <w:color w:val="000000"/>
          <w:lang w:val="sq-AL" w:eastAsia="sq-AL"/>
        </w:rPr>
        <w:t>kursim</w:t>
      </w:r>
      <w:r w:rsidR="0072315F">
        <w:rPr>
          <w:rFonts w:eastAsia="Times New Roman"/>
          <w:color w:val="000000"/>
          <w:lang w:val="sq-AL" w:eastAsia="sq-AL"/>
        </w:rPr>
        <w:t>-</w:t>
      </w:r>
      <w:r w:rsidRPr="00010E6E">
        <w:rPr>
          <w:rFonts w:eastAsia="Times New Roman"/>
          <w:color w:val="000000"/>
          <w:lang w:val="sq-AL" w:eastAsia="sq-AL"/>
        </w:rPr>
        <w:t xml:space="preserve">kreditit. Bankat ushtrojnë edhe veprimtarinë e emetimit </w:t>
      </w:r>
      <w:r w:rsidRPr="00010E6E">
        <w:rPr>
          <w:lang w:val="sq-AL"/>
        </w:rPr>
        <w:t>dhe të administrimit të instrumenteve të pagesës (të tilla si</w:t>
      </w:r>
      <w:r w:rsidR="00BB527C">
        <w:rPr>
          <w:lang w:val="sq-AL"/>
        </w:rPr>
        <w:t>:</w:t>
      </w:r>
      <w:r w:rsidRPr="00010E6E">
        <w:rPr>
          <w:lang w:val="sq-AL"/>
        </w:rPr>
        <w:t xml:space="preserve"> kartat e kreditit dhe të debitit, çeqet e udhëtarit dhe çeqet bankare, kartat e pagesës dhe pagesat me celular etj.</w:t>
      </w:r>
      <w:r w:rsidR="0072315F" w:rsidRPr="00010E6E">
        <w:rPr>
          <w:lang w:val="sq-AL"/>
        </w:rPr>
        <w:t>)</w:t>
      </w:r>
      <w:r w:rsidRPr="00010E6E">
        <w:rPr>
          <w:lang w:val="sq-AL"/>
        </w:rPr>
        <w:t xml:space="preserve">, përfshirë emetimin e parasë elektronike (neni 54, pika 2, shkronja “f” e </w:t>
      </w:r>
      <w:r w:rsidR="006343C1" w:rsidRPr="00010E6E">
        <w:rPr>
          <w:lang w:val="sq-AL"/>
        </w:rPr>
        <w:t>L</w:t>
      </w:r>
      <w:r w:rsidRPr="00010E6E">
        <w:rPr>
          <w:lang w:val="sq-AL"/>
        </w:rPr>
        <w:t>igjit për bankat).</w:t>
      </w:r>
    </w:p>
    <w:p w14:paraId="31CD9745" w14:textId="77777777" w:rsidR="003422BF" w:rsidRPr="00010E6E" w:rsidRDefault="003422BF" w:rsidP="003422BF">
      <w:pPr>
        <w:contextualSpacing/>
        <w:jc w:val="both"/>
        <w:rPr>
          <w:rFonts w:eastAsia="Times New Roman"/>
          <w:color w:val="000000"/>
          <w:lang w:val="sq-AL" w:eastAsia="sq-AL"/>
        </w:rPr>
      </w:pPr>
    </w:p>
    <w:p w14:paraId="3730F940" w14:textId="69A4C129" w:rsidR="003422BF" w:rsidRPr="00010E6E" w:rsidRDefault="003422BF" w:rsidP="003422BF">
      <w:pPr>
        <w:contextualSpacing/>
        <w:jc w:val="both"/>
        <w:rPr>
          <w:rFonts w:eastAsia="Times New Roman"/>
          <w:color w:val="000000"/>
          <w:lang w:val="sq-AL" w:eastAsia="sq-AL"/>
        </w:rPr>
      </w:pPr>
      <w:r w:rsidRPr="00010E6E">
        <w:rPr>
          <w:rFonts w:eastAsia="Times New Roman"/>
          <w:color w:val="000000"/>
          <w:lang w:val="sq-AL" w:eastAsia="sq-AL"/>
        </w:rPr>
        <w:t>Subjekte të zbatimit të këtij projektligji (neni 3) do të jenë bankat, institucionet e parasë elektronike, institucionet e pagesave</w:t>
      </w:r>
      <w:r w:rsidR="006343C1" w:rsidRPr="00010E6E">
        <w:rPr>
          <w:rFonts w:eastAsia="Times New Roman"/>
          <w:color w:val="000000"/>
          <w:lang w:val="sq-AL" w:eastAsia="sq-AL"/>
        </w:rPr>
        <w:t>,</w:t>
      </w:r>
      <w:r w:rsidRPr="00010E6E">
        <w:rPr>
          <w:rFonts w:eastAsia="Times New Roman"/>
          <w:color w:val="000000"/>
          <w:lang w:val="sq-AL" w:eastAsia="sq-AL"/>
        </w:rPr>
        <w:t xml:space="preserve"> si edhe Banka e Shqipërisë </w:t>
      </w:r>
      <w:r w:rsidR="006343C1" w:rsidRPr="00010E6E">
        <w:rPr>
          <w:rFonts w:eastAsia="Times New Roman"/>
          <w:color w:val="000000"/>
          <w:lang w:val="sq-AL" w:eastAsia="sq-AL"/>
        </w:rPr>
        <w:t>dhe autoritetet qendrore ose vendore</w:t>
      </w:r>
      <w:r w:rsidR="0072315F">
        <w:rPr>
          <w:rFonts w:eastAsia="Times New Roman"/>
          <w:color w:val="000000"/>
          <w:lang w:val="sq-AL" w:eastAsia="sq-AL"/>
        </w:rPr>
        <w:t>,</w:t>
      </w:r>
      <w:r w:rsidR="006343C1" w:rsidRPr="00010E6E">
        <w:rPr>
          <w:rFonts w:eastAsia="Times New Roman"/>
          <w:color w:val="000000"/>
          <w:lang w:val="sq-AL" w:eastAsia="sq-AL"/>
        </w:rPr>
        <w:t xml:space="preserve"> </w:t>
      </w:r>
      <w:r w:rsidRPr="00010E6E">
        <w:rPr>
          <w:rFonts w:eastAsia="Times New Roman"/>
          <w:color w:val="000000"/>
          <w:lang w:val="sq-AL" w:eastAsia="sq-AL"/>
        </w:rPr>
        <w:t>kur nuk vepro</w:t>
      </w:r>
      <w:r w:rsidR="006343C1" w:rsidRPr="00010E6E">
        <w:rPr>
          <w:rFonts w:eastAsia="Times New Roman"/>
          <w:color w:val="000000"/>
          <w:lang w:val="sq-AL" w:eastAsia="sq-AL"/>
        </w:rPr>
        <w:t>j</w:t>
      </w:r>
      <w:r w:rsidRPr="00010E6E">
        <w:rPr>
          <w:rFonts w:eastAsia="Times New Roman"/>
          <w:color w:val="000000"/>
          <w:lang w:val="sq-AL" w:eastAsia="sq-AL"/>
        </w:rPr>
        <w:t>n</w:t>
      </w:r>
      <w:r w:rsidR="006343C1" w:rsidRPr="00010E6E">
        <w:rPr>
          <w:rFonts w:eastAsia="Times New Roman"/>
          <w:color w:val="000000"/>
          <w:lang w:val="sq-AL" w:eastAsia="sq-AL"/>
        </w:rPr>
        <w:t>ë përkatësisht</w:t>
      </w:r>
      <w:r w:rsidRPr="00010E6E">
        <w:rPr>
          <w:rFonts w:eastAsia="Times New Roman"/>
          <w:color w:val="000000"/>
          <w:lang w:val="sq-AL" w:eastAsia="sq-AL"/>
        </w:rPr>
        <w:t xml:space="preserve"> në cilësinë e autoritetit monetar</w:t>
      </w:r>
      <w:r w:rsidR="006343C1" w:rsidRPr="00010E6E">
        <w:rPr>
          <w:rFonts w:eastAsia="Times New Roman"/>
          <w:color w:val="000000"/>
          <w:lang w:val="sq-AL" w:eastAsia="sq-AL"/>
        </w:rPr>
        <w:t xml:space="preserve"> dhe në cilësinë e autoritetit publik dhe ofrojnë shërbime pagesash</w:t>
      </w:r>
      <w:r w:rsidRPr="00010E6E">
        <w:rPr>
          <w:rFonts w:eastAsia="Times New Roman"/>
          <w:color w:val="000000"/>
          <w:lang w:val="sq-AL" w:eastAsia="sq-AL"/>
        </w:rPr>
        <w:t xml:space="preserve">. Në projektligj është </w:t>
      </w:r>
      <w:r w:rsidR="006343C1" w:rsidRPr="00010E6E">
        <w:rPr>
          <w:rFonts w:eastAsia="Times New Roman"/>
          <w:color w:val="000000"/>
          <w:lang w:val="sq-AL" w:eastAsia="sq-AL"/>
        </w:rPr>
        <w:t xml:space="preserve">parashikuar </w:t>
      </w:r>
      <w:r w:rsidRPr="00010E6E">
        <w:rPr>
          <w:rFonts w:eastAsia="Times New Roman"/>
          <w:color w:val="000000"/>
          <w:lang w:val="sq-AL" w:eastAsia="sq-AL"/>
        </w:rPr>
        <w:t>që shoqëritë e kursim</w:t>
      </w:r>
      <w:r w:rsidR="0072315F">
        <w:rPr>
          <w:rFonts w:eastAsia="Times New Roman"/>
          <w:color w:val="000000"/>
          <w:lang w:val="sq-AL" w:eastAsia="sq-AL"/>
        </w:rPr>
        <w:t>-</w:t>
      </w:r>
      <w:r w:rsidRPr="00010E6E">
        <w:rPr>
          <w:rFonts w:eastAsia="Times New Roman"/>
          <w:color w:val="000000"/>
          <w:lang w:val="sq-AL" w:eastAsia="sq-AL"/>
        </w:rPr>
        <w:t>kreditit</w:t>
      </w:r>
      <w:r w:rsidR="006343C1" w:rsidRPr="00010E6E">
        <w:rPr>
          <w:rFonts w:eastAsia="Times New Roman"/>
          <w:color w:val="000000"/>
          <w:lang w:val="sq-AL" w:eastAsia="sq-AL"/>
        </w:rPr>
        <w:t xml:space="preserve"> dhe subjektet financiare jobanka</w:t>
      </w:r>
      <w:r w:rsidRPr="00010E6E">
        <w:rPr>
          <w:rFonts w:eastAsia="Times New Roman"/>
          <w:color w:val="000000"/>
          <w:lang w:val="sq-AL" w:eastAsia="sq-AL"/>
        </w:rPr>
        <w:t>, të cilat kërkojnë të ushtrojnë edhe veprimtaritë e pagesave, të trajtohen si institucione të pagesave dhe të pajisen me licencë të veçantë.</w:t>
      </w:r>
    </w:p>
    <w:p w14:paraId="6CD6D527" w14:textId="77777777" w:rsidR="00C52D19" w:rsidRPr="00010E6E" w:rsidRDefault="00C52D19" w:rsidP="00C6342C">
      <w:pPr>
        <w:contextualSpacing/>
        <w:jc w:val="both"/>
        <w:rPr>
          <w:rFonts w:eastAsia="Times New Roman"/>
          <w:color w:val="000000"/>
          <w:lang w:val="sq-AL" w:eastAsia="sq-AL"/>
        </w:rPr>
      </w:pPr>
    </w:p>
    <w:p w14:paraId="08BC2F42" w14:textId="77777777" w:rsidR="00C52D19" w:rsidRPr="00010E6E" w:rsidRDefault="00C52D19" w:rsidP="00C6342C">
      <w:pPr>
        <w:contextualSpacing/>
        <w:jc w:val="both"/>
        <w:rPr>
          <w:rFonts w:eastAsia="Times New Roman"/>
          <w:color w:val="000000"/>
          <w:lang w:val="sq-AL" w:eastAsia="sq-AL"/>
        </w:rPr>
      </w:pPr>
      <w:r w:rsidRPr="00010E6E">
        <w:rPr>
          <w:rFonts w:eastAsia="Times New Roman"/>
          <w:color w:val="000000"/>
          <w:lang w:val="sq-AL" w:eastAsia="sq-AL"/>
        </w:rPr>
        <w:t>Në anën tjetër, në projektligj janë përcaktuar një numër i konsiderueshëm rastesh të ndryshme për të cilat nuk zbatohen dispozitat e projektligjit, duke i përjashtuar (neni 4) ato nga fusha e zbatimit të tij, si për shembull:</w:t>
      </w:r>
    </w:p>
    <w:p w14:paraId="366DB4A5" w14:textId="77777777" w:rsidR="00C52D19" w:rsidRPr="00010E6E" w:rsidRDefault="00C52D19" w:rsidP="00C6342C">
      <w:pPr>
        <w:contextualSpacing/>
        <w:jc w:val="both"/>
        <w:rPr>
          <w:rFonts w:eastAsia="Times New Roman"/>
          <w:color w:val="000000"/>
          <w:lang w:val="sq-AL" w:eastAsia="sq-AL"/>
        </w:rPr>
      </w:pPr>
    </w:p>
    <w:p w14:paraId="29B7E43A" w14:textId="70932240" w:rsidR="00C52D19" w:rsidRPr="00010E6E" w:rsidRDefault="0072315F" w:rsidP="00C6342C">
      <w:pPr>
        <w:numPr>
          <w:ilvl w:val="0"/>
          <w:numId w:val="6"/>
        </w:numPr>
        <w:contextualSpacing/>
        <w:jc w:val="both"/>
        <w:rPr>
          <w:rFonts w:eastAsia="Times New Roman"/>
          <w:color w:val="000000"/>
          <w:lang w:val="sq-AL" w:eastAsia="sq-AL"/>
        </w:rPr>
      </w:pPr>
      <w:r>
        <w:rPr>
          <w:rFonts w:eastAsia="Times New Roman"/>
          <w:color w:val="000000"/>
          <w:lang w:val="sq-AL" w:eastAsia="sq-AL"/>
        </w:rPr>
        <w:t>p</w:t>
      </w:r>
      <w:r w:rsidR="00C52D19" w:rsidRPr="00010E6E">
        <w:rPr>
          <w:rFonts w:eastAsia="Times New Roman"/>
          <w:color w:val="000000"/>
          <w:lang w:val="sq-AL" w:eastAsia="sq-AL"/>
        </w:rPr>
        <w:t xml:space="preserve">agesat </w:t>
      </w:r>
      <w:r w:rsidR="00C52D19" w:rsidRPr="00010E6E">
        <w:rPr>
          <w:rFonts w:eastAsia="Times New Roman"/>
          <w:i/>
          <w:color w:val="000000"/>
          <w:lang w:val="sq-AL" w:eastAsia="sq-AL"/>
        </w:rPr>
        <w:t>cash</w:t>
      </w:r>
      <w:r w:rsidR="00C52D19" w:rsidRPr="00010E6E">
        <w:rPr>
          <w:rFonts w:eastAsia="Times New Roman"/>
          <w:color w:val="000000"/>
          <w:lang w:val="sq-AL" w:eastAsia="sq-AL"/>
        </w:rPr>
        <w:t>;</w:t>
      </w:r>
    </w:p>
    <w:p w14:paraId="0EBB4716" w14:textId="2C011C0C" w:rsidR="00C52D19" w:rsidRPr="00010E6E" w:rsidRDefault="0072315F" w:rsidP="00C6342C">
      <w:pPr>
        <w:numPr>
          <w:ilvl w:val="0"/>
          <w:numId w:val="6"/>
        </w:numPr>
        <w:contextualSpacing/>
        <w:jc w:val="both"/>
        <w:rPr>
          <w:rFonts w:eastAsia="Times New Roman"/>
          <w:color w:val="000000"/>
          <w:lang w:val="sq-AL" w:eastAsia="sq-AL"/>
        </w:rPr>
      </w:pPr>
      <w:r>
        <w:rPr>
          <w:rFonts w:eastAsia="Times New Roman"/>
          <w:color w:val="000000"/>
          <w:lang w:val="sq-AL" w:eastAsia="sq-AL"/>
        </w:rPr>
        <w:t>p</w:t>
      </w:r>
      <w:r w:rsidR="00C52D19" w:rsidRPr="00010E6E">
        <w:rPr>
          <w:rFonts w:eastAsia="Times New Roman"/>
          <w:color w:val="000000"/>
          <w:lang w:val="sq-AL" w:eastAsia="sq-AL"/>
        </w:rPr>
        <w:t xml:space="preserve">agesat </w:t>
      </w:r>
      <w:r>
        <w:rPr>
          <w:rFonts w:eastAsia="Times New Roman"/>
          <w:color w:val="000000"/>
          <w:lang w:val="sq-AL" w:eastAsia="sq-AL"/>
        </w:rPr>
        <w:t>me</w:t>
      </w:r>
      <w:r w:rsidRPr="00010E6E">
        <w:rPr>
          <w:rFonts w:eastAsia="Times New Roman"/>
          <w:color w:val="000000"/>
          <w:lang w:val="sq-AL" w:eastAsia="sq-AL"/>
        </w:rPr>
        <w:t xml:space="preserve"> </w:t>
      </w:r>
      <w:r w:rsidR="00C52D19" w:rsidRPr="00010E6E">
        <w:rPr>
          <w:rFonts w:eastAsia="Times New Roman"/>
          <w:color w:val="000000"/>
          <w:lang w:val="sq-AL" w:eastAsia="sq-AL"/>
        </w:rPr>
        <w:t>çek, kambial, letra premtimi, etj;</w:t>
      </w:r>
    </w:p>
    <w:p w14:paraId="41A2CB71" w14:textId="419DC7C9" w:rsidR="00C52D19" w:rsidRPr="00010E6E" w:rsidRDefault="0072315F" w:rsidP="00C6342C">
      <w:pPr>
        <w:numPr>
          <w:ilvl w:val="0"/>
          <w:numId w:val="6"/>
        </w:numPr>
        <w:contextualSpacing/>
        <w:jc w:val="both"/>
        <w:rPr>
          <w:rFonts w:eastAsia="Times New Roman"/>
          <w:color w:val="000000"/>
          <w:lang w:val="sq-AL" w:eastAsia="sq-AL"/>
        </w:rPr>
      </w:pPr>
      <w:r>
        <w:rPr>
          <w:rFonts w:eastAsia="Times New Roman"/>
          <w:color w:val="000000"/>
          <w:lang w:val="sq-AL" w:eastAsia="sq-AL"/>
        </w:rPr>
        <w:t>t</w:t>
      </w:r>
      <w:r w:rsidR="00C52D19" w:rsidRPr="00010E6E">
        <w:rPr>
          <w:rFonts w:eastAsia="Times New Roman"/>
          <w:color w:val="000000"/>
          <w:lang w:val="sq-AL" w:eastAsia="sq-AL"/>
        </w:rPr>
        <w:t xml:space="preserve">ransaksionet e këmbimit valutor me para </w:t>
      </w:r>
      <w:r w:rsidR="009B1174" w:rsidRPr="00010E6E">
        <w:rPr>
          <w:lang w:val="sq-AL"/>
        </w:rPr>
        <w:t>fizike (</w:t>
      </w:r>
      <w:r w:rsidR="009B1174" w:rsidRPr="00010E6E">
        <w:rPr>
          <w:i/>
          <w:lang w:val="sq-AL"/>
        </w:rPr>
        <w:t>cash</w:t>
      </w:r>
      <w:r w:rsidR="009B1174" w:rsidRPr="00010E6E">
        <w:rPr>
          <w:lang w:val="sq-AL"/>
        </w:rPr>
        <w:t>)</w:t>
      </w:r>
      <w:r w:rsidR="00C52D19" w:rsidRPr="00010E6E">
        <w:rPr>
          <w:rFonts w:eastAsia="Times New Roman"/>
          <w:color w:val="000000"/>
          <w:lang w:val="sq-AL" w:eastAsia="sq-AL"/>
        </w:rPr>
        <w:t>, kur fondet nuk mbahen në një llogari pagese;</w:t>
      </w:r>
    </w:p>
    <w:p w14:paraId="1D638D96" w14:textId="5D06322D" w:rsidR="00C52D19" w:rsidRPr="00010E6E" w:rsidRDefault="0072315F" w:rsidP="00C6342C">
      <w:pPr>
        <w:numPr>
          <w:ilvl w:val="0"/>
          <w:numId w:val="6"/>
        </w:numPr>
        <w:contextualSpacing/>
        <w:jc w:val="both"/>
        <w:rPr>
          <w:rFonts w:eastAsia="Times New Roman"/>
          <w:color w:val="000000"/>
          <w:lang w:val="sq-AL" w:eastAsia="sq-AL"/>
        </w:rPr>
      </w:pPr>
      <w:r>
        <w:rPr>
          <w:rFonts w:eastAsia="Times New Roman"/>
          <w:color w:val="000000"/>
          <w:lang w:val="sq-AL" w:eastAsia="sq-AL"/>
        </w:rPr>
        <w:t>p</w:t>
      </w:r>
      <w:r w:rsidR="00C52D19" w:rsidRPr="00010E6E">
        <w:rPr>
          <w:rFonts w:eastAsia="Times New Roman"/>
          <w:color w:val="000000"/>
          <w:lang w:val="sq-AL" w:eastAsia="sq-AL"/>
        </w:rPr>
        <w:t>agesat midis ofruesve të shërbimeve ndërmjet nj</w:t>
      </w:r>
      <w:r w:rsidR="006739A5" w:rsidRPr="00010E6E">
        <w:rPr>
          <w:lang w:val="sq-AL"/>
        </w:rPr>
        <w:t>ë</w:t>
      </w:r>
      <w:r w:rsidR="00C52D19" w:rsidRPr="00010E6E">
        <w:rPr>
          <w:rFonts w:eastAsia="Times New Roman"/>
          <w:color w:val="000000"/>
          <w:lang w:val="sq-AL" w:eastAsia="sq-AL"/>
        </w:rPr>
        <w:t xml:space="preserve">ri-tjetrit; </w:t>
      </w:r>
    </w:p>
    <w:p w14:paraId="0F3B7DAD" w14:textId="51BFBF1D" w:rsidR="00C52D19" w:rsidRPr="00010E6E" w:rsidRDefault="0072315F" w:rsidP="00C6342C">
      <w:pPr>
        <w:numPr>
          <w:ilvl w:val="0"/>
          <w:numId w:val="6"/>
        </w:numPr>
        <w:contextualSpacing/>
        <w:jc w:val="both"/>
        <w:rPr>
          <w:rFonts w:eastAsia="Times New Roman"/>
          <w:color w:val="000000"/>
          <w:lang w:val="sq-AL" w:eastAsia="sq-AL"/>
        </w:rPr>
      </w:pPr>
      <w:r>
        <w:rPr>
          <w:rFonts w:eastAsia="Calibri"/>
          <w:lang w:val="sq-AL"/>
        </w:rPr>
        <w:t>p</w:t>
      </w:r>
      <w:r w:rsidR="00C52D19" w:rsidRPr="00010E6E">
        <w:rPr>
          <w:rFonts w:eastAsia="Calibri"/>
          <w:lang w:val="sq-AL"/>
        </w:rPr>
        <w:t>agesat midis një shoqërie mëmë dhe degës së saj ose midis filialeve të të njëjtës shoqërie mëmë, pa asnjë ndërhyrje ndërmjetësimi nga një ofrues i shërbimeve të pagesave, përveç rastit kur është një shoqëri që i përket të njëjtit grup;</w:t>
      </w:r>
    </w:p>
    <w:p w14:paraId="78510294" w14:textId="4413A269" w:rsidR="00C52D19" w:rsidRPr="00010E6E" w:rsidRDefault="0072315F" w:rsidP="00C6342C">
      <w:pPr>
        <w:numPr>
          <w:ilvl w:val="0"/>
          <w:numId w:val="6"/>
        </w:numPr>
        <w:contextualSpacing/>
        <w:jc w:val="both"/>
        <w:rPr>
          <w:rFonts w:eastAsia="Times New Roman"/>
          <w:color w:val="000000"/>
          <w:lang w:val="sq-AL" w:eastAsia="sq-AL"/>
        </w:rPr>
      </w:pPr>
      <w:r>
        <w:rPr>
          <w:rFonts w:eastAsia="Calibri"/>
          <w:lang w:val="sq-AL"/>
        </w:rPr>
        <w:t>e</w:t>
      </w:r>
      <w:r w:rsidR="00C52D19" w:rsidRPr="00010E6E">
        <w:rPr>
          <w:rFonts w:eastAsia="Calibri"/>
          <w:lang w:val="sq-AL"/>
        </w:rPr>
        <w:t xml:space="preserve">tj. </w:t>
      </w:r>
    </w:p>
    <w:p w14:paraId="56DCD276" w14:textId="77777777" w:rsidR="00C52D19" w:rsidRPr="00010E6E" w:rsidRDefault="00C52D19" w:rsidP="00C6342C">
      <w:pPr>
        <w:ind w:left="720"/>
        <w:contextualSpacing/>
        <w:jc w:val="both"/>
        <w:rPr>
          <w:rFonts w:eastAsia="Times New Roman"/>
          <w:color w:val="000000"/>
          <w:lang w:val="sq-AL" w:eastAsia="sq-AL"/>
        </w:rPr>
      </w:pPr>
    </w:p>
    <w:p w14:paraId="7082EBE1" w14:textId="04F8AE3A" w:rsidR="00C52D19" w:rsidRPr="00010E6E" w:rsidRDefault="00C52D19" w:rsidP="00C6342C">
      <w:pPr>
        <w:contextualSpacing/>
        <w:jc w:val="both"/>
        <w:rPr>
          <w:rFonts w:eastAsia="Times New Roman"/>
          <w:color w:val="000000"/>
          <w:lang w:val="sq-AL" w:eastAsia="sq-AL"/>
        </w:rPr>
      </w:pPr>
      <w:r w:rsidRPr="00010E6E">
        <w:rPr>
          <w:rFonts w:eastAsia="Times New Roman"/>
          <w:color w:val="000000"/>
          <w:lang w:val="sq-AL" w:eastAsia="sq-AL"/>
        </w:rPr>
        <w:t xml:space="preserve">Së fundmi, në </w:t>
      </w:r>
      <w:r w:rsidR="008C234C" w:rsidRPr="00010E6E">
        <w:rPr>
          <w:rFonts w:eastAsia="Times New Roman"/>
          <w:color w:val="000000"/>
          <w:lang w:val="sq-AL" w:eastAsia="sq-AL"/>
        </w:rPr>
        <w:t xml:space="preserve">Titullin </w:t>
      </w:r>
      <w:r w:rsidRPr="00010E6E">
        <w:rPr>
          <w:rFonts w:eastAsia="Times New Roman"/>
          <w:color w:val="000000"/>
          <w:lang w:val="sq-AL" w:eastAsia="sq-AL"/>
        </w:rPr>
        <w:t xml:space="preserve">I të projektligjit janë renditur përkufizimet (neni 5) </w:t>
      </w:r>
      <w:r w:rsidR="0072315F">
        <w:rPr>
          <w:rFonts w:eastAsia="Times New Roman"/>
          <w:color w:val="000000"/>
          <w:lang w:val="sq-AL" w:eastAsia="sq-AL"/>
        </w:rPr>
        <w:t>e</w:t>
      </w:r>
      <w:r w:rsidRPr="00010E6E">
        <w:rPr>
          <w:rFonts w:eastAsia="Times New Roman"/>
          <w:color w:val="000000"/>
          <w:lang w:val="sq-AL" w:eastAsia="sq-AL"/>
        </w:rPr>
        <w:t xml:space="preserve"> përshtatur</w:t>
      </w:r>
      <w:r w:rsidR="0072315F">
        <w:rPr>
          <w:rFonts w:eastAsia="Times New Roman"/>
          <w:color w:val="000000"/>
          <w:lang w:val="sq-AL" w:eastAsia="sq-AL"/>
        </w:rPr>
        <w:t>a</w:t>
      </w:r>
      <w:r w:rsidRPr="00010E6E">
        <w:rPr>
          <w:rFonts w:eastAsia="Times New Roman"/>
          <w:color w:val="000000"/>
          <w:lang w:val="sq-AL" w:eastAsia="sq-AL"/>
        </w:rPr>
        <w:t xml:space="preserve"> sipas legjislacionit shqiptar në fuqi në rastet kur ka qenë e mundur. </w:t>
      </w:r>
    </w:p>
    <w:p w14:paraId="69A00FF8" w14:textId="77777777" w:rsidR="00C52D19" w:rsidRPr="00010E6E" w:rsidRDefault="00C52D19" w:rsidP="00C6342C">
      <w:pPr>
        <w:pStyle w:val="ListParagraph"/>
        <w:spacing w:after="0" w:line="240" w:lineRule="auto"/>
        <w:ind w:left="0"/>
        <w:contextualSpacing w:val="0"/>
        <w:rPr>
          <w:rFonts w:ascii="Times New Roman" w:hAnsi="Times New Roman"/>
          <w:color w:val="000000"/>
          <w:sz w:val="24"/>
          <w:szCs w:val="24"/>
          <w:lang w:val="sq-AL"/>
        </w:rPr>
      </w:pPr>
    </w:p>
    <w:p w14:paraId="40538E8F" w14:textId="77777777" w:rsidR="0002198C" w:rsidRPr="00010E6E" w:rsidRDefault="0002198C" w:rsidP="007223AA">
      <w:pPr>
        <w:pStyle w:val="ListParagraph"/>
        <w:shd w:val="clear" w:color="auto" w:fill="D9D9D9"/>
        <w:spacing w:after="0" w:line="240" w:lineRule="auto"/>
        <w:ind w:left="0"/>
        <w:contextualSpacing w:val="0"/>
        <w:jc w:val="both"/>
        <w:rPr>
          <w:rFonts w:ascii="Times New Roman" w:hAnsi="Times New Roman"/>
          <w:b/>
          <w:sz w:val="24"/>
          <w:szCs w:val="24"/>
          <w:lang w:val="sq-AL"/>
        </w:rPr>
      </w:pPr>
      <w:r w:rsidRPr="00010E6E">
        <w:rPr>
          <w:rFonts w:ascii="Times New Roman" w:hAnsi="Times New Roman"/>
          <w:b/>
          <w:sz w:val="24"/>
          <w:szCs w:val="24"/>
          <w:lang w:val="sq-AL"/>
        </w:rPr>
        <w:t xml:space="preserve">Titulli </w:t>
      </w:r>
      <w:r w:rsidR="001254E4" w:rsidRPr="00010E6E">
        <w:rPr>
          <w:rFonts w:ascii="Times New Roman" w:hAnsi="Times New Roman"/>
          <w:b/>
          <w:sz w:val="24"/>
          <w:szCs w:val="24"/>
          <w:lang w:val="sq-AL"/>
        </w:rPr>
        <w:t>II</w:t>
      </w:r>
      <w:r w:rsidR="00FA1823" w:rsidRPr="00010E6E">
        <w:rPr>
          <w:rFonts w:ascii="Times New Roman" w:hAnsi="Times New Roman"/>
          <w:b/>
          <w:sz w:val="24"/>
          <w:szCs w:val="24"/>
          <w:lang w:val="sq-AL"/>
        </w:rPr>
        <w:t>:</w:t>
      </w:r>
      <w:r w:rsidRPr="00010E6E">
        <w:rPr>
          <w:rFonts w:ascii="Times New Roman" w:hAnsi="Times New Roman"/>
          <w:b/>
          <w:sz w:val="24"/>
          <w:szCs w:val="24"/>
          <w:lang w:val="sq-AL"/>
        </w:rPr>
        <w:t xml:space="preserve"> Ofruesit e shërbimeve të pagesave</w:t>
      </w:r>
    </w:p>
    <w:p w14:paraId="6090CD3A" w14:textId="77777777" w:rsidR="0002198C" w:rsidRPr="00010E6E" w:rsidRDefault="0002198C" w:rsidP="00C6342C">
      <w:pPr>
        <w:pStyle w:val="ListParagraph"/>
        <w:spacing w:after="0" w:line="240" w:lineRule="auto"/>
        <w:ind w:left="0"/>
        <w:contextualSpacing w:val="0"/>
        <w:rPr>
          <w:rFonts w:ascii="Times New Roman" w:hAnsi="Times New Roman"/>
          <w:sz w:val="24"/>
          <w:szCs w:val="24"/>
          <w:lang w:val="sq-AL"/>
        </w:rPr>
      </w:pPr>
    </w:p>
    <w:p w14:paraId="2E1E1CA3" w14:textId="05883BC8" w:rsidR="0061577C" w:rsidRPr="00010E6E" w:rsidRDefault="007B2372" w:rsidP="00C6342C">
      <w:pPr>
        <w:jc w:val="both"/>
        <w:rPr>
          <w:lang w:val="sq-AL"/>
        </w:rPr>
      </w:pPr>
      <w:r w:rsidRPr="00010E6E">
        <w:rPr>
          <w:lang w:val="sq-AL"/>
        </w:rPr>
        <w:t>Në Titullin II të projekt</w:t>
      </w:r>
      <w:r w:rsidR="0061577C" w:rsidRPr="00010E6E">
        <w:rPr>
          <w:lang w:val="sq-AL"/>
        </w:rPr>
        <w:t xml:space="preserve">ligjit trajtohen kryesisht çështjet që kanë të bëjnë me licencimin, regjistrimin dhe mbikëqyrjen e institucioneve të pagesave. Në këtë </w:t>
      </w:r>
      <w:r w:rsidR="001254E4" w:rsidRPr="00010E6E">
        <w:rPr>
          <w:lang w:val="sq-AL"/>
        </w:rPr>
        <w:t>Titull</w:t>
      </w:r>
      <w:r w:rsidR="0061577C" w:rsidRPr="00010E6E">
        <w:rPr>
          <w:lang w:val="sq-AL"/>
        </w:rPr>
        <w:t xml:space="preserve"> janë parashikuar kriteret dhe kërkesat për dokumentacionin që duhet të plotësojnë subjektet aplikues</w:t>
      </w:r>
      <w:r w:rsidR="0072315F">
        <w:rPr>
          <w:lang w:val="sq-AL"/>
        </w:rPr>
        <w:t>e</w:t>
      </w:r>
      <w:r w:rsidR="0061577C" w:rsidRPr="00010E6E">
        <w:rPr>
          <w:lang w:val="sq-AL"/>
        </w:rPr>
        <w:t>, për marrjen e licencës si institucion i pagesës</w:t>
      </w:r>
      <w:r w:rsidR="00313310" w:rsidRPr="00010E6E">
        <w:rPr>
          <w:lang w:val="sq-AL"/>
        </w:rPr>
        <w:t>,</w:t>
      </w:r>
      <w:r w:rsidR="0061577C" w:rsidRPr="00010E6E">
        <w:rPr>
          <w:lang w:val="sq-AL"/>
        </w:rPr>
        <w:t xml:space="preserve"> për ushtrimin e veprimtarive të shërbimeve të pagesave, sipas Aneksit 1 të projek</w:t>
      </w:r>
      <w:r w:rsidR="003A3F0D" w:rsidRPr="00010E6E">
        <w:rPr>
          <w:lang w:val="sq-AL"/>
        </w:rPr>
        <w:t>t</w:t>
      </w:r>
      <w:r w:rsidR="0061577C" w:rsidRPr="00010E6E">
        <w:rPr>
          <w:lang w:val="sq-AL"/>
        </w:rPr>
        <w:t xml:space="preserve">ligjit. </w:t>
      </w:r>
    </w:p>
    <w:p w14:paraId="543D68A3" w14:textId="77777777" w:rsidR="00C6342C" w:rsidRPr="00010E6E" w:rsidRDefault="00C6342C" w:rsidP="00C6342C">
      <w:pPr>
        <w:jc w:val="both"/>
        <w:rPr>
          <w:lang w:val="sq-AL"/>
        </w:rPr>
      </w:pPr>
    </w:p>
    <w:p w14:paraId="52E423BC" w14:textId="106F69DF" w:rsidR="0061577C" w:rsidRPr="00010E6E" w:rsidRDefault="007B2372" w:rsidP="00C6342C">
      <w:pPr>
        <w:jc w:val="both"/>
        <w:rPr>
          <w:lang w:val="sq-AL"/>
        </w:rPr>
      </w:pPr>
      <w:r w:rsidRPr="00010E6E">
        <w:rPr>
          <w:lang w:val="sq-AL"/>
        </w:rPr>
        <w:t>Në nenin 6 të projekt</w:t>
      </w:r>
      <w:r w:rsidR="0061577C" w:rsidRPr="00010E6E">
        <w:rPr>
          <w:lang w:val="sq-AL"/>
        </w:rPr>
        <w:t>ligjit, Bankës së Shqipërisë i jepet autoriteti për licencimin, regjistrimin dhe mbikëqyrjen e institucioneve të pagesave. Gjithashtu po në këtë nen sanksionohet ndalimi i ushtrimit të veprimtari</w:t>
      </w:r>
      <w:r w:rsidR="0081215F" w:rsidRPr="00010E6E">
        <w:rPr>
          <w:lang w:val="sq-AL"/>
        </w:rPr>
        <w:t>së</w:t>
      </w:r>
      <w:r w:rsidR="0061577C" w:rsidRPr="00010E6E">
        <w:rPr>
          <w:lang w:val="sq-AL"/>
        </w:rPr>
        <w:t xml:space="preserve"> </w:t>
      </w:r>
      <w:r w:rsidR="0081215F" w:rsidRPr="00010E6E">
        <w:rPr>
          <w:lang w:val="sq-AL"/>
        </w:rPr>
        <w:t>s</w:t>
      </w:r>
      <w:r w:rsidR="0061577C" w:rsidRPr="00010E6E">
        <w:rPr>
          <w:lang w:val="sq-AL"/>
        </w:rPr>
        <w:t xml:space="preserve">ë </w:t>
      </w:r>
      <w:r w:rsidR="001B1979" w:rsidRPr="00010E6E">
        <w:rPr>
          <w:lang w:val="sq-AL"/>
        </w:rPr>
        <w:t xml:space="preserve">shërbimeve të </w:t>
      </w:r>
      <w:r w:rsidR="0061577C" w:rsidRPr="00010E6E">
        <w:rPr>
          <w:lang w:val="sq-AL"/>
        </w:rPr>
        <w:t xml:space="preserve">pagesave nga </w:t>
      </w:r>
      <w:r w:rsidR="00DE4B31" w:rsidRPr="00010E6E">
        <w:rPr>
          <w:lang w:val="sq-AL"/>
        </w:rPr>
        <w:t>ç</w:t>
      </w:r>
      <w:r w:rsidR="00B73CD4" w:rsidRPr="00010E6E">
        <w:rPr>
          <w:lang w:val="sq-AL"/>
        </w:rPr>
        <w:t xml:space="preserve">do </w:t>
      </w:r>
      <w:r w:rsidR="0061577C" w:rsidRPr="00010E6E">
        <w:rPr>
          <w:lang w:val="sq-AL"/>
        </w:rPr>
        <w:t xml:space="preserve">subjekt që nuk është i pajisur me licencë, apo nuk është i regjistruar në regjistrin e institucioneve të pagesave nga Banka e Shqipërisë. </w:t>
      </w:r>
    </w:p>
    <w:p w14:paraId="153BBA11" w14:textId="77777777" w:rsidR="00C6342C" w:rsidRPr="00010E6E" w:rsidRDefault="00C6342C" w:rsidP="00C6342C">
      <w:pPr>
        <w:jc w:val="both"/>
        <w:rPr>
          <w:lang w:val="sq-AL"/>
        </w:rPr>
      </w:pPr>
    </w:p>
    <w:p w14:paraId="2F5DDEB1" w14:textId="566A0EEB" w:rsidR="00230D92" w:rsidRPr="003A149E" w:rsidRDefault="0061577C" w:rsidP="00C6342C">
      <w:pPr>
        <w:jc w:val="both"/>
        <w:rPr>
          <w:lang w:val="sq-AL"/>
        </w:rPr>
      </w:pPr>
      <w:r w:rsidRPr="00010E6E">
        <w:rPr>
          <w:lang w:val="sq-AL"/>
        </w:rPr>
        <w:t xml:space="preserve">Për të marrë licencën si institucion i pagesave, përfaqësuesit e shoqërisë paraqesin në Bankën e Shqipërisë një kërkesë me shkrim, të shoqëruar me dokumentacionin dhe informacionin sipas kërkesave të renditura në nenin 7 të projektligjit. Pjesë e dokumentacionit që shoqëron aplikimin për licencë është statuti i shoqërisë, lista me të dhënat për identitetin </w:t>
      </w:r>
      <w:r w:rsidR="00313310" w:rsidRPr="00010E6E">
        <w:rPr>
          <w:lang w:val="sq-AL"/>
        </w:rPr>
        <w:t xml:space="preserve">dhe reputacionin </w:t>
      </w:r>
      <w:r w:rsidRPr="00010E6E">
        <w:rPr>
          <w:lang w:val="sq-AL"/>
        </w:rPr>
        <w:t>e aksionerëve/ortakëve me pjesëmarrje influencuese të drejtpërdrejtë dhe të tërthortë, evidenca për zotërimin e kapitalit fillestar minimal, identiteti i administratorit dhe</w:t>
      </w:r>
      <w:r w:rsidR="009238C8" w:rsidRPr="00010E6E">
        <w:rPr>
          <w:lang w:val="sq-AL"/>
        </w:rPr>
        <w:t>/ose</w:t>
      </w:r>
      <w:r w:rsidRPr="00010E6E">
        <w:rPr>
          <w:lang w:val="sq-AL"/>
        </w:rPr>
        <w:t xml:space="preserve"> i personit/ave përgjegjës për </w:t>
      </w:r>
      <w:r w:rsidR="003D0890" w:rsidRPr="00010E6E">
        <w:rPr>
          <w:lang w:val="sq-AL"/>
        </w:rPr>
        <w:t xml:space="preserve">administrimin </w:t>
      </w:r>
      <w:r w:rsidRPr="00010E6E">
        <w:rPr>
          <w:lang w:val="sq-AL"/>
        </w:rPr>
        <w:t>e institucionit të pagesave dhe evidenca që ata kanë reputacion të mirë</w:t>
      </w:r>
      <w:r w:rsidR="009238C8" w:rsidRPr="00010E6E">
        <w:rPr>
          <w:lang w:val="sq-AL"/>
        </w:rPr>
        <w:t xml:space="preserve">, </w:t>
      </w:r>
      <w:r w:rsidRPr="00010E6E">
        <w:rPr>
          <w:lang w:val="sq-AL"/>
        </w:rPr>
        <w:t xml:space="preserve">zotërojnë njohuri dhe kanë eksperiencë për kryerjen e veprimtarisë </w:t>
      </w:r>
      <w:r w:rsidR="009C5B1F" w:rsidRPr="00010E6E">
        <w:rPr>
          <w:lang w:val="sq-AL"/>
        </w:rPr>
        <w:t xml:space="preserve">së </w:t>
      </w:r>
      <w:r w:rsidRPr="00010E6E">
        <w:rPr>
          <w:lang w:val="sq-AL"/>
        </w:rPr>
        <w:t>shërbimeve të pagesave, përshkrimi i veprimtarisë që parashikohet të kryhet, lloji i shërbimeve të pagesave sipas Aneksit 1, planbiznesi për 3 vitet e para të ushtrimit të veprimtarisë</w:t>
      </w:r>
      <w:r w:rsidR="001F082F">
        <w:rPr>
          <w:lang w:val="sq-AL"/>
        </w:rPr>
        <w:t>,</w:t>
      </w:r>
      <w:r w:rsidRPr="00010E6E">
        <w:rPr>
          <w:lang w:val="sq-AL"/>
        </w:rPr>
        <w:t xml:space="preserve"> ku të evidentohet që aplikuesi do të përdorë sisteme, burime dhe procedura të përshtatshme dhe proporcionale për të siguruar </w:t>
      </w:r>
      <w:r w:rsidR="00313310" w:rsidRPr="00010E6E">
        <w:rPr>
          <w:lang w:val="sq-AL"/>
        </w:rPr>
        <w:t xml:space="preserve">një </w:t>
      </w:r>
      <w:r w:rsidRPr="00010E6E">
        <w:rPr>
          <w:lang w:val="sq-AL"/>
        </w:rPr>
        <w:t xml:space="preserve">gjendje financiare të </w:t>
      </w:r>
      <w:r w:rsidR="00313310" w:rsidRPr="00010E6E">
        <w:rPr>
          <w:lang w:val="sq-AL"/>
        </w:rPr>
        <w:t>q</w:t>
      </w:r>
      <w:r w:rsidR="00A7611C" w:rsidRPr="00010E6E">
        <w:rPr>
          <w:lang w:val="sq-AL"/>
        </w:rPr>
        <w:t>ë</w:t>
      </w:r>
      <w:r w:rsidR="00313310" w:rsidRPr="00010E6E">
        <w:rPr>
          <w:lang w:val="sq-AL"/>
        </w:rPr>
        <w:t>ndrueshme</w:t>
      </w:r>
      <w:r w:rsidRPr="00010E6E">
        <w:rPr>
          <w:lang w:val="sq-AL"/>
        </w:rPr>
        <w:t>. Për vetë specifikën që ka veprimtaria e shërbimeve të pagesave, pjesë e kërkesës për licencim janë edhe një sërë dokumentash dhe procedurash që lidhen kryesisht</w:t>
      </w:r>
      <w:r w:rsidR="00230D92" w:rsidRPr="00010E6E">
        <w:rPr>
          <w:lang w:val="sq-AL"/>
        </w:rPr>
        <w:t>:</w:t>
      </w:r>
      <w:r w:rsidRPr="00010E6E">
        <w:rPr>
          <w:lang w:val="sq-AL"/>
        </w:rPr>
        <w:t xml:space="preserve"> </w:t>
      </w:r>
      <w:r w:rsidR="00001169" w:rsidRPr="00010E6E">
        <w:rPr>
          <w:lang w:val="sq-AL"/>
        </w:rPr>
        <w:t xml:space="preserve">me </w:t>
      </w:r>
      <w:r w:rsidRPr="00010E6E">
        <w:rPr>
          <w:lang w:val="sq-AL"/>
        </w:rPr>
        <w:t>masat për sigurimin e fondeve të përdoruesve të shërbimeve të pagesave, me monitorimin, trajtimin dhe ndjekjen e incidenteve të sigurisë dhe ankimimet e klientëve, përshkrimi</w:t>
      </w:r>
      <w:r w:rsidR="0054181F" w:rsidRPr="00010E6E">
        <w:rPr>
          <w:lang w:val="sq-AL"/>
        </w:rPr>
        <w:t>n</w:t>
      </w:r>
      <w:r w:rsidRPr="00010E6E">
        <w:rPr>
          <w:lang w:val="sq-AL"/>
        </w:rPr>
        <w:t xml:space="preserve"> </w:t>
      </w:r>
      <w:r w:rsidR="0054181F" w:rsidRPr="00010E6E">
        <w:rPr>
          <w:lang w:val="sq-AL"/>
        </w:rPr>
        <w:t xml:space="preserve">e </w:t>
      </w:r>
      <w:r w:rsidRPr="00010E6E">
        <w:rPr>
          <w:lang w:val="sq-AL"/>
        </w:rPr>
        <w:t>masave qeverisëse dhe mekanizmave të kontrollit të brendshëm, përfshirë procedura</w:t>
      </w:r>
      <w:r w:rsidR="009238C8" w:rsidRPr="00010E6E">
        <w:rPr>
          <w:lang w:val="sq-AL"/>
        </w:rPr>
        <w:t>t</w:t>
      </w:r>
      <w:r w:rsidRPr="00010E6E">
        <w:rPr>
          <w:lang w:val="sq-AL"/>
        </w:rPr>
        <w:t xml:space="preserve"> administrative</w:t>
      </w:r>
      <w:r w:rsidR="009238C8" w:rsidRPr="00010E6E">
        <w:rPr>
          <w:lang w:val="sq-AL"/>
        </w:rPr>
        <w:t xml:space="preserve"> të shoqërisë</w:t>
      </w:r>
      <w:r w:rsidRPr="00010E6E">
        <w:rPr>
          <w:lang w:val="sq-AL"/>
        </w:rPr>
        <w:t>, të administrimit të rrezikut dhe të kontabilitetit, politikën e sigurisë në të cilën përfshihet një vlerësim i detajuar i rrezikut që lidhet me shërbimet e pagesave, për kontrollin e sigurisë dhe masat zbutëse për të mbrojtur mjaftueshëm përdoruesit e shërbimeve të pagesave ndaj rreziqeve të identifikuara</w:t>
      </w:r>
      <w:r w:rsidR="001F082F">
        <w:rPr>
          <w:lang w:val="sq-AL"/>
        </w:rPr>
        <w:t xml:space="preserve"> </w:t>
      </w:r>
      <w:r w:rsidR="00516591" w:rsidRPr="00010E6E">
        <w:rPr>
          <w:lang w:val="sq-AL"/>
        </w:rPr>
        <w:t>(</w:t>
      </w:r>
      <w:r w:rsidRPr="00010E6E">
        <w:rPr>
          <w:lang w:val="sq-AL"/>
        </w:rPr>
        <w:t xml:space="preserve">përfshirë mashtrimin dhe përdorimin </w:t>
      </w:r>
      <w:r w:rsidR="00B73CD4" w:rsidRPr="00010E6E">
        <w:rPr>
          <w:lang w:val="sq-AL"/>
        </w:rPr>
        <w:t xml:space="preserve">e paligjshëm </w:t>
      </w:r>
      <w:r w:rsidRPr="00010E6E">
        <w:rPr>
          <w:lang w:val="sq-AL"/>
        </w:rPr>
        <w:t xml:space="preserve">të të dhënave </w:t>
      </w:r>
      <w:r w:rsidR="00B73CD4" w:rsidRPr="00010E6E">
        <w:rPr>
          <w:lang w:val="sq-AL"/>
        </w:rPr>
        <w:t xml:space="preserve">personale </w:t>
      </w:r>
      <w:r w:rsidRPr="00010E6E">
        <w:rPr>
          <w:lang w:val="sq-AL"/>
        </w:rPr>
        <w:t>dhe sensitive</w:t>
      </w:r>
      <w:r w:rsidR="00516591" w:rsidRPr="00010E6E">
        <w:rPr>
          <w:lang w:val="sq-AL"/>
        </w:rPr>
        <w:t>)</w:t>
      </w:r>
      <w:r w:rsidRPr="00010E6E">
        <w:rPr>
          <w:lang w:val="sq-AL"/>
        </w:rPr>
        <w:t>, përshkrimi</w:t>
      </w:r>
      <w:r w:rsidR="0054181F" w:rsidRPr="00010E6E">
        <w:rPr>
          <w:lang w:val="sq-AL"/>
        </w:rPr>
        <w:t>n</w:t>
      </w:r>
      <w:r w:rsidRPr="00010E6E">
        <w:rPr>
          <w:lang w:val="sq-AL"/>
        </w:rPr>
        <w:t xml:space="preserve"> </w:t>
      </w:r>
      <w:r w:rsidR="0054181F" w:rsidRPr="00010E6E">
        <w:rPr>
          <w:lang w:val="sq-AL"/>
        </w:rPr>
        <w:t xml:space="preserve">e </w:t>
      </w:r>
      <w:r w:rsidRPr="00010E6E">
        <w:rPr>
          <w:lang w:val="sq-AL"/>
        </w:rPr>
        <w:t xml:space="preserve">mekanizmave të </w:t>
      </w:r>
      <w:r w:rsidRPr="00010E6E">
        <w:rPr>
          <w:lang w:val="sq-AL"/>
        </w:rPr>
        <w:lastRenderedPageBreak/>
        <w:t>kontrollit të brendshëm për zbatimin e kërkesave të legjislacionit për parandalimin e pastrimit të parave dhe financimit të terrorizmit, përshkrimi</w:t>
      </w:r>
      <w:r w:rsidR="00516591" w:rsidRPr="00010E6E">
        <w:rPr>
          <w:lang w:val="sq-AL"/>
        </w:rPr>
        <w:t>n</w:t>
      </w:r>
      <w:r w:rsidRPr="00010E6E">
        <w:rPr>
          <w:lang w:val="sq-AL"/>
        </w:rPr>
        <w:t xml:space="preserve"> </w:t>
      </w:r>
      <w:r w:rsidR="0054181F" w:rsidRPr="00010E6E">
        <w:rPr>
          <w:lang w:val="sq-AL"/>
        </w:rPr>
        <w:t xml:space="preserve">e </w:t>
      </w:r>
      <w:r w:rsidRPr="00010E6E">
        <w:rPr>
          <w:lang w:val="sq-AL"/>
        </w:rPr>
        <w:t xml:space="preserve">masave për vazhdimësinë e biznesit </w:t>
      </w:r>
      <w:r w:rsidR="00516591" w:rsidRPr="00010E6E">
        <w:rPr>
          <w:lang w:val="sq-AL"/>
        </w:rPr>
        <w:t>(</w:t>
      </w:r>
      <w:r w:rsidRPr="00010E6E">
        <w:rPr>
          <w:lang w:val="sq-AL"/>
        </w:rPr>
        <w:t xml:space="preserve">duke përfshirë identifikimin e qartë </w:t>
      </w:r>
      <w:r w:rsidRPr="003A149E">
        <w:rPr>
          <w:lang w:val="sq-AL"/>
        </w:rPr>
        <w:t xml:space="preserve">të operacioneve kritike, planet efektive të </w:t>
      </w:r>
      <w:r w:rsidR="00B73CD4" w:rsidRPr="003A149E">
        <w:rPr>
          <w:lang w:val="sq-AL"/>
        </w:rPr>
        <w:t>emergjencës</w:t>
      </w:r>
      <w:r w:rsidRPr="003A149E">
        <w:rPr>
          <w:lang w:val="sq-AL"/>
        </w:rPr>
        <w:t>, etj.</w:t>
      </w:r>
      <w:r w:rsidR="00516591" w:rsidRPr="003A149E">
        <w:rPr>
          <w:lang w:val="sq-AL"/>
        </w:rPr>
        <w:t>)</w:t>
      </w:r>
      <w:r w:rsidRPr="003A149E">
        <w:rPr>
          <w:lang w:val="sq-AL"/>
        </w:rPr>
        <w:t>, përshkrimi</w:t>
      </w:r>
      <w:r w:rsidR="00516591" w:rsidRPr="003A149E">
        <w:rPr>
          <w:lang w:val="sq-AL"/>
        </w:rPr>
        <w:t>n e</w:t>
      </w:r>
      <w:r w:rsidRPr="003A149E">
        <w:rPr>
          <w:lang w:val="sq-AL"/>
        </w:rPr>
        <w:t xml:space="preserve"> procesit të dokumentimit, monitorimit, ndjekjes dhe kufizimit të aksesit në të dhënat sensitive të pagesave, përshkrimi</w:t>
      </w:r>
      <w:r w:rsidR="0054181F" w:rsidRPr="003A149E">
        <w:rPr>
          <w:lang w:val="sq-AL"/>
        </w:rPr>
        <w:t>n</w:t>
      </w:r>
      <w:r w:rsidRPr="003A149E">
        <w:rPr>
          <w:lang w:val="sq-AL"/>
        </w:rPr>
        <w:t xml:space="preserve"> </w:t>
      </w:r>
      <w:r w:rsidR="0054181F" w:rsidRPr="003A149E">
        <w:rPr>
          <w:lang w:val="sq-AL"/>
        </w:rPr>
        <w:t xml:space="preserve">e </w:t>
      </w:r>
      <w:r w:rsidRPr="003A149E">
        <w:rPr>
          <w:lang w:val="sq-AL"/>
        </w:rPr>
        <w:t>strukturës organizative të aplikuesit, përfshirë edhe përdorimin e agjentëve dhe të degëve, si edhe kontrollet nga jashtë dhe në vend (</w:t>
      </w:r>
      <w:r w:rsidRPr="003A149E">
        <w:rPr>
          <w:i/>
          <w:lang w:val="sq-AL"/>
        </w:rPr>
        <w:t>off-site, on-site</w:t>
      </w:r>
      <w:r w:rsidRPr="003A149E">
        <w:rPr>
          <w:lang w:val="sq-AL"/>
        </w:rPr>
        <w:t>) që aplikuesi do të kryejë pranë tyre të paktën një herë në vit, përshkrimi</w:t>
      </w:r>
      <w:r w:rsidR="0054181F" w:rsidRPr="003A149E">
        <w:rPr>
          <w:lang w:val="sq-AL"/>
        </w:rPr>
        <w:t>n</w:t>
      </w:r>
      <w:r w:rsidRPr="003A149E">
        <w:rPr>
          <w:lang w:val="sq-AL"/>
        </w:rPr>
        <w:t xml:space="preserve"> </w:t>
      </w:r>
      <w:r w:rsidR="0054181F" w:rsidRPr="003A149E">
        <w:rPr>
          <w:lang w:val="sq-AL"/>
        </w:rPr>
        <w:t xml:space="preserve">e </w:t>
      </w:r>
      <w:r w:rsidRPr="003A149E">
        <w:rPr>
          <w:lang w:val="sq-AL"/>
        </w:rPr>
        <w:t xml:space="preserve">marrëveshjeve me të tretët dhe </w:t>
      </w:r>
      <w:r w:rsidR="00516591" w:rsidRPr="003A149E">
        <w:rPr>
          <w:lang w:val="sq-AL"/>
        </w:rPr>
        <w:t xml:space="preserve">të </w:t>
      </w:r>
      <w:r w:rsidRPr="003A149E">
        <w:rPr>
          <w:lang w:val="sq-AL"/>
        </w:rPr>
        <w:t xml:space="preserve">pjesëmarrjes në sistemet kombëtare ose ndërkombëtare të pagesave, etj. </w:t>
      </w:r>
    </w:p>
    <w:p w14:paraId="3F34EED6" w14:textId="77777777" w:rsidR="00C6342C" w:rsidRPr="003A149E" w:rsidRDefault="00C6342C" w:rsidP="00C6342C">
      <w:pPr>
        <w:jc w:val="both"/>
        <w:rPr>
          <w:lang w:val="sq-AL"/>
        </w:rPr>
      </w:pPr>
    </w:p>
    <w:p w14:paraId="6CBB6CF8" w14:textId="6EAD5411" w:rsidR="0061577C" w:rsidRPr="003A149E" w:rsidRDefault="0061577C" w:rsidP="00C6342C">
      <w:pPr>
        <w:jc w:val="both"/>
        <w:rPr>
          <w:lang w:val="sq-AL"/>
        </w:rPr>
      </w:pPr>
      <w:r w:rsidRPr="003A149E">
        <w:rPr>
          <w:lang w:val="sq-AL"/>
        </w:rPr>
        <w:t xml:space="preserve">Ndërkohë Banka e Shqipërisë, nëpërmjet akteve rregullative, do të vendosë kriteret për shumën monetare minimale për sigurimin e dëmshpërblimit </w:t>
      </w:r>
      <w:r w:rsidR="00D50AA8" w:rsidRPr="003A149E">
        <w:rPr>
          <w:lang w:val="sq-AL"/>
        </w:rPr>
        <w:t xml:space="preserve">profesional </w:t>
      </w:r>
      <w:r w:rsidRPr="003A149E">
        <w:rPr>
          <w:lang w:val="sq-AL"/>
        </w:rPr>
        <w:t xml:space="preserve">ose të garancive të tjera të krahasueshme për veprimtaritë e shërbimeve të pagesave "shërbimi i inicimit të </w:t>
      </w:r>
      <w:r w:rsidR="00516591" w:rsidRPr="003A149E">
        <w:rPr>
          <w:lang w:val="sq-AL"/>
        </w:rPr>
        <w:t>pagesës</w:t>
      </w:r>
      <w:r w:rsidRPr="003A149E">
        <w:rPr>
          <w:lang w:val="sq-AL"/>
        </w:rPr>
        <w:t xml:space="preserve">" dhe "shërbimi i informimit mbi llogarinë". </w:t>
      </w:r>
      <w:r w:rsidR="002C1273" w:rsidRPr="003A149E">
        <w:rPr>
          <w:lang w:val="sq-AL"/>
        </w:rPr>
        <w:t>Aktet n</w:t>
      </w:r>
      <w:r w:rsidR="00B73CD4" w:rsidRPr="003A149E">
        <w:rPr>
          <w:lang w:val="sq-AL"/>
        </w:rPr>
        <w:t>ë</w:t>
      </w:r>
      <w:r w:rsidR="002C1273" w:rsidRPr="003A149E">
        <w:rPr>
          <w:lang w:val="sq-AL"/>
        </w:rPr>
        <w:t>nligjore do t</w:t>
      </w:r>
      <w:r w:rsidR="00B73CD4" w:rsidRPr="003A149E">
        <w:rPr>
          <w:lang w:val="sq-AL"/>
        </w:rPr>
        <w:t>ë</w:t>
      </w:r>
      <w:r w:rsidR="002C1273" w:rsidRPr="003A149E">
        <w:rPr>
          <w:lang w:val="sq-AL"/>
        </w:rPr>
        <w:t xml:space="preserve"> hartohen mbështetur n</w:t>
      </w:r>
      <w:r w:rsidR="00B73CD4" w:rsidRPr="003A149E">
        <w:rPr>
          <w:lang w:val="sq-AL"/>
        </w:rPr>
        <w:t>ë</w:t>
      </w:r>
      <w:r w:rsidR="002C1273" w:rsidRPr="003A149E">
        <w:rPr>
          <w:lang w:val="sq-AL"/>
        </w:rPr>
        <w:t xml:space="preserve"> rregulloret dhe udhëzimet </w:t>
      </w:r>
      <w:r w:rsidR="00516591" w:rsidRPr="003A149E">
        <w:rPr>
          <w:lang w:val="sq-AL"/>
        </w:rPr>
        <w:t>e Komisionit Europian dhe Autoritetit Bankar Europian (EBA)</w:t>
      </w:r>
      <w:r w:rsidR="00FA65AB" w:rsidRPr="003A149E">
        <w:rPr>
          <w:lang w:val="sq-AL"/>
        </w:rPr>
        <w:t>.</w:t>
      </w:r>
    </w:p>
    <w:p w14:paraId="6D504F24" w14:textId="77777777" w:rsidR="00C6342C" w:rsidRPr="003A149E" w:rsidRDefault="00C6342C" w:rsidP="00C6342C">
      <w:pPr>
        <w:jc w:val="both"/>
        <w:rPr>
          <w:lang w:val="sq-AL"/>
        </w:rPr>
      </w:pPr>
    </w:p>
    <w:p w14:paraId="3CF90B65" w14:textId="6708CABA" w:rsidR="0061577C" w:rsidRPr="003A149E" w:rsidRDefault="007B2372" w:rsidP="00C6342C">
      <w:pPr>
        <w:jc w:val="both"/>
        <w:rPr>
          <w:rFonts w:eastAsia="Calibri"/>
          <w:lang w:val="sq-AL" w:eastAsia="sq-AL" w:bidi="sq-AL"/>
        </w:rPr>
      </w:pPr>
      <w:r w:rsidRPr="003A149E">
        <w:rPr>
          <w:lang w:val="sq-AL"/>
        </w:rPr>
        <w:t>Në nenin 8 të projekt</w:t>
      </w:r>
      <w:r w:rsidR="0061577C" w:rsidRPr="003A149E">
        <w:rPr>
          <w:lang w:val="sq-AL"/>
        </w:rPr>
        <w:t>ligjit parashikohen dispozitat në lidhje me zotërimin e kapitalit të institucionit të pagesës. Çdo person fizik ose juridik që synon të zotërojë pjesëmarrje influencuese (</w:t>
      </w:r>
      <w:r w:rsidR="0061577C" w:rsidRPr="003A149E">
        <w:rPr>
          <w:u w:val="single"/>
          <w:lang w:val="sq-AL"/>
        </w:rPr>
        <w:t>&gt;</w:t>
      </w:r>
      <w:r w:rsidR="0061577C" w:rsidRPr="003A149E">
        <w:rPr>
          <w:lang w:val="sq-AL"/>
        </w:rPr>
        <w:t>10</w:t>
      </w:r>
      <w:r w:rsidR="001F082F" w:rsidRPr="003A149E">
        <w:rPr>
          <w:lang w:val="sq-AL"/>
        </w:rPr>
        <w:t>%</w:t>
      </w:r>
      <w:r w:rsidR="0061577C" w:rsidRPr="003A149E">
        <w:rPr>
          <w:lang w:val="sq-AL"/>
        </w:rPr>
        <w:t xml:space="preserve"> të kapitalit të institucionit të pagesës) të drejtpërdrejtë ose të tërthortë ose t</w:t>
      </w:r>
      <w:r w:rsidR="008310DD" w:rsidRPr="003A149E">
        <w:rPr>
          <w:lang w:val="sq-AL"/>
        </w:rPr>
        <w:t>a</w:t>
      </w:r>
      <w:r w:rsidR="0061577C" w:rsidRPr="003A149E">
        <w:rPr>
          <w:lang w:val="sq-AL"/>
        </w:rPr>
        <w:t xml:space="preserve"> rrisë këtë pjesëmarrje</w:t>
      </w:r>
      <w:r w:rsidR="005573B8" w:rsidRPr="003A149E">
        <w:rPr>
          <w:lang w:val="sq-AL"/>
        </w:rPr>
        <w:t>,</w:t>
      </w:r>
      <w:r w:rsidR="0061577C" w:rsidRPr="003A149E">
        <w:rPr>
          <w:lang w:val="sq-AL"/>
        </w:rPr>
        <w:t xml:space="preserve"> duke tejkaluar 20</w:t>
      </w:r>
      <w:r w:rsidR="001F082F" w:rsidRPr="003A149E">
        <w:rPr>
          <w:lang w:val="sq-AL"/>
        </w:rPr>
        <w:t>%</w:t>
      </w:r>
      <w:r w:rsidR="0061577C" w:rsidRPr="003A149E">
        <w:rPr>
          <w:lang w:val="sq-AL"/>
        </w:rPr>
        <w:t xml:space="preserve">, </w:t>
      </w:r>
      <w:r w:rsidR="0061577C" w:rsidRPr="003A149E">
        <w:rPr>
          <w:rFonts w:eastAsia="Calibri"/>
          <w:lang w:val="sq-AL" w:eastAsia="sq-AL" w:bidi="sq-AL"/>
        </w:rPr>
        <w:t>30</w:t>
      </w:r>
      <w:r w:rsidR="001F082F" w:rsidRPr="003A149E">
        <w:rPr>
          <w:lang w:val="sq-AL"/>
        </w:rPr>
        <w:t>%</w:t>
      </w:r>
      <w:r w:rsidR="0061577C" w:rsidRPr="003A149E">
        <w:rPr>
          <w:rFonts w:eastAsia="Calibri"/>
          <w:lang w:val="sq-AL" w:eastAsia="sq-AL" w:bidi="sq-AL"/>
        </w:rPr>
        <w:t xml:space="preserve"> ose 50</w:t>
      </w:r>
      <w:r w:rsidR="001F082F" w:rsidRPr="003A149E">
        <w:rPr>
          <w:lang w:val="sq-AL"/>
        </w:rPr>
        <w:t>%</w:t>
      </w:r>
      <w:r w:rsidR="008310DD" w:rsidRPr="003A149E">
        <w:rPr>
          <w:lang w:val="sq-AL"/>
        </w:rPr>
        <w:t>,</w:t>
      </w:r>
      <w:r w:rsidR="0061577C" w:rsidRPr="003A149E">
        <w:rPr>
          <w:rFonts w:eastAsia="Calibri"/>
          <w:lang w:val="sq-AL" w:eastAsia="sq-AL" w:bidi="sq-AL"/>
        </w:rPr>
        <w:t xml:space="preserve"> ose që institucioni i pagesës </w:t>
      </w:r>
      <w:r w:rsidR="008310DD" w:rsidRPr="003A149E">
        <w:rPr>
          <w:rFonts w:eastAsia="Calibri"/>
          <w:lang w:val="sq-AL" w:eastAsia="sq-AL" w:bidi="sq-AL"/>
        </w:rPr>
        <w:t xml:space="preserve">të </w:t>
      </w:r>
      <w:r w:rsidR="0061577C" w:rsidRPr="003A149E">
        <w:rPr>
          <w:rFonts w:eastAsia="Calibri"/>
          <w:lang w:val="sq-AL" w:eastAsia="sq-AL" w:bidi="sq-AL"/>
        </w:rPr>
        <w:t>bëhet filiali i tij, informon paraprakisht me shkrim për këtë qëllim Bankën e Shqipërisë. Me akt rregullativ të Bankës së Shqipërisë do të përcaktohen kërkesat dhe kriteret që duhet të plotësojë personi fizik ose juridik që do të kërkojë të zotërojë pjesëmarrje influencuese në kapitalin e institucionit të pagesës. Banka e Shqipërisë ka të drejtë të refuzojë zotërimin/ ndryshimin e pjesëmarrjes influencuese</w:t>
      </w:r>
      <w:r w:rsidR="005573B8" w:rsidRPr="003A149E">
        <w:rPr>
          <w:rFonts w:eastAsia="Calibri"/>
          <w:lang w:val="sq-AL" w:eastAsia="sq-AL" w:bidi="sq-AL"/>
        </w:rPr>
        <w:t>,</w:t>
      </w:r>
      <w:r w:rsidR="0061577C" w:rsidRPr="003A149E">
        <w:rPr>
          <w:rFonts w:eastAsia="Calibri"/>
          <w:lang w:val="sq-AL" w:eastAsia="sq-AL" w:bidi="sq-AL"/>
        </w:rPr>
        <w:t xml:space="preserve"> kur e gjykon që ky zotërim do të ndikojë në përkeqësimin e administrimit të shëndetshëm dhe të kujdesshëm të institucionit të pagesës. </w:t>
      </w:r>
    </w:p>
    <w:p w14:paraId="3936EA26" w14:textId="77777777" w:rsidR="0061577C" w:rsidRPr="003A149E" w:rsidRDefault="0061577C" w:rsidP="00C6342C">
      <w:pPr>
        <w:pStyle w:val="ListParagraph"/>
        <w:spacing w:after="0" w:line="240" w:lineRule="auto"/>
        <w:ind w:left="0"/>
        <w:jc w:val="both"/>
        <w:rPr>
          <w:rFonts w:ascii="Times New Roman" w:eastAsia="MS Mincho" w:hAnsi="Times New Roman"/>
          <w:sz w:val="24"/>
          <w:szCs w:val="24"/>
          <w:lang w:val="sq-AL"/>
        </w:rPr>
      </w:pPr>
    </w:p>
    <w:p w14:paraId="0AC18016" w14:textId="210C92CA" w:rsidR="0061577C" w:rsidRPr="00010E6E" w:rsidRDefault="0061577C" w:rsidP="00C6342C">
      <w:pPr>
        <w:pStyle w:val="ListParagraph"/>
        <w:spacing w:after="0" w:line="240" w:lineRule="auto"/>
        <w:ind w:left="0"/>
        <w:jc w:val="both"/>
        <w:rPr>
          <w:rFonts w:ascii="Times New Roman" w:eastAsia="MS Mincho" w:hAnsi="Times New Roman"/>
          <w:sz w:val="24"/>
          <w:szCs w:val="24"/>
          <w:lang w:val="sq-AL"/>
        </w:rPr>
      </w:pPr>
      <w:r w:rsidRPr="003A149E">
        <w:rPr>
          <w:rFonts w:ascii="Times New Roman" w:eastAsia="MS Mincho" w:hAnsi="Times New Roman"/>
          <w:sz w:val="24"/>
          <w:szCs w:val="24"/>
          <w:lang w:val="sq-AL"/>
        </w:rPr>
        <w:t>Sa i takon kërkesave për kapital dhe mjaftueshmërisë së tij, për të ushtruar një veprimtari të qëndrueshme dhe të sigurt, ato parashikohen në nenet 9-11 të projektligjit. Gjatë konsultimeve të grupit të punës dhe në ndryshim nga direktiva</w:t>
      </w:r>
      <w:r w:rsidR="008310DD" w:rsidRPr="003A149E">
        <w:rPr>
          <w:rFonts w:ascii="Times New Roman" w:eastAsia="MS Mincho" w:hAnsi="Times New Roman"/>
          <w:sz w:val="24"/>
          <w:szCs w:val="24"/>
          <w:lang w:val="sq-AL"/>
        </w:rPr>
        <w:t>,</w:t>
      </w:r>
      <w:r w:rsidRPr="003A149E">
        <w:rPr>
          <w:rFonts w:ascii="Times New Roman" w:eastAsia="MS Mincho" w:hAnsi="Times New Roman"/>
          <w:sz w:val="24"/>
          <w:szCs w:val="24"/>
          <w:lang w:val="sq-AL"/>
        </w:rPr>
        <w:t xml:space="preserve"> është gjykuar më e arsyeshme që niveli minimal i kapitalit fillestar, përbërësit e tij (neni 9-10)</w:t>
      </w:r>
      <w:r w:rsidR="008310DD" w:rsidRPr="003A149E">
        <w:rPr>
          <w:rFonts w:ascii="Times New Roman" w:eastAsia="MS Mincho" w:hAnsi="Times New Roman"/>
          <w:sz w:val="24"/>
          <w:szCs w:val="24"/>
          <w:lang w:val="sq-AL"/>
        </w:rPr>
        <w:t>,</w:t>
      </w:r>
      <w:r w:rsidRPr="003A149E">
        <w:rPr>
          <w:rFonts w:ascii="Times New Roman" w:eastAsia="MS Mincho" w:hAnsi="Times New Roman"/>
          <w:sz w:val="24"/>
          <w:szCs w:val="24"/>
          <w:lang w:val="sq-AL"/>
        </w:rPr>
        <w:t xml:space="preserve"> si edhe </w:t>
      </w:r>
      <w:r w:rsidR="000C160C" w:rsidRPr="003A149E">
        <w:rPr>
          <w:rFonts w:ascii="Times New Roman" w:eastAsia="MS Mincho" w:hAnsi="Times New Roman"/>
          <w:sz w:val="24"/>
          <w:szCs w:val="24"/>
          <w:lang w:val="sq-AL"/>
        </w:rPr>
        <w:t>tre</w:t>
      </w:r>
      <w:r w:rsidRPr="003A149E">
        <w:rPr>
          <w:rFonts w:ascii="Times New Roman" w:eastAsia="MS Mincho" w:hAnsi="Times New Roman"/>
          <w:sz w:val="24"/>
          <w:szCs w:val="24"/>
          <w:lang w:val="sq-AL"/>
        </w:rPr>
        <w:t xml:space="preserve"> metodat e parashikuara në direktivë për llogaritjen e mjaftueshmërisë së</w:t>
      </w:r>
      <w:r w:rsidRPr="00010E6E">
        <w:rPr>
          <w:rFonts w:ascii="Times New Roman" w:eastAsia="MS Mincho" w:hAnsi="Times New Roman"/>
          <w:sz w:val="24"/>
          <w:szCs w:val="24"/>
          <w:lang w:val="sq-AL"/>
        </w:rPr>
        <w:t xml:space="preserve"> tij, të rregullohen nëpërmjet akteve nënligjore</w:t>
      </w:r>
      <w:r w:rsidR="005573B8" w:rsidRPr="00010E6E">
        <w:rPr>
          <w:rFonts w:ascii="Times New Roman" w:eastAsia="MS Mincho" w:hAnsi="Times New Roman"/>
          <w:sz w:val="24"/>
          <w:szCs w:val="24"/>
          <w:lang w:val="sq-AL"/>
        </w:rPr>
        <w:t xml:space="preserve"> të Bankës së Shqipërisë</w:t>
      </w:r>
      <w:r w:rsidRPr="00010E6E">
        <w:rPr>
          <w:rFonts w:ascii="Times New Roman" w:eastAsia="MS Mincho" w:hAnsi="Times New Roman"/>
          <w:sz w:val="24"/>
          <w:szCs w:val="24"/>
          <w:lang w:val="sq-AL"/>
        </w:rPr>
        <w:t xml:space="preserve">. Kërkesat për mjaftueshmërinë e </w:t>
      </w:r>
      <w:r w:rsidRPr="00010E6E">
        <w:rPr>
          <w:rFonts w:ascii="Times New Roman" w:eastAsia="MS Mincho" w:hAnsi="Times New Roman"/>
          <w:sz w:val="24"/>
          <w:szCs w:val="24"/>
          <w:lang w:val="sq-AL"/>
        </w:rPr>
        <w:lastRenderedPageBreak/>
        <w:t>kapitalit për institucionet e pagesës</w:t>
      </w:r>
      <w:r w:rsidR="005573B8" w:rsidRPr="00010E6E">
        <w:rPr>
          <w:rFonts w:ascii="Times New Roman" w:eastAsia="MS Mincho" w:hAnsi="Times New Roman"/>
          <w:sz w:val="24"/>
          <w:szCs w:val="24"/>
          <w:lang w:val="sq-AL"/>
        </w:rPr>
        <w:t>,</w:t>
      </w:r>
      <w:r w:rsidRPr="00010E6E">
        <w:rPr>
          <w:rFonts w:ascii="Times New Roman" w:eastAsia="MS Mincho" w:hAnsi="Times New Roman"/>
          <w:sz w:val="24"/>
          <w:szCs w:val="24"/>
          <w:lang w:val="sq-AL"/>
        </w:rPr>
        <w:t xml:space="preserve"> bazohen kryesisht në volumin e transaksioneve të realizuara nga këto institucione (neni 11).  </w:t>
      </w:r>
    </w:p>
    <w:p w14:paraId="3C5B7C06" w14:textId="77777777" w:rsidR="00C6342C" w:rsidRPr="00010E6E" w:rsidRDefault="00C6342C" w:rsidP="00C6342C">
      <w:pPr>
        <w:pStyle w:val="ListParagraph"/>
        <w:spacing w:after="0" w:line="240" w:lineRule="auto"/>
        <w:ind w:left="0"/>
        <w:jc w:val="both"/>
        <w:rPr>
          <w:rFonts w:ascii="Times New Roman" w:eastAsia="MS Mincho" w:hAnsi="Times New Roman"/>
          <w:sz w:val="24"/>
          <w:szCs w:val="24"/>
          <w:lang w:val="sq-AL"/>
        </w:rPr>
      </w:pPr>
    </w:p>
    <w:p w14:paraId="1CB1B638" w14:textId="7A6805C7" w:rsidR="0061577C" w:rsidRPr="00010E6E" w:rsidRDefault="0061577C" w:rsidP="00C6342C">
      <w:pPr>
        <w:pStyle w:val="ListParagraph"/>
        <w:spacing w:after="0" w:line="240" w:lineRule="auto"/>
        <w:ind w:left="0"/>
        <w:jc w:val="both"/>
        <w:rPr>
          <w:rFonts w:ascii="Times New Roman" w:eastAsia="MS Mincho" w:hAnsi="Times New Roman"/>
          <w:sz w:val="24"/>
          <w:szCs w:val="24"/>
          <w:lang w:val="sq-AL"/>
        </w:rPr>
      </w:pPr>
      <w:r w:rsidRPr="00010E6E">
        <w:rPr>
          <w:rFonts w:ascii="Times New Roman" w:eastAsia="MS Mincho" w:hAnsi="Times New Roman"/>
          <w:sz w:val="24"/>
          <w:szCs w:val="24"/>
          <w:lang w:val="sq-AL"/>
        </w:rPr>
        <w:t>Projektligji parashikon gjithashtu se Banka e Shqipërisë, si autoritet përgjegjës ka të drejtën që: 1) të marrë masat e nevojshme për të siguruar që elementet përbërës</w:t>
      </w:r>
      <w:r w:rsidR="008310DD">
        <w:rPr>
          <w:rFonts w:ascii="Times New Roman" w:eastAsia="MS Mincho" w:hAnsi="Times New Roman"/>
          <w:sz w:val="24"/>
          <w:szCs w:val="24"/>
          <w:lang w:val="sq-AL"/>
        </w:rPr>
        <w:t>e</w:t>
      </w:r>
      <w:r w:rsidRPr="00010E6E">
        <w:rPr>
          <w:rFonts w:ascii="Times New Roman" w:eastAsia="MS Mincho" w:hAnsi="Times New Roman"/>
          <w:sz w:val="24"/>
          <w:szCs w:val="24"/>
          <w:lang w:val="sq-AL"/>
        </w:rPr>
        <w:t xml:space="preserve"> të kapitalit në kuadër të llogaritjes së mjaftueshmërisë së tij, të mos c</w:t>
      </w:r>
      <w:r w:rsidR="008310DD">
        <w:rPr>
          <w:rFonts w:ascii="Times New Roman" w:eastAsia="MS Mincho" w:hAnsi="Times New Roman"/>
          <w:sz w:val="24"/>
          <w:szCs w:val="24"/>
          <w:lang w:val="sq-AL"/>
        </w:rPr>
        <w:t>e</w:t>
      </w:r>
      <w:r w:rsidRPr="00010E6E">
        <w:rPr>
          <w:rFonts w:ascii="Times New Roman" w:eastAsia="MS Mincho" w:hAnsi="Times New Roman"/>
          <w:sz w:val="24"/>
          <w:szCs w:val="24"/>
          <w:lang w:val="sq-AL"/>
        </w:rPr>
        <w:t>nohen në rastet kur një institucion i pagesës është njëkohësisht pjesë e të njëjtit grup me një institucion tjetër pagese</w:t>
      </w:r>
      <w:r w:rsidR="005573B8" w:rsidRPr="00010E6E">
        <w:rPr>
          <w:rFonts w:ascii="Times New Roman" w:eastAsia="MS Mincho" w:hAnsi="Times New Roman"/>
          <w:sz w:val="24"/>
          <w:szCs w:val="24"/>
          <w:lang w:val="sq-AL"/>
        </w:rPr>
        <w:t>,</w:t>
      </w:r>
      <w:r w:rsidRPr="00010E6E">
        <w:rPr>
          <w:rFonts w:ascii="Times New Roman" w:eastAsia="MS Mincho" w:hAnsi="Times New Roman"/>
          <w:sz w:val="24"/>
          <w:szCs w:val="24"/>
          <w:lang w:val="sq-AL"/>
        </w:rPr>
        <w:t xml:space="preserve"> bankë, fond investimi</w:t>
      </w:r>
      <w:r w:rsidR="005573B8" w:rsidRPr="00010E6E">
        <w:rPr>
          <w:rFonts w:ascii="Times New Roman" w:eastAsia="MS Mincho" w:hAnsi="Times New Roman"/>
          <w:sz w:val="24"/>
          <w:szCs w:val="24"/>
          <w:lang w:val="sq-AL"/>
        </w:rPr>
        <w:t>, shoqëri sigurimi,</w:t>
      </w:r>
      <w:r w:rsidRPr="00010E6E">
        <w:rPr>
          <w:rFonts w:ascii="Times New Roman" w:eastAsia="MS Mincho" w:hAnsi="Times New Roman"/>
          <w:sz w:val="24"/>
          <w:szCs w:val="24"/>
          <w:lang w:val="sq-AL"/>
        </w:rPr>
        <w:t xml:space="preserve"> etj</w:t>
      </w:r>
      <w:r w:rsidR="005573B8" w:rsidRPr="00010E6E">
        <w:rPr>
          <w:rFonts w:ascii="Times New Roman" w:eastAsia="MS Mincho" w:hAnsi="Times New Roman"/>
          <w:sz w:val="24"/>
          <w:szCs w:val="24"/>
          <w:lang w:val="sq-AL"/>
        </w:rPr>
        <w:t>.</w:t>
      </w:r>
      <w:r w:rsidRPr="00010E6E">
        <w:rPr>
          <w:rFonts w:ascii="Times New Roman" w:eastAsia="MS Mincho" w:hAnsi="Times New Roman"/>
          <w:sz w:val="24"/>
          <w:szCs w:val="24"/>
          <w:lang w:val="sq-AL"/>
        </w:rPr>
        <w:t>,</w:t>
      </w:r>
      <w:r w:rsidR="002C4680" w:rsidRPr="00010E6E">
        <w:rPr>
          <w:rFonts w:ascii="Times New Roman" w:eastAsia="MS Mincho" w:hAnsi="Times New Roman"/>
          <w:sz w:val="24"/>
          <w:szCs w:val="24"/>
          <w:lang w:val="sq-AL"/>
        </w:rPr>
        <w:t xml:space="preserve"> ose ka karakter hibrid</w:t>
      </w:r>
      <w:r w:rsidR="008310DD">
        <w:rPr>
          <w:rFonts w:ascii="Times New Roman" w:eastAsia="MS Mincho" w:hAnsi="Times New Roman"/>
          <w:sz w:val="24"/>
          <w:szCs w:val="24"/>
          <w:lang w:val="sq-AL"/>
        </w:rPr>
        <w:t>;</w:t>
      </w:r>
      <w:r w:rsidRPr="00010E6E">
        <w:rPr>
          <w:rFonts w:ascii="Times New Roman" w:eastAsia="MS Mincho" w:hAnsi="Times New Roman"/>
          <w:sz w:val="24"/>
          <w:szCs w:val="24"/>
          <w:lang w:val="sq-AL"/>
        </w:rPr>
        <w:t xml:space="preserve"> si edhe 2) të kërkojë që vlera e kapitalit të institucionit të pagesës të jetë deri në 20% më e lartë se </w:t>
      </w:r>
      <w:r w:rsidR="00612659" w:rsidRPr="00010E6E">
        <w:rPr>
          <w:rFonts w:ascii="Times New Roman" w:eastAsia="MS Mincho" w:hAnsi="Times New Roman"/>
          <w:sz w:val="24"/>
          <w:szCs w:val="24"/>
          <w:lang w:val="sq-AL"/>
        </w:rPr>
        <w:t>ajo e</w:t>
      </w:r>
      <w:r w:rsidRPr="00010E6E">
        <w:rPr>
          <w:rFonts w:ascii="Times New Roman" w:eastAsia="MS Mincho" w:hAnsi="Times New Roman"/>
          <w:sz w:val="24"/>
          <w:szCs w:val="24"/>
          <w:lang w:val="sq-AL"/>
        </w:rPr>
        <w:t xml:space="preserve"> përcaktuar në aktet nënligjore, bazuar në vlerësimin e rrezikut</w:t>
      </w:r>
      <w:r w:rsidR="005573B8" w:rsidRPr="00010E6E">
        <w:rPr>
          <w:rFonts w:ascii="Times New Roman" w:eastAsia="MS Mincho" w:hAnsi="Times New Roman"/>
          <w:sz w:val="24"/>
          <w:szCs w:val="24"/>
          <w:lang w:val="sq-AL"/>
        </w:rPr>
        <w:t xml:space="preserve"> të këtij institucioni</w:t>
      </w:r>
      <w:r w:rsidRPr="00010E6E">
        <w:rPr>
          <w:rFonts w:ascii="Times New Roman" w:eastAsia="MS Mincho" w:hAnsi="Times New Roman"/>
          <w:sz w:val="24"/>
          <w:szCs w:val="24"/>
          <w:lang w:val="sq-AL"/>
        </w:rPr>
        <w:t xml:space="preserve">. </w:t>
      </w:r>
    </w:p>
    <w:p w14:paraId="68A8331F" w14:textId="77777777" w:rsidR="0061577C" w:rsidRPr="00010E6E" w:rsidRDefault="0061577C" w:rsidP="00C6342C">
      <w:pPr>
        <w:pStyle w:val="ListParagraph"/>
        <w:spacing w:after="0" w:line="240" w:lineRule="auto"/>
        <w:ind w:left="0"/>
        <w:jc w:val="both"/>
        <w:rPr>
          <w:rFonts w:ascii="Times New Roman" w:eastAsia="MS Mincho" w:hAnsi="Times New Roman"/>
          <w:sz w:val="24"/>
          <w:szCs w:val="24"/>
          <w:lang w:val="sq-AL"/>
        </w:rPr>
      </w:pPr>
    </w:p>
    <w:p w14:paraId="17BE0F9F" w14:textId="3C3EDB35" w:rsidR="0061577C" w:rsidRPr="00010E6E" w:rsidRDefault="007B2372" w:rsidP="00C6342C">
      <w:pPr>
        <w:pStyle w:val="ListParagraph"/>
        <w:spacing w:after="0" w:line="240" w:lineRule="auto"/>
        <w:ind w:left="0"/>
        <w:jc w:val="both"/>
        <w:rPr>
          <w:rFonts w:ascii="Times New Roman" w:eastAsia="MS Mincho" w:hAnsi="Times New Roman"/>
          <w:sz w:val="24"/>
          <w:szCs w:val="24"/>
          <w:lang w:val="sq-AL"/>
        </w:rPr>
      </w:pPr>
      <w:r w:rsidRPr="00010E6E">
        <w:rPr>
          <w:rFonts w:ascii="Times New Roman" w:eastAsia="MS Mincho" w:hAnsi="Times New Roman"/>
          <w:sz w:val="24"/>
          <w:szCs w:val="24"/>
          <w:lang w:val="sq-AL"/>
        </w:rPr>
        <w:t>Projek</w:t>
      </w:r>
      <w:r w:rsidR="003A3F0D" w:rsidRPr="00010E6E">
        <w:rPr>
          <w:rFonts w:ascii="Times New Roman" w:eastAsia="MS Mincho" w:hAnsi="Times New Roman"/>
          <w:sz w:val="24"/>
          <w:szCs w:val="24"/>
          <w:lang w:val="sq-AL"/>
        </w:rPr>
        <w:t>t</w:t>
      </w:r>
      <w:r w:rsidR="0061577C" w:rsidRPr="00010E6E">
        <w:rPr>
          <w:rFonts w:ascii="Times New Roman" w:eastAsia="MS Mincho" w:hAnsi="Times New Roman"/>
          <w:sz w:val="24"/>
          <w:szCs w:val="24"/>
          <w:lang w:val="sq-AL"/>
        </w:rPr>
        <w:t>ligji parashikon gjithashtu kërkesat për ruajtjen e fondeve të marra nga përdoruesit e shërbimeve të pagesave për kryerjen e transaksioneve të pagesave. Neni 12 përcakton qartë se institucioni i pagesës duhet t</w:t>
      </w:r>
      <w:r w:rsidR="005573B8" w:rsidRPr="00010E6E">
        <w:rPr>
          <w:rFonts w:ascii="Times New Roman" w:eastAsia="MS Mincho" w:hAnsi="Times New Roman"/>
          <w:sz w:val="24"/>
          <w:szCs w:val="24"/>
          <w:lang w:val="sq-AL"/>
        </w:rPr>
        <w:t>’i</w:t>
      </w:r>
      <w:r w:rsidR="0061577C" w:rsidRPr="00010E6E">
        <w:rPr>
          <w:rFonts w:ascii="Times New Roman" w:eastAsia="MS Mincho" w:hAnsi="Times New Roman"/>
          <w:sz w:val="24"/>
          <w:szCs w:val="24"/>
          <w:lang w:val="sq-AL"/>
        </w:rPr>
        <w:t xml:space="preserve"> mbajë këto fonde në një llogari të veçantë në një bankë ose t’i investojë ato në aktive të sigurta, të konvertueshme në para/likuide, me rrezik të ulët</w:t>
      </w:r>
      <w:r w:rsidR="005573B8" w:rsidRPr="00010E6E">
        <w:rPr>
          <w:rFonts w:ascii="Times New Roman" w:eastAsia="MS Mincho" w:hAnsi="Times New Roman"/>
          <w:sz w:val="24"/>
          <w:szCs w:val="24"/>
          <w:lang w:val="sq-AL"/>
        </w:rPr>
        <w:t>; këto fonde</w:t>
      </w:r>
      <w:r w:rsidR="00D339CD" w:rsidRPr="00010E6E">
        <w:rPr>
          <w:rFonts w:ascii="Times New Roman" w:eastAsia="MS Mincho" w:hAnsi="Times New Roman"/>
          <w:sz w:val="24"/>
          <w:szCs w:val="24"/>
          <w:lang w:val="sq-AL"/>
        </w:rPr>
        <w:t xml:space="preserve"> nuk mund të konfiskohen ose të jenë subjekt i procedurave të falimentimit</w:t>
      </w:r>
      <w:r w:rsidR="0061577C" w:rsidRPr="00010E6E">
        <w:rPr>
          <w:rFonts w:ascii="Times New Roman" w:eastAsia="MS Mincho" w:hAnsi="Times New Roman"/>
          <w:sz w:val="24"/>
          <w:szCs w:val="24"/>
          <w:lang w:val="sq-AL"/>
        </w:rPr>
        <w:t xml:space="preserve">. Gjithashtu projektligji </w:t>
      </w:r>
      <w:r w:rsidR="005573B8" w:rsidRPr="00010E6E">
        <w:rPr>
          <w:rFonts w:ascii="Times New Roman" w:eastAsia="MS Mincho" w:hAnsi="Times New Roman"/>
          <w:sz w:val="24"/>
          <w:szCs w:val="24"/>
          <w:lang w:val="sq-AL"/>
        </w:rPr>
        <w:t xml:space="preserve">parashikon si një formë të mundshme për ruajtjen e fondeve të marra nga përdoruesit e shërbimeve të pagesave, edhe </w:t>
      </w:r>
      <w:r w:rsidR="0061577C" w:rsidRPr="00010E6E">
        <w:rPr>
          <w:rFonts w:ascii="Times New Roman" w:eastAsia="MS Mincho" w:hAnsi="Times New Roman"/>
          <w:sz w:val="24"/>
          <w:szCs w:val="24"/>
          <w:lang w:val="sq-AL"/>
        </w:rPr>
        <w:t>sigur</w:t>
      </w:r>
      <w:r w:rsidR="005573B8" w:rsidRPr="00010E6E">
        <w:rPr>
          <w:rFonts w:ascii="Times New Roman" w:eastAsia="MS Mincho" w:hAnsi="Times New Roman"/>
          <w:sz w:val="24"/>
          <w:szCs w:val="24"/>
          <w:lang w:val="sq-AL"/>
        </w:rPr>
        <w:t>imin e tyre</w:t>
      </w:r>
      <w:r w:rsidR="0061577C" w:rsidRPr="00010E6E">
        <w:rPr>
          <w:rFonts w:ascii="Times New Roman" w:eastAsia="MS Mincho" w:hAnsi="Times New Roman"/>
          <w:sz w:val="24"/>
          <w:szCs w:val="24"/>
          <w:lang w:val="sq-AL"/>
        </w:rPr>
        <w:t xml:space="preserve"> </w:t>
      </w:r>
      <w:r w:rsidR="005573B8" w:rsidRPr="00010E6E">
        <w:rPr>
          <w:rFonts w:ascii="Times New Roman" w:eastAsia="MS Mincho" w:hAnsi="Times New Roman"/>
          <w:sz w:val="24"/>
          <w:szCs w:val="24"/>
          <w:lang w:val="sq-AL"/>
        </w:rPr>
        <w:t xml:space="preserve">me </w:t>
      </w:r>
      <w:r w:rsidR="0061577C" w:rsidRPr="00010E6E">
        <w:rPr>
          <w:rFonts w:ascii="Times New Roman" w:eastAsia="MS Mincho" w:hAnsi="Times New Roman"/>
          <w:sz w:val="24"/>
          <w:szCs w:val="24"/>
          <w:lang w:val="sq-AL"/>
        </w:rPr>
        <w:t xml:space="preserve">një policë sigurimi </w:t>
      </w:r>
      <w:r w:rsidR="005573B8" w:rsidRPr="00010E6E">
        <w:rPr>
          <w:rFonts w:ascii="Times New Roman" w:eastAsia="MS Mincho" w:hAnsi="Times New Roman"/>
          <w:sz w:val="24"/>
          <w:szCs w:val="24"/>
          <w:lang w:val="sq-AL"/>
        </w:rPr>
        <w:t xml:space="preserve">nga një shoqëri sigurimi, </w:t>
      </w:r>
      <w:r w:rsidR="0061577C" w:rsidRPr="00010E6E">
        <w:rPr>
          <w:rFonts w:ascii="Times New Roman" w:eastAsia="MS Mincho" w:hAnsi="Times New Roman"/>
          <w:sz w:val="24"/>
          <w:szCs w:val="24"/>
          <w:lang w:val="sq-AL"/>
        </w:rPr>
        <w:t xml:space="preserve">ose </w:t>
      </w:r>
      <w:r w:rsidR="005573B8" w:rsidRPr="00010E6E">
        <w:rPr>
          <w:rFonts w:ascii="Times New Roman" w:eastAsia="MS Mincho" w:hAnsi="Times New Roman"/>
          <w:sz w:val="24"/>
          <w:szCs w:val="24"/>
          <w:lang w:val="sq-AL"/>
        </w:rPr>
        <w:t xml:space="preserve">me një </w:t>
      </w:r>
      <w:r w:rsidR="0061577C" w:rsidRPr="00010E6E">
        <w:rPr>
          <w:rFonts w:ascii="Times New Roman" w:eastAsia="MS Mincho" w:hAnsi="Times New Roman"/>
          <w:sz w:val="24"/>
          <w:szCs w:val="24"/>
          <w:lang w:val="sq-AL"/>
        </w:rPr>
        <w:t xml:space="preserve">garanci tjetër </w:t>
      </w:r>
      <w:r w:rsidR="005573B8" w:rsidRPr="00010E6E">
        <w:rPr>
          <w:rFonts w:ascii="Times New Roman" w:eastAsia="MS Mincho" w:hAnsi="Times New Roman"/>
          <w:sz w:val="24"/>
          <w:szCs w:val="24"/>
          <w:lang w:val="sq-AL"/>
        </w:rPr>
        <w:t xml:space="preserve">të </w:t>
      </w:r>
      <w:r w:rsidR="0061577C" w:rsidRPr="00010E6E">
        <w:rPr>
          <w:rFonts w:ascii="Times New Roman" w:eastAsia="MS Mincho" w:hAnsi="Times New Roman"/>
          <w:sz w:val="24"/>
          <w:szCs w:val="24"/>
          <w:lang w:val="sq-AL"/>
        </w:rPr>
        <w:t>njëjtë me të, nga një bankë</w:t>
      </w:r>
      <w:r w:rsidR="005573B8" w:rsidRPr="00010E6E">
        <w:rPr>
          <w:rFonts w:ascii="Times New Roman" w:eastAsia="MS Mincho" w:hAnsi="Times New Roman"/>
          <w:sz w:val="24"/>
          <w:szCs w:val="24"/>
          <w:lang w:val="sq-AL"/>
        </w:rPr>
        <w:t>, ku shoqëria e sigurimit apo banka</w:t>
      </w:r>
      <w:r w:rsidR="00D339CD" w:rsidRPr="00010E6E">
        <w:rPr>
          <w:rFonts w:ascii="Times New Roman" w:eastAsia="MS Mincho" w:hAnsi="Times New Roman"/>
          <w:sz w:val="24"/>
          <w:szCs w:val="24"/>
          <w:lang w:val="sq-AL"/>
        </w:rPr>
        <w:t xml:space="preserve"> nuk i përket të njëjtit grup </w:t>
      </w:r>
      <w:r w:rsidR="005573B8" w:rsidRPr="00010E6E">
        <w:rPr>
          <w:rFonts w:ascii="Times New Roman" w:eastAsia="MS Mincho" w:hAnsi="Times New Roman"/>
          <w:sz w:val="24"/>
          <w:szCs w:val="24"/>
          <w:lang w:val="sq-AL"/>
        </w:rPr>
        <w:t>të</w:t>
      </w:r>
      <w:r w:rsidR="00D339CD" w:rsidRPr="00010E6E">
        <w:rPr>
          <w:rFonts w:ascii="Times New Roman" w:eastAsia="MS Mincho" w:hAnsi="Times New Roman"/>
          <w:sz w:val="24"/>
          <w:szCs w:val="24"/>
          <w:lang w:val="sq-AL"/>
        </w:rPr>
        <w:t xml:space="preserve"> institucioni</w:t>
      </w:r>
      <w:r w:rsidR="005573B8" w:rsidRPr="00010E6E">
        <w:rPr>
          <w:rFonts w:ascii="Times New Roman" w:eastAsia="MS Mincho" w:hAnsi="Times New Roman"/>
          <w:sz w:val="24"/>
          <w:szCs w:val="24"/>
          <w:lang w:val="sq-AL"/>
        </w:rPr>
        <w:t>t</w:t>
      </w:r>
      <w:r w:rsidR="00D339CD" w:rsidRPr="00010E6E">
        <w:rPr>
          <w:rFonts w:ascii="Times New Roman" w:eastAsia="MS Mincho" w:hAnsi="Times New Roman"/>
          <w:sz w:val="24"/>
          <w:szCs w:val="24"/>
          <w:lang w:val="sq-AL"/>
        </w:rPr>
        <w:t xml:space="preserve"> </w:t>
      </w:r>
      <w:r w:rsidR="005573B8" w:rsidRPr="00010E6E">
        <w:rPr>
          <w:rFonts w:ascii="Times New Roman" w:eastAsia="MS Mincho" w:hAnsi="Times New Roman"/>
          <w:sz w:val="24"/>
          <w:szCs w:val="24"/>
          <w:lang w:val="sq-AL"/>
        </w:rPr>
        <w:t>të</w:t>
      </w:r>
      <w:r w:rsidR="00D339CD" w:rsidRPr="00010E6E">
        <w:rPr>
          <w:rFonts w:ascii="Times New Roman" w:eastAsia="MS Mincho" w:hAnsi="Times New Roman"/>
          <w:sz w:val="24"/>
          <w:szCs w:val="24"/>
          <w:lang w:val="sq-AL"/>
        </w:rPr>
        <w:t xml:space="preserve"> pagesës</w:t>
      </w:r>
      <w:r w:rsidR="0061577C" w:rsidRPr="00010E6E">
        <w:rPr>
          <w:rFonts w:ascii="Times New Roman" w:eastAsia="MS Mincho" w:hAnsi="Times New Roman"/>
          <w:sz w:val="24"/>
          <w:szCs w:val="24"/>
          <w:lang w:val="sq-AL"/>
        </w:rPr>
        <w:t xml:space="preserve">. </w:t>
      </w:r>
    </w:p>
    <w:p w14:paraId="7169F4B1" w14:textId="77777777" w:rsidR="00963D16" w:rsidRPr="00010E6E" w:rsidRDefault="00963D16" w:rsidP="00C6342C">
      <w:pPr>
        <w:pStyle w:val="ListParagraph"/>
        <w:spacing w:after="0" w:line="240" w:lineRule="auto"/>
        <w:ind w:left="0"/>
        <w:jc w:val="both"/>
        <w:rPr>
          <w:rFonts w:ascii="Times New Roman" w:eastAsia="MS Mincho" w:hAnsi="Times New Roman"/>
          <w:sz w:val="24"/>
          <w:szCs w:val="24"/>
          <w:lang w:val="sq-AL"/>
        </w:rPr>
      </w:pPr>
    </w:p>
    <w:p w14:paraId="08DD1168" w14:textId="526C5F90" w:rsidR="00230D92" w:rsidRPr="00010E6E" w:rsidRDefault="0061577C" w:rsidP="00C6342C">
      <w:pPr>
        <w:jc w:val="both"/>
        <w:rPr>
          <w:lang w:val="sq-AL"/>
        </w:rPr>
      </w:pPr>
      <w:r w:rsidRPr="00010E6E">
        <w:rPr>
          <w:lang w:val="sq-AL"/>
        </w:rPr>
        <w:t xml:space="preserve">Procesi i licencimit të institucionit të pagesës </w:t>
      </w:r>
      <w:r w:rsidR="005573B8" w:rsidRPr="00010E6E">
        <w:rPr>
          <w:lang w:val="sq-AL"/>
        </w:rPr>
        <w:t xml:space="preserve">nga Banka e Shqipërisë </w:t>
      </w:r>
      <w:r w:rsidRPr="00010E6E">
        <w:rPr>
          <w:lang w:val="sq-AL"/>
        </w:rPr>
        <w:t>do të realizohet nëpërmjet vlerësimit dhe shqyrtimit të të gjithë dokumentacionit dhe informacionit që shoqëron kërkesën e subjektit aplikues, të cilat duhet të jenë në përputhje me të gjitha kërkesat ligjore dhe rregullative (neni 13). Në këtë proces</w:t>
      </w:r>
      <w:r w:rsidR="00FA0602" w:rsidRPr="00010E6E">
        <w:rPr>
          <w:lang w:val="sq-AL"/>
        </w:rPr>
        <w:t>,</w:t>
      </w:r>
      <w:r w:rsidRPr="00010E6E">
        <w:rPr>
          <w:lang w:val="sq-AL"/>
        </w:rPr>
        <w:t xml:space="preserve"> Banka e Shqipërisë bashkëpunon edhe me autoritete të tjera vendase për të bërë verifikime të pavarura për të provuar vërtetësinë e informacionit të paraqitur nga subjekti aplikues. Rëndësi në këtë proces i kushtohet, përveç të tjerave, edhe cilësisë së aks</w:t>
      </w:r>
      <w:r w:rsidR="00230D92" w:rsidRPr="00010E6E">
        <w:rPr>
          <w:lang w:val="sq-AL"/>
        </w:rPr>
        <w:t>ionerëve/</w:t>
      </w:r>
      <w:r w:rsidRPr="00010E6E">
        <w:rPr>
          <w:lang w:val="sq-AL"/>
        </w:rPr>
        <w:t xml:space="preserve">ortakëve me pjesëmarrje influencuese </w:t>
      </w:r>
      <w:r w:rsidR="00966810" w:rsidRPr="00010E6E">
        <w:rPr>
          <w:lang w:val="sq-AL"/>
        </w:rPr>
        <w:t xml:space="preserve">dhe të administratorëve, </w:t>
      </w:r>
      <w:r w:rsidRPr="00010E6E">
        <w:rPr>
          <w:lang w:val="sq-AL"/>
        </w:rPr>
        <w:t xml:space="preserve">për të siguruar një administrim të kujdesshëm dhe të shëndoshë të institucionit të pagesave. </w:t>
      </w:r>
    </w:p>
    <w:p w14:paraId="23F173DC" w14:textId="77777777" w:rsidR="00C6342C" w:rsidRPr="00010E6E" w:rsidRDefault="00C6342C" w:rsidP="00C6342C">
      <w:pPr>
        <w:jc w:val="both"/>
        <w:rPr>
          <w:lang w:val="sq-AL"/>
        </w:rPr>
      </w:pPr>
    </w:p>
    <w:p w14:paraId="00F697CA" w14:textId="7679596A" w:rsidR="0061577C" w:rsidRPr="00010E6E" w:rsidRDefault="0061577C" w:rsidP="00C6342C">
      <w:pPr>
        <w:jc w:val="both"/>
        <w:rPr>
          <w:rFonts w:eastAsia="Calibri"/>
          <w:lang w:val="sq-AL" w:eastAsia="sq-AL" w:bidi="sq-AL"/>
        </w:rPr>
      </w:pPr>
      <w:r w:rsidRPr="00010E6E">
        <w:rPr>
          <w:lang w:val="sq-AL"/>
        </w:rPr>
        <w:t>Mbështetur në direktivën e shërbime</w:t>
      </w:r>
      <w:r w:rsidR="007B2372" w:rsidRPr="00010E6E">
        <w:rPr>
          <w:lang w:val="sq-AL"/>
        </w:rPr>
        <w:t>ve të pagesave, edhe në projekt</w:t>
      </w:r>
      <w:r w:rsidRPr="00010E6E">
        <w:rPr>
          <w:lang w:val="sq-AL"/>
        </w:rPr>
        <w:t>ligj është parashikuar që, në rastet kur subjekti aplikues për institucion pagese është i përfshirë edhe në veprimtari të tjera tregtare, Banka e Shqipërisë mund të kërkojë krijimin e një shoqërie (</w:t>
      </w:r>
      <w:r w:rsidR="008A30AC" w:rsidRPr="00010E6E">
        <w:rPr>
          <w:lang w:val="sq-AL"/>
        </w:rPr>
        <w:t>subjekti</w:t>
      </w:r>
      <w:r w:rsidRPr="00010E6E">
        <w:rPr>
          <w:lang w:val="sq-AL"/>
        </w:rPr>
        <w:t>) të veçantë</w:t>
      </w:r>
      <w:r w:rsidR="00FA0602" w:rsidRPr="00010E6E">
        <w:rPr>
          <w:lang w:val="sq-AL"/>
        </w:rPr>
        <w:t>,</w:t>
      </w:r>
      <w:r w:rsidRPr="00010E6E">
        <w:rPr>
          <w:lang w:val="sq-AL"/>
        </w:rPr>
        <w:t xml:space="preserve"> që të ushtrojë vetëm veprimtarinë e shërbimeve të pagesave. Ky </w:t>
      </w:r>
      <w:r w:rsidRPr="00010E6E">
        <w:rPr>
          <w:lang w:val="sq-AL"/>
        </w:rPr>
        <w:lastRenderedPageBreak/>
        <w:t xml:space="preserve">parashikim lidhet me rastet kur gjykohet dhe vlerësohet </w:t>
      </w:r>
      <w:r w:rsidR="007E2B52">
        <w:rPr>
          <w:lang w:val="sq-AL"/>
        </w:rPr>
        <w:t>se</w:t>
      </w:r>
      <w:r w:rsidR="007E2B52" w:rsidRPr="00010E6E">
        <w:rPr>
          <w:lang w:val="sq-AL"/>
        </w:rPr>
        <w:t xml:space="preserve"> </w:t>
      </w:r>
      <w:r w:rsidRPr="00010E6E">
        <w:rPr>
          <w:lang w:val="sq-AL"/>
        </w:rPr>
        <w:t>ushtrimi i veprimtarive të tjera, që nuk janë shërbime pagesash, pengojnë apo mund të dëmtojnë qëndrueshmërinë financiare të institucionit të</w:t>
      </w:r>
      <w:r w:rsidRPr="00010E6E">
        <w:rPr>
          <w:rFonts w:eastAsia="Calibri"/>
          <w:lang w:val="sq-AL" w:eastAsia="sq-AL" w:bidi="sq-AL"/>
        </w:rPr>
        <w:t xml:space="preserve"> pagesave</w:t>
      </w:r>
      <w:r w:rsidR="00FA0602" w:rsidRPr="00010E6E">
        <w:rPr>
          <w:rFonts w:eastAsia="Calibri"/>
          <w:lang w:val="sq-AL" w:eastAsia="sq-AL" w:bidi="sq-AL"/>
        </w:rPr>
        <w:t>,</w:t>
      </w:r>
      <w:r w:rsidRPr="00010E6E">
        <w:rPr>
          <w:rFonts w:eastAsia="Calibri"/>
          <w:lang w:val="sq-AL" w:eastAsia="sq-AL" w:bidi="sq-AL"/>
        </w:rPr>
        <w:t xml:space="preserve"> ose </w:t>
      </w:r>
      <w:r w:rsidR="007E2B52">
        <w:rPr>
          <w:rFonts w:eastAsia="Calibri"/>
          <w:lang w:val="sq-AL" w:eastAsia="sq-AL" w:bidi="sq-AL"/>
        </w:rPr>
        <w:t xml:space="preserve">të </w:t>
      </w:r>
      <w:r w:rsidRPr="00010E6E">
        <w:rPr>
          <w:rFonts w:eastAsia="Calibri"/>
          <w:lang w:val="sq-AL" w:eastAsia="sq-AL" w:bidi="sq-AL"/>
        </w:rPr>
        <w:t>pengojnë Bankë</w:t>
      </w:r>
      <w:r w:rsidR="00976066" w:rsidRPr="00010E6E">
        <w:rPr>
          <w:rFonts w:eastAsia="Calibri"/>
          <w:lang w:val="sq-AL" w:eastAsia="sq-AL" w:bidi="sq-AL"/>
        </w:rPr>
        <w:t>n</w:t>
      </w:r>
      <w:r w:rsidRPr="00010E6E">
        <w:rPr>
          <w:rFonts w:eastAsia="Calibri"/>
          <w:lang w:val="sq-AL" w:eastAsia="sq-AL" w:bidi="sq-AL"/>
        </w:rPr>
        <w:t xml:space="preserve"> </w:t>
      </w:r>
      <w:r w:rsidR="00976066" w:rsidRPr="00010E6E">
        <w:rPr>
          <w:rFonts w:eastAsia="Calibri"/>
          <w:lang w:val="sq-AL" w:eastAsia="sq-AL" w:bidi="sq-AL"/>
        </w:rPr>
        <w:t xml:space="preserve">e </w:t>
      </w:r>
      <w:r w:rsidRPr="00010E6E">
        <w:rPr>
          <w:rFonts w:eastAsia="Calibri"/>
          <w:lang w:val="sq-AL" w:eastAsia="sq-AL" w:bidi="sq-AL"/>
        </w:rPr>
        <w:t xml:space="preserve">Shqipërisë për të monitoruar pajtueshmërinë e institucionit të pagesës me të gjitha detyrimet e përcaktuara në projektligj dhe në kuadrin rregullativ. </w:t>
      </w:r>
    </w:p>
    <w:p w14:paraId="0F29E432" w14:textId="77777777" w:rsidR="00C6342C" w:rsidRPr="00010E6E" w:rsidRDefault="00C6342C" w:rsidP="00C6342C">
      <w:pPr>
        <w:jc w:val="both"/>
        <w:rPr>
          <w:rFonts w:eastAsia="Calibri"/>
          <w:lang w:val="sq-AL" w:eastAsia="sq-AL" w:bidi="sq-AL"/>
        </w:rPr>
      </w:pPr>
    </w:p>
    <w:p w14:paraId="55241467" w14:textId="42AC6197" w:rsidR="0061577C" w:rsidRPr="00010E6E" w:rsidRDefault="0061577C" w:rsidP="00C6342C">
      <w:pPr>
        <w:jc w:val="both"/>
        <w:rPr>
          <w:rFonts w:eastAsia="Calibri"/>
          <w:lang w:val="sq-AL" w:eastAsia="sq-AL" w:bidi="sq-AL"/>
        </w:rPr>
      </w:pPr>
      <w:r w:rsidRPr="00010E6E">
        <w:rPr>
          <w:rFonts w:eastAsia="Calibri"/>
          <w:lang w:val="sq-AL" w:eastAsia="sq-AL" w:bidi="sq-AL"/>
        </w:rPr>
        <w:t>Afatet e komunikimit të vendimit të Bankës së Shqipërisë për dhënien ose refuzimin e licencës së institucionit të pagesës janë par</w:t>
      </w:r>
      <w:r w:rsidR="007B2372" w:rsidRPr="00010E6E">
        <w:rPr>
          <w:rFonts w:eastAsia="Calibri"/>
          <w:lang w:val="sq-AL" w:eastAsia="sq-AL" w:bidi="sq-AL"/>
        </w:rPr>
        <w:t>ashikuar në nenin 14 të projek</w:t>
      </w:r>
      <w:r w:rsidR="003A3F0D" w:rsidRPr="00010E6E">
        <w:rPr>
          <w:rFonts w:eastAsia="Calibri"/>
          <w:lang w:val="sq-AL" w:eastAsia="sq-AL" w:bidi="sq-AL"/>
        </w:rPr>
        <w:t>t</w:t>
      </w:r>
      <w:r w:rsidRPr="00010E6E">
        <w:rPr>
          <w:rFonts w:eastAsia="Calibri"/>
          <w:lang w:val="sq-AL" w:eastAsia="sq-AL" w:bidi="sq-AL"/>
        </w:rPr>
        <w:t xml:space="preserve">ligjit. Brenda tre muajve nga data e pranimit të kërkesës për licencë, subjektit aplikues i dërgohet vendimi i Bankës së Shqipërisë, i shoqëruar edhe me arsyet përkatëse në rastet e refuzimit. </w:t>
      </w:r>
    </w:p>
    <w:p w14:paraId="642F8846" w14:textId="77777777" w:rsidR="00963D16" w:rsidRPr="00010E6E" w:rsidRDefault="00963D16" w:rsidP="00C6342C">
      <w:pPr>
        <w:jc w:val="both"/>
        <w:rPr>
          <w:rFonts w:eastAsia="Calibri"/>
          <w:lang w:val="sq-AL" w:eastAsia="sq-AL" w:bidi="sq-AL"/>
        </w:rPr>
      </w:pPr>
    </w:p>
    <w:p w14:paraId="0E8BC74A" w14:textId="35642D20" w:rsidR="0061577C" w:rsidRPr="00010E6E" w:rsidRDefault="0061577C" w:rsidP="00C6342C">
      <w:pPr>
        <w:jc w:val="both"/>
        <w:rPr>
          <w:rFonts w:eastAsia="Calibri"/>
          <w:lang w:val="sq-AL" w:eastAsia="sq-AL" w:bidi="sq-AL"/>
        </w:rPr>
      </w:pPr>
      <w:r w:rsidRPr="00010E6E">
        <w:rPr>
          <w:rFonts w:eastAsia="Calibri"/>
          <w:lang w:val="sq-AL" w:eastAsia="sq-AL" w:bidi="sq-AL"/>
        </w:rPr>
        <w:t>Nëse gjatë ushtrimit të veprimtarisë së shërbimeve të pagesave, institucioni i pagesave nuk plotëson dhe nuk përmbush gjithë detyrimet ligjore dhe rregullative, Banka e Shqipërisë ka të drejtë</w:t>
      </w:r>
      <w:r w:rsidR="007E2B52">
        <w:rPr>
          <w:rFonts w:eastAsia="Calibri"/>
          <w:lang w:val="sq-AL" w:eastAsia="sq-AL" w:bidi="sq-AL"/>
        </w:rPr>
        <w:t>n</w:t>
      </w:r>
      <w:r w:rsidRPr="00010E6E">
        <w:rPr>
          <w:rFonts w:eastAsia="Calibri"/>
          <w:lang w:val="sq-AL" w:eastAsia="sq-AL" w:bidi="sq-AL"/>
        </w:rPr>
        <w:t xml:space="preserve"> t</w:t>
      </w:r>
      <w:r w:rsidR="007E2B52">
        <w:rPr>
          <w:rFonts w:eastAsia="Calibri"/>
          <w:lang w:val="sq-AL" w:eastAsia="sq-AL" w:bidi="sq-AL"/>
        </w:rPr>
        <w:t>a</w:t>
      </w:r>
      <w:r w:rsidRPr="00010E6E">
        <w:rPr>
          <w:rFonts w:eastAsia="Calibri"/>
          <w:lang w:val="sq-AL" w:eastAsia="sq-AL" w:bidi="sq-AL"/>
        </w:rPr>
        <w:t xml:space="preserve"> revokojë licencën e dhënë. Rastet e revokimit të licencës së institucionit të pagesave janë para</w:t>
      </w:r>
      <w:r w:rsidR="007B2372" w:rsidRPr="00010E6E">
        <w:rPr>
          <w:rFonts w:eastAsia="Calibri"/>
          <w:lang w:val="sq-AL" w:eastAsia="sq-AL" w:bidi="sq-AL"/>
        </w:rPr>
        <w:t>shikuar në nenin 15 të projekt</w:t>
      </w:r>
      <w:r w:rsidRPr="00010E6E">
        <w:rPr>
          <w:rFonts w:eastAsia="Calibri"/>
          <w:lang w:val="sq-AL" w:eastAsia="sq-AL" w:bidi="sq-AL"/>
        </w:rPr>
        <w:t>ligjit, dhe konsistojnë ndër të tjera në: dhënien e informacionit të rremë gjatë licencimit, mosplotësimin e kushteve sipas të cilave është dhënë licenca dhe mosinformimin e Bankës së Shqipërisë</w:t>
      </w:r>
      <w:r w:rsidR="00976066" w:rsidRPr="00010E6E">
        <w:rPr>
          <w:rFonts w:eastAsia="Calibri"/>
          <w:lang w:val="sq-AL" w:eastAsia="sq-AL" w:bidi="sq-AL"/>
        </w:rPr>
        <w:t xml:space="preserve"> në rast të ndryshimit të këtyre kushteve</w:t>
      </w:r>
      <w:r w:rsidRPr="00010E6E">
        <w:rPr>
          <w:rFonts w:eastAsia="Calibri"/>
          <w:lang w:val="sq-AL" w:eastAsia="sq-AL" w:bidi="sq-AL"/>
        </w:rPr>
        <w:t xml:space="preserve">, kërcënimin që paraqet për stabilitetin dhe besimin </w:t>
      </w:r>
      <w:r w:rsidR="00FA0602" w:rsidRPr="00010E6E">
        <w:rPr>
          <w:rFonts w:eastAsia="Calibri"/>
          <w:lang w:val="sq-AL" w:eastAsia="sq-AL" w:bidi="sq-AL"/>
        </w:rPr>
        <w:t xml:space="preserve">e </w:t>
      </w:r>
      <w:r w:rsidRPr="00010E6E">
        <w:rPr>
          <w:rFonts w:eastAsia="Calibri"/>
          <w:lang w:val="sq-AL" w:eastAsia="sq-AL" w:bidi="sq-AL"/>
        </w:rPr>
        <w:t>sisteme</w:t>
      </w:r>
      <w:r w:rsidR="00FA0602" w:rsidRPr="00010E6E">
        <w:rPr>
          <w:rFonts w:eastAsia="Calibri"/>
          <w:lang w:val="sq-AL" w:eastAsia="sq-AL" w:bidi="sq-AL"/>
        </w:rPr>
        <w:t>ve</w:t>
      </w:r>
      <w:r w:rsidRPr="00010E6E">
        <w:rPr>
          <w:rFonts w:eastAsia="Calibri"/>
          <w:lang w:val="sq-AL" w:eastAsia="sq-AL" w:bidi="sq-AL"/>
        </w:rPr>
        <w:t xml:space="preserve"> </w:t>
      </w:r>
      <w:r w:rsidR="00FA0602" w:rsidRPr="00010E6E">
        <w:rPr>
          <w:rFonts w:eastAsia="Calibri"/>
          <w:lang w:val="sq-AL" w:eastAsia="sq-AL" w:bidi="sq-AL"/>
        </w:rPr>
        <w:t>të</w:t>
      </w:r>
      <w:r w:rsidRPr="00010E6E">
        <w:rPr>
          <w:rFonts w:eastAsia="Calibri"/>
          <w:lang w:val="sq-AL" w:eastAsia="sq-AL" w:bidi="sq-AL"/>
        </w:rPr>
        <w:t xml:space="preserve"> pagesave, etj. Në vendimin e revokimit të licencës, Banka e Shqipërisë do të japë arsyet dhe do të njoftojë palët e interesuara. Vendimi i revokimit botohet në Buletinin Zyrtar të Bankës së Shqipërisë. </w:t>
      </w:r>
    </w:p>
    <w:p w14:paraId="23691DE7" w14:textId="77777777" w:rsidR="00C6342C" w:rsidRPr="00010E6E" w:rsidRDefault="00C6342C" w:rsidP="00C6342C">
      <w:pPr>
        <w:jc w:val="both"/>
        <w:rPr>
          <w:rFonts w:eastAsia="Calibri"/>
          <w:lang w:val="sq-AL" w:eastAsia="sq-AL" w:bidi="sq-AL"/>
        </w:rPr>
      </w:pPr>
    </w:p>
    <w:p w14:paraId="12ACED5B" w14:textId="5F23E85C" w:rsidR="0061577C" w:rsidRPr="00010E6E" w:rsidRDefault="0061577C" w:rsidP="00C6342C">
      <w:pPr>
        <w:jc w:val="both"/>
        <w:rPr>
          <w:rFonts w:eastAsia="Calibri"/>
          <w:lang w:val="sq-AL" w:eastAsia="sq-AL" w:bidi="sq-AL"/>
        </w:rPr>
      </w:pPr>
      <w:r w:rsidRPr="00010E6E">
        <w:rPr>
          <w:rFonts w:eastAsia="Calibri"/>
          <w:lang w:val="sq-AL" w:eastAsia="sq-AL" w:bidi="sq-AL"/>
        </w:rPr>
        <w:t xml:space="preserve">Institucionet e pagesave, të cilat janë pajisur me licencë nga Banka e Shqipërisë ose që kanë përfituar nga përjashtimet sipas neneve </w:t>
      </w:r>
      <w:r w:rsidR="000C160C" w:rsidRPr="00010E6E">
        <w:rPr>
          <w:rFonts w:eastAsia="Calibri"/>
          <w:lang w:val="sq-AL" w:eastAsia="sq-AL" w:bidi="sq-AL"/>
        </w:rPr>
        <w:t>27</w:t>
      </w:r>
      <w:r w:rsidRPr="00010E6E">
        <w:rPr>
          <w:rFonts w:eastAsia="Calibri"/>
          <w:lang w:val="sq-AL" w:eastAsia="sq-AL" w:bidi="sq-AL"/>
        </w:rPr>
        <w:t xml:space="preserve"> ose </w:t>
      </w:r>
      <w:r w:rsidR="000C160C" w:rsidRPr="00010E6E">
        <w:rPr>
          <w:rFonts w:eastAsia="Calibri"/>
          <w:lang w:val="sq-AL" w:eastAsia="sq-AL" w:bidi="sq-AL"/>
        </w:rPr>
        <w:t>28</w:t>
      </w:r>
      <w:r w:rsidRPr="00010E6E">
        <w:rPr>
          <w:rFonts w:eastAsia="Calibri"/>
          <w:lang w:val="sq-AL" w:eastAsia="sq-AL" w:bidi="sq-AL"/>
        </w:rPr>
        <w:t xml:space="preserve"> të projektligjit, dhe agjentët e tyre regjistrohen në regjistrin publik, që publikohet në </w:t>
      </w:r>
      <w:r w:rsidR="003F3609" w:rsidRPr="00010E6E">
        <w:rPr>
          <w:rFonts w:eastAsia="Calibri"/>
          <w:lang w:val="sq-AL" w:eastAsia="sq-AL" w:bidi="sq-AL"/>
        </w:rPr>
        <w:t>faqen zyrtare t</w:t>
      </w:r>
      <w:r w:rsidR="003F3609" w:rsidRPr="00010E6E">
        <w:rPr>
          <w:lang w:val="sq-AL"/>
        </w:rPr>
        <w:t>ë internetit</w:t>
      </w:r>
      <w:r w:rsidR="003F3609" w:rsidRPr="00010E6E">
        <w:rPr>
          <w:rFonts w:eastAsia="Calibri"/>
          <w:lang w:val="sq-AL" w:eastAsia="sq-AL" w:bidi="sq-AL"/>
        </w:rPr>
        <w:t xml:space="preserve"> </w:t>
      </w:r>
      <w:r w:rsidRPr="00010E6E">
        <w:rPr>
          <w:rFonts w:eastAsia="Calibri"/>
          <w:lang w:val="sq-AL" w:eastAsia="sq-AL" w:bidi="sq-AL"/>
        </w:rPr>
        <w:t xml:space="preserve">të Bankës së Shqipërisë. Regjistri do të përmbajë të dhënat për shërbimet e pagesave që do të ofrojë çdo institucion i pagesave. Çdo revokim licence ose ndryshim në lidhje me përjashtimet sipas neneve </w:t>
      </w:r>
      <w:r w:rsidR="000C160C" w:rsidRPr="00010E6E">
        <w:rPr>
          <w:rFonts w:eastAsia="Calibri"/>
          <w:lang w:val="sq-AL" w:eastAsia="sq-AL" w:bidi="sq-AL"/>
        </w:rPr>
        <w:t>27</w:t>
      </w:r>
      <w:r w:rsidRPr="00010E6E">
        <w:rPr>
          <w:rFonts w:eastAsia="Calibri"/>
          <w:lang w:val="sq-AL" w:eastAsia="sq-AL" w:bidi="sq-AL"/>
        </w:rPr>
        <w:t xml:space="preserve"> ose </w:t>
      </w:r>
      <w:r w:rsidR="000C160C" w:rsidRPr="00010E6E">
        <w:rPr>
          <w:rFonts w:eastAsia="Calibri"/>
          <w:lang w:val="sq-AL" w:eastAsia="sq-AL" w:bidi="sq-AL"/>
        </w:rPr>
        <w:t>28</w:t>
      </w:r>
      <w:r w:rsidRPr="00010E6E">
        <w:rPr>
          <w:rFonts w:eastAsia="Calibri"/>
          <w:lang w:val="sq-AL" w:eastAsia="sq-AL" w:bidi="sq-AL"/>
        </w:rPr>
        <w:t xml:space="preserve">, gjithashtu do të publikohet në regjistër.  </w:t>
      </w:r>
    </w:p>
    <w:p w14:paraId="0F1A65A6" w14:textId="77777777" w:rsidR="00C6342C" w:rsidRPr="00010E6E" w:rsidRDefault="00C6342C" w:rsidP="00C6342C">
      <w:pPr>
        <w:jc w:val="both"/>
        <w:rPr>
          <w:rFonts w:eastAsia="Calibri"/>
          <w:lang w:val="sq-AL" w:eastAsia="sq-AL" w:bidi="sq-AL"/>
        </w:rPr>
      </w:pPr>
    </w:p>
    <w:p w14:paraId="02BA3D84" w14:textId="77777777" w:rsidR="0061577C" w:rsidRPr="00010E6E" w:rsidRDefault="0061577C" w:rsidP="00C6342C">
      <w:pPr>
        <w:jc w:val="both"/>
        <w:rPr>
          <w:rFonts w:eastAsia="Calibri"/>
          <w:lang w:val="sq-AL" w:eastAsia="sq-AL" w:bidi="sq-AL"/>
        </w:rPr>
      </w:pPr>
      <w:r w:rsidRPr="00010E6E">
        <w:rPr>
          <w:rFonts w:eastAsia="Calibri"/>
          <w:lang w:val="sq-AL" w:eastAsia="sq-AL" w:bidi="sq-AL"/>
        </w:rPr>
        <w:t>Për çdo ndryshim në faktet dhe rrethanat, mbi të cilat është dhënë licenca, institucioni i pagesave ka detyrimin të njoftojë Bankën e Shqipërisë menjëherë dhe jo më vonë se 15 ditë pas ndodhjes së ndryshimit, sipas paras</w:t>
      </w:r>
      <w:r w:rsidR="007B2372" w:rsidRPr="00010E6E">
        <w:rPr>
          <w:rFonts w:eastAsia="Calibri"/>
          <w:lang w:val="sq-AL" w:eastAsia="sq-AL" w:bidi="sq-AL"/>
        </w:rPr>
        <w:t>hikimeve në nenin 17 të projekt</w:t>
      </w:r>
      <w:r w:rsidRPr="00010E6E">
        <w:rPr>
          <w:rFonts w:eastAsia="Calibri"/>
          <w:lang w:val="sq-AL" w:eastAsia="sq-AL" w:bidi="sq-AL"/>
        </w:rPr>
        <w:t xml:space="preserve">ligjit. </w:t>
      </w:r>
    </w:p>
    <w:p w14:paraId="3DD6AAE0" w14:textId="77777777" w:rsidR="00230D92" w:rsidRPr="00010E6E" w:rsidRDefault="00230D92" w:rsidP="00C6342C">
      <w:pPr>
        <w:jc w:val="both"/>
        <w:rPr>
          <w:rFonts w:eastAsia="Calibri"/>
          <w:lang w:val="sq-AL" w:eastAsia="sq-AL" w:bidi="sq-AL"/>
        </w:rPr>
      </w:pPr>
    </w:p>
    <w:p w14:paraId="6F661683" w14:textId="572680BD" w:rsidR="00230D92" w:rsidRPr="00010E6E" w:rsidRDefault="0061577C" w:rsidP="00C6342C">
      <w:pPr>
        <w:jc w:val="both"/>
        <w:rPr>
          <w:lang w:val="sq-AL"/>
        </w:rPr>
      </w:pPr>
      <w:r w:rsidRPr="00010E6E">
        <w:rPr>
          <w:rFonts w:eastAsia="Calibri"/>
          <w:lang w:val="sq-AL" w:eastAsia="sq-AL" w:bidi="sq-AL"/>
        </w:rPr>
        <w:t xml:space="preserve">Neni 18 përcakton kërkesat për llogaritë kontabël dhe përgatitjen e </w:t>
      </w:r>
      <w:r w:rsidRPr="00010E6E">
        <w:rPr>
          <w:lang w:val="sq-AL"/>
        </w:rPr>
        <w:t xml:space="preserve">raporteve financiare, në përputhje me rregullat dhe parimet kontabël dhe sipas legjislacionit në fuqi “Për </w:t>
      </w:r>
      <w:r w:rsidRPr="00010E6E">
        <w:rPr>
          <w:lang w:val="sq-AL"/>
        </w:rPr>
        <w:lastRenderedPageBreak/>
        <w:t>kontabilitetin dhe pasqyrat financiare”, mbi baza individuale ose të konsoliduara. Njëkohësisht</w:t>
      </w:r>
      <w:r w:rsidR="006D1A11">
        <w:rPr>
          <w:lang w:val="sq-AL"/>
        </w:rPr>
        <w:t>,</w:t>
      </w:r>
      <w:r w:rsidRPr="00010E6E">
        <w:rPr>
          <w:lang w:val="sq-AL"/>
        </w:rPr>
        <w:t xml:space="preserve"> ky nen vendos kërkesa mbi auditimin e </w:t>
      </w:r>
      <w:r w:rsidRPr="00010E6E">
        <w:rPr>
          <w:rFonts w:eastAsia="Calibri"/>
          <w:lang w:val="sq-AL" w:eastAsia="sq-AL" w:bidi="sq-AL"/>
        </w:rPr>
        <w:t xml:space="preserve">llogarive vjetore dhe llogarive të konsoliduara të institucioneve të pagesave, sipas legjislacionit në fuqi. Ndërkohë ky nen parashikon përcaktimin me akt nënligjor të </w:t>
      </w:r>
      <w:r w:rsidRPr="00010E6E">
        <w:rPr>
          <w:lang w:val="sq-AL"/>
        </w:rPr>
        <w:t>formës, tipit, metodologjisë, përmbajtjes së raporteve dhe kohës së raportimit të institucioneve t</w:t>
      </w:r>
      <w:r w:rsidRPr="00010E6E">
        <w:rPr>
          <w:rFonts w:eastAsia="Calibri"/>
          <w:lang w:val="sq-AL" w:eastAsia="sq-AL" w:bidi="sq-AL"/>
        </w:rPr>
        <w:t>ë</w:t>
      </w:r>
      <w:r w:rsidRPr="00010E6E">
        <w:rPr>
          <w:lang w:val="sq-AL"/>
        </w:rPr>
        <w:t xml:space="preserve"> pages</w:t>
      </w:r>
      <w:r w:rsidRPr="00010E6E">
        <w:rPr>
          <w:rFonts w:eastAsia="Calibri"/>
          <w:lang w:val="sq-AL" w:eastAsia="sq-AL" w:bidi="sq-AL"/>
        </w:rPr>
        <w:t>ë</w:t>
      </w:r>
      <w:r w:rsidRPr="00010E6E">
        <w:rPr>
          <w:lang w:val="sq-AL"/>
        </w:rPr>
        <w:t xml:space="preserve">s në Bankën e Shqipërisë. Në tërësinë e tij, ky nen i projektligjit është përshtatur </w:t>
      </w:r>
      <w:r w:rsidR="006D1A11">
        <w:rPr>
          <w:lang w:val="sq-AL"/>
        </w:rPr>
        <w:t>me</w:t>
      </w:r>
      <w:r w:rsidR="006D1A11" w:rsidRPr="00010E6E">
        <w:rPr>
          <w:lang w:val="sq-AL"/>
        </w:rPr>
        <w:t xml:space="preserve"> </w:t>
      </w:r>
      <w:r w:rsidRPr="00010E6E">
        <w:rPr>
          <w:lang w:val="sq-AL"/>
        </w:rPr>
        <w:t>kërkesa</w:t>
      </w:r>
      <w:r w:rsidR="006D1A11">
        <w:rPr>
          <w:lang w:val="sq-AL"/>
        </w:rPr>
        <w:t>t e</w:t>
      </w:r>
      <w:r w:rsidRPr="00010E6E">
        <w:rPr>
          <w:lang w:val="sq-AL"/>
        </w:rPr>
        <w:t xml:space="preserve"> Ligjit “Për bankat në RSH”, me qëllim harmonizimin e kërkesave për kontabilitetin dhe auditimin ligjor, për të gjith</w:t>
      </w:r>
      <w:r w:rsidR="006D1A11">
        <w:rPr>
          <w:lang w:val="sq-AL"/>
        </w:rPr>
        <w:t>a</w:t>
      </w:r>
      <w:r w:rsidRPr="00010E6E">
        <w:rPr>
          <w:lang w:val="sq-AL"/>
        </w:rPr>
        <w:t xml:space="preserve"> subjektet raportues</w:t>
      </w:r>
      <w:r w:rsidR="006D1A11">
        <w:rPr>
          <w:lang w:val="sq-AL"/>
        </w:rPr>
        <w:t>e</w:t>
      </w:r>
      <w:r w:rsidRPr="00010E6E">
        <w:rPr>
          <w:lang w:val="sq-AL"/>
        </w:rPr>
        <w:t xml:space="preserve"> në Bankën e Shqipërisë. </w:t>
      </w:r>
    </w:p>
    <w:p w14:paraId="3A7A86D7" w14:textId="77777777" w:rsidR="00FA0602" w:rsidRPr="00010E6E" w:rsidRDefault="00FA0602" w:rsidP="00C6342C">
      <w:pPr>
        <w:jc w:val="both"/>
        <w:rPr>
          <w:lang w:val="sq-AL"/>
        </w:rPr>
      </w:pPr>
    </w:p>
    <w:p w14:paraId="0993CBA3" w14:textId="56826281" w:rsidR="0061577C" w:rsidRPr="00010E6E" w:rsidRDefault="0061577C" w:rsidP="00C6342C">
      <w:pPr>
        <w:jc w:val="both"/>
        <w:rPr>
          <w:lang w:val="sq-AL"/>
        </w:rPr>
      </w:pPr>
      <w:r w:rsidRPr="00010E6E">
        <w:rPr>
          <w:lang w:val="sq-AL"/>
        </w:rPr>
        <w:t xml:space="preserve">Neni 19 parashikon të drejtën e institucioneve të pagesës për të kryer edhe veprimtari të tjera, të ndryshme nga ato të ofrimit të shërbimeve të pagesave, </w:t>
      </w:r>
      <w:r w:rsidR="00FA0602" w:rsidRPr="00010E6E">
        <w:rPr>
          <w:lang w:val="sq-AL"/>
        </w:rPr>
        <w:t>të cilat</w:t>
      </w:r>
      <w:r w:rsidRPr="00010E6E">
        <w:rPr>
          <w:lang w:val="sq-AL"/>
        </w:rPr>
        <w:t xml:space="preserve"> kryesisht janë në funksion të kryerjes së shërbimeve të pagesave (për shembull: shërbime operacionale dhe ndihmëse që mundësojnë ekzekutimin e transaksioneve të pagesave, shërbimet e këmbimit valutor, ruajtja dhe përpunimi i të dhënave, funksionimi i sistemeve të pagesave, si dhe veprimtari të tjera, të ndryshme nga ato të ofrimit të shërbimit të pagesave). Ky nen përcakton gjithashtu se fondet e marra nga institucionet e pagesave prej përdoruesve të shërbimeve të pagesave, nuk konsiderohen depozita apo fonde të tjera të ripagueshme dhe as para elektronike, sipas përcaktimeve në legjislacionin në fuqi për bankat. Në asnjë rast, institucionet e pagesave nuk lejohen </w:t>
      </w:r>
      <w:r w:rsidRPr="00010E6E">
        <w:rPr>
          <w:rFonts w:eastAsia="Calibri"/>
          <w:lang w:val="sq-AL" w:eastAsia="sq-AL" w:bidi="sq-AL"/>
        </w:rPr>
        <w:t xml:space="preserve">të ushtrojnë veprimtarinë e pranimit të depozitave ose të fondeve të tjera të ripagueshme. </w:t>
      </w:r>
      <w:r w:rsidRPr="00010E6E">
        <w:rPr>
          <w:lang w:val="sq-AL"/>
        </w:rPr>
        <w:t>Një element i rëndësishëm që paraqitet në këtë nen, lidhet me të drejtën e institucioneve të pagesave për të dhënë kredi në funksion të kryerjes së shërbimit të pagesës, përkundrejt plotësimit të njëkohshëm të disa kushteve</w:t>
      </w:r>
      <w:r w:rsidR="006D1A11">
        <w:rPr>
          <w:lang w:val="sq-AL"/>
        </w:rPr>
        <w:t>,</w:t>
      </w:r>
      <w:r w:rsidRPr="00010E6E">
        <w:rPr>
          <w:lang w:val="sq-AL"/>
        </w:rPr>
        <w:t xml:space="preserve"> si dhe të plotësimit të kërkesave ligjore për mbrojtjen e konsumatorëve. </w:t>
      </w:r>
      <w:r w:rsidR="00305987" w:rsidRPr="00010E6E">
        <w:rPr>
          <w:lang w:val="sq-AL"/>
        </w:rPr>
        <w:t>Në të njëjtat kushte</w:t>
      </w:r>
      <w:r w:rsidR="006D1A11">
        <w:rPr>
          <w:lang w:val="sq-AL"/>
        </w:rPr>
        <w:t>,</w:t>
      </w:r>
      <w:r w:rsidR="00305987" w:rsidRPr="00010E6E">
        <w:rPr>
          <w:lang w:val="sq-AL"/>
        </w:rPr>
        <w:t xml:space="preserve"> këto të drejta i gëzojnë edhe institucionet e parasë elektronike.</w:t>
      </w:r>
    </w:p>
    <w:p w14:paraId="05F7E46A" w14:textId="77777777" w:rsidR="007F36C6" w:rsidRPr="00010E6E" w:rsidRDefault="007F36C6" w:rsidP="00C6342C">
      <w:pPr>
        <w:jc w:val="both"/>
        <w:rPr>
          <w:lang w:val="sq-AL"/>
        </w:rPr>
      </w:pPr>
    </w:p>
    <w:p w14:paraId="02FBEAF6" w14:textId="1C1C3098" w:rsidR="007F36C6" w:rsidRPr="00010E6E" w:rsidRDefault="000C160C" w:rsidP="007F36C6">
      <w:pPr>
        <w:jc w:val="both"/>
        <w:rPr>
          <w:rFonts w:eastAsia="Calibri"/>
          <w:lang w:val="sq-AL" w:eastAsia="sq-AL" w:bidi="sq-AL"/>
        </w:rPr>
      </w:pPr>
      <w:r w:rsidRPr="00010E6E">
        <w:rPr>
          <w:lang w:val="sq-AL"/>
        </w:rPr>
        <w:t>Neni 20 i projektligjit “</w:t>
      </w:r>
      <w:r w:rsidR="00BA62E9" w:rsidRPr="00010E6E">
        <w:rPr>
          <w:lang w:val="sq-AL"/>
        </w:rPr>
        <w:t>O</w:t>
      </w:r>
      <w:r w:rsidRPr="00010E6E">
        <w:rPr>
          <w:lang w:val="sq-AL"/>
        </w:rPr>
        <w:t xml:space="preserve">perimi i sistemeve të pagesave” i mundëson ofruesve të  shërbimeve të pagesave të drejtën </w:t>
      </w:r>
      <w:r w:rsidR="00FA0602" w:rsidRPr="00010E6E">
        <w:rPr>
          <w:lang w:val="sq-AL"/>
        </w:rPr>
        <w:t xml:space="preserve">për </w:t>
      </w:r>
      <w:r w:rsidRPr="00010E6E">
        <w:rPr>
          <w:lang w:val="sq-AL"/>
        </w:rPr>
        <w:t>të oper</w:t>
      </w:r>
      <w:r w:rsidR="00FA0602" w:rsidRPr="00010E6E">
        <w:rPr>
          <w:lang w:val="sq-AL"/>
        </w:rPr>
        <w:t>uar</w:t>
      </w:r>
      <w:r w:rsidRPr="00010E6E">
        <w:rPr>
          <w:lang w:val="sq-AL"/>
        </w:rPr>
        <w:t xml:space="preserve"> sisteme pagesash. </w:t>
      </w:r>
      <w:r w:rsidR="007F36C6" w:rsidRPr="00010E6E">
        <w:rPr>
          <w:rFonts w:eastAsia="Calibri"/>
          <w:lang w:val="sq-AL" w:eastAsia="sq-AL" w:bidi="sq-AL"/>
        </w:rPr>
        <w:t>Më konkretisht</w:t>
      </w:r>
      <w:r w:rsidR="006D1A11">
        <w:rPr>
          <w:rFonts w:eastAsia="Calibri"/>
          <w:lang w:val="sq-AL" w:eastAsia="sq-AL" w:bidi="sq-AL"/>
        </w:rPr>
        <w:t>,</w:t>
      </w:r>
      <w:r w:rsidR="007F36C6" w:rsidRPr="00010E6E">
        <w:rPr>
          <w:rFonts w:eastAsia="Calibri"/>
          <w:lang w:val="sq-AL" w:eastAsia="sq-AL" w:bidi="sq-AL"/>
        </w:rPr>
        <w:t xml:space="preserve"> ky nen ka si synim njohjen e të drejtës së operimit të sistemeve të pagesave</w:t>
      </w:r>
      <w:r w:rsidR="00FA0602" w:rsidRPr="00010E6E">
        <w:rPr>
          <w:rFonts w:eastAsia="Calibri"/>
          <w:lang w:val="sq-AL" w:eastAsia="sq-AL" w:bidi="sq-AL"/>
        </w:rPr>
        <w:t>,</w:t>
      </w:r>
      <w:r w:rsidR="007F36C6" w:rsidRPr="00010E6E">
        <w:rPr>
          <w:rFonts w:eastAsia="Calibri"/>
          <w:lang w:val="sq-AL" w:eastAsia="sq-AL" w:bidi="sq-AL"/>
        </w:rPr>
        <w:t xml:space="preserve"> përtej institucioneve të pagesave</w:t>
      </w:r>
      <w:r w:rsidR="00FA0602" w:rsidRPr="00010E6E">
        <w:rPr>
          <w:rFonts w:eastAsia="Calibri"/>
          <w:lang w:val="sq-AL" w:eastAsia="sq-AL" w:bidi="sq-AL"/>
        </w:rPr>
        <w:t xml:space="preserve"> (sipas direktivës së shërbimeve të pagesave)</w:t>
      </w:r>
      <w:r w:rsidR="007F36C6" w:rsidRPr="00010E6E">
        <w:rPr>
          <w:rFonts w:eastAsia="Calibri"/>
          <w:lang w:val="sq-AL" w:eastAsia="sq-AL" w:bidi="sq-AL"/>
        </w:rPr>
        <w:t xml:space="preserve">, edhe institucioneve të parasë elektronike </w:t>
      </w:r>
      <w:r w:rsidR="00FA0602" w:rsidRPr="00010E6E">
        <w:rPr>
          <w:rFonts w:eastAsia="Calibri"/>
          <w:lang w:val="sq-AL" w:eastAsia="sq-AL" w:bidi="sq-AL"/>
        </w:rPr>
        <w:t>(</w:t>
      </w:r>
      <w:r w:rsidR="007F36C6" w:rsidRPr="00010E6E">
        <w:rPr>
          <w:rFonts w:eastAsia="Calibri"/>
          <w:lang w:val="sq-AL" w:eastAsia="sq-AL" w:bidi="sq-AL"/>
        </w:rPr>
        <w:t xml:space="preserve">duke përafruar kështu </w:t>
      </w:r>
      <w:r w:rsidR="007F36C6" w:rsidRPr="00010E6E">
        <w:rPr>
          <w:lang w:val="sq-AL"/>
        </w:rPr>
        <w:t xml:space="preserve">nenin 6, pika 1, shkronja </w:t>
      </w:r>
      <w:r w:rsidR="00FA0602" w:rsidRPr="00010E6E">
        <w:rPr>
          <w:lang w:val="sq-AL"/>
        </w:rPr>
        <w:t>“</w:t>
      </w:r>
      <w:r w:rsidR="007F36C6" w:rsidRPr="00010E6E">
        <w:rPr>
          <w:lang w:val="sq-AL"/>
        </w:rPr>
        <w:t>d</w:t>
      </w:r>
      <w:r w:rsidR="00FA0602" w:rsidRPr="00010E6E">
        <w:rPr>
          <w:lang w:val="sq-AL"/>
        </w:rPr>
        <w:t>”</w:t>
      </w:r>
      <w:r w:rsidR="007F36C6" w:rsidRPr="00010E6E">
        <w:rPr>
          <w:lang w:val="sq-AL"/>
        </w:rPr>
        <w:t xml:space="preserve"> të direktivës së Bashkimit Evropian për paranë elektronike</w:t>
      </w:r>
      <w:r w:rsidR="00FA0602" w:rsidRPr="00010E6E">
        <w:rPr>
          <w:lang w:val="sq-AL"/>
        </w:rPr>
        <w:t>)</w:t>
      </w:r>
      <w:r w:rsidR="007F36C6" w:rsidRPr="00010E6E">
        <w:rPr>
          <w:lang w:val="sq-AL"/>
        </w:rPr>
        <w:t>, si dhe bankave. Gjithashtu, ky nen kërkon të sqarojë edhe legjislacionin të cilin do të zbatojë operatori i sistemit të pagesave</w:t>
      </w:r>
      <w:r w:rsidR="00FA0602" w:rsidRPr="00010E6E">
        <w:rPr>
          <w:lang w:val="sq-AL"/>
        </w:rPr>
        <w:t>,</w:t>
      </w:r>
      <w:r w:rsidR="007F36C6" w:rsidRPr="00010E6E">
        <w:rPr>
          <w:lang w:val="sq-AL"/>
        </w:rPr>
        <w:t xml:space="preserve"> në </w:t>
      </w:r>
      <w:r w:rsidR="00FA0602" w:rsidRPr="00010E6E">
        <w:rPr>
          <w:lang w:val="sq-AL"/>
        </w:rPr>
        <w:t xml:space="preserve">varësi të </w:t>
      </w:r>
      <w:r w:rsidR="007F36C6" w:rsidRPr="00010E6E">
        <w:rPr>
          <w:lang w:val="sq-AL"/>
        </w:rPr>
        <w:t>aktiviteti</w:t>
      </w:r>
      <w:r w:rsidR="00FA0602" w:rsidRPr="00010E6E">
        <w:rPr>
          <w:lang w:val="sq-AL"/>
        </w:rPr>
        <w:t>t</w:t>
      </w:r>
      <w:r w:rsidR="007F36C6" w:rsidRPr="00010E6E">
        <w:rPr>
          <w:lang w:val="sq-AL"/>
        </w:rPr>
        <w:t xml:space="preserve"> dhe formë</w:t>
      </w:r>
      <w:r w:rsidR="00FA0602" w:rsidRPr="00010E6E">
        <w:rPr>
          <w:lang w:val="sq-AL"/>
        </w:rPr>
        <w:t>s</w:t>
      </w:r>
      <w:r w:rsidR="007F36C6" w:rsidRPr="00010E6E">
        <w:rPr>
          <w:lang w:val="sq-AL"/>
        </w:rPr>
        <w:t xml:space="preserve"> që ka sistemi.  </w:t>
      </w:r>
    </w:p>
    <w:p w14:paraId="15719ED6" w14:textId="77777777" w:rsidR="00230D92" w:rsidRPr="00010E6E" w:rsidRDefault="00230D92" w:rsidP="00C6342C">
      <w:pPr>
        <w:jc w:val="both"/>
        <w:rPr>
          <w:rFonts w:eastAsia="Calibri"/>
          <w:lang w:val="sq-AL" w:eastAsia="sq-AL" w:bidi="sq-AL"/>
        </w:rPr>
      </w:pPr>
    </w:p>
    <w:p w14:paraId="42E72573" w14:textId="330E2763" w:rsidR="0061577C" w:rsidRPr="00010E6E" w:rsidRDefault="0061577C" w:rsidP="00C6342C">
      <w:pPr>
        <w:jc w:val="both"/>
        <w:rPr>
          <w:lang w:val="sq-AL"/>
        </w:rPr>
      </w:pPr>
      <w:r w:rsidRPr="00010E6E">
        <w:rPr>
          <w:lang w:val="sq-AL"/>
        </w:rPr>
        <w:lastRenderedPageBreak/>
        <w:t>Neni 2</w:t>
      </w:r>
      <w:r w:rsidR="000C160C" w:rsidRPr="00010E6E">
        <w:rPr>
          <w:lang w:val="sq-AL"/>
        </w:rPr>
        <w:t>1</w:t>
      </w:r>
      <w:r w:rsidR="007B2372" w:rsidRPr="00010E6E">
        <w:rPr>
          <w:lang w:val="sq-AL"/>
        </w:rPr>
        <w:t xml:space="preserve"> i projekt</w:t>
      </w:r>
      <w:r w:rsidRPr="00010E6E">
        <w:rPr>
          <w:lang w:val="sq-AL"/>
        </w:rPr>
        <w:t>ligjit përafrohet me nenin 19 të direktivës. Sipas këtij neni</w:t>
      </w:r>
      <w:r w:rsidR="006D1A11">
        <w:rPr>
          <w:lang w:val="sq-AL"/>
        </w:rPr>
        <w:t>,</w:t>
      </w:r>
      <w:r w:rsidRPr="00010E6E">
        <w:rPr>
          <w:lang w:val="sq-AL"/>
        </w:rPr>
        <w:t xml:space="preserve"> institucionet e pagesave mund të përdorin agjentët për ofrimin e shërbimeve të pagesave. Të gjithë agjentët do të regjistrohen në regjistrin publik që do të administrohet nga Banka e Shqipërisë. Përpara se</w:t>
      </w:r>
      <w:r w:rsidR="00861CE0" w:rsidRPr="00010E6E">
        <w:rPr>
          <w:lang w:val="sq-AL"/>
        </w:rPr>
        <w:t xml:space="preserve"> agjentët</w:t>
      </w:r>
      <w:r w:rsidRPr="00010E6E">
        <w:rPr>
          <w:lang w:val="sq-AL"/>
        </w:rPr>
        <w:t xml:space="preserve"> të përfshihen në regjistër, </w:t>
      </w:r>
      <w:r w:rsidR="00861CE0" w:rsidRPr="00010E6E">
        <w:rPr>
          <w:lang w:val="sq-AL"/>
        </w:rPr>
        <w:t xml:space="preserve">institucionet e pagesës </w:t>
      </w:r>
      <w:r w:rsidRPr="00010E6E">
        <w:rPr>
          <w:lang w:val="sq-AL"/>
        </w:rPr>
        <w:t>do të paraqesin në Bankën e Shqipërisë dokumentacionin dhe informacionin e përcaktuar në këtë nen</w:t>
      </w:r>
      <w:r w:rsidR="00861CE0" w:rsidRPr="00010E6E">
        <w:rPr>
          <w:lang w:val="sq-AL"/>
        </w:rPr>
        <w:t>, për agjentët</w:t>
      </w:r>
      <w:r w:rsidRPr="00010E6E">
        <w:rPr>
          <w:lang w:val="sq-AL"/>
        </w:rPr>
        <w:t xml:space="preserve">. Brenda dy muajve pas paraqitjes së dokumentacionit dhe informacionit sipas këtij neni, Banka e Shqipërisë do të njoftojë institucionin e pagesave për përfshirjen e agjentit në regjistër, dhe vetëm pas </w:t>
      </w:r>
      <w:r w:rsidR="004A24BE" w:rsidRPr="00010E6E">
        <w:rPr>
          <w:lang w:val="sq-AL"/>
        </w:rPr>
        <w:t xml:space="preserve">listimit </w:t>
      </w:r>
      <w:r w:rsidRPr="00010E6E">
        <w:rPr>
          <w:lang w:val="sq-AL"/>
        </w:rPr>
        <w:t xml:space="preserve">në regjistër, ky i fundit ka të drejtë të fillojë veprimtarinë në emër dhe për llogari të institucionit të pagesave. Banka e Shqipërisë ka të drejtë të bëjë verifikime të mëtejshme për vërtetësinë e informacionit të paraqitur nga subjekti aplikues. Nëse pas verifikimeve rezulton që informacioni i paraqitur nuk është korrekt, Banka e Shqipërisë ka të drejtë të refuzojë regjistrimin e agjentit në regjistrin publik dhe njofton menjëherë institucionin e pagesave. </w:t>
      </w:r>
      <w:r w:rsidRPr="00010E6E">
        <w:rPr>
          <w:rFonts w:eastAsia="Calibri"/>
          <w:lang w:val="sq-AL" w:eastAsia="sq-AL" w:bidi="sq-AL"/>
        </w:rPr>
        <w:t>Neni 2</w:t>
      </w:r>
      <w:r w:rsidR="000C160C" w:rsidRPr="00010E6E">
        <w:rPr>
          <w:rFonts w:eastAsia="Calibri"/>
          <w:lang w:val="sq-AL" w:eastAsia="sq-AL" w:bidi="sq-AL"/>
        </w:rPr>
        <w:t>1</w:t>
      </w:r>
      <w:r w:rsidRPr="00010E6E">
        <w:rPr>
          <w:rFonts w:eastAsia="Calibri"/>
          <w:lang w:val="sq-AL" w:eastAsia="sq-AL" w:bidi="sq-AL"/>
        </w:rPr>
        <w:t xml:space="preserve"> parashikon gjithashtu edhe detyrimin për njoftim në Bankën e Shqipërisë, </w:t>
      </w:r>
      <w:r w:rsidR="00E16E1B">
        <w:rPr>
          <w:rFonts w:eastAsia="Calibri"/>
          <w:lang w:val="sq-AL" w:eastAsia="sq-AL" w:bidi="sq-AL"/>
        </w:rPr>
        <w:t>nga</w:t>
      </w:r>
      <w:r w:rsidR="00E16E1B" w:rsidRPr="00010E6E">
        <w:rPr>
          <w:rFonts w:eastAsia="Calibri"/>
          <w:lang w:val="sq-AL" w:eastAsia="sq-AL" w:bidi="sq-AL"/>
        </w:rPr>
        <w:t xml:space="preserve"> </w:t>
      </w:r>
      <w:r w:rsidRPr="00010E6E">
        <w:rPr>
          <w:rFonts w:eastAsia="Calibri"/>
          <w:lang w:val="sq-AL" w:eastAsia="sq-AL" w:bidi="sq-AL"/>
        </w:rPr>
        <w:t>institucioni</w:t>
      </w:r>
      <w:r w:rsidR="00E16E1B">
        <w:rPr>
          <w:rFonts w:eastAsia="Calibri"/>
          <w:lang w:val="sq-AL" w:eastAsia="sq-AL" w:bidi="sq-AL"/>
        </w:rPr>
        <w:t xml:space="preserve"> i</w:t>
      </w:r>
      <w:r w:rsidRPr="00010E6E">
        <w:rPr>
          <w:rFonts w:eastAsia="Calibri"/>
          <w:lang w:val="sq-AL" w:eastAsia="sq-AL" w:bidi="sq-AL"/>
        </w:rPr>
        <w:t xml:space="preserve"> pagesës, në rastet kur ky i fundit transferon te të tretët funksionet operacionale të shërbimeve të pagesës. Në rastet kur institucioni i pagesës transferon/delegon te të tretët funksione të rëndësishme operacionale, ai duhet të plotësojë disa kushte të cilat detajohen në projektligj. Transferimi i këtyre funksioneve në asnjë rast nuk mund të ndërmerret, nëse do të dëmtonte materialisht cilësinë e kontrollit të brendshëm të institucionit të pagesës</w:t>
      </w:r>
      <w:r w:rsidR="00861CE0" w:rsidRPr="00010E6E">
        <w:rPr>
          <w:rFonts w:eastAsia="Calibri"/>
          <w:lang w:val="sq-AL" w:eastAsia="sq-AL" w:bidi="sq-AL"/>
        </w:rPr>
        <w:t>,</w:t>
      </w:r>
      <w:r w:rsidRPr="00010E6E">
        <w:rPr>
          <w:rFonts w:eastAsia="Calibri"/>
          <w:lang w:val="sq-AL" w:eastAsia="sq-AL" w:bidi="sq-AL"/>
        </w:rPr>
        <w:t xml:space="preserve"> si dhe aftësinë e Bankës së Shqipërisë për të monitoruar dhe ndjekur përmbushjen e të gjitha detyrimeve ligjore e nënligjore. Institucionet e pagesave </w:t>
      </w:r>
      <w:r w:rsidRPr="00010E6E">
        <w:rPr>
          <w:lang w:val="sq-AL"/>
        </w:rPr>
        <w:t xml:space="preserve">duhet të sigurohen </w:t>
      </w:r>
      <w:r w:rsidRPr="00010E6E">
        <w:rPr>
          <w:rFonts w:eastAsia="Calibri"/>
          <w:lang w:val="sq-AL" w:eastAsia="sq-AL" w:bidi="sq-AL"/>
        </w:rPr>
        <w:t xml:space="preserve">se </w:t>
      </w:r>
      <w:r w:rsidRPr="00010E6E">
        <w:rPr>
          <w:lang w:val="sq-AL"/>
        </w:rPr>
        <w:t xml:space="preserve">agjentët </w:t>
      </w:r>
      <w:r w:rsidRPr="00010E6E">
        <w:rPr>
          <w:rFonts w:eastAsia="Calibri"/>
          <w:lang w:val="sq-AL" w:eastAsia="sq-AL" w:bidi="sq-AL"/>
        </w:rPr>
        <w:t>që veprojnë në emër të tyre, i informojnë përdoruesit e shërbimit të pagesave për këtë fakt dhe njëkohësisht kanë detyrimin për njoftim të Bankës së Shqipërisë për çdo ndryshim në subjektet të cil</w:t>
      </w:r>
      <w:r w:rsidR="00E16E1B">
        <w:rPr>
          <w:rFonts w:eastAsia="Calibri"/>
          <w:lang w:val="sq-AL" w:eastAsia="sq-AL" w:bidi="sq-AL"/>
        </w:rPr>
        <w:t>a</w:t>
      </w:r>
      <w:r w:rsidRPr="00010E6E">
        <w:rPr>
          <w:rFonts w:eastAsia="Calibri"/>
          <w:lang w:val="sq-AL" w:eastAsia="sq-AL" w:bidi="sq-AL"/>
        </w:rPr>
        <w:t xml:space="preserve">ve u kanë transferuar funksionet operacionale apo </w:t>
      </w:r>
      <w:r w:rsidR="00E16E1B">
        <w:rPr>
          <w:rFonts w:eastAsia="Calibri"/>
          <w:lang w:val="sq-AL" w:eastAsia="sq-AL" w:bidi="sq-AL"/>
        </w:rPr>
        <w:t>në</w:t>
      </w:r>
      <w:r w:rsidR="00E16E1B" w:rsidRPr="00010E6E">
        <w:rPr>
          <w:rFonts w:eastAsia="Calibri"/>
          <w:lang w:val="sq-AL" w:eastAsia="sq-AL" w:bidi="sq-AL"/>
        </w:rPr>
        <w:t xml:space="preserve"> </w:t>
      </w:r>
      <w:r w:rsidRPr="00010E6E">
        <w:rPr>
          <w:rFonts w:eastAsia="Calibri"/>
          <w:lang w:val="sq-AL" w:eastAsia="sq-AL" w:bidi="sq-AL"/>
        </w:rPr>
        <w:t xml:space="preserve">agjentët që </w:t>
      </w:r>
      <w:r w:rsidRPr="00010E6E">
        <w:rPr>
          <w:lang w:val="sq-AL"/>
        </w:rPr>
        <w:t>përdorin për ofrimin e shërbimeve të pagesave.</w:t>
      </w:r>
    </w:p>
    <w:p w14:paraId="389495FA" w14:textId="77777777" w:rsidR="00C6342C" w:rsidRPr="00010E6E" w:rsidRDefault="00C6342C" w:rsidP="00C6342C">
      <w:pPr>
        <w:jc w:val="both"/>
        <w:rPr>
          <w:lang w:val="sq-AL"/>
        </w:rPr>
      </w:pPr>
    </w:p>
    <w:p w14:paraId="374A728F" w14:textId="2E8CAB81" w:rsidR="0061577C" w:rsidRPr="00010E6E" w:rsidRDefault="0061577C" w:rsidP="00C6342C">
      <w:pPr>
        <w:jc w:val="both"/>
        <w:rPr>
          <w:rFonts w:eastAsia="Times New Roman"/>
          <w:lang w:val="sq-AL"/>
        </w:rPr>
      </w:pPr>
      <w:r w:rsidRPr="00010E6E">
        <w:rPr>
          <w:lang w:val="sq-AL"/>
        </w:rPr>
        <w:t>Në nenin 2</w:t>
      </w:r>
      <w:r w:rsidR="000C160C" w:rsidRPr="00010E6E">
        <w:rPr>
          <w:lang w:val="sq-AL"/>
        </w:rPr>
        <w:t>2</w:t>
      </w:r>
      <w:r w:rsidR="007B2372" w:rsidRPr="00010E6E">
        <w:rPr>
          <w:lang w:val="sq-AL"/>
        </w:rPr>
        <w:t xml:space="preserve"> të projekt</w:t>
      </w:r>
      <w:r w:rsidRPr="00010E6E">
        <w:rPr>
          <w:lang w:val="sq-AL"/>
        </w:rPr>
        <w:t>ligjit parashikohet përgjegjësia e institucioneve të pagesës për të siguruar se palët e treta të caktuara për të kryer funksionet operacionale, marrin masat e nevojshme për të siguruar përmbushjen e kërkesave të këtij ligji, si dhe për çdo veprim të punonjësve të tyre ose të çdo agjenti apo subjekti</w:t>
      </w:r>
      <w:r w:rsidR="00E16E1B">
        <w:rPr>
          <w:lang w:val="sq-AL"/>
        </w:rPr>
        <w:t>,</w:t>
      </w:r>
      <w:r w:rsidRPr="00010E6E">
        <w:rPr>
          <w:lang w:val="sq-AL"/>
        </w:rPr>
        <w:t xml:space="preserve"> të cilit i janë deleguar funksionet e tyre.</w:t>
      </w:r>
    </w:p>
    <w:p w14:paraId="3E19B084" w14:textId="77777777" w:rsidR="00861CE0" w:rsidRPr="00010E6E" w:rsidRDefault="00861CE0" w:rsidP="00C6342C">
      <w:pPr>
        <w:jc w:val="both"/>
        <w:rPr>
          <w:lang w:val="sq-AL"/>
        </w:rPr>
      </w:pPr>
    </w:p>
    <w:p w14:paraId="7A958640" w14:textId="5561EAD5" w:rsidR="0061577C" w:rsidRPr="00010E6E" w:rsidRDefault="0061577C" w:rsidP="00C6342C">
      <w:pPr>
        <w:jc w:val="both"/>
        <w:rPr>
          <w:lang w:val="sq-AL"/>
        </w:rPr>
      </w:pPr>
      <w:r w:rsidRPr="00010E6E">
        <w:rPr>
          <w:lang w:val="sq-AL"/>
        </w:rPr>
        <w:t>Neni 2</w:t>
      </w:r>
      <w:r w:rsidR="000C160C" w:rsidRPr="00010E6E">
        <w:rPr>
          <w:lang w:val="sq-AL"/>
        </w:rPr>
        <w:t>3</w:t>
      </w:r>
      <w:r w:rsidRPr="00010E6E">
        <w:rPr>
          <w:lang w:val="sq-AL"/>
        </w:rPr>
        <w:t xml:space="preserve"> parashikon detyrimin e institucioneve të pagesës për të ruajtur të dhënat e nevojshme për të paktën 5 vjet, në funksion të zbatimit me efektivitet të kërkesave të </w:t>
      </w:r>
      <w:r w:rsidR="00861CE0" w:rsidRPr="00010E6E">
        <w:rPr>
          <w:lang w:val="sq-AL"/>
        </w:rPr>
        <w:t>Titullit II</w:t>
      </w:r>
      <w:r w:rsidRPr="00010E6E">
        <w:rPr>
          <w:lang w:val="sq-AL"/>
        </w:rPr>
        <w:t>.</w:t>
      </w:r>
    </w:p>
    <w:p w14:paraId="554C3E55" w14:textId="77777777" w:rsidR="00C6342C" w:rsidRPr="00010E6E" w:rsidRDefault="00C6342C" w:rsidP="00C6342C">
      <w:pPr>
        <w:jc w:val="both"/>
        <w:rPr>
          <w:lang w:val="sq-AL"/>
        </w:rPr>
      </w:pPr>
    </w:p>
    <w:p w14:paraId="69003119" w14:textId="659C4F46" w:rsidR="0061577C" w:rsidRPr="00010E6E" w:rsidRDefault="0061577C" w:rsidP="00C6342C">
      <w:pPr>
        <w:pStyle w:val="ListParagraph"/>
        <w:spacing w:after="0" w:line="240" w:lineRule="auto"/>
        <w:ind w:left="0"/>
        <w:jc w:val="both"/>
        <w:rPr>
          <w:rFonts w:ascii="Times New Roman" w:eastAsia="MS Mincho" w:hAnsi="Times New Roman"/>
          <w:sz w:val="24"/>
          <w:szCs w:val="24"/>
          <w:lang w:val="sq-AL"/>
        </w:rPr>
      </w:pPr>
      <w:r w:rsidRPr="003A149E">
        <w:rPr>
          <w:rFonts w:ascii="Times New Roman" w:eastAsia="MS Mincho" w:hAnsi="Times New Roman"/>
          <w:b/>
          <w:sz w:val="24"/>
          <w:szCs w:val="24"/>
          <w:lang w:val="sq-AL"/>
        </w:rPr>
        <w:t xml:space="preserve">Seksioni 3 </w:t>
      </w:r>
      <w:r w:rsidRPr="003A149E">
        <w:rPr>
          <w:rFonts w:ascii="Times New Roman" w:eastAsia="MS Mincho" w:hAnsi="Times New Roman"/>
          <w:b/>
          <w:i/>
          <w:sz w:val="24"/>
          <w:szCs w:val="24"/>
          <w:lang w:val="sq-AL"/>
        </w:rPr>
        <w:t>“Procesi i Mbikëqyrjes”</w:t>
      </w:r>
      <w:r w:rsidRPr="00010E6E">
        <w:rPr>
          <w:rFonts w:ascii="Times New Roman" w:eastAsia="MS Mincho" w:hAnsi="Times New Roman"/>
          <w:sz w:val="24"/>
          <w:szCs w:val="24"/>
          <w:lang w:val="sq-AL"/>
        </w:rPr>
        <w:t xml:space="preserve"> parashikon procesin dhe ushtrimin e funksionit mbikëqyrës nga Banka e Shqipërisë, si autoriteti përgjegjës</w:t>
      </w:r>
      <w:r w:rsidR="00BA08D4">
        <w:rPr>
          <w:rFonts w:ascii="Times New Roman" w:eastAsia="MS Mincho" w:hAnsi="Times New Roman"/>
          <w:sz w:val="24"/>
          <w:szCs w:val="24"/>
          <w:lang w:val="sq-AL"/>
        </w:rPr>
        <w:t>,</w:t>
      </w:r>
      <w:r w:rsidRPr="00010E6E">
        <w:rPr>
          <w:rFonts w:ascii="Times New Roman" w:eastAsia="MS Mincho" w:hAnsi="Times New Roman"/>
          <w:sz w:val="24"/>
          <w:szCs w:val="24"/>
          <w:lang w:val="sq-AL"/>
        </w:rPr>
        <w:t xml:space="preserve"> i cili </w:t>
      </w:r>
      <w:r w:rsidR="00332C33" w:rsidRPr="00010E6E">
        <w:rPr>
          <w:rFonts w:ascii="Times New Roman" w:eastAsia="MS Mincho" w:hAnsi="Times New Roman"/>
          <w:sz w:val="24"/>
          <w:szCs w:val="24"/>
          <w:lang w:val="sq-AL"/>
        </w:rPr>
        <w:t xml:space="preserve">monitoron </w:t>
      </w:r>
      <w:r w:rsidRPr="00010E6E">
        <w:rPr>
          <w:rFonts w:ascii="Times New Roman" w:eastAsia="MS Mincho" w:hAnsi="Times New Roman"/>
          <w:sz w:val="24"/>
          <w:szCs w:val="24"/>
          <w:lang w:val="sq-AL"/>
        </w:rPr>
        <w:t xml:space="preserve">përputhshmërinë e veprimtarisë së institucionit të pagesës me kuadrin ligjor dhe nënligjor. </w:t>
      </w:r>
    </w:p>
    <w:p w14:paraId="47686D57" w14:textId="77777777" w:rsidR="0061577C" w:rsidRPr="00010E6E" w:rsidRDefault="0061577C" w:rsidP="00C6342C">
      <w:pPr>
        <w:pStyle w:val="ListParagraph"/>
        <w:spacing w:after="0" w:line="240" w:lineRule="auto"/>
        <w:ind w:left="0"/>
        <w:jc w:val="both"/>
        <w:rPr>
          <w:rFonts w:ascii="Times New Roman" w:eastAsia="MS Mincho" w:hAnsi="Times New Roman"/>
          <w:sz w:val="24"/>
          <w:szCs w:val="24"/>
          <w:lang w:val="sq-AL"/>
        </w:rPr>
      </w:pPr>
    </w:p>
    <w:p w14:paraId="0C37739B" w14:textId="2CDB91AF" w:rsidR="0061577C" w:rsidRPr="00010E6E" w:rsidRDefault="0061577C" w:rsidP="00C6342C">
      <w:pPr>
        <w:pStyle w:val="ListParagraph"/>
        <w:spacing w:after="0" w:line="240" w:lineRule="auto"/>
        <w:ind w:left="0"/>
        <w:jc w:val="both"/>
        <w:rPr>
          <w:rFonts w:ascii="Times New Roman" w:eastAsia="MS Mincho" w:hAnsi="Times New Roman"/>
          <w:sz w:val="24"/>
          <w:szCs w:val="24"/>
          <w:lang w:val="sq-AL"/>
        </w:rPr>
      </w:pPr>
      <w:r w:rsidRPr="00010E6E">
        <w:rPr>
          <w:rFonts w:ascii="Times New Roman" w:eastAsia="MS Mincho" w:hAnsi="Times New Roman"/>
          <w:sz w:val="24"/>
          <w:szCs w:val="24"/>
          <w:lang w:val="sq-AL"/>
        </w:rPr>
        <w:t>Kështu</w:t>
      </w:r>
      <w:r w:rsidR="00BA08D4">
        <w:rPr>
          <w:rFonts w:ascii="Times New Roman" w:eastAsia="MS Mincho" w:hAnsi="Times New Roman"/>
          <w:sz w:val="24"/>
          <w:szCs w:val="24"/>
          <w:lang w:val="sq-AL"/>
        </w:rPr>
        <w:t>,</w:t>
      </w:r>
      <w:r w:rsidRPr="00010E6E">
        <w:rPr>
          <w:rFonts w:ascii="Times New Roman" w:eastAsia="MS Mincho" w:hAnsi="Times New Roman"/>
          <w:sz w:val="24"/>
          <w:szCs w:val="24"/>
          <w:lang w:val="sq-AL"/>
        </w:rPr>
        <w:t xml:space="preserve"> neni 2</w:t>
      </w:r>
      <w:r w:rsidR="0068548B" w:rsidRPr="00010E6E">
        <w:rPr>
          <w:rFonts w:ascii="Times New Roman" w:eastAsia="MS Mincho" w:hAnsi="Times New Roman"/>
          <w:sz w:val="24"/>
          <w:szCs w:val="24"/>
          <w:lang w:val="sq-AL"/>
        </w:rPr>
        <w:t>5</w:t>
      </w:r>
      <w:r w:rsidRPr="00010E6E">
        <w:rPr>
          <w:rFonts w:ascii="Times New Roman" w:eastAsia="MS Mincho" w:hAnsi="Times New Roman"/>
          <w:sz w:val="24"/>
          <w:szCs w:val="24"/>
          <w:lang w:val="sq-AL"/>
        </w:rPr>
        <w:t xml:space="preserve"> përcakton mënyrat nëpërmjet të cilave Banka e Shqipërisë përmbush këtë funksion</w:t>
      </w:r>
      <w:r w:rsidR="00332C33" w:rsidRPr="00010E6E">
        <w:rPr>
          <w:rFonts w:ascii="Times New Roman" w:eastAsia="MS Mincho" w:hAnsi="Times New Roman"/>
          <w:sz w:val="24"/>
          <w:szCs w:val="24"/>
          <w:lang w:val="sq-AL"/>
        </w:rPr>
        <w:t>,</w:t>
      </w:r>
      <w:r w:rsidRPr="00010E6E">
        <w:rPr>
          <w:rFonts w:ascii="Times New Roman" w:eastAsia="MS Mincho" w:hAnsi="Times New Roman"/>
          <w:sz w:val="24"/>
          <w:szCs w:val="24"/>
          <w:lang w:val="sq-AL"/>
        </w:rPr>
        <w:t xml:space="preserve"> si: 1) kërkesa për informacion</w:t>
      </w:r>
      <w:r w:rsidR="00332C33" w:rsidRPr="00010E6E">
        <w:rPr>
          <w:rFonts w:ascii="Times New Roman" w:eastAsia="MS Mincho" w:hAnsi="Times New Roman"/>
          <w:sz w:val="24"/>
          <w:szCs w:val="24"/>
          <w:lang w:val="sq-AL"/>
        </w:rPr>
        <w:t>in</w:t>
      </w:r>
      <w:r w:rsidRPr="00010E6E">
        <w:rPr>
          <w:rFonts w:ascii="Times New Roman" w:eastAsia="MS Mincho" w:hAnsi="Times New Roman"/>
          <w:sz w:val="24"/>
          <w:szCs w:val="24"/>
          <w:lang w:val="sq-AL"/>
        </w:rPr>
        <w:t xml:space="preserve"> </w:t>
      </w:r>
      <w:r w:rsidR="00332C33" w:rsidRPr="00010E6E">
        <w:rPr>
          <w:rFonts w:ascii="Times New Roman" w:eastAsia="MS Mincho" w:hAnsi="Times New Roman"/>
          <w:sz w:val="24"/>
          <w:szCs w:val="24"/>
          <w:lang w:val="sq-AL"/>
        </w:rPr>
        <w:t>që</w:t>
      </w:r>
      <w:r w:rsidRPr="00010E6E">
        <w:rPr>
          <w:rFonts w:ascii="Times New Roman" w:eastAsia="MS Mincho" w:hAnsi="Times New Roman"/>
          <w:sz w:val="24"/>
          <w:szCs w:val="24"/>
          <w:lang w:val="sq-AL"/>
        </w:rPr>
        <w:t xml:space="preserve"> vlerësohet i nevojshëm</w:t>
      </w:r>
      <w:r w:rsidR="00332C33" w:rsidRPr="00010E6E">
        <w:rPr>
          <w:rFonts w:ascii="Times New Roman" w:eastAsia="MS Mincho" w:hAnsi="Times New Roman"/>
          <w:sz w:val="24"/>
          <w:szCs w:val="24"/>
          <w:lang w:val="sq-AL"/>
        </w:rPr>
        <w:t>,</w:t>
      </w:r>
      <w:r w:rsidRPr="00010E6E">
        <w:rPr>
          <w:rFonts w:ascii="Times New Roman" w:eastAsia="MS Mincho" w:hAnsi="Times New Roman"/>
          <w:sz w:val="24"/>
          <w:szCs w:val="24"/>
          <w:lang w:val="sq-AL"/>
        </w:rPr>
        <w:t xml:space="preserve"> për të monitoruar përputhshmërinë</w:t>
      </w:r>
      <w:r w:rsidR="00BA08D4">
        <w:rPr>
          <w:rFonts w:ascii="Times New Roman" w:eastAsia="MS Mincho" w:hAnsi="Times New Roman"/>
          <w:sz w:val="24"/>
          <w:szCs w:val="24"/>
          <w:lang w:val="sq-AL"/>
        </w:rPr>
        <w:t>;</w:t>
      </w:r>
      <w:r w:rsidRPr="00010E6E">
        <w:rPr>
          <w:rFonts w:ascii="Times New Roman" w:eastAsia="MS Mincho" w:hAnsi="Times New Roman"/>
          <w:sz w:val="24"/>
          <w:szCs w:val="24"/>
          <w:lang w:val="sq-AL"/>
        </w:rPr>
        <w:t xml:space="preserve"> 2) realizimi i ekzaminimeve në vend pranë institucionit të pagesës, agjent</w:t>
      </w:r>
      <w:r w:rsidR="009B32D4" w:rsidRPr="00010E6E">
        <w:rPr>
          <w:rFonts w:ascii="Times New Roman" w:eastAsia="MS Mincho" w:hAnsi="Times New Roman"/>
          <w:sz w:val="24"/>
          <w:szCs w:val="24"/>
          <w:lang w:val="sq-AL"/>
        </w:rPr>
        <w:t>ëve</w:t>
      </w:r>
      <w:r w:rsidRPr="00010E6E">
        <w:rPr>
          <w:rFonts w:ascii="Times New Roman" w:eastAsia="MS Mincho" w:hAnsi="Times New Roman"/>
          <w:sz w:val="24"/>
          <w:szCs w:val="24"/>
          <w:lang w:val="sq-AL"/>
        </w:rPr>
        <w:t xml:space="preserve"> apo deg</w:t>
      </w:r>
      <w:r w:rsidR="00BA08D4">
        <w:rPr>
          <w:rFonts w:ascii="Times New Roman" w:eastAsia="MS Mincho" w:hAnsi="Times New Roman"/>
          <w:sz w:val="24"/>
          <w:szCs w:val="24"/>
          <w:lang w:val="sq-AL"/>
        </w:rPr>
        <w:t>ë</w:t>
      </w:r>
      <w:r w:rsidR="009B32D4" w:rsidRPr="00010E6E">
        <w:rPr>
          <w:rFonts w:ascii="Times New Roman" w:eastAsia="MS Mincho" w:hAnsi="Times New Roman"/>
          <w:sz w:val="24"/>
          <w:szCs w:val="24"/>
          <w:lang w:val="sq-AL"/>
        </w:rPr>
        <w:t>ve</w:t>
      </w:r>
      <w:r w:rsidRPr="00010E6E">
        <w:rPr>
          <w:rFonts w:ascii="Times New Roman" w:eastAsia="MS Mincho" w:hAnsi="Times New Roman"/>
          <w:sz w:val="24"/>
          <w:szCs w:val="24"/>
          <w:lang w:val="sq-AL"/>
        </w:rPr>
        <w:t xml:space="preserve"> që ofro</w:t>
      </w:r>
      <w:r w:rsidR="009B32D4" w:rsidRPr="00010E6E">
        <w:rPr>
          <w:rFonts w:ascii="Times New Roman" w:eastAsia="MS Mincho" w:hAnsi="Times New Roman"/>
          <w:sz w:val="24"/>
          <w:szCs w:val="24"/>
          <w:lang w:val="sq-AL"/>
        </w:rPr>
        <w:t>j</w:t>
      </w:r>
      <w:r w:rsidRPr="00010E6E">
        <w:rPr>
          <w:rFonts w:ascii="Times New Roman" w:eastAsia="MS Mincho" w:hAnsi="Times New Roman"/>
          <w:sz w:val="24"/>
          <w:szCs w:val="24"/>
          <w:lang w:val="sq-AL"/>
        </w:rPr>
        <w:t>n</w:t>
      </w:r>
      <w:r w:rsidR="009B32D4" w:rsidRPr="00010E6E">
        <w:rPr>
          <w:rFonts w:ascii="Times New Roman" w:eastAsia="MS Mincho" w:hAnsi="Times New Roman"/>
          <w:sz w:val="24"/>
          <w:szCs w:val="24"/>
          <w:lang w:val="sq-AL"/>
        </w:rPr>
        <w:t>ë</w:t>
      </w:r>
      <w:r w:rsidRPr="00010E6E">
        <w:rPr>
          <w:rFonts w:ascii="Times New Roman" w:eastAsia="MS Mincho" w:hAnsi="Times New Roman"/>
          <w:sz w:val="24"/>
          <w:szCs w:val="24"/>
          <w:lang w:val="sq-AL"/>
        </w:rPr>
        <w:t xml:space="preserve"> shërbime pagese nën përgjegjësinë e institucionit të pagesës, apo në çdo </w:t>
      </w:r>
      <w:r w:rsidR="00F72362" w:rsidRPr="00010E6E">
        <w:rPr>
          <w:rFonts w:ascii="Times New Roman" w:eastAsia="MS Mincho" w:hAnsi="Times New Roman"/>
          <w:sz w:val="24"/>
          <w:szCs w:val="24"/>
          <w:lang w:val="sq-AL"/>
        </w:rPr>
        <w:t>subjekt</w:t>
      </w:r>
      <w:r w:rsidRPr="00010E6E">
        <w:rPr>
          <w:rFonts w:ascii="Times New Roman" w:eastAsia="MS Mincho" w:hAnsi="Times New Roman"/>
          <w:sz w:val="24"/>
          <w:szCs w:val="24"/>
          <w:lang w:val="sq-AL"/>
        </w:rPr>
        <w:t xml:space="preserve"> tek </w:t>
      </w:r>
      <w:r w:rsidR="00BA08D4">
        <w:rPr>
          <w:rFonts w:ascii="Times New Roman" w:eastAsia="MS Mincho" w:hAnsi="Times New Roman"/>
          <w:sz w:val="24"/>
          <w:szCs w:val="24"/>
          <w:lang w:val="sq-AL"/>
        </w:rPr>
        <w:t>i</w:t>
      </w:r>
      <w:r w:rsidR="00BA08D4" w:rsidRPr="00010E6E">
        <w:rPr>
          <w:rFonts w:ascii="Times New Roman" w:eastAsia="MS Mincho" w:hAnsi="Times New Roman"/>
          <w:sz w:val="24"/>
          <w:szCs w:val="24"/>
          <w:lang w:val="sq-AL"/>
        </w:rPr>
        <w:t xml:space="preserve"> </w:t>
      </w:r>
      <w:r w:rsidRPr="00010E6E">
        <w:rPr>
          <w:rFonts w:ascii="Times New Roman" w:eastAsia="MS Mincho" w:hAnsi="Times New Roman"/>
          <w:sz w:val="24"/>
          <w:szCs w:val="24"/>
          <w:lang w:val="sq-AL"/>
        </w:rPr>
        <w:t>cil</w:t>
      </w:r>
      <w:r w:rsidR="00BA08D4">
        <w:rPr>
          <w:rFonts w:ascii="Times New Roman" w:eastAsia="MS Mincho" w:hAnsi="Times New Roman"/>
          <w:sz w:val="24"/>
          <w:szCs w:val="24"/>
          <w:lang w:val="sq-AL"/>
        </w:rPr>
        <w:t>i</w:t>
      </w:r>
      <w:r w:rsidRPr="00010E6E">
        <w:rPr>
          <w:rFonts w:ascii="Times New Roman" w:eastAsia="MS Mincho" w:hAnsi="Times New Roman"/>
          <w:sz w:val="24"/>
          <w:szCs w:val="24"/>
          <w:lang w:val="sq-AL"/>
        </w:rPr>
        <w:t xml:space="preserve"> janë deleguar/kontraktuar funksione operacionale; 3) dhënia e rekomandime</w:t>
      </w:r>
      <w:r w:rsidR="003F3609" w:rsidRPr="00010E6E">
        <w:rPr>
          <w:rFonts w:ascii="Times New Roman" w:eastAsia="MS Mincho" w:hAnsi="Times New Roman"/>
          <w:sz w:val="24"/>
          <w:szCs w:val="24"/>
          <w:lang w:val="sq-AL"/>
        </w:rPr>
        <w:t>ve</w:t>
      </w:r>
      <w:r w:rsidRPr="00010E6E">
        <w:rPr>
          <w:rFonts w:ascii="Times New Roman" w:eastAsia="MS Mincho" w:hAnsi="Times New Roman"/>
          <w:sz w:val="24"/>
          <w:szCs w:val="24"/>
          <w:lang w:val="sq-AL"/>
        </w:rPr>
        <w:t>, udhëzimeve, paralajmërimeve në rast</w:t>
      </w:r>
      <w:r w:rsidR="003F3609" w:rsidRPr="00010E6E">
        <w:rPr>
          <w:rFonts w:ascii="Times New Roman" w:eastAsia="MS Mincho" w:hAnsi="Times New Roman"/>
          <w:sz w:val="24"/>
          <w:szCs w:val="24"/>
          <w:lang w:val="sq-AL"/>
        </w:rPr>
        <w:t>et</w:t>
      </w:r>
      <w:r w:rsidRPr="00010E6E">
        <w:rPr>
          <w:rFonts w:ascii="Times New Roman" w:eastAsia="MS Mincho" w:hAnsi="Times New Roman"/>
          <w:sz w:val="24"/>
          <w:szCs w:val="24"/>
          <w:lang w:val="sq-AL"/>
        </w:rPr>
        <w:t xml:space="preserve"> e shkeljeve ligjore dhe nënligjore, lëshimi i urdhrave për ndërprerjen e veprimeve të paligjshme dhe korrigjimin e pasojave,</w:t>
      </w:r>
      <w:r w:rsidR="00AA479A" w:rsidRPr="00010E6E">
        <w:rPr>
          <w:rFonts w:ascii="Times New Roman" w:eastAsia="MS Mincho" w:hAnsi="Times New Roman"/>
          <w:sz w:val="24"/>
          <w:szCs w:val="24"/>
          <w:lang w:val="sq-AL"/>
        </w:rPr>
        <w:t xml:space="preserve"> vendosja e sanksioneve administrative, etj.,</w:t>
      </w:r>
      <w:r w:rsidRPr="00010E6E">
        <w:rPr>
          <w:rFonts w:ascii="Times New Roman" w:eastAsia="MS Mincho" w:hAnsi="Times New Roman"/>
          <w:sz w:val="24"/>
          <w:szCs w:val="24"/>
          <w:lang w:val="sq-AL"/>
        </w:rPr>
        <w:t xml:space="preserve"> 4) pezullimi ose revokimi i licencës. Ushtrimi i funksionit mbikëqyrës shtrihet deri tek subjekte të tjera, në rastet kur ato zotërojnë aksione në institucionin e pagesës.</w:t>
      </w:r>
    </w:p>
    <w:p w14:paraId="465AC259" w14:textId="77777777" w:rsidR="0061577C" w:rsidRPr="00010E6E" w:rsidRDefault="0061577C" w:rsidP="00C6342C">
      <w:pPr>
        <w:contextualSpacing/>
        <w:jc w:val="both"/>
        <w:rPr>
          <w:rFonts w:eastAsia="Times New Roman"/>
          <w:color w:val="000000"/>
          <w:lang w:val="sq-AL" w:eastAsia="sq-AL"/>
        </w:rPr>
      </w:pPr>
    </w:p>
    <w:p w14:paraId="22DE9D49" w14:textId="7E70A224" w:rsidR="0061577C" w:rsidRPr="00010E6E" w:rsidRDefault="0061577C" w:rsidP="00C6342C">
      <w:pPr>
        <w:contextualSpacing/>
        <w:jc w:val="both"/>
        <w:rPr>
          <w:rFonts w:eastAsia="Times New Roman"/>
          <w:color w:val="000000"/>
          <w:lang w:val="sq-AL" w:eastAsia="sq-AL"/>
        </w:rPr>
      </w:pPr>
      <w:r w:rsidRPr="00010E6E">
        <w:rPr>
          <w:rFonts w:eastAsia="Times New Roman"/>
          <w:color w:val="000000"/>
          <w:lang w:val="sq-AL" w:eastAsia="sq-AL"/>
        </w:rPr>
        <w:t>Në nenin 26 të projektligjit përcaktohet detyrimi i ruajtjes së sekretit profesional</w:t>
      </w:r>
      <w:r w:rsidR="00B53776" w:rsidRPr="00010E6E">
        <w:rPr>
          <w:rFonts w:eastAsia="Times New Roman"/>
          <w:color w:val="000000"/>
          <w:lang w:val="sq-AL" w:eastAsia="sq-AL"/>
        </w:rPr>
        <w:t>,</w:t>
      </w:r>
      <w:r w:rsidRPr="00010E6E">
        <w:rPr>
          <w:rFonts w:eastAsia="Times New Roman"/>
          <w:color w:val="000000"/>
          <w:lang w:val="sq-AL" w:eastAsia="sq-AL"/>
        </w:rPr>
        <w:t xml:space="preserve"> për personat që punojnë apo kanë punuar për Bankën e Shqipërisë dhe ekspertët që veprojnë për llogari të saj</w:t>
      </w:r>
      <w:r w:rsidR="00B53776" w:rsidRPr="00010E6E">
        <w:rPr>
          <w:rFonts w:eastAsia="Times New Roman"/>
          <w:color w:val="000000"/>
          <w:lang w:val="sq-AL" w:eastAsia="sq-AL"/>
        </w:rPr>
        <w:t>, si dhe në rastin e shkëmbimit të informacionit në kuadër të bashkëpunimit ndërinstitucional</w:t>
      </w:r>
      <w:r w:rsidRPr="00010E6E">
        <w:rPr>
          <w:rFonts w:eastAsia="Times New Roman"/>
          <w:color w:val="000000"/>
          <w:lang w:val="sq-AL" w:eastAsia="sq-AL"/>
        </w:rPr>
        <w:t xml:space="preserve">. </w:t>
      </w:r>
    </w:p>
    <w:p w14:paraId="5144C1E6" w14:textId="77777777" w:rsidR="0061577C" w:rsidRPr="00010E6E" w:rsidRDefault="0061577C" w:rsidP="00C6342C">
      <w:pPr>
        <w:contextualSpacing/>
        <w:jc w:val="both"/>
        <w:rPr>
          <w:rFonts w:eastAsia="Times New Roman"/>
          <w:color w:val="000000"/>
          <w:lang w:val="sq-AL" w:eastAsia="sq-AL"/>
        </w:rPr>
      </w:pPr>
    </w:p>
    <w:p w14:paraId="55CF803A" w14:textId="50C4FE18" w:rsidR="0061577C" w:rsidRPr="00010E6E" w:rsidRDefault="0061577C" w:rsidP="00C6342C">
      <w:pPr>
        <w:jc w:val="both"/>
        <w:rPr>
          <w:lang w:val="sq-AL"/>
        </w:rPr>
      </w:pPr>
      <w:r w:rsidRPr="00010E6E">
        <w:rPr>
          <w:lang w:val="sq-AL"/>
        </w:rPr>
        <w:t xml:space="preserve">Në </w:t>
      </w:r>
      <w:r w:rsidR="00BA08D4" w:rsidRPr="003A149E">
        <w:rPr>
          <w:b/>
          <w:lang w:val="sq-AL"/>
        </w:rPr>
        <w:t>S</w:t>
      </w:r>
      <w:r w:rsidRPr="003A149E">
        <w:rPr>
          <w:b/>
          <w:lang w:val="sq-AL"/>
        </w:rPr>
        <w:t xml:space="preserve">eksionin 4 të </w:t>
      </w:r>
      <w:r w:rsidR="0068548B" w:rsidRPr="003A149E">
        <w:rPr>
          <w:b/>
          <w:lang w:val="sq-AL"/>
        </w:rPr>
        <w:t>Titullit</w:t>
      </w:r>
      <w:r w:rsidRPr="003A149E">
        <w:rPr>
          <w:b/>
          <w:lang w:val="sq-AL"/>
        </w:rPr>
        <w:t xml:space="preserve"> II, </w:t>
      </w:r>
      <w:r w:rsidR="00BA08D4" w:rsidRPr="003A149E">
        <w:rPr>
          <w:b/>
          <w:lang w:val="sq-AL"/>
        </w:rPr>
        <w:t>K</w:t>
      </w:r>
      <w:r w:rsidR="0068548B" w:rsidRPr="003A149E">
        <w:rPr>
          <w:b/>
          <w:lang w:val="sq-AL"/>
        </w:rPr>
        <w:t>reu</w:t>
      </w:r>
      <w:r w:rsidR="007B2372" w:rsidRPr="003A149E">
        <w:rPr>
          <w:b/>
          <w:lang w:val="sq-AL"/>
        </w:rPr>
        <w:t xml:space="preserve"> 1 të projekt</w:t>
      </w:r>
      <w:r w:rsidRPr="003A149E">
        <w:rPr>
          <w:b/>
          <w:lang w:val="sq-AL"/>
        </w:rPr>
        <w:t>ligjit</w:t>
      </w:r>
      <w:r w:rsidRPr="00010E6E">
        <w:rPr>
          <w:lang w:val="sq-AL"/>
        </w:rPr>
        <w:t>, është bërë përafrimi me direktivën e shërbimeve të pagesave. Konkretisht</w:t>
      </w:r>
      <w:r w:rsidR="00BA08D4">
        <w:rPr>
          <w:lang w:val="sq-AL"/>
        </w:rPr>
        <w:t>,</w:t>
      </w:r>
      <w:r w:rsidRPr="00010E6E">
        <w:rPr>
          <w:lang w:val="sq-AL"/>
        </w:rPr>
        <w:t xml:space="preserve"> sipas nenit </w:t>
      </w:r>
      <w:r w:rsidR="009770C6" w:rsidRPr="00010E6E">
        <w:rPr>
          <w:lang w:val="sq-AL"/>
        </w:rPr>
        <w:t>27</w:t>
      </w:r>
      <w:r w:rsidRPr="00010E6E">
        <w:rPr>
          <w:lang w:val="sq-AL"/>
        </w:rPr>
        <w:t xml:space="preserve">, personat fizikë ose juridikë që do të ofrojnë shërbime të pagesave sipas pikave 1-6 të Aneksit 1 të projektligjit, përjashtohen nga zbatimi i plotë ose pjesor i procedurave dhe kushteve të parashikuara në seksionet 1, 2 dhe 3 të këtij Kreu, përveç neneve 16, </w:t>
      </w:r>
      <w:r w:rsidR="004567E4" w:rsidRPr="00010E6E">
        <w:rPr>
          <w:lang w:val="sq-AL"/>
        </w:rPr>
        <w:t>24</w:t>
      </w:r>
      <w:r w:rsidRPr="00010E6E">
        <w:rPr>
          <w:lang w:val="sq-AL"/>
        </w:rPr>
        <w:t xml:space="preserve">, 26 dhe </w:t>
      </w:r>
      <w:r w:rsidR="004567E4" w:rsidRPr="00010E6E">
        <w:rPr>
          <w:lang w:val="sq-AL"/>
        </w:rPr>
        <w:t>29</w:t>
      </w:r>
      <w:r w:rsidRPr="00010E6E">
        <w:rPr>
          <w:lang w:val="sq-AL"/>
        </w:rPr>
        <w:t xml:space="preserve">, kur mesatarja mujore e shumës totale të transaksioneve të pagesave të kryera gjatë 12 muajve paraardhës, nga personi në fjalë, duke përfshirë edhe agjentët për të cilët ai merr përgjegjësi të plotë, nuk tejkalon limitin e vendosur nga Banka e Shqipërisë dhe asnjë prej personave fizikë përgjegjës për administrimin apo funksionimin e veprimtarisë të mos jetë dënuar për vepra penale që lidhen me pastrimin e parave apo financimin e terrorizmit ose krime të tjera financiare. Këta persona do të regjistrohen në regjistrin publik dhe do të trajtohen si institucione pagesash dhe duhet të njoftojnë Bankën e Shqipërisë për çdo ndryshim të situatës së tyre që lidhet me kushtet e specifikuara në këtë nen. Banka e Shqipërisë merr masat e nevojshme për të siguruar që në rast se nuk përmbushen më kushtet e përcaktuara në </w:t>
      </w:r>
      <w:r w:rsidRPr="00010E6E">
        <w:rPr>
          <w:lang w:val="sq-AL"/>
        </w:rPr>
        <w:lastRenderedPageBreak/>
        <w:t xml:space="preserve">këtë nen, personat në fjalë të kërkojnë licencim brenda 30 ditëve, në përputhje me procedurën e përcaktuar në nenin 13 të projektligjit. </w:t>
      </w:r>
    </w:p>
    <w:p w14:paraId="14770B96" w14:textId="77777777" w:rsidR="00C6342C" w:rsidRPr="00010E6E" w:rsidRDefault="00C6342C" w:rsidP="00C6342C">
      <w:pPr>
        <w:jc w:val="both"/>
        <w:rPr>
          <w:lang w:val="sq-AL"/>
        </w:rPr>
      </w:pPr>
    </w:p>
    <w:p w14:paraId="36043D27" w14:textId="3054B915" w:rsidR="0061577C" w:rsidRPr="00010E6E" w:rsidRDefault="0061577C" w:rsidP="00C6342C">
      <w:pPr>
        <w:jc w:val="both"/>
        <w:rPr>
          <w:rFonts w:eastAsia="Times New Roman"/>
          <w:lang w:val="sq-AL" w:eastAsia="en-GB"/>
        </w:rPr>
      </w:pPr>
      <w:r w:rsidRPr="00010E6E">
        <w:rPr>
          <w:rFonts w:eastAsia="Times New Roman"/>
          <w:lang w:val="sq-AL" w:eastAsia="en-GB"/>
        </w:rPr>
        <w:t>Për personat fizikë ose juridikë që ofrojnë vet</w:t>
      </w:r>
      <w:r w:rsidRPr="00010E6E">
        <w:rPr>
          <w:rFonts w:eastAsia="Calibri"/>
          <w:lang w:val="sq-AL" w:eastAsia="sq-AL" w:bidi="sq-AL"/>
        </w:rPr>
        <w:t>ë</w:t>
      </w:r>
      <w:r w:rsidRPr="00010E6E">
        <w:rPr>
          <w:rFonts w:eastAsia="Times New Roman"/>
          <w:lang w:val="sq-AL" w:eastAsia="en-GB"/>
        </w:rPr>
        <w:t xml:space="preserve">m shërbimin e informimit të llogarisë, sipas </w:t>
      </w:r>
      <w:r w:rsidR="007B2372" w:rsidRPr="00010E6E">
        <w:rPr>
          <w:rFonts w:eastAsia="Times New Roman"/>
          <w:lang w:val="sq-AL" w:eastAsia="en-GB"/>
        </w:rPr>
        <w:t>pikës 8 të Aneksit 1 të projekt</w:t>
      </w:r>
      <w:r w:rsidRPr="00010E6E">
        <w:rPr>
          <w:rFonts w:eastAsia="Times New Roman"/>
          <w:lang w:val="sq-AL" w:eastAsia="en-GB"/>
        </w:rPr>
        <w:t>ligjit, do të zbatohen disa nga procedurat dhe kushtet e parashikuara në seksionet 1 dhe 2, të detajuar</w:t>
      </w:r>
      <w:r w:rsidR="00BA08D4">
        <w:rPr>
          <w:rFonts w:eastAsia="Times New Roman"/>
          <w:lang w:val="sq-AL" w:eastAsia="en-GB"/>
        </w:rPr>
        <w:t>a</w:t>
      </w:r>
      <w:r w:rsidRPr="00010E6E">
        <w:rPr>
          <w:rFonts w:eastAsia="Times New Roman"/>
          <w:lang w:val="sq-AL" w:eastAsia="en-GB"/>
        </w:rPr>
        <w:t xml:space="preserve"> në nenin </w:t>
      </w:r>
      <w:r w:rsidR="00210637" w:rsidRPr="00010E6E">
        <w:rPr>
          <w:rFonts w:eastAsia="Times New Roman"/>
          <w:lang w:val="sq-AL" w:eastAsia="en-GB"/>
        </w:rPr>
        <w:t xml:space="preserve">28 </w:t>
      </w:r>
      <w:r w:rsidRPr="00010E6E">
        <w:rPr>
          <w:rFonts w:eastAsia="Times New Roman"/>
          <w:lang w:val="sq-AL" w:eastAsia="en-GB"/>
        </w:rPr>
        <w:t xml:space="preserve">të projektligjit. Këta persona do të trajtohen si institucione të pagesave. </w:t>
      </w:r>
    </w:p>
    <w:p w14:paraId="5BAADBD4" w14:textId="77777777" w:rsidR="00C6342C" w:rsidRPr="00010E6E" w:rsidRDefault="00C6342C" w:rsidP="00C6342C">
      <w:pPr>
        <w:jc w:val="both"/>
        <w:rPr>
          <w:rFonts w:eastAsia="Times New Roman"/>
          <w:lang w:val="sq-AL" w:eastAsia="en-GB"/>
        </w:rPr>
      </w:pPr>
    </w:p>
    <w:p w14:paraId="44C04BFA" w14:textId="1B866808" w:rsidR="0061577C" w:rsidRPr="00010E6E" w:rsidRDefault="0061577C" w:rsidP="00C6342C">
      <w:pPr>
        <w:jc w:val="both"/>
        <w:rPr>
          <w:lang w:val="sq-AL"/>
        </w:rPr>
      </w:pPr>
      <w:r w:rsidRPr="00010E6E">
        <w:rPr>
          <w:lang w:val="sq-AL"/>
        </w:rPr>
        <w:t xml:space="preserve">Në nenin </w:t>
      </w:r>
      <w:r w:rsidR="009770C6" w:rsidRPr="00010E6E">
        <w:rPr>
          <w:lang w:val="sq-AL"/>
        </w:rPr>
        <w:t xml:space="preserve">29 </w:t>
      </w:r>
      <w:r w:rsidRPr="00010E6E">
        <w:rPr>
          <w:lang w:val="sq-AL"/>
        </w:rPr>
        <w:t xml:space="preserve">të projektligjit trajtohet pjesëmarrja e </w:t>
      </w:r>
      <w:r w:rsidR="00B2002E" w:rsidRPr="00010E6E">
        <w:rPr>
          <w:lang w:val="sq-AL"/>
        </w:rPr>
        <w:t>ofruesve t</w:t>
      </w:r>
      <w:r w:rsidR="00B2002E" w:rsidRPr="00010E6E">
        <w:rPr>
          <w:rFonts w:eastAsia="Calibri"/>
          <w:lang w:val="sq-AL" w:eastAsia="sq-AL" w:bidi="sq-AL"/>
        </w:rPr>
        <w:t>ë shërbimeve</w:t>
      </w:r>
      <w:r w:rsidR="00B2002E" w:rsidRPr="00010E6E">
        <w:rPr>
          <w:lang w:val="sq-AL"/>
        </w:rPr>
        <w:t xml:space="preserve"> </w:t>
      </w:r>
      <w:r w:rsidRPr="00010E6E">
        <w:rPr>
          <w:lang w:val="sq-AL"/>
        </w:rPr>
        <w:t xml:space="preserve">të pagesave në sistemet e pagesave, ashtu siç përcaktohet edhe në direktivë, duke parashikuar krijimin e kushteve jodiskriminuese dhe proporcionale për hyrjen në sistemet e pagesave, të personave juridikë të licencuar ose të regjistruar. Kjo dispozitë synon të krijojë kushte të barabarta pjesëmarrjeje ndërmjet aktorëve të ndryshëm në treg. Megjithatë, në lidhje me sistemet </w:t>
      </w:r>
      <w:r w:rsidR="00533262">
        <w:rPr>
          <w:lang w:val="sq-AL"/>
        </w:rPr>
        <w:t>q</w:t>
      </w:r>
      <w:r w:rsidR="00533262" w:rsidRPr="00010E6E">
        <w:rPr>
          <w:lang w:val="sq-AL"/>
        </w:rPr>
        <w:t>ë</w:t>
      </w:r>
      <w:r w:rsidRPr="00010E6E">
        <w:rPr>
          <w:lang w:val="sq-AL"/>
        </w:rPr>
        <w:t xml:space="preserve"> respektojnë parimin e finali</w:t>
      </w:r>
      <w:r w:rsidR="009074EA" w:rsidRPr="00010E6E">
        <w:rPr>
          <w:lang w:val="sq-AL"/>
        </w:rPr>
        <w:t>zimit</w:t>
      </w:r>
      <w:r w:rsidRPr="00010E6E">
        <w:rPr>
          <w:lang w:val="sq-AL"/>
        </w:rPr>
        <w:t xml:space="preserve"> të shlyerjes, projektligji ashtu si edhe vetë direktiva, parashikon që këto kushte mos </w:t>
      </w:r>
      <w:r w:rsidR="00533262">
        <w:rPr>
          <w:lang w:val="sq-AL"/>
        </w:rPr>
        <w:t xml:space="preserve">ta </w:t>
      </w:r>
      <w:r w:rsidRPr="00010E6E">
        <w:rPr>
          <w:lang w:val="sq-AL"/>
        </w:rPr>
        <w:t xml:space="preserve">ekspozojnë sistemin ndaj pjesëmarrësve të cilët mund të mbartin rrezik të shtuar (rreziku i shlyerjes, operacional, rreziku i biznesit) dhe të sigurojnë mbrojtjen e stabilitetit financiar dhe operacional të sistemit të pagesave. Megjithatë, projektligji krijon hapësira për një pjesëmarrje </w:t>
      </w:r>
      <w:r w:rsidR="008A592D" w:rsidRPr="00010E6E">
        <w:rPr>
          <w:lang w:val="sq-AL"/>
        </w:rPr>
        <w:t>të tërthortë</w:t>
      </w:r>
      <w:r w:rsidRPr="00010E6E">
        <w:rPr>
          <w:lang w:val="sq-AL"/>
        </w:rPr>
        <w:t xml:space="preserve"> nëpërmjet një pjesëmarrësi </w:t>
      </w:r>
      <w:r w:rsidR="008A592D" w:rsidRPr="00010E6E">
        <w:rPr>
          <w:lang w:val="sq-AL"/>
        </w:rPr>
        <w:t xml:space="preserve">të drejtpërdrejtë </w:t>
      </w:r>
      <w:r w:rsidRPr="00010E6E">
        <w:rPr>
          <w:lang w:val="sq-AL"/>
        </w:rPr>
        <w:t>(ku si rregull janë bankat). Gjithashtu</w:t>
      </w:r>
      <w:r w:rsidR="00533262">
        <w:rPr>
          <w:lang w:val="sq-AL"/>
        </w:rPr>
        <w:t>,</w:t>
      </w:r>
      <w:r w:rsidRPr="00010E6E">
        <w:rPr>
          <w:lang w:val="sq-AL"/>
        </w:rPr>
        <w:t xml:space="preserve"> këta pjesëmarrës të tërthortë nuk gëzojnë të njëjtat të drejta nga mbrojtja e dhënë nga direktiva e finalitetit të shlyerjes (ligji në fuqi për sistemin e pagesave). Për më shumë, projektligji </w:t>
      </w:r>
      <w:r w:rsidR="00533262">
        <w:rPr>
          <w:lang w:val="sq-AL"/>
        </w:rPr>
        <w:t xml:space="preserve">i </w:t>
      </w:r>
      <w:r w:rsidRPr="00010E6E">
        <w:rPr>
          <w:lang w:val="sq-AL"/>
        </w:rPr>
        <w:t xml:space="preserve">zhvesh nga këto detyrime, sistemet e krijuara dhe të operuara nga një ofrues shërbimesh pagesash për qëllime të vetë institucionit.   </w:t>
      </w:r>
    </w:p>
    <w:p w14:paraId="202F883E" w14:textId="77777777" w:rsidR="00C6342C" w:rsidRPr="00010E6E" w:rsidRDefault="00C6342C" w:rsidP="00C6342C">
      <w:pPr>
        <w:jc w:val="both"/>
        <w:rPr>
          <w:lang w:val="sq-AL"/>
        </w:rPr>
      </w:pPr>
    </w:p>
    <w:p w14:paraId="5A8A84DE" w14:textId="6DE97F4A" w:rsidR="0061577C" w:rsidRPr="00010E6E" w:rsidRDefault="00556731" w:rsidP="00C6342C">
      <w:pPr>
        <w:jc w:val="both"/>
        <w:rPr>
          <w:lang w:val="sq-AL"/>
        </w:rPr>
      </w:pPr>
      <w:r>
        <w:rPr>
          <w:lang w:val="sq-AL"/>
        </w:rPr>
        <w:t>N</w:t>
      </w:r>
      <w:r w:rsidR="0061577C" w:rsidRPr="00010E6E">
        <w:rPr>
          <w:lang w:val="sq-AL"/>
        </w:rPr>
        <w:t xml:space="preserve">ë nenin </w:t>
      </w:r>
      <w:r w:rsidR="008A592D" w:rsidRPr="00010E6E">
        <w:rPr>
          <w:lang w:val="sq-AL"/>
        </w:rPr>
        <w:t xml:space="preserve">30 </w:t>
      </w:r>
      <w:r w:rsidR="0061577C" w:rsidRPr="00010E6E">
        <w:rPr>
          <w:lang w:val="sq-AL"/>
        </w:rPr>
        <w:t xml:space="preserve">të projektligjit trajtohet mundësia e institucioneve të pagesave </w:t>
      </w:r>
      <w:r w:rsidR="009B57CF" w:rsidRPr="00010E6E">
        <w:rPr>
          <w:lang w:val="sq-AL"/>
        </w:rPr>
        <w:t xml:space="preserve">dhe të parasë elektronike, </w:t>
      </w:r>
      <w:r w:rsidR="0061577C" w:rsidRPr="00010E6E">
        <w:rPr>
          <w:lang w:val="sq-AL"/>
        </w:rPr>
        <w:t>për të pasur akses në shërbimet e ofruara nga bankat</w:t>
      </w:r>
      <w:r w:rsidR="003326C3" w:rsidRPr="00010E6E">
        <w:rPr>
          <w:lang w:val="sq-AL"/>
        </w:rPr>
        <w:t>,</w:t>
      </w:r>
      <w:r w:rsidR="0061577C" w:rsidRPr="00010E6E">
        <w:rPr>
          <w:lang w:val="sq-AL"/>
        </w:rPr>
        <w:t xml:space="preserve"> si për shembull </w:t>
      </w:r>
      <w:r w:rsidR="003326C3" w:rsidRPr="00010E6E">
        <w:rPr>
          <w:lang w:val="sq-AL"/>
        </w:rPr>
        <w:t xml:space="preserve">për </w:t>
      </w:r>
      <w:r w:rsidR="0061577C" w:rsidRPr="00010E6E">
        <w:rPr>
          <w:lang w:val="sq-AL"/>
        </w:rPr>
        <w:t>hapjen dhe përdorimin e një llogarie të institucionit, e cila mundëson veprimtarinë e pagesës</w:t>
      </w:r>
      <w:r>
        <w:rPr>
          <w:lang w:val="sq-AL"/>
        </w:rPr>
        <w:t>,</w:t>
      </w:r>
      <w:r w:rsidR="00B2002E" w:rsidRPr="00010E6E">
        <w:rPr>
          <w:lang w:val="sq-AL"/>
        </w:rPr>
        <w:t xml:space="preserve"> si dhe shërbime të tjera në lidhje me këto shërbime</w:t>
      </w:r>
      <w:r w:rsidR="0061577C" w:rsidRPr="00010E6E">
        <w:rPr>
          <w:lang w:val="sq-AL"/>
        </w:rPr>
        <w:t>. Vlen të theksohet se projektligji parashikon se në rastet kur kjo pjesëmarrje do të refuzohet (si për pjesëmarrjen në sisteme ashtu edhe në rastin e aksesit në llogaritë e mbajtura me bankat), bankat do t</w:t>
      </w:r>
      <w:r w:rsidR="00913584" w:rsidRPr="00010E6E">
        <w:rPr>
          <w:lang w:val="sq-AL"/>
        </w:rPr>
        <w:t>’u</w:t>
      </w:r>
      <w:r w:rsidR="0061577C" w:rsidRPr="00010E6E">
        <w:rPr>
          <w:lang w:val="sq-AL"/>
        </w:rPr>
        <w:t xml:space="preserve"> paraqesin ofruesve të shërbimeve të pagesave ose Bankës së Shqipërisë (sipas rastit) arsyetimin e detajuar në lidhje me këtë refuzim.</w:t>
      </w:r>
    </w:p>
    <w:p w14:paraId="0F182A65" w14:textId="77777777" w:rsidR="00C6342C" w:rsidRPr="00010E6E" w:rsidRDefault="00C6342C" w:rsidP="00C6342C">
      <w:pPr>
        <w:jc w:val="both"/>
        <w:rPr>
          <w:rFonts w:eastAsia="Times New Roman"/>
          <w:lang w:val="sq-AL" w:eastAsia="en-GB"/>
        </w:rPr>
      </w:pPr>
    </w:p>
    <w:p w14:paraId="2D1F0DD4" w14:textId="08E84EF2" w:rsidR="0061577C" w:rsidRPr="00010E6E" w:rsidRDefault="0061577C" w:rsidP="00C6342C">
      <w:pPr>
        <w:jc w:val="both"/>
        <w:rPr>
          <w:rFonts w:eastAsia="Times New Roman"/>
          <w:lang w:val="sq-AL" w:eastAsia="en-GB"/>
        </w:rPr>
      </w:pPr>
      <w:r w:rsidRPr="00010E6E">
        <w:rPr>
          <w:lang w:val="sq-AL"/>
        </w:rPr>
        <w:t xml:space="preserve">Në nenin </w:t>
      </w:r>
      <w:r w:rsidR="00020BCF" w:rsidRPr="00010E6E">
        <w:rPr>
          <w:lang w:val="sq-AL"/>
        </w:rPr>
        <w:t xml:space="preserve">31 </w:t>
      </w:r>
      <w:r w:rsidR="007B2372" w:rsidRPr="00010E6E">
        <w:rPr>
          <w:lang w:val="sq-AL"/>
        </w:rPr>
        <w:t>të projekt</w:t>
      </w:r>
      <w:r w:rsidRPr="00010E6E">
        <w:rPr>
          <w:lang w:val="sq-AL"/>
        </w:rPr>
        <w:t xml:space="preserve">ligjit është parashikuar që të gjithë personat fizikë ose juridikë që nuk janë ofrues të shërbimeve të pagesave ose nuk janë të përjashtuar shprehimisht nga fusha e zbatimit të projektligjit, nuk mund të ofrojnë shërbimet e pagesave. Për rastet e </w:t>
      </w:r>
      <w:r w:rsidRPr="00010E6E">
        <w:rPr>
          <w:lang w:val="sq-AL"/>
        </w:rPr>
        <w:lastRenderedPageBreak/>
        <w:t>ushtrimit të shërbimeve të bazuara në një instrument specifik pagese</w:t>
      </w:r>
      <w:r w:rsidRPr="00010E6E">
        <w:rPr>
          <w:rStyle w:val="FootnoteReference"/>
          <w:lang w:val="sq-AL"/>
        </w:rPr>
        <w:footnoteReference w:id="1"/>
      </w:r>
      <w:r w:rsidRPr="00010E6E">
        <w:rPr>
          <w:rFonts w:eastAsia="Times New Roman"/>
          <w:lang w:val="sq-AL"/>
        </w:rPr>
        <w:t xml:space="preserve">, </w:t>
      </w:r>
      <w:r w:rsidRPr="00010E6E">
        <w:rPr>
          <w:lang w:val="sq-AL"/>
        </w:rPr>
        <w:t xml:space="preserve">të </w:t>
      </w:r>
      <w:r w:rsidRPr="00010E6E">
        <w:rPr>
          <w:rFonts w:eastAsia="Times New Roman"/>
          <w:lang w:val="sq-AL" w:eastAsia="en-GB"/>
        </w:rPr>
        <w:t xml:space="preserve">referuara në nënpikat (i) dhe (ii) të shkronjës (k) të </w:t>
      </w:r>
      <w:r w:rsidR="00556731">
        <w:rPr>
          <w:rFonts w:eastAsia="Times New Roman"/>
          <w:lang w:val="sq-AL" w:eastAsia="en-GB"/>
        </w:rPr>
        <w:t>n</w:t>
      </w:r>
      <w:r w:rsidRPr="00010E6E">
        <w:rPr>
          <w:rFonts w:eastAsia="Times New Roman"/>
          <w:lang w:val="sq-AL" w:eastAsia="en-GB"/>
        </w:rPr>
        <w:t xml:space="preserve">enit 4 të projektligjit, për të cilat vlera totale e transaksioneve të pagesave të kryera brenda 12 muajve paraardhës, tejkalon shumën </w:t>
      </w:r>
      <w:r w:rsidR="00846FE2" w:rsidRPr="00010E6E">
        <w:rPr>
          <w:rFonts w:eastAsia="Times New Roman"/>
          <w:lang w:val="sq-AL" w:eastAsia="en-GB"/>
        </w:rPr>
        <w:t>e përcaktuar nga Banka e Shqipërisë</w:t>
      </w:r>
      <w:r w:rsidRPr="00010E6E">
        <w:rPr>
          <w:rFonts w:eastAsia="Times New Roman"/>
          <w:lang w:val="sq-AL" w:eastAsia="en-GB"/>
        </w:rPr>
        <w:t xml:space="preserve">, </w:t>
      </w:r>
      <w:r w:rsidRPr="00010E6E">
        <w:rPr>
          <w:lang w:val="sq-AL"/>
        </w:rPr>
        <w:t xml:space="preserve">ofruesit e këtyre shërbimeve duhet </w:t>
      </w:r>
      <w:r w:rsidRPr="00010E6E">
        <w:rPr>
          <w:rFonts w:eastAsia="Times New Roman"/>
          <w:lang w:val="sq-AL" w:eastAsia="en-GB"/>
        </w:rPr>
        <w:t>të dërgojnë një njoftim në Bankën e Shqipërisë, që përshkr</w:t>
      </w:r>
      <w:r w:rsidR="00556731">
        <w:rPr>
          <w:rFonts w:eastAsia="Times New Roman"/>
          <w:lang w:val="sq-AL" w:eastAsia="en-GB"/>
        </w:rPr>
        <w:t>uan</w:t>
      </w:r>
      <w:r w:rsidRPr="00010E6E">
        <w:rPr>
          <w:rFonts w:eastAsia="Times New Roman"/>
          <w:lang w:val="sq-AL" w:eastAsia="en-GB"/>
        </w:rPr>
        <w:t xml:space="preserve"> shërbime</w:t>
      </w:r>
      <w:r w:rsidR="00556731">
        <w:rPr>
          <w:rFonts w:eastAsia="Times New Roman"/>
          <w:lang w:val="sq-AL" w:eastAsia="en-GB"/>
        </w:rPr>
        <w:t>t e</w:t>
      </w:r>
      <w:r w:rsidRPr="00010E6E">
        <w:rPr>
          <w:rFonts w:eastAsia="Times New Roman"/>
          <w:lang w:val="sq-AL" w:eastAsia="en-GB"/>
        </w:rPr>
        <w:t xml:space="preserve"> ofruara, duke specifikuar në cilin përjashtim të referuar në shkronjën </w:t>
      </w:r>
      <w:r w:rsidR="00C77C03">
        <w:rPr>
          <w:rFonts w:eastAsia="Times New Roman"/>
          <w:lang w:val="sq-AL" w:eastAsia="en-GB"/>
        </w:rPr>
        <w:t>“</w:t>
      </w:r>
      <w:r w:rsidRPr="00010E6E">
        <w:rPr>
          <w:rFonts w:eastAsia="Times New Roman"/>
          <w:lang w:val="sq-AL" w:eastAsia="en-GB"/>
        </w:rPr>
        <w:t>k</w:t>
      </w:r>
      <w:r w:rsidR="00C77C03">
        <w:rPr>
          <w:rFonts w:eastAsia="Times New Roman"/>
          <w:lang w:val="sq-AL" w:eastAsia="en-GB"/>
        </w:rPr>
        <w:t>”</w:t>
      </w:r>
      <w:r w:rsidR="00C77C03" w:rsidRPr="00010E6E">
        <w:rPr>
          <w:rFonts w:eastAsia="Times New Roman"/>
          <w:lang w:val="sq-AL" w:eastAsia="en-GB"/>
        </w:rPr>
        <w:t xml:space="preserve">, </w:t>
      </w:r>
      <w:r w:rsidRPr="00010E6E">
        <w:rPr>
          <w:rFonts w:eastAsia="Times New Roman"/>
          <w:lang w:val="sq-AL" w:eastAsia="en-GB"/>
        </w:rPr>
        <w:t xml:space="preserve">nënpikat (i) dhe (ii) të </w:t>
      </w:r>
      <w:r w:rsidR="00556731">
        <w:rPr>
          <w:rFonts w:eastAsia="Times New Roman"/>
          <w:lang w:val="sq-AL" w:eastAsia="en-GB"/>
        </w:rPr>
        <w:t>n</w:t>
      </w:r>
      <w:r w:rsidRPr="00010E6E">
        <w:rPr>
          <w:rFonts w:eastAsia="Times New Roman"/>
          <w:lang w:val="sq-AL" w:eastAsia="en-GB"/>
        </w:rPr>
        <w:t>enit 4, konsiderohet të kryhet aktiviteti. Mbi bazën e këtij njoftimi</w:t>
      </w:r>
      <w:r w:rsidR="00C77C03">
        <w:rPr>
          <w:rFonts w:eastAsia="Times New Roman"/>
          <w:lang w:val="sq-AL" w:eastAsia="en-GB"/>
        </w:rPr>
        <w:t>,</w:t>
      </w:r>
      <w:r w:rsidRPr="00010E6E">
        <w:rPr>
          <w:rFonts w:eastAsia="Times New Roman"/>
          <w:lang w:val="sq-AL" w:eastAsia="en-GB"/>
        </w:rPr>
        <w:t xml:space="preserve"> Banka e Shqipërisë merr një vendim të mirargumentuar </w:t>
      </w:r>
      <w:r w:rsidR="00C77C03">
        <w:rPr>
          <w:rFonts w:eastAsia="Times New Roman"/>
          <w:lang w:val="sq-AL" w:eastAsia="en-GB"/>
        </w:rPr>
        <w:t>sipas</w:t>
      </w:r>
      <w:r w:rsidRPr="00010E6E">
        <w:rPr>
          <w:rFonts w:eastAsia="Times New Roman"/>
          <w:lang w:val="sq-AL" w:eastAsia="en-GB"/>
        </w:rPr>
        <w:t xml:space="preserve"> kriterit të referuar në shkronjën </w:t>
      </w:r>
      <w:r w:rsidR="00C77C03">
        <w:rPr>
          <w:rFonts w:eastAsia="Times New Roman"/>
          <w:lang w:val="sq-AL" w:eastAsia="en-GB"/>
        </w:rPr>
        <w:t>“</w:t>
      </w:r>
      <w:r w:rsidRPr="00010E6E">
        <w:rPr>
          <w:rFonts w:eastAsia="Times New Roman"/>
          <w:lang w:val="sq-AL" w:eastAsia="en-GB"/>
        </w:rPr>
        <w:t>k</w:t>
      </w:r>
      <w:r w:rsidR="00C77C03">
        <w:rPr>
          <w:rFonts w:eastAsia="Times New Roman"/>
          <w:lang w:val="sq-AL" w:eastAsia="en-GB"/>
        </w:rPr>
        <w:t>”</w:t>
      </w:r>
      <w:r w:rsidR="00C77C03" w:rsidRPr="00010E6E">
        <w:rPr>
          <w:rFonts w:eastAsia="Times New Roman"/>
          <w:lang w:val="sq-AL" w:eastAsia="en-GB"/>
        </w:rPr>
        <w:t xml:space="preserve"> </w:t>
      </w:r>
      <w:r w:rsidRPr="00010E6E">
        <w:rPr>
          <w:rFonts w:eastAsia="Times New Roman"/>
          <w:lang w:val="sq-AL" w:eastAsia="en-GB"/>
        </w:rPr>
        <w:t xml:space="preserve">të </w:t>
      </w:r>
      <w:r w:rsidR="00C77C03">
        <w:rPr>
          <w:rFonts w:eastAsia="Times New Roman"/>
          <w:lang w:val="sq-AL" w:eastAsia="en-GB"/>
        </w:rPr>
        <w:t>n</w:t>
      </w:r>
      <w:r w:rsidRPr="00010E6E">
        <w:rPr>
          <w:rFonts w:eastAsia="Times New Roman"/>
          <w:lang w:val="sq-AL" w:eastAsia="en-GB"/>
        </w:rPr>
        <w:t>enit 4, kur aktiviteti i ofruesit të shërbimit nuk kualifikohet më si një rrjet i kufizuar dhe informon ofruesin e shërbimit sipas rastit. Gjithashtu</w:t>
      </w:r>
      <w:r w:rsidR="00C77C03">
        <w:rPr>
          <w:rFonts w:eastAsia="Times New Roman"/>
          <w:lang w:val="sq-AL" w:eastAsia="en-GB"/>
        </w:rPr>
        <w:t>,</w:t>
      </w:r>
      <w:r w:rsidRPr="00010E6E">
        <w:rPr>
          <w:rFonts w:eastAsia="Times New Roman"/>
          <w:lang w:val="sq-AL" w:eastAsia="en-GB"/>
        </w:rPr>
        <w:t xml:space="preserve"> ofruesit e shërbimeve që kryejnë një </w:t>
      </w:r>
      <w:r w:rsidR="00802FC7" w:rsidRPr="00010E6E">
        <w:rPr>
          <w:rFonts w:eastAsia="Times New Roman"/>
          <w:lang w:val="sq-AL" w:eastAsia="en-GB"/>
        </w:rPr>
        <w:t xml:space="preserve">veprimtari </w:t>
      </w:r>
      <w:r w:rsidRPr="00010E6E">
        <w:rPr>
          <w:rFonts w:eastAsia="Times New Roman"/>
          <w:lang w:val="sq-AL" w:eastAsia="en-GB"/>
        </w:rPr>
        <w:t xml:space="preserve">sipas shkronjës </w:t>
      </w:r>
      <w:r w:rsidR="00C77C03">
        <w:rPr>
          <w:rFonts w:eastAsia="Times New Roman"/>
          <w:lang w:val="sq-AL" w:eastAsia="en-GB"/>
        </w:rPr>
        <w:t>“</w:t>
      </w:r>
      <w:r w:rsidRPr="00010E6E">
        <w:rPr>
          <w:rFonts w:eastAsia="Times New Roman"/>
          <w:lang w:val="sq-AL" w:eastAsia="en-GB"/>
        </w:rPr>
        <w:t>l</w:t>
      </w:r>
      <w:r w:rsidR="00C77C03">
        <w:rPr>
          <w:rFonts w:eastAsia="Times New Roman"/>
          <w:lang w:val="sq-AL" w:eastAsia="en-GB"/>
        </w:rPr>
        <w:t>”</w:t>
      </w:r>
      <w:r w:rsidR="00C77C03" w:rsidRPr="00010E6E">
        <w:rPr>
          <w:rStyle w:val="FootnoteReference"/>
          <w:rFonts w:eastAsia="Times New Roman"/>
          <w:lang w:val="sq-AL" w:eastAsia="en-GB"/>
        </w:rPr>
        <w:footnoteReference w:id="2"/>
      </w:r>
      <w:r w:rsidR="00C77C03" w:rsidRPr="00010E6E">
        <w:rPr>
          <w:rFonts w:eastAsia="Times New Roman"/>
          <w:lang w:val="sq-AL" w:eastAsia="en-GB"/>
        </w:rPr>
        <w:t xml:space="preserve"> </w:t>
      </w:r>
      <w:r w:rsidRPr="00010E6E">
        <w:rPr>
          <w:rFonts w:eastAsia="Times New Roman"/>
          <w:lang w:val="sq-AL" w:eastAsia="en-GB"/>
        </w:rPr>
        <w:t xml:space="preserve">të </w:t>
      </w:r>
      <w:r w:rsidR="007B2372" w:rsidRPr="00010E6E">
        <w:rPr>
          <w:rFonts w:eastAsia="Times New Roman"/>
          <w:lang w:val="sq-AL" w:eastAsia="en-GB"/>
        </w:rPr>
        <w:t>n</w:t>
      </w:r>
      <w:r w:rsidRPr="00010E6E">
        <w:rPr>
          <w:rFonts w:eastAsia="Times New Roman"/>
          <w:lang w:val="sq-AL" w:eastAsia="en-GB"/>
        </w:rPr>
        <w:t xml:space="preserve">enit 4 kanë </w:t>
      </w:r>
      <w:r w:rsidRPr="003A149E">
        <w:rPr>
          <w:rFonts w:eastAsia="Times New Roman"/>
          <w:lang w:val="sq-AL" w:eastAsia="en-GB"/>
        </w:rPr>
        <w:t xml:space="preserve">detyrimin të dërgojnë një njoftim dhe t’i sigurojnë Bankës së Shqipërisë </w:t>
      </w:r>
      <w:r w:rsidR="00802FC7" w:rsidRPr="003A149E">
        <w:rPr>
          <w:rFonts w:eastAsia="Times New Roman"/>
          <w:lang w:val="sq-AL" w:eastAsia="en-GB"/>
        </w:rPr>
        <w:t xml:space="preserve">opinionin </w:t>
      </w:r>
      <w:r w:rsidRPr="003A149E">
        <w:rPr>
          <w:rFonts w:eastAsia="Times New Roman"/>
          <w:lang w:val="sq-AL" w:eastAsia="en-GB"/>
        </w:rPr>
        <w:t xml:space="preserve">vjetor të audituesit ligjor, duke dëshmuar se veprimtaria përputhet me kufijtë e përcaktuar në </w:t>
      </w:r>
      <w:r w:rsidR="003A149E" w:rsidRPr="003A149E">
        <w:rPr>
          <w:rFonts w:eastAsia="Times New Roman"/>
          <w:lang w:val="sq-AL" w:eastAsia="en-GB"/>
        </w:rPr>
        <w:t>shkronjën</w:t>
      </w:r>
      <w:r w:rsidRPr="003A149E">
        <w:rPr>
          <w:rFonts w:eastAsia="Times New Roman"/>
          <w:lang w:val="sq-AL" w:eastAsia="en-GB"/>
        </w:rPr>
        <w:t xml:space="preserve"> </w:t>
      </w:r>
      <w:r w:rsidR="00C77C03" w:rsidRPr="003A149E">
        <w:rPr>
          <w:rFonts w:eastAsia="Times New Roman"/>
          <w:lang w:val="sq-AL" w:eastAsia="en-GB"/>
        </w:rPr>
        <w:t>“</w:t>
      </w:r>
      <w:r w:rsidRPr="003A149E">
        <w:rPr>
          <w:rFonts w:eastAsia="Times New Roman"/>
          <w:lang w:val="sq-AL" w:eastAsia="en-GB"/>
        </w:rPr>
        <w:t>l</w:t>
      </w:r>
      <w:r w:rsidR="00C77C03" w:rsidRPr="003A149E">
        <w:rPr>
          <w:rFonts w:eastAsia="Times New Roman"/>
          <w:lang w:val="sq-AL" w:eastAsia="en-GB"/>
        </w:rPr>
        <w:t>”</w:t>
      </w:r>
      <w:r w:rsidRPr="003A149E">
        <w:rPr>
          <w:rFonts w:eastAsia="Times New Roman"/>
          <w:lang w:val="sq-AL" w:eastAsia="en-GB"/>
        </w:rPr>
        <w:t xml:space="preserve"> të nenit 4. Përshkrimi i aktiviteteve të njoftuar</w:t>
      </w:r>
      <w:r w:rsidR="00C77C03" w:rsidRPr="003A149E">
        <w:rPr>
          <w:rFonts w:eastAsia="Times New Roman"/>
          <w:lang w:val="sq-AL" w:eastAsia="en-GB"/>
        </w:rPr>
        <w:t>a</w:t>
      </w:r>
      <w:r w:rsidRPr="003A149E">
        <w:rPr>
          <w:rFonts w:eastAsia="Times New Roman"/>
          <w:lang w:val="sq-AL" w:eastAsia="en-GB"/>
        </w:rPr>
        <w:t xml:space="preserve"> nga ofruesit e shërbimeve do të vihet në</w:t>
      </w:r>
      <w:r w:rsidRPr="00010E6E">
        <w:rPr>
          <w:rFonts w:eastAsia="Times New Roman"/>
          <w:lang w:val="sq-AL" w:eastAsia="en-GB"/>
        </w:rPr>
        <w:t xml:space="preserve"> dispozicion të publikut në regjistr</w:t>
      </w:r>
      <w:r w:rsidR="00802FC7" w:rsidRPr="00010E6E">
        <w:rPr>
          <w:rFonts w:eastAsia="Times New Roman"/>
          <w:lang w:val="sq-AL" w:eastAsia="en-GB"/>
        </w:rPr>
        <w:t>in</w:t>
      </w:r>
      <w:r w:rsidRPr="00010E6E">
        <w:rPr>
          <w:rFonts w:eastAsia="Times New Roman"/>
          <w:lang w:val="sq-AL" w:eastAsia="en-GB"/>
        </w:rPr>
        <w:t xml:space="preserve"> e </w:t>
      </w:r>
      <w:r w:rsidR="00802FC7" w:rsidRPr="00010E6E">
        <w:rPr>
          <w:rFonts w:eastAsia="Times New Roman"/>
          <w:lang w:val="sq-AL" w:eastAsia="en-GB"/>
        </w:rPr>
        <w:t xml:space="preserve">Bankës së Shqipërisë, të </w:t>
      </w:r>
      <w:r w:rsidRPr="00010E6E">
        <w:rPr>
          <w:rFonts w:eastAsia="Times New Roman"/>
          <w:lang w:val="sq-AL" w:eastAsia="en-GB"/>
        </w:rPr>
        <w:t xml:space="preserve">parashikuar në nenin 16 të projektligjit. </w:t>
      </w:r>
    </w:p>
    <w:p w14:paraId="099C3DE3" w14:textId="77777777" w:rsidR="00802FC7" w:rsidRPr="00010E6E" w:rsidRDefault="00802FC7" w:rsidP="00C6342C">
      <w:pPr>
        <w:jc w:val="both"/>
        <w:rPr>
          <w:rFonts w:eastAsia="Times New Roman"/>
          <w:lang w:val="sq-AL" w:eastAsia="en-GB"/>
        </w:rPr>
      </w:pPr>
    </w:p>
    <w:p w14:paraId="49FED7B9" w14:textId="77777777" w:rsidR="0002198C" w:rsidRPr="00010E6E" w:rsidRDefault="0002198C" w:rsidP="00C77C03">
      <w:pPr>
        <w:pStyle w:val="ListParagraph"/>
        <w:shd w:val="clear" w:color="auto" w:fill="D9D9D9"/>
        <w:spacing w:after="0" w:line="240" w:lineRule="auto"/>
        <w:ind w:left="0" w:right="-234"/>
        <w:contextualSpacing w:val="0"/>
        <w:jc w:val="both"/>
        <w:rPr>
          <w:rFonts w:ascii="Times New Roman" w:hAnsi="Times New Roman"/>
          <w:b/>
          <w:sz w:val="24"/>
          <w:szCs w:val="24"/>
          <w:lang w:val="sq-AL"/>
        </w:rPr>
      </w:pPr>
      <w:r w:rsidRPr="00010E6E">
        <w:rPr>
          <w:rFonts w:ascii="Times New Roman" w:hAnsi="Times New Roman"/>
          <w:b/>
          <w:sz w:val="24"/>
          <w:szCs w:val="24"/>
          <w:lang w:val="sq-AL"/>
        </w:rPr>
        <w:t>Titulli</w:t>
      </w:r>
      <w:r w:rsidR="0068548B" w:rsidRPr="00010E6E">
        <w:rPr>
          <w:rFonts w:ascii="Times New Roman" w:hAnsi="Times New Roman"/>
          <w:b/>
          <w:sz w:val="24"/>
          <w:szCs w:val="24"/>
          <w:lang w:val="sq-AL"/>
        </w:rPr>
        <w:t xml:space="preserve"> III</w:t>
      </w:r>
      <w:r w:rsidR="00FA1823" w:rsidRPr="00010E6E">
        <w:rPr>
          <w:rFonts w:ascii="Times New Roman" w:hAnsi="Times New Roman"/>
          <w:b/>
          <w:sz w:val="24"/>
          <w:szCs w:val="24"/>
          <w:lang w:val="sq-AL"/>
        </w:rPr>
        <w:t>:</w:t>
      </w:r>
      <w:r w:rsidRPr="00010E6E">
        <w:rPr>
          <w:rFonts w:ascii="Times New Roman" w:hAnsi="Times New Roman"/>
          <w:b/>
          <w:sz w:val="24"/>
          <w:szCs w:val="24"/>
          <w:lang w:val="sq-AL"/>
        </w:rPr>
        <w:t xml:space="preserve"> </w:t>
      </w:r>
      <w:r w:rsidR="00FA1823" w:rsidRPr="00010E6E">
        <w:rPr>
          <w:rFonts w:ascii="Times New Roman" w:hAnsi="Times New Roman"/>
          <w:b/>
          <w:sz w:val="24"/>
          <w:szCs w:val="24"/>
          <w:lang w:val="sq-AL"/>
        </w:rPr>
        <w:t>Transparenca e k</w:t>
      </w:r>
      <w:r w:rsidRPr="00010E6E">
        <w:rPr>
          <w:rFonts w:ascii="Times New Roman" w:hAnsi="Times New Roman"/>
          <w:b/>
          <w:sz w:val="24"/>
          <w:szCs w:val="24"/>
          <w:lang w:val="sq-AL"/>
        </w:rPr>
        <w:t>ushte</w:t>
      </w:r>
      <w:r w:rsidR="00FA1823" w:rsidRPr="00010E6E">
        <w:rPr>
          <w:rFonts w:ascii="Times New Roman" w:hAnsi="Times New Roman"/>
          <w:b/>
          <w:sz w:val="24"/>
          <w:szCs w:val="24"/>
          <w:lang w:val="sq-AL"/>
        </w:rPr>
        <w:t>ve</w:t>
      </w:r>
      <w:r w:rsidRPr="00010E6E">
        <w:rPr>
          <w:rFonts w:ascii="Times New Roman" w:hAnsi="Times New Roman"/>
          <w:b/>
          <w:sz w:val="24"/>
          <w:szCs w:val="24"/>
          <w:lang w:val="sq-AL"/>
        </w:rPr>
        <w:t xml:space="preserve"> dhe kërkesat për </w:t>
      </w:r>
      <w:r w:rsidR="00FA1823" w:rsidRPr="00010E6E">
        <w:rPr>
          <w:rFonts w:ascii="Times New Roman" w:hAnsi="Times New Roman"/>
          <w:b/>
          <w:sz w:val="24"/>
          <w:szCs w:val="24"/>
          <w:lang w:val="sq-AL"/>
        </w:rPr>
        <w:t xml:space="preserve">informim </w:t>
      </w:r>
      <w:r w:rsidRPr="00010E6E">
        <w:rPr>
          <w:rFonts w:ascii="Times New Roman" w:hAnsi="Times New Roman"/>
          <w:b/>
          <w:sz w:val="24"/>
          <w:szCs w:val="24"/>
          <w:lang w:val="sq-AL"/>
        </w:rPr>
        <w:t>për shërbimet e pagesave</w:t>
      </w:r>
    </w:p>
    <w:p w14:paraId="50A6BF21" w14:textId="77777777" w:rsidR="0002198C" w:rsidRPr="00010E6E" w:rsidRDefault="0002198C" w:rsidP="0002198C">
      <w:pPr>
        <w:pStyle w:val="ListParagraph"/>
        <w:spacing w:after="0" w:line="240" w:lineRule="auto"/>
        <w:ind w:left="0"/>
        <w:contextualSpacing w:val="0"/>
        <w:rPr>
          <w:rFonts w:ascii="Times New Roman" w:hAnsi="Times New Roman"/>
          <w:sz w:val="24"/>
          <w:szCs w:val="24"/>
          <w:lang w:val="sq-AL"/>
        </w:rPr>
      </w:pPr>
    </w:p>
    <w:p w14:paraId="27FF368C" w14:textId="0B49C534" w:rsidR="0002198C" w:rsidRPr="00010E6E" w:rsidRDefault="0002198C" w:rsidP="0002198C">
      <w:pPr>
        <w:jc w:val="both"/>
        <w:rPr>
          <w:lang w:val="sq-AL"/>
        </w:rPr>
      </w:pPr>
      <w:r w:rsidRPr="00010E6E">
        <w:rPr>
          <w:lang w:val="sq-AL"/>
        </w:rPr>
        <w:t xml:space="preserve">Ky titull ka si objektiv krijimin e rregullave të transparencës dhe informimit për shërbimet e pagesave të ofruara në përgjithësi nga ofruesit e shërbimeve të pagesave. Në këtë kuadër </w:t>
      </w:r>
      <w:r w:rsidRPr="00010E6E">
        <w:rPr>
          <w:lang w:val="sq-AL"/>
        </w:rPr>
        <w:lastRenderedPageBreak/>
        <w:t xml:space="preserve">vlen të theksohet se, në përjashtim nga </w:t>
      </w:r>
      <w:r w:rsidR="0068548B" w:rsidRPr="00010E6E">
        <w:rPr>
          <w:lang w:val="sq-AL"/>
        </w:rPr>
        <w:t xml:space="preserve">Titulli </w:t>
      </w:r>
      <w:r w:rsidRPr="00010E6E">
        <w:rPr>
          <w:lang w:val="sq-AL"/>
        </w:rPr>
        <w:t xml:space="preserve">II, i cili rregullon institucionet e pagesave, </w:t>
      </w:r>
      <w:r w:rsidR="0068548B" w:rsidRPr="00010E6E">
        <w:rPr>
          <w:lang w:val="sq-AL"/>
        </w:rPr>
        <w:t>Titulli</w:t>
      </w:r>
      <w:r w:rsidRPr="00010E6E">
        <w:rPr>
          <w:lang w:val="sq-AL"/>
        </w:rPr>
        <w:t xml:space="preserve"> III ashtu si dhe </w:t>
      </w:r>
      <w:r w:rsidR="0068548B" w:rsidRPr="00010E6E">
        <w:rPr>
          <w:lang w:val="sq-AL"/>
        </w:rPr>
        <w:t>Titulli</w:t>
      </w:r>
      <w:r w:rsidRPr="00010E6E">
        <w:rPr>
          <w:lang w:val="sq-AL"/>
        </w:rPr>
        <w:t xml:space="preserve"> IV synojnë rregullimin e shërbimeve të ofruara nga të gjithë ofruesit e shërbimeve të pagesave përfshirë këtu bankat, institucionet e parasë elektronike, </w:t>
      </w:r>
      <w:r w:rsidR="0028299B" w:rsidRPr="00010E6E">
        <w:rPr>
          <w:lang w:val="sq-AL"/>
        </w:rPr>
        <w:t xml:space="preserve">institucionet e pagesave, </w:t>
      </w:r>
      <w:r w:rsidRPr="00010E6E">
        <w:rPr>
          <w:lang w:val="sq-AL"/>
        </w:rPr>
        <w:t xml:space="preserve">Bankën e Shqipërisë </w:t>
      </w:r>
      <w:r w:rsidR="0028299B" w:rsidRPr="00010E6E">
        <w:rPr>
          <w:lang w:val="sq-AL"/>
        </w:rPr>
        <w:t xml:space="preserve">dhe autoritetet </w:t>
      </w:r>
      <w:r w:rsidR="00C77C03" w:rsidRPr="00010E6E">
        <w:rPr>
          <w:lang w:val="sq-AL"/>
        </w:rPr>
        <w:t>q</w:t>
      </w:r>
      <w:r w:rsidR="00C77C03">
        <w:rPr>
          <w:lang w:val="sq-AL"/>
        </w:rPr>
        <w:t>e</w:t>
      </w:r>
      <w:r w:rsidR="00C77C03" w:rsidRPr="00010E6E">
        <w:rPr>
          <w:lang w:val="sq-AL"/>
        </w:rPr>
        <w:t xml:space="preserve">ndrore </w:t>
      </w:r>
      <w:r w:rsidR="0028299B" w:rsidRPr="00010E6E">
        <w:rPr>
          <w:lang w:val="sq-AL"/>
        </w:rPr>
        <w:t xml:space="preserve">ose vendore, </w:t>
      </w:r>
      <w:r w:rsidRPr="00010E6E">
        <w:rPr>
          <w:lang w:val="sq-AL"/>
        </w:rPr>
        <w:t>në funksionin e ofruesit të shërbimeve të pagesave</w:t>
      </w:r>
      <w:r w:rsidR="0028299B" w:rsidRPr="00010E6E">
        <w:rPr>
          <w:lang w:val="sq-AL"/>
        </w:rPr>
        <w:t xml:space="preserve">, </w:t>
      </w:r>
      <w:r w:rsidRPr="00010E6E">
        <w:rPr>
          <w:lang w:val="sq-AL"/>
        </w:rPr>
        <w:t xml:space="preserve">etj. </w:t>
      </w:r>
    </w:p>
    <w:p w14:paraId="04DC5F5F" w14:textId="77777777" w:rsidR="0002198C" w:rsidRPr="00010E6E" w:rsidRDefault="0002198C" w:rsidP="0002198C">
      <w:pPr>
        <w:jc w:val="both"/>
        <w:rPr>
          <w:lang w:val="sq-AL"/>
        </w:rPr>
      </w:pPr>
    </w:p>
    <w:p w14:paraId="15437011" w14:textId="50FC8634" w:rsidR="00DE3B64" w:rsidRPr="00010E6E" w:rsidRDefault="0002198C" w:rsidP="00DE3B64">
      <w:pPr>
        <w:jc w:val="both"/>
        <w:rPr>
          <w:lang w:val="sq-AL"/>
        </w:rPr>
      </w:pPr>
      <w:r w:rsidRPr="00010E6E">
        <w:rPr>
          <w:lang w:val="sq-AL"/>
        </w:rPr>
        <w:t>Bazuar në nenin 3</w:t>
      </w:r>
      <w:r w:rsidR="00210637" w:rsidRPr="00010E6E">
        <w:rPr>
          <w:lang w:val="sq-AL"/>
        </w:rPr>
        <w:t>2</w:t>
      </w:r>
      <w:r w:rsidR="007B2372" w:rsidRPr="00010E6E">
        <w:rPr>
          <w:lang w:val="sq-AL"/>
        </w:rPr>
        <w:t xml:space="preserve"> të projekt</w:t>
      </w:r>
      <w:r w:rsidRPr="00010E6E">
        <w:rPr>
          <w:lang w:val="sq-AL"/>
        </w:rPr>
        <w:t xml:space="preserve">ligjit, fusha e zbatimit të kërkesave për informim dhe kushtet e transparencës përfshijnë transaksionet </w:t>
      </w:r>
      <w:r w:rsidR="00363C5C" w:rsidRPr="00010E6E">
        <w:rPr>
          <w:lang w:val="sq-AL"/>
        </w:rPr>
        <w:t xml:space="preserve">individuale të </w:t>
      </w:r>
      <w:r w:rsidRPr="00010E6E">
        <w:rPr>
          <w:lang w:val="sq-AL"/>
        </w:rPr>
        <w:t>pagesave</w:t>
      </w:r>
      <w:r w:rsidR="00363C5C" w:rsidRPr="00010E6E">
        <w:rPr>
          <w:lang w:val="sq-AL"/>
        </w:rPr>
        <w:t xml:space="preserve"> dhe transaksionet e pagesave</w:t>
      </w:r>
      <w:r w:rsidRPr="00010E6E">
        <w:rPr>
          <w:lang w:val="sq-AL"/>
        </w:rPr>
        <w:t xml:space="preserve"> </w:t>
      </w:r>
      <w:r w:rsidR="00E43020" w:rsidRPr="00010E6E">
        <w:rPr>
          <w:lang w:val="sq-AL"/>
        </w:rPr>
        <w:t xml:space="preserve">të </w:t>
      </w:r>
      <w:r w:rsidR="00363C5C" w:rsidRPr="00010E6E">
        <w:rPr>
          <w:lang w:val="sq-AL"/>
        </w:rPr>
        <w:t>rregulluara nga</w:t>
      </w:r>
      <w:r w:rsidRPr="00010E6E">
        <w:rPr>
          <w:lang w:val="sq-AL"/>
        </w:rPr>
        <w:t xml:space="preserve"> kontrat</w:t>
      </w:r>
      <w:r w:rsidR="00363C5C" w:rsidRPr="00010E6E">
        <w:rPr>
          <w:lang w:val="sq-AL"/>
        </w:rPr>
        <w:t>at</w:t>
      </w:r>
      <w:r w:rsidRPr="00010E6E">
        <w:rPr>
          <w:lang w:val="sq-AL"/>
        </w:rPr>
        <w:t xml:space="preserve"> tip. Kushtet e përcaktuara në këtë Kre do të zbatohen për konsumatorët dhe mikrondërmarrjet. Përfshirja e mikrondërmarrjeve nën të njëjtin regjim me konsumatorët është një opsion i cili parashikohet nga direktiva. Në këndvështrimin e grupit të punës, duke vlerësuar edukimin dhe përfshirjen e ulët financiare të kësaj kategorie ndërmarrjesh, si dhe aftësitë relativisht të ulëta negociuese krahasuar me ndërmarrjet më të mëdha, trajtimi i njëjtë me konsumatorët do të ndihmonte ndjeshëm në krijimin e një marrëdhënie</w:t>
      </w:r>
      <w:r w:rsidR="00CE0DDC">
        <w:rPr>
          <w:lang w:val="sq-AL"/>
        </w:rPr>
        <w:t>je</w:t>
      </w:r>
      <w:r w:rsidRPr="00010E6E">
        <w:rPr>
          <w:lang w:val="sq-AL"/>
        </w:rPr>
        <w:t xml:space="preserve"> besimi të shtuar ndaj institucioneve bankare dhe financiare, dhe </w:t>
      </w:r>
      <w:r w:rsidR="00260FC2" w:rsidRPr="00010E6E">
        <w:rPr>
          <w:lang w:val="sq-AL"/>
        </w:rPr>
        <w:t xml:space="preserve">në </w:t>
      </w:r>
      <w:r w:rsidRPr="00010E6E">
        <w:rPr>
          <w:lang w:val="sq-AL"/>
        </w:rPr>
        <w:t xml:space="preserve">nxitjen e përdorimit të shërbimeve të cilat ato ofrojnë. </w:t>
      </w:r>
      <w:r w:rsidR="00CE0DDC">
        <w:rPr>
          <w:lang w:val="sq-AL"/>
        </w:rPr>
        <w:t>D</w:t>
      </w:r>
      <w:r w:rsidRPr="00010E6E">
        <w:rPr>
          <w:lang w:val="sq-AL"/>
        </w:rPr>
        <w:t xml:space="preserve">uke marrë në konsideratë peshën e lartë </w:t>
      </w:r>
      <w:r w:rsidR="00260FC2" w:rsidRPr="00010E6E">
        <w:rPr>
          <w:lang w:val="sq-AL"/>
        </w:rPr>
        <w:t>që</w:t>
      </w:r>
      <w:r w:rsidRPr="00010E6E">
        <w:rPr>
          <w:lang w:val="sq-AL"/>
        </w:rPr>
        <w:t xml:space="preserve"> zënë këto biznese në ekonominë shqiptare</w:t>
      </w:r>
      <w:r w:rsidR="00260FC2" w:rsidRPr="00010E6E">
        <w:rPr>
          <w:lang w:val="sq-AL"/>
        </w:rPr>
        <w:t>,</w:t>
      </w:r>
      <w:r w:rsidRPr="00010E6E">
        <w:rPr>
          <w:lang w:val="sq-AL"/>
        </w:rPr>
        <w:t xml:space="preserve"> përfshirja e tyre financiare do të ndihmonte ndjeshëm në nxitjen e përdorimit të instrumenteve elektronike në Shqipëri. Në të njëjtin nen është shfrytëzuar dhe hapësira e krijuar nga direktiva për përjashtim të pjesshëm të ndërmarrjeve të vogla, të mesme dhe të mëdha nga regjimi mbrojtës i parashikuar për konsumatorët dhe mikrondërmarrjet.</w:t>
      </w:r>
      <w:r w:rsidR="00DE3B64" w:rsidRPr="00010E6E">
        <w:rPr>
          <w:lang w:val="sq-AL"/>
        </w:rPr>
        <w:t xml:space="preserve"> Së fundi, në këtë nen parashikohet dhe zbatimi i kushteve të transparencës</w:t>
      </w:r>
      <w:r w:rsidR="00CE0DDC">
        <w:rPr>
          <w:lang w:val="sq-AL"/>
        </w:rPr>
        <w:t>,</w:t>
      </w:r>
      <w:r w:rsidR="00DE3B64" w:rsidRPr="00010E6E">
        <w:rPr>
          <w:lang w:val="sq-AL"/>
        </w:rPr>
        <w:t xml:space="preserve"> të cilat do të aplikohen në rastin e transaksioneve ndërkufitare</w:t>
      </w:r>
      <w:r w:rsidR="00BE19F0" w:rsidRPr="00010E6E">
        <w:rPr>
          <w:lang w:val="sq-AL"/>
        </w:rPr>
        <w:t>,</w:t>
      </w:r>
      <w:r w:rsidR="00DE3B64" w:rsidRPr="00010E6E">
        <w:rPr>
          <w:lang w:val="sq-AL"/>
        </w:rPr>
        <w:t xml:space="preserve"> për pjesën e transaksionit </w:t>
      </w:r>
      <w:r w:rsidR="00BE19F0" w:rsidRPr="00010E6E">
        <w:rPr>
          <w:lang w:val="sq-AL"/>
        </w:rPr>
        <w:t>që</w:t>
      </w:r>
      <w:r w:rsidR="00DE3B64" w:rsidRPr="00010E6E">
        <w:rPr>
          <w:lang w:val="sq-AL"/>
        </w:rPr>
        <w:t xml:space="preserve"> kryhet brenda territorit të Republikës së Shqipërisë. </w:t>
      </w:r>
    </w:p>
    <w:p w14:paraId="572F0AA0" w14:textId="77777777" w:rsidR="0002198C" w:rsidRPr="00010E6E" w:rsidRDefault="0002198C" w:rsidP="0002198C">
      <w:pPr>
        <w:jc w:val="both"/>
        <w:rPr>
          <w:lang w:val="sq-AL"/>
        </w:rPr>
      </w:pPr>
    </w:p>
    <w:p w14:paraId="42B77CC8" w14:textId="04E55710" w:rsidR="0002198C" w:rsidRPr="00010E6E" w:rsidRDefault="0002198C" w:rsidP="0002198C">
      <w:pPr>
        <w:jc w:val="both"/>
        <w:rPr>
          <w:lang w:val="sq-AL"/>
        </w:rPr>
      </w:pPr>
      <w:r w:rsidRPr="00010E6E">
        <w:rPr>
          <w:lang w:val="sq-AL"/>
        </w:rPr>
        <w:t>Për të rritur efikasitetin në praktikë të projektligjit, ashtu si dhe në direktivë është ruajtur një proporcionalitet mbi nevojat e informimit të konsumatorëve dhe mikrondërmarrjeve</w:t>
      </w:r>
      <w:r w:rsidR="00CE0DDC">
        <w:rPr>
          <w:lang w:val="sq-AL"/>
        </w:rPr>
        <w:t>,</w:t>
      </w:r>
      <w:r w:rsidRPr="00010E6E">
        <w:rPr>
          <w:lang w:val="sq-AL"/>
        </w:rPr>
        <w:t xml:space="preserve"> dhe si rrjedhojë kërkesat për informacion për një transaksion individual pagesash janë të ndryshme nga ato </w:t>
      </w:r>
      <w:r w:rsidR="00DF5376" w:rsidRPr="00010E6E">
        <w:rPr>
          <w:lang w:val="sq-AL"/>
        </w:rPr>
        <w:t xml:space="preserve">të kryera në bazë </w:t>
      </w:r>
      <w:r w:rsidRPr="00010E6E">
        <w:rPr>
          <w:lang w:val="sq-AL"/>
        </w:rPr>
        <w:t>të një kontrate tip.</w:t>
      </w:r>
    </w:p>
    <w:p w14:paraId="143AEAA3" w14:textId="77777777" w:rsidR="0002198C" w:rsidRPr="00010E6E" w:rsidRDefault="0002198C" w:rsidP="0002198C">
      <w:pPr>
        <w:pStyle w:val="HTMLPreformatted"/>
        <w:jc w:val="both"/>
        <w:rPr>
          <w:rFonts w:ascii="Times New Roman" w:hAnsi="Times New Roman" w:cs="Times New Roman"/>
          <w:sz w:val="24"/>
          <w:szCs w:val="24"/>
          <w:lang w:val="sq-AL"/>
        </w:rPr>
      </w:pPr>
    </w:p>
    <w:p w14:paraId="33482ADC" w14:textId="3D8E1AF5" w:rsidR="0002198C" w:rsidRPr="00010E6E" w:rsidRDefault="0002198C" w:rsidP="0002198C">
      <w:pPr>
        <w:pStyle w:val="HTMLPreformatted"/>
        <w:jc w:val="both"/>
        <w:rPr>
          <w:rFonts w:ascii="Times New Roman" w:hAnsi="Times New Roman" w:cs="Times New Roman"/>
          <w:sz w:val="24"/>
          <w:szCs w:val="24"/>
          <w:lang w:val="sq-AL"/>
        </w:rPr>
      </w:pPr>
      <w:r w:rsidRPr="00010E6E">
        <w:rPr>
          <w:rFonts w:ascii="Times New Roman" w:hAnsi="Times New Roman" w:cs="Times New Roman"/>
          <w:sz w:val="24"/>
          <w:szCs w:val="24"/>
          <w:lang w:val="sq-AL"/>
        </w:rPr>
        <w:t xml:space="preserve">Me qëllim mbrojtjen e konsumatorëve dhe mikrondërmarrjeve, neni pasues (neni </w:t>
      </w:r>
      <w:r w:rsidR="00210637" w:rsidRPr="00010E6E">
        <w:rPr>
          <w:rFonts w:ascii="Times New Roman" w:hAnsi="Times New Roman" w:cs="Times New Roman"/>
          <w:sz w:val="24"/>
          <w:szCs w:val="24"/>
          <w:lang w:val="sq-AL"/>
        </w:rPr>
        <w:t>33</w:t>
      </w:r>
      <w:r w:rsidRPr="00010E6E">
        <w:rPr>
          <w:rFonts w:ascii="Times New Roman" w:hAnsi="Times New Roman" w:cs="Times New Roman"/>
          <w:sz w:val="24"/>
          <w:szCs w:val="24"/>
          <w:lang w:val="sq-AL"/>
        </w:rPr>
        <w:t xml:space="preserve">) rregullon tarifat e aplikuara nga ofruesit e shërbimeve të pagesave, ku përcaktohet qartazi se ofruesit e shërbimeve </w:t>
      </w:r>
      <w:r w:rsidR="00BE19F0" w:rsidRPr="00010E6E">
        <w:rPr>
          <w:rFonts w:ascii="Times New Roman" w:hAnsi="Times New Roman" w:cs="Times New Roman"/>
          <w:sz w:val="24"/>
          <w:szCs w:val="24"/>
          <w:lang w:val="sq-AL"/>
        </w:rPr>
        <w:t xml:space="preserve">të pagesave </w:t>
      </w:r>
      <w:r w:rsidRPr="00010E6E">
        <w:rPr>
          <w:rFonts w:ascii="Times New Roman" w:hAnsi="Times New Roman" w:cs="Times New Roman"/>
          <w:sz w:val="24"/>
          <w:szCs w:val="24"/>
          <w:lang w:val="sq-AL"/>
        </w:rPr>
        <w:t xml:space="preserve">tarifojnë klientët e tyre vetëm për </w:t>
      </w:r>
      <w:r w:rsidR="00BE19F0" w:rsidRPr="00010E6E">
        <w:rPr>
          <w:rFonts w:ascii="Times New Roman" w:hAnsi="Times New Roman" w:cs="Times New Roman"/>
          <w:sz w:val="24"/>
          <w:szCs w:val="24"/>
          <w:lang w:val="sq-AL"/>
        </w:rPr>
        <w:t xml:space="preserve">dhënien e informacioneve </w:t>
      </w:r>
      <w:r w:rsidRPr="00010E6E">
        <w:rPr>
          <w:rFonts w:ascii="Times New Roman" w:hAnsi="Times New Roman" w:cs="Times New Roman"/>
          <w:sz w:val="24"/>
          <w:szCs w:val="24"/>
          <w:lang w:val="sq-AL"/>
        </w:rPr>
        <w:t>shtesë ose me frekuencë më të shpeshtë nga ato të përcaktuara në projektligj. Ndërkohë që</w:t>
      </w:r>
      <w:r w:rsidR="00CE0DDC">
        <w:rPr>
          <w:rFonts w:ascii="Times New Roman" w:hAnsi="Times New Roman" w:cs="Times New Roman"/>
          <w:sz w:val="24"/>
          <w:szCs w:val="24"/>
          <w:lang w:val="sq-AL"/>
        </w:rPr>
        <w:t>,</w:t>
      </w:r>
      <w:r w:rsidRPr="00010E6E">
        <w:rPr>
          <w:rFonts w:ascii="Times New Roman" w:hAnsi="Times New Roman" w:cs="Times New Roman"/>
          <w:sz w:val="24"/>
          <w:szCs w:val="24"/>
          <w:lang w:val="sq-AL"/>
        </w:rPr>
        <w:t xml:space="preserve"> neni </w:t>
      </w:r>
      <w:r w:rsidR="00210637" w:rsidRPr="00010E6E">
        <w:rPr>
          <w:rFonts w:ascii="Times New Roman" w:hAnsi="Times New Roman" w:cs="Times New Roman"/>
          <w:sz w:val="24"/>
          <w:szCs w:val="24"/>
          <w:lang w:val="sq-AL"/>
        </w:rPr>
        <w:t xml:space="preserve">34 </w:t>
      </w:r>
      <w:r w:rsidRPr="00010E6E">
        <w:rPr>
          <w:rFonts w:ascii="Times New Roman" w:hAnsi="Times New Roman" w:cs="Times New Roman"/>
          <w:sz w:val="24"/>
          <w:szCs w:val="24"/>
          <w:lang w:val="sq-AL"/>
        </w:rPr>
        <w:t>përcakto</w:t>
      </w:r>
      <w:r w:rsidR="00307A4C" w:rsidRPr="00010E6E">
        <w:rPr>
          <w:rFonts w:ascii="Times New Roman" w:hAnsi="Times New Roman" w:cs="Times New Roman"/>
          <w:sz w:val="24"/>
          <w:szCs w:val="24"/>
          <w:lang w:val="sq-AL"/>
        </w:rPr>
        <w:t>n</w:t>
      </w:r>
      <w:r w:rsidRPr="00010E6E">
        <w:rPr>
          <w:rFonts w:ascii="Times New Roman" w:hAnsi="Times New Roman" w:cs="Times New Roman"/>
          <w:sz w:val="24"/>
          <w:szCs w:val="24"/>
          <w:lang w:val="sq-AL"/>
        </w:rPr>
        <w:t xml:space="preserve"> përgjegjësi</w:t>
      </w:r>
      <w:r w:rsidR="00307A4C" w:rsidRPr="00010E6E">
        <w:rPr>
          <w:rFonts w:ascii="Times New Roman" w:hAnsi="Times New Roman" w:cs="Times New Roman"/>
          <w:sz w:val="24"/>
          <w:szCs w:val="24"/>
          <w:lang w:val="sq-AL"/>
        </w:rPr>
        <w:t>në</w:t>
      </w:r>
      <w:r w:rsidRPr="00010E6E">
        <w:rPr>
          <w:rFonts w:ascii="Times New Roman" w:hAnsi="Times New Roman" w:cs="Times New Roman"/>
          <w:sz w:val="24"/>
          <w:szCs w:val="24"/>
          <w:lang w:val="sq-AL"/>
        </w:rPr>
        <w:t xml:space="preserve"> e ofruesve të shërbimeve të </w:t>
      </w:r>
      <w:r w:rsidRPr="00010E6E">
        <w:rPr>
          <w:rFonts w:ascii="Times New Roman" w:hAnsi="Times New Roman" w:cs="Times New Roman"/>
          <w:sz w:val="24"/>
          <w:szCs w:val="24"/>
          <w:lang w:val="sq-AL"/>
        </w:rPr>
        <w:lastRenderedPageBreak/>
        <w:t xml:space="preserve">pagesave për të vërtetuar përmbushjen e detyrimeve </w:t>
      </w:r>
      <w:r w:rsidR="005F7099" w:rsidRPr="00010E6E">
        <w:rPr>
          <w:rFonts w:ascii="Times New Roman" w:hAnsi="Times New Roman" w:cs="Times New Roman"/>
          <w:sz w:val="24"/>
          <w:szCs w:val="24"/>
          <w:lang w:val="sq-AL"/>
        </w:rPr>
        <w:t xml:space="preserve">ndaj klientëve të tyre </w:t>
      </w:r>
      <w:r w:rsidRPr="00010E6E">
        <w:rPr>
          <w:rFonts w:ascii="Times New Roman" w:hAnsi="Times New Roman" w:cs="Times New Roman"/>
          <w:sz w:val="24"/>
          <w:szCs w:val="24"/>
          <w:lang w:val="sq-AL"/>
        </w:rPr>
        <w:t>të përcaktuar</w:t>
      </w:r>
      <w:r w:rsidR="00BE19F0" w:rsidRPr="00010E6E">
        <w:rPr>
          <w:rFonts w:ascii="Times New Roman" w:hAnsi="Times New Roman" w:cs="Times New Roman"/>
          <w:sz w:val="24"/>
          <w:szCs w:val="24"/>
          <w:lang w:val="sq-AL"/>
        </w:rPr>
        <w:t>a</w:t>
      </w:r>
      <w:r w:rsidRPr="00010E6E">
        <w:rPr>
          <w:rFonts w:ascii="Times New Roman" w:hAnsi="Times New Roman" w:cs="Times New Roman"/>
          <w:sz w:val="24"/>
          <w:szCs w:val="24"/>
          <w:lang w:val="sq-AL"/>
        </w:rPr>
        <w:t xml:space="preserve"> në ligj</w:t>
      </w:r>
      <w:r w:rsidR="005F7099" w:rsidRPr="00010E6E">
        <w:rPr>
          <w:rFonts w:ascii="Times New Roman" w:hAnsi="Times New Roman" w:cs="Times New Roman"/>
          <w:sz w:val="24"/>
          <w:szCs w:val="24"/>
          <w:lang w:val="sq-AL"/>
        </w:rPr>
        <w:t>,</w:t>
      </w:r>
      <w:r w:rsidRPr="00010E6E">
        <w:rPr>
          <w:rFonts w:ascii="Times New Roman" w:hAnsi="Times New Roman" w:cs="Times New Roman"/>
          <w:sz w:val="24"/>
          <w:szCs w:val="24"/>
          <w:lang w:val="sq-AL"/>
        </w:rPr>
        <w:t xml:space="preserve"> </w:t>
      </w:r>
      <w:r w:rsidR="00210637" w:rsidRPr="00010E6E">
        <w:rPr>
          <w:rFonts w:ascii="Times New Roman" w:hAnsi="Times New Roman" w:cs="Times New Roman"/>
          <w:sz w:val="24"/>
          <w:szCs w:val="24"/>
          <w:lang w:val="sq-AL"/>
        </w:rPr>
        <w:t>mbi kërkesat për informim</w:t>
      </w:r>
      <w:r w:rsidRPr="00010E6E">
        <w:rPr>
          <w:rFonts w:ascii="Times New Roman" w:hAnsi="Times New Roman" w:cs="Times New Roman"/>
          <w:sz w:val="24"/>
          <w:szCs w:val="24"/>
          <w:lang w:val="sq-AL"/>
        </w:rPr>
        <w:t xml:space="preserve">. </w:t>
      </w:r>
    </w:p>
    <w:p w14:paraId="72A103E0" w14:textId="77777777" w:rsidR="0002198C" w:rsidRPr="00010E6E" w:rsidRDefault="0002198C" w:rsidP="0002198C">
      <w:pPr>
        <w:pStyle w:val="HTMLPreformatted"/>
        <w:jc w:val="both"/>
        <w:rPr>
          <w:rFonts w:ascii="Times New Roman" w:hAnsi="Times New Roman" w:cs="Times New Roman"/>
          <w:sz w:val="24"/>
          <w:szCs w:val="24"/>
          <w:lang w:val="sq-AL"/>
        </w:rPr>
      </w:pPr>
    </w:p>
    <w:p w14:paraId="261E8CEE" w14:textId="4AF5F88E" w:rsidR="0002198C" w:rsidRPr="00010E6E" w:rsidRDefault="0002198C" w:rsidP="0002198C">
      <w:pPr>
        <w:pStyle w:val="HTMLPreformatted"/>
        <w:jc w:val="both"/>
        <w:rPr>
          <w:rFonts w:ascii="Times New Roman" w:hAnsi="Times New Roman" w:cs="Times New Roman"/>
          <w:sz w:val="24"/>
          <w:szCs w:val="24"/>
          <w:lang w:val="sq-AL"/>
        </w:rPr>
      </w:pPr>
      <w:r w:rsidRPr="00010E6E">
        <w:rPr>
          <w:rFonts w:ascii="Times New Roman" w:hAnsi="Times New Roman" w:cs="Times New Roman"/>
          <w:sz w:val="24"/>
          <w:szCs w:val="24"/>
          <w:lang w:val="sq-AL"/>
        </w:rPr>
        <w:t>Së fundi, me qëllim shmangien e mbingarkesave për institucionet të cilat ofrojnë shërbime pagesash dhe kosto</w:t>
      </w:r>
      <w:r w:rsidR="00597C30" w:rsidRPr="00010E6E">
        <w:rPr>
          <w:rFonts w:ascii="Times New Roman" w:hAnsi="Times New Roman" w:cs="Times New Roman"/>
          <w:sz w:val="24"/>
          <w:szCs w:val="24"/>
          <w:lang w:val="sq-AL"/>
        </w:rPr>
        <w:t>ve</w:t>
      </w:r>
      <w:r w:rsidRPr="00010E6E">
        <w:rPr>
          <w:rFonts w:ascii="Times New Roman" w:hAnsi="Times New Roman" w:cs="Times New Roman"/>
          <w:sz w:val="24"/>
          <w:szCs w:val="24"/>
          <w:lang w:val="sq-AL"/>
        </w:rPr>
        <w:t xml:space="preserve"> </w:t>
      </w:r>
      <w:r w:rsidR="00CE0DDC">
        <w:rPr>
          <w:rFonts w:ascii="Times New Roman" w:hAnsi="Times New Roman" w:cs="Times New Roman"/>
          <w:sz w:val="24"/>
          <w:szCs w:val="24"/>
          <w:lang w:val="sq-AL"/>
        </w:rPr>
        <w:t>q</w:t>
      </w:r>
      <w:r w:rsidR="00CE0DDC" w:rsidRPr="00010E6E">
        <w:rPr>
          <w:rFonts w:ascii="Times New Roman" w:hAnsi="Times New Roman" w:cs="Times New Roman"/>
          <w:sz w:val="24"/>
          <w:szCs w:val="24"/>
          <w:lang w:val="sq-AL"/>
        </w:rPr>
        <w:t>ë</w:t>
      </w:r>
      <w:r w:rsidRPr="00010E6E">
        <w:rPr>
          <w:rFonts w:ascii="Times New Roman" w:hAnsi="Times New Roman" w:cs="Times New Roman"/>
          <w:sz w:val="24"/>
          <w:szCs w:val="24"/>
          <w:lang w:val="sq-AL"/>
        </w:rPr>
        <w:t xml:space="preserve"> mbartin këto procedura, projektligji ashtu si dhe direktiva parashikon raste përjashtimore (neni </w:t>
      </w:r>
      <w:r w:rsidR="00AE0CDC" w:rsidRPr="00010E6E">
        <w:rPr>
          <w:rFonts w:ascii="Times New Roman" w:hAnsi="Times New Roman" w:cs="Times New Roman"/>
          <w:sz w:val="24"/>
          <w:szCs w:val="24"/>
          <w:lang w:val="sq-AL"/>
        </w:rPr>
        <w:t>35</w:t>
      </w:r>
      <w:r w:rsidRPr="00010E6E">
        <w:rPr>
          <w:rFonts w:ascii="Times New Roman" w:hAnsi="Times New Roman" w:cs="Times New Roman"/>
          <w:sz w:val="24"/>
          <w:szCs w:val="24"/>
          <w:lang w:val="sq-AL"/>
        </w:rPr>
        <w:t xml:space="preserve">) nga detyrimet për </w:t>
      </w:r>
      <w:r w:rsidR="003405A9" w:rsidRPr="00010E6E">
        <w:rPr>
          <w:rFonts w:ascii="Times New Roman" w:hAnsi="Times New Roman" w:cs="Times New Roman"/>
          <w:sz w:val="24"/>
          <w:szCs w:val="24"/>
          <w:lang w:val="sq-AL"/>
        </w:rPr>
        <w:t xml:space="preserve">informim </w:t>
      </w:r>
      <w:r w:rsidRPr="00010E6E">
        <w:rPr>
          <w:rFonts w:ascii="Times New Roman" w:hAnsi="Times New Roman" w:cs="Times New Roman"/>
          <w:sz w:val="24"/>
          <w:szCs w:val="24"/>
          <w:lang w:val="sq-AL"/>
        </w:rPr>
        <w:t xml:space="preserve">për pagesat me vlerë të vogël, të mbuluar nga një kontratë tip, duke </w:t>
      </w:r>
      <w:r w:rsidR="00CE0DDC">
        <w:rPr>
          <w:rFonts w:ascii="Times New Roman" w:hAnsi="Times New Roman" w:cs="Times New Roman"/>
          <w:sz w:val="24"/>
          <w:szCs w:val="24"/>
          <w:lang w:val="sq-AL"/>
        </w:rPr>
        <w:t>i kufiz</w:t>
      </w:r>
      <w:r w:rsidR="00CE0DDC" w:rsidRPr="00010E6E">
        <w:rPr>
          <w:rFonts w:ascii="Times New Roman" w:hAnsi="Times New Roman" w:cs="Times New Roman"/>
          <w:sz w:val="24"/>
          <w:szCs w:val="24"/>
          <w:lang w:val="sq-AL"/>
        </w:rPr>
        <w:t xml:space="preserve">uar </w:t>
      </w:r>
      <w:r w:rsidRPr="00010E6E">
        <w:rPr>
          <w:rFonts w:ascii="Times New Roman" w:hAnsi="Times New Roman" w:cs="Times New Roman"/>
          <w:sz w:val="24"/>
          <w:szCs w:val="24"/>
          <w:lang w:val="sq-AL"/>
        </w:rPr>
        <w:t>këto nevoja për informim vetëm në karakteristikat kryesore të shërbimit të pagesës. Gjithashtu, duke shfrytëzuar hapësirat e krijuara nga Direktiva (opsionet e dhëna)</w:t>
      </w:r>
      <w:r w:rsidR="00CE0DDC">
        <w:rPr>
          <w:rFonts w:ascii="Times New Roman" w:hAnsi="Times New Roman" w:cs="Times New Roman"/>
          <w:sz w:val="24"/>
          <w:szCs w:val="24"/>
          <w:lang w:val="sq-AL"/>
        </w:rPr>
        <w:t>,</w:t>
      </w:r>
      <w:r w:rsidRPr="00010E6E">
        <w:rPr>
          <w:rFonts w:ascii="Times New Roman" w:hAnsi="Times New Roman" w:cs="Times New Roman"/>
          <w:sz w:val="24"/>
          <w:szCs w:val="24"/>
          <w:lang w:val="sq-AL"/>
        </w:rPr>
        <w:t xml:space="preserve"> në projektligj është parashikuar mundësia që Banka e Shqipërisë </w:t>
      </w:r>
      <w:r w:rsidR="00CE0DDC" w:rsidRPr="00010E6E">
        <w:rPr>
          <w:rFonts w:ascii="Times New Roman" w:hAnsi="Times New Roman" w:cs="Times New Roman"/>
          <w:sz w:val="24"/>
          <w:szCs w:val="24"/>
          <w:lang w:val="sq-AL"/>
        </w:rPr>
        <w:t>t</w:t>
      </w:r>
      <w:r w:rsidR="00CE0DDC">
        <w:rPr>
          <w:rFonts w:ascii="Times New Roman" w:hAnsi="Times New Roman" w:cs="Times New Roman"/>
          <w:sz w:val="24"/>
          <w:szCs w:val="24"/>
          <w:lang w:val="sq-AL"/>
        </w:rPr>
        <w:t>’i</w:t>
      </w:r>
      <w:r w:rsidR="00CE0DDC" w:rsidRPr="00010E6E">
        <w:rPr>
          <w:rFonts w:ascii="Times New Roman" w:hAnsi="Times New Roman" w:cs="Times New Roman"/>
          <w:sz w:val="24"/>
          <w:szCs w:val="24"/>
          <w:lang w:val="sq-AL"/>
        </w:rPr>
        <w:t xml:space="preserve"> </w:t>
      </w:r>
      <w:r w:rsidRPr="00010E6E">
        <w:rPr>
          <w:rFonts w:ascii="Times New Roman" w:hAnsi="Times New Roman" w:cs="Times New Roman"/>
          <w:sz w:val="24"/>
          <w:szCs w:val="24"/>
          <w:lang w:val="sq-AL"/>
        </w:rPr>
        <w:t>reduktojë ose dyfishojë këto vlera</w:t>
      </w:r>
      <w:r w:rsidR="00597C30" w:rsidRPr="00010E6E">
        <w:rPr>
          <w:rFonts w:ascii="Times New Roman" w:hAnsi="Times New Roman" w:cs="Times New Roman"/>
          <w:sz w:val="24"/>
          <w:szCs w:val="24"/>
          <w:lang w:val="sq-AL"/>
        </w:rPr>
        <w:t>, në akte nënligjore</w:t>
      </w:r>
      <w:r w:rsidR="00EA34DC" w:rsidRPr="00010E6E">
        <w:rPr>
          <w:rFonts w:ascii="Times New Roman" w:hAnsi="Times New Roman" w:cs="Times New Roman"/>
          <w:sz w:val="24"/>
          <w:szCs w:val="24"/>
          <w:lang w:val="sq-AL"/>
        </w:rPr>
        <w:t>.</w:t>
      </w:r>
      <w:r w:rsidRPr="00010E6E">
        <w:rPr>
          <w:rFonts w:ascii="Times New Roman" w:hAnsi="Times New Roman" w:cs="Times New Roman"/>
          <w:sz w:val="24"/>
          <w:szCs w:val="24"/>
          <w:lang w:val="sq-AL"/>
        </w:rPr>
        <w:t xml:space="preserve"> </w:t>
      </w:r>
    </w:p>
    <w:p w14:paraId="7D11574E" w14:textId="77777777" w:rsidR="0002198C" w:rsidRPr="00010E6E" w:rsidRDefault="0002198C" w:rsidP="0002198C">
      <w:pPr>
        <w:pStyle w:val="HTMLPreformatted"/>
        <w:jc w:val="both"/>
        <w:rPr>
          <w:rFonts w:ascii="Times New Roman" w:hAnsi="Times New Roman" w:cs="Times New Roman"/>
          <w:sz w:val="24"/>
          <w:szCs w:val="24"/>
          <w:lang w:val="sq-AL"/>
        </w:rPr>
      </w:pPr>
    </w:p>
    <w:p w14:paraId="1D4F4B2B" w14:textId="594D4F9A" w:rsidR="0002198C" w:rsidRPr="00010E6E" w:rsidRDefault="0002198C" w:rsidP="0002198C">
      <w:pPr>
        <w:pStyle w:val="HTMLPreformatted"/>
        <w:jc w:val="both"/>
        <w:rPr>
          <w:rFonts w:ascii="Times New Roman" w:hAnsi="Times New Roman" w:cs="Times New Roman"/>
          <w:sz w:val="24"/>
          <w:szCs w:val="24"/>
          <w:lang w:val="sq-AL"/>
        </w:rPr>
      </w:pPr>
      <w:r w:rsidRPr="00010E6E">
        <w:rPr>
          <w:rFonts w:ascii="Times New Roman" w:hAnsi="Times New Roman" w:cs="Times New Roman"/>
          <w:sz w:val="24"/>
          <w:szCs w:val="24"/>
          <w:lang w:val="sq-AL"/>
        </w:rPr>
        <w:t xml:space="preserve">Në lidhje me transaksionet e pagesave individuale, sipas nenit </w:t>
      </w:r>
      <w:r w:rsidR="00DF4603" w:rsidRPr="00010E6E">
        <w:rPr>
          <w:rFonts w:ascii="Times New Roman" w:hAnsi="Times New Roman" w:cs="Times New Roman"/>
          <w:sz w:val="24"/>
          <w:szCs w:val="24"/>
          <w:lang w:val="sq-AL"/>
        </w:rPr>
        <w:t xml:space="preserve">36 </w:t>
      </w:r>
      <w:r w:rsidRPr="00010E6E">
        <w:rPr>
          <w:rFonts w:ascii="Times New Roman" w:hAnsi="Times New Roman" w:cs="Times New Roman"/>
          <w:sz w:val="24"/>
          <w:szCs w:val="24"/>
          <w:lang w:val="sq-AL"/>
        </w:rPr>
        <w:t>e në vijim</w:t>
      </w:r>
      <w:r w:rsidR="00E634E7" w:rsidRPr="00010E6E">
        <w:rPr>
          <w:rFonts w:ascii="Times New Roman" w:hAnsi="Times New Roman" w:cs="Times New Roman"/>
          <w:sz w:val="24"/>
          <w:szCs w:val="24"/>
          <w:lang w:val="sq-AL"/>
        </w:rPr>
        <w:t>,</w:t>
      </w:r>
      <w:r w:rsidRPr="00010E6E">
        <w:rPr>
          <w:rFonts w:ascii="Times New Roman" w:hAnsi="Times New Roman" w:cs="Times New Roman"/>
          <w:sz w:val="24"/>
          <w:szCs w:val="24"/>
          <w:lang w:val="sq-AL"/>
        </w:rPr>
        <w:t xml:space="preserve"> informacioni duhet të përqendrohet në informacione thelbësore</w:t>
      </w:r>
      <w:r w:rsidR="00CE0DDC">
        <w:rPr>
          <w:rFonts w:ascii="Times New Roman" w:hAnsi="Times New Roman" w:cs="Times New Roman"/>
          <w:sz w:val="24"/>
          <w:szCs w:val="24"/>
          <w:lang w:val="sq-AL"/>
        </w:rPr>
        <w:t>,</w:t>
      </w:r>
      <w:r w:rsidRPr="00010E6E">
        <w:rPr>
          <w:rFonts w:ascii="Times New Roman" w:hAnsi="Times New Roman" w:cs="Times New Roman"/>
          <w:sz w:val="24"/>
          <w:szCs w:val="24"/>
          <w:lang w:val="sq-AL"/>
        </w:rPr>
        <w:t xml:space="preserve"> të cilat i nevojiten përdoruesit të shërbimeve të pagesave për kryerjen e një pagese. Vlen të theksohet se ky informacion duhet ofruar me iniciativën e ofruesit të shërbimeve të pagesave dhe jo me kërkesën e klientëve. </w:t>
      </w:r>
      <w:r w:rsidR="00826BBB" w:rsidRPr="00010E6E">
        <w:rPr>
          <w:rFonts w:ascii="Times New Roman" w:hAnsi="Times New Roman" w:cs="Times New Roman"/>
          <w:sz w:val="24"/>
          <w:szCs w:val="24"/>
          <w:lang w:val="sq-AL"/>
        </w:rPr>
        <w:t xml:space="preserve">Megjithatë, konsumatori ose mikrondërmarrja gëzon të drejtën të kërkojë informacionin e nevojshëm në formë letër ose në një mjet tjetër të qëndrueshëm komunikimi. </w:t>
      </w:r>
    </w:p>
    <w:p w14:paraId="06035F9B" w14:textId="77777777" w:rsidR="0002198C" w:rsidRPr="00010E6E" w:rsidRDefault="0002198C" w:rsidP="0002198C">
      <w:pPr>
        <w:pStyle w:val="HTMLPreformatted"/>
        <w:jc w:val="both"/>
        <w:rPr>
          <w:rFonts w:ascii="Times New Roman" w:hAnsi="Times New Roman" w:cs="Times New Roman"/>
          <w:sz w:val="24"/>
          <w:szCs w:val="24"/>
          <w:lang w:val="sq-AL"/>
        </w:rPr>
      </w:pPr>
    </w:p>
    <w:p w14:paraId="4A776C83" w14:textId="05F3B5FE" w:rsidR="0002198C" w:rsidRPr="00010E6E" w:rsidRDefault="0002198C" w:rsidP="0002198C">
      <w:pPr>
        <w:pStyle w:val="HTMLPreformatted"/>
        <w:jc w:val="both"/>
        <w:rPr>
          <w:rFonts w:ascii="Times New Roman" w:hAnsi="Times New Roman" w:cs="Times New Roman"/>
          <w:sz w:val="24"/>
          <w:szCs w:val="24"/>
          <w:lang w:val="sq-AL"/>
        </w:rPr>
      </w:pPr>
      <w:r w:rsidRPr="00010E6E">
        <w:rPr>
          <w:rFonts w:ascii="Times New Roman" w:hAnsi="Times New Roman" w:cs="Times New Roman"/>
          <w:sz w:val="24"/>
          <w:szCs w:val="24"/>
          <w:lang w:val="sq-AL"/>
        </w:rPr>
        <w:t xml:space="preserve">Informacioni në lidhje me pagesat individuale, sipas projektligjit ndahet në informacion paraprak (nenet </w:t>
      </w:r>
      <w:r w:rsidR="00FB474D" w:rsidRPr="00010E6E">
        <w:rPr>
          <w:rFonts w:ascii="Times New Roman" w:hAnsi="Times New Roman" w:cs="Times New Roman"/>
          <w:sz w:val="24"/>
          <w:szCs w:val="24"/>
          <w:lang w:val="sq-AL"/>
        </w:rPr>
        <w:t xml:space="preserve">37 </w:t>
      </w:r>
      <w:r w:rsidRPr="00010E6E">
        <w:rPr>
          <w:rFonts w:ascii="Times New Roman" w:hAnsi="Times New Roman" w:cs="Times New Roman"/>
          <w:sz w:val="24"/>
          <w:szCs w:val="24"/>
          <w:lang w:val="sq-AL"/>
        </w:rPr>
        <w:t xml:space="preserve">dhe </w:t>
      </w:r>
      <w:r w:rsidR="00FB474D" w:rsidRPr="00010E6E">
        <w:rPr>
          <w:rFonts w:ascii="Times New Roman" w:hAnsi="Times New Roman" w:cs="Times New Roman"/>
          <w:sz w:val="24"/>
          <w:szCs w:val="24"/>
          <w:lang w:val="sq-AL"/>
        </w:rPr>
        <w:t>38</w:t>
      </w:r>
      <w:r w:rsidRPr="00010E6E">
        <w:rPr>
          <w:rFonts w:ascii="Times New Roman" w:hAnsi="Times New Roman" w:cs="Times New Roman"/>
          <w:sz w:val="24"/>
          <w:szCs w:val="24"/>
          <w:lang w:val="sq-AL"/>
        </w:rPr>
        <w:t xml:space="preserve">), dhe informacione pas </w:t>
      </w:r>
      <w:r w:rsidR="00947C09" w:rsidRPr="00010E6E">
        <w:rPr>
          <w:rFonts w:ascii="Times New Roman" w:hAnsi="Times New Roman" w:cs="Times New Roman"/>
          <w:sz w:val="24"/>
          <w:szCs w:val="24"/>
          <w:lang w:val="sq-AL"/>
        </w:rPr>
        <w:t xml:space="preserve">inicimit </w:t>
      </w:r>
      <w:r w:rsidR="00DC4F46" w:rsidRPr="00010E6E">
        <w:rPr>
          <w:rFonts w:ascii="Times New Roman" w:hAnsi="Times New Roman" w:cs="Times New Roman"/>
          <w:sz w:val="24"/>
          <w:szCs w:val="24"/>
          <w:lang w:val="sq-AL"/>
        </w:rPr>
        <w:t>të pagesës</w:t>
      </w:r>
      <w:r w:rsidR="00161EA8" w:rsidRPr="00010E6E">
        <w:rPr>
          <w:rFonts w:ascii="Times New Roman" w:hAnsi="Times New Roman" w:cs="Times New Roman"/>
          <w:sz w:val="24"/>
          <w:szCs w:val="24"/>
          <w:lang w:val="sq-AL"/>
        </w:rPr>
        <w:t>,</w:t>
      </w:r>
      <w:r w:rsidR="00DC4F46" w:rsidRPr="00010E6E">
        <w:rPr>
          <w:rFonts w:ascii="Times New Roman" w:hAnsi="Times New Roman" w:cs="Times New Roman"/>
          <w:sz w:val="24"/>
          <w:szCs w:val="24"/>
          <w:lang w:val="sq-AL"/>
        </w:rPr>
        <w:t xml:space="preserve"> </w:t>
      </w:r>
      <w:r w:rsidR="00947C09" w:rsidRPr="00010E6E">
        <w:rPr>
          <w:rFonts w:ascii="Times New Roman" w:hAnsi="Times New Roman" w:cs="Times New Roman"/>
          <w:sz w:val="24"/>
          <w:szCs w:val="24"/>
          <w:lang w:val="sq-AL"/>
        </w:rPr>
        <w:t xml:space="preserve">deri pas </w:t>
      </w:r>
      <w:r w:rsidRPr="00010E6E">
        <w:rPr>
          <w:rFonts w:ascii="Times New Roman" w:hAnsi="Times New Roman" w:cs="Times New Roman"/>
          <w:sz w:val="24"/>
          <w:szCs w:val="24"/>
          <w:lang w:val="sq-AL"/>
        </w:rPr>
        <w:t xml:space="preserve">ekzekutimit të pagesës (nenet </w:t>
      </w:r>
      <w:r w:rsidR="00FB474D" w:rsidRPr="00010E6E">
        <w:rPr>
          <w:rFonts w:ascii="Times New Roman" w:hAnsi="Times New Roman" w:cs="Times New Roman"/>
          <w:sz w:val="24"/>
          <w:szCs w:val="24"/>
          <w:lang w:val="sq-AL"/>
        </w:rPr>
        <w:t>39</w:t>
      </w:r>
      <w:r w:rsidRPr="00010E6E">
        <w:rPr>
          <w:rFonts w:ascii="Times New Roman" w:hAnsi="Times New Roman" w:cs="Times New Roman"/>
          <w:sz w:val="24"/>
          <w:szCs w:val="24"/>
          <w:lang w:val="sq-AL"/>
        </w:rPr>
        <w:t>-</w:t>
      </w:r>
      <w:r w:rsidR="00FB474D" w:rsidRPr="00010E6E">
        <w:rPr>
          <w:rFonts w:ascii="Times New Roman" w:hAnsi="Times New Roman" w:cs="Times New Roman"/>
          <w:sz w:val="24"/>
          <w:szCs w:val="24"/>
          <w:lang w:val="sq-AL"/>
        </w:rPr>
        <w:t>42</w:t>
      </w:r>
      <w:r w:rsidRPr="00010E6E">
        <w:rPr>
          <w:rFonts w:ascii="Times New Roman" w:hAnsi="Times New Roman" w:cs="Times New Roman"/>
          <w:sz w:val="24"/>
          <w:szCs w:val="24"/>
          <w:lang w:val="sq-AL"/>
        </w:rPr>
        <w:t>)</w:t>
      </w:r>
      <w:r w:rsidR="00161EA8" w:rsidRPr="00010E6E">
        <w:rPr>
          <w:rFonts w:ascii="Times New Roman" w:hAnsi="Times New Roman" w:cs="Times New Roman"/>
          <w:sz w:val="24"/>
          <w:szCs w:val="24"/>
          <w:lang w:val="sq-AL"/>
        </w:rPr>
        <w:t>,</w:t>
      </w:r>
      <w:r w:rsidRPr="00010E6E">
        <w:rPr>
          <w:rFonts w:ascii="Times New Roman" w:hAnsi="Times New Roman" w:cs="Times New Roman"/>
          <w:sz w:val="24"/>
          <w:szCs w:val="24"/>
          <w:lang w:val="sq-AL"/>
        </w:rPr>
        <w:t xml:space="preserve"> ku përcaktohen nevojat për informim të paguesit dhe përfituesit</w:t>
      </w:r>
      <w:r w:rsidR="00E634E7" w:rsidRPr="00010E6E">
        <w:rPr>
          <w:rFonts w:ascii="Times New Roman" w:hAnsi="Times New Roman" w:cs="Times New Roman"/>
          <w:sz w:val="24"/>
          <w:szCs w:val="24"/>
          <w:lang w:val="sq-AL"/>
        </w:rPr>
        <w:t>,</w:t>
      </w:r>
      <w:r w:rsidRPr="00010E6E">
        <w:rPr>
          <w:rFonts w:ascii="Times New Roman" w:hAnsi="Times New Roman" w:cs="Times New Roman"/>
          <w:sz w:val="24"/>
          <w:szCs w:val="24"/>
          <w:lang w:val="sq-AL"/>
        </w:rPr>
        <w:t xml:space="preserve"> si dhe detyrimet e të gjithë ofruesve të shërbimeve të përfshirë në procesimin e një pagese.   </w:t>
      </w:r>
    </w:p>
    <w:p w14:paraId="628AC810" w14:textId="77777777" w:rsidR="0002198C" w:rsidRPr="00010E6E" w:rsidRDefault="0002198C" w:rsidP="0002198C">
      <w:pPr>
        <w:jc w:val="both"/>
        <w:rPr>
          <w:lang w:val="sq-AL"/>
        </w:rPr>
      </w:pPr>
    </w:p>
    <w:p w14:paraId="0129EBED" w14:textId="609410E8" w:rsidR="0002198C" w:rsidRPr="00010E6E" w:rsidRDefault="0002198C" w:rsidP="0002198C">
      <w:pPr>
        <w:jc w:val="both"/>
        <w:rPr>
          <w:lang w:val="sq-AL"/>
        </w:rPr>
      </w:pPr>
      <w:r w:rsidRPr="00010E6E">
        <w:rPr>
          <w:lang w:val="sq-AL"/>
        </w:rPr>
        <w:t>Ndërkohë nevojat për informim për pagesat të cilat rregullohen nga një kontratë tip</w:t>
      </w:r>
      <w:r w:rsidR="00890E67" w:rsidRPr="00010E6E">
        <w:rPr>
          <w:lang w:val="sq-AL"/>
        </w:rPr>
        <w:t>,</w:t>
      </w:r>
      <w:r w:rsidRPr="00010E6E">
        <w:rPr>
          <w:lang w:val="sq-AL"/>
        </w:rPr>
        <w:t xml:space="preserve"> parashikohen në nenet </w:t>
      </w:r>
      <w:r w:rsidR="00FB474D" w:rsidRPr="00010E6E">
        <w:rPr>
          <w:lang w:val="sq-AL"/>
        </w:rPr>
        <w:t>43</w:t>
      </w:r>
      <w:r w:rsidRPr="00010E6E">
        <w:rPr>
          <w:lang w:val="sq-AL"/>
        </w:rPr>
        <w:t>-</w:t>
      </w:r>
      <w:r w:rsidR="0065462B" w:rsidRPr="00010E6E">
        <w:rPr>
          <w:lang w:val="sq-AL"/>
        </w:rPr>
        <w:t xml:space="preserve">51 </w:t>
      </w:r>
      <w:r w:rsidRPr="00010E6E">
        <w:rPr>
          <w:lang w:val="sq-AL"/>
        </w:rPr>
        <w:t>të projektligjit. Në lidhje me të drejtat e konsumatorëve dhe mikrondërmarrjeve</w:t>
      </w:r>
      <w:r w:rsidR="00890E67" w:rsidRPr="00010E6E">
        <w:rPr>
          <w:lang w:val="sq-AL"/>
        </w:rPr>
        <w:t>,</w:t>
      </w:r>
      <w:r w:rsidRPr="00010E6E">
        <w:rPr>
          <w:lang w:val="sq-AL"/>
        </w:rPr>
        <w:t xml:space="preserve"> projektligji parashikon të drejtën e marrjes së informacioneve të nevojshme parakontraktore pa pagesë. Gjithashtu, ata gëzojnë të drejtë</w:t>
      </w:r>
      <w:r w:rsidR="00167141" w:rsidRPr="00010E6E">
        <w:rPr>
          <w:lang w:val="sq-AL"/>
        </w:rPr>
        <w:t>n</w:t>
      </w:r>
      <w:r w:rsidRPr="00010E6E">
        <w:rPr>
          <w:lang w:val="sq-AL"/>
        </w:rPr>
        <w:t xml:space="preserve"> të kërkojnë informacionet paraprake të përcaktuara në nenin </w:t>
      </w:r>
      <w:r w:rsidR="00FB474D" w:rsidRPr="00010E6E">
        <w:rPr>
          <w:lang w:val="sq-AL"/>
        </w:rPr>
        <w:t>45</w:t>
      </w:r>
      <w:r w:rsidRPr="00010E6E">
        <w:rPr>
          <w:lang w:val="sq-AL"/>
        </w:rPr>
        <w:t xml:space="preserve">, si dhe kontratën tip, pa pagesë në çdo kohë gjatë marrëdhënies kontraktuale, </w:t>
      </w:r>
      <w:r w:rsidR="00100938" w:rsidRPr="00010E6E">
        <w:rPr>
          <w:lang w:val="sq-AL"/>
        </w:rPr>
        <w:t xml:space="preserve">duke krijuar mundësinë </w:t>
      </w:r>
      <w:r w:rsidR="00167141" w:rsidRPr="00010E6E">
        <w:rPr>
          <w:lang w:val="sq-AL"/>
        </w:rPr>
        <w:t xml:space="preserve">e </w:t>
      </w:r>
      <w:r w:rsidRPr="00010E6E">
        <w:rPr>
          <w:lang w:val="sq-AL"/>
        </w:rPr>
        <w:t>vlerësimit të shërbimeve të ofruara nga ana e konsumatorëve dhe mikrondërmarrjeve, si dhe analizimin e të drejtave dhe detyrimeve në rastin e ndonjë mosmarrëveshjeje, për të verifikuar të drejtat dhe detyrimet e tyre kontraktuale, duke ruajtur kështu një nivel të lartë të mbrojtjes së konsumatorit.</w:t>
      </w:r>
    </w:p>
    <w:p w14:paraId="404C9BF8" w14:textId="77777777" w:rsidR="0002198C" w:rsidRPr="00010E6E" w:rsidRDefault="0002198C" w:rsidP="0002198C">
      <w:pPr>
        <w:jc w:val="both"/>
        <w:rPr>
          <w:lang w:val="sq-AL"/>
        </w:rPr>
      </w:pPr>
    </w:p>
    <w:p w14:paraId="56084DC3" w14:textId="2B598739" w:rsidR="0002198C" w:rsidRPr="00010E6E" w:rsidRDefault="007B2372" w:rsidP="0002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sq-AL"/>
        </w:rPr>
      </w:pPr>
      <w:r w:rsidRPr="00010E6E">
        <w:rPr>
          <w:lang w:val="sq-AL"/>
        </w:rPr>
        <w:t>Projekt</w:t>
      </w:r>
      <w:r w:rsidR="0002198C" w:rsidRPr="00010E6E">
        <w:rPr>
          <w:lang w:val="sq-AL"/>
        </w:rPr>
        <w:t>ligji parashikon se konsumatorët dhe mikrondërmarrjet duhet të marrin informacion bazë mbi transaksionet e pagesave të ekzekutuara, pa pagesë. Në mënyrë të ngjashme, informacionet e mëvonshme mbi transaksionet e pagesave, sipas dispozitave të kontratës tip, duhet të sigurohen në baza mujore</w:t>
      </w:r>
      <w:r w:rsidR="008172A6" w:rsidRPr="00010E6E">
        <w:rPr>
          <w:lang w:val="sq-AL"/>
        </w:rPr>
        <w:t>,</w:t>
      </w:r>
      <w:r w:rsidR="0002198C" w:rsidRPr="00010E6E">
        <w:rPr>
          <w:lang w:val="sq-AL"/>
        </w:rPr>
        <w:t xml:space="preserve"> pa pagesë. Megjithatë, duke marrë parasysh rëndësinë e transparencës në çmimet dhe nevojat e ndryshme të konsumatorëve, projektligji parashikon edhe mundësinë e kërkesave të mëtejshme për informacion kundrejt një pagese.  </w:t>
      </w:r>
    </w:p>
    <w:p w14:paraId="179C20E3" w14:textId="77777777" w:rsidR="0002198C" w:rsidRPr="00010E6E" w:rsidRDefault="0002198C" w:rsidP="0002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sq-AL"/>
        </w:rPr>
      </w:pPr>
    </w:p>
    <w:p w14:paraId="5BA65F48" w14:textId="60C757FB" w:rsidR="0002198C" w:rsidRPr="00010E6E" w:rsidRDefault="0002198C" w:rsidP="0002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sq-AL"/>
        </w:rPr>
      </w:pPr>
      <w:r w:rsidRPr="00010E6E">
        <w:rPr>
          <w:lang w:val="sq-AL"/>
        </w:rPr>
        <w:t>Për të lehtësuar mundësinë e përzgjedhjes s</w:t>
      </w:r>
      <w:r w:rsidRPr="00010E6E">
        <w:rPr>
          <w:lang w:val="sq-AL" w:eastAsia="ja-JP"/>
        </w:rPr>
        <w:t>ë ofruesve të shërbimeve të pagesave, projektligji</w:t>
      </w:r>
      <w:r w:rsidR="00F637DD">
        <w:rPr>
          <w:lang w:val="sq-AL" w:eastAsia="ja-JP"/>
        </w:rPr>
        <w:t>,</w:t>
      </w:r>
      <w:r w:rsidRPr="00010E6E">
        <w:rPr>
          <w:lang w:val="sq-AL" w:eastAsia="ja-JP"/>
        </w:rPr>
        <w:t xml:space="preserve"> nëpërmjet nenit </w:t>
      </w:r>
      <w:r w:rsidR="00FB474D" w:rsidRPr="00010E6E">
        <w:rPr>
          <w:lang w:val="sq-AL" w:eastAsia="ja-JP"/>
        </w:rPr>
        <w:t>48</w:t>
      </w:r>
      <w:r w:rsidR="00F637DD">
        <w:rPr>
          <w:lang w:val="sq-AL" w:eastAsia="ja-JP"/>
        </w:rPr>
        <w:t>,</w:t>
      </w:r>
      <w:r w:rsidR="00FB474D" w:rsidRPr="00010E6E">
        <w:rPr>
          <w:lang w:val="sq-AL" w:eastAsia="ja-JP"/>
        </w:rPr>
        <w:t xml:space="preserve"> </w:t>
      </w:r>
      <w:r w:rsidRPr="00010E6E">
        <w:rPr>
          <w:lang w:val="sq-AL" w:eastAsia="ja-JP"/>
        </w:rPr>
        <w:t>parashikon mundësinë q</w:t>
      </w:r>
      <w:r w:rsidRPr="00010E6E">
        <w:rPr>
          <w:lang w:val="sq-AL"/>
        </w:rPr>
        <w:t xml:space="preserve">ë </w:t>
      </w:r>
      <w:r w:rsidR="003954C0" w:rsidRPr="00010E6E">
        <w:rPr>
          <w:lang w:val="sq-AL"/>
        </w:rPr>
        <w:t>përdoruesit e shërbimeve të pagesav</w:t>
      </w:r>
      <w:r w:rsidR="004A2498" w:rsidRPr="00010E6E">
        <w:rPr>
          <w:lang w:val="sq-AL"/>
        </w:rPr>
        <w:t>e</w:t>
      </w:r>
      <w:r w:rsidR="003954C0" w:rsidRPr="00010E6E">
        <w:rPr>
          <w:lang w:val="sq-AL"/>
        </w:rPr>
        <w:t xml:space="preserve"> </w:t>
      </w:r>
      <w:r w:rsidRPr="00010E6E">
        <w:rPr>
          <w:lang w:val="sq-AL"/>
        </w:rPr>
        <w:t xml:space="preserve">të përfundojnë/zgjidhin një kontratë tip pa mbartur kosto për ta, me përjashtim të rasteve kur kontrata përfundohet/zgjidhet në një periudhë më të </w:t>
      </w:r>
      <w:r w:rsidR="00F637DD">
        <w:rPr>
          <w:lang w:val="sq-AL"/>
        </w:rPr>
        <w:t>shkurtër</w:t>
      </w:r>
      <w:r w:rsidR="00F637DD" w:rsidRPr="00010E6E">
        <w:rPr>
          <w:lang w:val="sq-AL"/>
        </w:rPr>
        <w:t xml:space="preserve"> </w:t>
      </w:r>
      <w:r w:rsidRPr="00010E6E">
        <w:rPr>
          <w:lang w:val="sq-AL"/>
        </w:rPr>
        <w:t xml:space="preserve">se 6 muaj pas hyrjes në fuqi </w:t>
      </w:r>
      <w:r w:rsidR="002932A2" w:rsidRPr="00010E6E">
        <w:rPr>
          <w:lang w:val="sq-AL"/>
        </w:rPr>
        <w:t xml:space="preserve">të </w:t>
      </w:r>
      <w:r w:rsidRPr="00010E6E">
        <w:rPr>
          <w:lang w:val="sq-AL"/>
        </w:rPr>
        <w:t>saj. Në këto kushte, ofruesit e shërbimeve të pagesave mund të aplikojnë tarifa</w:t>
      </w:r>
      <w:r w:rsidR="00A13737" w:rsidRPr="00010E6E">
        <w:rPr>
          <w:lang w:val="sq-AL"/>
        </w:rPr>
        <w:t>,</w:t>
      </w:r>
      <w:r w:rsidRPr="00010E6E">
        <w:rPr>
          <w:lang w:val="sq-AL"/>
        </w:rPr>
        <w:t xml:space="preserve"> </w:t>
      </w:r>
      <w:r w:rsidR="00F637DD">
        <w:rPr>
          <w:lang w:val="sq-AL"/>
        </w:rPr>
        <w:t>p</w:t>
      </w:r>
      <w:r w:rsidR="00F637DD" w:rsidRPr="00010E6E">
        <w:rPr>
          <w:lang w:val="sq-AL"/>
        </w:rPr>
        <w:t>ë</w:t>
      </w:r>
      <w:r w:rsidR="00F637DD">
        <w:rPr>
          <w:lang w:val="sq-AL"/>
        </w:rPr>
        <w:t>r</w:t>
      </w:r>
      <w:r w:rsidR="00F637DD" w:rsidRPr="00010E6E">
        <w:rPr>
          <w:lang w:val="sq-AL"/>
        </w:rPr>
        <w:t xml:space="preserve"> </w:t>
      </w:r>
      <w:r w:rsidR="00F637DD">
        <w:rPr>
          <w:lang w:val="sq-AL"/>
        </w:rPr>
        <w:t>mbulimin e</w:t>
      </w:r>
      <w:r w:rsidR="00F637DD" w:rsidRPr="00010E6E">
        <w:rPr>
          <w:lang w:val="sq-AL"/>
        </w:rPr>
        <w:t xml:space="preserve"> </w:t>
      </w:r>
      <w:r w:rsidRPr="00010E6E">
        <w:rPr>
          <w:lang w:val="sq-AL"/>
        </w:rPr>
        <w:t>kosto</w:t>
      </w:r>
      <w:r w:rsidR="00F637DD">
        <w:rPr>
          <w:lang w:val="sq-AL"/>
        </w:rPr>
        <w:t>ve të</w:t>
      </w:r>
      <w:r w:rsidRPr="00010E6E">
        <w:rPr>
          <w:lang w:val="sq-AL"/>
        </w:rPr>
        <w:t xml:space="preserve"> shkaktuara për shkak të ndërprerjes së kontratës tip nga ana e konsumatorit/mikrond</w:t>
      </w:r>
      <w:r w:rsidRPr="00010E6E">
        <w:rPr>
          <w:lang w:val="sq-AL" w:eastAsia="ja-JP"/>
        </w:rPr>
        <w:t>ërmarrjes</w:t>
      </w:r>
      <w:r w:rsidRPr="00010E6E">
        <w:rPr>
          <w:lang w:val="sq-AL"/>
        </w:rPr>
        <w:t xml:space="preserve">. Për më shumë, projektligji parashikon dhe afatet kohore </w:t>
      </w:r>
      <w:r w:rsidR="00F637DD">
        <w:rPr>
          <w:lang w:val="sq-AL"/>
        </w:rPr>
        <w:t>q</w:t>
      </w:r>
      <w:r w:rsidR="00F637DD" w:rsidRPr="00010E6E">
        <w:rPr>
          <w:lang w:val="sq-AL"/>
        </w:rPr>
        <w:t xml:space="preserve">ë </w:t>
      </w:r>
      <w:r w:rsidRPr="00010E6E">
        <w:rPr>
          <w:lang w:val="sq-AL"/>
        </w:rPr>
        <w:t xml:space="preserve">duhet të respektojnë palët për njoftimin e ndërprerjes së saj (1 muaj për përdoruesit e shërbimeve </w:t>
      </w:r>
      <w:r w:rsidR="006A6254" w:rsidRPr="00010E6E">
        <w:rPr>
          <w:lang w:val="sq-AL"/>
        </w:rPr>
        <w:t>t</w:t>
      </w:r>
      <w:r w:rsidR="006A6254" w:rsidRPr="00010E6E">
        <w:rPr>
          <w:lang w:val="sq-AL" w:eastAsia="ja-JP"/>
        </w:rPr>
        <w:t>ë pagesave</w:t>
      </w:r>
      <w:r w:rsidR="006A6254" w:rsidRPr="00010E6E">
        <w:rPr>
          <w:lang w:val="sq-AL"/>
        </w:rPr>
        <w:t xml:space="preserve"> </w:t>
      </w:r>
      <w:r w:rsidRPr="00010E6E">
        <w:rPr>
          <w:lang w:val="sq-AL"/>
        </w:rPr>
        <w:t>dhe 2 muaj për ofruesit e shërbimeve t</w:t>
      </w:r>
      <w:r w:rsidRPr="00010E6E">
        <w:rPr>
          <w:lang w:val="sq-AL" w:eastAsia="ja-JP"/>
        </w:rPr>
        <w:t>ë pagesave</w:t>
      </w:r>
      <w:r w:rsidRPr="00010E6E">
        <w:rPr>
          <w:lang w:val="sq-AL"/>
        </w:rPr>
        <w:t xml:space="preserve">). </w:t>
      </w:r>
    </w:p>
    <w:p w14:paraId="78B6839C" w14:textId="77777777" w:rsidR="0002198C" w:rsidRPr="00010E6E" w:rsidRDefault="0002198C" w:rsidP="0002198C">
      <w:pPr>
        <w:pStyle w:val="ListParagraph"/>
        <w:spacing w:after="0" w:line="240" w:lineRule="auto"/>
        <w:ind w:left="0"/>
        <w:contextualSpacing w:val="0"/>
        <w:rPr>
          <w:rFonts w:ascii="Times New Roman" w:hAnsi="Times New Roman"/>
          <w:sz w:val="24"/>
          <w:szCs w:val="24"/>
          <w:lang w:val="sq-AL"/>
        </w:rPr>
      </w:pPr>
    </w:p>
    <w:p w14:paraId="0CE3F7F4" w14:textId="6D9E724B" w:rsidR="0002198C" w:rsidRPr="00010E6E" w:rsidRDefault="0002198C" w:rsidP="00BB1DF0">
      <w:pPr>
        <w:pStyle w:val="ListParagraph"/>
        <w:shd w:val="clear" w:color="auto" w:fill="D9D9D9"/>
        <w:spacing w:after="0" w:line="240" w:lineRule="auto"/>
        <w:ind w:left="0"/>
        <w:contextualSpacing w:val="0"/>
        <w:jc w:val="both"/>
        <w:rPr>
          <w:rFonts w:ascii="Times New Roman" w:hAnsi="Times New Roman"/>
          <w:b/>
          <w:sz w:val="24"/>
          <w:szCs w:val="24"/>
          <w:lang w:val="sq-AL"/>
        </w:rPr>
      </w:pPr>
      <w:r w:rsidRPr="00010E6E">
        <w:rPr>
          <w:rFonts w:ascii="Times New Roman" w:hAnsi="Times New Roman"/>
          <w:b/>
          <w:sz w:val="24"/>
          <w:szCs w:val="24"/>
          <w:lang w:val="sq-AL"/>
        </w:rPr>
        <w:t xml:space="preserve">Titulli </w:t>
      </w:r>
      <w:r w:rsidR="0068548B" w:rsidRPr="00010E6E">
        <w:rPr>
          <w:rFonts w:ascii="Times New Roman" w:hAnsi="Times New Roman"/>
          <w:b/>
          <w:sz w:val="24"/>
          <w:szCs w:val="24"/>
          <w:lang w:val="sq-AL"/>
        </w:rPr>
        <w:t>IV</w:t>
      </w:r>
      <w:r w:rsidR="00FA1823" w:rsidRPr="00010E6E">
        <w:rPr>
          <w:rFonts w:ascii="Times New Roman" w:hAnsi="Times New Roman"/>
          <w:b/>
          <w:sz w:val="24"/>
          <w:szCs w:val="24"/>
          <w:lang w:val="sq-AL"/>
        </w:rPr>
        <w:t>:</w:t>
      </w:r>
      <w:r w:rsidRPr="00010E6E">
        <w:rPr>
          <w:rFonts w:ascii="Times New Roman" w:hAnsi="Times New Roman"/>
          <w:b/>
          <w:sz w:val="24"/>
          <w:szCs w:val="24"/>
          <w:lang w:val="sq-AL"/>
        </w:rPr>
        <w:t xml:space="preserve"> Të drejtat dhe detyrimet </w:t>
      </w:r>
      <w:r w:rsidR="00F637DD">
        <w:rPr>
          <w:rFonts w:ascii="Times New Roman" w:hAnsi="Times New Roman"/>
          <w:b/>
          <w:sz w:val="24"/>
          <w:szCs w:val="24"/>
          <w:lang w:val="sq-AL"/>
        </w:rPr>
        <w:t>për</w:t>
      </w:r>
      <w:r w:rsidRPr="00010E6E">
        <w:rPr>
          <w:rFonts w:ascii="Times New Roman" w:hAnsi="Times New Roman"/>
          <w:b/>
          <w:sz w:val="24"/>
          <w:szCs w:val="24"/>
          <w:lang w:val="sq-AL"/>
        </w:rPr>
        <w:t xml:space="preserve"> ofrimin dhe përdorimin e shërbimeve të pagesave</w:t>
      </w:r>
    </w:p>
    <w:p w14:paraId="0138F5A5" w14:textId="77777777" w:rsidR="0002198C" w:rsidRPr="00010E6E" w:rsidRDefault="0002198C" w:rsidP="0002198C">
      <w:pPr>
        <w:pStyle w:val="ListParagraph"/>
        <w:spacing w:after="0" w:line="240" w:lineRule="auto"/>
        <w:ind w:left="0"/>
        <w:contextualSpacing w:val="0"/>
        <w:rPr>
          <w:rFonts w:ascii="Times New Roman" w:hAnsi="Times New Roman"/>
          <w:sz w:val="24"/>
          <w:szCs w:val="24"/>
          <w:lang w:val="sq-AL"/>
        </w:rPr>
      </w:pPr>
    </w:p>
    <w:p w14:paraId="0134632F" w14:textId="77777777" w:rsidR="0002198C" w:rsidRPr="00010E6E" w:rsidRDefault="0068548B" w:rsidP="0002198C">
      <w:pPr>
        <w:jc w:val="both"/>
        <w:rPr>
          <w:lang w:val="sq-AL"/>
        </w:rPr>
      </w:pPr>
      <w:r w:rsidRPr="00010E6E">
        <w:rPr>
          <w:lang w:val="sq-AL"/>
        </w:rPr>
        <w:t>Titulli</w:t>
      </w:r>
      <w:r w:rsidR="0002198C" w:rsidRPr="00010E6E">
        <w:rPr>
          <w:lang w:val="sq-AL"/>
        </w:rPr>
        <w:t xml:space="preserve"> IV i projektligjit rregullon të drejtat dhe detyrimet midis ofruesve të shërbimeve, përfshirë këtu dhe ndërmjetësit të cilët mundësojnë kryerjen e një pagese, </w:t>
      </w:r>
      <w:r w:rsidR="00A50E78" w:rsidRPr="00010E6E">
        <w:rPr>
          <w:lang w:val="sq-AL"/>
        </w:rPr>
        <w:t xml:space="preserve">dhe përdoruesve të shërbimeve, </w:t>
      </w:r>
      <w:r w:rsidR="0002198C" w:rsidRPr="00010E6E">
        <w:rPr>
          <w:lang w:val="sq-AL"/>
        </w:rPr>
        <w:t xml:space="preserve">me qëllim rritjen e efikasitetit të shërbimeve nëpërmjet rregullimit të tarifave të aplikuara, kohës së ekzekutimit, si dhe nxitjen e sigurisë dhe besueshmërisë në procesimin e pagesave me instrumente të ndryshme. </w:t>
      </w:r>
    </w:p>
    <w:p w14:paraId="51CDA3F1" w14:textId="77777777" w:rsidR="0002198C" w:rsidRPr="00010E6E" w:rsidRDefault="0002198C" w:rsidP="0002198C">
      <w:pPr>
        <w:jc w:val="both"/>
        <w:rPr>
          <w:lang w:val="sq-AL"/>
        </w:rPr>
      </w:pPr>
    </w:p>
    <w:p w14:paraId="59173DC9" w14:textId="5A871BC3" w:rsidR="0002198C" w:rsidRPr="00010E6E" w:rsidRDefault="0002198C" w:rsidP="0002198C">
      <w:pPr>
        <w:jc w:val="both"/>
        <w:rPr>
          <w:lang w:val="sq-AL"/>
        </w:rPr>
      </w:pPr>
      <w:r w:rsidRPr="00010E6E">
        <w:rPr>
          <w:lang w:val="sq-AL"/>
        </w:rPr>
        <w:t xml:space="preserve">Fusha e zbatimit e këtij </w:t>
      </w:r>
      <w:r w:rsidR="0068548B" w:rsidRPr="00010E6E">
        <w:rPr>
          <w:lang w:val="sq-AL"/>
        </w:rPr>
        <w:t>titulli</w:t>
      </w:r>
      <w:r w:rsidRPr="00010E6E">
        <w:rPr>
          <w:lang w:val="sq-AL"/>
        </w:rPr>
        <w:t xml:space="preserve"> është e njëjt</w:t>
      </w:r>
      <w:r w:rsidR="00C05FA0" w:rsidRPr="00010E6E">
        <w:rPr>
          <w:lang w:val="sq-AL"/>
        </w:rPr>
        <w:t>ë</w:t>
      </w:r>
      <w:r w:rsidRPr="00010E6E">
        <w:rPr>
          <w:lang w:val="sq-AL"/>
        </w:rPr>
        <w:t xml:space="preserve"> me atë të </w:t>
      </w:r>
      <w:r w:rsidR="0068548B" w:rsidRPr="00010E6E">
        <w:rPr>
          <w:lang w:val="sq-AL"/>
        </w:rPr>
        <w:t>titullit</w:t>
      </w:r>
      <w:r w:rsidRPr="00010E6E">
        <w:rPr>
          <w:lang w:val="sq-AL"/>
        </w:rPr>
        <w:t xml:space="preserve"> III, dhe ka në fokusin e tij qendror konsumatorët dhe mikrondërmarrjet sipas nenit </w:t>
      </w:r>
      <w:r w:rsidR="00A164B0" w:rsidRPr="00010E6E">
        <w:rPr>
          <w:lang w:val="sq-AL"/>
        </w:rPr>
        <w:t xml:space="preserve">54 </w:t>
      </w:r>
      <w:r w:rsidRPr="00010E6E">
        <w:rPr>
          <w:lang w:val="sq-AL"/>
        </w:rPr>
        <w:t>të projektligjit. Në të njëjtin nen është shfrytëzuar dhe hapësira e krijuar nga direktiva për përjashtim të pjesshëm të ndërmarrjeve të vogla, të mesme dhe të mëdha nga regjimi mbrojtës i parashikuar për konsumatorët dhe mikrondërmarrjet</w:t>
      </w:r>
      <w:r w:rsidR="009F3AC9" w:rsidRPr="00010E6E">
        <w:rPr>
          <w:lang w:val="sq-AL"/>
        </w:rPr>
        <w:t xml:space="preserve"> si dhe përjashtimin e tyre nga </w:t>
      </w:r>
      <w:r w:rsidR="00F637DD" w:rsidRPr="00F637DD">
        <w:rPr>
          <w:lang w:val="sq-AL"/>
        </w:rPr>
        <w:t>zgjidhj</w:t>
      </w:r>
      <w:r w:rsidR="00F637DD">
        <w:rPr>
          <w:lang w:val="sq-AL"/>
        </w:rPr>
        <w:t>a</w:t>
      </w:r>
      <w:r w:rsidR="00F637DD" w:rsidRPr="00F637DD">
        <w:rPr>
          <w:lang w:val="sq-AL"/>
        </w:rPr>
        <w:t xml:space="preserve"> alternative </w:t>
      </w:r>
      <w:r w:rsidR="00F637DD">
        <w:rPr>
          <w:lang w:val="sq-AL"/>
        </w:rPr>
        <w:t>e</w:t>
      </w:r>
      <w:r w:rsidR="00F637DD" w:rsidRPr="00F637DD">
        <w:rPr>
          <w:lang w:val="sq-AL"/>
        </w:rPr>
        <w:t xml:space="preserve"> mosmarrëveshjeve </w:t>
      </w:r>
      <w:r w:rsidR="00F637DD">
        <w:rPr>
          <w:lang w:val="sq-AL"/>
        </w:rPr>
        <w:t>(</w:t>
      </w:r>
      <w:r w:rsidR="009F3AC9" w:rsidRPr="00010E6E">
        <w:rPr>
          <w:lang w:val="sq-AL"/>
        </w:rPr>
        <w:t>ZAM</w:t>
      </w:r>
      <w:r w:rsidR="00F637DD">
        <w:rPr>
          <w:lang w:val="sq-AL"/>
        </w:rPr>
        <w:t>)</w:t>
      </w:r>
      <w:r w:rsidRPr="00010E6E">
        <w:rPr>
          <w:lang w:val="sq-AL"/>
        </w:rPr>
        <w:t xml:space="preserve">. </w:t>
      </w:r>
    </w:p>
    <w:p w14:paraId="6BAA2275" w14:textId="77777777" w:rsidR="0002198C" w:rsidRPr="00010E6E" w:rsidRDefault="0002198C" w:rsidP="0002198C">
      <w:pPr>
        <w:jc w:val="both"/>
        <w:rPr>
          <w:lang w:val="sq-AL"/>
        </w:rPr>
      </w:pPr>
    </w:p>
    <w:p w14:paraId="78F8C58E" w14:textId="6D0B9F7C" w:rsidR="0002198C" w:rsidRPr="00010E6E" w:rsidRDefault="0002198C" w:rsidP="0002198C">
      <w:pPr>
        <w:jc w:val="both"/>
        <w:rPr>
          <w:lang w:val="sq-AL"/>
        </w:rPr>
      </w:pPr>
      <w:r w:rsidRPr="00010E6E">
        <w:rPr>
          <w:lang w:val="sq-AL"/>
        </w:rPr>
        <w:lastRenderedPageBreak/>
        <w:t xml:space="preserve">Në nenin </w:t>
      </w:r>
      <w:r w:rsidR="00A164B0" w:rsidRPr="00010E6E">
        <w:rPr>
          <w:lang w:val="sq-AL"/>
        </w:rPr>
        <w:t xml:space="preserve">55 </w:t>
      </w:r>
      <w:r w:rsidRPr="00010E6E">
        <w:rPr>
          <w:lang w:val="sq-AL"/>
        </w:rPr>
        <w:t>të projektligjit trajtohet mënyra e tarifimit të shërbimeve të pagesave, dhe ashtu si dhe direktiva, është përcaktuar se parimi “</w:t>
      </w:r>
      <w:r w:rsidRPr="00010E6E">
        <w:rPr>
          <w:i/>
          <w:lang w:val="sq-AL"/>
        </w:rPr>
        <w:t>share</w:t>
      </w:r>
      <w:r w:rsidRPr="00010E6E">
        <w:rPr>
          <w:lang w:val="sq-AL"/>
        </w:rPr>
        <w:t>”</w:t>
      </w:r>
      <w:r w:rsidR="00F637DD">
        <w:rPr>
          <w:lang w:val="sq-AL"/>
        </w:rPr>
        <w:t xml:space="preserve"> </w:t>
      </w:r>
      <w:r w:rsidRPr="00010E6E">
        <w:rPr>
          <w:lang w:val="sq-AL"/>
        </w:rPr>
        <w:t>- ndarja e komisioneve midis paguesit dhe përfituesit</w:t>
      </w:r>
      <w:r w:rsidR="00F637DD">
        <w:rPr>
          <w:lang w:val="sq-AL"/>
        </w:rPr>
        <w:t xml:space="preserve"> </w:t>
      </w:r>
      <w:r w:rsidR="00512C63" w:rsidRPr="00010E6E">
        <w:rPr>
          <w:lang w:val="sq-AL"/>
        </w:rPr>
        <w:t>-</w:t>
      </w:r>
      <w:r w:rsidRPr="00010E6E">
        <w:rPr>
          <w:lang w:val="sq-AL"/>
        </w:rPr>
        <w:t xml:space="preserve"> do të zbatohet në transaksionet brenda vendit. Bazuar në eksperiencën evropiane</w:t>
      </w:r>
      <w:r w:rsidR="00F637DD">
        <w:rPr>
          <w:lang w:val="sq-AL"/>
        </w:rPr>
        <w:t>,</w:t>
      </w:r>
      <w:r w:rsidRPr="00010E6E">
        <w:rPr>
          <w:lang w:val="sq-AL"/>
        </w:rPr>
        <w:t xml:space="preserve"> respektimi i kësaj mënyre lehtëson procesimin automatik të pagesave. Megjithatë, bazuar në preambulën e direktivës</w:t>
      </w:r>
      <w:r w:rsidR="003C06F6">
        <w:rPr>
          <w:lang w:val="sq-AL"/>
        </w:rPr>
        <w:t>,</w:t>
      </w:r>
      <w:r w:rsidRPr="00010E6E">
        <w:rPr>
          <w:lang w:val="sq-AL"/>
        </w:rPr>
        <w:t xml:space="preserve"> kjo dispozitë nuk bie ndesh me mundësinë që tarifat të jenë </w:t>
      </w:r>
      <w:r w:rsidR="003C06F6">
        <w:rPr>
          <w:lang w:val="sq-AL"/>
        </w:rPr>
        <w:t>0 (</w:t>
      </w:r>
      <w:r w:rsidRPr="00010E6E">
        <w:rPr>
          <w:lang w:val="sq-AL"/>
        </w:rPr>
        <w:t>zero</w:t>
      </w:r>
      <w:r w:rsidR="003C06F6">
        <w:rPr>
          <w:lang w:val="sq-AL"/>
        </w:rPr>
        <w:t>)</w:t>
      </w:r>
      <w:r w:rsidRPr="00010E6E">
        <w:rPr>
          <w:lang w:val="sq-AL"/>
        </w:rPr>
        <w:t xml:space="preserve"> nëse përfituesi i pagesës nuk tarifohet për kreditimin e llogarisë, duke krijuar kështu hapësira p</w:t>
      </w:r>
      <w:r w:rsidRPr="00010E6E">
        <w:rPr>
          <w:lang w:val="sq-AL" w:eastAsia="ja-JP"/>
        </w:rPr>
        <w:t xml:space="preserve">ër </w:t>
      </w:r>
      <w:r w:rsidRPr="00010E6E">
        <w:rPr>
          <w:lang w:val="sq-AL"/>
        </w:rPr>
        <w:t>vijimin e zbatimit të vendimit</w:t>
      </w:r>
      <w:r w:rsidRPr="00010E6E">
        <w:rPr>
          <w:vertAlign w:val="superscript"/>
          <w:lang w:val="sq-AL"/>
        </w:rPr>
        <w:footnoteReference w:id="3"/>
      </w:r>
      <w:r w:rsidRPr="00010E6E">
        <w:rPr>
          <w:vertAlign w:val="superscript"/>
          <w:lang w:val="sq-AL"/>
        </w:rPr>
        <w:t xml:space="preserve"> </w:t>
      </w:r>
      <w:r w:rsidRPr="00010E6E">
        <w:rPr>
          <w:lang w:val="sq-AL"/>
        </w:rPr>
        <w:t>për mënyrën, tarifat e aplikuara nga bankat për pagesat e procesuara në sistemin AIPS dhe AECH. Gjithashtu, në këtë nen, bazuar në hapësirat e krijuara nga direktiva është parashikuar dhe mundësia</w:t>
      </w:r>
      <w:r w:rsidR="00C05FA0" w:rsidRPr="00010E6E">
        <w:rPr>
          <w:lang w:val="sq-AL"/>
        </w:rPr>
        <w:t xml:space="preserve"> e</w:t>
      </w:r>
      <w:r w:rsidRPr="00010E6E">
        <w:rPr>
          <w:lang w:val="sq-AL"/>
        </w:rPr>
        <w:t xml:space="preserve"> tarifimit vetëm të përfituesit për instrumente të caktuara</w:t>
      </w:r>
      <w:r w:rsidR="003C06F6">
        <w:rPr>
          <w:lang w:val="sq-AL"/>
        </w:rPr>
        <w:t>,</w:t>
      </w:r>
      <w:r w:rsidRPr="00010E6E">
        <w:rPr>
          <w:lang w:val="sq-AL"/>
        </w:rPr>
        <w:t xml:space="preserve"> duke mundësuar kështu vijimin e praktikave të ndjekura deri më tani nga tregu në lidhje me pagesat me kartë në terminale POS ose pagesat e faturave të kompanive utilitare, ku komisionet i mbahen përfituesit</w:t>
      </w:r>
      <w:r w:rsidR="00822676" w:rsidRPr="00010E6E">
        <w:rPr>
          <w:lang w:val="sq-AL"/>
        </w:rPr>
        <w:t>. Për më shumë</w:t>
      </w:r>
      <w:r w:rsidR="00C50804" w:rsidRPr="00010E6E">
        <w:rPr>
          <w:lang w:val="sq-AL"/>
        </w:rPr>
        <w:t>,</w:t>
      </w:r>
      <w:r w:rsidR="00822676" w:rsidRPr="00010E6E">
        <w:rPr>
          <w:lang w:val="sq-AL"/>
        </w:rPr>
        <w:t xml:space="preserve"> kjo dispozit</w:t>
      </w:r>
      <w:r w:rsidR="003C06F6">
        <w:rPr>
          <w:lang w:val="sq-AL"/>
        </w:rPr>
        <w:t>ë</w:t>
      </w:r>
      <w:r w:rsidR="00822676" w:rsidRPr="00010E6E">
        <w:rPr>
          <w:lang w:val="sq-AL"/>
        </w:rPr>
        <w:t xml:space="preserve"> krijon </w:t>
      </w:r>
      <w:r w:rsidRPr="00010E6E">
        <w:rPr>
          <w:lang w:val="sq-AL"/>
        </w:rPr>
        <w:t>mundë</w:t>
      </w:r>
      <w:r w:rsidR="00822676" w:rsidRPr="00010E6E">
        <w:rPr>
          <w:lang w:val="sq-AL"/>
        </w:rPr>
        <w:t>sin</w:t>
      </w:r>
      <w:r w:rsidR="003C06F6">
        <w:rPr>
          <w:lang w:val="sq-AL"/>
        </w:rPr>
        <w:t>ë</w:t>
      </w:r>
      <w:r w:rsidR="00822676" w:rsidRPr="00010E6E">
        <w:rPr>
          <w:lang w:val="sq-AL"/>
        </w:rPr>
        <w:t xml:space="preserve"> e </w:t>
      </w:r>
      <w:r w:rsidRPr="00010E6E">
        <w:rPr>
          <w:lang w:val="sq-AL"/>
        </w:rPr>
        <w:t>zbatimi</w:t>
      </w:r>
      <w:r w:rsidR="00822676" w:rsidRPr="00010E6E">
        <w:rPr>
          <w:lang w:val="sq-AL"/>
        </w:rPr>
        <w:t>t</w:t>
      </w:r>
      <w:r w:rsidRPr="00010E6E">
        <w:rPr>
          <w:lang w:val="sq-AL"/>
        </w:rPr>
        <w:t xml:space="preserve"> në të ardhmen të rregullores së Bashkimit Evropian </w:t>
      </w:r>
      <w:r w:rsidR="00C50804" w:rsidRPr="00010E6E">
        <w:rPr>
          <w:lang w:val="sq-AL"/>
        </w:rPr>
        <w:t xml:space="preserve">nr. </w:t>
      </w:r>
      <w:r w:rsidRPr="00010E6E">
        <w:rPr>
          <w:lang w:val="sq-AL"/>
        </w:rPr>
        <w:t xml:space="preserve">2015/751 për </w:t>
      </w:r>
      <w:r w:rsidRPr="00010E6E">
        <w:rPr>
          <w:i/>
          <w:lang w:val="sq-AL"/>
        </w:rPr>
        <w:t>interchange fees</w:t>
      </w:r>
      <w:r w:rsidRPr="00010E6E">
        <w:rPr>
          <w:lang w:val="sq-AL"/>
        </w:rPr>
        <w:t xml:space="preserve"> për transaksionet me kartë. </w:t>
      </w:r>
    </w:p>
    <w:p w14:paraId="7ABFDDE1" w14:textId="77777777" w:rsidR="0002198C" w:rsidRPr="00010E6E" w:rsidRDefault="0002198C" w:rsidP="0002198C">
      <w:pPr>
        <w:jc w:val="both"/>
        <w:rPr>
          <w:lang w:val="sq-AL"/>
        </w:rPr>
      </w:pPr>
    </w:p>
    <w:p w14:paraId="2DB00656" w14:textId="71F23FE5" w:rsidR="0002198C" w:rsidRPr="00010E6E" w:rsidRDefault="0002198C" w:rsidP="0002198C">
      <w:pPr>
        <w:jc w:val="both"/>
        <w:rPr>
          <w:lang w:val="sq-AL"/>
        </w:rPr>
      </w:pPr>
      <w:r w:rsidRPr="00010E6E">
        <w:rPr>
          <w:lang w:val="sq-AL"/>
        </w:rPr>
        <w:t>Megjithatë, me qëllim promovimin e instrumenteve me vlerë të vogël dhe hyrjen</w:t>
      </w:r>
      <w:r w:rsidR="00FD394B" w:rsidRPr="00010E6E">
        <w:rPr>
          <w:lang w:val="sq-AL"/>
        </w:rPr>
        <w:t xml:space="preserve"> e</w:t>
      </w:r>
      <w:r w:rsidRPr="00010E6E">
        <w:rPr>
          <w:lang w:val="sq-AL"/>
        </w:rPr>
        <w:t xml:space="preserve"> aktorëve të rinj në treg, projektligji (neni </w:t>
      </w:r>
      <w:r w:rsidR="00A164B0" w:rsidRPr="00010E6E">
        <w:rPr>
          <w:lang w:val="sq-AL"/>
        </w:rPr>
        <w:t>56</w:t>
      </w:r>
      <w:r w:rsidRPr="00010E6E">
        <w:rPr>
          <w:lang w:val="sq-AL"/>
        </w:rPr>
        <w:t>) parashikon disa përjashtime në lidhje me të drejtat dhe detyrimet e palëve për këto kategori pagesash</w:t>
      </w:r>
      <w:r w:rsidR="003C06F6">
        <w:rPr>
          <w:lang w:val="sq-AL"/>
        </w:rPr>
        <w:t>,</w:t>
      </w:r>
      <w:r w:rsidR="00D82420" w:rsidRPr="00010E6E">
        <w:rPr>
          <w:lang w:val="sq-AL"/>
        </w:rPr>
        <w:t xml:space="preserve"> duke krijuar kështu një regjim lehtësues. </w:t>
      </w:r>
    </w:p>
    <w:p w14:paraId="54EFE5FC" w14:textId="77777777" w:rsidR="0002198C" w:rsidRPr="00010E6E" w:rsidRDefault="0002198C" w:rsidP="0002198C">
      <w:pPr>
        <w:jc w:val="both"/>
        <w:rPr>
          <w:lang w:val="sq-AL"/>
        </w:rPr>
      </w:pPr>
    </w:p>
    <w:p w14:paraId="1256DF19" w14:textId="50A46879" w:rsidR="0002198C" w:rsidRPr="00010E6E" w:rsidRDefault="0002198C" w:rsidP="0002198C">
      <w:pPr>
        <w:jc w:val="both"/>
        <w:rPr>
          <w:lang w:val="sq-AL"/>
        </w:rPr>
      </w:pPr>
      <w:r w:rsidRPr="00010E6E">
        <w:rPr>
          <w:lang w:val="sq-AL"/>
        </w:rPr>
        <w:t>Autorizimi i pagesave është një koncept tejet i rëndësishëm në procesin e kryerjes së pagesës. Në këto kushte</w:t>
      </w:r>
      <w:r w:rsidR="003C06F6">
        <w:rPr>
          <w:lang w:val="sq-AL"/>
        </w:rPr>
        <w:t>,</w:t>
      </w:r>
      <w:r w:rsidRPr="00010E6E">
        <w:rPr>
          <w:lang w:val="sq-AL"/>
        </w:rPr>
        <w:t xml:space="preserve"> </w:t>
      </w:r>
      <w:r w:rsidR="003C06F6" w:rsidRPr="00E46E7D">
        <w:rPr>
          <w:b/>
          <w:lang w:val="sq-AL"/>
        </w:rPr>
        <w:t>K</w:t>
      </w:r>
      <w:r w:rsidR="008563AF" w:rsidRPr="00E46E7D">
        <w:rPr>
          <w:b/>
          <w:lang w:val="sq-AL"/>
        </w:rPr>
        <w:t>reu</w:t>
      </w:r>
      <w:r w:rsidRPr="00010E6E">
        <w:rPr>
          <w:lang w:val="sq-AL"/>
        </w:rPr>
        <w:t xml:space="preserve"> </w:t>
      </w:r>
      <w:r w:rsidR="008563AF" w:rsidRPr="00010E6E">
        <w:rPr>
          <w:lang w:val="sq-AL"/>
        </w:rPr>
        <w:t>2</w:t>
      </w:r>
      <w:r w:rsidRPr="00010E6E">
        <w:rPr>
          <w:lang w:val="sq-AL"/>
        </w:rPr>
        <w:t xml:space="preserve"> (nen</w:t>
      </w:r>
      <w:r w:rsidR="003C06F6">
        <w:rPr>
          <w:lang w:val="sq-AL"/>
        </w:rPr>
        <w:t>et</w:t>
      </w:r>
      <w:r w:rsidRPr="00010E6E">
        <w:rPr>
          <w:lang w:val="sq-AL"/>
        </w:rPr>
        <w:t xml:space="preserve"> </w:t>
      </w:r>
      <w:r w:rsidR="00A164B0" w:rsidRPr="00010E6E">
        <w:rPr>
          <w:lang w:val="sq-AL"/>
        </w:rPr>
        <w:t>57</w:t>
      </w:r>
      <w:r w:rsidRPr="00010E6E">
        <w:rPr>
          <w:lang w:val="sq-AL"/>
        </w:rPr>
        <w:t>-</w:t>
      </w:r>
      <w:r w:rsidR="00A164B0" w:rsidRPr="00010E6E">
        <w:rPr>
          <w:lang w:val="sq-AL"/>
        </w:rPr>
        <w:t>70</w:t>
      </w:r>
      <w:r w:rsidRPr="00010E6E">
        <w:rPr>
          <w:lang w:val="sq-AL"/>
        </w:rPr>
        <w:t xml:space="preserve">) i këtij </w:t>
      </w:r>
      <w:r w:rsidR="008563AF" w:rsidRPr="00010E6E">
        <w:rPr>
          <w:lang w:val="sq-AL"/>
        </w:rPr>
        <w:t xml:space="preserve">titulli </w:t>
      </w:r>
      <w:r w:rsidRPr="00010E6E">
        <w:rPr>
          <w:lang w:val="sq-AL"/>
        </w:rPr>
        <w:t>i dedikohet rregullimit të këtij momenti. Një procedurë kyçe për materializimin e autorizimit të pagesës është dhënia dhe tërheqja e pëlqimit, duke krijuar kështu parakushte</w:t>
      </w:r>
      <w:r w:rsidR="0013421D" w:rsidRPr="00010E6E">
        <w:rPr>
          <w:lang w:val="sq-AL"/>
        </w:rPr>
        <w:t>t</w:t>
      </w:r>
      <w:r w:rsidRPr="00010E6E">
        <w:rPr>
          <w:lang w:val="sq-AL"/>
        </w:rPr>
        <w:t xml:space="preserve"> e nevojshme për përcaktimin e të drejtave dhe detyrimeve të palëve kundrejt ekzekutimit ose jo të saj.  </w:t>
      </w:r>
    </w:p>
    <w:p w14:paraId="29B980CC" w14:textId="77777777" w:rsidR="0002198C" w:rsidRPr="00010E6E" w:rsidRDefault="0002198C" w:rsidP="0002198C">
      <w:pPr>
        <w:jc w:val="both"/>
        <w:rPr>
          <w:lang w:val="sq-AL"/>
        </w:rPr>
      </w:pPr>
    </w:p>
    <w:p w14:paraId="4C8EED39" w14:textId="66D361AE" w:rsidR="00234907" w:rsidRPr="00010E6E" w:rsidRDefault="0002198C" w:rsidP="0002198C">
      <w:pPr>
        <w:jc w:val="both"/>
        <w:rPr>
          <w:lang w:val="sq-AL"/>
        </w:rPr>
      </w:pPr>
      <w:r w:rsidRPr="00010E6E">
        <w:rPr>
          <w:lang w:val="sq-AL"/>
        </w:rPr>
        <w:t>Një moment</w:t>
      </w:r>
      <w:r w:rsidR="00AA4DD2" w:rsidRPr="00010E6E">
        <w:rPr>
          <w:lang w:val="sq-AL"/>
        </w:rPr>
        <w:t xml:space="preserve"> tjetër</w:t>
      </w:r>
      <w:r w:rsidRPr="00010E6E">
        <w:rPr>
          <w:lang w:val="sq-AL"/>
        </w:rPr>
        <w:t xml:space="preserve"> i rëndësishëm i projektligjit është dhe krijimi i hapësirave për emetim kartash </w:t>
      </w:r>
      <w:r w:rsidR="00433DCF" w:rsidRPr="00010E6E">
        <w:rPr>
          <w:lang w:val="sq-AL"/>
        </w:rPr>
        <w:t>e</w:t>
      </w:r>
      <w:r w:rsidRPr="00010E6E">
        <w:rPr>
          <w:lang w:val="sq-AL"/>
        </w:rPr>
        <w:t xml:space="preserve">dhe nga institucionet e pagesave. </w:t>
      </w:r>
      <w:r w:rsidR="003C06F6">
        <w:rPr>
          <w:lang w:val="sq-AL"/>
        </w:rPr>
        <w:t>E</w:t>
      </w:r>
      <w:r w:rsidRPr="00010E6E">
        <w:rPr>
          <w:lang w:val="sq-AL"/>
        </w:rPr>
        <w:t>metimi i kartave ka qenë një ekskluzivitet i institucioneve bankare jo vetëm në tregun shqiptar</w:t>
      </w:r>
      <w:r w:rsidR="003C06F6">
        <w:rPr>
          <w:lang w:val="sq-AL"/>
        </w:rPr>
        <w:t>,</w:t>
      </w:r>
      <w:r w:rsidRPr="00010E6E">
        <w:rPr>
          <w:lang w:val="sq-AL"/>
        </w:rPr>
        <w:t xml:space="preserve"> por dhe më gjerë. </w:t>
      </w:r>
      <w:r w:rsidR="003C06F6">
        <w:rPr>
          <w:lang w:val="sq-AL"/>
        </w:rPr>
        <w:t>D</w:t>
      </w:r>
      <w:r w:rsidRPr="00010E6E">
        <w:rPr>
          <w:lang w:val="sq-AL"/>
        </w:rPr>
        <w:t xml:space="preserve">uke konsideruar </w:t>
      </w:r>
      <w:r w:rsidRPr="00010E6E">
        <w:rPr>
          <w:lang w:val="sq-AL"/>
        </w:rPr>
        <w:lastRenderedPageBreak/>
        <w:t>zhvillimet e fundit</w:t>
      </w:r>
      <w:r w:rsidR="00433DCF" w:rsidRPr="00010E6E">
        <w:rPr>
          <w:lang w:val="sq-AL"/>
        </w:rPr>
        <w:t>,</w:t>
      </w:r>
      <w:r w:rsidRPr="00010E6E">
        <w:rPr>
          <w:lang w:val="sq-AL"/>
        </w:rPr>
        <w:t xml:space="preserve"> zgjerimi i aktorëve në treg do </w:t>
      </w:r>
      <w:r w:rsidR="003C06F6">
        <w:rPr>
          <w:lang w:val="sq-AL"/>
        </w:rPr>
        <w:t xml:space="preserve">të </w:t>
      </w:r>
      <w:r w:rsidRPr="00010E6E">
        <w:rPr>
          <w:lang w:val="sq-AL"/>
        </w:rPr>
        <w:t xml:space="preserve">mundësojë nxitjen e konkurrencës dhe si rrjedhojë rritjen e efikasitetit të shërbimeve të ofruara. </w:t>
      </w:r>
      <w:r w:rsidR="00A64927">
        <w:rPr>
          <w:lang w:val="sq-AL"/>
        </w:rPr>
        <w:t>M</w:t>
      </w:r>
      <w:r w:rsidRPr="00010E6E">
        <w:rPr>
          <w:lang w:val="sq-AL"/>
        </w:rPr>
        <w:t>e qëllim</w:t>
      </w:r>
      <w:r w:rsidRPr="00010E6E">
        <w:rPr>
          <w:lang w:val="sq-AL" w:eastAsia="ja-JP"/>
        </w:rPr>
        <w:t xml:space="preserve"> </w:t>
      </w:r>
      <w:r w:rsidRPr="00010E6E">
        <w:rPr>
          <w:lang w:val="sq-AL"/>
        </w:rPr>
        <w:t>mbështetjen e përdorimit të kartave, si një nga instrumentet më të përdorura në përditshmërinë e qytetarëve, është krijuar funksioni i ofruesit të shërbimit të pagesës për shërbimin e llogarisë, i cili lehtëson zbatimin e mënyrave dhe kanaleve të reja inovative të pagesave</w:t>
      </w:r>
      <w:r w:rsidR="00410D1E" w:rsidRPr="00010E6E">
        <w:rPr>
          <w:lang w:val="sq-AL"/>
        </w:rPr>
        <w:t xml:space="preserve"> duke mundësuar emetimin e kartave edhe nga ofrues shërmbimesh </w:t>
      </w:r>
      <w:r w:rsidR="00765FF6" w:rsidRPr="00010E6E">
        <w:rPr>
          <w:lang w:val="sq-AL"/>
        </w:rPr>
        <w:t>të pagesave</w:t>
      </w:r>
      <w:r w:rsidR="003C06F6">
        <w:rPr>
          <w:lang w:val="sq-AL"/>
        </w:rPr>
        <w:t>,</w:t>
      </w:r>
      <w:r w:rsidR="00765FF6" w:rsidRPr="00010E6E">
        <w:rPr>
          <w:lang w:val="sq-AL"/>
        </w:rPr>
        <w:t xml:space="preserve"> të cilët nuk zotërojnë llogaritë e klient</w:t>
      </w:r>
      <w:r w:rsidR="00234907" w:rsidRPr="00010E6E">
        <w:rPr>
          <w:lang w:val="sq-AL"/>
        </w:rPr>
        <w:t>ëve (neni 58).</w:t>
      </w:r>
    </w:p>
    <w:p w14:paraId="222F78C1" w14:textId="77777777" w:rsidR="00F52F6A" w:rsidRPr="00010E6E" w:rsidRDefault="00F52F6A" w:rsidP="0002198C">
      <w:pPr>
        <w:jc w:val="both"/>
        <w:rPr>
          <w:lang w:val="sq-AL"/>
        </w:rPr>
      </w:pPr>
    </w:p>
    <w:p w14:paraId="12383DD0" w14:textId="29420084" w:rsidR="00F52F6A" w:rsidRPr="00010E6E" w:rsidRDefault="00F52F6A" w:rsidP="00F52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sq-AL"/>
        </w:rPr>
      </w:pPr>
      <w:r w:rsidRPr="00010E6E">
        <w:rPr>
          <w:lang w:val="sq-AL"/>
        </w:rPr>
        <w:t>Vlen të shpjegohet se përdorimi i kartës ose instrumentit të pagesave të bazuara në kartë</w:t>
      </w:r>
      <w:r w:rsidRPr="00010E6E">
        <w:rPr>
          <w:rStyle w:val="FootnoteReference"/>
          <w:lang w:val="sq-AL"/>
        </w:rPr>
        <w:footnoteReference w:id="4"/>
      </w:r>
      <w:r w:rsidRPr="00010E6E">
        <w:rPr>
          <w:lang w:val="sq-AL"/>
        </w:rPr>
        <w:t xml:space="preserve"> për të bërë një pagesë</w:t>
      </w:r>
      <w:r w:rsidR="0041304D">
        <w:rPr>
          <w:lang w:val="sq-AL"/>
        </w:rPr>
        <w:t>,</w:t>
      </w:r>
      <w:r w:rsidRPr="00010E6E">
        <w:rPr>
          <w:lang w:val="sq-AL"/>
        </w:rPr>
        <w:t xml:space="preserve"> bazohet në gjenerimin e një mesazhi që konfirmon disponueshmërinë e fondeve dhe </w:t>
      </w:r>
      <w:r w:rsidR="00A24A69">
        <w:rPr>
          <w:lang w:val="sq-AL"/>
        </w:rPr>
        <w:t xml:space="preserve">në </w:t>
      </w:r>
      <w:r w:rsidRPr="00010E6E">
        <w:rPr>
          <w:lang w:val="sq-AL"/>
        </w:rPr>
        <w:t xml:space="preserve">dy transaksione pagesash. Transaksioni i parë zhvillohet ndërmjet emetuesit dhe ofruesit të shërbimit të pagesës për shërbimin e llogarisë, ndërsa i dyti, zakonisht një debitim direkt, kryhet ndërmjet ofruesve të shërbimeve të pagesave për shërbimin e llogarive të paguesit dhe emetuesit. Të dy këto lloje transaksionesh sipas projektligjit duhet të trajtohen në të njëjtën mënyrë si çdo transaksion tjetër ekuivalent. Ofruesit e shërbimeve të pagesave që emetojnë instrumente të pagesave të bazuara në kartë duhet të gëzojnë të njëjtat të drejta dhe i nënshtrohen të njëjtave detyrime, pavarësisht nëse janë ose nuk janë ofruesit e shërbimit të pagesës mbi shërbimin e llogarisë të paguesit, veçanërisht në aspektin e përgjegjësisë dhe detyrimeve ndaj aktorëve të ndryshëm në zinxhirin e pagesave. Megjithatë, në projektligj, duke ndjekur parashikimin e direktivës </w:t>
      </w:r>
      <w:r w:rsidR="009519FF">
        <w:rPr>
          <w:lang w:val="sq-AL"/>
        </w:rPr>
        <w:t>p</w:t>
      </w:r>
      <w:r w:rsidRPr="00010E6E">
        <w:rPr>
          <w:lang w:val="sq-AL"/>
        </w:rPr>
        <w:t>ë</w:t>
      </w:r>
      <w:r w:rsidR="009519FF">
        <w:rPr>
          <w:lang w:val="sq-AL"/>
        </w:rPr>
        <w:t xml:space="preserve">r </w:t>
      </w:r>
      <w:r w:rsidRPr="00010E6E">
        <w:rPr>
          <w:lang w:val="sq-AL"/>
        </w:rPr>
        <w:t xml:space="preserve">këtë çështje, detyrimet e ofruesve të shërbimeve </w:t>
      </w:r>
      <w:r w:rsidR="00B20875">
        <w:rPr>
          <w:lang w:val="sq-AL"/>
        </w:rPr>
        <w:t>kufiz</w:t>
      </w:r>
      <w:r w:rsidRPr="00010E6E">
        <w:rPr>
          <w:lang w:val="sq-AL"/>
        </w:rPr>
        <w:t>ohen vetëm në rastet kur llogaritë janë të aksesueshme nga interneti.</w:t>
      </w:r>
    </w:p>
    <w:p w14:paraId="5280025B" w14:textId="77777777" w:rsidR="00234907" w:rsidRPr="00010E6E" w:rsidRDefault="00234907" w:rsidP="0002198C">
      <w:pPr>
        <w:jc w:val="both"/>
        <w:rPr>
          <w:lang w:val="sq-AL"/>
        </w:rPr>
      </w:pPr>
    </w:p>
    <w:p w14:paraId="13E74A62" w14:textId="36BDC0B5" w:rsidR="00234907" w:rsidRPr="00010E6E" w:rsidRDefault="00234907" w:rsidP="008A31F1">
      <w:pPr>
        <w:widowControl w:val="0"/>
        <w:jc w:val="both"/>
        <w:rPr>
          <w:lang w:val="sq-AL"/>
        </w:rPr>
      </w:pPr>
      <w:r w:rsidRPr="00010E6E">
        <w:rPr>
          <w:lang w:val="sq-AL"/>
        </w:rPr>
        <w:t>Në të njëjtën</w:t>
      </w:r>
      <w:r w:rsidR="00072707" w:rsidRPr="00010E6E">
        <w:rPr>
          <w:lang w:val="sq-AL"/>
        </w:rPr>
        <w:t xml:space="preserve"> linjë, </w:t>
      </w:r>
      <w:r w:rsidR="00864364" w:rsidRPr="00010E6E">
        <w:rPr>
          <w:lang w:val="sq-AL"/>
        </w:rPr>
        <w:t>neni 59 r</w:t>
      </w:r>
      <w:r w:rsidR="00072707" w:rsidRPr="00010E6E">
        <w:rPr>
          <w:lang w:val="sq-AL"/>
        </w:rPr>
        <w:t>regullon</w:t>
      </w:r>
      <w:r w:rsidR="00864364" w:rsidRPr="00010E6E">
        <w:rPr>
          <w:lang w:val="sq-AL"/>
        </w:rPr>
        <w:t xml:space="preserve"> aksesin në llogarinë e pagesës </w:t>
      </w:r>
      <w:r w:rsidR="00072707" w:rsidRPr="00010E6E">
        <w:rPr>
          <w:lang w:val="sq-AL"/>
        </w:rPr>
        <w:t>nga ofruesi i</w:t>
      </w:r>
      <w:r w:rsidR="00864364" w:rsidRPr="00010E6E">
        <w:rPr>
          <w:lang w:val="sq-AL"/>
        </w:rPr>
        <w:t xml:space="preserve"> shërbimeve të inicimit të pagesës me qëllim realizimin e pagesave</w:t>
      </w:r>
      <w:r w:rsidR="00E10D71" w:rsidRPr="00010E6E">
        <w:rPr>
          <w:lang w:val="sq-AL"/>
        </w:rPr>
        <w:t xml:space="preserve"> nëpërmjet</w:t>
      </w:r>
      <w:r w:rsidR="00E44BBE" w:rsidRPr="00010E6E">
        <w:rPr>
          <w:lang w:val="sq-AL"/>
        </w:rPr>
        <w:t xml:space="preserve"> </w:t>
      </w:r>
      <w:r w:rsidR="00B20875">
        <w:rPr>
          <w:lang w:val="sq-AL"/>
        </w:rPr>
        <w:t xml:space="preserve">një </w:t>
      </w:r>
      <w:r w:rsidR="00E44BBE" w:rsidRPr="00010E6E">
        <w:rPr>
          <w:lang w:val="sq-AL"/>
        </w:rPr>
        <w:t>transferte krediti elektronike</w:t>
      </w:r>
      <w:r w:rsidR="00072707" w:rsidRPr="00010E6E">
        <w:rPr>
          <w:lang w:val="sq-AL"/>
        </w:rPr>
        <w:t xml:space="preserve">. Rregullimi </w:t>
      </w:r>
      <w:r w:rsidR="00E10D71" w:rsidRPr="00010E6E">
        <w:rPr>
          <w:lang w:val="sq-AL"/>
        </w:rPr>
        <w:t>i aksesimit të informacioni</w:t>
      </w:r>
      <w:r w:rsidR="00B20875">
        <w:rPr>
          <w:lang w:val="sq-AL"/>
        </w:rPr>
        <w:t>t</w:t>
      </w:r>
      <w:r w:rsidR="00E10D71" w:rsidRPr="00010E6E">
        <w:rPr>
          <w:lang w:val="sq-AL"/>
        </w:rPr>
        <w:t xml:space="preserve"> </w:t>
      </w:r>
      <w:r w:rsidR="009519FF">
        <w:rPr>
          <w:lang w:val="sq-AL"/>
        </w:rPr>
        <w:t>mbi</w:t>
      </w:r>
      <w:r w:rsidR="00E10D71" w:rsidRPr="00010E6E">
        <w:rPr>
          <w:lang w:val="sq-AL"/>
        </w:rPr>
        <w:t xml:space="preserve"> disponueshmërinë e fondeve për këtë qëllim</w:t>
      </w:r>
      <w:r w:rsidR="00CD5F15">
        <w:rPr>
          <w:lang w:val="sq-AL"/>
        </w:rPr>
        <w:t>,</w:t>
      </w:r>
      <w:r w:rsidR="00E10D71" w:rsidRPr="00010E6E">
        <w:rPr>
          <w:lang w:val="sq-AL"/>
        </w:rPr>
        <w:t xml:space="preserve"> në mënyrë të </w:t>
      </w:r>
      <w:r w:rsidR="00E44BBE" w:rsidRPr="00010E6E">
        <w:rPr>
          <w:lang w:val="sq-AL"/>
        </w:rPr>
        <w:t>sigurt ndihmon në realiz</w:t>
      </w:r>
      <w:r w:rsidR="00B20875">
        <w:rPr>
          <w:lang w:val="sq-AL"/>
        </w:rPr>
        <w:t>i</w:t>
      </w:r>
      <w:r w:rsidR="00E44BBE" w:rsidRPr="00010E6E">
        <w:rPr>
          <w:lang w:val="sq-AL"/>
        </w:rPr>
        <w:t>min e këtyre pagesave për realizimin e tregtisë elektronike jo vetëm nëpërmjet kartave</w:t>
      </w:r>
      <w:r w:rsidR="00CD5F15">
        <w:rPr>
          <w:lang w:val="sq-AL"/>
        </w:rPr>
        <w:t>,</w:t>
      </w:r>
      <w:r w:rsidR="00E44BBE" w:rsidRPr="00010E6E">
        <w:rPr>
          <w:lang w:val="sq-AL"/>
        </w:rPr>
        <w:t xml:space="preserve"> por edhe transfertave </w:t>
      </w:r>
      <w:r w:rsidR="00B75EA6" w:rsidRPr="00010E6E">
        <w:rPr>
          <w:lang w:val="sq-AL"/>
        </w:rPr>
        <w:t>elektronike</w:t>
      </w:r>
      <w:r w:rsidR="00CD5F15">
        <w:rPr>
          <w:lang w:val="sq-AL"/>
        </w:rPr>
        <w:t>,</w:t>
      </w:r>
      <w:r w:rsidR="00B75EA6" w:rsidRPr="00010E6E">
        <w:rPr>
          <w:lang w:val="sq-AL"/>
        </w:rPr>
        <w:t xml:space="preserve"> duke nxitur kështu për</w:t>
      </w:r>
      <w:r w:rsidR="0041304D">
        <w:rPr>
          <w:lang w:val="sq-AL"/>
        </w:rPr>
        <w:t>d</w:t>
      </w:r>
      <w:r w:rsidR="00B75EA6" w:rsidRPr="00010E6E">
        <w:rPr>
          <w:lang w:val="sq-AL"/>
        </w:rPr>
        <w:t xml:space="preserve">orimin e instrumenteve </w:t>
      </w:r>
      <w:r w:rsidR="0041304D" w:rsidRPr="00010E6E">
        <w:rPr>
          <w:lang w:val="sq-AL"/>
        </w:rPr>
        <w:t>elekt</w:t>
      </w:r>
      <w:r w:rsidR="0041304D">
        <w:rPr>
          <w:lang w:val="sq-AL"/>
        </w:rPr>
        <w:t>ro</w:t>
      </w:r>
      <w:r w:rsidR="0041304D" w:rsidRPr="00010E6E">
        <w:rPr>
          <w:lang w:val="sq-AL"/>
        </w:rPr>
        <w:t xml:space="preserve">nike </w:t>
      </w:r>
      <w:r w:rsidR="00B75EA6" w:rsidRPr="00010E6E">
        <w:rPr>
          <w:lang w:val="sq-AL"/>
        </w:rPr>
        <w:t xml:space="preserve">në ekonominë vendase dhe </w:t>
      </w:r>
      <w:r w:rsidR="0041304D">
        <w:rPr>
          <w:lang w:val="sq-AL"/>
        </w:rPr>
        <w:t>si</w:t>
      </w:r>
      <w:r w:rsidR="0041304D" w:rsidRPr="00010E6E">
        <w:rPr>
          <w:lang w:val="sq-AL"/>
        </w:rPr>
        <w:t xml:space="preserve"> </w:t>
      </w:r>
      <w:r w:rsidR="00B75EA6" w:rsidRPr="00010E6E">
        <w:rPr>
          <w:lang w:val="sq-AL"/>
        </w:rPr>
        <w:t>rrjed</w:t>
      </w:r>
      <w:r w:rsidR="0041304D">
        <w:rPr>
          <w:lang w:val="sq-AL"/>
        </w:rPr>
        <w:t>h</w:t>
      </w:r>
      <w:r w:rsidR="00B75EA6" w:rsidRPr="00010E6E">
        <w:rPr>
          <w:lang w:val="sq-AL"/>
        </w:rPr>
        <w:t xml:space="preserve">ojë reduktimin e </w:t>
      </w:r>
      <w:r w:rsidR="00B75EA6" w:rsidRPr="00010E6E">
        <w:rPr>
          <w:i/>
          <w:lang w:val="sq-AL"/>
        </w:rPr>
        <w:t>cash</w:t>
      </w:r>
      <w:r w:rsidR="00B75EA6" w:rsidRPr="00010E6E">
        <w:rPr>
          <w:lang w:val="sq-AL"/>
        </w:rPr>
        <w:t>-it, i cili mbart kosto për aktorët e përfshirë në transaksion</w:t>
      </w:r>
      <w:r w:rsidR="00CD5F15">
        <w:rPr>
          <w:lang w:val="sq-AL"/>
        </w:rPr>
        <w:t>,</w:t>
      </w:r>
      <w:r w:rsidR="00B75EA6" w:rsidRPr="00010E6E">
        <w:rPr>
          <w:lang w:val="sq-AL"/>
        </w:rPr>
        <w:t xml:space="preserve"> por njëkohësisht </w:t>
      </w:r>
      <w:r w:rsidR="003E165C" w:rsidRPr="00010E6E">
        <w:rPr>
          <w:lang w:val="sq-AL"/>
        </w:rPr>
        <w:t xml:space="preserve">mund të stimulojë informalitetin. </w:t>
      </w:r>
    </w:p>
    <w:p w14:paraId="2B1D459A" w14:textId="77777777" w:rsidR="0043663E" w:rsidRPr="00010E6E" w:rsidRDefault="0043663E" w:rsidP="008A31F1">
      <w:pPr>
        <w:widowControl w:val="0"/>
        <w:jc w:val="both"/>
        <w:rPr>
          <w:lang w:val="sq-AL"/>
        </w:rPr>
      </w:pPr>
    </w:p>
    <w:p w14:paraId="1D040109" w14:textId="67531EC8" w:rsidR="007006BF" w:rsidRPr="00010E6E" w:rsidRDefault="0043663E" w:rsidP="008A31F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val="sq-AL"/>
        </w:rPr>
      </w:pPr>
      <w:r w:rsidRPr="00CE5411">
        <w:rPr>
          <w:lang w:val="sq-AL"/>
        </w:rPr>
        <w:t>Së fundi, neni 60 rregull</w:t>
      </w:r>
      <w:r w:rsidR="006C3A5E" w:rsidRPr="00CE5411">
        <w:rPr>
          <w:lang w:val="sq-AL"/>
        </w:rPr>
        <w:t xml:space="preserve">on aksesimin </w:t>
      </w:r>
      <w:r w:rsidR="00CE5411" w:rsidRPr="00CE5411">
        <w:rPr>
          <w:lang w:val="sq-AL"/>
        </w:rPr>
        <w:t xml:space="preserve">dhe </w:t>
      </w:r>
      <w:r w:rsidR="006C3A5E" w:rsidRPr="00CE5411">
        <w:rPr>
          <w:lang w:val="sq-AL"/>
        </w:rPr>
        <w:t xml:space="preserve"> </w:t>
      </w:r>
      <w:r w:rsidRPr="00CE5411">
        <w:rPr>
          <w:lang w:val="sq-AL"/>
        </w:rPr>
        <w:t>përdorimin e informacionit mbi llogarinë e pagesës në rastin e shërbimit të informimit të llogarisë</w:t>
      </w:r>
      <w:r w:rsidR="006C3A5E" w:rsidRPr="00CE5411">
        <w:rPr>
          <w:lang w:val="sq-AL"/>
        </w:rPr>
        <w:t xml:space="preserve"> </w:t>
      </w:r>
      <w:r w:rsidR="00626CAC">
        <w:rPr>
          <w:lang w:val="sq-AL"/>
        </w:rPr>
        <w:t>d</w:t>
      </w:r>
      <w:r w:rsidR="007006BF" w:rsidRPr="00CE5411">
        <w:rPr>
          <w:rFonts w:eastAsia="Times New Roman"/>
          <w:lang w:val="sq-AL"/>
        </w:rPr>
        <w:t>u</w:t>
      </w:r>
      <w:r w:rsidR="00626CAC">
        <w:rPr>
          <w:rFonts w:eastAsia="Times New Roman"/>
          <w:lang w:val="sq-AL"/>
        </w:rPr>
        <w:t>ke u</w:t>
      </w:r>
      <w:r w:rsidR="007006BF" w:rsidRPr="00CE5411">
        <w:rPr>
          <w:rFonts w:eastAsia="Times New Roman"/>
          <w:lang w:val="sq-AL"/>
        </w:rPr>
        <w:t xml:space="preserve"> </w:t>
      </w:r>
      <w:r w:rsidR="00626CAC" w:rsidRPr="00CE5411">
        <w:rPr>
          <w:rFonts w:eastAsia="Times New Roman"/>
          <w:lang w:val="sq-AL"/>
        </w:rPr>
        <w:t>mundës</w:t>
      </w:r>
      <w:r w:rsidR="00626CAC">
        <w:rPr>
          <w:rFonts w:eastAsia="Times New Roman"/>
          <w:lang w:val="sq-AL"/>
        </w:rPr>
        <w:t xml:space="preserve">uar </w:t>
      </w:r>
      <w:r w:rsidR="007006BF" w:rsidRPr="00CE5411">
        <w:rPr>
          <w:rFonts w:eastAsia="Times New Roman"/>
          <w:lang w:val="sq-AL"/>
        </w:rPr>
        <w:t xml:space="preserve">konsumatorëve </w:t>
      </w:r>
      <w:r w:rsidR="007006BF" w:rsidRPr="00CE5411">
        <w:rPr>
          <w:rFonts w:eastAsia="Times New Roman"/>
          <w:lang w:val="sq-AL"/>
        </w:rPr>
        <w:lastRenderedPageBreak/>
        <w:t xml:space="preserve">dhe bizneseve të kenë një pamje </w:t>
      </w:r>
      <w:r w:rsidR="00F66BD9">
        <w:rPr>
          <w:rFonts w:eastAsia="Times New Roman"/>
          <w:lang w:val="sq-AL"/>
        </w:rPr>
        <w:t>të</w:t>
      </w:r>
      <w:r w:rsidR="00EC0ED3">
        <w:rPr>
          <w:rFonts w:eastAsia="Times New Roman"/>
          <w:lang w:val="sq-AL"/>
        </w:rPr>
        <w:t xml:space="preserve"> përgjithshme </w:t>
      </w:r>
      <w:r w:rsidR="007006BF" w:rsidRPr="00CE5411">
        <w:rPr>
          <w:rFonts w:eastAsia="Times New Roman"/>
          <w:lang w:val="sq-AL"/>
        </w:rPr>
        <w:t xml:space="preserve">mbi gjendjen e tyre financiare, për shembull, duke u mundësuar konsumatorëve të </w:t>
      </w:r>
      <w:r w:rsidR="004B591C">
        <w:rPr>
          <w:rFonts w:eastAsia="Times New Roman"/>
          <w:lang w:val="sq-AL"/>
        </w:rPr>
        <w:t>shik</w:t>
      </w:r>
      <w:r w:rsidR="004B591C" w:rsidRPr="00CE5411">
        <w:rPr>
          <w:rFonts w:eastAsia="Times New Roman"/>
          <w:lang w:val="sq-AL"/>
        </w:rPr>
        <w:t xml:space="preserve">ojnë </w:t>
      </w:r>
      <w:r w:rsidR="007006BF" w:rsidRPr="00CE5411">
        <w:rPr>
          <w:rFonts w:eastAsia="Times New Roman"/>
          <w:lang w:val="sq-AL"/>
        </w:rPr>
        <w:t xml:space="preserve">llogaritë e ndryshme që mund të kenë me një ose më shumë banka </w:t>
      </w:r>
      <w:r w:rsidR="004B591C">
        <w:rPr>
          <w:rFonts w:eastAsia="Times New Roman"/>
          <w:lang w:val="sq-AL"/>
        </w:rPr>
        <w:t xml:space="preserve">në një vend të vetëm </w:t>
      </w:r>
      <w:r w:rsidR="007006BF" w:rsidRPr="00CE5411">
        <w:rPr>
          <w:rFonts w:eastAsia="Times New Roman"/>
          <w:lang w:val="sq-AL"/>
        </w:rPr>
        <w:t xml:space="preserve">dhe të kategorizojnë shpenzimet e tyre sipas tipologjive të ndryshme (ushqim, energji, qira, kohë </w:t>
      </w:r>
      <w:r w:rsidR="00CD5F15" w:rsidRPr="00CE5411">
        <w:rPr>
          <w:rFonts w:eastAsia="Times New Roman"/>
          <w:lang w:val="sq-AL"/>
        </w:rPr>
        <w:t xml:space="preserve">e </w:t>
      </w:r>
      <w:r w:rsidR="007006BF" w:rsidRPr="00CE5411">
        <w:rPr>
          <w:rFonts w:eastAsia="Times New Roman"/>
          <w:lang w:val="sq-AL"/>
        </w:rPr>
        <w:t>lirë etj.), duke i ndihmuar kështu</w:t>
      </w:r>
      <w:r w:rsidR="007006BF" w:rsidRPr="00010E6E">
        <w:rPr>
          <w:rFonts w:eastAsia="Times New Roman"/>
          <w:lang w:val="sq-AL"/>
        </w:rPr>
        <w:t xml:space="preserve"> në buxhetimin dhe planifikimin financiar.</w:t>
      </w:r>
    </w:p>
    <w:p w14:paraId="0249666A" w14:textId="77777777" w:rsidR="0002198C" w:rsidRPr="00010E6E" w:rsidRDefault="0002198C" w:rsidP="0043663E">
      <w:pPr>
        <w:jc w:val="both"/>
        <w:rPr>
          <w:lang w:val="sq-AL"/>
        </w:rPr>
      </w:pPr>
    </w:p>
    <w:p w14:paraId="54EAA39C" w14:textId="0316A50C" w:rsidR="003844B1" w:rsidRPr="00010E6E" w:rsidRDefault="003844B1" w:rsidP="00E46E7D">
      <w:pPr>
        <w:tabs>
          <w:tab w:val="left" w:pos="0"/>
        </w:tabs>
        <w:spacing w:after="200"/>
        <w:jc w:val="both"/>
        <w:rPr>
          <w:lang w:val="sq-AL"/>
        </w:rPr>
      </w:pPr>
      <w:r w:rsidRPr="00010E6E">
        <w:rPr>
          <w:lang w:val="sq-AL"/>
        </w:rPr>
        <w:t xml:space="preserve">Neni 61, me qëllim rregullimin e mëtejshëm </w:t>
      </w:r>
      <w:r w:rsidR="00E212A9">
        <w:rPr>
          <w:lang w:val="sq-AL"/>
        </w:rPr>
        <w:t>të</w:t>
      </w:r>
      <w:r w:rsidR="00E212A9" w:rsidRPr="00010E6E">
        <w:rPr>
          <w:lang w:val="sq-AL"/>
        </w:rPr>
        <w:t xml:space="preserve"> </w:t>
      </w:r>
      <w:r w:rsidRPr="00010E6E">
        <w:rPr>
          <w:lang w:val="sq-AL"/>
        </w:rPr>
        <w:t>aksesi</w:t>
      </w:r>
      <w:r w:rsidR="00E212A9">
        <w:rPr>
          <w:lang w:val="sq-AL"/>
        </w:rPr>
        <w:t>t të</w:t>
      </w:r>
      <w:r w:rsidRPr="00010E6E">
        <w:rPr>
          <w:lang w:val="sq-AL"/>
        </w:rPr>
        <w:t xml:space="preserve"> gar</w:t>
      </w:r>
      <w:r w:rsidR="00E212A9">
        <w:rPr>
          <w:lang w:val="sq-AL"/>
        </w:rPr>
        <w:t>a</w:t>
      </w:r>
      <w:r w:rsidRPr="00010E6E">
        <w:rPr>
          <w:lang w:val="sq-AL"/>
        </w:rPr>
        <w:t xml:space="preserve">ntuar </w:t>
      </w:r>
      <w:r w:rsidR="00E212A9">
        <w:rPr>
          <w:lang w:val="sq-AL"/>
        </w:rPr>
        <w:t>për</w:t>
      </w:r>
      <w:r w:rsidRPr="00010E6E">
        <w:rPr>
          <w:lang w:val="sq-AL"/>
        </w:rPr>
        <w:t xml:space="preserve"> emetimin e kartave</w:t>
      </w:r>
      <w:r w:rsidR="007D1266" w:rsidRPr="00010E6E">
        <w:rPr>
          <w:lang w:val="sq-AL"/>
        </w:rPr>
        <w:t xml:space="preserve"> nga një ofrues i shërbimeve të pagesave i cili nuk zotëron llogarin</w:t>
      </w:r>
      <w:r w:rsidR="00E212A9">
        <w:rPr>
          <w:lang w:val="sq-AL"/>
        </w:rPr>
        <w:t>ë</w:t>
      </w:r>
      <w:r w:rsidR="007D1266" w:rsidRPr="00010E6E">
        <w:rPr>
          <w:lang w:val="sq-AL"/>
        </w:rPr>
        <w:t xml:space="preserve"> e përdoruesit (neni 58), ini</w:t>
      </w:r>
      <w:r w:rsidR="00B1664F" w:rsidRPr="00010E6E">
        <w:rPr>
          <w:lang w:val="sq-AL"/>
        </w:rPr>
        <w:t>c</w:t>
      </w:r>
      <w:r w:rsidR="007D1266" w:rsidRPr="00010E6E">
        <w:rPr>
          <w:lang w:val="sq-AL"/>
        </w:rPr>
        <w:t>imi</w:t>
      </w:r>
      <w:r w:rsidR="00E212A9">
        <w:rPr>
          <w:lang w:val="sq-AL"/>
        </w:rPr>
        <w:t xml:space="preserve"> i</w:t>
      </w:r>
      <w:r w:rsidR="007D1266" w:rsidRPr="00010E6E">
        <w:rPr>
          <w:lang w:val="sq-AL"/>
        </w:rPr>
        <w:t xml:space="preserve"> pagesave</w:t>
      </w:r>
      <w:r w:rsidR="00B1664F" w:rsidRPr="00010E6E">
        <w:rPr>
          <w:lang w:val="sq-AL"/>
        </w:rPr>
        <w:t xml:space="preserve"> nga ofruesi i shërbimeve të inicimit të pagesës (neni 59) dhe </w:t>
      </w:r>
      <w:r w:rsidR="00E212A9">
        <w:rPr>
          <w:lang w:val="sq-AL"/>
        </w:rPr>
        <w:t>ofrimin</w:t>
      </w:r>
      <w:r w:rsidR="00E212A9" w:rsidRPr="00010E6E">
        <w:rPr>
          <w:lang w:val="sq-AL"/>
        </w:rPr>
        <w:t xml:space="preserve"> </w:t>
      </w:r>
      <w:r w:rsidR="00B1664F" w:rsidRPr="00010E6E">
        <w:rPr>
          <w:lang w:val="sq-AL"/>
        </w:rPr>
        <w:t>e shërbimit të informimit të llogarisë (neni 60)</w:t>
      </w:r>
      <w:r w:rsidR="00E212A9">
        <w:rPr>
          <w:lang w:val="sq-AL"/>
        </w:rPr>
        <w:t>,</w:t>
      </w:r>
      <w:r w:rsidR="00CF1405" w:rsidRPr="00010E6E">
        <w:rPr>
          <w:lang w:val="sq-AL"/>
        </w:rPr>
        <w:t xml:space="preserve"> krijon rregulla mbi k</w:t>
      </w:r>
      <w:r w:rsidRPr="00010E6E">
        <w:rPr>
          <w:lang w:val="sq-AL"/>
        </w:rPr>
        <w:t>ufijtë e përdorimit të instrumentit të pagesës dhe aksesit në llogaritë e pagesës nga ofruesi i shërbimeve të pagesave</w:t>
      </w:r>
      <w:r w:rsidR="00CF1405" w:rsidRPr="00010E6E">
        <w:rPr>
          <w:lang w:val="sq-AL"/>
        </w:rPr>
        <w:t>.</w:t>
      </w:r>
    </w:p>
    <w:p w14:paraId="48936CDE" w14:textId="14BADF0F" w:rsidR="0002198C" w:rsidRPr="00010E6E" w:rsidRDefault="0002198C" w:rsidP="0002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sq-AL"/>
        </w:rPr>
      </w:pPr>
      <w:r w:rsidRPr="00010E6E">
        <w:rPr>
          <w:lang w:val="sq-AL"/>
        </w:rPr>
        <w:t xml:space="preserve">Detyrimi për të siguruar kredencialet e personalizuara është i një rëndësie të veçantë për mbrojtjen e fondeve të përdoruesit të shërbimeve të pagesave dhe për të kufizuar rreziqet që lidhen me mashtrimin dhe aksesimin e paautorizuar në llogarinë e pagesave sipas nenit </w:t>
      </w:r>
      <w:r w:rsidR="00A164B0" w:rsidRPr="00010E6E">
        <w:rPr>
          <w:lang w:val="sq-AL"/>
        </w:rPr>
        <w:t xml:space="preserve">62 </w:t>
      </w:r>
      <w:r w:rsidRPr="00010E6E">
        <w:rPr>
          <w:lang w:val="sq-AL"/>
        </w:rPr>
        <w:t>të projektligjit. Megjithatë, termat dhe kushtet ose detyrimet e tjera të vendosura nga ofruesit e shërbimeve të pagesave për përdoruesit e shërbimeve të pagesave në lidhje me ruajtjen e kredencialeve të personalizuara të sigurisë nuk duhet në asnjë mënyrë të pengojnë përdoruesit e shërbimeve të pagesave të përfitojnë nga shërbimet e ofruara nga ofruesit e shërbimeve të pagesave, si për shembull nga ofruesit e shërbimit të inicimit të pagesës dhe ofruesit e shërbimit të informimit të llogarisë, ose mosekzekutimin e një pagese të autorizuar</w:t>
      </w:r>
      <w:r w:rsidR="0013421D" w:rsidRPr="00010E6E">
        <w:rPr>
          <w:lang w:val="sq-AL"/>
        </w:rPr>
        <w:t xml:space="preserve"> </w:t>
      </w:r>
      <w:r w:rsidRPr="00010E6E">
        <w:rPr>
          <w:lang w:val="sq-AL"/>
        </w:rPr>
        <w:t>(neni 6</w:t>
      </w:r>
      <w:r w:rsidR="007F709C" w:rsidRPr="00010E6E">
        <w:rPr>
          <w:lang w:val="sq-AL"/>
        </w:rPr>
        <w:t>3</w:t>
      </w:r>
      <w:r w:rsidRPr="00010E6E">
        <w:rPr>
          <w:lang w:val="sq-AL"/>
        </w:rPr>
        <w:t xml:space="preserve">). </w:t>
      </w:r>
    </w:p>
    <w:p w14:paraId="5AC45F48" w14:textId="77777777" w:rsidR="0002198C" w:rsidRPr="00010E6E" w:rsidRDefault="0002198C" w:rsidP="0002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sq-AL"/>
        </w:rPr>
      </w:pPr>
    </w:p>
    <w:p w14:paraId="3A8836CE" w14:textId="600C0F53" w:rsidR="0002198C" w:rsidRPr="00010E6E" w:rsidRDefault="0002198C" w:rsidP="0002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sq-AL"/>
        </w:rPr>
      </w:pPr>
      <w:r w:rsidRPr="00010E6E">
        <w:rPr>
          <w:lang w:val="sq-AL"/>
        </w:rPr>
        <w:t xml:space="preserve">Sipas nenit </w:t>
      </w:r>
      <w:r w:rsidR="00945EFB" w:rsidRPr="00010E6E">
        <w:rPr>
          <w:lang w:val="sq-AL"/>
        </w:rPr>
        <w:t>64</w:t>
      </w:r>
      <w:r w:rsidRPr="00010E6E">
        <w:rPr>
          <w:lang w:val="sq-AL"/>
        </w:rPr>
        <w:t>, për të zvogëluar rreziqet dhe pasojat e transaksioneve të pagesave të paautorizuara ose të kryera në mënyrë të gabuar, përdoruesi i shërbimeve të pagesave duhet të informojë ofruesin e shërbimeve të pagesave sa më shpejt që të jetë e mundur për çdo kundërshtim, me kusht që ofruesi i shërbimeve të pagesave të ketë përmbushur detyrimet e tij të informacionit të përcaktuar</w:t>
      </w:r>
      <w:r w:rsidR="009D743D">
        <w:rPr>
          <w:lang w:val="sq-AL"/>
        </w:rPr>
        <w:t>a</w:t>
      </w:r>
      <w:r w:rsidRPr="00010E6E">
        <w:rPr>
          <w:lang w:val="sq-AL"/>
        </w:rPr>
        <w:t xml:space="preserve"> në </w:t>
      </w:r>
      <w:r w:rsidR="007F709C" w:rsidRPr="00010E6E">
        <w:rPr>
          <w:lang w:val="sq-AL"/>
        </w:rPr>
        <w:t>titullin</w:t>
      </w:r>
      <w:r w:rsidRPr="00010E6E">
        <w:rPr>
          <w:lang w:val="sq-AL"/>
        </w:rPr>
        <w:t xml:space="preserve"> III të projektligjit. </w:t>
      </w:r>
    </w:p>
    <w:p w14:paraId="16AB5B06" w14:textId="77777777" w:rsidR="00FB68A4" w:rsidRPr="00010E6E" w:rsidRDefault="00FB68A4" w:rsidP="0002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sq-AL"/>
        </w:rPr>
      </w:pPr>
    </w:p>
    <w:p w14:paraId="46CFB505" w14:textId="49B4CAEE" w:rsidR="0002198C" w:rsidRPr="00010E6E" w:rsidRDefault="0002198C" w:rsidP="0002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sq-AL"/>
        </w:rPr>
      </w:pPr>
      <w:r w:rsidRPr="00010E6E">
        <w:rPr>
          <w:lang w:val="sq-AL"/>
        </w:rPr>
        <w:t xml:space="preserve">Në bazë të nenit </w:t>
      </w:r>
      <w:r w:rsidR="00945EFB" w:rsidRPr="00010E6E">
        <w:rPr>
          <w:lang w:val="sq-AL"/>
        </w:rPr>
        <w:t>65</w:t>
      </w:r>
      <w:r w:rsidRPr="00010E6E">
        <w:rPr>
          <w:lang w:val="sq-AL"/>
        </w:rPr>
        <w:t xml:space="preserve">, në rastin kur përdoruesi i shërbimeve të pagesave mohon të ketë autorizuar ekzekutimin e një transaksioni pagese ose pretendon se transaksioni i pagesës nuk është ekzekutuar në mënyrë korrekte, është detyrim i ofruesit të shërbimeve të pagesave dhe ndërmjetësve të përfshirë në transaksion për të vërtetuar të kundërtën. Gjithashtu, në projektligj parashikohet një ndarje proporcionale e detyrimeve midis ofruesve të ndryshëm të shërbimeve të përfshirë në procesimin e pagesës. </w:t>
      </w:r>
    </w:p>
    <w:p w14:paraId="2960515E" w14:textId="77777777" w:rsidR="0002198C" w:rsidRPr="00010E6E" w:rsidRDefault="0002198C" w:rsidP="0002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sq-AL"/>
        </w:rPr>
      </w:pPr>
    </w:p>
    <w:p w14:paraId="6F1E40BD" w14:textId="0D27A247" w:rsidR="0002198C" w:rsidRPr="00010E6E" w:rsidRDefault="0002198C" w:rsidP="0002198C">
      <w:pPr>
        <w:pStyle w:val="HTMLPreformatted"/>
        <w:jc w:val="both"/>
        <w:rPr>
          <w:rFonts w:ascii="Times New Roman" w:hAnsi="Times New Roman" w:cs="Times New Roman"/>
          <w:sz w:val="24"/>
          <w:szCs w:val="24"/>
          <w:lang w:val="sq-AL"/>
        </w:rPr>
      </w:pPr>
      <w:r w:rsidRPr="00010E6E">
        <w:rPr>
          <w:rFonts w:ascii="Times New Roman" w:hAnsi="Times New Roman" w:cs="Times New Roman"/>
          <w:sz w:val="24"/>
          <w:szCs w:val="24"/>
          <w:lang w:val="sq-AL"/>
        </w:rPr>
        <w:t xml:space="preserve">Në vijim, neni </w:t>
      </w:r>
      <w:r w:rsidR="004651E2" w:rsidRPr="00010E6E">
        <w:rPr>
          <w:rFonts w:ascii="Times New Roman" w:hAnsi="Times New Roman" w:cs="Times New Roman"/>
          <w:sz w:val="24"/>
          <w:szCs w:val="24"/>
          <w:lang w:val="sq-AL"/>
        </w:rPr>
        <w:t xml:space="preserve">66 </w:t>
      </w:r>
      <w:r w:rsidRPr="00010E6E">
        <w:rPr>
          <w:rFonts w:ascii="Times New Roman" w:hAnsi="Times New Roman" w:cs="Times New Roman"/>
          <w:sz w:val="24"/>
          <w:szCs w:val="24"/>
          <w:lang w:val="sq-AL"/>
        </w:rPr>
        <w:t xml:space="preserve">rregullon detyrimet </w:t>
      </w:r>
      <w:r w:rsidR="00B94808" w:rsidRPr="00010E6E">
        <w:rPr>
          <w:rFonts w:ascii="Times New Roman" w:hAnsi="Times New Roman" w:cs="Times New Roman"/>
          <w:sz w:val="24"/>
          <w:szCs w:val="24"/>
          <w:lang w:val="sq-AL"/>
        </w:rPr>
        <w:t xml:space="preserve">dhe përgjegjësitë </w:t>
      </w:r>
      <w:r w:rsidRPr="00010E6E">
        <w:rPr>
          <w:rFonts w:ascii="Times New Roman" w:hAnsi="Times New Roman" w:cs="Times New Roman"/>
          <w:sz w:val="24"/>
          <w:szCs w:val="24"/>
          <w:lang w:val="sq-AL"/>
        </w:rPr>
        <w:t>e ofruesit të shërbimeve të pagesave në rastin e transaksioneve të paautorizuar</w:t>
      </w:r>
      <w:r w:rsidR="009D743D">
        <w:rPr>
          <w:rFonts w:ascii="Times New Roman" w:hAnsi="Times New Roman" w:cs="Times New Roman"/>
          <w:sz w:val="24"/>
          <w:szCs w:val="24"/>
          <w:lang w:val="sq-AL"/>
        </w:rPr>
        <w:t>a</w:t>
      </w:r>
      <w:r w:rsidRPr="00010E6E">
        <w:rPr>
          <w:rFonts w:ascii="Times New Roman" w:hAnsi="Times New Roman" w:cs="Times New Roman"/>
          <w:sz w:val="24"/>
          <w:szCs w:val="24"/>
          <w:lang w:val="sq-AL"/>
        </w:rPr>
        <w:t>. Më konkretisht</w:t>
      </w:r>
      <w:r w:rsidR="009D743D">
        <w:rPr>
          <w:rFonts w:ascii="Times New Roman" w:hAnsi="Times New Roman" w:cs="Times New Roman"/>
          <w:sz w:val="24"/>
          <w:szCs w:val="24"/>
          <w:lang w:val="sq-AL"/>
        </w:rPr>
        <w:t>,</w:t>
      </w:r>
      <w:r w:rsidRPr="00010E6E">
        <w:rPr>
          <w:rFonts w:ascii="Times New Roman" w:hAnsi="Times New Roman" w:cs="Times New Roman"/>
          <w:sz w:val="24"/>
          <w:szCs w:val="24"/>
          <w:lang w:val="sq-AL"/>
        </w:rPr>
        <w:t xml:space="preserve"> ofruesi duhet të kthejë </w:t>
      </w:r>
      <w:r w:rsidR="00B94808" w:rsidRPr="00010E6E">
        <w:rPr>
          <w:rFonts w:ascii="Times New Roman" w:hAnsi="Times New Roman" w:cs="Times New Roman"/>
          <w:sz w:val="24"/>
          <w:szCs w:val="24"/>
          <w:lang w:val="sq-AL"/>
        </w:rPr>
        <w:t xml:space="preserve">menjëherë </w:t>
      </w:r>
      <w:r w:rsidRPr="00010E6E">
        <w:rPr>
          <w:rFonts w:ascii="Times New Roman" w:hAnsi="Times New Roman" w:cs="Times New Roman"/>
          <w:sz w:val="24"/>
          <w:szCs w:val="24"/>
          <w:lang w:val="sq-AL"/>
        </w:rPr>
        <w:t>shumën e transaksioni</w:t>
      </w:r>
      <w:r w:rsidR="009D743D">
        <w:rPr>
          <w:rFonts w:ascii="Times New Roman" w:hAnsi="Times New Roman" w:cs="Times New Roman"/>
          <w:sz w:val="24"/>
          <w:szCs w:val="24"/>
          <w:lang w:val="sq-AL"/>
        </w:rPr>
        <w:t>t</w:t>
      </w:r>
      <w:r w:rsidRPr="00010E6E">
        <w:rPr>
          <w:rFonts w:ascii="Times New Roman" w:hAnsi="Times New Roman" w:cs="Times New Roman"/>
          <w:sz w:val="24"/>
          <w:szCs w:val="24"/>
          <w:lang w:val="sq-AL"/>
        </w:rPr>
        <w:t xml:space="preserve"> tek paguesi</w:t>
      </w:r>
      <w:r w:rsidR="009D743D">
        <w:rPr>
          <w:rFonts w:ascii="Times New Roman" w:hAnsi="Times New Roman" w:cs="Times New Roman"/>
          <w:sz w:val="24"/>
          <w:szCs w:val="24"/>
          <w:lang w:val="sq-AL"/>
        </w:rPr>
        <w:t>,</w:t>
      </w:r>
      <w:r w:rsidRPr="00010E6E">
        <w:rPr>
          <w:rFonts w:ascii="Times New Roman" w:hAnsi="Times New Roman" w:cs="Times New Roman"/>
          <w:sz w:val="24"/>
          <w:szCs w:val="24"/>
          <w:lang w:val="sq-AL"/>
        </w:rPr>
        <w:t xml:space="preserve"> duke e rikthyer llogarinë e debituar të pagesës në gjendjen në të cilën </w:t>
      </w:r>
      <w:r w:rsidRPr="00010E6E">
        <w:rPr>
          <w:rFonts w:ascii="Times New Roman" w:eastAsia="Calibri" w:hAnsi="Times New Roman" w:cs="Times New Roman"/>
          <w:color w:val="1A171C"/>
          <w:sz w:val="24"/>
          <w:szCs w:val="24"/>
          <w:lang w:val="sq-AL" w:eastAsia="sq-AL" w:bidi="sq-AL"/>
        </w:rPr>
        <w:t>ajo do të kishte qenë nëse transaksioni i paautorizuar i pagesës nuk do të kishte ndodhur.</w:t>
      </w:r>
      <w:r w:rsidRPr="00010E6E">
        <w:rPr>
          <w:rFonts w:ascii="Times New Roman" w:hAnsi="Times New Roman" w:cs="Times New Roman"/>
          <w:sz w:val="24"/>
          <w:szCs w:val="24"/>
          <w:lang w:val="sq-AL"/>
        </w:rPr>
        <w:t xml:space="preserve"> Megjithatë, kur ekzistojnë dyshime objektive, të cilat i komunikohen </w:t>
      </w:r>
      <w:r w:rsidR="003D50B2" w:rsidRPr="00010E6E">
        <w:rPr>
          <w:rFonts w:ascii="Times New Roman" w:hAnsi="Times New Roman" w:cs="Times New Roman"/>
          <w:sz w:val="24"/>
          <w:szCs w:val="24"/>
          <w:lang w:val="sq-AL"/>
        </w:rPr>
        <w:t xml:space="preserve">Bankës së Shqipërisë </w:t>
      </w:r>
      <w:r w:rsidRPr="00010E6E">
        <w:rPr>
          <w:rFonts w:ascii="Times New Roman" w:hAnsi="Times New Roman" w:cs="Times New Roman"/>
          <w:sz w:val="24"/>
          <w:szCs w:val="24"/>
          <w:lang w:val="sq-AL"/>
        </w:rPr>
        <w:t xml:space="preserve">për zgjidhjen alternative të mosmarrëveshjeve, ofruesi i shërbimeve të pagesave duhet të jetë në gjendje të kryejë, brenda një kohe të arsyeshme, një hetim para rimbursimit të paguesit. Për të mbrojtur paguesin, sipas projektligjit, datëvaluta për kreditimin e llogarisë nuk duhet të jetë më vonë se data kur shuma është debituar. </w:t>
      </w:r>
    </w:p>
    <w:p w14:paraId="76A67856" w14:textId="77777777" w:rsidR="0002198C" w:rsidRPr="00010E6E" w:rsidRDefault="0002198C" w:rsidP="0002198C">
      <w:pPr>
        <w:pStyle w:val="HTMLPreformatted"/>
        <w:jc w:val="both"/>
        <w:rPr>
          <w:rFonts w:ascii="Times New Roman" w:eastAsia="Times New Roman" w:hAnsi="Times New Roman" w:cs="Times New Roman"/>
          <w:sz w:val="24"/>
          <w:szCs w:val="24"/>
          <w:lang w:val="sq-AL"/>
        </w:rPr>
      </w:pPr>
    </w:p>
    <w:p w14:paraId="6B6367D0" w14:textId="6279B3F0" w:rsidR="0002198C" w:rsidRPr="00010E6E" w:rsidRDefault="0002198C" w:rsidP="0002198C">
      <w:pPr>
        <w:pStyle w:val="HTMLPreformatted"/>
        <w:jc w:val="both"/>
        <w:rPr>
          <w:rFonts w:ascii="Times New Roman" w:hAnsi="Times New Roman" w:cs="Times New Roman"/>
          <w:sz w:val="24"/>
          <w:szCs w:val="24"/>
          <w:lang w:val="sq-AL"/>
        </w:rPr>
      </w:pPr>
      <w:r w:rsidRPr="00010E6E">
        <w:rPr>
          <w:rFonts w:ascii="Times New Roman" w:hAnsi="Times New Roman" w:cs="Times New Roman"/>
          <w:sz w:val="24"/>
          <w:szCs w:val="24"/>
          <w:lang w:val="sq-AL"/>
        </w:rPr>
        <w:t xml:space="preserve">Megjithatë, sipas nenit </w:t>
      </w:r>
      <w:r w:rsidR="004651E2" w:rsidRPr="00010E6E">
        <w:rPr>
          <w:rFonts w:ascii="Times New Roman" w:hAnsi="Times New Roman" w:cs="Times New Roman"/>
          <w:sz w:val="24"/>
          <w:szCs w:val="24"/>
          <w:lang w:val="sq-AL"/>
        </w:rPr>
        <w:t xml:space="preserve">67 </w:t>
      </w:r>
      <w:r w:rsidR="007B2372" w:rsidRPr="00010E6E">
        <w:rPr>
          <w:rFonts w:ascii="Times New Roman" w:hAnsi="Times New Roman" w:cs="Times New Roman"/>
          <w:sz w:val="24"/>
          <w:szCs w:val="24"/>
          <w:lang w:val="sq-AL"/>
        </w:rPr>
        <w:t>të projekt</w:t>
      </w:r>
      <w:r w:rsidRPr="00010E6E">
        <w:rPr>
          <w:rFonts w:ascii="Times New Roman" w:hAnsi="Times New Roman" w:cs="Times New Roman"/>
          <w:sz w:val="24"/>
          <w:szCs w:val="24"/>
          <w:lang w:val="sq-AL"/>
        </w:rPr>
        <w:t xml:space="preserve">ligjit, në mënyrë që të incentivohet/nxitet përdoruesi për të përmbushur detyrimet e parashikuara në projektligj në lidhje me njoftimin pranë ofruesit të shërbimeve të pagesave të çdo vjedhjeje ose humbjeje të një instrumenti pagese, është parashikuar që përdoruesi duhet të jetë përgjegjës për dëmin e shkaktuar vetëm për një shumë të kufizuar, me përjashtim të rasteve </w:t>
      </w:r>
      <w:r w:rsidR="009D743D">
        <w:rPr>
          <w:rFonts w:ascii="Times New Roman" w:hAnsi="Times New Roman" w:cs="Times New Roman"/>
          <w:sz w:val="24"/>
          <w:szCs w:val="24"/>
          <w:lang w:val="sq-AL"/>
        </w:rPr>
        <w:t>kur</w:t>
      </w:r>
      <w:r w:rsidR="009D743D" w:rsidRPr="00010E6E">
        <w:rPr>
          <w:rFonts w:ascii="Times New Roman" w:hAnsi="Times New Roman" w:cs="Times New Roman"/>
          <w:sz w:val="24"/>
          <w:szCs w:val="24"/>
          <w:lang w:val="sq-AL"/>
        </w:rPr>
        <w:t xml:space="preserve"> </w:t>
      </w:r>
      <w:r w:rsidRPr="00010E6E">
        <w:rPr>
          <w:rFonts w:ascii="Times New Roman" w:hAnsi="Times New Roman" w:cs="Times New Roman"/>
          <w:sz w:val="24"/>
          <w:szCs w:val="24"/>
          <w:lang w:val="sq-AL"/>
        </w:rPr>
        <w:t xml:space="preserve">përdoruesi i shërbimeve të pagesave ka vepruar me mashtrim ose me </w:t>
      </w:r>
      <w:r w:rsidR="004651E2" w:rsidRPr="00010E6E">
        <w:rPr>
          <w:rFonts w:ascii="Times New Roman" w:hAnsi="Times New Roman" w:cs="Times New Roman"/>
          <w:sz w:val="24"/>
          <w:szCs w:val="24"/>
          <w:lang w:val="sq-AL"/>
        </w:rPr>
        <w:t>pakujdesi të rëndë</w:t>
      </w:r>
      <w:r w:rsidR="007B2372" w:rsidRPr="00010E6E">
        <w:rPr>
          <w:rFonts w:ascii="Times New Roman" w:hAnsi="Times New Roman" w:cs="Times New Roman"/>
          <w:sz w:val="24"/>
          <w:szCs w:val="24"/>
          <w:lang w:val="sq-AL"/>
        </w:rPr>
        <w:t>. Në këtë kontekst, në projekt</w:t>
      </w:r>
      <w:r w:rsidRPr="00010E6E">
        <w:rPr>
          <w:rFonts w:ascii="Times New Roman" w:hAnsi="Times New Roman" w:cs="Times New Roman"/>
          <w:sz w:val="24"/>
          <w:szCs w:val="24"/>
          <w:lang w:val="sq-AL"/>
        </w:rPr>
        <w:t xml:space="preserve">ligj është parashikuar që përdoruesi do të jetë përgjegjës për një shumë </w:t>
      </w:r>
      <w:r w:rsidR="00B94808" w:rsidRPr="00010E6E">
        <w:rPr>
          <w:rFonts w:ascii="Times New Roman" w:hAnsi="Times New Roman" w:cs="Times New Roman"/>
          <w:sz w:val="24"/>
          <w:szCs w:val="24"/>
          <w:lang w:val="sq-AL"/>
        </w:rPr>
        <w:t>maksimale</w:t>
      </w:r>
      <w:r w:rsidRPr="00010E6E">
        <w:rPr>
          <w:rFonts w:ascii="Times New Roman" w:hAnsi="Times New Roman" w:cs="Times New Roman"/>
          <w:sz w:val="24"/>
          <w:szCs w:val="24"/>
          <w:lang w:val="sq-AL"/>
        </w:rPr>
        <w:t xml:space="preserve"> </w:t>
      </w:r>
      <w:r w:rsidR="00B94808" w:rsidRPr="00010E6E">
        <w:rPr>
          <w:rFonts w:ascii="Times New Roman" w:hAnsi="Times New Roman" w:cs="Times New Roman"/>
          <w:sz w:val="24"/>
          <w:szCs w:val="24"/>
          <w:lang w:val="sq-AL"/>
        </w:rPr>
        <w:t xml:space="preserve">prej </w:t>
      </w:r>
      <w:r w:rsidRPr="00010E6E">
        <w:rPr>
          <w:rFonts w:ascii="Times New Roman" w:hAnsi="Times New Roman" w:cs="Times New Roman"/>
          <w:sz w:val="24"/>
          <w:szCs w:val="24"/>
          <w:lang w:val="sq-AL"/>
        </w:rPr>
        <w:t>5000 lekë</w:t>
      </w:r>
      <w:r w:rsidR="009D743D">
        <w:rPr>
          <w:rFonts w:ascii="Times New Roman" w:hAnsi="Times New Roman" w:cs="Times New Roman"/>
          <w:sz w:val="24"/>
          <w:szCs w:val="24"/>
          <w:lang w:val="sq-AL"/>
        </w:rPr>
        <w:t>sh</w:t>
      </w:r>
      <w:r w:rsidRPr="00010E6E">
        <w:rPr>
          <w:rFonts w:ascii="Times New Roman" w:hAnsi="Times New Roman" w:cs="Times New Roman"/>
          <w:sz w:val="24"/>
          <w:szCs w:val="24"/>
          <w:lang w:val="sq-AL"/>
        </w:rPr>
        <w:t xml:space="preserve">. Megjithatë, në këtë dispozitë parashikohen edhe rastet përjashtimore kur përdoruesi nuk është i vetëdijshëm për humbjen, vjedhjen ose keqpërdorimin e instrumentit të pagesës. Gjithashtu, në këtë nen parashikohet që përdoruesit pasi kanë përmbushur detyrimet e tyre për njoftim nuk mund të jenë përgjegjës për të mbuluar pagesa të paautorizuara.  </w:t>
      </w:r>
    </w:p>
    <w:p w14:paraId="5F92780B" w14:textId="77777777" w:rsidR="0002198C" w:rsidRPr="00010E6E" w:rsidRDefault="0002198C" w:rsidP="0002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sq-AL"/>
        </w:rPr>
      </w:pPr>
    </w:p>
    <w:p w14:paraId="111423FA" w14:textId="6B489428" w:rsidR="0002198C" w:rsidRPr="00010E6E" w:rsidRDefault="007B2372" w:rsidP="0002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sq-AL"/>
        </w:rPr>
      </w:pPr>
      <w:r w:rsidRPr="00010E6E">
        <w:rPr>
          <w:lang w:val="sq-AL"/>
        </w:rPr>
        <w:t>Ashtu si dhe direktiva, projekt</w:t>
      </w:r>
      <w:r w:rsidR="0002198C" w:rsidRPr="00010E6E">
        <w:rPr>
          <w:lang w:val="sq-AL"/>
        </w:rPr>
        <w:t xml:space="preserve">ligji (neni </w:t>
      </w:r>
      <w:r w:rsidR="00C9066A" w:rsidRPr="00010E6E">
        <w:rPr>
          <w:lang w:val="sq-AL"/>
        </w:rPr>
        <w:t>68</w:t>
      </w:r>
      <w:r w:rsidR="0002198C" w:rsidRPr="00010E6E">
        <w:rPr>
          <w:lang w:val="sq-AL"/>
        </w:rPr>
        <w:t>) synon të rrisë mbrojtjen e konsumatorit në rastet e transaksioneve të pagesave të bazuara në karta kur shuma e saktë e transaksionit nuk dihet në momentin kur paguesi jep pëlqimin për të ekzekutuar transaksionin e pagesës. Shembuj të tillë mund të jenë rastet e vetëshërbimit në karburante, pagesat për marrjen me q</w:t>
      </w:r>
      <w:r w:rsidR="009D743D">
        <w:rPr>
          <w:lang w:val="sq-AL"/>
        </w:rPr>
        <w:t>i</w:t>
      </w:r>
      <w:r w:rsidR="0002198C" w:rsidRPr="00010E6E">
        <w:rPr>
          <w:lang w:val="sq-AL"/>
        </w:rPr>
        <w:t xml:space="preserve">ra të një makine ose rezervimet e hoteleve. Në rastet e sipërcituara, ofruesi i shërbimeve të pagesave të paguesit duhet të jetë në gjendje të bllokojë fondet në llogarinë e pagesës së paguesit vetëm nëse paguesi ka dhënë pëlqimin për shumën e saktë të fondeve që duhet të bllokohen dhe këto fonde duhet të lirohen/zhbllokohen pa vonesa të panevojshme pas marrjes së informacionit </w:t>
      </w:r>
      <w:r w:rsidR="009D743D">
        <w:rPr>
          <w:lang w:val="sq-AL"/>
        </w:rPr>
        <w:t>për</w:t>
      </w:r>
      <w:r w:rsidR="0002198C" w:rsidRPr="00010E6E">
        <w:rPr>
          <w:lang w:val="sq-AL"/>
        </w:rPr>
        <w:t xml:space="preserve"> shumën e transaksionit të pagesës dhe jo m</w:t>
      </w:r>
      <w:r w:rsidR="001E5BEE" w:rsidRPr="00010E6E">
        <w:rPr>
          <w:lang w:val="sq-AL"/>
        </w:rPr>
        <w:t>ë</w:t>
      </w:r>
      <w:r w:rsidR="0002198C" w:rsidRPr="00010E6E">
        <w:rPr>
          <w:lang w:val="sq-AL"/>
        </w:rPr>
        <w:t xml:space="preserve"> vonë se menjëherë pas pranimit të urdhërpagesës.</w:t>
      </w:r>
      <w:r w:rsidR="009A2B46" w:rsidRPr="00010E6E">
        <w:rPr>
          <w:lang w:val="sq-AL"/>
        </w:rPr>
        <w:t xml:space="preserve"> Parshikimi i fundit synon të shmang</w:t>
      </w:r>
      <w:r w:rsidR="009D743D">
        <w:rPr>
          <w:lang w:val="sq-AL"/>
        </w:rPr>
        <w:t>ë</w:t>
      </w:r>
      <w:r w:rsidR="009A2B46" w:rsidRPr="00010E6E">
        <w:rPr>
          <w:lang w:val="sq-AL"/>
        </w:rPr>
        <w:t xml:space="preserve"> praktika të hasura gjatë përdorimit të kartave </w:t>
      </w:r>
      <w:r w:rsidR="00197F86" w:rsidRPr="00010E6E">
        <w:rPr>
          <w:lang w:val="sq-AL"/>
        </w:rPr>
        <w:t>për rezervime të ndryshme</w:t>
      </w:r>
      <w:r w:rsidR="009D743D">
        <w:rPr>
          <w:lang w:val="sq-AL"/>
        </w:rPr>
        <w:t>,</w:t>
      </w:r>
      <w:r w:rsidR="00197F86" w:rsidRPr="00010E6E">
        <w:rPr>
          <w:lang w:val="sq-AL"/>
        </w:rPr>
        <w:t xml:space="preserve"> ku </w:t>
      </w:r>
      <w:r w:rsidR="00197F86" w:rsidRPr="00010E6E">
        <w:rPr>
          <w:lang w:val="sq-AL"/>
        </w:rPr>
        <w:lastRenderedPageBreak/>
        <w:t>ofru</w:t>
      </w:r>
      <w:r w:rsidR="009D743D">
        <w:rPr>
          <w:lang w:val="sq-AL"/>
        </w:rPr>
        <w:t>e</w:t>
      </w:r>
      <w:r w:rsidR="00197F86" w:rsidRPr="00010E6E">
        <w:rPr>
          <w:lang w:val="sq-AL"/>
        </w:rPr>
        <w:t>si i shërbimeve të pagesave mban të bllokuar shumën deri në një muaj</w:t>
      </w:r>
      <w:r w:rsidR="009D743D">
        <w:rPr>
          <w:lang w:val="sq-AL"/>
        </w:rPr>
        <w:t>,</w:t>
      </w:r>
      <w:r w:rsidR="00197F86" w:rsidRPr="00010E6E">
        <w:rPr>
          <w:lang w:val="sq-AL"/>
        </w:rPr>
        <w:t xml:space="preserve"> pavar</w:t>
      </w:r>
      <w:r w:rsidR="009D743D" w:rsidRPr="00010E6E">
        <w:rPr>
          <w:lang w:val="sq-AL"/>
        </w:rPr>
        <w:t>ë</w:t>
      </w:r>
      <w:r w:rsidR="00197F86" w:rsidRPr="00010E6E">
        <w:rPr>
          <w:lang w:val="sq-AL"/>
        </w:rPr>
        <w:t xml:space="preserve">sisht faktit se pagesa është kryer. </w:t>
      </w:r>
    </w:p>
    <w:p w14:paraId="4CB4E976" w14:textId="77777777" w:rsidR="0002198C" w:rsidRPr="00010E6E" w:rsidRDefault="0002198C" w:rsidP="0002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sq-AL"/>
        </w:rPr>
      </w:pPr>
    </w:p>
    <w:p w14:paraId="536D442F" w14:textId="39E94DB2" w:rsidR="00A61847" w:rsidRPr="00010E6E" w:rsidRDefault="0002198C" w:rsidP="0002198C">
      <w:pPr>
        <w:pStyle w:val="HTMLPreformatted"/>
        <w:jc w:val="both"/>
        <w:rPr>
          <w:rFonts w:ascii="Times New Roman" w:hAnsi="Times New Roman" w:cs="Times New Roman"/>
          <w:sz w:val="24"/>
          <w:szCs w:val="24"/>
          <w:lang w:val="sq-AL"/>
        </w:rPr>
      </w:pPr>
      <w:r w:rsidRPr="00010E6E">
        <w:rPr>
          <w:rFonts w:ascii="Times New Roman" w:hAnsi="Times New Roman" w:cs="Times New Roman"/>
          <w:sz w:val="24"/>
          <w:szCs w:val="24"/>
          <w:lang w:val="sq-AL"/>
        </w:rPr>
        <w:t>Ndërkohë</w:t>
      </w:r>
      <w:r w:rsidR="009D743D">
        <w:rPr>
          <w:rFonts w:ascii="Times New Roman" w:hAnsi="Times New Roman" w:cs="Times New Roman"/>
          <w:sz w:val="24"/>
          <w:szCs w:val="24"/>
          <w:lang w:val="sq-AL"/>
        </w:rPr>
        <w:t>,</w:t>
      </w:r>
      <w:r w:rsidRPr="00010E6E">
        <w:rPr>
          <w:rFonts w:ascii="Times New Roman" w:hAnsi="Times New Roman" w:cs="Times New Roman"/>
          <w:sz w:val="24"/>
          <w:szCs w:val="24"/>
          <w:lang w:val="sq-AL"/>
        </w:rPr>
        <w:t xml:space="preserve"> nen</w:t>
      </w:r>
      <w:r w:rsidR="00543464" w:rsidRPr="00010E6E">
        <w:rPr>
          <w:rFonts w:ascii="Times New Roman" w:hAnsi="Times New Roman" w:cs="Times New Roman"/>
          <w:sz w:val="24"/>
          <w:szCs w:val="24"/>
          <w:lang w:val="sq-AL"/>
        </w:rPr>
        <w:t>et</w:t>
      </w:r>
      <w:r w:rsidRPr="00010E6E">
        <w:rPr>
          <w:rFonts w:ascii="Times New Roman" w:hAnsi="Times New Roman" w:cs="Times New Roman"/>
          <w:sz w:val="24"/>
          <w:szCs w:val="24"/>
          <w:lang w:val="sq-AL"/>
        </w:rPr>
        <w:t xml:space="preserve"> </w:t>
      </w:r>
      <w:r w:rsidR="00543464" w:rsidRPr="00010E6E">
        <w:rPr>
          <w:rFonts w:ascii="Times New Roman" w:hAnsi="Times New Roman" w:cs="Times New Roman"/>
          <w:sz w:val="24"/>
          <w:szCs w:val="24"/>
          <w:lang w:val="sq-AL"/>
        </w:rPr>
        <w:t xml:space="preserve">69 </w:t>
      </w:r>
      <w:r w:rsidRPr="00010E6E">
        <w:rPr>
          <w:rFonts w:ascii="Times New Roman" w:hAnsi="Times New Roman" w:cs="Times New Roman"/>
          <w:sz w:val="24"/>
          <w:szCs w:val="24"/>
          <w:lang w:val="sq-AL"/>
        </w:rPr>
        <w:t xml:space="preserve">dhe </w:t>
      </w:r>
      <w:r w:rsidR="00543464" w:rsidRPr="00010E6E">
        <w:rPr>
          <w:rFonts w:ascii="Times New Roman" w:hAnsi="Times New Roman" w:cs="Times New Roman"/>
          <w:sz w:val="24"/>
          <w:szCs w:val="24"/>
          <w:lang w:val="sq-AL"/>
        </w:rPr>
        <w:t xml:space="preserve">70 </w:t>
      </w:r>
      <w:r w:rsidRPr="00010E6E">
        <w:rPr>
          <w:rFonts w:ascii="Times New Roman" w:hAnsi="Times New Roman" w:cs="Times New Roman"/>
          <w:sz w:val="24"/>
          <w:szCs w:val="24"/>
          <w:lang w:val="sq-AL"/>
        </w:rPr>
        <w:t>rregullojnë debitimin direkt bazuar në një skemë</w:t>
      </w:r>
      <w:r w:rsidR="002565C8" w:rsidRPr="00010E6E">
        <w:rPr>
          <w:rFonts w:ascii="Times New Roman" w:hAnsi="Times New Roman" w:cs="Times New Roman"/>
          <w:sz w:val="24"/>
          <w:szCs w:val="24"/>
          <w:lang w:val="sq-AL"/>
        </w:rPr>
        <w:t xml:space="preserve"> debitimi direkt si dhe debitimet direkte të gjeneruara nga pagesa me kartë si</w:t>
      </w:r>
      <w:r w:rsidR="009D743D">
        <w:rPr>
          <w:rFonts w:ascii="Times New Roman" w:hAnsi="Times New Roman" w:cs="Times New Roman"/>
          <w:sz w:val="24"/>
          <w:szCs w:val="24"/>
          <w:lang w:val="sq-AL"/>
        </w:rPr>
        <w:t>ç</w:t>
      </w:r>
      <w:r w:rsidR="002565C8" w:rsidRPr="00010E6E">
        <w:rPr>
          <w:rFonts w:ascii="Times New Roman" w:hAnsi="Times New Roman" w:cs="Times New Roman"/>
          <w:sz w:val="24"/>
          <w:szCs w:val="24"/>
          <w:lang w:val="sq-AL"/>
        </w:rPr>
        <w:t xml:space="preserve"> u</w:t>
      </w:r>
      <w:r w:rsidR="00A83AC5" w:rsidRPr="00010E6E">
        <w:rPr>
          <w:rFonts w:ascii="Times New Roman" w:hAnsi="Times New Roman" w:cs="Times New Roman"/>
          <w:sz w:val="24"/>
          <w:szCs w:val="24"/>
          <w:lang w:val="sq-AL"/>
        </w:rPr>
        <w:t xml:space="preserve"> shp</w:t>
      </w:r>
      <w:r w:rsidR="009D743D">
        <w:rPr>
          <w:rFonts w:ascii="Times New Roman" w:hAnsi="Times New Roman" w:cs="Times New Roman"/>
          <w:sz w:val="24"/>
          <w:szCs w:val="24"/>
          <w:lang w:val="sq-AL"/>
        </w:rPr>
        <w:t>j</w:t>
      </w:r>
      <w:r w:rsidR="00A83AC5" w:rsidRPr="00010E6E">
        <w:rPr>
          <w:rFonts w:ascii="Times New Roman" w:hAnsi="Times New Roman" w:cs="Times New Roman"/>
          <w:sz w:val="24"/>
          <w:szCs w:val="24"/>
          <w:lang w:val="sq-AL"/>
        </w:rPr>
        <w:t xml:space="preserve">egua në nenin 58. </w:t>
      </w:r>
      <w:r w:rsidR="00AA6B22" w:rsidRPr="00010E6E">
        <w:rPr>
          <w:rFonts w:ascii="Times New Roman" w:hAnsi="Times New Roman" w:cs="Times New Roman"/>
          <w:sz w:val="24"/>
          <w:szCs w:val="24"/>
          <w:lang w:val="sq-AL"/>
        </w:rPr>
        <w:t>Par</w:t>
      </w:r>
      <w:r w:rsidR="009D743D">
        <w:rPr>
          <w:rFonts w:ascii="Times New Roman" w:hAnsi="Times New Roman" w:cs="Times New Roman"/>
          <w:sz w:val="24"/>
          <w:szCs w:val="24"/>
          <w:lang w:val="sq-AL"/>
        </w:rPr>
        <w:t>i</w:t>
      </w:r>
      <w:r w:rsidR="00AA6B22" w:rsidRPr="00010E6E">
        <w:rPr>
          <w:rFonts w:ascii="Times New Roman" w:hAnsi="Times New Roman" w:cs="Times New Roman"/>
          <w:sz w:val="24"/>
          <w:szCs w:val="24"/>
          <w:lang w:val="sq-AL"/>
        </w:rPr>
        <w:t xml:space="preserve">mi kryesor i paraqitur në këto nene </w:t>
      </w:r>
      <w:r w:rsidR="00A11DF3">
        <w:rPr>
          <w:rFonts w:ascii="Times New Roman" w:hAnsi="Times New Roman" w:cs="Times New Roman"/>
          <w:sz w:val="24"/>
          <w:szCs w:val="24"/>
          <w:lang w:val="sq-AL"/>
        </w:rPr>
        <w:t>për</w:t>
      </w:r>
      <w:r w:rsidR="00AA6B22" w:rsidRPr="00010E6E">
        <w:rPr>
          <w:rFonts w:ascii="Times New Roman" w:hAnsi="Times New Roman" w:cs="Times New Roman"/>
          <w:sz w:val="24"/>
          <w:szCs w:val="24"/>
          <w:lang w:val="sq-AL"/>
        </w:rPr>
        <w:t xml:space="preserve"> </w:t>
      </w:r>
      <w:r w:rsidR="00A11DF3" w:rsidRPr="00010E6E">
        <w:rPr>
          <w:rFonts w:ascii="Times New Roman" w:hAnsi="Times New Roman" w:cs="Times New Roman"/>
          <w:sz w:val="24"/>
          <w:szCs w:val="24"/>
          <w:lang w:val="sq-AL"/>
        </w:rPr>
        <w:t>fun</w:t>
      </w:r>
      <w:r w:rsidR="00A11DF3">
        <w:rPr>
          <w:rFonts w:ascii="Times New Roman" w:hAnsi="Times New Roman" w:cs="Times New Roman"/>
          <w:sz w:val="24"/>
          <w:szCs w:val="24"/>
          <w:lang w:val="sq-AL"/>
        </w:rPr>
        <w:t>ks</w:t>
      </w:r>
      <w:r w:rsidR="00A11DF3" w:rsidRPr="00010E6E">
        <w:rPr>
          <w:rFonts w:ascii="Times New Roman" w:hAnsi="Times New Roman" w:cs="Times New Roman"/>
          <w:sz w:val="24"/>
          <w:szCs w:val="24"/>
          <w:lang w:val="sq-AL"/>
        </w:rPr>
        <w:t>io</w:t>
      </w:r>
      <w:r w:rsidR="00A11DF3">
        <w:rPr>
          <w:rFonts w:ascii="Times New Roman" w:hAnsi="Times New Roman" w:cs="Times New Roman"/>
          <w:sz w:val="24"/>
          <w:szCs w:val="24"/>
          <w:lang w:val="sq-AL"/>
        </w:rPr>
        <w:t>n</w:t>
      </w:r>
      <w:r w:rsidR="00A11DF3" w:rsidRPr="00010E6E">
        <w:rPr>
          <w:rFonts w:ascii="Times New Roman" w:hAnsi="Times New Roman" w:cs="Times New Roman"/>
          <w:sz w:val="24"/>
          <w:szCs w:val="24"/>
          <w:lang w:val="sq-AL"/>
        </w:rPr>
        <w:t>i</w:t>
      </w:r>
      <w:r w:rsidR="00A11DF3">
        <w:rPr>
          <w:rFonts w:ascii="Times New Roman" w:hAnsi="Times New Roman" w:cs="Times New Roman"/>
          <w:sz w:val="24"/>
          <w:szCs w:val="24"/>
          <w:lang w:val="sq-AL"/>
        </w:rPr>
        <w:t>mi</w:t>
      </w:r>
      <w:r w:rsidR="00A11DF3" w:rsidRPr="00010E6E">
        <w:rPr>
          <w:rFonts w:ascii="Times New Roman" w:hAnsi="Times New Roman" w:cs="Times New Roman"/>
          <w:sz w:val="24"/>
          <w:szCs w:val="24"/>
          <w:lang w:val="sq-AL"/>
        </w:rPr>
        <w:t xml:space="preserve">n </w:t>
      </w:r>
      <w:r w:rsidR="00AA6B22" w:rsidRPr="00010E6E">
        <w:rPr>
          <w:rFonts w:ascii="Times New Roman" w:hAnsi="Times New Roman" w:cs="Times New Roman"/>
          <w:sz w:val="24"/>
          <w:szCs w:val="24"/>
          <w:lang w:val="sq-AL"/>
        </w:rPr>
        <w:t xml:space="preserve">e skemës së debitimit </w:t>
      </w:r>
      <w:r w:rsidRPr="00010E6E">
        <w:rPr>
          <w:rFonts w:ascii="Times New Roman" w:hAnsi="Times New Roman" w:cs="Times New Roman"/>
          <w:sz w:val="24"/>
          <w:szCs w:val="24"/>
          <w:lang w:val="sq-AL"/>
        </w:rPr>
        <w:t>është që mandati për ekzekutimin e një debiti</w:t>
      </w:r>
      <w:r w:rsidR="001E5BEE" w:rsidRPr="00010E6E">
        <w:rPr>
          <w:rFonts w:ascii="Times New Roman" w:hAnsi="Times New Roman" w:cs="Times New Roman"/>
          <w:sz w:val="24"/>
          <w:szCs w:val="24"/>
          <w:lang w:val="sq-AL"/>
        </w:rPr>
        <w:t>mi</w:t>
      </w:r>
      <w:r w:rsidRPr="00010E6E">
        <w:rPr>
          <w:rFonts w:ascii="Times New Roman" w:hAnsi="Times New Roman" w:cs="Times New Roman"/>
          <w:sz w:val="24"/>
          <w:szCs w:val="24"/>
          <w:lang w:val="sq-AL"/>
        </w:rPr>
        <w:t xml:space="preserve"> </w:t>
      </w:r>
      <w:r w:rsidR="002565C8" w:rsidRPr="00010E6E">
        <w:rPr>
          <w:rFonts w:ascii="Times New Roman" w:hAnsi="Times New Roman" w:cs="Times New Roman"/>
          <w:sz w:val="24"/>
          <w:szCs w:val="24"/>
          <w:lang w:val="sq-AL"/>
        </w:rPr>
        <w:t xml:space="preserve">direkt </w:t>
      </w:r>
      <w:r w:rsidRPr="00010E6E">
        <w:rPr>
          <w:rFonts w:ascii="Times New Roman" w:hAnsi="Times New Roman" w:cs="Times New Roman"/>
          <w:sz w:val="24"/>
          <w:szCs w:val="24"/>
          <w:lang w:val="sq-AL"/>
        </w:rPr>
        <w:t xml:space="preserve">është dhënë nga paguesi tek përfituesi i pagesës dhe, së bashku me ndryshimet ose anulimet e mëvonshme, ruhet nga përfituesi. </w:t>
      </w:r>
      <w:r w:rsidR="00AA6B22" w:rsidRPr="00010E6E">
        <w:rPr>
          <w:rFonts w:ascii="Times New Roman" w:hAnsi="Times New Roman" w:cs="Times New Roman"/>
          <w:sz w:val="24"/>
          <w:szCs w:val="24"/>
          <w:lang w:val="sq-AL"/>
        </w:rPr>
        <w:t>Megjithatë, bazuar në preambulën e direktivës shpjegohet se m</w:t>
      </w:r>
      <w:r w:rsidRPr="00010E6E">
        <w:rPr>
          <w:rFonts w:ascii="Times New Roman" w:hAnsi="Times New Roman" w:cs="Times New Roman"/>
          <w:sz w:val="24"/>
          <w:szCs w:val="24"/>
          <w:lang w:val="sq-AL"/>
        </w:rPr>
        <w:t xml:space="preserve">andati mund të ruhet gjithashtu edhe nga një palë e tretë në emër të përfituesit. Ashtu si dhe direktiva, neni </w:t>
      </w:r>
      <w:r w:rsidR="00543464" w:rsidRPr="00010E6E">
        <w:rPr>
          <w:rFonts w:ascii="Times New Roman" w:hAnsi="Times New Roman" w:cs="Times New Roman"/>
          <w:sz w:val="24"/>
          <w:szCs w:val="24"/>
          <w:lang w:val="sq-AL"/>
        </w:rPr>
        <w:t>70</w:t>
      </w:r>
      <w:r w:rsidR="000B0AC4" w:rsidRPr="00010E6E">
        <w:rPr>
          <w:rFonts w:ascii="Times New Roman" w:hAnsi="Times New Roman" w:cs="Times New Roman"/>
          <w:sz w:val="24"/>
          <w:szCs w:val="24"/>
          <w:lang w:val="sq-AL"/>
        </w:rPr>
        <w:t>,</w:t>
      </w:r>
      <w:r w:rsidR="00543464" w:rsidRPr="00010E6E">
        <w:rPr>
          <w:rFonts w:ascii="Times New Roman" w:hAnsi="Times New Roman" w:cs="Times New Roman"/>
          <w:sz w:val="24"/>
          <w:szCs w:val="24"/>
          <w:lang w:val="sq-AL"/>
        </w:rPr>
        <w:t xml:space="preserve"> </w:t>
      </w:r>
      <w:r w:rsidRPr="00010E6E">
        <w:rPr>
          <w:rFonts w:ascii="Times New Roman" w:hAnsi="Times New Roman" w:cs="Times New Roman"/>
          <w:sz w:val="24"/>
          <w:szCs w:val="24"/>
          <w:lang w:val="sq-AL"/>
        </w:rPr>
        <w:t>me qëllim mbështetjen sa më të gjerë të përdorimit të instrumentit dhe për të siguruar një nivel të lartë mbrojtje</w:t>
      </w:r>
      <w:r w:rsidR="00A11DF3">
        <w:rPr>
          <w:rFonts w:ascii="Times New Roman" w:hAnsi="Times New Roman" w:cs="Times New Roman"/>
          <w:sz w:val="24"/>
          <w:szCs w:val="24"/>
          <w:lang w:val="sq-AL"/>
        </w:rPr>
        <w:t>je</w:t>
      </w:r>
      <w:r w:rsidRPr="00010E6E">
        <w:rPr>
          <w:rFonts w:ascii="Times New Roman" w:hAnsi="Times New Roman" w:cs="Times New Roman"/>
          <w:sz w:val="24"/>
          <w:szCs w:val="24"/>
          <w:lang w:val="sq-AL"/>
        </w:rPr>
        <w:t xml:space="preserve"> </w:t>
      </w:r>
      <w:r w:rsidR="00A11DF3">
        <w:rPr>
          <w:rFonts w:ascii="Times New Roman" w:hAnsi="Times New Roman" w:cs="Times New Roman"/>
          <w:sz w:val="24"/>
          <w:szCs w:val="24"/>
          <w:lang w:val="sq-AL"/>
        </w:rPr>
        <w:t>t</w:t>
      </w:r>
      <w:r w:rsidRPr="00010E6E">
        <w:rPr>
          <w:rFonts w:ascii="Times New Roman" w:hAnsi="Times New Roman" w:cs="Times New Roman"/>
          <w:sz w:val="24"/>
          <w:szCs w:val="24"/>
          <w:lang w:val="sq-AL"/>
        </w:rPr>
        <w:t>ë konsumatorit</w:t>
      </w:r>
      <w:r w:rsidR="001E5BEE" w:rsidRPr="00010E6E">
        <w:rPr>
          <w:rFonts w:ascii="Times New Roman" w:hAnsi="Times New Roman" w:cs="Times New Roman"/>
          <w:sz w:val="24"/>
          <w:szCs w:val="24"/>
          <w:lang w:val="sq-AL"/>
        </w:rPr>
        <w:t>,</w:t>
      </w:r>
      <w:r w:rsidRPr="00010E6E">
        <w:rPr>
          <w:rFonts w:ascii="Times New Roman" w:hAnsi="Times New Roman" w:cs="Times New Roman"/>
          <w:sz w:val="24"/>
          <w:szCs w:val="24"/>
          <w:lang w:val="sq-AL"/>
        </w:rPr>
        <w:t xml:space="preserve"> është parashikuar e drejta e pakushtëzuar për një rimbursim për pagesat e autorizuara</w:t>
      </w:r>
      <w:r w:rsidR="00A61847" w:rsidRPr="00010E6E">
        <w:rPr>
          <w:rFonts w:ascii="Times New Roman" w:hAnsi="Times New Roman" w:cs="Times New Roman"/>
          <w:sz w:val="24"/>
          <w:szCs w:val="24"/>
          <w:lang w:val="sq-AL"/>
        </w:rPr>
        <w:t xml:space="preserve"> me debitimet direkte të kryera nëpërmjet një skeme. </w:t>
      </w:r>
    </w:p>
    <w:p w14:paraId="4EDB282F" w14:textId="1C8ED0A7" w:rsidR="0002198C" w:rsidRPr="00010E6E" w:rsidRDefault="00A61847" w:rsidP="0002198C">
      <w:pPr>
        <w:pStyle w:val="HTMLPreformatted"/>
        <w:jc w:val="both"/>
        <w:rPr>
          <w:rFonts w:ascii="Times New Roman" w:hAnsi="Times New Roman" w:cs="Times New Roman"/>
          <w:sz w:val="24"/>
          <w:szCs w:val="24"/>
          <w:lang w:val="sq-AL"/>
        </w:rPr>
      </w:pPr>
      <w:r w:rsidRPr="00010E6E" w:rsidDel="00A61847">
        <w:rPr>
          <w:rFonts w:ascii="Times New Roman" w:hAnsi="Times New Roman" w:cs="Times New Roman"/>
          <w:sz w:val="24"/>
          <w:szCs w:val="24"/>
          <w:lang w:val="sq-AL"/>
        </w:rPr>
        <w:t xml:space="preserve"> </w:t>
      </w:r>
    </w:p>
    <w:p w14:paraId="48A184F7" w14:textId="3A42259F" w:rsidR="005440C5" w:rsidRPr="00010E6E" w:rsidRDefault="00647409" w:rsidP="008A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sq-AL"/>
        </w:rPr>
      </w:pPr>
      <w:r w:rsidRPr="00010E6E">
        <w:rPr>
          <w:lang w:val="sq-AL"/>
        </w:rPr>
        <w:t xml:space="preserve">Për planifikimin financiar dhe përmbushjen e detyrimeve të pagesave në kohën e duhur, konsumatorët dhe ndërmarrjet duhet të kenë siguri për kohëzgjatjen e </w:t>
      </w:r>
      <w:r w:rsidR="00261945" w:rsidRPr="00010E6E">
        <w:rPr>
          <w:lang w:val="sq-AL"/>
        </w:rPr>
        <w:t xml:space="preserve">ekzekutimit </w:t>
      </w:r>
      <w:r w:rsidRPr="00010E6E">
        <w:rPr>
          <w:lang w:val="sq-AL"/>
        </w:rPr>
        <w:t>të urdhërpagesës.</w:t>
      </w:r>
      <w:r w:rsidR="00261945" w:rsidRPr="00010E6E">
        <w:rPr>
          <w:lang w:val="sq-AL"/>
        </w:rPr>
        <w:t xml:space="preserve"> Në kë</w:t>
      </w:r>
      <w:r w:rsidR="006A1BA1">
        <w:rPr>
          <w:lang w:val="sq-AL"/>
        </w:rPr>
        <w:t>t</w:t>
      </w:r>
      <w:r w:rsidR="006A1BA1" w:rsidRPr="00010E6E">
        <w:rPr>
          <w:lang w:val="sq-AL"/>
        </w:rPr>
        <w:t>ë</w:t>
      </w:r>
      <w:r w:rsidR="00261945" w:rsidRPr="00010E6E">
        <w:rPr>
          <w:lang w:val="sq-AL"/>
        </w:rPr>
        <w:t xml:space="preserve"> kuadër,</w:t>
      </w:r>
      <w:r w:rsidR="00A02B4C">
        <w:rPr>
          <w:lang w:val="sq-AL"/>
        </w:rPr>
        <w:t xml:space="preserve"> </w:t>
      </w:r>
      <w:r w:rsidR="00A02B4C" w:rsidRPr="00A02B4C">
        <w:rPr>
          <w:b/>
          <w:lang w:val="sq-AL"/>
        </w:rPr>
        <w:t>Kreu 3</w:t>
      </w:r>
      <w:r w:rsidR="00261945" w:rsidRPr="00010E6E">
        <w:rPr>
          <w:lang w:val="sq-AL"/>
        </w:rPr>
        <w:t xml:space="preserve"> </w:t>
      </w:r>
      <w:r w:rsidR="0002198C" w:rsidRPr="00010E6E">
        <w:rPr>
          <w:lang w:val="sq-AL"/>
        </w:rPr>
        <w:t xml:space="preserve">përcakton momentin kur të drejtat dhe detyrimet </w:t>
      </w:r>
      <w:r w:rsidR="00261945" w:rsidRPr="00010E6E">
        <w:rPr>
          <w:lang w:val="sq-AL"/>
        </w:rPr>
        <w:t xml:space="preserve">e palëve </w:t>
      </w:r>
      <w:r w:rsidR="0002198C" w:rsidRPr="00010E6E">
        <w:rPr>
          <w:lang w:val="sq-AL"/>
        </w:rPr>
        <w:t>hyjnë në fuqi</w:t>
      </w:r>
      <w:r w:rsidR="00DB165E" w:rsidRPr="00010E6E">
        <w:rPr>
          <w:lang w:val="sq-AL"/>
        </w:rPr>
        <w:t xml:space="preserve">. </w:t>
      </w:r>
    </w:p>
    <w:p w14:paraId="3DF9BD69" w14:textId="77777777" w:rsidR="0002198C" w:rsidRPr="00010E6E" w:rsidRDefault="0002198C" w:rsidP="0002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sq-AL"/>
        </w:rPr>
      </w:pPr>
    </w:p>
    <w:p w14:paraId="30E42CED" w14:textId="171A0EFC" w:rsidR="0002198C" w:rsidRPr="00010E6E" w:rsidRDefault="00A02B4C" w:rsidP="0002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sq-AL"/>
        </w:rPr>
      </w:pPr>
      <w:r w:rsidRPr="00A02B4C">
        <w:rPr>
          <w:lang w:val="sq-AL"/>
        </w:rPr>
        <w:t>Më konkretisht,</w:t>
      </w:r>
      <w:r>
        <w:rPr>
          <w:b/>
          <w:lang w:val="sq-AL"/>
        </w:rPr>
        <w:t xml:space="preserve"> </w:t>
      </w:r>
      <w:r w:rsidR="0002198C" w:rsidRPr="00CE5411">
        <w:rPr>
          <w:b/>
          <w:lang w:val="sq-AL"/>
        </w:rPr>
        <w:t>K</w:t>
      </w:r>
      <w:r w:rsidR="009432A6" w:rsidRPr="00CE5411">
        <w:rPr>
          <w:b/>
          <w:lang w:val="sq-AL"/>
        </w:rPr>
        <w:t>reu</w:t>
      </w:r>
      <w:r w:rsidR="0002198C" w:rsidRPr="00CE5411">
        <w:rPr>
          <w:b/>
          <w:lang w:val="sq-AL"/>
        </w:rPr>
        <w:t xml:space="preserve"> </w:t>
      </w:r>
      <w:r w:rsidR="007B2372" w:rsidRPr="00CE5411">
        <w:rPr>
          <w:b/>
          <w:lang w:val="sq-AL"/>
        </w:rPr>
        <w:t>3</w:t>
      </w:r>
      <w:r w:rsidR="0002198C" w:rsidRPr="00010E6E">
        <w:rPr>
          <w:lang w:val="sq-AL"/>
        </w:rPr>
        <w:t xml:space="preserve"> i këtij </w:t>
      </w:r>
      <w:r w:rsidR="009432A6" w:rsidRPr="00010E6E">
        <w:rPr>
          <w:lang w:val="sq-AL"/>
        </w:rPr>
        <w:t>titulli</w:t>
      </w:r>
      <w:r w:rsidR="0002198C" w:rsidRPr="00010E6E">
        <w:rPr>
          <w:lang w:val="sq-AL"/>
        </w:rPr>
        <w:t xml:space="preserve"> rregullon ekzekutimin e pagesës. </w:t>
      </w:r>
      <w:r w:rsidR="006A1BA1">
        <w:rPr>
          <w:lang w:val="sq-AL"/>
        </w:rPr>
        <w:t>N</w:t>
      </w:r>
      <w:r w:rsidR="0002198C" w:rsidRPr="00010E6E">
        <w:rPr>
          <w:lang w:val="sq-AL"/>
        </w:rPr>
        <w:t>ga pikëpamja e planifikimit financiar dhe përmbushje</w:t>
      </w:r>
      <w:r w:rsidR="006A1BA1">
        <w:rPr>
          <w:lang w:val="sq-AL"/>
        </w:rPr>
        <w:t>s s</w:t>
      </w:r>
      <w:r w:rsidR="006A1BA1" w:rsidRPr="00010E6E">
        <w:rPr>
          <w:lang w:val="sq-AL"/>
        </w:rPr>
        <w:t>ë</w:t>
      </w:r>
      <w:r w:rsidR="0002198C" w:rsidRPr="00010E6E">
        <w:rPr>
          <w:lang w:val="sq-AL"/>
        </w:rPr>
        <w:t xml:space="preserve"> detyrimeve të pagesave në kohën e duhur, koha e ekzekutimit të pagesës është tejet e rëndësishme për konsumatorët dhe ndërmarrjet. Në këto kushte projektligji, në linjë edhe me direktivën</w:t>
      </w:r>
      <w:r w:rsidR="006A1BA1">
        <w:rPr>
          <w:lang w:val="sq-AL"/>
        </w:rPr>
        <w:t>,</w:t>
      </w:r>
      <w:r w:rsidR="0002198C" w:rsidRPr="00010E6E">
        <w:rPr>
          <w:lang w:val="sq-AL"/>
        </w:rPr>
        <w:t xml:space="preserve"> përcakton momentin kur të drejtat dhe detyrimet hyjnë në fuqi (përcaktimi i momentit të pranimit të urdhërpagesës për instrumente të ndryshme</w:t>
      </w:r>
      <w:r w:rsidR="007B2372" w:rsidRPr="00010E6E">
        <w:rPr>
          <w:lang w:val="sq-AL"/>
        </w:rPr>
        <w:t xml:space="preserve"> </w:t>
      </w:r>
      <w:r w:rsidR="0002198C" w:rsidRPr="00010E6E">
        <w:rPr>
          <w:lang w:val="sq-AL"/>
        </w:rPr>
        <w:t xml:space="preserve">- neni </w:t>
      </w:r>
      <w:r w:rsidR="00543464" w:rsidRPr="00010E6E">
        <w:rPr>
          <w:lang w:val="sq-AL"/>
        </w:rPr>
        <w:t>71</w:t>
      </w:r>
      <w:r w:rsidR="0002198C" w:rsidRPr="00010E6E">
        <w:rPr>
          <w:lang w:val="sq-AL"/>
        </w:rPr>
        <w:t xml:space="preserve">). </w:t>
      </w:r>
    </w:p>
    <w:p w14:paraId="3C9C5A63" w14:textId="77777777" w:rsidR="0002198C" w:rsidRPr="00010E6E" w:rsidRDefault="0002198C" w:rsidP="0002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sq-AL"/>
        </w:rPr>
      </w:pPr>
    </w:p>
    <w:p w14:paraId="55445D15" w14:textId="41E7BB76" w:rsidR="00C7371A" w:rsidRPr="00010E6E" w:rsidRDefault="00C7371A" w:rsidP="00C73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sq-AL"/>
        </w:rPr>
      </w:pPr>
      <w:r w:rsidRPr="00010E6E">
        <w:rPr>
          <w:lang w:val="sq-AL"/>
        </w:rPr>
        <w:t>Momenti</w:t>
      </w:r>
      <w:r w:rsidR="00FB3C7B" w:rsidRPr="00010E6E">
        <w:rPr>
          <w:lang w:val="sq-AL"/>
        </w:rPr>
        <w:t xml:space="preserve"> i pranimit të urdhërpagesës konsiderohet momenti</w:t>
      </w:r>
      <w:r w:rsidRPr="00010E6E">
        <w:rPr>
          <w:lang w:val="sq-AL"/>
        </w:rPr>
        <w:t xml:space="preserve"> </w:t>
      </w:r>
      <w:r w:rsidR="00E71F51" w:rsidRPr="00010E6E">
        <w:rPr>
          <w:lang w:val="sq-AL"/>
        </w:rPr>
        <w:t>kur ofruesi i shërbimeve të pagesave të paguesit pranon urdhërpagesën për t'u debituar nga llogaria e paguesit</w:t>
      </w:r>
      <w:r w:rsidRPr="00010E6E">
        <w:rPr>
          <w:lang w:val="sq-AL"/>
        </w:rPr>
        <w:t xml:space="preserve">, duke përfshirë </w:t>
      </w:r>
      <w:r w:rsidR="00FB3C7B" w:rsidRPr="00010E6E">
        <w:rPr>
          <w:lang w:val="sq-AL"/>
        </w:rPr>
        <w:t xml:space="preserve">këtu dhe </w:t>
      </w:r>
      <w:r w:rsidRPr="00010E6E">
        <w:rPr>
          <w:lang w:val="sq-AL"/>
        </w:rPr>
        <w:t>rastet kur ofruesi i shërbimeve të pagesave ka pasur mundësinë t</w:t>
      </w:r>
      <w:r w:rsidR="00180410">
        <w:rPr>
          <w:lang w:val="sq-AL"/>
        </w:rPr>
        <w:t>a</w:t>
      </w:r>
      <w:r w:rsidRPr="00010E6E">
        <w:rPr>
          <w:lang w:val="sq-AL"/>
        </w:rPr>
        <w:t xml:space="preserve"> marrë atë përm</w:t>
      </w:r>
      <w:r w:rsidR="00180410">
        <w:rPr>
          <w:lang w:val="sq-AL"/>
        </w:rPr>
        <w:t>es</w:t>
      </w:r>
      <w:r w:rsidRPr="00010E6E">
        <w:rPr>
          <w:lang w:val="sq-AL"/>
        </w:rPr>
        <w:t xml:space="preserve"> mjeteve të komunikimit të dakord</w:t>
      </w:r>
      <w:r w:rsidR="00180410">
        <w:rPr>
          <w:lang w:val="sq-AL"/>
        </w:rPr>
        <w:t>ësuara</w:t>
      </w:r>
      <w:r w:rsidRPr="00010E6E">
        <w:rPr>
          <w:lang w:val="sq-AL"/>
        </w:rPr>
        <w:t xml:space="preserve"> në kontratën e shërbimit të pagesës. Vlen të theksohet se ky moment duhet të konsiderohet i pavarur nga çdo përfshirje paraprake në proces</w:t>
      </w:r>
      <w:r w:rsidR="00180410">
        <w:rPr>
          <w:lang w:val="sq-AL"/>
        </w:rPr>
        <w:t>,</w:t>
      </w:r>
      <w:r w:rsidRPr="00010E6E">
        <w:rPr>
          <w:lang w:val="sq-AL"/>
        </w:rPr>
        <w:t xml:space="preserve"> si për shembull </w:t>
      </w:r>
      <w:r w:rsidR="00180410">
        <w:rPr>
          <w:lang w:val="sq-AL"/>
        </w:rPr>
        <w:t>p</w:t>
      </w:r>
      <w:r w:rsidR="00180410" w:rsidRPr="00010E6E">
        <w:rPr>
          <w:lang w:val="sq-AL"/>
        </w:rPr>
        <w:t>ë</w:t>
      </w:r>
      <w:r w:rsidR="00180410">
        <w:rPr>
          <w:lang w:val="sq-AL"/>
        </w:rPr>
        <w:t xml:space="preserve">r </w:t>
      </w:r>
      <w:r w:rsidRPr="00010E6E">
        <w:rPr>
          <w:lang w:val="sq-AL"/>
        </w:rPr>
        <w:t>krijimin dhe transmetimin e urdhërpagesës</w:t>
      </w:r>
      <w:r w:rsidR="00180410">
        <w:rPr>
          <w:lang w:val="sq-AL"/>
        </w:rPr>
        <w:t xml:space="preserve"> </w:t>
      </w:r>
      <w:r w:rsidRPr="00010E6E">
        <w:rPr>
          <w:lang w:val="sq-AL"/>
        </w:rPr>
        <w:t>ose, rastet</w:t>
      </w:r>
      <w:r w:rsidR="00180410">
        <w:rPr>
          <w:lang w:val="sq-AL"/>
        </w:rPr>
        <w:t xml:space="preserve"> </w:t>
      </w:r>
      <w:r w:rsidRPr="00010E6E">
        <w:rPr>
          <w:lang w:val="sq-AL"/>
        </w:rPr>
        <w:t xml:space="preserve">që lidhen me </w:t>
      </w:r>
      <w:r w:rsidR="00180410" w:rsidRPr="00010E6E">
        <w:rPr>
          <w:lang w:val="sq-AL"/>
        </w:rPr>
        <w:t>kontro</w:t>
      </w:r>
      <w:r w:rsidR="00180410">
        <w:rPr>
          <w:lang w:val="sq-AL"/>
        </w:rPr>
        <w:t>ll</w:t>
      </w:r>
      <w:r w:rsidR="00180410" w:rsidRPr="00010E6E">
        <w:rPr>
          <w:lang w:val="sq-AL"/>
        </w:rPr>
        <w:t xml:space="preserve">in </w:t>
      </w:r>
      <w:r w:rsidRPr="00010E6E">
        <w:rPr>
          <w:lang w:val="sq-AL"/>
        </w:rPr>
        <w:t>mbi disponueshmërinë e fondeve ose informacionin mbi përdorimin e numrit të identitetit personal ose dhënien e premtimit të pagesës.</w:t>
      </w:r>
      <w:r w:rsidR="005B7275" w:rsidRPr="00010E6E">
        <w:rPr>
          <w:lang w:val="sq-AL"/>
        </w:rPr>
        <w:t xml:space="preserve"> Gjithashtu, d</w:t>
      </w:r>
      <w:r w:rsidRPr="00010E6E">
        <w:rPr>
          <w:lang w:val="sq-AL"/>
        </w:rPr>
        <w:t xml:space="preserve">ita ose momenti kur një përfitues i dërgon urdhërpagesat tek ofruesi </w:t>
      </w:r>
      <w:r w:rsidRPr="00010E6E">
        <w:rPr>
          <w:lang w:val="sq-AL"/>
        </w:rPr>
        <w:lastRenderedPageBreak/>
        <w:t xml:space="preserve">i shërbimeve të pagesave për mbledhjen, si për shembull të pagesave me kartë ose të debitimeve direkte ose kur përfituesit i është dhënë një parafinancim nga ofruesi i shërbimeve të pagesave me anë të një kredie të kushtëzuar në llogari, ky moment nuk konsiderohet si moment i pranimit të urdhërpagesës.  </w:t>
      </w:r>
    </w:p>
    <w:p w14:paraId="3AB3D5A8" w14:textId="77777777" w:rsidR="00C7371A" w:rsidRPr="00010E6E" w:rsidRDefault="00C7371A" w:rsidP="0002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sq-AL"/>
        </w:rPr>
      </w:pPr>
    </w:p>
    <w:p w14:paraId="61EE57D9" w14:textId="77777777" w:rsidR="0002198C" w:rsidRPr="00010E6E" w:rsidRDefault="0002198C" w:rsidP="0002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sq-AL"/>
        </w:rPr>
      </w:pPr>
      <w:r w:rsidRPr="00010E6E">
        <w:rPr>
          <w:lang w:val="sq-AL"/>
        </w:rPr>
        <w:t>Përdoruesit nevojitet t</w:t>
      </w:r>
      <w:r w:rsidR="001E5BEE" w:rsidRPr="00010E6E">
        <w:rPr>
          <w:lang w:val="sq-AL"/>
        </w:rPr>
        <w:t>’</w:t>
      </w:r>
      <w:r w:rsidRPr="00010E6E">
        <w:rPr>
          <w:lang w:val="sq-AL"/>
        </w:rPr>
        <w:t>i garantohet një ekzekutim urdhërpages</w:t>
      </w:r>
      <w:r w:rsidR="000B0AC4" w:rsidRPr="00010E6E">
        <w:rPr>
          <w:lang w:val="sq-AL"/>
        </w:rPr>
        <w:t>e</w:t>
      </w:r>
      <w:r w:rsidRPr="00010E6E">
        <w:rPr>
          <w:lang w:val="sq-AL"/>
        </w:rPr>
        <w:t xml:space="preserve"> nëse ofruesi i shërbimeve të pagesave nuk ka bazë kontraktuale ose statutore për refuzim. Nëse ofruesi i shërbimeve të pagesave refuzon një urdhërpagesë, refuzimi dhe arsyeja e refuzimit duhet t'i komunikohen përdoruesit të shërbimit të pagesave sa më shpejt të jetë e mundur, në përputhje me këtë projektligj (neni </w:t>
      </w:r>
      <w:r w:rsidR="00543464" w:rsidRPr="00010E6E">
        <w:rPr>
          <w:lang w:val="sq-AL"/>
        </w:rPr>
        <w:t>72</w:t>
      </w:r>
      <w:r w:rsidRPr="00010E6E">
        <w:rPr>
          <w:lang w:val="sq-AL"/>
        </w:rPr>
        <w:t>). Në rastin e tarifimit nga ofruesi i shërbimit për refuzimin, ky tarifim duhet të jetë i përcaktuar objektivisht dhe në nivele sa më të ul</w:t>
      </w:r>
      <w:r w:rsidR="000B0AC4" w:rsidRPr="00010E6E">
        <w:rPr>
          <w:lang w:val="sq-AL"/>
        </w:rPr>
        <w:t>ë</w:t>
      </w:r>
      <w:r w:rsidRPr="00010E6E">
        <w:rPr>
          <w:lang w:val="sq-AL"/>
        </w:rPr>
        <w:t xml:space="preserve">ta.  </w:t>
      </w:r>
    </w:p>
    <w:p w14:paraId="0FAD09A2" w14:textId="77777777" w:rsidR="0002198C" w:rsidRPr="00010E6E" w:rsidRDefault="0002198C" w:rsidP="0002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sq-AL"/>
        </w:rPr>
      </w:pPr>
    </w:p>
    <w:p w14:paraId="7C57519B" w14:textId="720F6C17" w:rsidR="0002198C" w:rsidRPr="00010E6E" w:rsidRDefault="00102BB4" w:rsidP="0002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sq-AL"/>
        </w:rPr>
      </w:pPr>
      <w:r>
        <w:rPr>
          <w:lang w:val="sq-AL"/>
        </w:rPr>
        <w:t>N</w:t>
      </w:r>
      <w:r w:rsidR="0002198C" w:rsidRPr="00010E6E">
        <w:rPr>
          <w:lang w:val="sq-AL"/>
        </w:rPr>
        <w:t xml:space="preserve">ë terma të ekzekutimit të pagesës rregullohet dhe momenti i parevokueshmërisë së pagesës (neni </w:t>
      </w:r>
      <w:r w:rsidR="007B53E3" w:rsidRPr="00010E6E">
        <w:rPr>
          <w:lang w:val="sq-AL"/>
        </w:rPr>
        <w:t>73</w:t>
      </w:r>
      <w:r w:rsidR="0002198C" w:rsidRPr="00010E6E">
        <w:rPr>
          <w:lang w:val="sq-AL"/>
        </w:rPr>
        <w:t>). Më konkretisht, duke pasur parasysh shpejtësinë me të cilën operojnë sistemet moderne të pagesave plotësisht automatike, është e nevojshme të përcaktohet një afat i qartë për revokimet e pagesave. Megjithatë, momenti i parevoku</w:t>
      </w:r>
      <w:r w:rsidR="000B0AC4" w:rsidRPr="00010E6E">
        <w:rPr>
          <w:lang w:val="sq-AL"/>
        </w:rPr>
        <w:t>e</w:t>
      </w:r>
      <w:r w:rsidR="0002198C" w:rsidRPr="00010E6E">
        <w:rPr>
          <w:lang w:val="sq-AL"/>
        </w:rPr>
        <w:t>shmërisë varion për instrumente të ndryshme pagese përfshirë këtu dhe debitimin direkt. Revokimi, në këtë kontekst, duhet të zbatohet vetëm për marrëdhëniet ndërmjet një përdoruesi të shërbimeve të pagesave dhe një ofruesi të shërbimeve të pagesave, duke mos cënuar në këtë mënyrë parevokueshmërinë dhe karakterin përfundimtar të transaksioneve të pagesave në sistemet e pagesave.</w:t>
      </w:r>
    </w:p>
    <w:p w14:paraId="3CE2ABA2" w14:textId="77777777" w:rsidR="0002198C" w:rsidRPr="00010E6E" w:rsidRDefault="0002198C" w:rsidP="0002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sq-AL"/>
        </w:rPr>
      </w:pPr>
    </w:p>
    <w:p w14:paraId="5EDF374C" w14:textId="265A34EC" w:rsidR="0002198C" w:rsidRPr="00010E6E" w:rsidRDefault="0002198C" w:rsidP="0002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sq-AL"/>
        </w:rPr>
      </w:pPr>
      <w:r w:rsidRPr="00010E6E">
        <w:rPr>
          <w:lang w:val="sq-AL"/>
        </w:rPr>
        <w:t xml:space="preserve">Është thelbësore që shuma e pagesës të transferohet e plotë nga paguesi tek përfituesi. Kjo mbështet përpunimin automatik të pagesave, si edhe garantimin e përmbushjes së detyrimeve ndaj palëve të treta. Në këto kushte, neni </w:t>
      </w:r>
      <w:r w:rsidR="009C61BC" w:rsidRPr="00010E6E">
        <w:rPr>
          <w:lang w:val="sq-AL"/>
        </w:rPr>
        <w:t xml:space="preserve">74 </w:t>
      </w:r>
      <w:r w:rsidRPr="00010E6E">
        <w:rPr>
          <w:lang w:val="sq-AL"/>
        </w:rPr>
        <w:t xml:space="preserve">i projektligjit garanton sa më sipër, si dhe përcakton se asnjë ndërmjetës në procesimin e pagesës nuk redukton shumën e dërguar për të mbajtur komisionet përkatëse. Megjithatë, dërguesi i pagesës mund të bjerë dakord me ofruesin e shërbimeve të pagesave, </w:t>
      </w:r>
      <w:r w:rsidR="00390E66">
        <w:rPr>
          <w:lang w:val="sq-AL"/>
        </w:rPr>
        <w:t>për</w:t>
      </w:r>
      <w:r w:rsidR="00390E66" w:rsidRPr="00010E6E">
        <w:rPr>
          <w:lang w:val="sq-AL"/>
        </w:rPr>
        <w:t xml:space="preserve"> </w:t>
      </w:r>
      <w:r w:rsidRPr="00010E6E">
        <w:rPr>
          <w:lang w:val="sq-AL"/>
        </w:rPr>
        <w:t>t’</w:t>
      </w:r>
      <w:r w:rsidR="00FD394B" w:rsidRPr="00010E6E">
        <w:rPr>
          <w:lang w:val="sq-AL"/>
        </w:rPr>
        <w:t>i</w:t>
      </w:r>
      <w:r w:rsidRPr="00010E6E">
        <w:rPr>
          <w:lang w:val="sq-AL"/>
        </w:rPr>
        <w:t xml:space="preserve"> lej</w:t>
      </w:r>
      <w:r w:rsidR="00390E66">
        <w:rPr>
          <w:lang w:val="sq-AL"/>
        </w:rPr>
        <w:t>uar</w:t>
      </w:r>
      <w:r w:rsidRPr="00010E6E">
        <w:rPr>
          <w:lang w:val="sq-AL"/>
        </w:rPr>
        <w:t xml:space="preserve"> këtij të fundit të zbresë tarifat e veta. </w:t>
      </w:r>
      <w:r w:rsidR="00390E66">
        <w:rPr>
          <w:lang w:val="sq-AL"/>
        </w:rPr>
        <w:t>M</w:t>
      </w:r>
      <w:r w:rsidRPr="00010E6E">
        <w:rPr>
          <w:lang w:val="sq-AL"/>
        </w:rPr>
        <w:t>e qëllim që t</w:t>
      </w:r>
      <w:r w:rsidR="0060158E">
        <w:rPr>
          <w:lang w:val="sq-AL"/>
        </w:rPr>
        <w:t>’i</w:t>
      </w:r>
      <w:r w:rsidRPr="00010E6E">
        <w:rPr>
          <w:lang w:val="sq-AL"/>
        </w:rPr>
        <w:t xml:space="preserve"> mundësojë përfituesi</w:t>
      </w:r>
      <w:r w:rsidR="0060158E">
        <w:rPr>
          <w:lang w:val="sq-AL"/>
        </w:rPr>
        <w:t>t të</w:t>
      </w:r>
      <w:r w:rsidRPr="00010E6E">
        <w:rPr>
          <w:lang w:val="sq-AL"/>
        </w:rPr>
        <w:t xml:space="preserve"> pagesës verifik</w:t>
      </w:r>
      <w:r w:rsidR="0060158E">
        <w:rPr>
          <w:lang w:val="sq-AL"/>
        </w:rPr>
        <w:t>imin e kryerjes korrekte të pagesës</w:t>
      </w:r>
      <w:r w:rsidRPr="00010E6E">
        <w:rPr>
          <w:lang w:val="sq-AL"/>
        </w:rPr>
        <w:t>, informacioni i di</w:t>
      </w:r>
      <w:r w:rsidR="00390E66">
        <w:rPr>
          <w:lang w:val="sq-AL"/>
        </w:rPr>
        <w:t>s</w:t>
      </w:r>
      <w:r w:rsidRPr="00010E6E">
        <w:rPr>
          <w:lang w:val="sq-AL"/>
        </w:rPr>
        <w:t xml:space="preserve">ponueshëm duhet të tregojë jo vetëm shumën e plotë të fondeve të transferuara, por edhe shumën e çdo tarife që është zbritur. </w:t>
      </w:r>
    </w:p>
    <w:p w14:paraId="34594975" w14:textId="77777777" w:rsidR="0002198C" w:rsidRPr="00010E6E" w:rsidRDefault="0002198C" w:rsidP="0002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sq-AL"/>
        </w:rPr>
      </w:pPr>
    </w:p>
    <w:p w14:paraId="6063E817" w14:textId="623496BE" w:rsidR="0002198C" w:rsidRPr="00010E6E" w:rsidRDefault="0002198C" w:rsidP="0002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sq-AL"/>
        </w:rPr>
      </w:pPr>
      <w:r w:rsidRPr="00010E6E">
        <w:rPr>
          <w:lang w:val="sq-AL"/>
        </w:rPr>
        <w:t xml:space="preserve">Me qëllim nxitjen e efikasitetit të pagesave në projektligj, nëpërmjet nenit </w:t>
      </w:r>
      <w:r w:rsidR="007A76C5" w:rsidRPr="00010E6E">
        <w:rPr>
          <w:lang w:val="sq-AL"/>
        </w:rPr>
        <w:t xml:space="preserve">76 </w:t>
      </w:r>
      <w:r w:rsidRPr="00010E6E">
        <w:rPr>
          <w:lang w:val="sq-AL"/>
        </w:rPr>
        <w:t>është parashikuar se të gjitha urdhërpagesat kombëtare të iniciuara nga paguesi në lek</w:t>
      </w:r>
      <w:r w:rsidR="00FD394B" w:rsidRPr="00010E6E">
        <w:rPr>
          <w:lang w:val="sq-AL"/>
        </w:rPr>
        <w:t>ë</w:t>
      </w:r>
      <w:r w:rsidRPr="00010E6E">
        <w:rPr>
          <w:lang w:val="sq-AL"/>
        </w:rPr>
        <w:t xml:space="preserve"> dhe në euro, duhet t'i nënshtrohen një kohe maksimale ekzekutimi T+1 (në ditën pasardhëse të punës). Nga ana tjetër, duke njohur vështirësitë e procesimit të pagesave në formë letër</w:t>
      </w:r>
      <w:r w:rsidR="0060158E">
        <w:rPr>
          <w:lang w:val="sq-AL"/>
        </w:rPr>
        <w:t>,</w:t>
      </w:r>
      <w:r w:rsidRPr="00010E6E">
        <w:rPr>
          <w:lang w:val="sq-AL"/>
        </w:rPr>
        <w:t xml:space="preserve"> </w:t>
      </w:r>
      <w:r w:rsidRPr="00010E6E">
        <w:rPr>
          <w:lang w:val="sq-AL"/>
        </w:rPr>
        <w:lastRenderedPageBreak/>
        <w:t xml:space="preserve">neni </w:t>
      </w:r>
      <w:r w:rsidR="00B765F8" w:rsidRPr="00010E6E">
        <w:rPr>
          <w:lang w:val="sq-AL"/>
        </w:rPr>
        <w:t xml:space="preserve">76 </w:t>
      </w:r>
      <w:r w:rsidRPr="00010E6E">
        <w:rPr>
          <w:lang w:val="sq-AL"/>
        </w:rPr>
        <w:t xml:space="preserve">lejon mundësinë e shtyrjes së ekzekutimit të këtyre lloje transaksionesh me një ditë pune. Për të gjitha pagesat e tjera, siç janë pagesat e nisura nga ose përmes një paguesi, duke përfshirë debitime direkte dhe pagesa me karta, në mungesë të një marrëveshjeje të qartë midis ofruesit të shërbimeve të pagesave dhe paguesit </w:t>
      </w:r>
      <w:r w:rsidR="00C029A8">
        <w:rPr>
          <w:lang w:val="sq-AL"/>
        </w:rPr>
        <w:t>për të</w:t>
      </w:r>
      <w:r w:rsidR="00C029A8" w:rsidRPr="00010E6E">
        <w:rPr>
          <w:lang w:val="sq-AL"/>
        </w:rPr>
        <w:t xml:space="preserve"> </w:t>
      </w:r>
      <w:r w:rsidRPr="00010E6E">
        <w:rPr>
          <w:lang w:val="sq-AL"/>
        </w:rPr>
        <w:t xml:space="preserve">vendosur një kohë më të gjatë ekzekutimi, duhet të </w:t>
      </w:r>
      <w:r w:rsidR="00C029A8" w:rsidRPr="00010E6E">
        <w:rPr>
          <w:lang w:val="sq-AL"/>
        </w:rPr>
        <w:t>apliko</w:t>
      </w:r>
      <w:r w:rsidR="00C029A8">
        <w:rPr>
          <w:lang w:val="sq-AL"/>
        </w:rPr>
        <w:t>het</w:t>
      </w:r>
      <w:r w:rsidR="00C029A8" w:rsidRPr="00010E6E">
        <w:rPr>
          <w:lang w:val="sq-AL"/>
        </w:rPr>
        <w:t xml:space="preserve"> </w:t>
      </w:r>
      <w:r w:rsidR="00C029A8">
        <w:rPr>
          <w:lang w:val="sq-AL"/>
        </w:rPr>
        <w:t>i</w:t>
      </w:r>
      <w:r w:rsidR="00C029A8" w:rsidRPr="00010E6E">
        <w:rPr>
          <w:lang w:val="sq-AL"/>
        </w:rPr>
        <w:t xml:space="preserve"> </w:t>
      </w:r>
      <w:r w:rsidRPr="00010E6E">
        <w:rPr>
          <w:lang w:val="sq-AL"/>
        </w:rPr>
        <w:t>njëjti afat kohor. Ndërkohë</w:t>
      </w:r>
      <w:r w:rsidR="0060158E">
        <w:rPr>
          <w:lang w:val="sq-AL"/>
        </w:rPr>
        <w:t>,</w:t>
      </w:r>
      <w:r w:rsidRPr="00010E6E">
        <w:rPr>
          <w:lang w:val="sq-AL"/>
        </w:rPr>
        <w:t xml:space="preserve"> projektligji parashikon për transaksionet e pagesave me shtetet </w:t>
      </w:r>
      <w:r w:rsidR="0060158E">
        <w:rPr>
          <w:lang w:val="sq-AL"/>
        </w:rPr>
        <w:t>a</w:t>
      </w:r>
      <w:r w:rsidRPr="00010E6E">
        <w:rPr>
          <w:lang w:val="sq-AL"/>
        </w:rPr>
        <w:t>nëtare të Bashkimit Evropian</w:t>
      </w:r>
      <w:r w:rsidR="0060158E">
        <w:rPr>
          <w:lang w:val="sq-AL"/>
        </w:rPr>
        <w:t>,</w:t>
      </w:r>
      <w:r w:rsidRPr="00010E6E">
        <w:rPr>
          <w:lang w:val="sq-AL"/>
        </w:rPr>
        <w:t xml:space="preserve"> një periudhë jo më të gjatë ekzekutimi se T+4</w:t>
      </w:r>
      <w:r w:rsidR="00D44F26" w:rsidRPr="00010E6E">
        <w:rPr>
          <w:lang w:val="sq-AL"/>
        </w:rPr>
        <w:t xml:space="preserve"> edhe në rastin kur palët bien dakord për një periudhë ndryshe/tjetër nga sa u përmend më lart</w:t>
      </w:r>
      <w:r w:rsidRPr="00010E6E">
        <w:rPr>
          <w:lang w:val="sq-AL"/>
        </w:rPr>
        <w:t xml:space="preserve">. </w:t>
      </w:r>
    </w:p>
    <w:p w14:paraId="73CBAB58" w14:textId="77777777" w:rsidR="0002198C" w:rsidRPr="00010E6E" w:rsidRDefault="0002198C" w:rsidP="0002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sq-AL"/>
        </w:rPr>
      </w:pPr>
      <w:r w:rsidRPr="00010E6E">
        <w:rPr>
          <w:lang w:val="sq-AL"/>
        </w:rPr>
        <w:t xml:space="preserve">  </w:t>
      </w:r>
    </w:p>
    <w:p w14:paraId="67794BDF" w14:textId="32424BAB" w:rsidR="0002198C" w:rsidRPr="00010E6E" w:rsidRDefault="0002198C" w:rsidP="0002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sq-AL"/>
        </w:rPr>
      </w:pPr>
      <w:r w:rsidRPr="00010E6E">
        <w:rPr>
          <w:lang w:val="sq-AL"/>
        </w:rPr>
        <w:t>Gjithashtu, Banka e Shqipërisë duke shfrytëzuar hapësirat e krijuar</w:t>
      </w:r>
      <w:r w:rsidR="0060158E">
        <w:rPr>
          <w:lang w:val="sq-AL"/>
        </w:rPr>
        <w:t>a</w:t>
      </w:r>
      <w:r w:rsidRPr="00010E6E">
        <w:rPr>
          <w:lang w:val="sq-AL"/>
        </w:rPr>
        <w:t xml:space="preserve"> nga Direktiva si dhe për zbatimin e mëtejshëm të rregulloreve për sistemin AIPS dhe AECH</w:t>
      </w:r>
      <w:r w:rsidR="0060158E">
        <w:rPr>
          <w:lang w:val="sq-AL"/>
        </w:rPr>
        <w:t>,</w:t>
      </w:r>
      <w:r w:rsidRPr="00010E6E">
        <w:rPr>
          <w:lang w:val="sq-AL"/>
        </w:rPr>
        <w:t xml:space="preserve"> nëpërmjet nenit </w:t>
      </w:r>
      <w:r w:rsidR="000D15DE" w:rsidRPr="00010E6E">
        <w:rPr>
          <w:lang w:val="sq-AL"/>
        </w:rPr>
        <w:t xml:space="preserve">80 </w:t>
      </w:r>
      <w:r w:rsidR="007B2372" w:rsidRPr="00010E6E">
        <w:rPr>
          <w:lang w:val="sq-AL"/>
        </w:rPr>
        <w:t>të projekt</w:t>
      </w:r>
      <w:r w:rsidRPr="00010E6E">
        <w:rPr>
          <w:lang w:val="sq-AL"/>
        </w:rPr>
        <w:t xml:space="preserve">ligjit </w:t>
      </w:r>
      <w:r w:rsidR="004067E8" w:rsidRPr="00010E6E">
        <w:rPr>
          <w:lang w:val="sq-AL"/>
        </w:rPr>
        <w:t>mund të</w:t>
      </w:r>
      <w:r w:rsidRPr="00010E6E">
        <w:rPr>
          <w:lang w:val="sq-AL"/>
        </w:rPr>
        <w:t xml:space="preserve"> zbatojë një afat ekzekutimi për pagesat në lekë brenda vendit T (brenda ditës). </w:t>
      </w:r>
    </w:p>
    <w:p w14:paraId="3360A26C" w14:textId="77777777" w:rsidR="0002198C" w:rsidRPr="00010E6E" w:rsidRDefault="0002198C" w:rsidP="0002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sq-AL"/>
        </w:rPr>
      </w:pPr>
    </w:p>
    <w:p w14:paraId="1D43DF1B" w14:textId="0A6828B9" w:rsidR="0002198C" w:rsidRPr="00010E6E" w:rsidRDefault="0002198C" w:rsidP="0002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sq-AL"/>
        </w:rPr>
      </w:pPr>
      <w:r w:rsidRPr="00010E6E">
        <w:rPr>
          <w:lang w:val="sq-AL"/>
        </w:rPr>
        <w:t xml:space="preserve">Neni </w:t>
      </w:r>
      <w:r w:rsidR="001258A8" w:rsidRPr="00010E6E">
        <w:rPr>
          <w:lang w:val="sq-AL"/>
        </w:rPr>
        <w:t xml:space="preserve">77 </w:t>
      </w:r>
      <w:r w:rsidRPr="00010E6E">
        <w:rPr>
          <w:lang w:val="sq-AL"/>
        </w:rPr>
        <w:t>rregullon përkatësisht rastin e mungesës së një llogarie nga ana e përfituesit, ku ofruesi i shërbimeve të pagesave merr fondet për llogari të përfituesit sipas afateve të përcaktuara më lart. Ndërkohë</w:t>
      </w:r>
      <w:r w:rsidR="0060158E">
        <w:rPr>
          <w:lang w:val="sq-AL"/>
        </w:rPr>
        <w:t>,</w:t>
      </w:r>
      <w:r w:rsidRPr="00010E6E">
        <w:rPr>
          <w:lang w:val="sq-AL"/>
        </w:rPr>
        <w:t xml:space="preserve"> neni </w:t>
      </w:r>
      <w:r w:rsidR="00262999" w:rsidRPr="00010E6E">
        <w:rPr>
          <w:lang w:val="sq-AL"/>
        </w:rPr>
        <w:t>7</w:t>
      </w:r>
      <w:r w:rsidRPr="00010E6E">
        <w:rPr>
          <w:lang w:val="sq-AL"/>
        </w:rPr>
        <w:t xml:space="preserve">8 përcakton se paraja fizike e depozituar në llogari duhet të bëhet menjëherë e disponueshme për konsumatorët </w:t>
      </w:r>
      <w:r w:rsidR="0060158E">
        <w:rPr>
          <w:lang w:val="sq-AL"/>
        </w:rPr>
        <w:t>e</w:t>
      </w:r>
      <w:r w:rsidRPr="00010E6E">
        <w:rPr>
          <w:lang w:val="sq-AL"/>
        </w:rPr>
        <w:t>dhe për mikrondërmarrjet</w:t>
      </w:r>
      <w:r w:rsidR="0060158E">
        <w:rPr>
          <w:lang w:val="sq-AL"/>
        </w:rPr>
        <w:t>,</w:t>
      </w:r>
      <w:r w:rsidRPr="00010E6E">
        <w:rPr>
          <w:lang w:val="sq-AL"/>
        </w:rPr>
        <w:t xml:space="preserve"> ndërkohë për ndërmarrjet e tjera përcaktohet midis palëve. </w:t>
      </w:r>
    </w:p>
    <w:p w14:paraId="4FD2C86E" w14:textId="77777777" w:rsidR="0002198C" w:rsidRPr="00010E6E" w:rsidRDefault="0002198C" w:rsidP="0002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sq-AL"/>
        </w:rPr>
      </w:pPr>
    </w:p>
    <w:p w14:paraId="645FF196" w14:textId="7C1A24A7" w:rsidR="0002198C" w:rsidRPr="00010E6E" w:rsidRDefault="0002198C" w:rsidP="0002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sq-AL"/>
        </w:rPr>
      </w:pPr>
      <w:r w:rsidRPr="00010E6E">
        <w:rPr>
          <w:lang w:val="sq-AL"/>
        </w:rPr>
        <w:t>Nenet</w:t>
      </w:r>
      <w:r w:rsidR="004067E8" w:rsidRPr="00010E6E">
        <w:rPr>
          <w:lang w:val="sq-AL"/>
        </w:rPr>
        <w:t xml:space="preserve"> </w:t>
      </w:r>
      <w:r w:rsidR="000B0AC4" w:rsidRPr="00010E6E">
        <w:rPr>
          <w:lang w:val="sq-AL"/>
        </w:rPr>
        <w:t xml:space="preserve">81 </w:t>
      </w:r>
      <w:r w:rsidRPr="00010E6E">
        <w:rPr>
          <w:lang w:val="sq-AL"/>
        </w:rPr>
        <w:t xml:space="preserve">deri në </w:t>
      </w:r>
      <w:r w:rsidR="000B0AC4" w:rsidRPr="00010E6E">
        <w:rPr>
          <w:lang w:val="sq-AL"/>
        </w:rPr>
        <w:t xml:space="preserve">85 </w:t>
      </w:r>
      <w:r w:rsidRPr="00010E6E">
        <w:rPr>
          <w:lang w:val="sq-AL"/>
        </w:rPr>
        <w:t xml:space="preserve">rregullojnë detyrimet e palëve të përfshira në transaksion për mosekzekutimin, ekzekutimin e gabuar ose të vonuar të pagesave. </w:t>
      </w:r>
      <w:r w:rsidR="0060158E">
        <w:rPr>
          <w:lang w:val="sq-AL"/>
        </w:rPr>
        <w:t>F</w:t>
      </w:r>
      <w:r w:rsidRPr="00010E6E">
        <w:rPr>
          <w:lang w:val="sq-AL"/>
        </w:rPr>
        <w:t>unksionimi i qëndrueshëm dhe efikas i sistemit të pagesave ndikohet drejtpërdrejt nga aftësitë e ofruesit të shërbimeve të pagesave për të ekzekutuar pagesat në mënyrën e duhur dhe duke minimizuar rreziqet. Nën këtë supozim, rregullimi i sipërcituar baz</w:t>
      </w:r>
      <w:r w:rsidR="0060158E">
        <w:rPr>
          <w:lang w:val="sq-AL"/>
        </w:rPr>
        <w:t>ohet</w:t>
      </w:r>
      <w:r w:rsidRPr="00010E6E">
        <w:rPr>
          <w:lang w:val="sq-AL"/>
        </w:rPr>
        <w:t xml:space="preserve"> në parimin se përgjegjësinë për ekzekutimin ose jo të një pagese të pranuar nga paguesi duhet ta mbartë ofruesi i shërbimeve të pagesave dhe ndërmjetësit e përfshirë në transaksion. Më konkretisht, ofruesi i shërbimeve të pagesave të paguesit, përfshirë këtu ofruesin e shërbimit të pagesës për shërbimin e llogarisë, dhe kur është e përshtatshme, ofruesi</w:t>
      </w:r>
      <w:r w:rsidR="0060158E">
        <w:rPr>
          <w:lang w:val="sq-AL"/>
        </w:rPr>
        <w:t>n e</w:t>
      </w:r>
      <w:r w:rsidRPr="00010E6E">
        <w:rPr>
          <w:lang w:val="sq-AL"/>
        </w:rPr>
        <w:t xml:space="preserve"> shërbimit të inicimit të pagesave, duhet të marrin përgjegjësinë për ekzekutimin korrekt të pagesave, duke përfshirë, në veçanti, shumën e plotë të transaksionit të pagesës dhe kohën e ekzekutimit, si dhe përgjegjësinë e plotë për çdo dështim nga palët e tjera në zinxhirin e pagesave deri në llogarinë e përfituesit me përjashtim të rasteve, të situatave jo normale dhe të paparashikuara të përcaktuara në nenin </w:t>
      </w:r>
      <w:r w:rsidR="00262999" w:rsidRPr="00010E6E">
        <w:rPr>
          <w:lang w:val="sq-AL"/>
        </w:rPr>
        <w:t xml:space="preserve">86 </w:t>
      </w:r>
      <w:r w:rsidRPr="00010E6E">
        <w:rPr>
          <w:lang w:val="sq-AL"/>
        </w:rPr>
        <w:t xml:space="preserve">të projektligjit. </w:t>
      </w:r>
    </w:p>
    <w:p w14:paraId="4FC3E839" w14:textId="77777777" w:rsidR="0002198C" w:rsidRPr="00010E6E" w:rsidRDefault="0002198C" w:rsidP="0002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sq-AL"/>
        </w:rPr>
      </w:pPr>
    </w:p>
    <w:p w14:paraId="29B0BFA8" w14:textId="0D1205D7" w:rsidR="0002198C" w:rsidRPr="00010E6E" w:rsidRDefault="0002198C" w:rsidP="0002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sq-AL"/>
        </w:rPr>
      </w:pPr>
      <w:r w:rsidRPr="00010E6E">
        <w:rPr>
          <w:lang w:val="sq-AL"/>
        </w:rPr>
        <w:lastRenderedPageBreak/>
        <w:t xml:space="preserve">Si rezultat i kësaj përgjegjësie, ofruesi i shërbimeve të pagesave të paguesit duhet, kur shuma e plotë nuk kreditohet ose kreditohet me vonesë tek ofruesi i shërbimeve të pagesave të </w:t>
      </w:r>
      <w:r w:rsidR="000B0AC4" w:rsidRPr="00010E6E">
        <w:rPr>
          <w:lang w:val="sq-AL"/>
        </w:rPr>
        <w:t>përfituesit</w:t>
      </w:r>
      <w:r w:rsidRPr="00010E6E">
        <w:rPr>
          <w:lang w:val="sq-AL"/>
        </w:rPr>
        <w:t>, të korrigjojë transaksionin e pagesës</w:t>
      </w:r>
      <w:r w:rsidR="0060158E">
        <w:rPr>
          <w:lang w:val="sq-AL"/>
        </w:rPr>
        <w:t>,</w:t>
      </w:r>
      <w:r w:rsidRPr="00010E6E">
        <w:rPr>
          <w:lang w:val="sq-AL"/>
        </w:rPr>
        <w:t xml:space="preserve"> ose pa vonesa të panevojshme të rimbursojë paguesin </w:t>
      </w:r>
      <w:r w:rsidR="007A2CAF" w:rsidRPr="00010E6E">
        <w:rPr>
          <w:lang w:val="sq-AL"/>
        </w:rPr>
        <w:t xml:space="preserve">për </w:t>
      </w:r>
      <w:r w:rsidRPr="00010E6E">
        <w:rPr>
          <w:lang w:val="sq-AL"/>
        </w:rPr>
        <w:t xml:space="preserve">shumën përkatëse të transaksionit pa aplikuar asnjë tarifë </w:t>
      </w:r>
      <w:r w:rsidR="0060158E">
        <w:rPr>
          <w:lang w:val="sq-AL"/>
        </w:rPr>
        <w:t>p</w:t>
      </w:r>
      <w:r w:rsidR="0060158E" w:rsidRPr="00010E6E">
        <w:rPr>
          <w:lang w:val="sq-AL"/>
        </w:rPr>
        <w:t>ë</w:t>
      </w:r>
      <w:r w:rsidR="0060158E">
        <w:rPr>
          <w:lang w:val="sq-AL"/>
        </w:rPr>
        <w:t xml:space="preserve">r </w:t>
      </w:r>
      <w:r w:rsidRPr="00010E6E">
        <w:rPr>
          <w:lang w:val="sq-AL"/>
        </w:rPr>
        <w:t>këtë veprim. Për shkak të përgjegjësisë së ofruesit të shërbimeve të pagesave, paguesi ose përfituesi nuk duhet të ngarkohen me kosto që lidhe</w:t>
      </w:r>
      <w:r w:rsidR="0060158E">
        <w:rPr>
          <w:lang w:val="sq-AL"/>
        </w:rPr>
        <w:t>n</w:t>
      </w:r>
      <w:r w:rsidRPr="00010E6E">
        <w:rPr>
          <w:lang w:val="sq-AL"/>
        </w:rPr>
        <w:t xml:space="preserve"> me pagesën e gabuar. </w:t>
      </w:r>
    </w:p>
    <w:p w14:paraId="7CB5478D" w14:textId="77777777" w:rsidR="0002198C" w:rsidRPr="00010E6E" w:rsidRDefault="0002198C" w:rsidP="0002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sq-AL"/>
        </w:rPr>
      </w:pPr>
    </w:p>
    <w:p w14:paraId="5186DCEA" w14:textId="77777777" w:rsidR="0002198C" w:rsidRPr="00010E6E" w:rsidRDefault="0002198C" w:rsidP="0002198C">
      <w:pPr>
        <w:widowControl w:val="0"/>
        <w:jc w:val="both"/>
        <w:rPr>
          <w:lang w:val="sq-AL"/>
        </w:rPr>
      </w:pPr>
      <w:r w:rsidRPr="00010E6E">
        <w:rPr>
          <w:lang w:val="sq-AL"/>
        </w:rPr>
        <w:t xml:space="preserve">Në lidhje me ekzekutimin e pagesës në mënyrë të gabuar, si rrjedhojë e dhënies së kodit unik të identifikimit të pasaktë (neni </w:t>
      </w:r>
      <w:r w:rsidR="00135DC2" w:rsidRPr="00010E6E">
        <w:rPr>
          <w:lang w:val="sq-AL"/>
        </w:rPr>
        <w:t>81</w:t>
      </w:r>
      <w:r w:rsidRPr="00010E6E">
        <w:rPr>
          <w:lang w:val="sq-AL"/>
        </w:rPr>
        <w:t xml:space="preserve">) nga ana e paguesit, ofruesi i shërbimeve të pagesave nuk mbart përgjegjësi, megjithatë duhet të bashkëpunojë për rimarrjen e fondeve nëpërmjet komunikimit të informacioneve përkatëse. </w:t>
      </w:r>
    </w:p>
    <w:p w14:paraId="3DD5DE0A" w14:textId="77777777" w:rsidR="0002198C" w:rsidRPr="00010E6E" w:rsidRDefault="0002198C" w:rsidP="0002198C">
      <w:pPr>
        <w:widowControl w:val="0"/>
        <w:jc w:val="both"/>
        <w:rPr>
          <w:lang w:val="sq-AL"/>
        </w:rPr>
      </w:pPr>
    </w:p>
    <w:p w14:paraId="50B40817" w14:textId="7280A28A" w:rsidR="002B134D" w:rsidRPr="00010E6E" w:rsidRDefault="002B134D" w:rsidP="002B134D">
      <w:pPr>
        <w:widowControl w:val="0"/>
        <w:jc w:val="both"/>
        <w:rPr>
          <w:lang w:val="sq-AL"/>
        </w:rPr>
      </w:pPr>
      <w:r w:rsidRPr="00010E6E">
        <w:rPr>
          <w:lang w:val="sq-AL"/>
        </w:rPr>
        <w:t xml:space="preserve">Në nenin </w:t>
      </w:r>
      <w:r w:rsidR="00CC1B7B" w:rsidRPr="00010E6E">
        <w:rPr>
          <w:lang w:val="sq-AL"/>
        </w:rPr>
        <w:t xml:space="preserve">87 </w:t>
      </w:r>
      <w:r w:rsidR="007B2372" w:rsidRPr="00010E6E">
        <w:rPr>
          <w:lang w:val="sq-AL"/>
        </w:rPr>
        <w:t>të projekt</w:t>
      </w:r>
      <w:r w:rsidRPr="00010E6E">
        <w:rPr>
          <w:lang w:val="sq-AL"/>
        </w:rPr>
        <w:t>ligjit, duke marrë parasysh se procesimi i pagesave kërkon dhe përdorim të të dhënave personale, përcakto</w:t>
      </w:r>
      <w:r w:rsidR="008B2292">
        <w:rPr>
          <w:lang w:val="sq-AL"/>
        </w:rPr>
        <w:t>het</w:t>
      </w:r>
      <w:r w:rsidRPr="00010E6E">
        <w:rPr>
          <w:lang w:val="sq-AL"/>
        </w:rPr>
        <w:t xml:space="preserve"> qartazi nevoj</w:t>
      </w:r>
      <w:r w:rsidR="008B2292">
        <w:rPr>
          <w:lang w:val="sq-AL"/>
        </w:rPr>
        <w:t>a</w:t>
      </w:r>
      <w:r w:rsidRPr="00010E6E">
        <w:rPr>
          <w:lang w:val="sq-AL"/>
        </w:rPr>
        <w:t xml:space="preserve"> për zbatim të legjislacionit në fuqi për mbrojtjen e të dhënave personale në çdo proces dhe vetëm pasi kanë marrë pëlqimin e përdoruesit të shërbimeve të pagesave.   </w:t>
      </w:r>
    </w:p>
    <w:p w14:paraId="25A727C2" w14:textId="77777777" w:rsidR="002B134D" w:rsidRPr="00010E6E" w:rsidRDefault="002B134D" w:rsidP="002B134D">
      <w:pPr>
        <w:widowControl w:val="0"/>
        <w:jc w:val="both"/>
        <w:rPr>
          <w:lang w:val="sq-AL"/>
        </w:rPr>
      </w:pPr>
    </w:p>
    <w:p w14:paraId="14ADB911" w14:textId="77777777" w:rsidR="0060158E" w:rsidRDefault="004A3603" w:rsidP="00D76918">
      <w:pPr>
        <w:widowControl w:val="0"/>
        <w:jc w:val="both"/>
        <w:rPr>
          <w:lang w:val="sq-AL"/>
        </w:rPr>
      </w:pPr>
      <w:r w:rsidRPr="00010E6E">
        <w:rPr>
          <w:lang w:val="sq-AL"/>
        </w:rPr>
        <w:t xml:space="preserve">Një </w:t>
      </w:r>
      <w:r w:rsidR="0041047C" w:rsidRPr="00010E6E">
        <w:rPr>
          <w:lang w:val="sq-AL"/>
        </w:rPr>
        <w:t xml:space="preserve">kre </w:t>
      </w:r>
      <w:r w:rsidRPr="00010E6E">
        <w:rPr>
          <w:lang w:val="sq-AL"/>
        </w:rPr>
        <w:t xml:space="preserve">i veçantë </w:t>
      </w:r>
      <w:r w:rsidR="0041047C" w:rsidRPr="00010E6E">
        <w:rPr>
          <w:lang w:val="sq-AL"/>
        </w:rPr>
        <w:t>në</w:t>
      </w:r>
      <w:r w:rsidR="007B2372" w:rsidRPr="00010E6E">
        <w:rPr>
          <w:lang w:val="sq-AL"/>
        </w:rPr>
        <w:t xml:space="preserve"> projekt</w:t>
      </w:r>
      <w:r w:rsidRPr="00010E6E">
        <w:rPr>
          <w:lang w:val="sq-AL"/>
        </w:rPr>
        <w:t xml:space="preserve">ligj i dedikohet edhe administrimit të rrezikut operacional dhe </w:t>
      </w:r>
      <w:r w:rsidR="00D76918" w:rsidRPr="00010E6E">
        <w:rPr>
          <w:lang w:val="sq-AL"/>
        </w:rPr>
        <w:t xml:space="preserve">të sigurisë si dhe </w:t>
      </w:r>
      <w:r w:rsidR="00991466" w:rsidRPr="00010E6E">
        <w:rPr>
          <w:lang w:val="sq-AL"/>
        </w:rPr>
        <w:t xml:space="preserve">autentifikimit </w:t>
      </w:r>
      <w:r w:rsidR="00D76918" w:rsidRPr="00010E6E">
        <w:rPr>
          <w:lang w:val="sq-AL"/>
        </w:rPr>
        <w:t xml:space="preserve">të klientëve. </w:t>
      </w:r>
    </w:p>
    <w:p w14:paraId="3B915379" w14:textId="77777777" w:rsidR="0060158E" w:rsidRDefault="0060158E" w:rsidP="00D76918">
      <w:pPr>
        <w:widowControl w:val="0"/>
        <w:jc w:val="both"/>
        <w:rPr>
          <w:lang w:val="sq-AL"/>
        </w:rPr>
      </w:pPr>
    </w:p>
    <w:p w14:paraId="18AD094F" w14:textId="2ECF4A83" w:rsidR="00D76918" w:rsidRPr="00010E6E" w:rsidRDefault="00D76918" w:rsidP="00D76918">
      <w:pPr>
        <w:widowControl w:val="0"/>
        <w:jc w:val="both"/>
        <w:rPr>
          <w:lang w:val="sq-AL"/>
        </w:rPr>
      </w:pPr>
      <w:r w:rsidRPr="008B2292">
        <w:rPr>
          <w:lang w:val="sq-AL"/>
        </w:rPr>
        <w:t xml:space="preserve">Më konkretisht, neni </w:t>
      </w:r>
      <w:r w:rsidR="00CF4097" w:rsidRPr="008B2292">
        <w:rPr>
          <w:lang w:val="sq-AL"/>
        </w:rPr>
        <w:t>88</w:t>
      </w:r>
      <w:r w:rsidRPr="002E5A68">
        <w:rPr>
          <w:lang w:val="sq-AL"/>
        </w:rPr>
        <w:t xml:space="preserve"> parashikon detyrimin që ofruesit e shërbimeve të pagesave të marrin masat e duhura për zbutjen</w:t>
      </w:r>
      <w:r w:rsidR="008B2292" w:rsidRPr="008B2292">
        <w:rPr>
          <w:lang w:val="sq-AL"/>
        </w:rPr>
        <w:t xml:space="preserve"> </w:t>
      </w:r>
      <w:r w:rsidR="008B2292" w:rsidRPr="00BB125E">
        <w:rPr>
          <w:lang w:val="sq-AL"/>
        </w:rPr>
        <w:t>e rrezikut operacional</w:t>
      </w:r>
      <w:r w:rsidRPr="008B2292">
        <w:rPr>
          <w:lang w:val="sq-AL"/>
        </w:rPr>
        <w:t xml:space="preserve"> dhe të krijojnë sisteme kontrolli të përshtatsh</w:t>
      </w:r>
      <w:r w:rsidR="003F16A2" w:rsidRPr="008B2292">
        <w:rPr>
          <w:lang w:val="sq-AL"/>
        </w:rPr>
        <w:t>me</w:t>
      </w:r>
      <w:r w:rsidRPr="008B2292">
        <w:rPr>
          <w:lang w:val="sq-AL"/>
        </w:rPr>
        <w:t xml:space="preserve">, për administrimin e </w:t>
      </w:r>
      <w:r w:rsidR="008B2292">
        <w:rPr>
          <w:lang w:val="sq-AL"/>
        </w:rPr>
        <w:t>tij</w:t>
      </w:r>
      <w:r w:rsidRPr="008B2292">
        <w:rPr>
          <w:lang w:val="sq-AL"/>
        </w:rPr>
        <w:t xml:space="preserve"> dhe të sigurisë që lidhet me shërbimet e pagesave të ofruara. Njëkohësisht, këta ofrues duhet të paraqesin pranë Bankës së Shqipërisë, mbi baza vjetore, ose siç përcaktohet nga kjo e fundit, një vlerësim mbi rrezikun operacional dhe rrezikun e sigurisë që lidhet me shërbimet që ata ofrojnë, si </w:t>
      </w:r>
      <w:r w:rsidRPr="002E5A68">
        <w:rPr>
          <w:lang w:val="sq-AL"/>
        </w:rPr>
        <w:t xml:space="preserve">dhe mbi mjaftueshmërinë e masave për zbutjen </w:t>
      </w:r>
      <w:r w:rsidR="002E5A68">
        <w:rPr>
          <w:lang w:val="sq-AL"/>
        </w:rPr>
        <w:t xml:space="preserve">e tij </w:t>
      </w:r>
      <w:r w:rsidRPr="002E5A68">
        <w:rPr>
          <w:lang w:val="sq-AL"/>
        </w:rPr>
        <w:t>dhe të sistemeve të kontrollit të krijuara për administrimin e këtyre rreziqeve.</w:t>
      </w:r>
      <w:r w:rsidRPr="00010E6E">
        <w:rPr>
          <w:lang w:val="sq-AL"/>
        </w:rPr>
        <w:t xml:space="preserve"> </w:t>
      </w:r>
    </w:p>
    <w:p w14:paraId="414AC848" w14:textId="77777777" w:rsidR="00D625C0" w:rsidRPr="00010E6E" w:rsidRDefault="00D625C0" w:rsidP="00D76918">
      <w:pPr>
        <w:widowControl w:val="0"/>
        <w:jc w:val="both"/>
        <w:rPr>
          <w:lang w:val="sq-AL"/>
        </w:rPr>
      </w:pPr>
    </w:p>
    <w:p w14:paraId="6CF24EEA" w14:textId="1687DF8D" w:rsidR="00D76918" w:rsidRPr="00010E6E" w:rsidRDefault="002E5A68" w:rsidP="00D76918">
      <w:pPr>
        <w:widowControl w:val="0"/>
        <w:jc w:val="both"/>
        <w:rPr>
          <w:lang w:val="sq-AL"/>
        </w:rPr>
      </w:pPr>
      <w:r>
        <w:rPr>
          <w:lang w:val="sq-AL"/>
        </w:rPr>
        <w:t>N</w:t>
      </w:r>
      <w:r w:rsidRPr="00010E6E">
        <w:rPr>
          <w:lang w:val="sq-AL"/>
        </w:rPr>
        <w:t xml:space="preserve">ë rastin e ndodhjes së një incidenti madhor operacional ose të sigurisë, </w:t>
      </w:r>
      <w:r>
        <w:rPr>
          <w:lang w:val="sq-AL"/>
        </w:rPr>
        <w:t>n</w:t>
      </w:r>
      <w:r w:rsidR="00D76918" w:rsidRPr="00010E6E">
        <w:rPr>
          <w:lang w:val="sq-AL"/>
        </w:rPr>
        <w:t xml:space="preserve">eni </w:t>
      </w:r>
      <w:r w:rsidR="00F158DA" w:rsidRPr="00010E6E">
        <w:rPr>
          <w:lang w:val="sq-AL"/>
        </w:rPr>
        <w:t>89</w:t>
      </w:r>
      <w:r w:rsidR="00D76918" w:rsidRPr="00010E6E">
        <w:rPr>
          <w:lang w:val="sq-AL"/>
        </w:rPr>
        <w:t xml:space="preserve"> parashikon detyrimin e ofruesve të shërbimeve të pagesave për njoftim </w:t>
      </w:r>
      <w:r w:rsidR="00F158DA" w:rsidRPr="00010E6E">
        <w:rPr>
          <w:lang w:val="sq-AL"/>
        </w:rPr>
        <w:t>pa vonesa të pajustifikuara</w:t>
      </w:r>
      <w:r w:rsidR="00D76918" w:rsidRPr="00010E6E">
        <w:rPr>
          <w:lang w:val="sq-AL"/>
        </w:rPr>
        <w:t xml:space="preserve"> të Bankës së Shqipërisë, e cila duhet të marrë të gjitha masat e nevojshme për të mbrojtur sigurinë e menjëhershme të sistemit financiar. Në rastet kur ky incident ndikon në interesat financiar</w:t>
      </w:r>
      <w:r>
        <w:rPr>
          <w:lang w:val="sq-AL"/>
        </w:rPr>
        <w:t>e</w:t>
      </w:r>
      <w:r w:rsidR="00D76918" w:rsidRPr="00010E6E">
        <w:rPr>
          <w:lang w:val="sq-AL"/>
        </w:rPr>
        <w:t xml:space="preserve"> të përdoruesve të shërbimeve të pagesave, ofruesi i shërbimeve të pagesave duhet t</w:t>
      </w:r>
      <w:r>
        <w:rPr>
          <w:lang w:val="sq-AL"/>
        </w:rPr>
        <w:t>’i</w:t>
      </w:r>
      <w:r w:rsidR="00D76918" w:rsidRPr="00010E6E">
        <w:rPr>
          <w:lang w:val="sq-AL"/>
        </w:rPr>
        <w:t xml:space="preserve"> informojë këta të fundit mbi incidentin dhe të gjitha </w:t>
      </w:r>
      <w:r w:rsidR="00D76918" w:rsidRPr="00010E6E">
        <w:rPr>
          <w:lang w:val="sq-AL"/>
        </w:rPr>
        <w:lastRenderedPageBreak/>
        <w:t>masat që ata mund të marrin për të zbutur efektet e padëshiruara të incidentit. Ofruesit e shërbimeve të pagesave duhet t’i paraqesin mbi baza periodike Bankës së Shqipërisë, të dhëna statistikore për mashtrimet, në lidhje me mjetet e ndryshme të pagesës.</w:t>
      </w:r>
    </w:p>
    <w:p w14:paraId="26CA6244" w14:textId="77777777" w:rsidR="00D625C0" w:rsidRPr="00010E6E" w:rsidRDefault="00D625C0" w:rsidP="00D76918">
      <w:pPr>
        <w:widowControl w:val="0"/>
        <w:jc w:val="both"/>
        <w:rPr>
          <w:lang w:val="sq-AL"/>
        </w:rPr>
      </w:pPr>
    </w:p>
    <w:p w14:paraId="3D289CE6" w14:textId="77777777" w:rsidR="00D76918" w:rsidRPr="00010E6E" w:rsidRDefault="00D76918" w:rsidP="00D76918">
      <w:pPr>
        <w:jc w:val="both"/>
        <w:rPr>
          <w:lang w:val="sq-AL"/>
        </w:rPr>
      </w:pPr>
      <w:r w:rsidRPr="00010E6E">
        <w:rPr>
          <w:lang w:val="sq-AL"/>
        </w:rPr>
        <w:t>Neni 9</w:t>
      </w:r>
      <w:r w:rsidR="00F94DF2" w:rsidRPr="00010E6E">
        <w:rPr>
          <w:lang w:val="sq-AL"/>
        </w:rPr>
        <w:t>0</w:t>
      </w:r>
      <w:r w:rsidRPr="00010E6E">
        <w:rPr>
          <w:lang w:val="sq-AL"/>
        </w:rPr>
        <w:t xml:space="preserve"> përcakton rastet kur ofruesit e shërbimeve të pagesave zbatojnë verifikimin e  thelluar të klientit, si dhe detyrimin që këta ofrues të marrin masat e nevojshme për mbrojtjen e konfidencialitetit dhe integritetit të kredencialeve të personalizuara të sigurisë, të përdoruesve të shërbimit të pagesave. </w:t>
      </w:r>
    </w:p>
    <w:p w14:paraId="5A18075C" w14:textId="77777777" w:rsidR="004A3603" w:rsidRPr="00010E6E" w:rsidRDefault="004A3603" w:rsidP="002B134D">
      <w:pPr>
        <w:widowControl w:val="0"/>
        <w:jc w:val="both"/>
        <w:rPr>
          <w:lang w:val="sq-AL"/>
        </w:rPr>
      </w:pPr>
    </w:p>
    <w:p w14:paraId="66DF2C29" w14:textId="0A595CEC" w:rsidR="002B134D" w:rsidRDefault="002B134D" w:rsidP="002B134D">
      <w:pPr>
        <w:widowControl w:val="0"/>
        <w:jc w:val="both"/>
        <w:rPr>
          <w:lang w:val="sq-AL"/>
        </w:rPr>
      </w:pPr>
      <w:r w:rsidRPr="00010E6E">
        <w:rPr>
          <w:lang w:val="sq-AL"/>
        </w:rPr>
        <w:t>Së fundi</w:t>
      </w:r>
      <w:r w:rsidR="002E5A68">
        <w:rPr>
          <w:lang w:val="sq-AL"/>
        </w:rPr>
        <w:t>,</w:t>
      </w:r>
      <w:r w:rsidRPr="00010E6E">
        <w:rPr>
          <w:lang w:val="sq-AL"/>
        </w:rPr>
        <w:t xml:space="preserve"> një çështje tejet e rëndësishme e trajtuar në projektligj është dhe krijimi </w:t>
      </w:r>
      <w:r w:rsidR="007B2372" w:rsidRPr="00010E6E">
        <w:rPr>
          <w:lang w:val="sq-AL"/>
        </w:rPr>
        <w:t xml:space="preserve">i </w:t>
      </w:r>
      <w:r w:rsidRPr="00010E6E">
        <w:rPr>
          <w:lang w:val="sq-AL"/>
        </w:rPr>
        <w:t xml:space="preserve">procedurave të shqyrtimit alternativ të mosmarrëveshjeve. Në këtë kuadër, bazuar në rekomandimet e direktivës, si një hap të parë drejt mbrojtjes së konsumatorëve, në nenin </w:t>
      </w:r>
      <w:r w:rsidR="00F94DF2" w:rsidRPr="00010E6E">
        <w:rPr>
          <w:lang w:val="sq-AL"/>
        </w:rPr>
        <w:t>92</w:t>
      </w:r>
      <w:r w:rsidRPr="00010E6E">
        <w:rPr>
          <w:lang w:val="sq-AL"/>
        </w:rPr>
        <w:t xml:space="preserve">, parashikohet </w:t>
      </w:r>
      <w:r w:rsidR="003B0DBB" w:rsidRPr="00010E6E">
        <w:rPr>
          <w:lang w:val="sq-AL"/>
        </w:rPr>
        <w:t>krijimi i nj</w:t>
      </w:r>
      <w:r w:rsidR="00A25A27" w:rsidRPr="00010E6E">
        <w:rPr>
          <w:lang w:val="sq-AL"/>
        </w:rPr>
        <w:t>ë</w:t>
      </w:r>
      <w:r w:rsidR="003B0DBB" w:rsidRPr="00010E6E">
        <w:rPr>
          <w:lang w:val="sq-AL"/>
        </w:rPr>
        <w:t xml:space="preserve"> nj</w:t>
      </w:r>
      <w:r w:rsidR="00A25A27" w:rsidRPr="00010E6E">
        <w:rPr>
          <w:lang w:val="sq-AL"/>
        </w:rPr>
        <w:t>ë</w:t>
      </w:r>
      <w:r w:rsidR="003B0DBB" w:rsidRPr="00010E6E">
        <w:rPr>
          <w:lang w:val="sq-AL"/>
        </w:rPr>
        <w:t>sie t</w:t>
      </w:r>
      <w:r w:rsidR="00A25A27" w:rsidRPr="00010E6E">
        <w:rPr>
          <w:lang w:val="sq-AL"/>
        </w:rPr>
        <w:t>ë</w:t>
      </w:r>
      <w:r w:rsidR="003B0DBB" w:rsidRPr="00010E6E">
        <w:rPr>
          <w:lang w:val="sq-AL"/>
        </w:rPr>
        <w:t xml:space="preserve"> ve</w:t>
      </w:r>
      <w:r w:rsidR="00AB4D14" w:rsidRPr="00010E6E">
        <w:rPr>
          <w:lang w:val="sq-AL"/>
        </w:rPr>
        <w:t>ç</w:t>
      </w:r>
      <w:r w:rsidR="003B0DBB" w:rsidRPr="00010E6E">
        <w:rPr>
          <w:lang w:val="sq-AL"/>
        </w:rPr>
        <w:t>ant</w:t>
      </w:r>
      <w:r w:rsidR="00A25A27" w:rsidRPr="00010E6E">
        <w:rPr>
          <w:lang w:val="sq-AL"/>
        </w:rPr>
        <w:t>ë</w:t>
      </w:r>
      <w:r w:rsidR="003B0DBB" w:rsidRPr="00010E6E">
        <w:rPr>
          <w:lang w:val="sq-AL"/>
        </w:rPr>
        <w:t xml:space="preserve"> (ZAM) brenda Bank</w:t>
      </w:r>
      <w:r w:rsidR="00A25A27" w:rsidRPr="00010E6E">
        <w:rPr>
          <w:lang w:val="sq-AL"/>
        </w:rPr>
        <w:t>ë</w:t>
      </w:r>
      <w:r w:rsidR="003B0DBB" w:rsidRPr="00010E6E">
        <w:rPr>
          <w:lang w:val="sq-AL"/>
        </w:rPr>
        <w:t>s s</w:t>
      </w:r>
      <w:r w:rsidR="00A25A27" w:rsidRPr="00010E6E">
        <w:rPr>
          <w:lang w:val="sq-AL"/>
        </w:rPr>
        <w:t>ë</w:t>
      </w:r>
      <w:r w:rsidR="003B0DBB" w:rsidRPr="00010E6E">
        <w:rPr>
          <w:lang w:val="sq-AL"/>
        </w:rPr>
        <w:t xml:space="preserve"> Shqip</w:t>
      </w:r>
      <w:r w:rsidR="00A25A27" w:rsidRPr="00010E6E">
        <w:rPr>
          <w:lang w:val="sq-AL"/>
        </w:rPr>
        <w:t>ë</w:t>
      </w:r>
      <w:r w:rsidR="003B0DBB" w:rsidRPr="00010E6E">
        <w:rPr>
          <w:lang w:val="sq-AL"/>
        </w:rPr>
        <w:t>ris</w:t>
      </w:r>
      <w:r w:rsidR="00A25A27" w:rsidRPr="00010E6E">
        <w:rPr>
          <w:lang w:val="sq-AL"/>
        </w:rPr>
        <w:t>ë</w:t>
      </w:r>
      <w:r w:rsidR="003B0DBB" w:rsidRPr="00010E6E">
        <w:rPr>
          <w:lang w:val="sq-AL"/>
        </w:rPr>
        <w:t xml:space="preserve">, </w:t>
      </w:r>
      <w:r w:rsidR="00AB4D14" w:rsidRPr="00010E6E">
        <w:rPr>
          <w:lang w:val="sq-AL"/>
        </w:rPr>
        <w:t xml:space="preserve">e </w:t>
      </w:r>
      <w:r w:rsidR="003B0DBB" w:rsidRPr="00010E6E">
        <w:rPr>
          <w:lang w:val="sq-AL"/>
        </w:rPr>
        <w:t>cil</w:t>
      </w:r>
      <w:r w:rsidR="00AB4D14" w:rsidRPr="00010E6E">
        <w:rPr>
          <w:lang w:val="sq-AL"/>
        </w:rPr>
        <w:t>a</w:t>
      </w:r>
      <w:r w:rsidR="003B0DBB" w:rsidRPr="00010E6E">
        <w:rPr>
          <w:lang w:val="sq-AL"/>
        </w:rPr>
        <w:t xml:space="preserve"> do ket</w:t>
      </w:r>
      <w:r w:rsidR="00A25A27" w:rsidRPr="00010E6E">
        <w:rPr>
          <w:lang w:val="sq-AL"/>
        </w:rPr>
        <w:t>ë</w:t>
      </w:r>
      <w:r w:rsidR="003B0DBB" w:rsidRPr="00010E6E">
        <w:rPr>
          <w:lang w:val="sq-AL"/>
        </w:rPr>
        <w:t xml:space="preserve"> detyr</w:t>
      </w:r>
      <w:r w:rsidR="00A25A27" w:rsidRPr="00010E6E">
        <w:rPr>
          <w:lang w:val="sq-AL"/>
        </w:rPr>
        <w:t>ë</w:t>
      </w:r>
      <w:r w:rsidR="003B0DBB" w:rsidRPr="00010E6E">
        <w:rPr>
          <w:lang w:val="sq-AL"/>
        </w:rPr>
        <w:t xml:space="preserve">n e </w:t>
      </w:r>
      <w:r w:rsidR="00AB4D14" w:rsidRPr="00010E6E">
        <w:rPr>
          <w:lang w:val="sq-AL"/>
        </w:rPr>
        <w:t>zgjidhjes alternative të mosmarrëveshjeve të lindura ndërmjet klientëve dhe ofuesve të shërbimeve të pagesave</w:t>
      </w:r>
      <w:r w:rsidR="003B0DBB" w:rsidRPr="00010E6E">
        <w:rPr>
          <w:lang w:val="sq-AL"/>
        </w:rPr>
        <w:t xml:space="preserve">. </w:t>
      </w:r>
      <w:r w:rsidR="00AB4D14" w:rsidRPr="00010E6E">
        <w:rPr>
          <w:lang w:val="sq-AL"/>
        </w:rPr>
        <w:t>Ë</w:t>
      </w:r>
      <w:r w:rsidR="003B0DBB" w:rsidRPr="00010E6E">
        <w:rPr>
          <w:lang w:val="sq-AL"/>
        </w:rPr>
        <w:t>sht</w:t>
      </w:r>
      <w:r w:rsidR="00A25A27" w:rsidRPr="00010E6E">
        <w:rPr>
          <w:lang w:val="sq-AL"/>
        </w:rPr>
        <w:t>ë</w:t>
      </w:r>
      <w:r w:rsidR="003B0DBB" w:rsidRPr="00010E6E">
        <w:rPr>
          <w:lang w:val="sq-AL"/>
        </w:rPr>
        <w:t xml:space="preserve"> vler</w:t>
      </w:r>
      <w:r w:rsidR="00A25A27" w:rsidRPr="00010E6E">
        <w:rPr>
          <w:lang w:val="sq-AL"/>
        </w:rPr>
        <w:t>ë</w:t>
      </w:r>
      <w:r w:rsidR="003B0DBB" w:rsidRPr="00010E6E">
        <w:rPr>
          <w:lang w:val="sq-AL"/>
        </w:rPr>
        <w:t>suar q</w:t>
      </w:r>
      <w:r w:rsidR="00A25A27" w:rsidRPr="00010E6E">
        <w:rPr>
          <w:lang w:val="sq-AL"/>
        </w:rPr>
        <w:t>ë</w:t>
      </w:r>
      <w:r w:rsidR="003B0DBB" w:rsidRPr="00010E6E">
        <w:rPr>
          <w:lang w:val="sq-AL"/>
        </w:rPr>
        <w:t xml:space="preserve"> kjo nj</w:t>
      </w:r>
      <w:r w:rsidR="00A25A27" w:rsidRPr="00010E6E">
        <w:rPr>
          <w:lang w:val="sq-AL"/>
        </w:rPr>
        <w:t>ë</w:t>
      </w:r>
      <w:r w:rsidR="003B0DBB" w:rsidRPr="00010E6E">
        <w:rPr>
          <w:lang w:val="sq-AL"/>
        </w:rPr>
        <w:t>si t</w:t>
      </w:r>
      <w:r w:rsidR="00A25A27" w:rsidRPr="00010E6E">
        <w:rPr>
          <w:lang w:val="sq-AL"/>
        </w:rPr>
        <w:t>ë</w:t>
      </w:r>
      <w:r w:rsidR="003B0DBB" w:rsidRPr="00010E6E">
        <w:rPr>
          <w:lang w:val="sq-AL"/>
        </w:rPr>
        <w:t xml:space="preserve"> shqyrtoj</w:t>
      </w:r>
      <w:r w:rsidR="00A25A27" w:rsidRPr="00010E6E">
        <w:rPr>
          <w:lang w:val="sq-AL"/>
        </w:rPr>
        <w:t>ë</w:t>
      </w:r>
      <w:r w:rsidR="003B0DBB" w:rsidRPr="00010E6E">
        <w:rPr>
          <w:lang w:val="sq-AL"/>
        </w:rPr>
        <w:t xml:space="preserve"> mosmarr</w:t>
      </w:r>
      <w:r w:rsidR="00A25A27" w:rsidRPr="00010E6E">
        <w:rPr>
          <w:lang w:val="sq-AL"/>
        </w:rPr>
        <w:t>ë</w:t>
      </w:r>
      <w:r w:rsidR="003B0DBB" w:rsidRPr="00010E6E">
        <w:rPr>
          <w:lang w:val="sq-AL"/>
        </w:rPr>
        <w:t>veshjet vet</w:t>
      </w:r>
      <w:r w:rsidR="00A25A27" w:rsidRPr="00010E6E">
        <w:rPr>
          <w:lang w:val="sq-AL"/>
        </w:rPr>
        <w:t>ë</w:t>
      </w:r>
      <w:r w:rsidR="003B0DBB" w:rsidRPr="00010E6E">
        <w:rPr>
          <w:lang w:val="sq-AL"/>
        </w:rPr>
        <w:t>m t</w:t>
      </w:r>
      <w:r w:rsidR="00A25A27" w:rsidRPr="00010E6E">
        <w:rPr>
          <w:lang w:val="sq-AL"/>
        </w:rPr>
        <w:t>ë</w:t>
      </w:r>
      <w:r w:rsidR="003B0DBB" w:rsidRPr="00010E6E">
        <w:rPr>
          <w:lang w:val="sq-AL"/>
        </w:rPr>
        <w:t xml:space="preserve"> konsumator</w:t>
      </w:r>
      <w:r w:rsidR="00A25A27" w:rsidRPr="00010E6E">
        <w:rPr>
          <w:lang w:val="sq-AL"/>
        </w:rPr>
        <w:t>ë</w:t>
      </w:r>
      <w:r w:rsidR="003B0DBB" w:rsidRPr="00010E6E">
        <w:rPr>
          <w:lang w:val="sq-AL"/>
        </w:rPr>
        <w:t>ve dhe t</w:t>
      </w:r>
      <w:r w:rsidR="00A25A27" w:rsidRPr="00010E6E">
        <w:rPr>
          <w:lang w:val="sq-AL"/>
        </w:rPr>
        <w:t>ë</w:t>
      </w:r>
      <w:r w:rsidR="003B0DBB" w:rsidRPr="00010E6E">
        <w:rPr>
          <w:lang w:val="sq-AL"/>
        </w:rPr>
        <w:t xml:space="preserve"> mikrond</w:t>
      </w:r>
      <w:r w:rsidR="00A25A27" w:rsidRPr="00010E6E">
        <w:rPr>
          <w:lang w:val="sq-AL"/>
        </w:rPr>
        <w:t>ë</w:t>
      </w:r>
      <w:r w:rsidR="003B0DBB" w:rsidRPr="00010E6E">
        <w:rPr>
          <w:lang w:val="sq-AL"/>
        </w:rPr>
        <w:t>rma</w:t>
      </w:r>
      <w:r w:rsidR="006D6A8C">
        <w:rPr>
          <w:lang w:val="sq-AL"/>
        </w:rPr>
        <w:t>r</w:t>
      </w:r>
      <w:r w:rsidR="003B0DBB" w:rsidRPr="00010E6E">
        <w:rPr>
          <w:lang w:val="sq-AL"/>
        </w:rPr>
        <w:t xml:space="preserve">rjeve, </w:t>
      </w:r>
      <w:r w:rsidR="00AB4D14" w:rsidRPr="00010E6E">
        <w:rPr>
          <w:lang w:val="sq-AL"/>
        </w:rPr>
        <w:t xml:space="preserve">në cilësinë e klientit, </w:t>
      </w:r>
      <w:r w:rsidR="003B0DBB" w:rsidRPr="00010E6E">
        <w:rPr>
          <w:lang w:val="sq-AL"/>
        </w:rPr>
        <w:t>duke p</w:t>
      </w:r>
      <w:r w:rsidR="00A25A27" w:rsidRPr="00010E6E">
        <w:rPr>
          <w:lang w:val="sq-AL"/>
        </w:rPr>
        <w:t>ë</w:t>
      </w:r>
      <w:r w:rsidR="003B0DBB" w:rsidRPr="00010E6E">
        <w:rPr>
          <w:lang w:val="sq-AL"/>
        </w:rPr>
        <w:t>rjashtuar mosmarr</w:t>
      </w:r>
      <w:r w:rsidR="00A25A27" w:rsidRPr="00010E6E">
        <w:rPr>
          <w:lang w:val="sq-AL"/>
        </w:rPr>
        <w:t>ë</w:t>
      </w:r>
      <w:r w:rsidR="003B0DBB" w:rsidRPr="00010E6E">
        <w:rPr>
          <w:lang w:val="sq-AL"/>
        </w:rPr>
        <w:t xml:space="preserve">veshjet e biznesit. </w:t>
      </w:r>
      <w:r w:rsidR="00AB4D14" w:rsidRPr="00010E6E">
        <w:rPr>
          <w:lang w:val="sq-AL"/>
        </w:rPr>
        <w:t>Parashikimet ligjore janë hartuar në përputhje të plotë me ato të direktivës, por edhe me legjislacionin në fuqi për mbrojtjen e konsumatorit, pas ndryshimeve të fundit.</w:t>
      </w:r>
    </w:p>
    <w:p w14:paraId="1AC83C84" w14:textId="77777777" w:rsidR="00C10F0D" w:rsidRPr="00010E6E" w:rsidRDefault="00C10F0D" w:rsidP="002B134D">
      <w:pPr>
        <w:widowControl w:val="0"/>
        <w:jc w:val="both"/>
        <w:rPr>
          <w:lang w:val="sq-AL"/>
        </w:rPr>
      </w:pPr>
    </w:p>
    <w:p w14:paraId="0EC64735" w14:textId="1E18107E" w:rsidR="00C10F0D" w:rsidRDefault="00AB4D14" w:rsidP="002B134D">
      <w:pPr>
        <w:widowControl w:val="0"/>
        <w:jc w:val="both"/>
        <w:rPr>
          <w:lang w:val="sq-AL"/>
        </w:rPr>
      </w:pPr>
      <w:r w:rsidRPr="00010E6E">
        <w:rPr>
          <w:lang w:val="sq-AL"/>
        </w:rPr>
        <w:t xml:space="preserve">Banka e Shqipërisë ka detyrimin të krijojë ZAM dhe të miratojë procedurat përkatëse që do </w:t>
      </w:r>
      <w:r w:rsidR="006D6A8C">
        <w:rPr>
          <w:lang w:val="sq-AL"/>
        </w:rPr>
        <w:t>t</w:t>
      </w:r>
      <w:r w:rsidR="006D6A8C" w:rsidRPr="00006EED">
        <w:rPr>
          <w:lang w:val="sq-AL"/>
        </w:rPr>
        <w:t>ë</w:t>
      </w:r>
      <w:r w:rsidR="006D6A8C">
        <w:rPr>
          <w:rFonts w:ascii="Sylfaen" w:hAnsi="Sylfaen"/>
          <w:lang w:val="sq-AL"/>
        </w:rPr>
        <w:t xml:space="preserve"> </w:t>
      </w:r>
      <w:r w:rsidRPr="00010E6E">
        <w:rPr>
          <w:lang w:val="sq-AL"/>
        </w:rPr>
        <w:t>nevojiten për zgjidhjen e mosmarrëveshjeve, të cilat do të publikohen, në mënyrë që ofruesit dhe klientët e tyre të jenë në dijeni të plotë të hapave që duhen ndjekur përpara se të fillojë shqyrtimi i mosmarrëveshjeve.</w:t>
      </w:r>
    </w:p>
    <w:p w14:paraId="1AAE15A3" w14:textId="214E8408" w:rsidR="00AB4D14" w:rsidRPr="00010E6E" w:rsidRDefault="00AB4D14" w:rsidP="002B134D">
      <w:pPr>
        <w:widowControl w:val="0"/>
        <w:jc w:val="both"/>
        <w:rPr>
          <w:lang w:val="sq-AL"/>
        </w:rPr>
      </w:pPr>
    </w:p>
    <w:p w14:paraId="2380C18B" w14:textId="77777777" w:rsidR="00AB4D14" w:rsidRPr="00010E6E" w:rsidRDefault="00AB4D14" w:rsidP="002B134D">
      <w:pPr>
        <w:widowControl w:val="0"/>
        <w:jc w:val="both"/>
        <w:rPr>
          <w:rFonts w:eastAsia="Times New Roman"/>
          <w:lang w:val="sq-AL" w:eastAsia="sq-AL" w:bidi="sq-AL"/>
        </w:rPr>
      </w:pPr>
      <w:r w:rsidRPr="00010E6E">
        <w:rPr>
          <w:lang w:val="sq-AL"/>
        </w:rPr>
        <w:t>Nga ana tjetër, neni 93 i projekligjit trajton të gjitha detyrimet dhe afatet përkatëse që kanë ofruesit kundrejt klientëve të tyre në zgjidhjen e mosmarrëveshjeve jashtë rrugës gjyqësore.</w:t>
      </w:r>
    </w:p>
    <w:p w14:paraId="1D8DB53C" w14:textId="77777777" w:rsidR="00BA62E9" w:rsidRPr="00010E6E" w:rsidRDefault="00BA62E9" w:rsidP="0002198C">
      <w:pPr>
        <w:pStyle w:val="ListParagraph"/>
        <w:spacing w:after="0" w:line="240" w:lineRule="auto"/>
        <w:ind w:left="0"/>
        <w:contextualSpacing w:val="0"/>
        <w:rPr>
          <w:rFonts w:ascii="Times New Roman" w:hAnsi="Times New Roman"/>
          <w:sz w:val="24"/>
          <w:szCs w:val="24"/>
          <w:lang w:val="sq-AL"/>
        </w:rPr>
      </w:pPr>
    </w:p>
    <w:p w14:paraId="606E7A10" w14:textId="77777777" w:rsidR="00BA62E9" w:rsidRPr="00010E6E" w:rsidRDefault="0002198C" w:rsidP="001D14B2">
      <w:pPr>
        <w:pStyle w:val="ListParagraph"/>
        <w:shd w:val="clear" w:color="auto" w:fill="D9D9D9"/>
        <w:spacing w:after="0" w:line="240" w:lineRule="auto"/>
        <w:ind w:left="0"/>
        <w:contextualSpacing w:val="0"/>
        <w:jc w:val="both"/>
        <w:rPr>
          <w:rFonts w:ascii="Times New Roman" w:hAnsi="Times New Roman"/>
          <w:b/>
          <w:sz w:val="24"/>
          <w:szCs w:val="24"/>
          <w:lang w:val="sq-AL"/>
        </w:rPr>
      </w:pPr>
      <w:r w:rsidRPr="00010E6E">
        <w:rPr>
          <w:rFonts w:ascii="Times New Roman" w:hAnsi="Times New Roman"/>
          <w:b/>
          <w:sz w:val="24"/>
          <w:szCs w:val="24"/>
          <w:lang w:val="sq-AL"/>
        </w:rPr>
        <w:t xml:space="preserve">Titulli </w:t>
      </w:r>
      <w:r w:rsidR="00896B6D" w:rsidRPr="00010E6E">
        <w:rPr>
          <w:rFonts w:ascii="Times New Roman" w:hAnsi="Times New Roman"/>
          <w:b/>
          <w:sz w:val="24"/>
          <w:szCs w:val="24"/>
          <w:lang w:val="sq-AL"/>
        </w:rPr>
        <w:t xml:space="preserve">V: </w:t>
      </w:r>
      <w:r w:rsidR="00BD3095" w:rsidRPr="00010E6E">
        <w:rPr>
          <w:rFonts w:ascii="Times New Roman" w:hAnsi="Times New Roman"/>
          <w:b/>
          <w:sz w:val="24"/>
          <w:szCs w:val="24"/>
          <w:lang w:val="sq-AL"/>
        </w:rPr>
        <w:t>Kund</w:t>
      </w:r>
      <w:r w:rsidR="005A721F" w:rsidRPr="00010E6E">
        <w:rPr>
          <w:rFonts w:ascii="Times New Roman" w:hAnsi="Times New Roman"/>
          <w:b/>
          <w:sz w:val="24"/>
          <w:szCs w:val="24"/>
          <w:lang w:val="sq-AL"/>
        </w:rPr>
        <w:t>ë</w:t>
      </w:r>
      <w:r w:rsidR="00BD3095" w:rsidRPr="00010E6E">
        <w:rPr>
          <w:rFonts w:ascii="Times New Roman" w:hAnsi="Times New Roman"/>
          <w:b/>
          <w:sz w:val="24"/>
          <w:szCs w:val="24"/>
          <w:lang w:val="sq-AL"/>
        </w:rPr>
        <w:t>rvajtjet administrative, s</w:t>
      </w:r>
      <w:r w:rsidR="00896B6D" w:rsidRPr="00010E6E">
        <w:rPr>
          <w:rFonts w:ascii="Times New Roman" w:hAnsi="Times New Roman"/>
          <w:b/>
          <w:sz w:val="24"/>
          <w:szCs w:val="24"/>
          <w:lang w:val="sq-AL"/>
        </w:rPr>
        <w:t>anksionet dhe ankimet</w:t>
      </w:r>
    </w:p>
    <w:p w14:paraId="094DABA8" w14:textId="77777777" w:rsidR="00896B6D" w:rsidRPr="00010E6E" w:rsidRDefault="00896B6D" w:rsidP="00AB4D14">
      <w:pPr>
        <w:pStyle w:val="ListParagraph"/>
        <w:spacing w:after="0"/>
        <w:ind w:left="0"/>
        <w:contextualSpacing w:val="0"/>
        <w:rPr>
          <w:rFonts w:ascii="Times New Roman" w:hAnsi="Times New Roman"/>
          <w:sz w:val="24"/>
          <w:szCs w:val="24"/>
          <w:lang w:val="sq-AL"/>
        </w:rPr>
      </w:pPr>
    </w:p>
    <w:p w14:paraId="03BEF878" w14:textId="1B375E53" w:rsidR="006F2B09" w:rsidRPr="00010E6E" w:rsidRDefault="006F2B09" w:rsidP="00AB4D14">
      <w:pPr>
        <w:spacing w:line="276" w:lineRule="auto"/>
        <w:contextualSpacing/>
        <w:jc w:val="both"/>
        <w:rPr>
          <w:rFonts w:eastAsia="Times New Roman"/>
          <w:color w:val="000000"/>
          <w:lang w:val="sq-AL" w:eastAsia="sq-AL"/>
        </w:rPr>
      </w:pPr>
      <w:r w:rsidRPr="00010E6E">
        <w:rPr>
          <w:rFonts w:eastAsia="Times New Roman"/>
          <w:color w:val="000000"/>
          <w:lang w:val="sq-AL" w:eastAsia="sq-AL"/>
        </w:rPr>
        <w:t>Titulli V p</w:t>
      </w:r>
      <w:r w:rsidR="00283EA6" w:rsidRPr="00010E6E">
        <w:rPr>
          <w:rFonts w:eastAsia="Times New Roman"/>
          <w:color w:val="000000"/>
          <w:lang w:val="sq-AL" w:eastAsia="sq-AL"/>
        </w:rPr>
        <w:t>ë</w:t>
      </w:r>
      <w:r w:rsidRPr="00010E6E">
        <w:rPr>
          <w:rFonts w:eastAsia="Times New Roman"/>
          <w:color w:val="000000"/>
          <w:lang w:val="sq-AL" w:eastAsia="sq-AL"/>
        </w:rPr>
        <w:t>rb</w:t>
      </w:r>
      <w:r w:rsidR="00283EA6" w:rsidRPr="00010E6E">
        <w:rPr>
          <w:rFonts w:eastAsia="Times New Roman"/>
          <w:color w:val="000000"/>
          <w:lang w:val="sq-AL" w:eastAsia="sq-AL"/>
        </w:rPr>
        <w:t>ë</w:t>
      </w:r>
      <w:r w:rsidRPr="00010E6E">
        <w:rPr>
          <w:rFonts w:eastAsia="Times New Roman"/>
          <w:color w:val="000000"/>
          <w:lang w:val="sq-AL" w:eastAsia="sq-AL"/>
        </w:rPr>
        <w:t>het nga dy krer</w:t>
      </w:r>
      <w:r w:rsidR="00283EA6" w:rsidRPr="00010E6E">
        <w:rPr>
          <w:rFonts w:eastAsia="Times New Roman"/>
          <w:color w:val="000000"/>
          <w:lang w:val="sq-AL" w:eastAsia="sq-AL"/>
        </w:rPr>
        <w:t>ë</w:t>
      </w:r>
      <w:r w:rsidRPr="00010E6E">
        <w:rPr>
          <w:rFonts w:eastAsia="Times New Roman"/>
          <w:color w:val="000000"/>
          <w:lang w:val="sq-AL" w:eastAsia="sq-AL"/>
        </w:rPr>
        <w:t xml:space="preserve">. Kreu 1 trajton </w:t>
      </w:r>
      <w:r w:rsidR="00BD3095" w:rsidRPr="00010E6E">
        <w:rPr>
          <w:rFonts w:eastAsia="Times New Roman"/>
          <w:color w:val="000000"/>
          <w:lang w:val="sq-AL" w:eastAsia="sq-AL"/>
        </w:rPr>
        <w:t>kund</w:t>
      </w:r>
      <w:r w:rsidR="005A721F" w:rsidRPr="00010E6E">
        <w:rPr>
          <w:rFonts w:eastAsia="Times New Roman"/>
          <w:color w:val="000000"/>
          <w:lang w:val="sq-AL" w:eastAsia="sq-AL"/>
        </w:rPr>
        <w:t>ë</w:t>
      </w:r>
      <w:r w:rsidR="00BD3095" w:rsidRPr="00010E6E">
        <w:rPr>
          <w:rFonts w:eastAsia="Times New Roman"/>
          <w:color w:val="000000"/>
          <w:lang w:val="sq-AL" w:eastAsia="sq-AL"/>
        </w:rPr>
        <w:t xml:space="preserve">rvajtjet administrative dhe </w:t>
      </w:r>
      <w:r w:rsidRPr="00010E6E">
        <w:rPr>
          <w:rFonts w:eastAsia="Times New Roman"/>
          <w:color w:val="000000"/>
          <w:lang w:val="sq-AL" w:eastAsia="sq-AL"/>
        </w:rPr>
        <w:t>sanksionet</w:t>
      </w:r>
      <w:r w:rsidR="006D6A8C">
        <w:rPr>
          <w:rFonts w:eastAsia="Times New Roman"/>
          <w:color w:val="000000"/>
          <w:lang w:val="sq-AL" w:eastAsia="sq-AL"/>
        </w:rPr>
        <w:t>,</w:t>
      </w:r>
      <w:r w:rsidRPr="00010E6E">
        <w:rPr>
          <w:rFonts w:eastAsia="Times New Roman"/>
          <w:color w:val="000000"/>
          <w:lang w:val="sq-AL" w:eastAsia="sq-AL"/>
        </w:rPr>
        <w:t xml:space="preserve"> dhe Kreu 2 trajton ankimet: ankimin administrativ dhe ankimin gjyq</w:t>
      </w:r>
      <w:r w:rsidR="00283EA6" w:rsidRPr="00010E6E">
        <w:rPr>
          <w:rFonts w:eastAsia="Times New Roman"/>
          <w:color w:val="000000"/>
          <w:lang w:val="sq-AL" w:eastAsia="sq-AL"/>
        </w:rPr>
        <w:t>ë</w:t>
      </w:r>
      <w:r w:rsidRPr="00010E6E">
        <w:rPr>
          <w:rFonts w:eastAsia="Times New Roman"/>
          <w:color w:val="000000"/>
          <w:lang w:val="sq-AL" w:eastAsia="sq-AL"/>
        </w:rPr>
        <w:t>sor.</w:t>
      </w:r>
    </w:p>
    <w:p w14:paraId="504EBC0E" w14:textId="77777777" w:rsidR="007C3D30" w:rsidRPr="00010E6E" w:rsidRDefault="007C3D30" w:rsidP="00AB4D14">
      <w:pPr>
        <w:spacing w:line="276" w:lineRule="auto"/>
        <w:contextualSpacing/>
        <w:jc w:val="both"/>
        <w:rPr>
          <w:rFonts w:eastAsia="Times New Roman"/>
          <w:color w:val="000000"/>
          <w:lang w:val="sq-AL" w:eastAsia="sq-AL"/>
        </w:rPr>
      </w:pPr>
    </w:p>
    <w:p w14:paraId="77914238" w14:textId="77777777" w:rsidR="006F2B09" w:rsidRPr="00010E6E" w:rsidRDefault="006F2B09" w:rsidP="00AB4D14">
      <w:pPr>
        <w:spacing w:line="276" w:lineRule="auto"/>
        <w:contextualSpacing/>
        <w:jc w:val="both"/>
        <w:rPr>
          <w:rFonts w:eastAsia="Times New Roman"/>
          <w:color w:val="000000"/>
          <w:lang w:val="sq-AL" w:eastAsia="sq-AL"/>
        </w:rPr>
      </w:pPr>
      <w:r w:rsidRPr="00010E6E">
        <w:rPr>
          <w:rFonts w:eastAsia="Times New Roman"/>
          <w:color w:val="000000"/>
          <w:lang w:val="sq-AL" w:eastAsia="sq-AL"/>
        </w:rPr>
        <w:t>M</w:t>
      </w:r>
      <w:r w:rsidR="00283EA6" w:rsidRPr="00010E6E">
        <w:rPr>
          <w:rFonts w:eastAsia="Times New Roman"/>
          <w:color w:val="000000"/>
          <w:lang w:val="sq-AL" w:eastAsia="sq-AL"/>
        </w:rPr>
        <w:t>ë</w:t>
      </w:r>
      <w:r w:rsidRPr="00010E6E">
        <w:rPr>
          <w:rFonts w:eastAsia="Times New Roman"/>
          <w:color w:val="000000"/>
          <w:lang w:val="sq-AL" w:eastAsia="sq-AL"/>
        </w:rPr>
        <w:t xml:space="preserve"> konkretisht:</w:t>
      </w:r>
    </w:p>
    <w:p w14:paraId="1AA65615" w14:textId="67FF8B8B" w:rsidR="00896B6D" w:rsidRPr="00010E6E" w:rsidRDefault="00896B6D" w:rsidP="00AB4D14">
      <w:pPr>
        <w:spacing w:line="276" w:lineRule="auto"/>
        <w:contextualSpacing/>
        <w:jc w:val="both"/>
        <w:rPr>
          <w:rFonts w:eastAsia="Times New Roman"/>
          <w:color w:val="000000"/>
          <w:lang w:val="sq-AL" w:eastAsia="sq-AL"/>
        </w:rPr>
      </w:pPr>
      <w:r w:rsidRPr="00010E6E">
        <w:rPr>
          <w:rFonts w:eastAsia="Times New Roman"/>
          <w:color w:val="000000"/>
          <w:lang w:val="sq-AL" w:eastAsia="sq-AL"/>
        </w:rPr>
        <w:lastRenderedPageBreak/>
        <w:t xml:space="preserve">Neni </w:t>
      </w:r>
      <w:r w:rsidR="002908B1" w:rsidRPr="00010E6E">
        <w:rPr>
          <w:rFonts w:eastAsia="Times New Roman"/>
          <w:color w:val="000000"/>
          <w:lang w:val="sq-AL" w:eastAsia="sq-AL"/>
        </w:rPr>
        <w:t xml:space="preserve">94 </w:t>
      </w:r>
      <w:r w:rsidRPr="00010E6E">
        <w:rPr>
          <w:rFonts w:eastAsia="Times New Roman"/>
          <w:color w:val="000000"/>
          <w:lang w:val="sq-AL" w:eastAsia="sq-AL"/>
        </w:rPr>
        <w:t xml:space="preserve">i projektligjit përcakton sanksionet </w:t>
      </w:r>
      <w:r w:rsidR="0036481B">
        <w:rPr>
          <w:rFonts w:eastAsia="Times New Roman"/>
          <w:color w:val="000000"/>
          <w:lang w:val="sq-AL" w:eastAsia="sq-AL"/>
        </w:rPr>
        <w:t>q</w:t>
      </w:r>
      <w:r w:rsidR="0036481B" w:rsidRPr="00010E6E">
        <w:rPr>
          <w:rFonts w:eastAsia="Times New Roman"/>
          <w:color w:val="000000"/>
          <w:lang w:val="sq-AL" w:eastAsia="sq-AL"/>
        </w:rPr>
        <w:t xml:space="preserve">ë </w:t>
      </w:r>
      <w:r w:rsidRPr="00010E6E">
        <w:rPr>
          <w:rFonts w:eastAsia="Times New Roman"/>
          <w:color w:val="000000"/>
          <w:lang w:val="sq-AL" w:eastAsia="sq-AL"/>
        </w:rPr>
        <w:t xml:space="preserve">Banka e Shqipërisë si autoritet mbikëqyrës, ka të drejtë të vendosë ndaj institucionit të pagesave dhe/ose kundrejt atyre që efektivisht kontrollojnë dhe administrojnë veprimtarinë e institucionit të pagesave, </w:t>
      </w:r>
      <w:r w:rsidR="002908B1" w:rsidRPr="00010E6E">
        <w:rPr>
          <w:rFonts w:eastAsia="Times New Roman"/>
          <w:color w:val="000000"/>
          <w:lang w:val="sq-AL" w:eastAsia="sq-AL"/>
        </w:rPr>
        <w:t>n</w:t>
      </w:r>
      <w:r w:rsidR="005A721F" w:rsidRPr="00010E6E">
        <w:rPr>
          <w:rFonts w:eastAsia="Times New Roman"/>
          <w:color w:val="000000"/>
          <w:lang w:val="sq-AL" w:eastAsia="sq-AL"/>
        </w:rPr>
        <w:t>ë</w:t>
      </w:r>
      <w:r w:rsidR="002908B1" w:rsidRPr="00010E6E">
        <w:rPr>
          <w:rFonts w:eastAsia="Times New Roman"/>
          <w:color w:val="000000"/>
          <w:lang w:val="sq-AL" w:eastAsia="sq-AL"/>
        </w:rPr>
        <w:t xml:space="preserve"> rast konstatim</w:t>
      </w:r>
      <w:r w:rsidR="006D6A8C">
        <w:rPr>
          <w:rFonts w:eastAsia="Times New Roman"/>
          <w:color w:val="000000"/>
          <w:lang w:val="sq-AL" w:eastAsia="sq-AL"/>
        </w:rPr>
        <w:t>i</w:t>
      </w:r>
      <w:r w:rsidR="002908B1" w:rsidRPr="00010E6E">
        <w:rPr>
          <w:rFonts w:eastAsia="Times New Roman"/>
          <w:color w:val="000000"/>
          <w:lang w:val="sq-AL" w:eastAsia="sq-AL"/>
        </w:rPr>
        <w:t xml:space="preserve"> shkeljesh t</w:t>
      </w:r>
      <w:r w:rsidR="005A721F" w:rsidRPr="00010E6E">
        <w:rPr>
          <w:rFonts w:eastAsia="Times New Roman"/>
          <w:color w:val="000000"/>
          <w:lang w:val="sq-AL" w:eastAsia="sq-AL"/>
        </w:rPr>
        <w:t>ë</w:t>
      </w:r>
      <w:r w:rsidR="002908B1" w:rsidRPr="00010E6E">
        <w:rPr>
          <w:rFonts w:eastAsia="Times New Roman"/>
          <w:color w:val="000000"/>
          <w:lang w:val="sq-AL" w:eastAsia="sq-AL"/>
        </w:rPr>
        <w:t xml:space="preserve"> dispozitave t</w:t>
      </w:r>
      <w:r w:rsidR="005A721F" w:rsidRPr="00010E6E">
        <w:rPr>
          <w:rFonts w:eastAsia="Times New Roman"/>
          <w:color w:val="000000"/>
          <w:lang w:val="sq-AL" w:eastAsia="sq-AL"/>
        </w:rPr>
        <w:t>ë</w:t>
      </w:r>
      <w:r w:rsidR="002908B1" w:rsidRPr="00010E6E">
        <w:rPr>
          <w:rFonts w:eastAsia="Times New Roman"/>
          <w:color w:val="000000"/>
          <w:lang w:val="sq-AL" w:eastAsia="sq-AL"/>
        </w:rPr>
        <w:t xml:space="preserve"> k</w:t>
      </w:r>
      <w:r w:rsidR="005A721F" w:rsidRPr="00010E6E">
        <w:rPr>
          <w:rFonts w:eastAsia="Times New Roman"/>
          <w:color w:val="000000"/>
          <w:lang w:val="sq-AL" w:eastAsia="sq-AL"/>
        </w:rPr>
        <w:t>ë</w:t>
      </w:r>
      <w:r w:rsidR="002908B1" w:rsidRPr="00010E6E">
        <w:rPr>
          <w:rFonts w:eastAsia="Times New Roman"/>
          <w:color w:val="000000"/>
          <w:lang w:val="sq-AL" w:eastAsia="sq-AL"/>
        </w:rPr>
        <w:t>tij ligji</w:t>
      </w:r>
      <w:r w:rsidR="0036481B">
        <w:rPr>
          <w:rFonts w:eastAsia="Times New Roman"/>
          <w:color w:val="000000"/>
          <w:lang w:val="sq-AL" w:eastAsia="sq-AL"/>
        </w:rPr>
        <w:t>.</w:t>
      </w:r>
      <w:r w:rsidR="002908B1" w:rsidRPr="00010E6E">
        <w:rPr>
          <w:rFonts w:eastAsia="Times New Roman"/>
          <w:color w:val="000000"/>
          <w:lang w:val="sq-AL" w:eastAsia="sq-AL"/>
        </w:rPr>
        <w:t xml:space="preserve"> </w:t>
      </w:r>
      <w:r w:rsidR="0036481B">
        <w:rPr>
          <w:rFonts w:eastAsia="Times New Roman"/>
          <w:color w:val="000000"/>
          <w:lang w:val="sq-AL" w:eastAsia="sq-AL"/>
        </w:rPr>
        <w:t>K</w:t>
      </w:r>
      <w:r w:rsidR="0036481B" w:rsidRPr="00010E6E">
        <w:rPr>
          <w:rFonts w:eastAsia="Times New Roman"/>
          <w:color w:val="000000"/>
          <w:lang w:val="sq-AL" w:eastAsia="sq-AL"/>
        </w:rPr>
        <w:t>ë</w:t>
      </w:r>
      <w:r w:rsidR="0036481B">
        <w:rPr>
          <w:rFonts w:eastAsia="Times New Roman"/>
          <w:color w:val="000000"/>
          <w:lang w:val="sq-AL" w:eastAsia="sq-AL"/>
        </w:rPr>
        <w:t>to sanksione</w:t>
      </w:r>
      <w:r w:rsidR="0036481B" w:rsidRPr="00010E6E">
        <w:rPr>
          <w:rFonts w:eastAsia="Times New Roman"/>
          <w:color w:val="000000"/>
          <w:lang w:val="sq-AL" w:eastAsia="sq-AL"/>
        </w:rPr>
        <w:t xml:space="preserve"> </w:t>
      </w:r>
      <w:r w:rsidR="002908B1" w:rsidRPr="00010E6E">
        <w:rPr>
          <w:rFonts w:eastAsia="Times New Roman"/>
          <w:color w:val="000000"/>
          <w:lang w:val="sq-AL" w:eastAsia="sq-AL"/>
        </w:rPr>
        <w:t>p</w:t>
      </w:r>
      <w:r w:rsidR="005A721F" w:rsidRPr="00010E6E">
        <w:rPr>
          <w:rFonts w:eastAsia="Times New Roman"/>
          <w:color w:val="000000"/>
          <w:lang w:val="sq-AL" w:eastAsia="sq-AL"/>
        </w:rPr>
        <w:t>ë</w:t>
      </w:r>
      <w:r w:rsidR="002908B1" w:rsidRPr="00010E6E">
        <w:rPr>
          <w:rFonts w:eastAsia="Times New Roman"/>
          <w:color w:val="000000"/>
          <w:lang w:val="sq-AL" w:eastAsia="sq-AL"/>
        </w:rPr>
        <w:t>rcaktohen si kund</w:t>
      </w:r>
      <w:r w:rsidR="005A721F" w:rsidRPr="00010E6E">
        <w:rPr>
          <w:rFonts w:eastAsia="Times New Roman"/>
          <w:color w:val="000000"/>
          <w:lang w:val="sq-AL" w:eastAsia="sq-AL"/>
        </w:rPr>
        <w:t>ë</w:t>
      </w:r>
      <w:r w:rsidR="002908B1" w:rsidRPr="00010E6E">
        <w:rPr>
          <w:rFonts w:eastAsia="Times New Roman"/>
          <w:color w:val="000000"/>
          <w:lang w:val="sq-AL" w:eastAsia="sq-AL"/>
        </w:rPr>
        <w:t xml:space="preserve">rvajtje administrative, </w:t>
      </w:r>
      <w:r w:rsidRPr="00010E6E">
        <w:rPr>
          <w:rFonts w:eastAsia="Times New Roman"/>
          <w:color w:val="000000"/>
          <w:lang w:val="sq-AL" w:eastAsia="sq-AL"/>
        </w:rPr>
        <w:t>me qëllim ndërprerjen e shkeljes dhe/ose ndreqjen e pasojave të shkeljes.</w:t>
      </w:r>
    </w:p>
    <w:p w14:paraId="7A41214B" w14:textId="77777777" w:rsidR="007C3D30" w:rsidRPr="00010E6E" w:rsidRDefault="007C3D30" w:rsidP="00AB4D14">
      <w:pPr>
        <w:spacing w:line="276" w:lineRule="auto"/>
        <w:contextualSpacing/>
        <w:jc w:val="both"/>
        <w:rPr>
          <w:rFonts w:eastAsia="Times New Roman"/>
          <w:color w:val="000000"/>
          <w:lang w:val="sq-AL" w:eastAsia="sq-AL"/>
        </w:rPr>
      </w:pPr>
    </w:p>
    <w:p w14:paraId="2FA726E5" w14:textId="464462A8" w:rsidR="00BD41D7" w:rsidRPr="00010E6E" w:rsidRDefault="00896B6D" w:rsidP="00AB4D14">
      <w:pPr>
        <w:spacing w:line="276" w:lineRule="auto"/>
        <w:contextualSpacing/>
        <w:jc w:val="both"/>
        <w:rPr>
          <w:rFonts w:eastAsia="Times New Roman"/>
          <w:lang w:val="sq-AL"/>
        </w:rPr>
      </w:pPr>
      <w:r w:rsidRPr="00006EED">
        <w:rPr>
          <w:rFonts w:eastAsia="Times New Roman"/>
          <w:color w:val="000000"/>
          <w:lang w:val="sq-AL" w:eastAsia="sq-AL"/>
        </w:rPr>
        <w:t xml:space="preserve">Trajtimi </w:t>
      </w:r>
      <w:r w:rsidR="00006EED" w:rsidRPr="00006EED">
        <w:rPr>
          <w:rFonts w:eastAsia="Times New Roman"/>
          <w:color w:val="000000"/>
          <w:lang w:val="sq-AL" w:eastAsia="sq-AL"/>
        </w:rPr>
        <w:t xml:space="preserve">në </w:t>
      </w:r>
      <w:r w:rsidRPr="00006EED">
        <w:rPr>
          <w:rFonts w:eastAsia="Times New Roman"/>
          <w:color w:val="000000"/>
          <w:lang w:val="sq-AL" w:eastAsia="sq-AL"/>
        </w:rPr>
        <w:t xml:space="preserve">ligj </w:t>
      </w:r>
      <w:r w:rsidRPr="00010E6E">
        <w:rPr>
          <w:rFonts w:eastAsia="Times New Roman"/>
          <w:color w:val="000000"/>
          <w:lang w:val="sq-AL" w:eastAsia="sq-AL"/>
        </w:rPr>
        <w:t>dhe jo në një akt nënligjor, i sanksioneve administrative është një detyrim i cili rrjedh nga ligji nr. 10279, datë 20.5.2010 “Për kundërvajtjet administrative”</w:t>
      </w:r>
      <w:r w:rsidRPr="00010E6E">
        <w:rPr>
          <w:rFonts w:eastAsia="Times New Roman"/>
          <w:color w:val="000000"/>
          <w:vertAlign w:val="superscript"/>
          <w:lang w:val="sq-AL" w:eastAsia="sq-AL"/>
        </w:rPr>
        <w:footnoteReference w:id="5"/>
      </w:r>
      <w:r w:rsidRPr="00010E6E">
        <w:rPr>
          <w:rFonts w:eastAsia="Times New Roman"/>
          <w:color w:val="000000"/>
          <w:lang w:val="sq-AL" w:eastAsia="sq-AL"/>
        </w:rPr>
        <w:t xml:space="preserve">. </w:t>
      </w:r>
      <w:r w:rsidR="00BD41D7" w:rsidRPr="00010E6E">
        <w:rPr>
          <w:rFonts w:eastAsia="Times New Roman"/>
          <w:color w:val="000000"/>
          <w:lang w:val="sq-AL" w:eastAsia="sq-AL"/>
        </w:rPr>
        <w:t>N</w:t>
      </w:r>
      <w:r w:rsidR="003D7AAD" w:rsidRPr="00010E6E">
        <w:rPr>
          <w:rFonts w:eastAsia="Times New Roman"/>
          <w:color w:val="000000"/>
          <w:lang w:val="sq-AL" w:eastAsia="sq-AL"/>
        </w:rPr>
        <w:t>ë</w:t>
      </w:r>
      <w:r w:rsidR="00BD41D7" w:rsidRPr="00010E6E">
        <w:rPr>
          <w:rFonts w:eastAsia="Times New Roman"/>
          <w:color w:val="000000"/>
          <w:lang w:val="sq-AL" w:eastAsia="sq-AL"/>
        </w:rPr>
        <w:t xml:space="preserve"> nenin </w:t>
      </w:r>
      <w:r w:rsidR="002908B1" w:rsidRPr="00010E6E">
        <w:rPr>
          <w:rFonts w:eastAsia="Times New Roman"/>
          <w:color w:val="000000"/>
          <w:lang w:val="sq-AL" w:eastAsia="sq-AL"/>
        </w:rPr>
        <w:t xml:space="preserve">94 </w:t>
      </w:r>
      <w:r w:rsidR="00BD41D7" w:rsidRPr="00010E6E">
        <w:rPr>
          <w:rFonts w:eastAsia="Times New Roman"/>
          <w:color w:val="000000"/>
          <w:lang w:val="sq-AL" w:eastAsia="sq-AL"/>
        </w:rPr>
        <w:t>parashikohet se p</w:t>
      </w:r>
      <w:r w:rsidR="003D7AAD" w:rsidRPr="00010E6E">
        <w:rPr>
          <w:rFonts w:eastAsia="Times New Roman"/>
          <w:color w:val="000000"/>
          <w:lang w:val="sq-AL" w:eastAsia="sq-AL"/>
        </w:rPr>
        <w:t>ë</w:t>
      </w:r>
      <w:r w:rsidR="00BD41D7" w:rsidRPr="00010E6E">
        <w:rPr>
          <w:rFonts w:eastAsia="Times New Roman"/>
          <w:color w:val="000000"/>
          <w:lang w:val="sq-AL" w:eastAsia="sq-AL"/>
        </w:rPr>
        <w:t xml:space="preserve">r </w:t>
      </w:r>
      <w:r w:rsidR="004F141A" w:rsidRPr="00010E6E">
        <w:rPr>
          <w:rFonts w:eastAsia="Times New Roman"/>
          <w:color w:val="000000"/>
          <w:lang w:val="sq-AL" w:eastAsia="sq-AL"/>
        </w:rPr>
        <w:t>ç</w:t>
      </w:r>
      <w:r w:rsidR="00BD41D7" w:rsidRPr="00010E6E">
        <w:rPr>
          <w:rFonts w:eastAsia="Times New Roman"/>
          <w:color w:val="000000"/>
          <w:lang w:val="sq-AL" w:eastAsia="sq-AL"/>
        </w:rPr>
        <w:t>do shkelje konkrete t</w:t>
      </w:r>
      <w:r w:rsidR="003D7AAD" w:rsidRPr="00010E6E">
        <w:rPr>
          <w:rFonts w:eastAsia="Times New Roman"/>
          <w:color w:val="000000"/>
          <w:lang w:val="sq-AL" w:eastAsia="sq-AL"/>
        </w:rPr>
        <w:t>ë</w:t>
      </w:r>
      <w:r w:rsidR="00BD41D7" w:rsidRPr="00010E6E">
        <w:rPr>
          <w:rFonts w:eastAsia="Times New Roman"/>
          <w:color w:val="000000"/>
          <w:lang w:val="sq-AL" w:eastAsia="sq-AL"/>
        </w:rPr>
        <w:t xml:space="preserve"> dispozitave t</w:t>
      </w:r>
      <w:r w:rsidR="003D7AAD" w:rsidRPr="00010E6E">
        <w:rPr>
          <w:rFonts w:eastAsia="Times New Roman"/>
          <w:color w:val="000000"/>
          <w:lang w:val="sq-AL" w:eastAsia="sq-AL"/>
        </w:rPr>
        <w:t>ë</w:t>
      </w:r>
      <w:r w:rsidR="00BD41D7" w:rsidRPr="00010E6E">
        <w:rPr>
          <w:rFonts w:eastAsia="Times New Roman"/>
          <w:color w:val="000000"/>
          <w:lang w:val="sq-AL" w:eastAsia="sq-AL"/>
        </w:rPr>
        <w:t xml:space="preserve"> k</w:t>
      </w:r>
      <w:r w:rsidR="003D7AAD" w:rsidRPr="00010E6E">
        <w:rPr>
          <w:rFonts w:eastAsia="Times New Roman"/>
          <w:color w:val="000000"/>
          <w:lang w:val="sq-AL" w:eastAsia="sq-AL"/>
        </w:rPr>
        <w:t>ë</w:t>
      </w:r>
      <w:r w:rsidR="00BD41D7" w:rsidRPr="00010E6E">
        <w:rPr>
          <w:rFonts w:eastAsia="Times New Roman"/>
          <w:color w:val="000000"/>
          <w:lang w:val="sq-AL" w:eastAsia="sq-AL"/>
        </w:rPr>
        <w:t xml:space="preserve">tij ligji </w:t>
      </w:r>
      <w:r w:rsidR="002908B1" w:rsidRPr="00010E6E">
        <w:rPr>
          <w:rFonts w:eastAsia="Times New Roman"/>
          <w:color w:val="000000"/>
          <w:lang w:val="sq-AL" w:eastAsia="sq-AL"/>
        </w:rPr>
        <w:t>ka</w:t>
      </w:r>
      <w:r w:rsidR="00BD41D7" w:rsidRPr="00010E6E">
        <w:rPr>
          <w:rFonts w:eastAsia="Times New Roman"/>
          <w:color w:val="000000"/>
          <w:lang w:val="sq-AL" w:eastAsia="sq-AL"/>
        </w:rPr>
        <w:t xml:space="preserve"> nj</w:t>
      </w:r>
      <w:r w:rsidR="003D7AAD" w:rsidRPr="00010E6E">
        <w:rPr>
          <w:rFonts w:eastAsia="Times New Roman"/>
          <w:color w:val="000000"/>
          <w:lang w:val="sq-AL" w:eastAsia="sq-AL"/>
        </w:rPr>
        <w:t>ë</w:t>
      </w:r>
      <w:r w:rsidR="00BD41D7" w:rsidRPr="00010E6E">
        <w:rPr>
          <w:rFonts w:eastAsia="Times New Roman"/>
          <w:color w:val="000000"/>
          <w:lang w:val="sq-AL" w:eastAsia="sq-AL"/>
        </w:rPr>
        <w:t xml:space="preserve"> gjob</w:t>
      </w:r>
      <w:r w:rsidR="003D7AAD" w:rsidRPr="00010E6E">
        <w:rPr>
          <w:rFonts w:eastAsia="Times New Roman"/>
          <w:color w:val="000000"/>
          <w:lang w:val="sq-AL" w:eastAsia="sq-AL"/>
        </w:rPr>
        <w:t>ë</w:t>
      </w:r>
      <w:r w:rsidR="002908B1" w:rsidRPr="00010E6E">
        <w:rPr>
          <w:rFonts w:eastAsia="Times New Roman"/>
          <w:color w:val="000000"/>
          <w:lang w:val="sq-AL" w:eastAsia="sq-AL"/>
        </w:rPr>
        <w:t>, masa e t</w:t>
      </w:r>
      <w:r w:rsidR="005A721F" w:rsidRPr="00010E6E">
        <w:rPr>
          <w:rFonts w:eastAsia="Times New Roman"/>
          <w:color w:val="000000"/>
          <w:lang w:val="sq-AL" w:eastAsia="sq-AL"/>
        </w:rPr>
        <w:t>ë</w:t>
      </w:r>
      <w:r w:rsidR="002908B1" w:rsidRPr="00010E6E">
        <w:rPr>
          <w:rFonts w:eastAsia="Times New Roman"/>
          <w:color w:val="000000"/>
          <w:lang w:val="sq-AL" w:eastAsia="sq-AL"/>
        </w:rPr>
        <w:t xml:space="preserve"> cil</w:t>
      </w:r>
      <w:r w:rsidR="005A721F" w:rsidRPr="00010E6E">
        <w:rPr>
          <w:rFonts w:eastAsia="Times New Roman"/>
          <w:color w:val="000000"/>
          <w:lang w:val="sq-AL" w:eastAsia="sq-AL"/>
        </w:rPr>
        <w:t>ë</w:t>
      </w:r>
      <w:r w:rsidR="002908B1" w:rsidRPr="00010E6E">
        <w:rPr>
          <w:rFonts w:eastAsia="Times New Roman"/>
          <w:color w:val="000000"/>
          <w:lang w:val="sq-AL" w:eastAsia="sq-AL"/>
        </w:rPr>
        <w:t>s p</w:t>
      </w:r>
      <w:r w:rsidR="005A721F" w:rsidRPr="00010E6E">
        <w:rPr>
          <w:rFonts w:eastAsia="Times New Roman"/>
          <w:color w:val="000000"/>
          <w:lang w:val="sq-AL" w:eastAsia="sq-AL"/>
        </w:rPr>
        <w:t>ë</w:t>
      </w:r>
      <w:r w:rsidR="002908B1" w:rsidRPr="00010E6E">
        <w:rPr>
          <w:rFonts w:eastAsia="Times New Roman"/>
          <w:color w:val="000000"/>
          <w:lang w:val="sq-AL" w:eastAsia="sq-AL"/>
        </w:rPr>
        <w:t>rcaktohet duke vler</w:t>
      </w:r>
      <w:r w:rsidR="005A721F" w:rsidRPr="00010E6E">
        <w:rPr>
          <w:rFonts w:eastAsia="Times New Roman"/>
          <w:color w:val="000000"/>
          <w:lang w:val="sq-AL" w:eastAsia="sq-AL"/>
        </w:rPr>
        <w:t>ë</w:t>
      </w:r>
      <w:r w:rsidR="002908B1" w:rsidRPr="00010E6E">
        <w:rPr>
          <w:rFonts w:eastAsia="Times New Roman"/>
          <w:color w:val="000000"/>
          <w:lang w:val="sq-AL" w:eastAsia="sq-AL"/>
        </w:rPr>
        <w:t>suar kriteret e p</w:t>
      </w:r>
      <w:r w:rsidR="005A721F" w:rsidRPr="00010E6E">
        <w:rPr>
          <w:rFonts w:eastAsia="Times New Roman"/>
          <w:color w:val="000000"/>
          <w:lang w:val="sq-AL" w:eastAsia="sq-AL"/>
        </w:rPr>
        <w:t>ë</w:t>
      </w:r>
      <w:r w:rsidR="002908B1" w:rsidRPr="00010E6E">
        <w:rPr>
          <w:rFonts w:eastAsia="Times New Roman"/>
          <w:color w:val="000000"/>
          <w:lang w:val="sq-AL" w:eastAsia="sq-AL"/>
        </w:rPr>
        <w:t>r</w:t>
      </w:r>
      <w:r w:rsidR="00BD41D7" w:rsidRPr="00010E6E">
        <w:rPr>
          <w:rFonts w:eastAsia="Times New Roman"/>
          <w:color w:val="000000"/>
          <w:lang w:val="sq-AL" w:eastAsia="sq-AL"/>
        </w:rPr>
        <w:t>caktuar</w:t>
      </w:r>
      <w:r w:rsidR="002908B1" w:rsidRPr="00010E6E">
        <w:rPr>
          <w:rFonts w:eastAsia="Times New Roman"/>
          <w:color w:val="000000"/>
          <w:lang w:val="sq-AL" w:eastAsia="sq-AL"/>
        </w:rPr>
        <w:t>a n</w:t>
      </w:r>
      <w:r w:rsidR="005A721F" w:rsidRPr="00010E6E">
        <w:rPr>
          <w:rFonts w:eastAsia="Times New Roman"/>
          <w:color w:val="000000"/>
          <w:lang w:val="sq-AL" w:eastAsia="sq-AL"/>
        </w:rPr>
        <w:t>ë</w:t>
      </w:r>
      <w:r w:rsidR="002908B1" w:rsidRPr="00010E6E">
        <w:rPr>
          <w:rFonts w:eastAsia="Times New Roman"/>
          <w:color w:val="000000"/>
          <w:lang w:val="sq-AL" w:eastAsia="sq-AL"/>
        </w:rPr>
        <w:t xml:space="preserve"> pik</w:t>
      </w:r>
      <w:r w:rsidR="005A721F" w:rsidRPr="00010E6E">
        <w:rPr>
          <w:rFonts w:eastAsia="Times New Roman"/>
          <w:color w:val="000000"/>
          <w:lang w:val="sq-AL" w:eastAsia="sq-AL"/>
        </w:rPr>
        <w:t>ë</w:t>
      </w:r>
      <w:r w:rsidR="002908B1" w:rsidRPr="00010E6E">
        <w:rPr>
          <w:rFonts w:eastAsia="Times New Roman"/>
          <w:color w:val="000000"/>
          <w:lang w:val="sq-AL" w:eastAsia="sq-AL"/>
        </w:rPr>
        <w:t>n 8 t</w:t>
      </w:r>
      <w:r w:rsidR="005A721F" w:rsidRPr="00010E6E">
        <w:rPr>
          <w:rFonts w:eastAsia="Times New Roman"/>
          <w:color w:val="000000"/>
          <w:lang w:val="sq-AL" w:eastAsia="sq-AL"/>
        </w:rPr>
        <w:t>ë</w:t>
      </w:r>
      <w:r w:rsidR="002908B1" w:rsidRPr="00010E6E">
        <w:rPr>
          <w:rFonts w:eastAsia="Times New Roman"/>
          <w:color w:val="000000"/>
          <w:lang w:val="sq-AL" w:eastAsia="sq-AL"/>
        </w:rPr>
        <w:t xml:space="preserve"> k</w:t>
      </w:r>
      <w:r w:rsidR="005A721F" w:rsidRPr="00010E6E">
        <w:rPr>
          <w:rFonts w:eastAsia="Times New Roman"/>
          <w:color w:val="000000"/>
          <w:lang w:val="sq-AL" w:eastAsia="sq-AL"/>
        </w:rPr>
        <w:t>ë</w:t>
      </w:r>
      <w:r w:rsidR="002908B1" w:rsidRPr="00010E6E">
        <w:rPr>
          <w:rFonts w:eastAsia="Times New Roman"/>
          <w:color w:val="000000"/>
          <w:lang w:val="sq-AL" w:eastAsia="sq-AL"/>
        </w:rPr>
        <w:t>tij neni. P</w:t>
      </w:r>
      <w:r w:rsidR="005A721F" w:rsidRPr="00010E6E">
        <w:rPr>
          <w:rFonts w:eastAsia="Times New Roman"/>
          <w:color w:val="000000"/>
          <w:lang w:val="sq-AL" w:eastAsia="sq-AL"/>
        </w:rPr>
        <w:t>ë</w:t>
      </w:r>
      <w:r w:rsidR="002908B1" w:rsidRPr="00010E6E">
        <w:rPr>
          <w:rFonts w:eastAsia="Times New Roman"/>
          <w:color w:val="000000"/>
          <w:lang w:val="sq-AL" w:eastAsia="sq-AL"/>
        </w:rPr>
        <w:t>rve</w:t>
      </w:r>
      <w:r w:rsidR="00774404" w:rsidRPr="00010E6E">
        <w:rPr>
          <w:rFonts w:eastAsia="Times New Roman"/>
          <w:color w:val="000000"/>
          <w:lang w:val="sq-AL" w:eastAsia="sq-AL"/>
        </w:rPr>
        <w:t>ç</w:t>
      </w:r>
      <w:r w:rsidR="002908B1" w:rsidRPr="00010E6E">
        <w:rPr>
          <w:rFonts w:eastAsia="Times New Roman"/>
          <w:color w:val="000000"/>
          <w:lang w:val="sq-AL" w:eastAsia="sq-AL"/>
        </w:rPr>
        <w:t xml:space="preserve"> gjobave jan</w:t>
      </w:r>
      <w:r w:rsidR="005A721F" w:rsidRPr="00010E6E">
        <w:rPr>
          <w:rFonts w:eastAsia="Times New Roman"/>
          <w:color w:val="000000"/>
          <w:lang w:val="sq-AL" w:eastAsia="sq-AL"/>
        </w:rPr>
        <w:t>ë</w:t>
      </w:r>
      <w:r w:rsidR="002908B1" w:rsidRPr="00010E6E">
        <w:rPr>
          <w:rFonts w:eastAsia="Times New Roman"/>
          <w:color w:val="000000"/>
          <w:lang w:val="sq-AL" w:eastAsia="sq-AL"/>
        </w:rPr>
        <w:t xml:space="preserve"> p</w:t>
      </w:r>
      <w:r w:rsidR="005A721F" w:rsidRPr="00010E6E">
        <w:rPr>
          <w:rFonts w:eastAsia="Times New Roman"/>
          <w:color w:val="000000"/>
          <w:lang w:val="sq-AL" w:eastAsia="sq-AL"/>
        </w:rPr>
        <w:t>ë</w:t>
      </w:r>
      <w:r w:rsidR="002908B1" w:rsidRPr="00010E6E">
        <w:rPr>
          <w:rFonts w:eastAsia="Times New Roman"/>
          <w:color w:val="000000"/>
          <w:lang w:val="sq-AL" w:eastAsia="sq-AL"/>
        </w:rPr>
        <w:t>rcaktuar edhe sanksione t</w:t>
      </w:r>
      <w:r w:rsidR="005A721F" w:rsidRPr="00010E6E">
        <w:rPr>
          <w:rFonts w:eastAsia="Times New Roman"/>
          <w:color w:val="000000"/>
          <w:lang w:val="sq-AL" w:eastAsia="sq-AL"/>
        </w:rPr>
        <w:t>ë</w:t>
      </w:r>
      <w:r w:rsidR="002908B1" w:rsidRPr="00010E6E">
        <w:rPr>
          <w:rFonts w:eastAsia="Times New Roman"/>
          <w:color w:val="000000"/>
          <w:lang w:val="sq-AL" w:eastAsia="sq-AL"/>
        </w:rPr>
        <w:t xml:space="preserve"> tjera, t</w:t>
      </w:r>
      <w:r w:rsidR="005A721F" w:rsidRPr="00010E6E">
        <w:rPr>
          <w:rFonts w:eastAsia="Times New Roman"/>
          <w:color w:val="000000"/>
          <w:lang w:val="sq-AL" w:eastAsia="sq-AL"/>
        </w:rPr>
        <w:t>ë</w:t>
      </w:r>
      <w:r w:rsidR="002908B1" w:rsidRPr="00010E6E">
        <w:rPr>
          <w:rFonts w:eastAsia="Times New Roman"/>
          <w:color w:val="000000"/>
          <w:lang w:val="sq-AL" w:eastAsia="sq-AL"/>
        </w:rPr>
        <w:t xml:space="preserve"> tilla si </w:t>
      </w:r>
      <w:r w:rsidR="00BD41D7" w:rsidRPr="00010E6E">
        <w:rPr>
          <w:rFonts w:eastAsia="Times New Roman"/>
          <w:lang w:val="sq-AL"/>
        </w:rPr>
        <w:t xml:space="preserve">revokimi ose pezullimi i </w:t>
      </w:r>
      <w:r w:rsidR="002908B1" w:rsidRPr="00010E6E">
        <w:rPr>
          <w:rFonts w:eastAsia="Times New Roman"/>
          <w:lang w:val="sq-AL"/>
        </w:rPr>
        <w:t>licenc</w:t>
      </w:r>
      <w:r w:rsidR="005A721F" w:rsidRPr="00010E6E">
        <w:rPr>
          <w:rFonts w:eastAsia="Times New Roman"/>
          <w:lang w:val="sq-AL"/>
        </w:rPr>
        <w:t>ë</w:t>
      </w:r>
      <w:r w:rsidR="002908B1" w:rsidRPr="00010E6E">
        <w:rPr>
          <w:rFonts w:eastAsia="Times New Roman"/>
          <w:lang w:val="sq-AL"/>
        </w:rPr>
        <w:t xml:space="preserve">s </w:t>
      </w:r>
      <w:r w:rsidR="00BD41D7" w:rsidRPr="00010E6E">
        <w:rPr>
          <w:rFonts w:eastAsia="Times New Roman"/>
          <w:lang w:val="sq-AL"/>
        </w:rPr>
        <w:t>n</w:t>
      </w:r>
      <w:r w:rsidR="003D7AAD" w:rsidRPr="00010E6E">
        <w:rPr>
          <w:rFonts w:eastAsia="Times New Roman"/>
          <w:lang w:val="sq-AL"/>
        </w:rPr>
        <w:t>ë</w:t>
      </w:r>
      <w:r w:rsidR="00BD41D7" w:rsidRPr="00010E6E">
        <w:rPr>
          <w:rFonts w:eastAsia="Times New Roman"/>
          <w:lang w:val="sq-AL"/>
        </w:rPr>
        <w:t xml:space="preserve"> raste t</w:t>
      </w:r>
      <w:r w:rsidR="003D7AAD" w:rsidRPr="00010E6E">
        <w:rPr>
          <w:rFonts w:eastAsia="Times New Roman"/>
          <w:lang w:val="sq-AL"/>
        </w:rPr>
        <w:t>ë</w:t>
      </w:r>
      <w:r w:rsidR="00BD41D7" w:rsidRPr="00010E6E">
        <w:rPr>
          <w:rFonts w:eastAsia="Times New Roman"/>
          <w:lang w:val="sq-AL"/>
        </w:rPr>
        <w:t xml:space="preserve"> caktuara.</w:t>
      </w:r>
      <w:r w:rsidR="00BD41D7" w:rsidRPr="00010E6E">
        <w:rPr>
          <w:rFonts w:eastAsia="Times New Roman"/>
          <w:sz w:val="20"/>
          <w:szCs w:val="20"/>
          <w:lang w:val="sq-AL"/>
        </w:rPr>
        <w:t xml:space="preserve"> </w:t>
      </w:r>
      <w:r w:rsidR="00BD41D7" w:rsidRPr="00010E6E">
        <w:rPr>
          <w:rFonts w:eastAsia="Times New Roman"/>
          <w:lang w:val="sq-AL"/>
        </w:rPr>
        <w:t>Gjobat janë tituj ekzekutivë dhe me ekzekutimin e tyre ngarkohet Zyra e Përmbarimit.</w:t>
      </w:r>
      <w:r w:rsidR="002908B1" w:rsidRPr="00010E6E">
        <w:rPr>
          <w:rFonts w:eastAsia="Times New Roman"/>
          <w:lang w:val="sq-AL"/>
        </w:rPr>
        <w:t xml:space="preserve"> Ato ark</w:t>
      </w:r>
      <w:r w:rsidR="005A721F" w:rsidRPr="00010E6E">
        <w:rPr>
          <w:rFonts w:eastAsia="Times New Roman"/>
          <w:lang w:val="sq-AL"/>
        </w:rPr>
        <w:t>ë</w:t>
      </w:r>
      <w:r w:rsidR="002908B1" w:rsidRPr="00010E6E">
        <w:rPr>
          <w:rFonts w:eastAsia="Times New Roman"/>
          <w:lang w:val="sq-AL"/>
        </w:rPr>
        <w:t>tohen p</w:t>
      </w:r>
      <w:r w:rsidR="005A721F" w:rsidRPr="00010E6E">
        <w:rPr>
          <w:rFonts w:eastAsia="Times New Roman"/>
          <w:lang w:val="sq-AL"/>
        </w:rPr>
        <w:t>ë</w:t>
      </w:r>
      <w:r w:rsidR="002908B1" w:rsidRPr="00010E6E">
        <w:rPr>
          <w:rFonts w:eastAsia="Times New Roman"/>
          <w:lang w:val="sq-AL"/>
        </w:rPr>
        <w:t>r llogari t</w:t>
      </w:r>
      <w:r w:rsidR="005A721F" w:rsidRPr="00010E6E">
        <w:rPr>
          <w:rFonts w:eastAsia="Times New Roman"/>
          <w:lang w:val="sq-AL"/>
        </w:rPr>
        <w:t>ë</w:t>
      </w:r>
      <w:r w:rsidR="002908B1" w:rsidRPr="00010E6E">
        <w:rPr>
          <w:rFonts w:eastAsia="Times New Roman"/>
          <w:lang w:val="sq-AL"/>
        </w:rPr>
        <w:t xml:space="preserve"> Bank</w:t>
      </w:r>
      <w:r w:rsidR="005A721F" w:rsidRPr="00010E6E">
        <w:rPr>
          <w:rFonts w:eastAsia="Times New Roman"/>
          <w:lang w:val="sq-AL"/>
        </w:rPr>
        <w:t>ë</w:t>
      </w:r>
      <w:r w:rsidR="002908B1" w:rsidRPr="00010E6E">
        <w:rPr>
          <w:rFonts w:eastAsia="Times New Roman"/>
          <w:lang w:val="sq-AL"/>
        </w:rPr>
        <w:t>s s</w:t>
      </w:r>
      <w:r w:rsidR="005A721F" w:rsidRPr="00010E6E">
        <w:rPr>
          <w:rFonts w:eastAsia="Times New Roman"/>
          <w:lang w:val="sq-AL"/>
        </w:rPr>
        <w:t>ë</w:t>
      </w:r>
      <w:r w:rsidR="002908B1" w:rsidRPr="00010E6E">
        <w:rPr>
          <w:rFonts w:eastAsia="Times New Roman"/>
          <w:lang w:val="sq-AL"/>
        </w:rPr>
        <w:t xml:space="preserve"> Shqip</w:t>
      </w:r>
      <w:r w:rsidR="005A721F" w:rsidRPr="00010E6E">
        <w:rPr>
          <w:rFonts w:eastAsia="Times New Roman"/>
          <w:lang w:val="sq-AL"/>
        </w:rPr>
        <w:t>ë</w:t>
      </w:r>
      <w:r w:rsidR="002908B1" w:rsidRPr="00010E6E">
        <w:rPr>
          <w:rFonts w:eastAsia="Times New Roman"/>
          <w:lang w:val="sq-AL"/>
        </w:rPr>
        <w:t>ris</w:t>
      </w:r>
      <w:r w:rsidR="005A721F" w:rsidRPr="00010E6E">
        <w:rPr>
          <w:rFonts w:eastAsia="Times New Roman"/>
          <w:lang w:val="sq-AL"/>
        </w:rPr>
        <w:t>ë</w:t>
      </w:r>
      <w:r w:rsidR="0036481B">
        <w:rPr>
          <w:rFonts w:eastAsia="Times New Roman"/>
          <w:lang w:val="sq-AL"/>
        </w:rPr>
        <w:t>,</w:t>
      </w:r>
      <w:r w:rsidR="002908B1" w:rsidRPr="00010E6E">
        <w:rPr>
          <w:rFonts w:eastAsia="Times New Roman"/>
          <w:lang w:val="sq-AL"/>
        </w:rPr>
        <w:t xml:space="preserve"> n</w:t>
      </w:r>
      <w:r w:rsidR="005A721F" w:rsidRPr="00010E6E">
        <w:rPr>
          <w:rFonts w:eastAsia="Times New Roman"/>
          <w:lang w:val="sq-AL"/>
        </w:rPr>
        <w:t>ë</w:t>
      </w:r>
      <w:r w:rsidR="002908B1" w:rsidRPr="00010E6E">
        <w:rPr>
          <w:rFonts w:eastAsia="Times New Roman"/>
          <w:lang w:val="sq-AL"/>
        </w:rPr>
        <w:t xml:space="preserve"> p</w:t>
      </w:r>
      <w:r w:rsidR="005A721F" w:rsidRPr="00010E6E">
        <w:rPr>
          <w:rFonts w:eastAsia="Times New Roman"/>
          <w:lang w:val="sq-AL"/>
        </w:rPr>
        <w:t>ë</w:t>
      </w:r>
      <w:r w:rsidR="002908B1" w:rsidRPr="00010E6E">
        <w:rPr>
          <w:rFonts w:eastAsia="Times New Roman"/>
          <w:lang w:val="sq-AL"/>
        </w:rPr>
        <w:t xml:space="preserve">rputhje me legjislacionin </w:t>
      </w:r>
      <w:r w:rsidR="002908B1" w:rsidRPr="00010E6E">
        <w:rPr>
          <w:rFonts w:eastAsia="Times New Roman"/>
          <w:color w:val="000000"/>
          <w:lang w:val="sq-AL" w:eastAsia="sq-AL"/>
        </w:rPr>
        <w:t>“Për kundërvajtjet administrative”.</w:t>
      </w:r>
    </w:p>
    <w:p w14:paraId="3A8BE15B" w14:textId="77777777" w:rsidR="007C3D30" w:rsidRPr="00010E6E" w:rsidRDefault="007C3D30" w:rsidP="00AB4D14">
      <w:pPr>
        <w:spacing w:line="276" w:lineRule="auto"/>
        <w:contextualSpacing/>
        <w:jc w:val="both"/>
        <w:rPr>
          <w:rFonts w:eastAsia="Times New Roman"/>
          <w:color w:val="000000"/>
          <w:lang w:val="sq-AL" w:eastAsia="sq-AL"/>
        </w:rPr>
      </w:pPr>
    </w:p>
    <w:p w14:paraId="787D9A91" w14:textId="77777777" w:rsidR="00C10F0D" w:rsidRDefault="003D7AAD" w:rsidP="00AB4D14">
      <w:pPr>
        <w:autoSpaceDE w:val="0"/>
        <w:autoSpaceDN w:val="0"/>
        <w:adjustRightInd w:val="0"/>
        <w:spacing w:line="276" w:lineRule="auto"/>
        <w:jc w:val="both"/>
        <w:rPr>
          <w:color w:val="000000"/>
          <w:lang w:val="sq-AL"/>
        </w:rPr>
      </w:pPr>
      <w:r w:rsidRPr="00010E6E">
        <w:rPr>
          <w:color w:val="000000"/>
          <w:lang w:val="sq-AL"/>
        </w:rPr>
        <w:t xml:space="preserve">Në nenin </w:t>
      </w:r>
      <w:r w:rsidR="00044453" w:rsidRPr="00010E6E">
        <w:rPr>
          <w:color w:val="000000"/>
          <w:lang w:val="sq-AL"/>
        </w:rPr>
        <w:t xml:space="preserve">95 </w:t>
      </w:r>
      <w:r w:rsidRPr="00010E6E">
        <w:rPr>
          <w:color w:val="000000"/>
          <w:lang w:val="sq-AL"/>
        </w:rPr>
        <w:t xml:space="preserve">është parashikuar detyrimi i Bankës së Shqipërisë të publikojë në faqen zyrtare të internetit sanksionet e vendosura për shkelje të dispozitave të këtij ligji. Publikimi bëhet menjëherë pasi personi, ndaj të cilit është vendosur sanksioni, të jetë informuar për atë sanksion, duke përfshirë informacione mbi llojin e natyrën e shkeljes dhe identitetin e individit apo personit juridik, mbi të cilin është vendosur sanksioni. Në rastin e publikimit të sanksioneve, kundër të cilave është bërë ankesë, Banka e Shqipërisë publikon </w:t>
      </w:r>
      <w:r w:rsidR="00044453" w:rsidRPr="00010E6E">
        <w:rPr>
          <w:color w:val="000000"/>
          <w:lang w:val="sq-AL"/>
        </w:rPr>
        <w:t xml:space="preserve">edhe </w:t>
      </w:r>
      <w:r w:rsidRPr="00010E6E">
        <w:rPr>
          <w:color w:val="000000"/>
          <w:lang w:val="sq-AL"/>
        </w:rPr>
        <w:t>informacionin mbi statusin e asaj ankese dhe rezultatin e saj.</w:t>
      </w:r>
    </w:p>
    <w:p w14:paraId="23512272" w14:textId="4889B09B" w:rsidR="003D7AAD" w:rsidRPr="00010E6E" w:rsidRDefault="003D7AAD" w:rsidP="00AB4D14">
      <w:pPr>
        <w:autoSpaceDE w:val="0"/>
        <w:autoSpaceDN w:val="0"/>
        <w:adjustRightInd w:val="0"/>
        <w:spacing w:line="276" w:lineRule="auto"/>
        <w:jc w:val="both"/>
        <w:rPr>
          <w:color w:val="000000"/>
          <w:lang w:val="sq-AL"/>
        </w:rPr>
      </w:pPr>
    </w:p>
    <w:p w14:paraId="64DC58AE" w14:textId="65490186" w:rsidR="003D7AAD" w:rsidRPr="00010E6E" w:rsidRDefault="003D7AAD" w:rsidP="00AB4D14">
      <w:pPr>
        <w:autoSpaceDE w:val="0"/>
        <w:autoSpaceDN w:val="0"/>
        <w:adjustRightInd w:val="0"/>
        <w:spacing w:line="276" w:lineRule="auto"/>
        <w:jc w:val="both"/>
        <w:rPr>
          <w:color w:val="000000"/>
          <w:lang w:val="sq-AL"/>
        </w:rPr>
      </w:pPr>
      <w:r w:rsidRPr="00010E6E">
        <w:rPr>
          <w:color w:val="000000"/>
          <w:lang w:val="sq-AL"/>
        </w:rPr>
        <w:t xml:space="preserve">Është parashikuar që publikimi sipas këtij neni të qëndrojë në faqen zyrtare të internetit të Bankës së Shqipërisë maksimumi një vit, dhe në </w:t>
      </w:r>
      <w:r w:rsidR="00774404" w:rsidRPr="00010E6E">
        <w:rPr>
          <w:color w:val="000000"/>
          <w:lang w:val="sq-AL"/>
        </w:rPr>
        <w:t>ç</w:t>
      </w:r>
      <w:r w:rsidRPr="00010E6E">
        <w:rPr>
          <w:color w:val="000000"/>
          <w:lang w:val="sq-AL"/>
        </w:rPr>
        <w:t>do rast në përputhje me legjislacionin në fuqi për mbrojtjen e të dhënave personale.</w:t>
      </w:r>
      <w:r w:rsidR="0036481B">
        <w:rPr>
          <w:color w:val="000000"/>
          <w:lang w:val="sq-AL"/>
        </w:rPr>
        <w:t xml:space="preserve"> </w:t>
      </w:r>
      <w:r w:rsidRPr="00010E6E">
        <w:rPr>
          <w:color w:val="000000"/>
          <w:lang w:val="sq-AL"/>
        </w:rPr>
        <w:t xml:space="preserve">Përjashtim nga publikimi i sanksioneve </w:t>
      </w:r>
      <w:r w:rsidRPr="00010E6E">
        <w:rPr>
          <w:color w:val="000000"/>
          <w:lang w:val="sq-AL"/>
        </w:rPr>
        <w:lastRenderedPageBreak/>
        <w:t>mund të jetë vetëm rasti kur Banka e Shqipërisë gjykon se publikimi rrezikon seriozisht stabilitetin e tregjeve financiare ose i shkakton dëm joproporcional palëve të përfshira.</w:t>
      </w:r>
    </w:p>
    <w:p w14:paraId="7442FDA0" w14:textId="77777777" w:rsidR="003D7AAD" w:rsidRPr="00010E6E" w:rsidRDefault="003D7AAD" w:rsidP="00AB4D14">
      <w:pPr>
        <w:spacing w:line="276" w:lineRule="auto"/>
        <w:contextualSpacing/>
        <w:jc w:val="both"/>
        <w:rPr>
          <w:color w:val="000000"/>
          <w:lang w:val="sq-AL"/>
        </w:rPr>
      </w:pPr>
    </w:p>
    <w:p w14:paraId="715FA95E" w14:textId="715E89CE" w:rsidR="005A6D7D" w:rsidRDefault="003D7AAD" w:rsidP="00AB4D14">
      <w:pPr>
        <w:spacing w:line="276" w:lineRule="auto"/>
        <w:jc w:val="both"/>
        <w:rPr>
          <w:lang w:val="sq-AL" w:eastAsia="en-GB"/>
        </w:rPr>
      </w:pPr>
      <w:r w:rsidRPr="00010E6E">
        <w:rPr>
          <w:color w:val="000000"/>
          <w:lang w:val="sq-AL"/>
        </w:rPr>
        <w:t>N</w:t>
      </w:r>
      <w:r w:rsidR="00283EA6" w:rsidRPr="00010E6E">
        <w:rPr>
          <w:color w:val="000000"/>
          <w:lang w:val="sq-AL"/>
        </w:rPr>
        <w:t>ë</w:t>
      </w:r>
      <w:r w:rsidRPr="00010E6E">
        <w:rPr>
          <w:color w:val="000000"/>
          <w:lang w:val="sq-AL"/>
        </w:rPr>
        <w:t xml:space="preserve"> nenin </w:t>
      </w:r>
      <w:r w:rsidR="00044453" w:rsidRPr="00010E6E">
        <w:rPr>
          <w:color w:val="000000"/>
          <w:lang w:val="sq-AL"/>
        </w:rPr>
        <w:t xml:space="preserve">96 </w:t>
      </w:r>
      <w:r w:rsidRPr="00010E6E">
        <w:rPr>
          <w:color w:val="000000"/>
          <w:lang w:val="sq-AL"/>
        </w:rPr>
        <w:t>t</w:t>
      </w:r>
      <w:r w:rsidR="00283EA6" w:rsidRPr="00010E6E">
        <w:rPr>
          <w:color w:val="000000"/>
          <w:lang w:val="sq-AL"/>
        </w:rPr>
        <w:t>ë</w:t>
      </w:r>
      <w:r w:rsidRPr="00010E6E">
        <w:rPr>
          <w:color w:val="000000"/>
          <w:lang w:val="sq-AL"/>
        </w:rPr>
        <w:t xml:space="preserve"> projekligjit parashikohet procedura e ankimit administrativ</w:t>
      </w:r>
      <w:r w:rsidR="00F3000E" w:rsidRPr="00010E6E">
        <w:rPr>
          <w:color w:val="000000"/>
          <w:lang w:val="sq-AL"/>
        </w:rPr>
        <w:t xml:space="preserve"> </w:t>
      </w:r>
      <w:r w:rsidR="001D14B2" w:rsidRPr="00010E6E">
        <w:rPr>
          <w:color w:val="000000"/>
          <w:lang w:val="sq-AL"/>
        </w:rPr>
        <w:t>p</w:t>
      </w:r>
      <w:r w:rsidR="00283EA6" w:rsidRPr="00010E6E">
        <w:rPr>
          <w:color w:val="000000"/>
          <w:lang w:val="sq-AL"/>
        </w:rPr>
        <w:t>ë</w:t>
      </w:r>
      <w:r w:rsidR="001D14B2" w:rsidRPr="00010E6E">
        <w:rPr>
          <w:color w:val="000000"/>
          <w:lang w:val="sq-AL"/>
        </w:rPr>
        <w:t xml:space="preserve">r </w:t>
      </w:r>
      <w:r w:rsidR="005A721F" w:rsidRPr="00010E6E">
        <w:rPr>
          <w:color w:val="000000"/>
          <w:lang w:val="sq-AL"/>
        </w:rPr>
        <w:t>ç</w:t>
      </w:r>
      <w:r w:rsidR="001D14B2" w:rsidRPr="00010E6E">
        <w:rPr>
          <w:color w:val="000000"/>
          <w:lang w:val="sq-AL"/>
        </w:rPr>
        <w:t xml:space="preserve">do </w:t>
      </w:r>
      <w:r w:rsidR="001D14B2" w:rsidRPr="00010E6E">
        <w:rPr>
          <w:lang w:val="sq-AL"/>
        </w:rPr>
        <w:t>institucion pagese, i cili pretendon se të drejtat dhe interesat e ligjsh</w:t>
      </w:r>
      <w:r w:rsidR="0046279C">
        <w:rPr>
          <w:lang w:val="sq-AL"/>
        </w:rPr>
        <w:t>me</w:t>
      </w:r>
      <w:r w:rsidR="001D14B2" w:rsidRPr="00010E6E">
        <w:rPr>
          <w:lang w:val="sq-AL"/>
        </w:rPr>
        <w:t xml:space="preserve"> të tij janë c</w:t>
      </w:r>
      <w:r w:rsidR="0046279C">
        <w:rPr>
          <w:lang w:val="sq-AL"/>
        </w:rPr>
        <w:t>e</w:t>
      </w:r>
      <w:r w:rsidR="001D14B2" w:rsidRPr="00010E6E">
        <w:rPr>
          <w:lang w:val="sq-AL"/>
        </w:rPr>
        <w:t xml:space="preserve">nuar nga akte administrative të nxjerra në zbatim të dispozitave të këtij ligji. Subjekti ka të drejtë të kryejë ankim administrativ tek Guvernatori, brenda 30 ditëve nga marrja dijeni e aktit. Ankimi administrativ paraqitet në formën dhe shqyrtohet brenda afateve të parashikuara në Kodin e Procedurave Administrative, si dhe </w:t>
      </w:r>
      <w:r w:rsidR="00283EA6" w:rsidRPr="00010E6E">
        <w:rPr>
          <w:lang w:val="sq-AL"/>
        </w:rPr>
        <w:t>ë</w:t>
      </w:r>
      <w:r w:rsidR="001D14B2" w:rsidRPr="00010E6E">
        <w:rPr>
          <w:lang w:val="sq-AL"/>
        </w:rPr>
        <w:t>sht</w:t>
      </w:r>
      <w:r w:rsidR="00283EA6" w:rsidRPr="00010E6E">
        <w:rPr>
          <w:lang w:val="sq-AL"/>
        </w:rPr>
        <w:t>ë</w:t>
      </w:r>
      <w:r w:rsidR="001D14B2" w:rsidRPr="00010E6E">
        <w:rPr>
          <w:lang w:val="sq-AL"/>
        </w:rPr>
        <w:t xml:space="preserve"> kusht paraprak për kundërshtimin e vendimit në gjykatë.</w:t>
      </w:r>
      <w:r w:rsidR="007526E3" w:rsidRPr="00010E6E">
        <w:rPr>
          <w:rFonts w:eastAsia="Times New Roman"/>
          <w:color w:val="000000"/>
          <w:lang w:val="sq-AL" w:eastAsia="sq-AL"/>
        </w:rPr>
        <w:t xml:space="preserve"> </w:t>
      </w:r>
      <w:r w:rsidR="005A6D7D" w:rsidRPr="00010E6E">
        <w:rPr>
          <w:rFonts w:eastAsia="Calibri"/>
          <w:color w:val="000000"/>
          <w:lang w:val="sq-AL"/>
        </w:rPr>
        <w:t>Ankimi administrativ nuk pezullon zbatimin e aktit administrativ të nxjerrë nga Banka e Shqipërisë.</w:t>
      </w:r>
      <w:r w:rsidR="005A6D7D" w:rsidRPr="00010E6E">
        <w:rPr>
          <w:lang w:val="sq-AL" w:eastAsia="en-GB"/>
        </w:rPr>
        <w:t xml:space="preserve"> </w:t>
      </w:r>
    </w:p>
    <w:p w14:paraId="0010E98A" w14:textId="77777777" w:rsidR="0046279C" w:rsidRPr="00010E6E" w:rsidRDefault="0046279C" w:rsidP="00AB4D14">
      <w:pPr>
        <w:spacing w:line="276" w:lineRule="auto"/>
        <w:jc w:val="both"/>
        <w:rPr>
          <w:lang w:val="sq-AL" w:eastAsia="en-GB"/>
        </w:rPr>
      </w:pPr>
    </w:p>
    <w:p w14:paraId="7DF15F19" w14:textId="2134E40D" w:rsidR="005A6D7D" w:rsidRPr="00010E6E" w:rsidRDefault="005A6D7D" w:rsidP="00AB4D14">
      <w:pPr>
        <w:spacing w:line="276" w:lineRule="auto"/>
        <w:jc w:val="both"/>
        <w:rPr>
          <w:rFonts w:eastAsia="Times New Roman"/>
          <w:color w:val="000000"/>
          <w:lang w:val="sq-AL" w:eastAsia="sq-AL"/>
        </w:rPr>
      </w:pPr>
      <w:r w:rsidRPr="00010E6E">
        <w:rPr>
          <w:rFonts w:eastAsia="Times New Roman"/>
          <w:color w:val="000000"/>
          <w:lang w:val="sq-AL" w:eastAsia="sq-AL"/>
        </w:rPr>
        <w:t>Parashikimet e k</w:t>
      </w:r>
      <w:r w:rsidR="005A721F" w:rsidRPr="00010E6E">
        <w:rPr>
          <w:rFonts w:eastAsia="Times New Roman"/>
          <w:color w:val="000000"/>
          <w:lang w:val="sq-AL" w:eastAsia="sq-AL"/>
        </w:rPr>
        <w:t>ë</w:t>
      </w:r>
      <w:r w:rsidRPr="00010E6E">
        <w:rPr>
          <w:rFonts w:eastAsia="Times New Roman"/>
          <w:color w:val="000000"/>
          <w:lang w:val="sq-AL" w:eastAsia="sq-AL"/>
        </w:rPr>
        <w:t>tij neni</w:t>
      </w:r>
      <w:r w:rsidR="007526E3" w:rsidRPr="00010E6E">
        <w:rPr>
          <w:rFonts w:eastAsia="Times New Roman"/>
          <w:color w:val="000000"/>
          <w:lang w:val="sq-AL" w:eastAsia="sq-AL"/>
        </w:rPr>
        <w:t xml:space="preserve"> ka</w:t>
      </w:r>
      <w:r w:rsidRPr="00010E6E">
        <w:rPr>
          <w:rFonts w:eastAsia="Times New Roman"/>
          <w:color w:val="000000"/>
          <w:lang w:val="sq-AL" w:eastAsia="sq-AL"/>
        </w:rPr>
        <w:t>n</w:t>
      </w:r>
      <w:r w:rsidR="005A721F" w:rsidRPr="00010E6E">
        <w:rPr>
          <w:rFonts w:eastAsia="Times New Roman"/>
          <w:color w:val="000000"/>
          <w:lang w:val="sq-AL" w:eastAsia="sq-AL"/>
        </w:rPr>
        <w:t>ë</w:t>
      </w:r>
      <w:r w:rsidR="007526E3" w:rsidRPr="00010E6E">
        <w:rPr>
          <w:rFonts w:eastAsia="Times New Roman"/>
          <w:color w:val="000000"/>
          <w:lang w:val="sq-AL" w:eastAsia="sq-AL"/>
        </w:rPr>
        <w:t xml:space="preserve"> synuar të mbaj</w:t>
      </w:r>
      <w:r w:rsidRPr="00010E6E">
        <w:rPr>
          <w:rFonts w:eastAsia="Times New Roman"/>
          <w:color w:val="000000"/>
          <w:lang w:val="sq-AL" w:eastAsia="sq-AL"/>
        </w:rPr>
        <w:t>n</w:t>
      </w:r>
      <w:r w:rsidR="007526E3" w:rsidRPr="00010E6E">
        <w:rPr>
          <w:rFonts w:eastAsia="Times New Roman"/>
          <w:color w:val="000000"/>
          <w:lang w:val="sq-AL" w:eastAsia="sq-AL"/>
        </w:rPr>
        <w:t xml:space="preserve">ë një qëndrim të unifikuar me </w:t>
      </w:r>
      <w:r w:rsidRPr="00010E6E">
        <w:rPr>
          <w:rFonts w:eastAsia="Times New Roman"/>
          <w:color w:val="000000"/>
          <w:lang w:val="sq-AL" w:eastAsia="sq-AL"/>
        </w:rPr>
        <w:t>dispozita t</w:t>
      </w:r>
      <w:r w:rsidR="005A721F" w:rsidRPr="00010E6E">
        <w:rPr>
          <w:rFonts w:eastAsia="Times New Roman"/>
          <w:color w:val="000000"/>
          <w:lang w:val="sq-AL" w:eastAsia="sq-AL"/>
        </w:rPr>
        <w:t>ë</w:t>
      </w:r>
      <w:r w:rsidRPr="00010E6E">
        <w:rPr>
          <w:rFonts w:eastAsia="Times New Roman"/>
          <w:color w:val="000000"/>
          <w:lang w:val="sq-AL" w:eastAsia="sq-AL"/>
        </w:rPr>
        <w:t xml:space="preserve"> nj</w:t>
      </w:r>
      <w:r w:rsidR="005A721F" w:rsidRPr="00010E6E">
        <w:rPr>
          <w:rFonts w:eastAsia="Times New Roman"/>
          <w:color w:val="000000"/>
          <w:lang w:val="sq-AL" w:eastAsia="sq-AL"/>
        </w:rPr>
        <w:t>ë</w:t>
      </w:r>
      <w:r w:rsidRPr="00010E6E">
        <w:rPr>
          <w:rFonts w:eastAsia="Times New Roman"/>
          <w:color w:val="000000"/>
          <w:lang w:val="sq-AL" w:eastAsia="sq-AL"/>
        </w:rPr>
        <w:t>jta t</w:t>
      </w:r>
      <w:r w:rsidR="005A721F" w:rsidRPr="00010E6E">
        <w:rPr>
          <w:rFonts w:eastAsia="Times New Roman"/>
          <w:color w:val="000000"/>
          <w:lang w:val="sq-AL" w:eastAsia="sq-AL"/>
        </w:rPr>
        <w:t>ë</w:t>
      </w:r>
      <w:r w:rsidRPr="00010E6E">
        <w:rPr>
          <w:rFonts w:eastAsia="Times New Roman"/>
          <w:color w:val="000000"/>
          <w:lang w:val="sq-AL" w:eastAsia="sq-AL"/>
        </w:rPr>
        <w:t xml:space="preserve"> Ligjit p</w:t>
      </w:r>
      <w:r w:rsidR="005A721F" w:rsidRPr="00010E6E">
        <w:rPr>
          <w:rFonts w:eastAsia="Times New Roman"/>
          <w:color w:val="000000"/>
          <w:lang w:val="sq-AL" w:eastAsia="sq-AL"/>
        </w:rPr>
        <w:t>ë</w:t>
      </w:r>
      <w:r w:rsidRPr="00010E6E">
        <w:rPr>
          <w:rFonts w:eastAsia="Times New Roman"/>
          <w:color w:val="000000"/>
          <w:lang w:val="sq-AL" w:eastAsia="sq-AL"/>
        </w:rPr>
        <w:t>r Bank</w:t>
      </w:r>
      <w:r w:rsidR="005A721F" w:rsidRPr="00010E6E">
        <w:rPr>
          <w:rFonts w:eastAsia="Times New Roman"/>
          <w:color w:val="000000"/>
          <w:lang w:val="sq-AL" w:eastAsia="sq-AL"/>
        </w:rPr>
        <w:t>ë</w:t>
      </w:r>
      <w:r w:rsidRPr="00010E6E">
        <w:rPr>
          <w:rFonts w:eastAsia="Times New Roman"/>
          <w:color w:val="000000"/>
          <w:lang w:val="sq-AL" w:eastAsia="sq-AL"/>
        </w:rPr>
        <w:t>n e Shqip</w:t>
      </w:r>
      <w:r w:rsidR="005A721F" w:rsidRPr="00010E6E">
        <w:rPr>
          <w:rFonts w:eastAsia="Times New Roman"/>
          <w:color w:val="000000"/>
          <w:lang w:val="sq-AL" w:eastAsia="sq-AL"/>
        </w:rPr>
        <w:t>ë</w:t>
      </w:r>
      <w:r w:rsidRPr="00010E6E">
        <w:rPr>
          <w:rFonts w:eastAsia="Times New Roman"/>
          <w:color w:val="000000"/>
          <w:lang w:val="sq-AL" w:eastAsia="sq-AL"/>
        </w:rPr>
        <w:t>ris</w:t>
      </w:r>
      <w:r w:rsidR="005A721F" w:rsidRPr="00010E6E">
        <w:rPr>
          <w:rFonts w:eastAsia="Times New Roman"/>
          <w:color w:val="000000"/>
          <w:lang w:val="sq-AL" w:eastAsia="sq-AL"/>
        </w:rPr>
        <w:t>ë</w:t>
      </w:r>
      <w:r w:rsidRPr="00010E6E">
        <w:rPr>
          <w:rFonts w:eastAsia="Times New Roman"/>
          <w:color w:val="000000"/>
          <w:lang w:val="sq-AL" w:eastAsia="sq-AL"/>
        </w:rPr>
        <w:t>, t</w:t>
      </w:r>
      <w:r w:rsidR="005A721F" w:rsidRPr="00010E6E">
        <w:rPr>
          <w:rFonts w:eastAsia="Times New Roman"/>
          <w:color w:val="000000"/>
          <w:lang w:val="sq-AL" w:eastAsia="sq-AL"/>
        </w:rPr>
        <w:t>ë</w:t>
      </w:r>
      <w:r w:rsidRPr="00010E6E">
        <w:rPr>
          <w:rFonts w:eastAsia="Times New Roman"/>
          <w:color w:val="000000"/>
          <w:lang w:val="sq-AL" w:eastAsia="sq-AL"/>
        </w:rPr>
        <w:t xml:space="preserve"> Ligjit p</w:t>
      </w:r>
      <w:r w:rsidR="005A721F" w:rsidRPr="00010E6E">
        <w:rPr>
          <w:rFonts w:eastAsia="Times New Roman"/>
          <w:color w:val="000000"/>
          <w:lang w:val="sq-AL" w:eastAsia="sq-AL"/>
        </w:rPr>
        <w:t>ë</w:t>
      </w:r>
      <w:r w:rsidRPr="00010E6E">
        <w:rPr>
          <w:rFonts w:eastAsia="Times New Roman"/>
          <w:color w:val="000000"/>
          <w:lang w:val="sq-AL" w:eastAsia="sq-AL"/>
        </w:rPr>
        <w:t xml:space="preserve">r </w:t>
      </w:r>
      <w:r w:rsidR="0046279C">
        <w:rPr>
          <w:rFonts w:eastAsia="Times New Roman"/>
          <w:color w:val="000000"/>
          <w:lang w:val="sq-AL" w:eastAsia="sq-AL"/>
        </w:rPr>
        <w:t>b</w:t>
      </w:r>
      <w:r w:rsidRPr="00010E6E">
        <w:rPr>
          <w:rFonts w:eastAsia="Times New Roman"/>
          <w:color w:val="000000"/>
          <w:lang w:val="sq-AL" w:eastAsia="sq-AL"/>
        </w:rPr>
        <w:t>ankat, t</w:t>
      </w:r>
      <w:r w:rsidR="005A721F" w:rsidRPr="00010E6E">
        <w:rPr>
          <w:rFonts w:eastAsia="Times New Roman"/>
          <w:color w:val="000000"/>
          <w:lang w:val="sq-AL" w:eastAsia="sq-AL"/>
        </w:rPr>
        <w:t>ë</w:t>
      </w:r>
      <w:r w:rsidRPr="00010E6E">
        <w:rPr>
          <w:rFonts w:eastAsia="Times New Roman"/>
          <w:color w:val="000000"/>
          <w:lang w:val="sq-AL" w:eastAsia="sq-AL"/>
        </w:rPr>
        <w:t xml:space="preserve"> Ligjit p</w:t>
      </w:r>
      <w:r w:rsidR="005A721F" w:rsidRPr="00010E6E">
        <w:rPr>
          <w:rFonts w:eastAsia="Times New Roman"/>
          <w:color w:val="000000"/>
          <w:lang w:val="sq-AL" w:eastAsia="sq-AL"/>
        </w:rPr>
        <w:t>ë</w:t>
      </w:r>
      <w:r w:rsidRPr="00010E6E">
        <w:rPr>
          <w:rFonts w:eastAsia="Times New Roman"/>
          <w:color w:val="000000"/>
          <w:lang w:val="sq-AL" w:eastAsia="sq-AL"/>
        </w:rPr>
        <w:t>r shoq</w:t>
      </w:r>
      <w:r w:rsidR="005A721F" w:rsidRPr="00010E6E">
        <w:rPr>
          <w:rFonts w:eastAsia="Times New Roman"/>
          <w:color w:val="000000"/>
          <w:lang w:val="sq-AL" w:eastAsia="sq-AL"/>
        </w:rPr>
        <w:t>ë</w:t>
      </w:r>
      <w:r w:rsidRPr="00010E6E">
        <w:rPr>
          <w:rFonts w:eastAsia="Times New Roman"/>
          <w:color w:val="000000"/>
          <w:lang w:val="sq-AL" w:eastAsia="sq-AL"/>
        </w:rPr>
        <w:t>rit</w:t>
      </w:r>
      <w:r w:rsidR="005A721F" w:rsidRPr="00010E6E">
        <w:rPr>
          <w:rFonts w:eastAsia="Times New Roman"/>
          <w:color w:val="000000"/>
          <w:lang w:val="sq-AL" w:eastAsia="sq-AL"/>
        </w:rPr>
        <w:t>ë</w:t>
      </w:r>
      <w:r w:rsidRPr="00010E6E">
        <w:rPr>
          <w:rFonts w:eastAsia="Times New Roman"/>
          <w:color w:val="000000"/>
          <w:lang w:val="sq-AL" w:eastAsia="sq-AL"/>
        </w:rPr>
        <w:t xml:space="preserve"> e kursim</w:t>
      </w:r>
      <w:r w:rsidR="0046279C">
        <w:rPr>
          <w:rFonts w:eastAsia="Times New Roman"/>
          <w:color w:val="000000"/>
          <w:lang w:val="sq-AL" w:eastAsia="sq-AL"/>
        </w:rPr>
        <w:t>-</w:t>
      </w:r>
      <w:r w:rsidRPr="00010E6E">
        <w:rPr>
          <w:rFonts w:eastAsia="Times New Roman"/>
          <w:color w:val="000000"/>
          <w:lang w:val="sq-AL" w:eastAsia="sq-AL"/>
        </w:rPr>
        <w:t xml:space="preserve">kreditit, si dhe Ligjit </w:t>
      </w:r>
      <w:r w:rsidR="00006EED">
        <w:rPr>
          <w:rFonts w:eastAsia="Times New Roman"/>
          <w:color w:val="000000"/>
          <w:lang w:val="sq-AL" w:eastAsia="sq-AL"/>
        </w:rPr>
        <w:t>p</w:t>
      </w:r>
      <w:r w:rsidR="00006EED" w:rsidRPr="006E7EB9">
        <w:rPr>
          <w:color w:val="212529"/>
          <w:shd w:val="clear" w:color="auto" w:fill="FFFFFF"/>
          <w:lang w:val="sq-AL"/>
        </w:rPr>
        <w:t>ër rimëkëmbjen dhe ndërhyrjen e jashtëzakonshme në banka</w:t>
      </w:r>
      <w:r w:rsidRPr="00010E6E">
        <w:rPr>
          <w:rFonts w:eastAsia="Times New Roman"/>
          <w:color w:val="000000"/>
          <w:lang w:val="sq-AL" w:eastAsia="sq-AL"/>
        </w:rPr>
        <w:t>, pasi theksojm</w:t>
      </w:r>
      <w:r w:rsidR="005A721F" w:rsidRPr="00010E6E">
        <w:rPr>
          <w:rFonts w:eastAsia="Times New Roman"/>
          <w:color w:val="000000"/>
          <w:lang w:val="sq-AL" w:eastAsia="sq-AL"/>
        </w:rPr>
        <w:t>ë</w:t>
      </w:r>
      <w:r w:rsidRPr="00010E6E">
        <w:rPr>
          <w:rFonts w:eastAsia="Times New Roman"/>
          <w:color w:val="000000"/>
          <w:lang w:val="sq-AL" w:eastAsia="sq-AL"/>
        </w:rPr>
        <w:t xml:space="preserve"> se n</w:t>
      </w:r>
      <w:r w:rsidR="005A721F" w:rsidRPr="00010E6E">
        <w:rPr>
          <w:rFonts w:eastAsia="Times New Roman"/>
          <w:color w:val="000000"/>
          <w:lang w:val="sq-AL" w:eastAsia="sq-AL"/>
        </w:rPr>
        <w:t>ë</w:t>
      </w:r>
      <w:r w:rsidRPr="00010E6E">
        <w:rPr>
          <w:rFonts w:eastAsia="Times New Roman"/>
          <w:color w:val="000000"/>
          <w:lang w:val="sq-AL" w:eastAsia="sq-AL"/>
        </w:rPr>
        <w:t xml:space="preserve"> nenin 72, pika 2 t</w:t>
      </w:r>
      <w:r w:rsidR="005A721F" w:rsidRPr="00010E6E">
        <w:rPr>
          <w:rFonts w:eastAsia="Times New Roman"/>
          <w:color w:val="000000"/>
          <w:lang w:val="sq-AL" w:eastAsia="sq-AL"/>
        </w:rPr>
        <w:t>ë</w:t>
      </w:r>
      <w:r w:rsidRPr="00010E6E">
        <w:rPr>
          <w:rFonts w:eastAsia="Times New Roman"/>
          <w:color w:val="000000"/>
          <w:lang w:val="sq-AL" w:eastAsia="sq-AL"/>
        </w:rPr>
        <w:t xml:space="preserve"> Ligjit p</w:t>
      </w:r>
      <w:r w:rsidR="005A721F" w:rsidRPr="00010E6E">
        <w:rPr>
          <w:rFonts w:eastAsia="Times New Roman"/>
          <w:color w:val="000000"/>
          <w:lang w:val="sq-AL" w:eastAsia="sq-AL"/>
        </w:rPr>
        <w:t>ë</w:t>
      </w:r>
      <w:r w:rsidRPr="00010E6E">
        <w:rPr>
          <w:rFonts w:eastAsia="Times New Roman"/>
          <w:color w:val="000000"/>
          <w:lang w:val="sq-AL" w:eastAsia="sq-AL"/>
        </w:rPr>
        <w:t>r Bank</w:t>
      </w:r>
      <w:r w:rsidR="005A721F" w:rsidRPr="00010E6E">
        <w:rPr>
          <w:rFonts w:eastAsia="Times New Roman"/>
          <w:color w:val="000000"/>
          <w:lang w:val="sq-AL" w:eastAsia="sq-AL"/>
        </w:rPr>
        <w:t>ë</w:t>
      </w:r>
      <w:r w:rsidRPr="00010E6E">
        <w:rPr>
          <w:rFonts w:eastAsia="Times New Roman"/>
          <w:color w:val="000000"/>
          <w:lang w:val="sq-AL" w:eastAsia="sq-AL"/>
        </w:rPr>
        <w:t>n e Shqip</w:t>
      </w:r>
      <w:r w:rsidR="005A721F" w:rsidRPr="00010E6E">
        <w:rPr>
          <w:rFonts w:eastAsia="Times New Roman"/>
          <w:color w:val="000000"/>
          <w:lang w:val="sq-AL" w:eastAsia="sq-AL"/>
        </w:rPr>
        <w:t>ë</w:t>
      </w:r>
      <w:r w:rsidRPr="00010E6E">
        <w:rPr>
          <w:rFonts w:eastAsia="Times New Roman"/>
          <w:color w:val="000000"/>
          <w:lang w:val="sq-AL" w:eastAsia="sq-AL"/>
        </w:rPr>
        <w:t>ris</w:t>
      </w:r>
      <w:r w:rsidR="005A721F" w:rsidRPr="00010E6E">
        <w:rPr>
          <w:rFonts w:eastAsia="Times New Roman"/>
          <w:color w:val="000000"/>
          <w:lang w:val="sq-AL" w:eastAsia="sq-AL"/>
        </w:rPr>
        <w:t>ë</w:t>
      </w:r>
      <w:r w:rsidRPr="00010E6E">
        <w:rPr>
          <w:rFonts w:eastAsia="Times New Roman"/>
          <w:color w:val="000000"/>
          <w:lang w:val="sq-AL" w:eastAsia="sq-AL"/>
        </w:rPr>
        <w:t xml:space="preserve"> parashikohet se aktet e Bank</w:t>
      </w:r>
      <w:r w:rsidR="005A721F" w:rsidRPr="00010E6E">
        <w:rPr>
          <w:rFonts w:eastAsia="Times New Roman"/>
          <w:color w:val="000000"/>
          <w:lang w:val="sq-AL" w:eastAsia="sq-AL"/>
        </w:rPr>
        <w:t>ë</w:t>
      </w:r>
      <w:r w:rsidRPr="00010E6E">
        <w:rPr>
          <w:rFonts w:eastAsia="Times New Roman"/>
          <w:color w:val="000000"/>
          <w:lang w:val="sq-AL" w:eastAsia="sq-AL"/>
        </w:rPr>
        <w:t>s s</w:t>
      </w:r>
      <w:r w:rsidR="005A721F" w:rsidRPr="00010E6E">
        <w:rPr>
          <w:rFonts w:eastAsia="Times New Roman"/>
          <w:color w:val="000000"/>
          <w:lang w:val="sq-AL" w:eastAsia="sq-AL"/>
        </w:rPr>
        <w:t>ë</w:t>
      </w:r>
      <w:r w:rsidRPr="00010E6E">
        <w:rPr>
          <w:rFonts w:eastAsia="Times New Roman"/>
          <w:color w:val="000000"/>
          <w:lang w:val="sq-AL" w:eastAsia="sq-AL"/>
        </w:rPr>
        <w:t xml:space="preserve"> </w:t>
      </w:r>
      <w:r w:rsidR="003F58D8" w:rsidRPr="00010E6E">
        <w:rPr>
          <w:rFonts w:eastAsia="Times New Roman"/>
          <w:color w:val="000000"/>
          <w:lang w:val="sq-AL" w:eastAsia="sq-AL"/>
        </w:rPr>
        <w:t>S</w:t>
      </w:r>
      <w:r w:rsidRPr="00010E6E">
        <w:rPr>
          <w:rFonts w:eastAsia="Times New Roman"/>
          <w:color w:val="000000"/>
          <w:lang w:val="sq-AL" w:eastAsia="sq-AL"/>
        </w:rPr>
        <w:t>hqip</w:t>
      </w:r>
      <w:r w:rsidR="005A721F" w:rsidRPr="00010E6E">
        <w:rPr>
          <w:rFonts w:eastAsia="Times New Roman"/>
          <w:color w:val="000000"/>
          <w:lang w:val="sq-AL" w:eastAsia="sq-AL"/>
        </w:rPr>
        <w:t>ë</w:t>
      </w:r>
      <w:r w:rsidRPr="00010E6E">
        <w:rPr>
          <w:rFonts w:eastAsia="Times New Roman"/>
          <w:color w:val="000000"/>
          <w:lang w:val="sq-AL" w:eastAsia="sq-AL"/>
        </w:rPr>
        <w:t>ris</w:t>
      </w:r>
      <w:r w:rsidR="005A721F" w:rsidRPr="00010E6E">
        <w:rPr>
          <w:rFonts w:eastAsia="Times New Roman"/>
          <w:color w:val="000000"/>
          <w:lang w:val="sq-AL" w:eastAsia="sq-AL"/>
        </w:rPr>
        <w:t>ë</w:t>
      </w:r>
      <w:r w:rsidRPr="00010E6E">
        <w:rPr>
          <w:rFonts w:eastAsia="Times New Roman"/>
          <w:color w:val="000000"/>
          <w:lang w:val="sq-AL" w:eastAsia="sq-AL"/>
        </w:rPr>
        <w:t xml:space="preserve"> do t</w:t>
      </w:r>
      <w:r w:rsidR="005A721F" w:rsidRPr="00010E6E">
        <w:rPr>
          <w:rFonts w:eastAsia="Times New Roman"/>
          <w:color w:val="000000"/>
          <w:lang w:val="sq-AL" w:eastAsia="sq-AL"/>
        </w:rPr>
        <w:t>ë</w:t>
      </w:r>
      <w:r w:rsidRPr="00010E6E">
        <w:rPr>
          <w:rFonts w:eastAsia="Times New Roman"/>
          <w:color w:val="000000"/>
          <w:lang w:val="sq-AL" w:eastAsia="sq-AL"/>
        </w:rPr>
        <w:t xml:space="preserve"> zbatohen pa kufizim, deri n</w:t>
      </w:r>
      <w:r w:rsidR="005A721F" w:rsidRPr="00010E6E">
        <w:rPr>
          <w:rFonts w:eastAsia="Times New Roman"/>
          <w:color w:val="000000"/>
          <w:lang w:val="sq-AL" w:eastAsia="sq-AL"/>
        </w:rPr>
        <w:t>ë</w:t>
      </w:r>
      <w:r w:rsidRPr="00010E6E">
        <w:rPr>
          <w:rFonts w:eastAsia="Times New Roman"/>
          <w:color w:val="000000"/>
          <w:lang w:val="sq-AL" w:eastAsia="sq-AL"/>
        </w:rPr>
        <w:t xml:space="preserve"> marrjen e vendimit nga gjykata.</w:t>
      </w:r>
    </w:p>
    <w:p w14:paraId="2FDA4E46" w14:textId="77777777" w:rsidR="002908B1" w:rsidRPr="00010E6E" w:rsidRDefault="002908B1" w:rsidP="00AB4D14">
      <w:pPr>
        <w:spacing w:line="276" w:lineRule="auto"/>
        <w:jc w:val="both"/>
        <w:rPr>
          <w:rFonts w:eastAsia="Times New Roman"/>
          <w:color w:val="000000"/>
          <w:lang w:val="sq-AL" w:eastAsia="sq-AL"/>
        </w:rPr>
      </w:pPr>
    </w:p>
    <w:p w14:paraId="64F9A792" w14:textId="77777777" w:rsidR="001D14B2" w:rsidRPr="00010E6E" w:rsidRDefault="001D14B2" w:rsidP="00AB4D14">
      <w:pPr>
        <w:spacing w:line="276" w:lineRule="auto"/>
        <w:contextualSpacing/>
        <w:jc w:val="both"/>
        <w:rPr>
          <w:lang w:val="sq-AL"/>
        </w:rPr>
      </w:pPr>
      <w:r w:rsidRPr="00010E6E">
        <w:rPr>
          <w:lang w:val="sq-AL"/>
        </w:rPr>
        <w:t>N</w:t>
      </w:r>
      <w:r w:rsidR="00283EA6" w:rsidRPr="00010E6E">
        <w:rPr>
          <w:lang w:val="sq-AL"/>
        </w:rPr>
        <w:t>ë</w:t>
      </w:r>
      <w:r w:rsidRPr="00010E6E">
        <w:rPr>
          <w:lang w:val="sq-AL"/>
        </w:rPr>
        <w:t xml:space="preserve"> nenin </w:t>
      </w:r>
      <w:r w:rsidR="003F58D8" w:rsidRPr="00010E6E">
        <w:rPr>
          <w:lang w:val="sq-AL"/>
        </w:rPr>
        <w:t xml:space="preserve">97 </w:t>
      </w:r>
      <w:r w:rsidRPr="00010E6E">
        <w:rPr>
          <w:lang w:val="sq-AL"/>
        </w:rPr>
        <w:t>t</w:t>
      </w:r>
      <w:r w:rsidR="00283EA6" w:rsidRPr="00010E6E">
        <w:rPr>
          <w:lang w:val="sq-AL"/>
        </w:rPr>
        <w:t>ë</w:t>
      </w:r>
      <w:r w:rsidRPr="00010E6E">
        <w:rPr>
          <w:lang w:val="sq-AL"/>
        </w:rPr>
        <w:t xml:space="preserve"> projektligjit parashikohet se institucioni i pages</w:t>
      </w:r>
      <w:r w:rsidR="00283EA6" w:rsidRPr="00010E6E">
        <w:rPr>
          <w:lang w:val="sq-AL"/>
        </w:rPr>
        <w:t>ë</w:t>
      </w:r>
      <w:r w:rsidRPr="00010E6E">
        <w:rPr>
          <w:lang w:val="sq-AL"/>
        </w:rPr>
        <w:t xml:space="preserve">s, pasi ka ezauruar ankimin administrativ mund të ankohet në </w:t>
      </w:r>
      <w:r w:rsidR="007526E3" w:rsidRPr="00010E6E">
        <w:rPr>
          <w:lang w:val="sq-AL"/>
        </w:rPr>
        <w:t>G</w:t>
      </w:r>
      <w:r w:rsidRPr="00010E6E">
        <w:rPr>
          <w:lang w:val="sq-AL"/>
        </w:rPr>
        <w:t xml:space="preserve">jykatën </w:t>
      </w:r>
      <w:r w:rsidR="003F58D8" w:rsidRPr="00010E6E">
        <w:rPr>
          <w:lang w:val="sq-AL"/>
        </w:rPr>
        <w:t>Administrative t</w:t>
      </w:r>
      <w:r w:rsidR="005A721F" w:rsidRPr="00010E6E">
        <w:rPr>
          <w:lang w:val="sq-AL"/>
        </w:rPr>
        <w:t>ë</w:t>
      </w:r>
      <w:r w:rsidRPr="00010E6E">
        <w:rPr>
          <w:lang w:val="sq-AL"/>
        </w:rPr>
        <w:t xml:space="preserve"> </w:t>
      </w:r>
      <w:r w:rsidR="007526E3" w:rsidRPr="00010E6E">
        <w:rPr>
          <w:lang w:val="sq-AL"/>
        </w:rPr>
        <w:t>A</w:t>
      </w:r>
      <w:r w:rsidRPr="00010E6E">
        <w:rPr>
          <w:lang w:val="sq-AL"/>
        </w:rPr>
        <w:t xml:space="preserve">pelit brenda afateve të përcaktuara në </w:t>
      </w:r>
      <w:r w:rsidR="003F58D8" w:rsidRPr="00010E6E">
        <w:rPr>
          <w:lang w:val="sq-AL"/>
        </w:rPr>
        <w:t>L</w:t>
      </w:r>
      <w:r w:rsidRPr="00010E6E">
        <w:rPr>
          <w:lang w:val="sq-AL"/>
        </w:rPr>
        <w:t xml:space="preserve">igjin nr.49/2012 </w:t>
      </w:r>
      <w:r w:rsidRPr="00010E6E">
        <w:rPr>
          <w:bCs/>
          <w:lang w:val="sq-AL"/>
        </w:rPr>
        <w:t>“Për organizimin dhe funksionimin e gjykatave administrative dhe gjykimin e mosmarrëveshjeve administrative”</w:t>
      </w:r>
      <w:r w:rsidRPr="00010E6E">
        <w:rPr>
          <w:lang w:val="sq-AL"/>
        </w:rPr>
        <w:t>.</w:t>
      </w:r>
      <w:r w:rsidR="003F58D8" w:rsidRPr="00010E6E">
        <w:rPr>
          <w:lang w:val="sq-AL"/>
        </w:rPr>
        <w:t xml:space="preserve"> </w:t>
      </w:r>
    </w:p>
    <w:p w14:paraId="589E8B91" w14:textId="77777777" w:rsidR="007C3D30" w:rsidRPr="00010E6E" w:rsidRDefault="007C3D30" w:rsidP="00AB4D14">
      <w:pPr>
        <w:spacing w:line="276" w:lineRule="auto"/>
        <w:contextualSpacing/>
        <w:jc w:val="both"/>
        <w:rPr>
          <w:lang w:val="sq-AL"/>
        </w:rPr>
      </w:pPr>
    </w:p>
    <w:p w14:paraId="555D195C" w14:textId="259CB869" w:rsidR="00F3000E" w:rsidRPr="00010E6E" w:rsidRDefault="00F3000E" w:rsidP="00AB4D14">
      <w:pPr>
        <w:spacing w:line="276" w:lineRule="auto"/>
        <w:contextualSpacing/>
        <w:jc w:val="both"/>
        <w:rPr>
          <w:lang w:val="sq-AL"/>
        </w:rPr>
      </w:pPr>
      <w:r w:rsidRPr="00010E6E">
        <w:rPr>
          <w:lang w:val="sq-AL"/>
        </w:rPr>
        <w:t xml:space="preserve">Parashikimi i </w:t>
      </w:r>
      <w:r w:rsidR="007B2372" w:rsidRPr="00010E6E">
        <w:rPr>
          <w:lang w:val="sq-AL"/>
        </w:rPr>
        <w:t>G</w:t>
      </w:r>
      <w:r w:rsidRPr="00010E6E">
        <w:rPr>
          <w:lang w:val="sq-AL"/>
        </w:rPr>
        <w:t>jykatës së Apelit</w:t>
      </w:r>
      <w:r w:rsidRPr="00010E6E">
        <w:rPr>
          <w:rFonts w:eastAsia="Calibri"/>
          <w:lang w:val="sq-AL"/>
        </w:rPr>
        <w:t xml:space="preserve">, si gjykatë kompetente për shqyrtimin e </w:t>
      </w:r>
      <w:r w:rsidR="001D14B2" w:rsidRPr="00010E6E">
        <w:rPr>
          <w:rFonts w:eastAsia="Calibri"/>
          <w:lang w:val="sq-AL"/>
        </w:rPr>
        <w:t>ankimit gjyq</w:t>
      </w:r>
      <w:r w:rsidR="00283EA6" w:rsidRPr="00010E6E">
        <w:rPr>
          <w:rFonts w:eastAsia="Calibri"/>
          <w:lang w:val="sq-AL"/>
        </w:rPr>
        <w:t>ë</w:t>
      </w:r>
      <w:r w:rsidR="001D14B2" w:rsidRPr="00010E6E">
        <w:rPr>
          <w:rFonts w:eastAsia="Calibri"/>
          <w:lang w:val="sq-AL"/>
        </w:rPr>
        <w:t>sor</w:t>
      </w:r>
      <w:r w:rsidRPr="00010E6E">
        <w:rPr>
          <w:rFonts w:eastAsia="Calibri"/>
          <w:lang w:val="sq-AL"/>
        </w:rPr>
        <w:t xml:space="preserve"> </w:t>
      </w:r>
      <w:r w:rsidRPr="00010E6E">
        <w:rPr>
          <w:lang w:val="sq-AL"/>
        </w:rPr>
        <w:t>synon të mbajë një qëndrim të unifikuar me nenin 72, pika 1 të L</w:t>
      </w:r>
      <w:r w:rsidRPr="00010E6E">
        <w:rPr>
          <w:bCs/>
          <w:lang w:val="sq-AL" w:eastAsia="sq-AL"/>
        </w:rPr>
        <w:t xml:space="preserve">igjit nr. 8269, datë 23.12.1997 “Për Bankën e Shqipërisë”, si dhe me nenin 93 pika 6 të </w:t>
      </w:r>
      <w:r w:rsidR="001D14B2" w:rsidRPr="00010E6E">
        <w:rPr>
          <w:bCs/>
          <w:lang w:val="sq-AL" w:eastAsia="sq-AL"/>
        </w:rPr>
        <w:t>L</w:t>
      </w:r>
      <w:r w:rsidRPr="00010E6E">
        <w:rPr>
          <w:bCs/>
          <w:lang w:val="sq-AL" w:eastAsia="sq-AL"/>
        </w:rPr>
        <w:t xml:space="preserve">igjit </w:t>
      </w:r>
      <w:r w:rsidR="001D14B2" w:rsidRPr="00010E6E">
        <w:rPr>
          <w:bCs/>
          <w:lang w:val="sq-AL" w:eastAsia="sq-AL"/>
        </w:rPr>
        <w:t xml:space="preserve">nr. </w:t>
      </w:r>
      <w:r w:rsidRPr="00010E6E">
        <w:rPr>
          <w:bCs/>
          <w:lang w:val="sq-AL" w:eastAsia="sq-AL"/>
        </w:rPr>
        <w:t>9662</w:t>
      </w:r>
      <w:r w:rsidR="001D14B2" w:rsidRPr="00010E6E">
        <w:rPr>
          <w:bCs/>
          <w:lang w:val="sq-AL" w:eastAsia="sq-AL"/>
        </w:rPr>
        <w:t>,</w:t>
      </w:r>
      <w:r w:rsidRPr="00010E6E">
        <w:rPr>
          <w:bCs/>
          <w:lang w:val="sq-AL" w:eastAsia="sq-AL"/>
        </w:rPr>
        <w:t xml:space="preserve"> datë 18.12.2006 </w:t>
      </w:r>
      <w:r w:rsidRPr="00010E6E">
        <w:rPr>
          <w:rFonts w:eastAsia="Calibri"/>
          <w:lang w:val="sq-AL"/>
        </w:rPr>
        <w:t>“Për bankat në Republikën e Shqipërisë”, të cilët përcaktojnë Gjykatën e Apelit si gjykatë të shkallës së parë për vendimet që merr Banka e Shqipërisë.</w:t>
      </w:r>
      <w:r w:rsidR="001D14B2" w:rsidRPr="00010E6E">
        <w:rPr>
          <w:rFonts w:eastAsia="Calibri"/>
          <w:lang w:val="sq-AL"/>
        </w:rPr>
        <w:t xml:space="preserve"> </w:t>
      </w:r>
      <w:r w:rsidRPr="00010E6E">
        <w:rPr>
          <w:rFonts w:eastAsia="Calibri"/>
          <w:lang w:val="sq-AL"/>
        </w:rPr>
        <w:t xml:space="preserve">Ky parashikim është në përputhje edhe me pikën 2 të nenit 10 të ligjit </w:t>
      </w:r>
      <w:r w:rsidRPr="00010E6E">
        <w:rPr>
          <w:bCs/>
          <w:lang w:val="sq-AL"/>
        </w:rPr>
        <w:t xml:space="preserve">“Për organizimin dhe funksionimin e gjykatave administrative dhe gjykimin e mosmarrëveshjeve </w:t>
      </w:r>
      <w:r w:rsidRPr="00010E6E">
        <w:rPr>
          <w:bCs/>
          <w:lang w:val="sq-AL"/>
        </w:rPr>
        <w:lastRenderedPageBreak/>
        <w:t>administrative”</w:t>
      </w:r>
      <w:r w:rsidR="0046279C">
        <w:rPr>
          <w:bCs/>
          <w:lang w:val="sq-AL"/>
        </w:rPr>
        <w:t>,</w:t>
      </w:r>
      <w:r w:rsidRPr="00010E6E">
        <w:rPr>
          <w:lang w:val="sq-AL"/>
        </w:rPr>
        <w:t xml:space="preserve"> ku përcaktohet se Gjykata Administrative e Apelit shqyrton në shkallë të parë, edhe në rastet e parashikuara  me ligj. </w:t>
      </w:r>
    </w:p>
    <w:p w14:paraId="6FA2B689" w14:textId="77777777" w:rsidR="007C3D30" w:rsidRPr="00010E6E" w:rsidRDefault="007C3D30" w:rsidP="00AB4D14">
      <w:pPr>
        <w:spacing w:line="276" w:lineRule="auto"/>
        <w:contextualSpacing/>
        <w:jc w:val="both"/>
        <w:rPr>
          <w:lang w:val="sq-AL"/>
        </w:rPr>
      </w:pPr>
    </w:p>
    <w:p w14:paraId="504196FC" w14:textId="051D9D45" w:rsidR="006F2B09" w:rsidRPr="00010E6E" w:rsidRDefault="006F2B09" w:rsidP="00AB4D14">
      <w:pPr>
        <w:spacing w:line="276" w:lineRule="auto"/>
        <w:contextualSpacing/>
        <w:jc w:val="both"/>
        <w:rPr>
          <w:lang w:val="sq-AL"/>
        </w:rPr>
      </w:pPr>
      <w:r w:rsidRPr="00010E6E">
        <w:rPr>
          <w:lang w:val="sq-AL"/>
        </w:rPr>
        <w:t>Ankimi gjyq</w:t>
      </w:r>
      <w:r w:rsidR="00283EA6" w:rsidRPr="00010E6E">
        <w:rPr>
          <w:lang w:val="sq-AL"/>
        </w:rPr>
        <w:t>ë</w:t>
      </w:r>
      <w:r w:rsidRPr="00010E6E">
        <w:rPr>
          <w:lang w:val="sq-AL"/>
        </w:rPr>
        <w:t>sor kund</w:t>
      </w:r>
      <w:r w:rsidR="00283EA6" w:rsidRPr="00010E6E">
        <w:rPr>
          <w:lang w:val="sq-AL"/>
        </w:rPr>
        <w:t>ë</w:t>
      </w:r>
      <w:r w:rsidRPr="00010E6E">
        <w:rPr>
          <w:lang w:val="sq-AL"/>
        </w:rPr>
        <w:t>r Bank</w:t>
      </w:r>
      <w:r w:rsidR="00283EA6" w:rsidRPr="00010E6E">
        <w:rPr>
          <w:lang w:val="sq-AL"/>
        </w:rPr>
        <w:t>ë</w:t>
      </w:r>
      <w:r w:rsidRPr="00010E6E">
        <w:rPr>
          <w:lang w:val="sq-AL"/>
        </w:rPr>
        <w:t>s s</w:t>
      </w:r>
      <w:r w:rsidR="00283EA6" w:rsidRPr="00010E6E">
        <w:rPr>
          <w:lang w:val="sq-AL"/>
        </w:rPr>
        <w:t>ë</w:t>
      </w:r>
      <w:r w:rsidRPr="00010E6E">
        <w:rPr>
          <w:lang w:val="sq-AL"/>
        </w:rPr>
        <w:t xml:space="preserve"> Shqip</w:t>
      </w:r>
      <w:r w:rsidR="00283EA6" w:rsidRPr="00010E6E">
        <w:rPr>
          <w:lang w:val="sq-AL"/>
        </w:rPr>
        <w:t>ë</w:t>
      </w:r>
      <w:r w:rsidRPr="00010E6E">
        <w:rPr>
          <w:lang w:val="sq-AL"/>
        </w:rPr>
        <w:t>ris</w:t>
      </w:r>
      <w:r w:rsidR="00283EA6" w:rsidRPr="00010E6E">
        <w:rPr>
          <w:lang w:val="sq-AL"/>
        </w:rPr>
        <w:t>ë</w:t>
      </w:r>
      <w:r w:rsidRPr="00010E6E">
        <w:rPr>
          <w:lang w:val="sq-AL"/>
        </w:rPr>
        <w:t xml:space="preserve"> </w:t>
      </w:r>
      <w:r w:rsidR="00283EA6" w:rsidRPr="00010E6E">
        <w:rPr>
          <w:lang w:val="sq-AL"/>
        </w:rPr>
        <w:t>ë</w:t>
      </w:r>
      <w:r w:rsidRPr="00010E6E">
        <w:rPr>
          <w:lang w:val="sq-AL"/>
        </w:rPr>
        <w:t>sht</w:t>
      </w:r>
      <w:r w:rsidR="00283EA6" w:rsidRPr="00010E6E">
        <w:rPr>
          <w:lang w:val="sq-AL"/>
        </w:rPr>
        <w:t>ë</w:t>
      </w:r>
      <w:r w:rsidRPr="00010E6E">
        <w:rPr>
          <w:lang w:val="sq-AL"/>
        </w:rPr>
        <w:t xml:space="preserve"> parashikuar edhe n</w:t>
      </w:r>
      <w:r w:rsidR="00283EA6" w:rsidRPr="00010E6E">
        <w:rPr>
          <w:lang w:val="sq-AL"/>
        </w:rPr>
        <w:t>ë</w:t>
      </w:r>
      <w:r w:rsidRPr="00010E6E">
        <w:rPr>
          <w:lang w:val="sq-AL"/>
        </w:rPr>
        <w:t xml:space="preserve"> rast se kjo e fundit nuk ka nxjerr</w:t>
      </w:r>
      <w:r w:rsidR="00283EA6" w:rsidRPr="00010E6E">
        <w:rPr>
          <w:lang w:val="sq-AL"/>
        </w:rPr>
        <w:t>ë</w:t>
      </w:r>
      <w:r w:rsidRPr="00010E6E">
        <w:rPr>
          <w:lang w:val="sq-AL"/>
        </w:rPr>
        <w:t xml:space="preserve"> nj</w:t>
      </w:r>
      <w:r w:rsidR="00283EA6" w:rsidRPr="00010E6E">
        <w:rPr>
          <w:lang w:val="sq-AL"/>
        </w:rPr>
        <w:t>ë</w:t>
      </w:r>
      <w:r w:rsidRPr="00010E6E">
        <w:rPr>
          <w:lang w:val="sq-AL"/>
        </w:rPr>
        <w:t xml:space="preserve"> akt q</w:t>
      </w:r>
      <w:r w:rsidR="00283EA6" w:rsidRPr="00010E6E">
        <w:rPr>
          <w:lang w:val="sq-AL"/>
        </w:rPr>
        <w:t>ë</w:t>
      </w:r>
      <w:r w:rsidRPr="00010E6E">
        <w:rPr>
          <w:lang w:val="sq-AL"/>
        </w:rPr>
        <w:t xml:space="preserve"> ka pa</w:t>
      </w:r>
      <w:r w:rsidR="0046279C">
        <w:rPr>
          <w:lang w:val="sq-AL"/>
        </w:rPr>
        <w:t>s</w:t>
      </w:r>
      <w:r w:rsidRPr="00010E6E">
        <w:rPr>
          <w:lang w:val="sq-AL"/>
        </w:rPr>
        <w:t>ur detyrimin p</w:t>
      </w:r>
      <w:r w:rsidR="00283EA6" w:rsidRPr="00010E6E">
        <w:rPr>
          <w:lang w:val="sq-AL"/>
        </w:rPr>
        <w:t>ë</w:t>
      </w:r>
      <w:r w:rsidRPr="00010E6E">
        <w:rPr>
          <w:lang w:val="sq-AL"/>
        </w:rPr>
        <w:t>r t</w:t>
      </w:r>
      <w:r w:rsidR="00283EA6" w:rsidRPr="00010E6E">
        <w:rPr>
          <w:lang w:val="sq-AL"/>
        </w:rPr>
        <w:t>ë</w:t>
      </w:r>
      <w:r w:rsidRPr="00010E6E">
        <w:rPr>
          <w:lang w:val="sq-AL"/>
        </w:rPr>
        <w:t xml:space="preserve"> rregulluar nj</w:t>
      </w:r>
      <w:r w:rsidR="00283EA6" w:rsidRPr="00010E6E">
        <w:rPr>
          <w:lang w:val="sq-AL"/>
        </w:rPr>
        <w:t>ë</w:t>
      </w:r>
      <w:r w:rsidRPr="00010E6E">
        <w:rPr>
          <w:lang w:val="sq-AL"/>
        </w:rPr>
        <w:t xml:space="preserve"> </w:t>
      </w:r>
      <w:r w:rsidR="005A721F" w:rsidRPr="00010E6E">
        <w:rPr>
          <w:lang w:val="sq-AL"/>
        </w:rPr>
        <w:t>ç</w:t>
      </w:r>
      <w:r w:rsidR="00283EA6" w:rsidRPr="00010E6E">
        <w:rPr>
          <w:lang w:val="sq-AL"/>
        </w:rPr>
        <w:t>ë</w:t>
      </w:r>
      <w:r w:rsidRPr="00010E6E">
        <w:rPr>
          <w:lang w:val="sq-AL"/>
        </w:rPr>
        <w:t>shtje t</w:t>
      </w:r>
      <w:r w:rsidR="00283EA6" w:rsidRPr="00010E6E">
        <w:rPr>
          <w:lang w:val="sq-AL"/>
        </w:rPr>
        <w:t>ë</w:t>
      </w:r>
      <w:r w:rsidRPr="00010E6E">
        <w:rPr>
          <w:lang w:val="sq-AL"/>
        </w:rPr>
        <w:t xml:space="preserve"> caktuar. Kjo dispozit</w:t>
      </w:r>
      <w:r w:rsidR="00283EA6" w:rsidRPr="00010E6E">
        <w:rPr>
          <w:lang w:val="sq-AL"/>
        </w:rPr>
        <w:t>ë</w:t>
      </w:r>
      <w:r w:rsidRPr="00010E6E">
        <w:rPr>
          <w:lang w:val="sq-AL"/>
        </w:rPr>
        <w:t xml:space="preserve"> </w:t>
      </w:r>
      <w:r w:rsidR="00283EA6" w:rsidRPr="00010E6E">
        <w:rPr>
          <w:lang w:val="sq-AL"/>
        </w:rPr>
        <w:t>ë</w:t>
      </w:r>
      <w:r w:rsidRPr="00010E6E">
        <w:rPr>
          <w:lang w:val="sq-AL"/>
        </w:rPr>
        <w:t>sht</w:t>
      </w:r>
      <w:r w:rsidR="00283EA6" w:rsidRPr="00010E6E">
        <w:rPr>
          <w:lang w:val="sq-AL"/>
        </w:rPr>
        <w:t>ë</w:t>
      </w:r>
      <w:r w:rsidRPr="00010E6E">
        <w:rPr>
          <w:lang w:val="sq-AL"/>
        </w:rPr>
        <w:t xml:space="preserve"> p</w:t>
      </w:r>
      <w:r w:rsidR="00283EA6" w:rsidRPr="00010E6E">
        <w:rPr>
          <w:lang w:val="sq-AL"/>
        </w:rPr>
        <w:t>ë</w:t>
      </w:r>
      <w:r w:rsidRPr="00010E6E">
        <w:rPr>
          <w:lang w:val="sq-AL"/>
        </w:rPr>
        <w:t>rshtatur n</w:t>
      </w:r>
      <w:r w:rsidR="00283EA6" w:rsidRPr="00010E6E">
        <w:rPr>
          <w:lang w:val="sq-AL"/>
        </w:rPr>
        <w:t>ë</w:t>
      </w:r>
      <w:r w:rsidRPr="00010E6E">
        <w:rPr>
          <w:lang w:val="sq-AL"/>
        </w:rPr>
        <w:t xml:space="preserve"> p</w:t>
      </w:r>
      <w:r w:rsidR="00283EA6" w:rsidRPr="00010E6E">
        <w:rPr>
          <w:lang w:val="sq-AL"/>
        </w:rPr>
        <w:t>ë</w:t>
      </w:r>
      <w:r w:rsidRPr="00010E6E">
        <w:rPr>
          <w:lang w:val="sq-AL"/>
        </w:rPr>
        <w:t>rputhje me p</w:t>
      </w:r>
      <w:r w:rsidR="00283EA6" w:rsidRPr="00010E6E">
        <w:rPr>
          <w:lang w:val="sq-AL"/>
        </w:rPr>
        <w:t>ë</w:t>
      </w:r>
      <w:r w:rsidRPr="00010E6E">
        <w:rPr>
          <w:lang w:val="sq-AL"/>
        </w:rPr>
        <w:t xml:space="preserve">rcaktimin </w:t>
      </w:r>
      <w:r w:rsidR="003F58D8" w:rsidRPr="00010E6E">
        <w:rPr>
          <w:lang w:val="sq-AL"/>
        </w:rPr>
        <w:t>e</w:t>
      </w:r>
      <w:r w:rsidRPr="00010E6E">
        <w:rPr>
          <w:lang w:val="sq-AL"/>
        </w:rPr>
        <w:t xml:space="preserve"> pik</w:t>
      </w:r>
      <w:r w:rsidR="00283EA6" w:rsidRPr="00010E6E">
        <w:rPr>
          <w:lang w:val="sq-AL"/>
        </w:rPr>
        <w:t>ë</w:t>
      </w:r>
      <w:r w:rsidRPr="00010E6E">
        <w:rPr>
          <w:lang w:val="sq-AL"/>
        </w:rPr>
        <w:t>s 2 t</w:t>
      </w:r>
      <w:r w:rsidR="00283EA6" w:rsidRPr="00010E6E">
        <w:rPr>
          <w:lang w:val="sq-AL"/>
        </w:rPr>
        <w:t>ë</w:t>
      </w:r>
      <w:r w:rsidRPr="00010E6E">
        <w:rPr>
          <w:lang w:val="sq-AL"/>
        </w:rPr>
        <w:t xml:space="preserve"> nenit 25 t</w:t>
      </w:r>
      <w:r w:rsidR="00283EA6" w:rsidRPr="00010E6E">
        <w:rPr>
          <w:lang w:val="sq-AL"/>
        </w:rPr>
        <w:t>ë</w:t>
      </w:r>
      <w:r w:rsidRPr="00010E6E">
        <w:rPr>
          <w:lang w:val="sq-AL"/>
        </w:rPr>
        <w:t xml:space="preserve"> direktiv</w:t>
      </w:r>
      <w:r w:rsidR="00283EA6" w:rsidRPr="00010E6E">
        <w:rPr>
          <w:lang w:val="sq-AL"/>
        </w:rPr>
        <w:t>ë</w:t>
      </w:r>
      <w:r w:rsidRPr="00010E6E">
        <w:rPr>
          <w:lang w:val="sq-AL"/>
        </w:rPr>
        <w:t>s.</w:t>
      </w:r>
    </w:p>
    <w:p w14:paraId="7F4A2D11" w14:textId="77777777" w:rsidR="00F3000E" w:rsidRPr="00010E6E" w:rsidRDefault="00F3000E" w:rsidP="001D14B2">
      <w:pPr>
        <w:contextualSpacing/>
        <w:jc w:val="both"/>
        <w:rPr>
          <w:color w:val="000000"/>
          <w:lang w:val="sq-AL"/>
        </w:rPr>
      </w:pPr>
    </w:p>
    <w:p w14:paraId="0402C2F4" w14:textId="77777777" w:rsidR="0002198C" w:rsidRPr="00010E6E" w:rsidRDefault="006C1220" w:rsidP="001D14B2">
      <w:pPr>
        <w:pStyle w:val="ListParagraph"/>
        <w:shd w:val="clear" w:color="auto" w:fill="D9D9D9"/>
        <w:spacing w:after="0" w:line="240" w:lineRule="auto"/>
        <w:ind w:left="0"/>
        <w:contextualSpacing w:val="0"/>
        <w:jc w:val="both"/>
        <w:rPr>
          <w:rFonts w:ascii="Times New Roman" w:hAnsi="Times New Roman"/>
          <w:b/>
          <w:sz w:val="24"/>
          <w:szCs w:val="24"/>
          <w:lang w:val="sq-AL"/>
        </w:rPr>
      </w:pPr>
      <w:r w:rsidRPr="00010E6E">
        <w:rPr>
          <w:rFonts w:ascii="Times New Roman" w:hAnsi="Times New Roman"/>
          <w:b/>
          <w:sz w:val="24"/>
          <w:szCs w:val="24"/>
          <w:lang w:val="sq-AL"/>
        </w:rPr>
        <w:t xml:space="preserve">Tituli  </w:t>
      </w:r>
      <w:r w:rsidR="00896B6D" w:rsidRPr="00010E6E">
        <w:rPr>
          <w:rFonts w:ascii="Times New Roman" w:hAnsi="Times New Roman"/>
          <w:b/>
          <w:sz w:val="24"/>
          <w:szCs w:val="24"/>
          <w:lang w:val="sq-AL"/>
        </w:rPr>
        <w:t xml:space="preserve">VI:  </w:t>
      </w:r>
      <w:r w:rsidRPr="00010E6E">
        <w:rPr>
          <w:rFonts w:ascii="Times New Roman" w:hAnsi="Times New Roman"/>
          <w:b/>
          <w:sz w:val="24"/>
          <w:szCs w:val="24"/>
          <w:lang w:val="sq-AL"/>
        </w:rPr>
        <w:t>Dispozita të fundit</w:t>
      </w:r>
      <w:r w:rsidR="00D90B75" w:rsidRPr="00010E6E">
        <w:rPr>
          <w:rFonts w:ascii="Times New Roman" w:hAnsi="Times New Roman"/>
          <w:b/>
          <w:sz w:val="24"/>
          <w:szCs w:val="24"/>
          <w:lang w:val="sq-AL"/>
        </w:rPr>
        <w:t xml:space="preserve"> dhe kalimtare</w:t>
      </w:r>
    </w:p>
    <w:p w14:paraId="78FDCC20" w14:textId="77777777" w:rsidR="00B05A2E" w:rsidRPr="00010E6E" w:rsidRDefault="00B05A2E" w:rsidP="00B05A2E">
      <w:pPr>
        <w:pStyle w:val="ListParagraph"/>
        <w:spacing w:after="0" w:line="240" w:lineRule="auto"/>
        <w:ind w:left="0"/>
        <w:contextualSpacing w:val="0"/>
        <w:rPr>
          <w:rFonts w:ascii="Times New Roman" w:hAnsi="Times New Roman"/>
          <w:sz w:val="24"/>
          <w:szCs w:val="24"/>
          <w:lang w:val="sq-AL"/>
        </w:rPr>
      </w:pPr>
    </w:p>
    <w:p w14:paraId="3B8CDE63" w14:textId="77777777" w:rsidR="000627FC" w:rsidRPr="00010E6E" w:rsidRDefault="006F2B09" w:rsidP="00AB4D14">
      <w:pPr>
        <w:spacing w:line="276" w:lineRule="auto"/>
        <w:jc w:val="both"/>
        <w:rPr>
          <w:lang w:val="sq-AL"/>
        </w:rPr>
      </w:pPr>
      <w:r w:rsidRPr="00010E6E">
        <w:rPr>
          <w:lang w:val="sq-AL"/>
        </w:rPr>
        <w:t>Titulli VI i projektligjit synon t</w:t>
      </w:r>
      <w:r w:rsidR="00283EA6" w:rsidRPr="00010E6E">
        <w:rPr>
          <w:lang w:val="sq-AL"/>
        </w:rPr>
        <w:t>ë</w:t>
      </w:r>
      <w:r w:rsidRPr="00010E6E">
        <w:rPr>
          <w:lang w:val="sq-AL"/>
        </w:rPr>
        <w:t xml:space="preserve"> rregulloj</w:t>
      </w:r>
      <w:r w:rsidR="00283EA6" w:rsidRPr="00010E6E">
        <w:rPr>
          <w:lang w:val="sq-AL"/>
        </w:rPr>
        <w:t>ë</w:t>
      </w:r>
      <w:r w:rsidRPr="00010E6E">
        <w:rPr>
          <w:lang w:val="sq-AL"/>
        </w:rPr>
        <w:t xml:space="preserve"> </w:t>
      </w:r>
      <w:r w:rsidR="004F141A" w:rsidRPr="00010E6E">
        <w:rPr>
          <w:lang w:val="sq-AL"/>
        </w:rPr>
        <w:t>ç</w:t>
      </w:r>
      <w:r w:rsidR="00283EA6" w:rsidRPr="00010E6E">
        <w:rPr>
          <w:lang w:val="sq-AL"/>
        </w:rPr>
        <w:t>ë</w:t>
      </w:r>
      <w:r w:rsidRPr="00010E6E">
        <w:rPr>
          <w:lang w:val="sq-AL"/>
        </w:rPr>
        <w:t>shtje</w:t>
      </w:r>
      <w:r w:rsidR="001F69BC" w:rsidRPr="00010E6E">
        <w:rPr>
          <w:lang w:val="sq-AL"/>
        </w:rPr>
        <w:t>t</w:t>
      </w:r>
      <w:r w:rsidRPr="00010E6E">
        <w:rPr>
          <w:lang w:val="sq-AL"/>
        </w:rPr>
        <w:t xml:space="preserve">: rishikimi i ligjit, dispozita kalimtare, aktet </w:t>
      </w:r>
      <w:r w:rsidR="001F69BC" w:rsidRPr="00010E6E">
        <w:rPr>
          <w:lang w:val="sq-AL"/>
        </w:rPr>
        <w:t>n</w:t>
      </w:r>
      <w:r w:rsidR="0018540B" w:rsidRPr="00010E6E">
        <w:rPr>
          <w:lang w:val="sq-AL"/>
        </w:rPr>
        <w:t>ë</w:t>
      </w:r>
      <w:r w:rsidR="001F69BC" w:rsidRPr="00010E6E">
        <w:rPr>
          <w:lang w:val="sq-AL"/>
        </w:rPr>
        <w:t xml:space="preserve">nligjore </w:t>
      </w:r>
      <w:r w:rsidRPr="00010E6E">
        <w:rPr>
          <w:lang w:val="sq-AL"/>
        </w:rPr>
        <w:t>q</w:t>
      </w:r>
      <w:r w:rsidR="00283EA6" w:rsidRPr="00010E6E">
        <w:rPr>
          <w:lang w:val="sq-AL"/>
        </w:rPr>
        <w:t>ë</w:t>
      </w:r>
      <w:r w:rsidRPr="00010E6E">
        <w:rPr>
          <w:lang w:val="sq-AL"/>
        </w:rPr>
        <w:t xml:space="preserve"> duhen miratuar nga Banka e Shqip</w:t>
      </w:r>
      <w:r w:rsidR="00283EA6" w:rsidRPr="00010E6E">
        <w:rPr>
          <w:lang w:val="sq-AL"/>
        </w:rPr>
        <w:t>ë</w:t>
      </w:r>
      <w:r w:rsidRPr="00010E6E">
        <w:rPr>
          <w:lang w:val="sq-AL"/>
        </w:rPr>
        <w:t>ris</w:t>
      </w:r>
      <w:r w:rsidR="00283EA6" w:rsidRPr="00010E6E">
        <w:rPr>
          <w:lang w:val="sq-AL"/>
        </w:rPr>
        <w:t>ë</w:t>
      </w:r>
      <w:r w:rsidRPr="00010E6E">
        <w:rPr>
          <w:lang w:val="sq-AL"/>
        </w:rPr>
        <w:t xml:space="preserve"> n</w:t>
      </w:r>
      <w:r w:rsidR="00283EA6" w:rsidRPr="00010E6E">
        <w:rPr>
          <w:lang w:val="sq-AL"/>
        </w:rPr>
        <w:t>ë</w:t>
      </w:r>
      <w:r w:rsidRPr="00010E6E">
        <w:rPr>
          <w:lang w:val="sq-AL"/>
        </w:rPr>
        <w:t xml:space="preserve"> zbatim t</w:t>
      </w:r>
      <w:r w:rsidR="00283EA6" w:rsidRPr="00010E6E">
        <w:rPr>
          <w:lang w:val="sq-AL"/>
        </w:rPr>
        <w:t>ë</w:t>
      </w:r>
      <w:r w:rsidRPr="00010E6E">
        <w:rPr>
          <w:lang w:val="sq-AL"/>
        </w:rPr>
        <w:t xml:space="preserve"> ligjit, si dhe s</w:t>
      </w:r>
      <w:r w:rsidR="00283EA6" w:rsidRPr="00010E6E">
        <w:rPr>
          <w:lang w:val="sq-AL"/>
        </w:rPr>
        <w:t>ë</w:t>
      </w:r>
      <w:r w:rsidRPr="00010E6E">
        <w:rPr>
          <w:lang w:val="sq-AL"/>
        </w:rPr>
        <w:t xml:space="preserve"> fundmi hyrjen n</w:t>
      </w:r>
      <w:r w:rsidR="00283EA6" w:rsidRPr="00010E6E">
        <w:rPr>
          <w:lang w:val="sq-AL"/>
        </w:rPr>
        <w:t>ë</w:t>
      </w:r>
      <w:r w:rsidRPr="00010E6E">
        <w:rPr>
          <w:lang w:val="sq-AL"/>
        </w:rPr>
        <w:t xml:space="preserve"> fuqi t</w:t>
      </w:r>
      <w:r w:rsidR="00283EA6" w:rsidRPr="00010E6E">
        <w:rPr>
          <w:lang w:val="sq-AL"/>
        </w:rPr>
        <w:t>ë</w:t>
      </w:r>
      <w:r w:rsidRPr="00010E6E">
        <w:rPr>
          <w:lang w:val="sq-AL"/>
        </w:rPr>
        <w:t xml:space="preserve"> tij.</w:t>
      </w:r>
    </w:p>
    <w:p w14:paraId="263C520F" w14:textId="77777777" w:rsidR="006F2B09" w:rsidRPr="00010E6E" w:rsidRDefault="006F2B09" w:rsidP="00AB4D14">
      <w:pPr>
        <w:spacing w:line="276" w:lineRule="auto"/>
        <w:jc w:val="both"/>
        <w:rPr>
          <w:lang w:val="sq-AL"/>
        </w:rPr>
      </w:pPr>
    </w:p>
    <w:p w14:paraId="7324D7F9" w14:textId="77777777" w:rsidR="006F2B09" w:rsidRPr="00010E6E" w:rsidRDefault="006F2B09" w:rsidP="00AB4D14">
      <w:pPr>
        <w:spacing w:line="276" w:lineRule="auto"/>
        <w:jc w:val="both"/>
        <w:rPr>
          <w:lang w:val="sq-AL"/>
        </w:rPr>
      </w:pPr>
      <w:r w:rsidRPr="00010E6E">
        <w:rPr>
          <w:lang w:val="sq-AL"/>
        </w:rPr>
        <w:t>N</w:t>
      </w:r>
      <w:r w:rsidR="00283EA6" w:rsidRPr="00010E6E">
        <w:rPr>
          <w:lang w:val="sq-AL"/>
        </w:rPr>
        <w:t>ë</w:t>
      </w:r>
      <w:r w:rsidRPr="00010E6E">
        <w:rPr>
          <w:lang w:val="sq-AL"/>
        </w:rPr>
        <w:t xml:space="preserve"> nenin </w:t>
      </w:r>
      <w:r w:rsidR="00EC72D4" w:rsidRPr="00010E6E">
        <w:rPr>
          <w:lang w:val="sq-AL"/>
        </w:rPr>
        <w:t xml:space="preserve">98 </w:t>
      </w:r>
      <w:r w:rsidRPr="00010E6E">
        <w:rPr>
          <w:lang w:val="sq-AL"/>
        </w:rPr>
        <w:t>t</w:t>
      </w:r>
      <w:r w:rsidR="00283EA6" w:rsidRPr="00010E6E">
        <w:rPr>
          <w:lang w:val="sq-AL"/>
        </w:rPr>
        <w:t>ë</w:t>
      </w:r>
      <w:r w:rsidRPr="00010E6E">
        <w:rPr>
          <w:lang w:val="sq-AL"/>
        </w:rPr>
        <w:t xml:space="preserve"> projektligjit parashikohet detyrimi p</w:t>
      </w:r>
      <w:r w:rsidR="00283EA6" w:rsidRPr="00010E6E">
        <w:rPr>
          <w:lang w:val="sq-AL"/>
        </w:rPr>
        <w:t>ë</w:t>
      </w:r>
      <w:r w:rsidRPr="00010E6E">
        <w:rPr>
          <w:lang w:val="sq-AL"/>
        </w:rPr>
        <w:t>r bashk</w:t>
      </w:r>
      <w:r w:rsidR="00283EA6" w:rsidRPr="00010E6E">
        <w:rPr>
          <w:lang w:val="sq-AL"/>
        </w:rPr>
        <w:t>ë</w:t>
      </w:r>
      <w:r w:rsidRPr="00010E6E">
        <w:rPr>
          <w:lang w:val="sq-AL"/>
        </w:rPr>
        <w:t>punim/konsultim reciprok t</w:t>
      </w:r>
      <w:r w:rsidR="00283EA6" w:rsidRPr="00010E6E">
        <w:rPr>
          <w:lang w:val="sq-AL"/>
        </w:rPr>
        <w:t>ë</w:t>
      </w:r>
      <w:r w:rsidRPr="00010E6E">
        <w:rPr>
          <w:lang w:val="sq-AL"/>
        </w:rPr>
        <w:t xml:space="preserve"> institucioneve n</w:t>
      </w:r>
      <w:r w:rsidR="00283EA6" w:rsidRPr="00010E6E">
        <w:rPr>
          <w:lang w:val="sq-AL"/>
        </w:rPr>
        <w:t>ë</w:t>
      </w:r>
      <w:r w:rsidRPr="00010E6E">
        <w:rPr>
          <w:lang w:val="sq-AL"/>
        </w:rPr>
        <w:t xml:space="preserve"> rast ndryshimi/rishikimi t</w:t>
      </w:r>
      <w:r w:rsidR="00283EA6" w:rsidRPr="00010E6E">
        <w:rPr>
          <w:lang w:val="sq-AL"/>
        </w:rPr>
        <w:t>ë</w:t>
      </w:r>
      <w:r w:rsidRPr="00010E6E">
        <w:rPr>
          <w:lang w:val="sq-AL"/>
        </w:rPr>
        <w:t xml:space="preserve"> ligjit, por edhe </w:t>
      </w:r>
      <w:r w:rsidR="001F69BC" w:rsidRPr="00010E6E">
        <w:rPr>
          <w:lang w:val="sq-AL"/>
        </w:rPr>
        <w:t>t</w:t>
      </w:r>
      <w:r w:rsidR="0018540B" w:rsidRPr="00010E6E">
        <w:rPr>
          <w:lang w:val="sq-AL"/>
        </w:rPr>
        <w:t>ë</w:t>
      </w:r>
      <w:r w:rsidR="001F69BC" w:rsidRPr="00010E6E">
        <w:rPr>
          <w:lang w:val="sq-AL"/>
        </w:rPr>
        <w:t xml:space="preserve"> iniciativave t</w:t>
      </w:r>
      <w:r w:rsidR="0018540B" w:rsidRPr="00010E6E">
        <w:rPr>
          <w:lang w:val="sq-AL"/>
        </w:rPr>
        <w:t>ë</w:t>
      </w:r>
      <w:r w:rsidR="001F69BC" w:rsidRPr="00010E6E">
        <w:rPr>
          <w:lang w:val="sq-AL"/>
        </w:rPr>
        <w:t xml:space="preserve"> tjera legjislative q</w:t>
      </w:r>
      <w:r w:rsidR="0018540B" w:rsidRPr="00010E6E">
        <w:rPr>
          <w:lang w:val="sq-AL"/>
        </w:rPr>
        <w:t>ë</w:t>
      </w:r>
      <w:r w:rsidR="001F69BC" w:rsidRPr="00010E6E">
        <w:rPr>
          <w:lang w:val="sq-AL"/>
        </w:rPr>
        <w:t xml:space="preserve"> lidhen me fush</w:t>
      </w:r>
      <w:r w:rsidR="0018540B" w:rsidRPr="00010E6E">
        <w:rPr>
          <w:lang w:val="sq-AL"/>
        </w:rPr>
        <w:t>ë</w:t>
      </w:r>
      <w:r w:rsidR="001F69BC" w:rsidRPr="00010E6E">
        <w:rPr>
          <w:lang w:val="sq-AL"/>
        </w:rPr>
        <w:t>veprimin e k</w:t>
      </w:r>
      <w:r w:rsidR="0018540B" w:rsidRPr="00010E6E">
        <w:rPr>
          <w:lang w:val="sq-AL"/>
        </w:rPr>
        <w:t>ë</w:t>
      </w:r>
      <w:r w:rsidR="001F69BC" w:rsidRPr="00010E6E">
        <w:rPr>
          <w:lang w:val="sq-AL"/>
        </w:rPr>
        <w:t xml:space="preserve">tij projektligji. </w:t>
      </w:r>
      <w:r w:rsidRPr="00010E6E">
        <w:rPr>
          <w:lang w:val="sq-AL"/>
        </w:rPr>
        <w:t xml:space="preserve">Ky detyrim </w:t>
      </w:r>
      <w:r w:rsidR="00283EA6" w:rsidRPr="00010E6E">
        <w:rPr>
          <w:lang w:val="sq-AL"/>
        </w:rPr>
        <w:t>ë</w:t>
      </w:r>
      <w:r w:rsidRPr="00010E6E">
        <w:rPr>
          <w:lang w:val="sq-AL"/>
        </w:rPr>
        <w:t>sht</w:t>
      </w:r>
      <w:r w:rsidR="00283EA6" w:rsidRPr="00010E6E">
        <w:rPr>
          <w:lang w:val="sq-AL"/>
        </w:rPr>
        <w:t>ë</w:t>
      </w:r>
      <w:r w:rsidRPr="00010E6E">
        <w:rPr>
          <w:lang w:val="sq-AL"/>
        </w:rPr>
        <w:t xml:space="preserve"> reciprok, si p</w:t>
      </w:r>
      <w:r w:rsidR="00283EA6" w:rsidRPr="00010E6E">
        <w:rPr>
          <w:lang w:val="sq-AL"/>
        </w:rPr>
        <w:t>ë</w:t>
      </w:r>
      <w:r w:rsidRPr="00010E6E">
        <w:rPr>
          <w:lang w:val="sq-AL"/>
        </w:rPr>
        <w:t>r Bank</w:t>
      </w:r>
      <w:r w:rsidR="00283EA6" w:rsidRPr="00010E6E">
        <w:rPr>
          <w:lang w:val="sq-AL"/>
        </w:rPr>
        <w:t>ë</w:t>
      </w:r>
      <w:r w:rsidRPr="00010E6E">
        <w:rPr>
          <w:lang w:val="sq-AL"/>
        </w:rPr>
        <w:t>n e Shqip</w:t>
      </w:r>
      <w:r w:rsidR="00283EA6" w:rsidRPr="00010E6E">
        <w:rPr>
          <w:lang w:val="sq-AL"/>
        </w:rPr>
        <w:t>ë</w:t>
      </w:r>
      <w:r w:rsidRPr="00010E6E">
        <w:rPr>
          <w:lang w:val="sq-AL"/>
        </w:rPr>
        <w:t>ris</w:t>
      </w:r>
      <w:r w:rsidR="00283EA6" w:rsidRPr="00010E6E">
        <w:rPr>
          <w:lang w:val="sq-AL"/>
        </w:rPr>
        <w:t>ë</w:t>
      </w:r>
      <w:r w:rsidRPr="00010E6E">
        <w:rPr>
          <w:lang w:val="sq-AL"/>
        </w:rPr>
        <w:t xml:space="preserve"> n</w:t>
      </w:r>
      <w:r w:rsidR="00283EA6" w:rsidRPr="00010E6E">
        <w:rPr>
          <w:lang w:val="sq-AL"/>
        </w:rPr>
        <w:t>ë</w:t>
      </w:r>
      <w:r w:rsidRPr="00010E6E">
        <w:rPr>
          <w:lang w:val="sq-AL"/>
        </w:rPr>
        <w:t xml:space="preserve"> rast se mendon t</w:t>
      </w:r>
      <w:r w:rsidR="00283EA6" w:rsidRPr="00010E6E">
        <w:rPr>
          <w:lang w:val="sq-AL"/>
        </w:rPr>
        <w:t>ë</w:t>
      </w:r>
      <w:r w:rsidRPr="00010E6E">
        <w:rPr>
          <w:lang w:val="sq-AL"/>
        </w:rPr>
        <w:t xml:space="preserve"> ndryshoj</w:t>
      </w:r>
      <w:r w:rsidR="00283EA6" w:rsidRPr="00010E6E">
        <w:rPr>
          <w:lang w:val="sq-AL"/>
        </w:rPr>
        <w:t>ë</w:t>
      </w:r>
      <w:r w:rsidRPr="00010E6E">
        <w:rPr>
          <w:lang w:val="sq-AL"/>
        </w:rPr>
        <w:t xml:space="preserve"> ligjin, ashtu edhe p</w:t>
      </w:r>
      <w:r w:rsidR="00283EA6" w:rsidRPr="00010E6E">
        <w:rPr>
          <w:lang w:val="sq-AL"/>
        </w:rPr>
        <w:t>ë</w:t>
      </w:r>
      <w:r w:rsidRPr="00010E6E">
        <w:rPr>
          <w:lang w:val="sq-AL"/>
        </w:rPr>
        <w:t>r institucionet e tjera n</w:t>
      </w:r>
      <w:r w:rsidR="00283EA6" w:rsidRPr="00010E6E">
        <w:rPr>
          <w:lang w:val="sq-AL"/>
        </w:rPr>
        <w:t>ë</w:t>
      </w:r>
      <w:r w:rsidRPr="00010E6E">
        <w:rPr>
          <w:lang w:val="sq-AL"/>
        </w:rPr>
        <w:t xml:space="preserve"> rast se gjykohen t</w:t>
      </w:r>
      <w:r w:rsidR="00283EA6" w:rsidRPr="00010E6E">
        <w:rPr>
          <w:lang w:val="sq-AL"/>
        </w:rPr>
        <w:t>ë</w:t>
      </w:r>
      <w:r w:rsidRPr="00010E6E">
        <w:rPr>
          <w:lang w:val="sq-AL"/>
        </w:rPr>
        <w:t xml:space="preserve"> nevojshme ndryshime n</w:t>
      </w:r>
      <w:r w:rsidR="00283EA6" w:rsidRPr="00010E6E">
        <w:rPr>
          <w:lang w:val="sq-AL"/>
        </w:rPr>
        <w:t>ë</w:t>
      </w:r>
      <w:r w:rsidRPr="00010E6E">
        <w:rPr>
          <w:lang w:val="sq-AL"/>
        </w:rPr>
        <w:t xml:space="preserve"> ligj</w:t>
      </w:r>
      <w:r w:rsidR="001F69BC" w:rsidRPr="00010E6E">
        <w:rPr>
          <w:lang w:val="sq-AL"/>
        </w:rPr>
        <w:t xml:space="preserve"> apo n</w:t>
      </w:r>
      <w:r w:rsidR="0018540B" w:rsidRPr="00010E6E">
        <w:rPr>
          <w:lang w:val="sq-AL"/>
        </w:rPr>
        <w:t>ë</w:t>
      </w:r>
      <w:r w:rsidR="001F69BC" w:rsidRPr="00010E6E">
        <w:rPr>
          <w:lang w:val="sq-AL"/>
        </w:rPr>
        <w:t xml:space="preserve"> legjislacionin e nd</w:t>
      </w:r>
      <w:r w:rsidR="0018540B" w:rsidRPr="00010E6E">
        <w:rPr>
          <w:lang w:val="sq-AL"/>
        </w:rPr>
        <w:t>ë</w:t>
      </w:r>
      <w:r w:rsidR="001F69BC" w:rsidRPr="00010E6E">
        <w:rPr>
          <w:lang w:val="sq-AL"/>
        </w:rPr>
        <w:t>rlidhur me k</w:t>
      </w:r>
      <w:r w:rsidR="0018540B" w:rsidRPr="00010E6E">
        <w:rPr>
          <w:lang w:val="sq-AL"/>
        </w:rPr>
        <w:t>ë</w:t>
      </w:r>
      <w:r w:rsidR="001F69BC" w:rsidRPr="00010E6E">
        <w:rPr>
          <w:lang w:val="sq-AL"/>
        </w:rPr>
        <w:t>t</w:t>
      </w:r>
      <w:r w:rsidR="0018540B" w:rsidRPr="00010E6E">
        <w:rPr>
          <w:lang w:val="sq-AL"/>
        </w:rPr>
        <w:t>ë</w:t>
      </w:r>
      <w:r w:rsidR="001F69BC" w:rsidRPr="00010E6E">
        <w:rPr>
          <w:lang w:val="sq-AL"/>
        </w:rPr>
        <w:t xml:space="preserve"> projektligj</w:t>
      </w:r>
      <w:r w:rsidRPr="00010E6E">
        <w:rPr>
          <w:lang w:val="sq-AL"/>
        </w:rPr>
        <w:t>.</w:t>
      </w:r>
    </w:p>
    <w:p w14:paraId="677E5315" w14:textId="77777777" w:rsidR="00976F88" w:rsidRPr="00010E6E" w:rsidRDefault="00976F88" w:rsidP="00AB4D14">
      <w:pPr>
        <w:spacing w:line="276" w:lineRule="auto"/>
        <w:jc w:val="both"/>
        <w:rPr>
          <w:lang w:val="sq-AL"/>
        </w:rPr>
      </w:pPr>
    </w:p>
    <w:p w14:paraId="74462E8F" w14:textId="5C270BAC" w:rsidR="00976F88" w:rsidRDefault="00976F88" w:rsidP="00AB4D14">
      <w:pPr>
        <w:spacing w:line="276" w:lineRule="auto"/>
        <w:jc w:val="both"/>
        <w:rPr>
          <w:lang w:val="sq-AL"/>
        </w:rPr>
      </w:pPr>
      <w:r w:rsidRPr="00010E6E">
        <w:rPr>
          <w:lang w:val="sq-AL"/>
        </w:rPr>
        <w:t>N</w:t>
      </w:r>
      <w:r w:rsidR="00283EA6" w:rsidRPr="00010E6E">
        <w:rPr>
          <w:lang w:val="sq-AL"/>
        </w:rPr>
        <w:t>ë</w:t>
      </w:r>
      <w:r w:rsidRPr="00010E6E">
        <w:rPr>
          <w:lang w:val="sq-AL"/>
        </w:rPr>
        <w:t xml:space="preserve"> nenin </w:t>
      </w:r>
      <w:r w:rsidR="001F69BC" w:rsidRPr="00010E6E">
        <w:rPr>
          <w:lang w:val="sq-AL"/>
        </w:rPr>
        <w:t xml:space="preserve">99 </w:t>
      </w:r>
      <w:r w:rsidRPr="00010E6E">
        <w:rPr>
          <w:lang w:val="sq-AL"/>
        </w:rPr>
        <w:t>t</w:t>
      </w:r>
      <w:r w:rsidR="00283EA6" w:rsidRPr="00010E6E">
        <w:rPr>
          <w:lang w:val="sq-AL"/>
        </w:rPr>
        <w:t>ë</w:t>
      </w:r>
      <w:r w:rsidRPr="00010E6E">
        <w:rPr>
          <w:lang w:val="sq-AL"/>
        </w:rPr>
        <w:t xml:space="preserve"> projektligjit synohet t</w:t>
      </w:r>
      <w:r w:rsidR="00283EA6" w:rsidRPr="00010E6E">
        <w:rPr>
          <w:lang w:val="sq-AL"/>
        </w:rPr>
        <w:t>ë</w:t>
      </w:r>
      <w:r w:rsidRPr="00010E6E">
        <w:rPr>
          <w:lang w:val="sq-AL"/>
        </w:rPr>
        <w:t xml:space="preserve"> rregullohet regjimi kalimtar p</w:t>
      </w:r>
      <w:r w:rsidR="00283EA6" w:rsidRPr="00010E6E">
        <w:rPr>
          <w:lang w:val="sq-AL"/>
        </w:rPr>
        <w:t>ë</w:t>
      </w:r>
      <w:r w:rsidRPr="00010E6E">
        <w:rPr>
          <w:lang w:val="sq-AL"/>
        </w:rPr>
        <w:t>r bankat dhe subje</w:t>
      </w:r>
      <w:r w:rsidR="004F141A" w:rsidRPr="00010E6E">
        <w:rPr>
          <w:lang w:val="sq-AL"/>
        </w:rPr>
        <w:t>k</w:t>
      </w:r>
      <w:r w:rsidRPr="00010E6E">
        <w:rPr>
          <w:lang w:val="sq-AL"/>
        </w:rPr>
        <w:t>tet financiare jobanka, veprimtaria e t</w:t>
      </w:r>
      <w:r w:rsidR="00283EA6" w:rsidRPr="00010E6E">
        <w:rPr>
          <w:lang w:val="sq-AL"/>
        </w:rPr>
        <w:t>ë</w:t>
      </w:r>
      <w:r w:rsidRPr="00010E6E">
        <w:rPr>
          <w:lang w:val="sq-AL"/>
        </w:rPr>
        <w:t xml:space="preserve"> cilave preket q</w:t>
      </w:r>
      <w:r w:rsidR="00283EA6" w:rsidRPr="00010E6E">
        <w:rPr>
          <w:lang w:val="sq-AL"/>
        </w:rPr>
        <w:t>ë</w:t>
      </w:r>
      <w:r w:rsidRPr="00010E6E">
        <w:rPr>
          <w:lang w:val="sq-AL"/>
        </w:rPr>
        <w:t xml:space="preserve"> nga momenti i hyrjes n</w:t>
      </w:r>
      <w:r w:rsidR="00283EA6" w:rsidRPr="00010E6E">
        <w:rPr>
          <w:lang w:val="sq-AL"/>
        </w:rPr>
        <w:t>ë</w:t>
      </w:r>
      <w:r w:rsidRPr="00010E6E">
        <w:rPr>
          <w:lang w:val="sq-AL"/>
        </w:rPr>
        <w:t xml:space="preserve"> fuqi t</w:t>
      </w:r>
      <w:r w:rsidR="00283EA6" w:rsidRPr="00010E6E">
        <w:rPr>
          <w:lang w:val="sq-AL"/>
        </w:rPr>
        <w:t>ë</w:t>
      </w:r>
      <w:r w:rsidRPr="00010E6E">
        <w:rPr>
          <w:lang w:val="sq-AL"/>
        </w:rPr>
        <w:t xml:space="preserve"> k</w:t>
      </w:r>
      <w:r w:rsidR="00283EA6" w:rsidRPr="00010E6E">
        <w:rPr>
          <w:lang w:val="sq-AL"/>
        </w:rPr>
        <w:t>ë</w:t>
      </w:r>
      <w:r w:rsidRPr="00010E6E">
        <w:rPr>
          <w:lang w:val="sq-AL"/>
        </w:rPr>
        <w:t>tij ligji.</w:t>
      </w:r>
    </w:p>
    <w:p w14:paraId="14BD9627" w14:textId="77777777" w:rsidR="0046279C" w:rsidRPr="00010E6E" w:rsidRDefault="0046279C" w:rsidP="00AB4D14">
      <w:pPr>
        <w:spacing w:line="276" w:lineRule="auto"/>
        <w:jc w:val="both"/>
        <w:rPr>
          <w:lang w:val="sq-AL"/>
        </w:rPr>
      </w:pPr>
    </w:p>
    <w:p w14:paraId="43750D4C" w14:textId="77777777" w:rsidR="00283EA6" w:rsidRDefault="00283EA6" w:rsidP="00AB4D14">
      <w:pPr>
        <w:pStyle w:val="paragrafi"/>
        <w:spacing w:before="0" w:beforeAutospacing="0" w:after="0" w:afterAutospacing="0" w:line="276" w:lineRule="auto"/>
        <w:ind w:right="49"/>
        <w:jc w:val="both"/>
        <w:rPr>
          <w:lang w:val="sq-AL"/>
        </w:rPr>
      </w:pPr>
      <w:r w:rsidRPr="00010E6E">
        <w:rPr>
          <w:lang w:val="sq-AL"/>
        </w:rPr>
        <w:t>Subjektet financiare jobanka dhe institucionet e parasë elektronike të licencuara nga Banka e Shqipërisë, para hyrjes në fuqi të këtij ligji,</w:t>
      </w:r>
      <w:r w:rsidRPr="00010E6E">
        <w:rPr>
          <w:sz w:val="23"/>
          <w:szCs w:val="23"/>
          <w:lang w:val="sq-AL"/>
        </w:rPr>
        <w:t xml:space="preserve"> </w:t>
      </w:r>
      <w:r w:rsidRPr="00010E6E">
        <w:rPr>
          <w:lang w:val="sq-AL"/>
        </w:rPr>
        <w:t>për ushtrimin e veprimtarisë së shërbimeve të pagesave dhe të transferimit të parave</w:t>
      </w:r>
      <w:r w:rsidRPr="00006EED">
        <w:rPr>
          <w:lang w:val="sq-AL"/>
        </w:rPr>
        <w:t xml:space="preserve"> konsiderohen </w:t>
      </w:r>
      <w:r w:rsidRPr="00010E6E">
        <w:rPr>
          <w:lang w:val="sq-AL"/>
        </w:rPr>
        <w:t>si të licencuara në përputhje me dispozitat e këtij ligji</w:t>
      </w:r>
      <w:r w:rsidRPr="00010E6E">
        <w:rPr>
          <w:sz w:val="23"/>
          <w:szCs w:val="23"/>
          <w:lang w:val="sq-AL"/>
        </w:rPr>
        <w:t xml:space="preserve"> </w:t>
      </w:r>
      <w:r w:rsidRPr="00010E6E">
        <w:rPr>
          <w:lang w:val="sq-AL"/>
        </w:rPr>
        <w:t>dhe do të klasifikohen si “Institucione të pagesave”. </w:t>
      </w:r>
    </w:p>
    <w:p w14:paraId="48360A8B" w14:textId="77777777" w:rsidR="0046279C" w:rsidRPr="00010E6E" w:rsidRDefault="0046279C" w:rsidP="00AB4D14">
      <w:pPr>
        <w:pStyle w:val="paragrafi"/>
        <w:spacing w:before="0" w:beforeAutospacing="0" w:after="0" w:afterAutospacing="0" w:line="276" w:lineRule="auto"/>
        <w:ind w:right="49"/>
        <w:jc w:val="both"/>
        <w:rPr>
          <w:lang w:val="sq-AL"/>
        </w:rPr>
      </w:pPr>
    </w:p>
    <w:p w14:paraId="7C8C056E" w14:textId="60F7BABF" w:rsidR="00283EA6" w:rsidRDefault="00283EA6" w:rsidP="00AB4D14">
      <w:pPr>
        <w:pStyle w:val="paragrafi"/>
        <w:spacing w:before="0" w:beforeAutospacing="0" w:after="0" w:afterAutospacing="0" w:line="276" w:lineRule="auto"/>
        <w:ind w:right="49"/>
        <w:jc w:val="both"/>
        <w:rPr>
          <w:lang w:val="sq-AL"/>
        </w:rPr>
      </w:pPr>
      <w:r w:rsidRPr="00010E6E">
        <w:rPr>
          <w:lang w:val="sq-AL"/>
        </w:rPr>
        <w:t>Ofruesit e shërbimeve të pagesave të licencuar nga Banka e Shqipërisë, para hyrjes në fuqi të këtij</w:t>
      </w:r>
      <w:r w:rsidRPr="00006EED">
        <w:rPr>
          <w:lang w:val="sq-AL"/>
        </w:rPr>
        <w:t xml:space="preserve"> ligji, </w:t>
      </w:r>
      <w:r w:rsidRPr="00010E6E">
        <w:rPr>
          <w:lang w:val="sq-AL"/>
        </w:rPr>
        <w:t xml:space="preserve">për ushtrimin e veprimtarisë së shërbimeve të pagesave dhe të </w:t>
      </w:r>
      <w:r w:rsidRPr="00010E6E">
        <w:rPr>
          <w:lang w:val="sq-AL"/>
        </w:rPr>
        <w:lastRenderedPageBreak/>
        <w:t xml:space="preserve">transferimit të parave, duhet të marrin masat, të organizojnë veprimtarinë dhe strukturën e brendshme, në përputhje me kërkesat e këtij ligji, brenda 1 viti nga data e hyrjes në fuqi të tij. </w:t>
      </w:r>
    </w:p>
    <w:p w14:paraId="5C3F4F0F" w14:textId="77777777" w:rsidR="0046279C" w:rsidRPr="00010E6E" w:rsidRDefault="0046279C" w:rsidP="00AB4D14">
      <w:pPr>
        <w:pStyle w:val="paragrafi"/>
        <w:spacing w:before="0" w:beforeAutospacing="0" w:after="0" w:afterAutospacing="0" w:line="276" w:lineRule="auto"/>
        <w:ind w:right="49"/>
        <w:jc w:val="both"/>
        <w:rPr>
          <w:lang w:val="sq-AL"/>
        </w:rPr>
      </w:pPr>
    </w:p>
    <w:p w14:paraId="22B95196" w14:textId="45F64B8F" w:rsidR="00283EA6" w:rsidRPr="00010E6E" w:rsidRDefault="00283EA6" w:rsidP="00AB4D14">
      <w:pPr>
        <w:pStyle w:val="paragrafi"/>
        <w:spacing w:before="0" w:beforeAutospacing="0" w:after="0" w:afterAutospacing="0" w:line="276" w:lineRule="auto"/>
        <w:ind w:right="49"/>
        <w:jc w:val="both"/>
        <w:rPr>
          <w:lang w:val="sq-AL"/>
        </w:rPr>
      </w:pPr>
      <w:r w:rsidRPr="00010E6E">
        <w:rPr>
          <w:lang w:val="sq-AL"/>
        </w:rPr>
        <w:t>Subjektet e sipërcituara duhet të plotësojnë kërkesat e këtij ligji brenda një viti nga hyrja në fuqi e këtij ligji, ose në rast të kundërt</w:t>
      </w:r>
      <w:r w:rsidR="0046279C">
        <w:rPr>
          <w:lang w:val="sq-AL"/>
        </w:rPr>
        <w:t>,</w:t>
      </w:r>
      <w:r w:rsidRPr="00010E6E">
        <w:rPr>
          <w:lang w:val="sq-AL"/>
        </w:rPr>
        <w:t xml:space="preserve"> Banka e Shqipërisë ka të drejtë të revokojë licencën e tyre. </w:t>
      </w:r>
    </w:p>
    <w:p w14:paraId="3A7BAE73" w14:textId="77777777" w:rsidR="00283EA6" w:rsidRPr="00010E6E" w:rsidRDefault="00283EA6" w:rsidP="00AB4D14">
      <w:pPr>
        <w:pStyle w:val="paragrafi"/>
        <w:spacing w:before="0" w:beforeAutospacing="0" w:after="0" w:afterAutospacing="0" w:line="276" w:lineRule="auto"/>
        <w:ind w:right="49"/>
        <w:jc w:val="both"/>
        <w:rPr>
          <w:lang w:val="sq-AL"/>
        </w:rPr>
      </w:pPr>
    </w:p>
    <w:p w14:paraId="3F92772A" w14:textId="2C35E5CF" w:rsidR="00283EA6" w:rsidRPr="003A149E" w:rsidRDefault="001F69BC" w:rsidP="003A149E">
      <w:pPr>
        <w:pStyle w:val="paragrafi"/>
        <w:spacing w:before="0" w:beforeAutospacing="0" w:after="0" w:afterAutospacing="0" w:line="276" w:lineRule="auto"/>
        <w:ind w:right="49"/>
        <w:jc w:val="both"/>
        <w:rPr>
          <w:lang w:val="sq-AL"/>
        </w:rPr>
      </w:pPr>
      <w:r w:rsidRPr="00010E6E">
        <w:rPr>
          <w:lang w:val="sq-AL"/>
        </w:rPr>
        <w:t>S</w:t>
      </w:r>
      <w:r w:rsidR="0018540B" w:rsidRPr="00010E6E">
        <w:rPr>
          <w:lang w:val="sq-AL"/>
        </w:rPr>
        <w:t>ë</w:t>
      </w:r>
      <w:r w:rsidRPr="00010E6E">
        <w:rPr>
          <w:lang w:val="sq-AL"/>
        </w:rPr>
        <w:t xml:space="preserve"> fundmi, </w:t>
      </w:r>
      <w:r w:rsidR="0018540B" w:rsidRPr="00010E6E">
        <w:rPr>
          <w:lang w:val="sq-AL"/>
        </w:rPr>
        <w:t>ë</w:t>
      </w:r>
      <w:r w:rsidRPr="00010E6E">
        <w:rPr>
          <w:lang w:val="sq-AL"/>
        </w:rPr>
        <w:t>sht</w:t>
      </w:r>
      <w:r w:rsidR="0018540B" w:rsidRPr="00010E6E">
        <w:rPr>
          <w:lang w:val="sq-AL"/>
        </w:rPr>
        <w:t>ë</w:t>
      </w:r>
      <w:r w:rsidRPr="00010E6E">
        <w:rPr>
          <w:lang w:val="sq-AL"/>
        </w:rPr>
        <w:t xml:space="preserve"> parashikuar q</w:t>
      </w:r>
      <w:r w:rsidR="0018540B" w:rsidRPr="00010E6E">
        <w:rPr>
          <w:lang w:val="sq-AL"/>
        </w:rPr>
        <w:t>ë</w:t>
      </w:r>
      <w:r w:rsidRPr="00010E6E">
        <w:rPr>
          <w:lang w:val="sq-AL"/>
        </w:rPr>
        <w:t xml:space="preserve"> ligji t</w:t>
      </w:r>
      <w:r w:rsidR="0018540B" w:rsidRPr="00010E6E">
        <w:rPr>
          <w:lang w:val="sq-AL"/>
        </w:rPr>
        <w:t>ë</w:t>
      </w:r>
      <w:r w:rsidRPr="00010E6E">
        <w:rPr>
          <w:lang w:val="sq-AL"/>
        </w:rPr>
        <w:t xml:space="preserve"> hyj</w:t>
      </w:r>
      <w:r w:rsidR="0018540B" w:rsidRPr="00010E6E">
        <w:rPr>
          <w:lang w:val="sq-AL"/>
        </w:rPr>
        <w:t>ë</w:t>
      </w:r>
      <w:r w:rsidRPr="00010E6E">
        <w:rPr>
          <w:lang w:val="sq-AL"/>
        </w:rPr>
        <w:t xml:space="preserve"> n</w:t>
      </w:r>
      <w:r w:rsidR="0018540B" w:rsidRPr="00010E6E">
        <w:rPr>
          <w:lang w:val="sq-AL"/>
        </w:rPr>
        <w:t>ë</w:t>
      </w:r>
      <w:r w:rsidRPr="00010E6E">
        <w:rPr>
          <w:lang w:val="sq-AL"/>
        </w:rPr>
        <w:t xml:space="preserve"> fuqi 6 muaj pas publikimit n</w:t>
      </w:r>
      <w:r w:rsidR="0018540B" w:rsidRPr="00010E6E">
        <w:rPr>
          <w:lang w:val="sq-AL"/>
        </w:rPr>
        <w:t>ë</w:t>
      </w:r>
      <w:r w:rsidRPr="00010E6E">
        <w:rPr>
          <w:lang w:val="sq-AL"/>
        </w:rPr>
        <w:t xml:space="preserve"> Fletore Zyrtare dhe Bank</w:t>
      </w:r>
      <w:r w:rsidR="0018540B" w:rsidRPr="00010E6E">
        <w:rPr>
          <w:lang w:val="sq-AL"/>
        </w:rPr>
        <w:t>ë</w:t>
      </w:r>
      <w:r w:rsidRPr="00010E6E">
        <w:rPr>
          <w:lang w:val="sq-AL"/>
        </w:rPr>
        <w:t>s s</w:t>
      </w:r>
      <w:r w:rsidR="0018540B" w:rsidRPr="00010E6E">
        <w:rPr>
          <w:lang w:val="sq-AL"/>
        </w:rPr>
        <w:t>ë</w:t>
      </w:r>
      <w:r w:rsidRPr="00010E6E">
        <w:rPr>
          <w:lang w:val="sq-AL"/>
        </w:rPr>
        <w:t xml:space="preserve"> Shqip</w:t>
      </w:r>
      <w:r w:rsidR="0018540B" w:rsidRPr="00010E6E">
        <w:rPr>
          <w:lang w:val="sq-AL"/>
        </w:rPr>
        <w:t>ë</w:t>
      </w:r>
      <w:r w:rsidRPr="00010E6E">
        <w:rPr>
          <w:lang w:val="sq-AL"/>
        </w:rPr>
        <w:t>ris</w:t>
      </w:r>
      <w:r w:rsidR="0018540B" w:rsidRPr="00010E6E">
        <w:rPr>
          <w:lang w:val="sq-AL"/>
        </w:rPr>
        <w:t>ë</w:t>
      </w:r>
      <w:r w:rsidRPr="00010E6E">
        <w:rPr>
          <w:lang w:val="sq-AL"/>
        </w:rPr>
        <w:t xml:space="preserve"> i lihet nj</w:t>
      </w:r>
      <w:r w:rsidR="0018540B" w:rsidRPr="00010E6E">
        <w:rPr>
          <w:lang w:val="sq-AL"/>
        </w:rPr>
        <w:t>ë</w:t>
      </w:r>
      <w:r w:rsidRPr="00010E6E">
        <w:rPr>
          <w:lang w:val="sq-AL"/>
        </w:rPr>
        <w:t xml:space="preserve"> afat </w:t>
      </w:r>
      <w:r w:rsidR="0046279C" w:rsidRPr="00010E6E">
        <w:rPr>
          <w:lang w:val="sq-AL"/>
        </w:rPr>
        <w:t>1</w:t>
      </w:r>
      <w:r w:rsidR="0046279C">
        <w:rPr>
          <w:lang w:val="sq-AL"/>
        </w:rPr>
        <w:t>-</w:t>
      </w:r>
      <w:r w:rsidRPr="00010E6E">
        <w:rPr>
          <w:lang w:val="sq-AL"/>
        </w:rPr>
        <w:t>vje</w:t>
      </w:r>
      <w:r w:rsidR="00774404" w:rsidRPr="00010E6E">
        <w:rPr>
          <w:lang w:val="sq-AL"/>
        </w:rPr>
        <w:t>ç</w:t>
      </w:r>
      <w:r w:rsidRPr="00010E6E">
        <w:rPr>
          <w:lang w:val="sq-AL"/>
        </w:rPr>
        <w:t>ar nga hyrja n</w:t>
      </w:r>
      <w:r w:rsidR="0018540B" w:rsidRPr="00010E6E">
        <w:rPr>
          <w:lang w:val="sq-AL"/>
        </w:rPr>
        <w:t>ë</w:t>
      </w:r>
      <w:r w:rsidRPr="00010E6E">
        <w:rPr>
          <w:lang w:val="sq-AL"/>
        </w:rPr>
        <w:t xml:space="preserve"> fuqi e ligjit, p</w:t>
      </w:r>
      <w:r w:rsidR="0018540B" w:rsidRPr="00010E6E">
        <w:rPr>
          <w:lang w:val="sq-AL"/>
        </w:rPr>
        <w:t>ë</w:t>
      </w:r>
      <w:r w:rsidRPr="00010E6E">
        <w:rPr>
          <w:lang w:val="sq-AL"/>
        </w:rPr>
        <w:t>r t</w:t>
      </w:r>
      <w:r w:rsidR="0018540B" w:rsidRPr="00010E6E">
        <w:rPr>
          <w:lang w:val="sq-AL"/>
        </w:rPr>
        <w:t>ë</w:t>
      </w:r>
      <w:r w:rsidRPr="00010E6E">
        <w:rPr>
          <w:lang w:val="sq-AL"/>
        </w:rPr>
        <w:t xml:space="preserve"> miratuar aktet n</w:t>
      </w:r>
      <w:r w:rsidR="0018540B" w:rsidRPr="00010E6E">
        <w:rPr>
          <w:lang w:val="sq-AL"/>
        </w:rPr>
        <w:t>ë</w:t>
      </w:r>
      <w:r w:rsidRPr="00010E6E">
        <w:rPr>
          <w:lang w:val="sq-AL"/>
        </w:rPr>
        <w:t>nligjore q</w:t>
      </w:r>
      <w:r w:rsidR="0018540B" w:rsidRPr="00010E6E">
        <w:rPr>
          <w:lang w:val="sq-AL"/>
        </w:rPr>
        <w:t>ë</w:t>
      </w:r>
      <w:r w:rsidRPr="00010E6E">
        <w:rPr>
          <w:lang w:val="sq-AL"/>
        </w:rPr>
        <w:t xml:space="preserve"> k</w:t>
      </w:r>
      <w:r w:rsidR="0018540B" w:rsidRPr="00010E6E">
        <w:rPr>
          <w:lang w:val="sq-AL"/>
        </w:rPr>
        <w:t>ë</w:t>
      </w:r>
      <w:r w:rsidRPr="00010E6E">
        <w:rPr>
          <w:lang w:val="sq-AL"/>
        </w:rPr>
        <w:t>rkohen n</w:t>
      </w:r>
      <w:r w:rsidR="0018540B" w:rsidRPr="00010E6E">
        <w:rPr>
          <w:lang w:val="sq-AL"/>
        </w:rPr>
        <w:t>ë</w:t>
      </w:r>
      <w:r w:rsidRPr="00010E6E">
        <w:rPr>
          <w:lang w:val="sq-AL"/>
        </w:rPr>
        <w:t xml:space="preserve"> zbatim t</w:t>
      </w:r>
      <w:r w:rsidR="0018540B" w:rsidRPr="00010E6E">
        <w:rPr>
          <w:lang w:val="sq-AL"/>
        </w:rPr>
        <w:t>ë</w:t>
      </w:r>
      <w:r w:rsidRPr="00010E6E">
        <w:rPr>
          <w:lang w:val="sq-AL"/>
        </w:rPr>
        <w:t xml:space="preserve"> ligjit. K</w:t>
      </w:r>
      <w:r w:rsidR="0018540B" w:rsidRPr="00010E6E">
        <w:rPr>
          <w:lang w:val="sq-AL"/>
        </w:rPr>
        <w:t>ë</w:t>
      </w:r>
      <w:r w:rsidRPr="00010E6E">
        <w:rPr>
          <w:lang w:val="sq-AL"/>
        </w:rPr>
        <w:t>to afate jan</w:t>
      </w:r>
      <w:r w:rsidR="0018540B" w:rsidRPr="00010E6E">
        <w:rPr>
          <w:lang w:val="sq-AL"/>
        </w:rPr>
        <w:t>ë</w:t>
      </w:r>
      <w:r w:rsidRPr="00010E6E">
        <w:rPr>
          <w:lang w:val="sq-AL"/>
        </w:rPr>
        <w:t xml:space="preserve"> </w:t>
      </w:r>
      <w:r w:rsidR="0046279C">
        <w:rPr>
          <w:lang w:val="sq-AL"/>
        </w:rPr>
        <w:t>përcaktuar</w:t>
      </w:r>
      <w:r w:rsidRPr="00010E6E">
        <w:rPr>
          <w:lang w:val="sq-AL"/>
        </w:rPr>
        <w:t xml:space="preserve"> duke marr</w:t>
      </w:r>
      <w:r w:rsidR="0018540B" w:rsidRPr="00010E6E">
        <w:rPr>
          <w:lang w:val="sq-AL"/>
        </w:rPr>
        <w:t>ë</w:t>
      </w:r>
      <w:r w:rsidRPr="00010E6E">
        <w:rPr>
          <w:lang w:val="sq-AL"/>
        </w:rPr>
        <w:t xml:space="preserve"> n</w:t>
      </w:r>
      <w:r w:rsidR="0018540B" w:rsidRPr="00010E6E">
        <w:rPr>
          <w:lang w:val="sq-AL"/>
        </w:rPr>
        <w:t>ë</w:t>
      </w:r>
      <w:r w:rsidRPr="00010E6E">
        <w:rPr>
          <w:lang w:val="sq-AL"/>
        </w:rPr>
        <w:t xml:space="preserve"> konsiderat</w:t>
      </w:r>
      <w:r w:rsidR="0018540B" w:rsidRPr="00010E6E">
        <w:rPr>
          <w:lang w:val="sq-AL"/>
        </w:rPr>
        <w:t>ë</w:t>
      </w:r>
      <w:r w:rsidRPr="00010E6E">
        <w:rPr>
          <w:lang w:val="sq-AL"/>
        </w:rPr>
        <w:t xml:space="preserve"> s</w:t>
      </w:r>
      <w:r w:rsidR="0018540B" w:rsidRPr="00010E6E">
        <w:rPr>
          <w:lang w:val="sq-AL"/>
        </w:rPr>
        <w:t>ë</w:t>
      </w:r>
      <w:r w:rsidRPr="00010E6E">
        <w:rPr>
          <w:lang w:val="sq-AL"/>
        </w:rPr>
        <w:t xml:space="preserve"> pari koh</w:t>
      </w:r>
      <w:r w:rsidR="0018540B" w:rsidRPr="00010E6E">
        <w:rPr>
          <w:lang w:val="sq-AL"/>
        </w:rPr>
        <w:t>ë</w:t>
      </w:r>
      <w:r w:rsidRPr="00010E6E">
        <w:rPr>
          <w:lang w:val="sq-AL"/>
        </w:rPr>
        <w:t>n q</w:t>
      </w:r>
      <w:r w:rsidR="0018540B" w:rsidRPr="00010E6E">
        <w:rPr>
          <w:lang w:val="sq-AL"/>
        </w:rPr>
        <w:t>ë</w:t>
      </w:r>
      <w:r w:rsidRPr="00010E6E">
        <w:rPr>
          <w:lang w:val="sq-AL"/>
        </w:rPr>
        <w:t xml:space="preserve"> u nevojitet institucioneve </w:t>
      </w:r>
      <w:r w:rsidR="0046279C">
        <w:rPr>
          <w:lang w:val="sq-AL"/>
        </w:rPr>
        <w:t xml:space="preserve">për </w:t>
      </w:r>
      <w:r w:rsidRPr="00010E6E">
        <w:rPr>
          <w:lang w:val="sq-AL"/>
        </w:rPr>
        <w:t>t</w:t>
      </w:r>
      <w:r w:rsidR="0046279C">
        <w:rPr>
          <w:lang w:val="sq-AL"/>
        </w:rPr>
        <w:t>’u</w:t>
      </w:r>
      <w:r w:rsidRPr="00010E6E">
        <w:rPr>
          <w:lang w:val="sq-AL"/>
        </w:rPr>
        <w:t xml:space="preserve"> </w:t>
      </w:r>
      <w:r w:rsidR="0046279C">
        <w:rPr>
          <w:lang w:val="sq-AL"/>
        </w:rPr>
        <w:t>përshtatur</w:t>
      </w:r>
      <w:r w:rsidR="0046279C" w:rsidRPr="00010E6E">
        <w:rPr>
          <w:lang w:val="sq-AL"/>
        </w:rPr>
        <w:t xml:space="preserve"> </w:t>
      </w:r>
      <w:r w:rsidRPr="00010E6E">
        <w:rPr>
          <w:lang w:val="sq-AL"/>
        </w:rPr>
        <w:t>me k</w:t>
      </w:r>
      <w:r w:rsidR="0018540B" w:rsidRPr="00010E6E">
        <w:rPr>
          <w:lang w:val="sq-AL"/>
        </w:rPr>
        <w:t>ë</w:t>
      </w:r>
      <w:r w:rsidRPr="00010E6E">
        <w:rPr>
          <w:lang w:val="sq-AL"/>
        </w:rPr>
        <w:t>rkesat e reja q</w:t>
      </w:r>
      <w:r w:rsidR="0018540B" w:rsidRPr="00010E6E">
        <w:rPr>
          <w:lang w:val="sq-AL"/>
        </w:rPr>
        <w:t>ë</w:t>
      </w:r>
      <w:r w:rsidRPr="00010E6E">
        <w:rPr>
          <w:lang w:val="sq-AL"/>
        </w:rPr>
        <w:t xml:space="preserve"> do </w:t>
      </w:r>
      <w:r w:rsidR="0046279C">
        <w:rPr>
          <w:lang w:val="sq-AL"/>
        </w:rPr>
        <w:t xml:space="preserve">të </w:t>
      </w:r>
      <w:r w:rsidRPr="00010E6E">
        <w:rPr>
          <w:lang w:val="sq-AL"/>
        </w:rPr>
        <w:t>vendos</w:t>
      </w:r>
      <w:r w:rsidR="0046279C">
        <w:rPr>
          <w:lang w:val="sq-AL"/>
        </w:rPr>
        <w:t>ë</w:t>
      </w:r>
      <w:r w:rsidRPr="00010E6E">
        <w:rPr>
          <w:lang w:val="sq-AL"/>
        </w:rPr>
        <w:t xml:space="preserve"> ky projektligj. Edhe vet</w:t>
      </w:r>
      <w:r w:rsidR="0046279C">
        <w:rPr>
          <w:lang w:val="sq-AL"/>
        </w:rPr>
        <w:t>ë</w:t>
      </w:r>
      <w:r w:rsidRPr="00010E6E">
        <w:rPr>
          <w:lang w:val="sq-AL"/>
        </w:rPr>
        <w:t xml:space="preserve"> direktiva u la shteteve an</w:t>
      </w:r>
      <w:r w:rsidR="0018540B" w:rsidRPr="00010E6E">
        <w:rPr>
          <w:lang w:val="sq-AL"/>
        </w:rPr>
        <w:t>ë</w:t>
      </w:r>
      <w:r w:rsidRPr="00010E6E">
        <w:rPr>
          <w:lang w:val="sq-AL"/>
        </w:rPr>
        <w:t>tare nj</w:t>
      </w:r>
      <w:r w:rsidR="0018540B" w:rsidRPr="00010E6E">
        <w:rPr>
          <w:lang w:val="sq-AL"/>
        </w:rPr>
        <w:t>ë</w:t>
      </w:r>
      <w:r w:rsidRPr="00010E6E">
        <w:rPr>
          <w:lang w:val="sq-AL"/>
        </w:rPr>
        <w:t xml:space="preserve"> periudh</w:t>
      </w:r>
      <w:r w:rsidR="0018540B" w:rsidRPr="00010E6E">
        <w:rPr>
          <w:lang w:val="sq-AL"/>
        </w:rPr>
        <w:t>ë</w:t>
      </w:r>
      <w:r w:rsidRPr="00010E6E">
        <w:rPr>
          <w:lang w:val="sq-AL"/>
        </w:rPr>
        <w:t xml:space="preserve"> t</w:t>
      </w:r>
      <w:r w:rsidR="0018540B" w:rsidRPr="00010E6E">
        <w:rPr>
          <w:lang w:val="sq-AL"/>
        </w:rPr>
        <w:t>ë</w:t>
      </w:r>
      <w:r w:rsidRPr="00010E6E">
        <w:rPr>
          <w:lang w:val="sq-AL"/>
        </w:rPr>
        <w:t xml:space="preserve"> gjat</w:t>
      </w:r>
      <w:r w:rsidR="0018540B" w:rsidRPr="00010E6E">
        <w:rPr>
          <w:lang w:val="sq-AL"/>
        </w:rPr>
        <w:t>ë</w:t>
      </w:r>
      <w:r w:rsidRPr="00010E6E">
        <w:rPr>
          <w:lang w:val="sq-AL"/>
        </w:rPr>
        <w:t xml:space="preserve"> kohore, p</w:t>
      </w:r>
      <w:r w:rsidR="0018540B" w:rsidRPr="00010E6E">
        <w:rPr>
          <w:lang w:val="sq-AL"/>
        </w:rPr>
        <w:t>ë</w:t>
      </w:r>
      <w:r w:rsidRPr="00010E6E">
        <w:rPr>
          <w:lang w:val="sq-AL"/>
        </w:rPr>
        <w:t>raf</w:t>
      </w:r>
      <w:r w:rsidR="0018540B" w:rsidRPr="00010E6E">
        <w:rPr>
          <w:lang w:val="sq-AL"/>
        </w:rPr>
        <w:t>ë</w:t>
      </w:r>
      <w:r w:rsidRPr="00010E6E">
        <w:rPr>
          <w:lang w:val="sq-AL"/>
        </w:rPr>
        <w:t>rsi</w:t>
      </w:r>
      <w:r w:rsidR="0046279C">
        <w:rPr>
          <w:lang w:val="sq-AL"/>
        </w:rPr>
        <w:t>s</w:t>
      </w:r>
      <w:r w:rsidRPr="00010E6E">
        <w:rPr>
          <w:lang w:val="sq-AL"/>
        </w:rPr>
        <w:t>ht 2 vjet e pak, p</w:t>
      </w:r>
      <w:r w:rsidR="0018540B" w:rsidRPr="00010E6E">
        <w:rPr>
          <w:lang w:val="sq-AL"/>
        </w:rPr>
        <w:t>ë</w:t>
      </w:r>
      <w:r w:rsidRPr="00010E6E">
        <w:rPr>
          <w:lang w:val="sq-AL"/>
        </w:rPr>
        <w:t>r ta adaptuar at</w:t>
      </w:r>
      <w:r w:rsidR="0018540B" w:rsidRPr="00010E6E">
        <w:rPr>
          <w:lang w:val="sq-AL"/>
        </w:rPr>
        <w:t>ë</w:t>
      </w:r>
      <w:r w:rsidRPr="00010E6E">
        <w:rPr>
          <w:lang w:val="sq-AL"/>
        </w:rPr>
        <w:t xml:space="preserve"> n</w:t>
      </w:r>
      <w:r w:rsidR="0018540B" w:rsidRPr="00010E6E">
        <w:rPr>
          <w:lang w:val="sq-AL"/>
        </w:rPr>
        <w:t>ë</w:t>
      </w:r>
      <w:r w:rsidRPr="00010E6E">
        <w:rPr>
          <w:lang w:val="sq-AL"/>
        </w:rPr>
        <w:t xml:space="preserve"> legjislacionin vendas, pavar</w:t>
      </w:r>
      <w:r w:rsidR="0018540B" w:rsidRPr="00010E6E">
        <w:rPr>
          <w:lang w:val="sq-AL"/>
        </w:rPr>
        <w:t>ë</w:t>
      </w:r>
      <w:r w:rsidRPr="00010E6E">
        <w:rPr>
          <w:lang w:val="sq-AL"/>
        </w:rPr>
        <w:t>sisht se shtetet an</w:t>
      </w:r>
      <w:r w:rsidR="0018540B" w:rsidRPr="00010E6E">
        <w:rPr>
          <w:lang w:val="sq-AL"/>
        </w:rPr>
        <w:t>ë</w:t>
      </w:r>
      <w:r w:rsidRPr="00010E6E">
        <w:rPr>
          <w:lang w:val="sq-AL"/>
        </w:rPr>
        <w:t>tare kaluan n</w:t>
      </w:r>
      <w:r w:rsidR="0018540B" w:rsidRPr="00010E6E">
        <w:rPr>
          <w:lang w:val="sq-AL"/>
        </w:rPr>
        <w:t>ë</w:t>
      </w:r>
      <w:r w:rsidRPr="00010E6E">
        <w:rPr>
          <w:lang w:val="sq-AL"/>
        </w:rPr>
        <w:t xml:space="preserve"> PSD2 direkt nga PSD1.  </w:t>
      </w:r>
    </w:p>
    <w:p w14:paraId="70F2571A" w14:textId="1E4A2D70" w:rsidR="00283EA6" w:rsidRPr="00010E6E" w:rsidRDefault="00283EA6" w:rsidP="004E2752">
      <w:pPr>
        <w:pStyle w:val="Heading1"/>
        <w:numPr>
          <w:ilvl w:val="0"/>
          <w:numId w:val="19"/>
        </w:numPr>
        <w:rPr>
          <w:rFonts w:ascii="Times New Roman" w:hAnsi="Times New Roman"/>
          <w:b/>
          <w:color w:val="000000"/>
          <w:sz w:val="24"/>
          <w:szCs w:val="24"/>
          <w:lang w:val="sq-AL"/>
        </w:rPr>
      </w:pPr>
      <w:bookmarkStart w:id="6" w:name="_Toc511995010"/>
      <w:r w:rsidRPr="00010E6E">
        <w:rPr>
          <w:rFonts w:ascii="Times New Roman" w:hAnsi="Times New Roman"/>
          <w:b/>
          <w:color w:val="000000"/>
          <w:sz w:val="24"/>
          <w:szCs w:val="24"/>
          <w:lang w:val="sq-AL"/>
        </w:rPr>
        <w:t xml:space="preserve">INSTITUCIONET DHE ORGANET QË NGARKOHEN </w:t>
      </w:r>
      <w:r w:rsidR="0046279C">
        <w:rPr>
          <w:rFonts w:ascii="Times New Roman" w:hAnsi="Times New Roman"/>
          <w:b/>
          <w:color w:val="000000"/>
          <w:sz w:val="24"/>
          <w:szCs w:val="24"/>
          <w:lang w:val="sq-AL"/>
        </w:rPr>
        <w:t>ME</w:t>
      </w:r>
      <w:r w:rsidR="0046279C" w:rsidRPr="00010E6E">
        <w:rPr>
          <w:rFonts w:ascii="Times New Roman" w:hAnsi="Times New Roman"/>
          <w:b/>
          <w:color w:val="000000"/>
          <w:sz w:val="24"/>
          <w:szCs w:val="24"/>
          <w:lang w:val="sq-AL"/>
        </w:rPr>
        <w:t xml:space="preserve"> </w:t>
      </w:r>
      <w:r w:rsidRPr="00010E6E">
        <w:rPr>
          <w:rFonts w:ascii="Times New Roman" w:hAnsi="Times New Roman"/>
          <w:b/>
          <w:color w:val="000000"/>
          <w:sz w:val="24"/>
          <w:szCs w:val="24"/>
          <w:lang w:val="sq-AL"/>
        </w:rPr>
        <w:t>ZBATIMIN E PROJEKTLIGJIT</w:t>
      </w:r>
      <w:bookmarkEnd w:id="6"/>
      <w:r w:rsidRPr="00010E6E">
        <w:rPr>
          <w:rFonts w:ascii="Times New Roman" w:hAnsi="Times New Roman"/>
          <w:b/>
          <w:color w:val="000000"/>
          <w:sz w:val="24"/>
          <w:szCs w:val="24"/>
          <w:lang w:val="sq-AL"/>
        </w:rPr>
        <w:t xml:space="preserve"> </w:t>
      </w:r>
    </w:p>
    <w:p w14:paraId="1C048047" w14:textId="77777777" w:rsidR="00283EA6" w:rsidRPr="00010E6E" w:rsidRDefault="00283EA6" w:rsidP="00283EA6">
      <w:pPr>
        <w:pStyle w:val="Default"/>
        <w:spacing w:line="276" w:lineRule="auto"/>
        <w:jc w:val="both"/>
        <w:rPr>
          <w:rFonts w:ascii="Times New Roman" w:hAnsi="Times New Roman" w:cs="Times New Roman"/>
          <w:b/>
          <w:bCs/>
          <w:lang w:val="sq-AL"/>
        </w:rPr>
      </w:pPr>
    </w:p>
    <w:p w14:paraId="73B9D2C5" w14:textId="3F89BC72" w:rsidR="00283EA6" w:rsidRPr="00010E6E" w:rsidRDefault="00283EA6" w:rsidP="00C177F7">
      <w:pPr>
        <w:pStyle w:val="Default"/>
        <w:spacing w:line="276" w:lineRule="auto"/>
        <w:jc w:val="both"/>
        <w:rPr>
          <w:rFonts w:ascii="Times New Roman" w:eastAsia="Calibri" w:hAnsi="Times New Roman" w:cs="Times New Roman"/>
          <w:lang w:val="sq-AL"/>
        </w:rPr>
      </w:pPr>
      <w:r w:rsidRPr="00010E6E">
        <w:rPr>
          <w:rFonts w:ascii="Times New Roman" w:hAnsi="Times New Roman" w:cs="Times New Roman"/>
          <w:lang w:val="sq-AL"/>
        </w:rPr>
        <w:t xml:space="preserve">Institucioni </w:t>
      </w:r>
      <w:r w:rsidR="0046279C">
        <w:rPr>
          <w:rFonts w:ascii="Times New Roman" w:hAnsi="Times New Roman" w:cs="Times New Roman"/>
          <w:lang w:val="sq-AL"/>
        </w:rPr>
        <w:t>që</w:t>
      </w:r>
      <w:r w:rsidRPr="00010E6E">
        <w:rPr>
          <w:rFonts w:ascii="Times New Roman" w:hAnsi="Times New Roman" w:cs="Times New Roman"/>
          <w:lang w:val="sq-AL"/>
        </w:rPr>
        <w:t xml:space="preserve"> ngarkohet në mënyrë të drejtpërdrejt</w:t>
      </w:r>
      <w:r w:rsidR="005E498F" w:rsidRPr="00010E6E">
        <w:rPr>
          <w:rFonts w:ascii="Times New Roman" w:hAnsi="Times New Roman" w:cs="Times New Roman"/>
          <w:lang w:val="sq-AL"/>
        </w:rPr>
        <w:t>ë</w:t>
      </w:r>
      <w:r w:rsidRPr="00010E6E">
        <w:rPr>
          <w:rFonts w:ascii="Times New Roman" w:hAnsi="Times New Roman" w:cs="Times New Roman"/>
          <w:lang w:val="sq-AL"/>
        </w:rPr>
        <w:t xml:space="preserve"> </w:t>
      </w:r>
      <w:r w:rsidR="0046279C">
        <w:rPr>
          <w:rFonts w:ascii="Times New Roman" w:hAnsi="Times New Roman" w:cs="Times New Roman"/>
          <w:lang w:val="sq-AL"/>
        </w:rPr>
        <w:t>me</w:t>
      </w:r>
      <w:r w:rsidR="0046279C" w:rsidRPr="00010E6E">
        <w:rPr>
          <w:rFonts w:ascii="Times New Roman" w:hAnsi="Times New Roman" w:cs="Times New Roman"/>
          <w:lang w:val="sq-AL"/>
        </w:rPr>
        <w:t xml:space="preserve"> </w:t>
      </w:r>
      <w:r w:rsidRPr="00010E6E">
        <w:rPr>
          <w:rFonts w:ascii="Times New Roman" w:hAnsi="Times New Roman" w:cs="Times New Roman"/>
          <w:lang w:val="sq-AL"/>
        </w:rPr>
        <w:t>zbatimin e këtij projektligji është Banka e Shqipërisë</w:t>
      </w:r>
      <w:r w:rsidR="0046279C">
        <w:rPr>
          <w:rFonts w:ascii="Times New Roman" w:hAnsi="Times New Roman" w:cs="Times New Roman"/>
          <w:lang w:val="sq-AL"/>
        </w:rPr>
        <w:t>,</w:t>
      </w:r>
      <w:r w:rsidRPr="00010E6E">
        <w:rPr>
          <w:rFonts w:ascii="Times New Roman" w:hAnsi="Times New Roman" w:cs="Times New Roman"/>
          <w:lang w:val="sq-AL"/>
        </w:rPr>
        <w:t xml:space="preserve"> e cila ngarkohet </w:t>
      </w:r>
      <w:r w:rsidR="005E498F" w:rsidRPr="00010E6E">
        <w:rPr>
          <w:rFonts w:ascii="Times New Roman" w:hAnsi="Times New Roman" w:cs="Times New Roman"/>
          <w:lang w:val="sq-AL"/>
        </w:rPr>
        <w:t>të nxjerrë aktet e nevojshme nënligjore në zbatim të tij</w:t>
      </w:r>
      <w:r w:rsidR="0018540B" w:rsidRPr="00010E6E">
        <w:rPr>
          <w:rFonts w:ascii="Times New Roman" w:hAnsi="Times New Roman" w:cs="Times New Roman"/>
          <w:lang w:val="sq-AL"/>
        </w:rPr>
        <w:t xml:space="preserve">. </w:t>
      </w:r>
      <w:r w:rsidR="005E498F" w:rsidRPr="00010E6E">
        <w:rPr>
          <w:rFonts w:ascii="Times New Roman" w:hAnsi="Times New Roman" w:cs="Times New Roman"/>
          <w:lang w:val="sq-AL"/>
        </w:rPr>
        <w:t xml:space="preserve"> </w:t>
      </w:r>
    </w:p>
    <w:p w14:paraId="03A6B1C4" w14:textId="77777777" w:rsidR="00283EA6" w:rsidRPr="00010E6E" w:rsidRDefault="00283EA6" w:rsidP="00283EA6">
      <w:pPr>
        <w:pStyle w:val="Default"/>
        <w:spacing w:line="276" w:lineRule="auto"/>
        <w:jc w:val="both"/>
        <w:rPr>
          <w:rFonts w:ascii="Times New Roman" w:eastAsia="Times New Roman" w:hAnsi="Times New Roman" w:cs="Times New Roman"/>
          <w:b/>
          <w:lang w:val="sq-AL"/>
        </w:rPr>
      </w:pPr>
    </w:p>
    <w:p w14:paraId="2CFE4B86" w14:textId="77777777" w:rsidR="00283EA6" w:rsidRPr="00010E6E" w:rsidRDefault="00283EA6" w:rsidP="004E2752">
      <w:pPr>
        <w:pStyle w:val="Default"/>
        <w:numPr>
          <w:ilvl w:val="0"/>
          <w:numId w:val="19"/>
        </w:numPr>
        <w:spacing w:line="276" w:lineRule="auto"/>
        <w:jc w:val="both"/>
        <w:rPr>
          <w:rStyle w:val="Heading1Char"/>
          <w:rFonts w:ascii="Times New Roman" w:eastAsia="MS Mincho" w:hAnsi="Times New Roman" w:cs="Times New Roman"/>
          <w:b/>
          <w:color w:val="000000"/>
          <w:sz w:val="24"/>
          <w:szCs w:val="24"/>
          <w:lang w:val="sq-AL"/>
        </w:rPr>
      </w:pPr>
      <w:bookmarkStart w:id="7" w:name="_Toc511995011"/>
      <w:r w:rsidRPr="00010E6E">
        <w:rPr>
          <w:rStyle w:val="Heading1Char"/>
          <w:rFonts w:ascii="Times New Roman" w:eastAsia="MS Mincho" w:hAnsi="Times New Roman" w:cs="Times New Roman"/>
          <w:b/>
          <w:color w:val="000000"/>
          <w:sz w:val="24"/>
          <w:szCs w:val="24"/>
          <w:lang w:val="sq-AL"/>
        </w:rPr>
        <w:t>PERSONAT DHE INSTITUCIONET QË KANË KONTRIBUAR NË HARTIMIN E PROJEKTLIGJIT</w:t>
      </w:r>
      <w:bookmarkEnd w:id="7"/>
      <w:r w:rsidRPr="00010E6E">
        <w:rPr>
          <w:rStyle w:val="Heading1Char"/>
          <w:rFonts w:ascii="Times New Roman" w:eastAsia="MS Mincho" w:hAnsi="Times New Roman" w:cs="Times New Roman"/>
          <w:b/>
          <w:color w:val="000000"/>
          <w:sz w:val="24"/>
          <w:szCs w:val="24"/>
          <w:lang w:val="sq-AL"/>
        </w:rPr>
        <w:t xml:space="preserve"> </w:t>
      </w:r>
    </w:p>
    <w:p w14:paraId="32A42AAC" w14:textId="77777777" w:rsidR="006F2B09" w:rsidRPr="00010E6E" w:rsidRDefault="006F2B09" w:rsidP="000627FC">
      <w:pPr>
        <w:jc w:val="both"/>
        <w:rPr>
          <w:b/>
          <w:lang w:val="sq-AL"/>
        </w:rPr>
      </w:pPr>
    </w:p>
    <w:p w14:paraId="5F05DDE7" w14:textId="3A0E2491" w:rsidR="00283EA6" w:rsidRDefault="00283EA6" w:rsidP="00283EA6">
      <w:pPr>
        <w:spacing w:line="276" w:lineRule="auto"/>
        <w:jc w:val="both"/>
        <w:rPr>
          <w:lang w:val="sq-AL"/>
        </w:rPr>
      </w:pPr>
      <w:r w:rsidRPr="00010E6E">
        <w:rPr>
          <w:lang w:val="sq-AL"/>
        </w:rPr>
        <w:t xml:space="preserve">Projektligji është hartuar nga një grup i posaçëm pune, i krijuar në Bankën e Shqipërisë, në bashkëpunim me ekspertë </w:t>
      </w:r>
      <w:r w:rsidR="00A73195" w:rsidRPr="00010E6E">
        <w:rPr>
          <w:lang w:val="sq-AL"/>
        </w:rPr>
        <w:t>të Bankës Qendrore të Italisë dhe Bankë</w:t>
      </w:r>
      <w:r w:rsidR="009B4B64" w:rsidRPr="00010E6E">
        <w:rPr>
          <w:lang w:val="sq-AL"/>
        </w:rPr>
        <w:t>s</w:t>
      </w:r>
      <w:r w:rsidR="00A73195" w:rsidRPr="00010E6E">
        <w:rPr>
          <w:lang w:val="sq-AL"/>
        </w:rPr>
        <w:t xml:space="preserve"> Botërore</w:t>
      </w:r>
      <w:r w:rsidRPr="00010E6E">
        <w:rPr>
          <w:lang w:val="sq-AL"/>
        </w:rPr>
        <w:t>. Projekti është diskutuar gjerësisht me përfaqësues të bankave</w:t>
      </w:r>
      <w:r w:rsidR="0018540B" w:rsidRPr="00010E6E">
        <w:rPr>
          <w:lang w:val="sq-AL"/>
        </w:rPr>
        <w:t>, subjekteve jobanka, shoqëritë e kursim</w:t>
      </w:r>
      <w:r w:rsidR="0046279C">
        <w:rPr>
          <w:lang w:val="sq-AL"/>
        </w:rPr>
        <w:t>-</w:t>
      </w:r>
      <w:r w:rsidR="0018540B" w:rsidRPr="00010E6E">
        <w:rPr>
          <w:lang w:val="sq-AL"/>
        </w:rPr>
        <w:t>kreditit dhe aktorë të tjerë të tregut</w:t>
      </w:r>
      <w:r w:rsidRPr="00010E6E">
        <w:rPr>
          <w:lang w:val="sq-AL"/>
        </w:rPr>
        <w:t xml:space="preserve">. </w:t>
      </w:r>
    </w:p>
    <w:p w14:paraId="05B86C9E" w14:textId="77777777" w:rsidR="00D715FC" w:rsidRDefault="00D715FC" w:rsidP="00283EA6">
      <w:pPr>
        <w:spacing w:line="276" w:lineRule="auto"/>
        <w:jc w:val="both"/>
        <w:rPr>
          <w:lang w:val="sq-AL"/>
        </w:rPr>
      </w:pPr>
    </w:p>
    <w:p w14:paraId="1599C1D8" w14:textId="67C93FEA" w:rsidR="00D715FC" w:rsidRPr="00D715FC" w:rsidRDefault="00D715FC" w:rsidP="00D715FC">
      <w:pPr>
        <w:jc w:val="both"/>
        <w:rPr>
          <w:rFonts w:eastAsia="Times New Roman"/>
          <w:i/>
          <w:lang w:val="sq-AL" w:eastAsia="en-GB"/>
        </w:rPr>
      </w:pPr>
      <w:r w:rsidRPr="00D715FC">
        <w:rPr>
          <w:rFonts w:eastAsia="Times New Roman"/>
          <w:i/>
          <w:lang w:val="sq-AL" w:eastAsia="en-GB"/>
        </w:rPr>
        <w:lastRenderedPageBreak/>
        <w:t xml:space="preserve">Sugjerime </w:t>
      </w:r>
      <w:r>
        <w:rPr>
          <w:rFonts w:eastAsia="Times New Roman"/>
          <w:i/>
          <w:lang w:val="sq-AL" w:eastAsia="en-GB"/>
        </w:rPr>
        <w:t xml:space="preserve">në vijim </w:t>
      </w:r>
      <w:r w:rsidRPr="00D715FC">
        <w:rPr>
          <w:rFonts w:eastAsia="Times New Roman"/>
          <w:i/>
          <w:lang w:val="sq-AL" w:eastAsia="en-GB"/>
        </w:rPr>
        <w:t>të asistencës për pajtueshmëri</w:t>
      </w:r>
      <w:r>
        <w:rPr>
          <w:rFonts w:eastAsia="Times New Roman"/>
          <w:i/>
          <w:lang w:val="sq-AL" w:eastAsia="en-GB"/>
        </w:rPr>
        <w:t>në</w:t>
      </w:r>
      <w:r w:rsidRPr="00D715FC">
        <w:rPr>
          <w:rFonts w:eastAsia="Times New Roman"/>
          <w:i/>
          <w:lang w:val="sq-AL" w:eastAsia="en-GB"/>
        </w:rPr>
        <w:t xml:space="preserve"> me direktivën</w:t>
      </w:r>
      <w:r>
        <w:rPr>
          <w:rFonts w:eastAsia="Times New Roman"/>
          <w:i/>
          <w:lang w:val="sq-AL" w:eastAsia="en-GB"/>
        </w:rPr>
        <w:t xml:space="preserve"> dhe praktikat më të mira</w:t>
      </w:r>
      <w:r w:rsidRPr="00D715FC">
        <w:rPr>
          <w:rFonts w:eastAsia="Times New Roman"/>
          <w:i/>
          <w:lang w:val="sq-AL" w:eastAsia="en-GB"/>
        </w:rPr>
        <w:t>:</w:t>
      </w:r>
    </w:p>
    <w:p w14:paraId="14E0C990" w14:textId="33A4C734" w:rsidR="00D715FC" w:rsidRPr="00010E6E" w:rsidRDefault="00D715FC" w:rsidP="00D715FC">
      <w:pPr>
        <w:spacing w:before="120"/>
        <w:jc w:val="both"/>
        <w:rPr>
          <w:rFonts w:eastAsia="Times New Roman"/>
          <w:lang w:val="sq-AL" w:eastAsia="en-GB"/>
        </w:rPr>
      </w:pPr>
      <w:r>
        <w:rPr>
          <w:rFonts w:eastAsia="Times New Roman"/>
          <w:lang w:val="sq-AL" w:eastAsia="en-GB"/>
        </w:rPr>
        <w:t xml:space="preserve">Projektiligji i propozuar mundohet të akomodojë edhe nevojat për shtrirje gjithëpërfshirëse të sistemit bankar dhe atij financiar në të gjithë territorin e Republikës së Shqipërisë, me qëllim nxitjen e përfshirjes financiare duke lejuar edhe Bankat të operojnë me agjentë, në një linjë e si trajtim i barabartë me këtë të drejtë të institucioneve financiare jobanka dhe institucionet e parasë elektronike. Në këtë kuadër asistenca ndërkombëtare ka sugjeruar edhe heqjen e marrëdhënies ekskluzive të agjentëve </w:t>
      </w:r>
      <w:r w:rsidRPr="00D715FC">
        <w:rPr>
          <w:rFonts w:eastAsia="Times New Roman"/>
          <w:i/>
          <w:lang w:val="sq-AL" w:eastAsia="en-GB"/>
        </w:rPr>
        <w:t xml:space="preserve">(parashikuar në </w:t>
      </w:r>
      <w:r w:rsidR="0098026E">
        <w:rPr>
          <w:rFonts w:eastAsia="Times New Roman"/>
          <w:i/>
          <w:lang w:val="sq-AL" w:eastAsia="en-GB"/>
        </w:rPr>
        <w:t>nenin 951 t</w:t>
      </w:r>
      <w:r w:rsidR="0098026E" w:rsidRPr="00D715FC">
        <w:rPr>
          <w:rFonts w:eastAsia="Times New Roman"/>
          <w:i/>
          <w:lang w:val="sq-AL" w:eastAsia="en-GB"/>
        </w:rPr>
        <w:t>ë</w:t>
      </w:r>
      <w:r w:rsidR="0098026E">
        <w:rPr>
          <w:rFonts w:eastAsia="Times New Roman"/>
          <w:i/>
          <w:lang w:val="sq-AL" w:eastAsia="en-GB"/>
        </w:rPr>
        <w:t xml:space="preserve"> </w:t>
      </w:r>
      <w:r w:rsidR="0098026E" w:rsidRPr="00D715FC">
        <w:rPr>
          <w:rFonts w:eastAsia="Times New Roman"/>
          <w:i/>
          <w:lang w:val="sq-AL" w:eastAsia="en-GB"/>
        </w:rPr>
        <w:t>Kodi</w:t>
      </w:r>
      <w:r w:rsidR="0098026E">
        <w:rPr>
          <w:rFonts w:eastAsia="Times New Roman"/>
          <w:i/>
          <w:lang w:val="sq-AL" w:eastAsia="en-GB"/>
        </w:rPr>
        <w:t>t</w:t>
      </w:r>
      <w:r w:rsidR="0098026E" w:rsidRPr="00D715FC">
        <w:rPr>
          <w:rFonts w:eastAsia="Times New Roman"/>
          <w:i/>
          <w:lang w:val="sq-AL" w:eastAsia="en-GB"/>
        </w:rPr>
        <w:t xml:space="preserve"> </w:t>
      </w:r>
      <w:r w:rsidRPr="00D715FC">
        <w:rPr>
          <w:rFonts w:eastAsia="Times New Roman"/>
          <w:i/>
          <w:lang w:val="sq-AL" w:eastAsia="en-GB"/>
        </w:rPr>
        <w:t>Civil të Republikës së Shqipërisë)</w:t>
      </w:r>
      <w:r>
        <w:rPr>
          <w:rFonts w:eastAsia="Times New Roman"/>
          <w:lang w:val="sq-AL" w:eastAsia="en-GB"/>
        </w:rPr>
        <w:t xml:space="preserve"> me qëllim nxitjen e konkurrencës në tregun e shërbimeve të pagesave.</w:t>
      </w:r>
    </w:p>
    <w:p w14:paraId="0EA14D2B" w14:textId="77777777" w:rsidR="00D715FC" w:rsidRDefault="00D715FC" w:rsidP="00D715FC">
      <w:pPr>
        <w:jc w:val="both"/>
        <w:rPr>
          <w:rFonts w:eastAsia="Times New Roman"/>
          <w:lang w:val="sq-AL" w:eastAsia="en-GB"/>
        </w:rPr>
      </w:pPr>
    </w:p>
    <w:p w14:paraId="7F1EC373" w14:textId="537AEF21" w:rsidR="00283EA6" w:rsidRPr="00D715FC" w:rsidRDefault="00D715FC" w:rsidP="00D715FC">
      <w:pPr>
        <w:jc w:val="both"/>
      </w:pPr>
      <w:r>
        <w:rPr>
          <w:rFonts w:eastAsia="Calibri"/>
          <w:color w:val="1A171C"/>
          <w:lang w:val="sq-AL" w:eastAsia="sq-AL" w:bidi="sq-AL"/>
        </w:rPr>
        <w:t>Projektligji me qëllim përputhshmërinë me kuadrin ligjor në fuqi (</w:t>
      </w:r>
      <w:r>
        <w:rPr>
          <w:rFonts w:eastAsia="Times New Roman"/>
          <w:lang w:val="sq-AL" w:eastAsia="en-GB"/>
        </w:rPr>
        <w:t>Kodi Civil i Republikës së Shqipërisë</w:t>
      </w:r>
      <w:r>
        <w:rPr>
          <w:rFonts w:eastAsia="Calibri"/>
          <w:color w:val="1A171C"/>
          <w:lang w:val="sq-AL" w:eastAsia="sq-AL" w:bidi="sq-AL"/>
        </w:rPr>
        <w:t xml:space="preserve">) ka devijuar nga praktika e </w:t>
      </w:r>
      <w:r w:rsidRPr="00010E6E">
        <w:rPr>
          <w:lang w:val="sq-AL"/>
        </w:rPr>
        <w:t>Direktivë</w:t>
      </w:r>
      <w:r>
        <w:rPr>
          <w:lang w:val="sq-AL"/>
        </w:rPr>
        <w:t>s</w:t>
      </w:r>
      <w:r w:rsidRPr="00010E6E">
        <w:rPr>
          <w:lang w:val="sq-AL"/>
        </w:rPr>
        <w:t xml:space="preserve"> 2015/2366 BE </w:t>
      </w:r>
      <w:r>
        <w:rPr>
          <w:rFonts w:eastAsia="Calibri"/>
          <w:color w:val="1A171C"/>
          <w:lang w:val="sq-AL" w:eastAsia="sq-AL" w:bidi="sq-AL"/>
        </w:rPr>
        <w:t xml:space="preserve">të cilën synon të përafrojë në lidhje me afatin për ngritjen e një pretendimi nga përdoruesi i shërbimin në lidhje me </w:t>
      </w:r>
      <w:r w:rsidRPr="00A63256">
        <w:rPr>
          <w:rFonts w:eastAsia="Calibri"/>
          <w:color w:val="1A171C"/>
          <w:lang w:val="sq-AL" w:eastAsia="sq-AL" w:bidi="sq-AL"/>
        </w:rPr>
        <w:t xml:space="preserve">transaksion pagese të paautorizuar ose të ekzekutuar gabimisht </w:t>
      </w:r>
      <w:r w:rsidRPr="00D715FC">
        <w:rPr>
          <w:rFonts w:eastAsia="Calibri"/>
          <w:i/>
          <w:color w:val="1A171C"/>
          <w:lang w:val="sq-AL" w:eastAsia="sq-AL" w:bidi="sq-AL"/>
        </w:rPr>
        <w:t xml:space="preserve">(konkretisht </w:t>
      </w:r>
      <w:r w:rsidR="00AC6377">
        <w:rPr>
          <w:rFonts w:eastAsia="Calibri"/>
          <w:i/>
          <w:color w:val="1A171C"/>
          <w:lang w:val="sq-AL" w:eastAsia="sq-AL" w:bidi="sq-AL"/>
        </w:rPr>
        <w:t xml:space="preserve">neni 1022 i </w:t>
      </w:r>
      <w:r w:rsidRPr="00D715FC">
        <w:rPr>
          <w:rFonts w:eastAsia="Calibri"/>
          <w:i/>
          <w:color w:val="1A171C"/>
          <w:lang w:val="sq-AL" w:eastAsia="sq-AL" w:bidi="sq-AL"/>
        </w:rPr>
        <w:t>Kodi</w:t>
      </w:r>
      <w:r w:rsidR="00AC6377">
        <w:rPr>
          <w:rFonts w:eastAsia="Calibri"/>
          <w:i/>
          <w:color w:val="1A171C"/>
          <w:lang w:val="sq-AL" w:eastAsia="sq-AL" w:bidi="sq-AL"/>
        </w:rPr>
        <w:t>t</w:t>
      </w:r>
      <w:r w:rsidRPr="00D715FC">
        <w:rPr>
          <w:rFonts w:eastAsia="Calibri"/>
          <w:i/>
          <w:color w:val="1A171C"/>
          <w:lang w:val="sq-AL" w:eastAsia="sq-AL" w:bidi="sq-AL"/>
        </w:rPr>
        <w:t xml:space="preserve"> Civil </w:t>
      </w:r>
      <w:r w:rsidR="0098026E">
        <w:rPr>
          <w:rFonts w:eastAsia="Calibri"/>
          <w:i/>
          <w:color w:val="1A171C"/>
          <w:lang w:val="sq-AL" w:eastAsia="sq-AL" w:bidi="sq-AL"/>
        </w:rPr>
        <w:t xml:space="preserve">i </w:t>
      </w:r>
      <w:r w:rsidR="0098026E" w:rsidRPr="00D715FC">
        <w:rPr>
          <w:rFonts w:eastAsia="Times New Roman"/>
          <w:i/>
          <w:lang w:val="sq-AL" w:eastAsia="en-GB"/>
        </w:rPr>
        <w:t>Republikës së Shqipërisë</w:t>
      </w:r>
      <w:r w:rsidR="0098026E" w:rsidRPr="00D715FC">
        <w:rPr>
          <w:rFonts w:eastAsia="Calibri"/>
          <w:i/>
          <w:color w:val="1A171C"/>
          <w:lang w:val="sq-AL" w:eastAsia="sq-AL" w:bidi="sq-AL"/>
        </w:rPr>
        <w:t xml:space="preserve"> </w:t>
      </w:r>
      <w:r w:rsidRPr="00D715FC">
        <w:rPr>
          <w:rFonts w:eastAsia="Calibri"/>
          <w:i/>
          <w:color w:val="1A171C"/>
          <w:lang w:val="sq-AL" w:eastAsia="sq-AL" w:bidi="sq-AL"/>
        </w:rPr>
        <w:t>parashikon 6 (gjashtë) muaj ndërkohë direktiva parashikon 13 (trembëdhjetë) muaj pas datës së debitimit</w:t>
      </w:r>
      <w:r>
        <w:rPr>
          <w:rFonts w:eastAsia="Calibri"/>
          <w:i/>
          <w:color w:val="1A171C"/>
          <w:lang w:val="sq-AL" w:eastAsia="sq-AL" w:bidi="sq-AL"/>
        </w:rPr>
        <w:t>)</w:t>
      </w:r>
      <w:r w:rsidRPr="00D715FC">
        <w:rPr>
          <w:rFonts w:eastAsia="Calibri"/>
          <w:i/>
          <w:color w:val="1A171C"/>
          <w:lang w:val="sq-AL" w:eastAsia="sq-AL" w:bidi="sq-AL"/>
        </w:rPr>
        <w:t>.</w:t>
      </w:r>
      <w:r w:rsidRPr="00A63256">
        <w:rPr>
          <w:rFonts w:eastAsia="Calibri"/>
          <w:color w:val="1A171C"/>
          <w:lang w:val="sq-AL" w:eastAsia="sq-AL" w:bidi="sq-AL"/>
        </w:rPr>
        <w:t xml:space="preserve"> </w:t>
      </w:r>
    </w:p>
    <w:p w14:paraId="75EE0368" w14:textId="77777777" w:rsidR="00103EFC" w:rsidRPr="00010E6E" w:rsidRDefault="00103EFC" w:rsidP="00283EA6">
      <w:pPr>
        <w:spacing w:line="276" w:lineRule="auto"/>
        <w:jc w:val="both"/>
        <w:rPr>
          <w:lang w:val="sq-AL"/>
        </w:rPr>
      </w:pPr>
    </w:p>
    <w:p w14:paraId="4705966E" w14:textId="77777777" w:rsidR="00103EFC" w:rsidRPr="00010E6E" w:rsidRDefault="00103EFC" w:rsidP="004E2752">
      <w:pPr>
        <w:numPr>
          <w:ilvl w:val="0"/>
          <w:numId w:val="19"/>
        </w:numPr>
        <w:jc w:val="both"/>
        <w:rPr>
          <w:rFonts w:eastAsia="Times New Roman"/>
          <w:b/>
          <w:lang w:val="sq-AL" w:eastAsia="en-GB"/>
        </w:rPr>
      </w:pPr>
      <w:bookmarkStart w:id="8" w:name="_Toc511995012"/>
      <w:r w:rsidRPr="00010E6E">
        <w:rPr>
          <w:rStyle w:val="Heading1Char"/>
          <w:rFonts w:ascii="Times New Roman" w:eastAsia="MS Mincho" w:hAnsi="Times New Roman"/>
          <w:b/>
          <w:color w:val="000000"/>
          <w:sz w:val="24"/>
          <w:szCs w:val="24"/>
          <w:lang w:val="sq-AL"/>
        </w:rPr>
        <w:t>RAPORTI I VLERËSIMIT TË TË ARDHURAVE DHE SHPENZIMEVE BUXHETORE</w:t>
      </w:r>
      <w:bookmarkEnd w:id="8"/>
    </w:p>
    <w:p w14:paraId="3C68D84C" w14:textId="77777777" w:rsidR="00103EFC" w:rsidRPr="00010E6E" w:rsidRDefault="00103EFC" w:rsidP="00103EFC">
      <w:pPr>
        <w:spacing w:line="276" w:lineRule="auto"/>
        <w:contextualSpacing/>
        <w:jc w:val="both"/>
        <w:rPr>
          <w:b/>
          <w:bCs/>
          <w:lang w:val="sq-AL"/>
        </w:rPr>
      </w:pPr>
    </w:p>
    <w:p w14:paraId="1D3EA963" w14:textId="171B636F" w:rsidR="00103EFC" w:rsidRPr="00010E6E" w:rsidRDefault="00103EFC" w:rsidP="007B2372">
      <w:pPr>
        <w:jc w:val="both"/>
        <w:rPr>
          <w:rFonts w:eastAsia="Times New Roman"/>
          <w:lang w:val="sq-AL" w:eastAsia="en-GB"/>
        </w:rPr>
      </w:pPr>
      <w:r w:rsidRPr="00010E6E">
        <w:rPr>
          <w:rFonts w:eastAsia="Times New Roman"/>
          <w:lang w:val="sq-AL" w:eastAsia="en-GB"/>
        </w:rPr>
        <w:t xml:space="preserve">Miratimi i këtij projektligji nuk sjell efekte financiare </w:t>
      </w:r>
      <w:r w:rsidR="007B2372" w:rsidRPr="00010E6E">
        <w:rPr>
          <w:rFonts w:eastAsia="Times New Roman"/>
          <w:lang w:val="sq-AL" w:eastAsia="en-GB"/>
        </w:rPr>
        <w:t>n</w:t>
      </w:r>
      <w:r w:rsidRPr="00010E6E">
        <w:rPr>
          <w:rFonts w:eastAsia="Times New Roman"/>
          <w:lang w:val="sq-AL" w:eastAsia="en-GB"/>
        </w:rPr>
        <w:t xml:space="preserve">ë buxhetin e shtetit. </w:t>
      </w:r>
    </w:p>
    <w:p w14:paraId="07F50346" w14:textId="77777777" w:rsidR="00103EFC" w:rsidRPr="00010E6E" w:rsidRDefault="00103EFC" w:rsidP="00103EFC">
      <w:pPr>
        <w:spacing w:line="276" w:lineRule="auto"/>
        <w:contextualSpacing/>
        <w:jc w:val="both"/>
        <w:rPr>
          <w:b/>
          <w:bCs/>
          <w:lang w:val="sq-AL"/>
        </w:rPr>
      </w:pPr>
    </w:p>
    <w:p w14:paraId="5D8B52C5" w14:textId="77777777" w:rsidR="00103EFC" w:rsidRPr="00010E6E" w:rsidRDefault="00103EFC" w:rsidP="004E2752">
      <w:pPr>
        <w:numPr>
          <w:ilvl w:val="0"/>
          <w:numId w:val="19"/>
        </w:numPr>
        <w:spacing w:line="276" w:lineRule="auto"/>
        <w:contextualSpacing/>
        <w:jc w:val="both"/>
        <w:rPr>
          <w:rStyle w:val="Heading1Char"/>
          <w:rFonts w:ascii="Times New Roman" w:eastAsia="MS Mincho" w:hAnsi="Times New Roman"/>
          <w:b/>
          <w:color w:val="000000"/>
          <w:sz w:val="24"/>
          <w:szCs w:val="24"/>
          <w:lang w:val="sq-AL"/>
        </w:rPr>
      </w:pPr>
      <w:bookmarkStart w:id="9" w:name="_Toc511995013"/>
      <w:r w:rsidRPr="00010E6E">
        <w:rPr>
          <w:rStyle w:val="Heading1Char"/>
          <w:rFonts w:ascii="Times New Roman" w:eastAsia="MS Mincho" w:hAnsi="Times New Roman"/>
          <w:b/>
          <w:color w:val="000000"/>
          <w:sz w:val="24"/>
          <w:szCs w:val="24"/>
          <w:lang w:val="sq-AL"/>
        </w:rPr>
        <w:t>KOMENTET E MINISTRIVE, INSTITUCIONEVE DHE SUBJEKTEVE TË TJERA</w:t>
      </w:r>
      <w:bookmarkEnd w:id="9"/>
    </w:p>
    <w:p w14:paraId="03623F1D" w14:textId="77777777" w:rsidR="00784E10" w:rsidRPr="00010E6E" w:rsidRDefault="00784E10" w:rsidP="008A31F1">
      <w:pPr>
        <w:spacing w:line="276" w:lineRule="auto"/>
        <w:ind w:left="720"/>
        <w:contextualSpacing/>
        <w:jc w:val="both"/>
        <w:rPr>
          <w:rStyle w:val="Heading1Char"/>
          <w:rFonts w:ascii="Times New Roman" w:eastAsia="MS Mincho" w:hAnsi="Times New Roman"/>
          <w:b/>
          <w:color w:val="000000"/>
          <w:sz w:val="24"/>
          <w:szCs w:val="24"/>
          <w:lang w:val="sq-AL"/>
        </w:rPr>
      </w:pPr>
    </w:p>
    <w:p w14:paraId="6B1BF454" w14:textId="4D76E0FD" w:rsidR="00784E10" w:rsidRPr="00010E6E" w:rsidRDefault="00784E10" w:rsidP="008A31F1">
      <w:pPr>
        <w:spacing w:line="276" w:lineRule="auto"/>
        <w:contextualSpacing/>
        <w:jc w:val="both"/>
        <w:rPr>
          <w:rStyle w:val="Heading1Char"/>
          <w:rFonts w:ascii="Times New Roman" w:eastAsia="MS Mincho" w:hAnsi="Times New Roman"/>
          <w:color w:val="000000"/>
          <w:sz w:val="24"/>
          <w:szCs w:val="24"/>
          <w:lang w:val="sq-AL"/>
        </w:rPr>
      </w:pPr>
      <w:r w:rsidRPr="00010E6E">
        <w:rPr>
          <w:rStyle w:val="Heading1Char"/>
          <w:rFonts w:ascii="Times New Roman" w:eastAsia="MS Mincho" w:hAnsi="Times New Roman"/>
          <w:color w:val="000000"/>
          <w:sz w:val="24"/>
          <w:szCs w:val="24"/>
          <w:lang w:val="sq-AL"/>
        </w:rPr>
        <w:t>Pas finalizimit të projektligjit</w:t>
      </w:r>
      <w:r w:rsidR="00272EC5" w:rsidRPr="00010E6E">
        <w:rPr>
          <w:rStyle w:val="Heading1Char"/>
          <w:rFonts w:ascii="Times New Roman" w:eastAsia="MS Mincho" w:hAnsi="Times New Roman"/>
          <w:color w:val="000000"/>
          <w:sz w:val="24"/>
          <w:szCs w:val="24"/>
          <w:lang w:val="sq-AL"/>
        </w:rPr>
        <w:t>,</w:t>
      </w:r>
      <w:r w:rsidRPr="00010E6E">
        <w:rPr>
          <w:rStyle w:val="Heading1Char"/>
          <w:rFonts w:ascii="Times New Roman" w:eastAsia="MS Mincho" w:hAnsi="Times New Roman"/>
          <w:color w:val="000000"/>
          <w:sz w:val="24"/>
          <w:szCs w:val="24"/>
          <w:lang w:val="sq-AL"/>
        </w:rPr>
        <w:t xml:space="preserve"> </w:t>
      </w:r>
      <w:r w:rsidR="00272EC5" w:rsidRPr="00010E6E">
        <w:rPr>
          <w:rStyle w:val="Heading1Char"/>
          <w:rFonts w:ascii="Times New Roman" w:eastAsia="MS Mincho" w:hAnsi="Times New Roman"/>
          <w:color w:val="000000"/>
          <w:sz w:val="24"/>
          <w:szCs w:val="24"/>
          <w:lang w:val="sq-AL"/>
        </w:rPr>
        <w:t xml:space="preserve">Banka e Shqipërisë ka publikuar në faqen e saj zyrtare për konsultim publik dokumentin. </w:t>
      </w:r>
      <w:r w:rsidR="009773AF" w:rsidRPr="00010E6E">
        <w:rPr>
          <w:rStyle w:val="Heading1Char"/>
          <w:rFonts w:ascii="Times New Roman" w:eastAsia="MS Mincho" w:hAnsi="Times New Roman"/>
          <w:color w:val="000000"/>
          <w:sz w:val="24"/>
          <w:szCs w:val="24"/>
          <w:lang w:val="sq-AL"/>
        </w:rPr>
        <w:t>Gjithashtu, projektligji është dërguar për opini</w:t>
      </w:r>
      <w:r w:rsidR="009818B6" w:rsidRPr="00010E6E">
        <w:rPr>
          <w:rStyle w:val="Heading1Char"/>
          <w:rFonts w:ascii="Times New Roman" w:eastAsia="MS Mincho" w:hAnsi="Times New Roman"/>
          <w:color w:val="000000"/>
          <w:sz w:val="24"/>
          <w:szCs w:val="24"/>
          <w:lang w:val="sq-AL"/>
        </w:rPr>
        <w:t>o</w:t>
      </w:r>
      <w:r w:rsidR="009773AF" w:rsidRPr="00010E6E">
        <w:rPr>
          <w:rStyle w:val="Heading1Char"/>
          <w:rFonts w:ascii="Times New Roman" w:eastAsia="MS Mincho" w:hAnsi="Times New Roman"/>
          <w:color w:val="000000"/>
          <w:sz w:val="24"/>
          <w:szCs w:val="24"/>
          <w:lang w:val="sq-AL"/>
        </w:rPr>
        <w:t xml:space="preserve">n pranë bankave, institucioneve financiare </w:t>
      </w:r>
      <w:r w:rsidR="009818B6" w:rsidRPr="00010E6E">
        <w:rPr>
          <w:rStyle w:val="Heading1Char"/>
          <w:rFonts w:ascii="Times New Roman" w:eastAsia="MS Mincho" w:hAnsi="Times New Roman"/>
          <w:color w:val="000000"/>
          <w:sz w:val="24"/>
          <w:szCs w:val="24"/>
          <w:lang w:val="sq-AL"/>
        </w:rPr>
        <w:t xml:space="preserve">jobanka, </w:t>
      </w:r>
      <w:r w:rsidR="005634E1" w:rsidRPr="00010E6E">
        <w:rPr>
          <w:rStyle w:val="Heading1Char"/>
          <w:rFonts w:ascii="Times New Roman" w:eastAsia="MS Mincho" w:hAnsi="Times New Roman"/>
          <w:color w:val="000000"/>
          <w:sz w:val="24"/>
          <w:szCs w:val="24"/>
          <w:lang w:val="sq-AL"/>
        </w:rPr>
        <w:t>s</w:t>
      </w:r>
      <w:r w:rsidR="009818B6" w:rsidRPr="00010E6E">
        <w:rPr>
          <w:rStyle w:val="Heading1Char"/>
          <w:rFonts w:ascii="Times New Roman" w:eastAsia="MS Mincho" w:hAnsi="Times New Roman"/>
          <w:color w:val="000000"/>
          <w:sz w:val="24"/>
          <w:szCs w:val="24"/>
          <w:lang w:val="sq-AL"/>
        </w:rPr>
        <w:t>hoqëri</w:t>
      </w:r>
      <w:r w:rsidR="005634E1" w:rsidRPr="00010E6E">
        <w:rPr>
          <w:rStyle w:val="Heading1Char"/>
          <w:rFonts w:ascii="Times New Roman" w:eastAsia="MS Mincho" w:hAnsi="Times New Roman"/>
          <w:color w:val="000000"/>
          <w:sz w:val="24"/>
          <w:szCs w:val="24"/>
          <w:lang w:val="sq-AL"/>
        </w:rPr>
        <w:t>ve</w:t>
      </w:r>
      <w:r w:rsidR="009818B6" w:rsidRPr="00010E6E">
        <w:rPr>
          <w:rStyle w:val="Heading1Char"/>
          <w:rFonts w:ascii="Times New Roman" w:eastAsia="MS Mincho" w:hAnsi="Times New Roman"/>
          <w:color w:val="000000"/>
          <w:sz w:val="24"/>
          <w:szCs w:val="24"/>
          <w:lang w:val="sq-AL"/>
        </w:rPr>
        <w:t xml:space="preserve"> </w:t>
      </w:r>
      <w:r w:rsidR="005634E1" w:rsidRPr="00010E6E">
        <w:rPr>
          <w:rStyle w:val="Heading1Char"/>
          <w:rFonts w:ascii="Times New Roman" w:eastAsia="MS Mincho" w:hAnsi="Times New Roman"/>
          <w:color w:val="000000"/>
          <w:sz w:val="24"/>
          <w:szCs w:val="24"/>
          <w:lang w:val="sq-AL"/>
        </w:rPr>
        <w:t>të</w:t>
      </w:r>
      <w:r w:rsidR="009818B6" w:rsidRPr="00010E6E">
        <w:rPr>
          <w:rStyle w:val="Heading1Char"/>
          <w:rFonts w:ascii="Times New Roman" w:eastAsia="MS Mincho" w:hAnsi="Times New Roman"/>
          <w:color w:val="000000"/>
          <w:sz w:val="24"/>
          <w:szCs w:val="24"/>
          <w:lang w:val="sq-AL"/>
        </w:rPr>
        <w:t xml:space="preserve"> </w:t>
      </w:r>
      <w:r w:rsidR="005634E1" w:rsidRPr="00010E6E">
        <w:rPr>
          <w:rStyle w:val="Heading1Char"/>
          <w:rFonts w:ascii="Times New Roman" w:eastAsia="MS Mincho" w:hAnsi="Times New Roman"/>
          <w:color w:val="000000"/>
          <w:sz w:val="24"/>
          <w:szCs w:val="24"/>
          <w:lang w:val="sq-AL"/>
        </w:rPr>
        <w:t>k</w:t>
      </w:r>
      <w:r w:rsidR="009818B6" w:rsidRPr="00010E6E">
        <w:rPr>
          <w:rStyle w:val="Heading1Char"/>
          <w:rFonts w:ascii="Times New Roman" w:eastAsia="MS Mincho" w:hAnsi="Times New Roman"/>
          <w:color w:val="000000"/>
          <w:sz w:val="24"/>
          <w:szCs w:val="24"/>
          <w:lang w:val="sq-AL"/>
        </w:rPr>
        <w:t>ursim</w:t>
      </w:r>
      <w:r w:rsidR="00C10F0D">
        <w:rPr>
          <w:rStyle w:val="Heading1Char"/>
          <w:rFonts w:ascii="Times New Roman" w:eastAsia="MS Mincho" w:hAnsi="Times New Roman"/>
          <w:color w:val="000000"/>
          <w:sz w:val="24"/>
          <w:szCs w:val="24"/>
          <w:lang w:val="sq-AL"/>
        </w:rPr>
        <w:t>-</w:t>
      </w:r>
      <w:r w:rsidR="005634E1" w:rsidRPr="00010E6E">
        <w:rPr>
          <w:rStyle w:val="Heading1Char"/>
          <w:rFonts w:ascii="Times New Roman" w:eastAsia="MS Mincho" w:hAnsi="Times New Roman"/>
          <w:color w:val="000000"/>
          <w:sz w:val="24"/>
          <w:szCs w:val="24"/>
          <w:lang w:val="sq-AL"/>
        </w:rPr>
        <w:t>k</w:t>
      </w:r>
      <w:r w:rsidR="009818B6" w:rsidRPr="00010E6E">
        <w:rPr>
          <w:rStyle w:val="Heading1Char"/>
          <w:rFonts w:ascii="Times New Roman" w:eastAsia="MS Mincho" w:hAnsi="Times New Roman"/>
          <w:color w:val="000000"/>
          <w:sz w:val="24"/>
          <w:szCs w:val="24"/>
          <w:lang w:val="sq-AL"/>
        </w:rPr>
        <w:t>reditit</w:t>
      </w:r>
      <w:r w:rsidR="005634E1" w:rsidRPr="00010E6E">
        <w:rPr>
          <w:rStyle w:val="Heading1Char"/>
          <w:rFonts w:ascii="Times New Roman" w:eastAsia="MS Mincho" w:hAnsi="Times New Roman"/>
          <w:color w:val="000000"/>
          <w:sz w:val="24"/>
          <w:szCs w:val="24"/>
          <w:lang w:val="sq-AL"/>
        </w:rPr>
        <w:t>,</w:t>
      </w:r>
      <w:r w:rsidR="009818B6" w:rsidRPr="00010E6E">
        <w:rPr>
          <w:rStyle w:val="Heading1Char"/>
          <w:rFonts w:ascii="Times New Roman" w:eastAsia="MS Mincho" w:hAnsi="Times New Roman"/>
          <w:color w:val="000000"/>
          <w:sz w:val="24"/>
          <w:szCs w:val="24"/>
          <w:lang w:val="sq-AL"/>
        </w:rPr>
        <w:t xml:space="preserve"> si dhe Operator</w:t>
      </w:r>
      <w:r w:rsidR="005634E1" w:rsidRPr="00010E6E">
        <w:rPr>
          <w:rStyle w:val="Heading1Char"/>
          <w:rFonts w:ascii="Times New Roman" w:eastAsia="MS Mincho" w:hAnsi="Times New Roman"/>
          <w:color w:val="000000"/>
          <w:sz w:val="24"/>
          <w:szCs w:val="24"/>
          <w:lang w:val="sq-AL"/>
        </w:rPr>
        <w:t>it</w:t>
      </w:r>
      <w:r w:rsidR="009818B6" w:rsidRPr="00010E6E">
        <w:rPr>
          <w:rStyle w:val="Heading1Char"/>
          <w:rFonts w:ascii="Times New Roman" w:eastAsia="MS Mincho" w:hAnsi="Times New Roman"/>
          <w:color w:val="000000"/>
          <w:sz w:val="24"/>
          <w:szCs w:val="24"/>
          <w:lang w:val="sq-AL"/>
        </w:rPr>
        <w:t xml:space="preserve"> të skem</w:t>
      </w:r>
      <w:r w:rsidR="005634E1" w:rsidRPr="00010E6E">
        <w:rPr>
          <w:rStyle w:val="Heading1Char"/>
          <w:rFonts w:ascii="Times New Roman" w:eastAsia="MS Mincho" w:hAnsi="Times New Roman"/>
          <w:color w:val="000000"/>
          <w:sz w:val="24"/>
          <w:szCs w:val="24"/>
          <w:lang w:val="sq-AL"/>
        </w:rPr>
        <w:t>ës</w:t>
      </w:r>
      <w:r w:rsidR="009818B6" w:rsidRPr="00010E6E">
        <w:rPr>
          <w:rStyle w:val="Heading1Char"/>
          <w:rFonts w:ascii="Times New Roman" w:eastAsia="MS Mincho" w:hAnsi="Times New Roman"/>
          <w:color w:val="000000"/>
          <w:sz w:val="24"/>
          <w:szCs w:val="24"/>
          <w:lang w:val="sq-AL"/>
        </w:rPr>
        <w:t xml:space="preserve"> kombëtare të pagesave me kartë. </w:t>
      </w:r>
      <w:r w:rsidR="00421469" w:rsidRPr="00010E6E">
        <w:rPr>
          <w:rStyle w:val="Heading1Char"/>
          <w:rFonts w:ascii="Times New Roman" w:eastAsia="MS Mincho" w:hAnsi="Times New Roman"/>
          <w:color w:val="000000"/>
          <w:sz w:val="24"/>
          <w:szCs w:val="24"/>
          <w:lang w:val="sq-AL"/>
        </w:rPr>
        <w:t>Komentet janë analizuar nga grupi i punës dhe aty ku është konsideruar e rëndësishme, sugjer</w:t>
      </w:r>
      <w:r w:rsidR="005634E1" w:rsidRPr="00010E6E">
        <w:rPr>
          <w:rStyle w:val="Heading1Char"/>
          <w:rFonts w:ascii="Times New Roman" w:eastAsia="MS Mincho" w:hAnsi="Times New Roman"/>
          <w:color w:val="000000"/>
          <w:sz w:val="24"/>
          <w:szCs w:val="24"/>
          <w:lang w:val="sq-AL"/>
        </w:rPr>
        <w:t>i</w:t>
      </w:r>
      <w:r w:rsidR="00421469" w:rsidRPr="00010E6E">
        <w:rPr>
          <w:rStyle w:val="Heading1Char"/>
          <w:rFonts w:ascii="Times New Roman" w:eastAsia="MS Mincho" w:hAnsi="Times New Roman"/>
          <w:color w:val="000000"/>
          <w:sz w:val="24"/>
          <w:szCs w:val="24"/>
          <w:lang w:val="sq-AL"/>
        </w:rPr>
        <w:t xml:space="preserve">met janë reflektuar në projektligj. </w:t>
      </w:r>
      <w:r w:rsidR="00C10F0D">
        <w:rPr>
          <w:rStyle w:val="Heading1Char"/>
          <w:rFonts w:ascii="Times New Roman" w:eastAsia="MS Mincho" w:hAnsi="Times New Roman"/>
          <w:color w:val="000000"/>
          <w:sz w:val="24"/>
          <w:szCs w:val="24"/>
          <w:lang w:val="sq-AL"/>
        </w:rPr>
        <w:t>K</w:t>
      </w:r>
      <w:r w:rsidR="00421469" w:rsidRPr="00010E6E">
        <w:rPr>
          <w:rStyle w:val="Heading1Char"/>
          <w:rFonts w:ascii="Times New Roman" w:eastAsia="MS Mincho" w:hAnsi="Times New Roman"/>
          <w:color w:val="000000"/>
          <w:sz w:val="24"/>
          <w:szCs w:val="24"/>
          <w:lang w:val="sq-AL"/>
        </w:rPr>
        <w:t>omente</w:t>
      </w:r>
      <w:r w:rsidR="00C10F0D">
        <w:rPr>
          <w:rStyle w:val="Heading1Char"/>
          <w:rFonts w:ascii="Times New Roman" w:eastAsia="MS Mincho" w:hAnsi="Times New Roman"/>
          <w:color w:val="000000"/>
          <w:sz w:val="24"/>
          <w:szCs w:val="24"/>
          <w:lang w:val="sq-AL"/>
        </w:rPr>
        <w:t>t</w:t>
      </w:r>
      <w:r w:rsidR="00C10F0D" w:rsidRPr="00C10F0D">
        <w:rPr>
          <w:rStyle w:val="Heading1Char"/>
          <w:rFonts w:ascii="Times New Roman" w:eastAsia="MS Mincho" w:hAnsi="Times New Roman"/>
          <w:color w:val="000000"/>
          <w:sz w:val="24"/>
          <w:szCs w:val="24"/>
          <w:lang w:val="sq-AL"/>
        </w:rPr>
        <w:t xml:space="preserve"> </w:t>
      </w:r>
      <w:r w:rsidR="00C10F0D">
        <w:rPr>
          <w:rStyle w:val="Heading1Char"/>
          <w:rFonts w:ascii="Times New Roman" w:eastAsia="MS Mincho" w:hAnsi="Times New Roman"/>
          <w:color w:val="000000"/>
          <w:sz w:val="24"/>
          <w:szCs w:val="24"/>
          <w:lang w:val="sq-AL"/>
        </w:rPr>
        <w:t xml:space="preserve">mbi </w:t>
      </w:r>
      <w:r w:rsidR="00C10F0D" w:rsidRPr="00010E6E">
        <w:rPr>
          <w:rStyle w:val="Heading1Char"/>
          <w:rFonts w:ascii="Times New Roman" w:eastAsia="MS Mincho" w:hAnsi="Times New Roman"/>
          <w:color w:val="000000"/>
          <w:sz w:val="24"/>
          <w:szCs w:val="24"/>
          <w:lang w:val="sq-AL"/>
        </w:rPr>
        <w:t>çështje</w:t>
      </w:r>
      <w:r w:rsidR="00C10F0D">
        <w:rPr>
          <w:rStyle w:val="Heading1Char"/>
          <w:rFonts w:ascii="Times New Roman" w:eastAsia="MS Mincho" w:hAnsi="Times New Roman"/>
          <w:color w:val="000000"/>
          <w:sz w:val="24"/>
          <w:szCs w:val="24"/>
          <w:lang w:val="sq-AL"/>
        </w:rPr>
        <w:t>t,</w:t>
      </w:r>
      <w:r w:rsidR="00421469" w:rsidRPr="00010E6E">
        <w:rPr>
          <w:rStyle w:val="Heading1Char"/>
          <w:rFonts w:ascii="Times New Roman" w:eastAsia="MS Mincho" w:hAnsi="Times New Roman"/>
          <w:color w:val="000000"/>
          <w:sz w:val="24"/>
          <w:szCs w:val="24"/>
          <w:lang w:val="sq-AL"/>
        </w:rPr>
        <w:t xml:space="preserve"> të cilat kërkonin n</w:t>
      </w:r>
      <w:r w:rsidR="00C10F0D">
        <w:rPr>
          <w:rStyle w:val="Heading1Char"/>
          <w:rFonts w:ascii="Times New Roman" w:eastAsia="MS Mincho" w:hAnsi="Times New Roman"/>
          <w:color w:val="000000"/>
          <w:sz w:val="24"/>
          <w:szCs w:val="24"/>
          <w:lang w:val="sq-AL"/>
        </w:rPr>
        <w:t>j</w:t>
      </w:r>
      <w:r w:rsidR="00421469" w:rsidRPr="00010E6E">
        <w:rPr>
          <w:rStyle w:val="Heading1Char"/>
          <w:rFonts w:ascii="Times New Roman" w:eastAsia="MS Mincho" w:hAnsi="Times New Roman"/>
          <w:color w:val="000000"/>
          <w:sz w:val="24"/>
          <w:szCs w:val="24"/>
          <w:lang w:val="sq-AL"/>
        </w:rPr>
        <w:t>ë sqarim të mëtejsh</w:t>
      </w:r>
      <w:r w:rsidR="00C75F5A" w:rsidRPr="00010E6E">
        <w:rPr>
          <w:rStyle w:val="Heading1Char"/>
          <w:rFonts w:ascii="Times New Roman" w:eastAsia="MS Mincho" w:hAnsi="Times New Roman"/>
          <w:color w:val="000000"/>
          <w:sz w:val="24"/>
          <w:szCs w:val="24"/>
          <w:lang w:val="sq-AL"/>
        </w:rPr>
        <w:t xml:space="preserve">ëm ose diktonin një paqartësi </w:t>
      </w:r>
      <w:r w:rsidR="00C10F0D">
        <w:rPr>
          <w:rStyle w:val="Heading1Char"/>
          <w:rFonts w:ascii="Times New Roman" w:eastAsia="MS Mincho" w:hAnsi="Times New Roman"/>
          <w:color w:val="000000"/>
          <w:sz w:val="24"/>
          <w:szCs w:val="24"/>
          <w:lang w:val="sq-AL"/>
        </w:rPr>
        <w:t>për</w:t>
      </w:r>
      <w:r w:rsidR="00C75F5A" w:rsidRPr="00010E6E">
        <w:rPr>
          <w:rStyle w:val="Heading1Char"/>
          <w:rFonts w:ascii="Times New Roman" w:eastAsia="MS Mincho" w:hAnsi="Times New Roman"/>
          <w:color w:val="000000"/>
          <w:sz w:val="24"/>
          <w:szCs w:val="24"/>
          <w:lang w:val="sq-AL"/>
        </w:rPr>
        <w:t xml:space="preserve"> interpretimin e dispozitave nga ana e Bankës së Shqipërisë</w:t>
      </w:r>
      <w:r w:rsidR="00C10F0D">
        <w:rPr>
          <w:rStyle w:val="Heading1Char"/>
          <w:rFonts w:ascii="Times New Roman" w:eastAsia="MS Mincho" w:hAnsi="Times New Roman"/>
          <w:color w:val="000000"/>
          <w:sz w:val="24"/>
          <w:szCs w:val="24"/>
          <w:lang w:val="sq-AL"/>
        </w:rPr>
        <w:t>,</w:t>
      </w:r>
      <w:r w:rsidR="00C75F5A" w:rsidRPr="00010E6E">
        <w:rPr>
          <w:rStyle w:val="Heading1Char"/>
          <w:rFonts w:ascii="Times New Roman" w:eastAsia="MS Mincho" w:hAnsi="Times New Roman"/>
          <w:color w:val="000000"/>
          <w:sz w:val="24"/>
          <w:szCs w:val="24"/>
          <w:lang w:val="sq-AL"/>
        </w:rPr>
        <w:t xml:space="preserve"> </w:t>
      </w:r>
      <w:r w:rsidR="00C10F0D" w:rsidRPr="00010E6E">
        <w:rPr>
          <w:rStyle w:val="Heading1Char"/>
          <w:rFonts w:ascii="Times New Roman" w:eastAsia="MS Mincho" w:hAnsi="Times New Roman"/>
          <w:color w:val="000000"/>
          <w:sz w:val="24"/>
          <w:szCs w:val="24"/>
          <w:lang w:val="sq-AL"/>
        </w:rPr>
        <w:t xml:space="preserve">janë analizuar </w:t>
      </w:r>
      <w:r w:rsidR="00C10F0D">
        <w:rPr>
          <w:rStyle w:val="Heading1Char"/>
          <w:rFonts w:ascii="Times New Roman" w:eastAsia="MS Mincho" w:hAnsi="Times New Roman"/>
          <w:color w:val="000000"/>
          <w:sz w:val="24"/>
          <w:szCs w:val="24"/>
          <w:lang w:val="sq-AL"/>
        </w:rPr>
        <w:t>gjatë</w:t>
      </w:r>
      <w:r w:rsidR="00C75F5A" w:rsidRPr="00010E6E">
        <w:rPr>
          <w:rStyle w:val="Heading1Char"/>
          <w:rFonts w:ascii="Times New Roman" w:eastAsia="MS Mincho" w:hAnsi="Times New Roman"/>
          <w:color w:val="000000"/>
          <w:sz w:val="24"/>
          <w:szCs w:val="24"/>
          <w:lang w:val="sq-AL"/>
        </w:rPr>
        <w:t xml:space="preserve"> një dëgjes</w:t>
      </w:r>
      <w:r w:rsidR="00C10F0D">
        <w:rPr>
          <w:rStyle w:val="Heading1Char"/>
          <w:rFonts w:ascii="Times New Roman" w:eastAsia="MS Mincho" w:hAnsi="Times New Roman"/>
          <w:color w:val="000000"/>
          <w:sz w:val="24"/>
          <w:szCs w:val="24"/>
          <w:lang w:val="sq-AL"/>
        </w:rPr>
        <w:t>e</w:t>
      </w:r>
      <w:r w:rsidR="00C75F5A" w:rsidRPr="00010E6E">
        <w:rPr>
          <w:rStyle w:val="Heading1Char"/>
          <w:rFonts w:ascii="Times New Roman" w:eastAsia="MS Mincho" w:hAnsi="Times New Roman"/>
          <w:color w:val="000000"/>
          <w:sz w:val="24"/>
          <w:szCs w:val="24"/>
          <w:lang w:val="sq-AL"/>
        </w:rPr>
        <w:t xml:space="preserve"> publike. </w:t>
      </w:r>
    </w:p>
    <w:p w14:paraId="44F32E33" w14:textId="77777777" w:rsidR="00283EA6" w:rsidRPr="00010E6E" w:rsidRDefault="00283EA6" w:rsidP="004E2752">
      <w:pPr>
        <w:pStyle w:val="Default"/>
        <w:spacing w:line="276" w:lineRule="auto"/>
        <w:ind w:left="720"/>
        <w:jc w:val="both"/>
        <w:rPr>
          <w:rStyle w:val="Heading1Char"/>
          <w:rFonts w:ascii="Times New Roman" w:eastAsia="MS Mincho" w:hAnsi="Times New Roman"/>
          <w:b/>
          <w:color w:val="000000"/>
          <w:sz w:val="24"/>
          <w:szCs w:val="24"/>
          <w:lang w:val="sq-AL"/>
        </w:rPr>
      </w:pPr>
    </w:p>
    <w:p w14:paraId="4040442D" w14:textId="77777777" w:rsidR="006F2B09" w:rsidRPr="00010E6E" w:rsidRDefault="006F2B09" w:rsidP="000627FC">
      <w:pPr>
        <w:jc w:val="both"/>
        <w:rPr>
          <w:b/>
          <w:lang w:val="sq-AL"/>
        </w:rPr>
      </w:pPr>
    </w:p>
    <w:p w14:paraId="7C845087" w14:textId="77777777" w:rsidR="006F2B09" w:rsidRPr="00010E6E" w:rsidRDefault="006F2B09" w:rsidP="000627FC">
      <w:pPr>
        <w:jc w:val="both"/>
        <w:rPr>
          <w:b/>
          <w:lang w:val="sq-AL"/>
        </w:rPr>
      </w:pPr>
    </w:p>
    <w:p w14:paraId="05481BDB" w14:textId="77777777" w:rsidR="008E799D" w:rsidRPr="00010E6E" w:rsidRDefault="008E799D" w:rsidP="00D73AF9">
      <w:pPr>
        <w:jc w:val="both"/>
        <w:rPr>
          <w:lang w:val="sq-AL"/>
        </w:rPr>
      </w:pPr>
    </w:p>
    <w:sectPr w:rsidR="008E799D" w:rsidRPr="00010E6E" w:rsidSect="00D73AF9">
      <w:footerReference w:type="default" r:id="rId8"/>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9B8A1D" w14:textId="77777777" w:rsidR="00633444" w:rsidRDefault="00633444" w:rsidP="00575770">
      <w:r>
        <w:separator/>
      </w:r>
    </w:p>
  </w:endnote>
  <w:endnote w:type="continuationSeparator" w:id="0">
    <w:p w14:paraId="16010A74" w14:textId="77777777" w:rsidR="00633444" w:rsidRDefault="00633444" w:rsidP="00575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7336200"/>
      <w:docPartObj>
        <w:docPartGallery w:val="Page Numbers (Bottom of Page)"/>
        <w:docPartUnique/>
      </w:docPartObj>
    </w:sdtPr>
    <w:sdtEndPr/>
    <w:sdtContent>
      <w:sdt>
        <w:sdtPr>
          <w:id w:val="-1769616900"/>
          <w:docPartObj>
            <w:docPartGallery w:val="Page Numbers (Top of Page)"/>
            <w:docPartUnique/>
          </w:docPartObj>
        </w:sdtPr>
        <w:sdtEndPr/>
        <w:sdtContent>
          <w:p w14:paraId="43012F4F" w14:textId="4B412258" w:rsidR="00521829" w:rsidRDefault="003E744C" w:rsidP="003E744C">
            <w:pPr>
              <w:pStyle w:val="Footer"/>
              <w:jc w:val="center"/>
            </w:pPr>
            <w:r w:rsidRPr="003E744C">
              <w:rPr>
                <w:sz w:val="20"/>
              </w:rPr>
              <w:t xml:space="preserve">Faqe </w:t>
            </w:r>
            <w:r w:rsidRPr="003E744C">
              <w:rPr>
                <w:bCs/>
                <w:sz w:val="20"/>
              </w:rPr>
              <w:fldChar w:fldCharType="begin"/>
            </w:r>
            <w:r w:rsidRPr="003E744C">
              <w:rPr>
                <w:bCs/>
                <w:sz w:val="20"/>
              </w:rPr>
              <w:instrText xml:space="preserve"> PAGE </w:instrText>
            </w:r>
            <w:r w:rsidRPr="003E744C">
              <w:rPr>
                <w:bCs/>
                <w:sz w:val="20"/>
              </w:rPr>
              <w:fldChar w:fldCharType="separate"/>
            </w:r>
            <w:r w:rsidR="00D75669">
              <w:rPr>
                <w:bCs/>
                <w:noProof/>
                <w:sz w:val="20"/>
              </w:rPr>
              <w:t>1</w:t>
            </w:r>
            <w:r w:rsidRPr="003E744C">
              <w:rPr>
                <w:bCs/>
                <w:sz w:val="20"/>
              </w:rPr>
              <w:fldChar w:fldCharType="end"/>
            </w:r>
            <w:r w:rsidRPr="003E744C">
              <w:rPr>
                <w:sz w:val="20"/>
              </w:rPr>
              <w:t xml:space="preserve"> nga </w:t>
            </w:r>
            <w:r w:rsidRPr="003E744C">
              <w:rPr>
                <w:bCs/>
                <w:sz w:val="20"/>
              </w:rPr>
              <w:fldChar w:fldCharType="begin"/>
            </w:r>
            <w:r w:rsidRPr="003E744C">
              <w:rPr>
                <w:bCs/>
                <w:sz w:val="20"/>
              </w:rPr>
              <w:instrText xml:space="preserve"> NUMPAGES  </w:instrText>
            </w:r>
            <w:r w:rsidRPr="003E744C">
              <w:rPr>
                <w:bCs/>
                <w:sz w:val="20"/>
              </w:rPr>
              <w:fldChar w:fldCharType="separate"/>
            </w:r>
            <w:r w:rsidR="00D75669">
              <w:rPr>
                <w:bCs/>
                <w:noProof/>
                <w:sz w:val="20"/>
              </w:rPr>
              <w:t>1</w:t>
            </w:r>
            <w:r w:rsidRPr="003E744C">
              <w:rPr>
                <w:bCs/>
                <w:sz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1D0E9" w14:textId="77777777" w:rsidR="00633444" w:rsidRDefault="00633444" w:rsidP="00575770">
      <w:r>
        <w:separator/>
      </w:r>
    </w:p>
  </w:footnote>
  <w:footnote w:type="continuationSeparator" w:id="0">
    <w:p w14:paraId="255DCFC4" w14:textId="77777777" w:rsidR="00633444" w:rsidRDefault="00633444" w:rsidP="00575770">
      <w:r>
        <w:continuationSeparator/>
      </w:r>
    </w:p>
  </w:footnote>
  <w:footnote w:id="1">
    <w:p w14:paraId="5DBA239D" w14:textId="6F513495" w:rsidR="00521829" w:rsidRPr="008D736E" w:rsidRDefault="00521829" w:rsidP="0061577C">
      <w:pPr>
        <w:pStyle w:val="FootnoteText"/>
        <w:jc w:val="both"/>
        <w:rPr>
          <w:lang w:val="sq-AL"/>
        </w:rPr>
      </w:pPr>
      <w:r w:rsidRPr="004F1E8E">
        <w:rPr>
          <w:rStyle w:val="FootnoteReference"/>
        </w:rPr>
        <w:footnoteRef/>
      </w:r>
      <w:r w:rsidRPr="008D736E">
        <w:rPr>
          <w:lang w:val="sq-AL"/>
        </w:rPr>
        <w:t xml:space="preserve"> I</w:t>
      </w:r>
      <w:r w:rsidRPr="004F1E8E">
        <w:rPr>
          <w:lang w:val="de-DE"/>
        </w:rPr>
        <w:t xml:space="preserve">nstrumenti lejon mbajtësin </w:t>
      </w:r>
      <w:r w:rsidRPr="008D736E">
        <w:rPr>
          <w:rFonts w:eastAsia="Times New Roman"/>
          <w:lang w:val="sq-AL"/>
        </w:rPr>
        <w:t xml:space="preserve">të blejë mallra dhe shërbime vetëm në vendndodhjet e emetuesit ose brenda një rrjeti të kufizuar të ofruesve të shërbimeve në bazë të marrëveshjes </w:t>
      </w:r>
      <w:r>
        <w:rPr>
          <w:rFonts w:eastAsia="Times New Roman"/>
          <w:lang w:val="sq-AL"/>
        </w:rPr>
        <w:t>s</w:t>
      </w:r>
      <w:r w:rsidRPr="008D736E">
        <w:rPr>
          <w:rFonts w:eastAsia="Times New Roman"/>
          <w:lang w:val="sq-AL"/>
        </w:rPr>
        <w:t xml:space="preserve">ë drejtpërdrejtë tregtare me një emetues profesional dhe/ose instrumentet, </w:t>
      </w:r>
      <w:r>
        <w:rPr>
          <w:rFonts w:eastAsia="Times New Roman"/>
          <w:lang w:val="sq-AL"/>
        </w:rPr>
        <w:t>q</w:t>
      </w:r>
      <w:r w:rsidRPr="008D736E">
        <w:rPr>
          <w:rFonts w:eastAsia="Times New Roman"/>
          <w:lang w:val="sq-AL"/>
        </w:rPr>
        <w:t>ë mund të përdoren vetëm për të blerë një numër shumë të kufizuar mallra</w:t>
      </w:r>
      <w:r>
        <w:rPr>
          <w:rFonts w:eastAsia="Times New Roman"/>
          <w:lang w:val="sq-AL"/>
        </w:rPr>
        <w:t>sh</w:t>
      </w:r>
      <w:r w:rsidRPr="008D736E">
        <w:rPr>
          <w:rFonts w:eastAsia="Times New Roman"/>
          <w:lang w:val="sq-AL"/>
        </w:rPr>
        <w:t xml:space="preserve"> dhe shërbime</w:t>
      </w:r>
      <w:r>
        <w:rPr>
          <w:rFonts w:eastAsia="Times New Roman"/>
          <w:lang w:val="sq-AL"/>
        </w:rPr>
        <w:t>sh</w:t>
      </w:r>
      <w:r w:rsidRPr="008D736E">
        <w:rPr>
          <w:rFonts w:eastAsia="Times New Roman"/>
          <w:lang w:val="sq-AL"/>
        </w:rPr>
        <w:t>.</w:t>
      </w:r>
    </w:p>
  </w:footnote>
  <w:footnote w:id="2">
    <w:p w14:paraId="050B39AA" w14:textId="77777777" w:rsidR="00521829" w:rsidRPr="00802FC7" w:rsidRDefault="00521829" w:rsidP="00E009D5">
      <w:pPr>
        <w:jc w:val="both"/>
        <w:rPr>
          <w:sz w:val="20"/>
          <w:szCs w:val="20"/>
          <w:lang w:val="sq-AL"/>
        </w:rPr>
      </w:pPr>
      <w:r w:rsidRPr="00875FA6">
        <w:rPr>
          <w:rStyle w:val="FootnoteReference"/>
          <w:sz w:val="20"/>
          <w:szCs w:val="20"/>
        </w:rPr>
        <w:footnoteRef/>
      </w:r>
      <w:r w:rsidRPr="00802FC7">
        <w:rPr>
          <w:sz w:val="20"/>
          <w:szCs w:val="20"/>
          <w:lang w:val="sq-AL"/>
        </w:rPr>
        <w:t xml:space="preserve"> Transaksionet e pagesave nga një ofrues i rrjeteve të komunikimeve elektronike ose shërbimet e ofruara krahas shërbimeve të komunikimeve elektronike për një pajtimtar të rrjetit ose shërbimit:</w:t>
      </w:r>
    </w:p>
    <w:p w14:paraId="1AAFD726" w14:textId="77777777" w:rsidR="00521829" w:rsidRPr="003A149E" w:rsidRDefault="00521829" w:rsidP="004F19FA">
      <w:pPr>
        <w:numPr>
          <w:ilvl w:val="0"/>
          <w:numId w:val="9"/>
        </w:numPr>
        <w:ind w:left="720" w:hanging="360"/>
        <w:jc w:val="both"/>
        <w:rPr>
          <w:sz w:val="20"/>
          <w:szCs w:val="20"/>
          <w:lang w:val="sq-AL"/>
        </w:rPr>
      </w:pPr>
      <w:r w:rsidRPr="00802FC7">
        <w:rPr>
          <w:sz w:val="20"/>
          <w:szCs w:val="20"/>
          <w:lang w:val="sq-AL"/>
        </w:rPr>
        <w:t xml:space="preserve">për blerje të shërbimeve dixhitale dhe shërbimeve zanore, pavarësisht nga pajisja që përdoret për blerjen </w:t>
      </w:r>
      <w:r w:rsidRPr="003A149E">
        <w:rPr>
          <w:sz w:val="20"/>
          <w:szCs w:val="20"/>
          <w:lang w:val="sq-AL"/>
        </w:rPr>
        <w:t>ose konsumin e shërbimeve dixhitale dhe pasqyruar në faturën përkatëse; ose</w:t>
      </w:r>
    </w:p>
    <w:p w14:paraId="66DD7C9B" w14:textId="77777777" w:rsidR="00521829" w:rsidRPr="003A149E" w:rsidRDefault="00521829" w:rsidP="004F19FA">
      <w:pPr>
        <w:numPr>
          <w:ilvl w:val="0"/>
          <w:numId w:val="9"/>
        </w:numPr>
        <w:ind w:left="720" w:hanging="360"/>
        <w:jc w:val="both"/>
        <w:rPr>
          <w:sz w:val="20"/>
          <w:szCs w:val="20"/>
          <w:lang w:val="sq-AL"/>
        </w:rPr>
      </w:pPr>
      <w:r w:rsidRPr="003A149E">
        <w:rPr>
          <w:sz w:val="20"/>
          <w:szCs w:val="20"/>
          <w:lang w:val="sq-AL"/>
        </w:rPr>
        <w:t>realizuar nga ose nëpërmjet një pajisjeje elektronike dhe të pasqyruar në faturën përkatëse, në kuadër të një aktiviteti bamirësie ose për blerjen e biletave;</w:t>
      </w:r>
    </w:p>
    <w:p w14:paraId="23B128C4" w14:textId="64F55E07" w:rsidR="00521829" w:rsidRPr="003A149E" w:rsidRDefault="00521829" w:rsidP="00E009D5">
      <w:pPr>
        <w:jc w:val="both"/>
        <w:rPr>
          <w:sz w:val="20"/>
          <w:szCs w:val="20"/>
          <w:lang w:val="sq-AL"/>
        </w:rPr>
      </w:pPr>
      <w:r w:rsidRPr="003A149E">
        <w:rPr>
          <w:sz w:val="20"/>
          <w:szCs w:val="20"/>
          <w:lang w:val="sq-AL"/>
        </w:rPr>
        <w:t>me kusht që kufizimet për këto transaksione pagese të përcaktohen me akt nënligjor të Bankës së Shqipërisë, dhe në çdo rast kur:</w:t>
      </w:r>
    </w:p>
    <w:p w14:paraId="5E75A312" w14:textId="7A0FFD3D" w:rsidR="00521829" w:rsidRPr="003A149E" w:rsidRDefault="00521829" w:rsidP="00E332AF">
      <w:pPr>
        <w:numPr>
          <w:ilvl w:val="0"/>
          <w:numId w:val="18"/>
        </w:numPr>
        <w:ind w:left="270" w:hanging="270"/>
        <w:jc w:val="both"/>
        <w:rPr>
          <w:sz w:val="20"/>
          <w:szCs w:val="20"/>
          <w:lang w:val="sq-AL"/>
        </w:rPr>
      </w:pPr>
      <w:r w:rsidRPr="003A149E">
        <w:rPr>
          <w:sz w:val="20"/>
          <w:szCs w:val="20"/>
          <w:lang w:val="sq-AL"/>
        </w:rPr>
        <w:t>vlera e një transaksioni të vetëm të pagesës nuk e tejkalon shumën prej 7000 lekë;</w:t>
      </w:r>
    </w:p>
    <w:p w14:paraId="61FDC866" w14:textId="23D44EF3" w:rsidR="00521829" w:rsidRPr="003A149E" w:rsidRDefault="00521829" w:rsidP="00E332AF">
      <w:pPr>
        <w:numPr>
          <w:ilvl w:val="0"/>
          <w:numId w:val="18"/>
        </w:numPr>
        <w:ind w:left="270" w:hanging="270"/>
        <w:jc w:val="both"/>
        <w:rPr>
          <w:sz w:val="20"/>
          <w:szCs w:val="20"/>
          <w:lang w:val="sq-AL"/>
        </w:rPr>
      </w:pPr>
      <w:r w:rsidRPr="003A149E">
        <w:rPr>
          <w:sz w:val="20"/>
          <w:szCs w:val="20"/>
          <w:lang w:val="sq-AL"/>
        </w:rPr>
        <w:t>vlera kumulative e pagesave për një pajtimtar të vetëm nuk tejkalon vlerën prej 40,000 lekë në muaj ose;</w:t>
      </w:r>
    </w:p>
    <w:p w14:paraId="261E47B6" w14:textId="12C60589" w:rsidR="00521829" w:rsidRPr="003A149E" w:rsidRDefault="00521829" w:rsidP="003A149E">
      <w:pPr>
        <w:numPr>
          <w:ilvl w:val="0"/>
          <w:numId w:val="18"/>
        </w:numPr>
        <w:ind w:left="270" w:hanging="270"/>
        <w:jc w:val="both"/>
        <w:rPr>
          <w:sz w:val="20"/>
          <w:szCs w:val="20"/>
          <w:lang w:val="sq-AL"/>
        </w:rPr>
      </w:pPr>
      <w:r w:rsidRPr="003A149E">
        <w:rPr>
          <w:sz w:val="20"/>
          <w:szCs w:val="20"/>
          <w:lang w:val="sq-AL"/>
        </w:rPr>
        <w:t>në rastet kur pajtimtari rimbush/parapaguan në llogarinë e tij me ofruesin e rrjetit të komunikimeve elektronike ose shërbimit të</w:t>
      </w:r>
      <w:r w:rsidRPr="00802FC7">
        <w:rPr>
          <w:sz w:val="20"/>
          <w:szCs w:val="20"/>
          <w:lang w:val="sq-AL"/>
        </w:rPr>
        <w:t xml:space="preserve"> komunikimeve elektronike, vlera kumulative e transaksioneve të pagesave nuk tejkalon 40,000 </w:t>
      </w:r>
      <w:r>
        <w:rPr>
          <w:sz w:val="20"/>
          <w:szCs w:val="20"/>
          <w:lang w:val="sq-AL"/>
        </w:rPr>
        <w:t>l</w:t>
      </w:r>
      <w:r w:rsidRPr="00802FC7">
        <w:rPr>
          <w:sz w:val="20"/>
          <w:szCs w:val="20"/>
          <w:lang w:val="sq-AL"/>
        </w:rPr>
        <w:t>ekë në m</w:t>
      </w:r>
      <w:r>
        <w:rPr>
          <w:sz w:val="20"/>
          <w:szCs w:val="20"/>
          <w:lang w:val="sq-AL"/>
        </w:rPr>
        <w:t>uaj.</w:t>
      </w:r>
    </w:p>
  </w:footnote>
  <w:footnote w:id="3">
    <w:p w14:paraId="6C686570" w14:textId="46F62C3B" w:rsidR="00521829" w:rsidRPr="008563AF" w:rsidRDefault="00521829" w:rsidP="00E46E7D">
      <w:pPr>
        <w:pStyle w:val="Heading1"/>
        <w:spacing w:before="120"/>
        <w:rPr>
          <w:rFonts w:ascii="Times New Roman" w:eastAsia="MS Mincho" w:hAnsi="Times New Roman"/>
          <w:color w:val="auto"/>
          <w:sz w:val="20"/>
          <w:szCs w:val="20"/>
          <w:lang w:val="sq-AL"/>
        </w:rPr>
      </w:pPr>
      <w:r w:rsidRPr="0002198C">
        <w:rPr>
          <w:rStyle w:val="FootnoteReference"/>
          <w:rFonts w:ascii="Calibri" w:hAnsi="Calibri"/>
          <w:sz w:val="18"/>
          <w:szCs w:val="18"/>
        </w:rPr>
        <w:footnoteRef/>
      </w:r>
      <w:r w:rsidRPr="0002198C">
        <w:rPr>
          <w:rFonts w:ascii="Calibri" w:hAnsi="Calibri"/>
          <w:sz w:val="18"/>
          <w:szCs w:val="18"/>
          <w:lang w:val="sq-AL"/>
        </w:rPr>
        <w:t xml:space="preserve"> </w:t>
      </w:r>
      <w:r w:rsidRPr="008563AF">
        <w:rPr>
          <w:rFonts w:ascii="Times New Roman" w:eastAsia="MS Mincho" w:hAnsi="Times New Roman"/>
          <w:color w:val="auto"/>
          <w:sz w:val="20"/>
          <w:szCs w:val="20"/>
          <w:lang w:val="sq-AL"/>
        </w:rPr>
        <w:t xml:space="preserve">Vendim </w:t>
      </w:r>
      <w:r>
        <w:rPr>
          <w:rFonts w:ascii="Times New Roman" w:eastAsia="MS Mincho" w:hAnsi="Times New Roman"/>
          <w:color w:val="auto"/>
          <w:sz w:val="20"/>
          <w:szCs w:val="20"/>
          <w:lang w:val="sq-AL"/>
        </w:rPr>
        <w:t>i Këshillit Mbikëqyrës të Bankës së Shqipërisë n</w:t>
      </w:r>
      <w:r w:rsidRPr="008563AF">
        <w:rPr>
          <w:rFonts w:ascii="Times New Roman" w:eastAsia="MS Mincho" w:hAnsi="Times New Roman"/>
          <w:color w:val="auto"/>
          <w:sz w:val="20"/>
          <w:szCs w:val="20"/>
          <w:lang w:val="sq-AL"/>
        </w:rPr>
        <w:t xml:space="preserve">r.12, datë 07.03.2011 "Për miratimin e disa ndryshimeve në Rregulloren për funksionimin e sistemit të pagesave ndërbankare me vlerë të madhe </w:t>
      </w:r>
      <w:r>
        <w:rPr>
          <w:rFonts w:ascii="Times New Roman" w:eastAsia="MS Mincho" w:hAnsi="Times New Roman"/>
          <w:color w:val="auto"/>
          <w:sz w:val="20"/>
          <w:szCs w:val="20"/>
          <w:lang w:val="sq-AL"/>
        </w:rPr>
        <w:t>(</w:t>
      </w:r>
      <w:r w:rsidRPr="008563AF">
        <w:rPr>
          <w:rFonts w:ascii="Times New Roman" w:eastAsia="MS Mincho" w:hAnsi="Times New Roman"/>
          <w:color w:val="auto"/>
          <w:sz w:val="20"/>
          <w:szCs w:val="20"/>
          <w:lang w:val="sq-AL"/>
        </w:rPr>
        <w:t>AIPS</w:t>
      </w:r>
      <w:r>
        <w:rPr>
          <w:rFonts w:ascii="Times New Roman" w:eastAsia="MS Mincho" w:hAnsi="Times New Roman"/>
          <w:color w:val="auto"/>
          <w:sz w:val="20"/>
          <w:szCs w:val="20"/>
          <w:lang w:val="sq-AL"/>
        </w:rPr>
        <w:t>)</w:t>
      </w:r>
      <w:r w:rsidRPr="008563AF">
        <w:rPr>
          <w:rFonts w:ascii="Times New Roman" w:eastAsia="MS Mincho" w:hAnsi="Times New Roman"/>
          <w:color w:val="auto"/>
          <w:sz w:val="20"/>
          <w:szCs w:val="20"/>
          <w:lang w:val="sq-AL"/>
        </w:rPr>
        <w:t xml:space="preserve"> dhe në Rregulloren për funksionimin e sistemit të klerimit të pagesave me vlerë të vogël </w:t>
      </w:r>
      <w:r>
        <w:rPr>
          <w:rFonts w:ascii="Times New Roman" w:eastAsia="MS Mincho" w:hAnsi="Times New Roman"/>
          <w:color w:val="auto"/>
          <w:sz w:val="20"/>
          <w:szCs w:val="20"/>
          <w:lang w:val="sq-AL"/>
        </w:rPr>
        <w:t>(</w:t>
      </w:r>
      <w:r w:rsidRPr="008563AF">
        <w:rPr>
          <w:rFonts w:ascii="Times New Roman" w:eastAsia="MS Mincho" w:hAnsi="Times New Roman"/>
          <w:color w:val="auto"/>
          <w:sz w:val="20"/>
          <w:szCs w:val="20"/>
          <w:lang w:val="sq-AL"/>
        </w:rPr>
        <w:t>AECH</w:t>
      </w:r>
      <w:r>
        <w:rPr>
          <w:rFonts w:ascii="Times New Roman" w:eastAsia="MS Mincho" w:hAnsi="Times New Roman"/>
          <w:color w:val="auto"/>
          <w:sz w:val="20"/>
          <w:szCs w:val="20"/>
          <w:lang w:val="sq-AL"/>
        </w:rPr>
        <w:t>)</w:t>
      </w:r>
      <w:r w:rsidRPr="008563AF">
        <w:rPr>
          <w:rFonts w:ascii="Times New Roman" w:eastAsia="MS Mincho" w:hAnsi="Times New Roman"/>
          <w:color w:val="auto"/>
          <w:sz w:val="20"/>
          <w:szCs w:val="20"/>
          <w:lang w:val="sq-AL"/>
        </w:rPr>
        <w:t>"</w:t>
      </w:r>
      <w:r>
        <w:rPr>
          <w:rFonts w:ascii="Times New Roman" w:eastAsia="MS Mincho" w:hAnsi="Times New Roman"/>
          <w:color w:val="auto"/>
          <w:sz w:val="20"/>
          <w:szCs w:val="20"/>
          <w:lang w:val="sq-AL"/>
        </w:rPr>
        <w:t>.</w:t>
      </w:r>
    </w:p>
    <w:p w14:paraId="7C087564" w14:textId="77777777" w:rsidR="00521829" w:rsidRPr="0002198C" w:rsidRDefault="00521829" w:rsidP="0002198C">
      <w:pPr>
        <w:pStyle w:val="FootnoteText"/>
        <w:rPr>
          <w:lang w:val="sq-AL"/>
        </w:rPr>
      </w:pPr>
    </w:p>
  </w:footnote>
  <w:footnote w:id="4">
    <w:p w14:paraId="6B8C7955" w14:textId="2BCA9553" w:rsidR="00521829" w:rsidRPr="00830938" w:rsidRDefault="00521829" w:rsidP="00F52F6A">
      <w:pPr>
        <w:pStyle w:val="FootnoteText"/>
        <w:rPr>
          <w:lang w:val="it-IT"/>
        </w:rPr>
      </w:pPr>
      <w:r w:rsidRPr="00830938">
        <w:rPr>
          <w:rStyle w:val="FootnoteReference"/>
          <w:lang w:val="sq-AL"/>
        </w:rPr>
        <w:footnoteRef/>
      </w:r>
      <w:r w:rsidRPr="00830938">
        <w:rPr>
          <w:lang w:val="sq-AL"/>
        </w:rPr>
        <w:t xml:space="preserve"> Si rasti i kartave virtuale të inkorporuar</w:t>
      </w:r>
      <w:r>
        <w:rPr>
          <w:lang w:val="sq-AL"/>
        </w:rPr>
        <w:t>a</w:t>
      </w:r>
      <w:r w:rsidRPr="00830938">
        <w:rPr>
          <w:lang w:val="sq-AL"/>
        </w:rPr>
        <w:t xml:space="preserve"> në celular</w:t>
      </w:r>
      <w:r w:rsidRPr="00830938">
        <w:rPr>
          <w:lang w:val="it-IT"/>
        </w:rPr>
        <w:t xml:space="preserve">. </w:t>
      </w:r>
    </w:p>
  </w:footnote>
  <w:footnote w:id="5">
    <w:p w14:paraId="0717A366" w14:textId="179EA7E8" w:rsidR="00521829" w:rsidRPr="008D736E" w:rsidRDefault="00521829" w:rsidP="007526E3">
      <w:pPr>
        <w:pStyle w:val="FootnoteText"/>
        <w:jc w:val="both"/>
        <w:rPr>
          <w:lang w:val="it-IT"/>
        </w:rPr>
      </w:pPr>
      <w:r w:rsidRPr="00F7362F">
        <w:rPr>
          <w:rStyle w:val="FootnoteReference"/>
        </w:rPr>
        <w:footnoteRef/>
      </w:r>
      <w:r w:rsidRPr="008D736E">
        <w:rPr>
          <w:lang w:val="it-IT"/>
        </w:rPr>
        <w:t xml:space="preserve"> Neni 10</w:t>
      </w:r>
      <w:r>
        <w:rPr>
          <w:lang w:val="it-IT"/>
        </w:rPr>
        <w:t>,</w:t>
      </w:r>
      <w:r w:rsidRPr="008D736E">
        <w:rPr>
          <w:lang w:val="it-IT"/>
        </w:rPr>
        <w:t xml:space="preserve"> Masa e gjobës: “</w:t>
      </w:r>
      <w:r w:rsidRPr="008D736E">
        <w:rPr>
          <w:i/>
          <w:lang w:val="it-IT"/>
        </w:rPr>
        <w:t>Masa e dënimit me gjobë përcaktohet nga ligji, i cili ka parashikuar kundërvajtjen administrative. Masa e dënimit me gjobë mund të jetë fikse apo e përcaktuar me kufij minimalë dhe maksimalë.</w:t>
      </w:r>
      <w:r w:rsidRPr="008D736E">
        <w:rPr>
          <w:lang w:val="it-I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97EF6"/>
    <w:multiLevelType w:val="hybridMultilevel"/>
    <w:tmpl w:val="1F7C5468"/>
    <w:lvl w:ilvl="0" w:tplc="A9B2A516">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nsid w:val="0D256EF3"/>
    <w:multiLevelType w:val="hybridMultilevel"/>
    <w:tmpl w:val="B0E83720"/>
    <w:lvl w:ilvl="0" w:tplc="E24C00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1D7BFA"/>
    <w:multiLevelType w:val="hybridMultilevel"/>
    <w:tmpl w:val="850CBBD4"/>
    <w:lvl w:ilvl="0" w:tplc="E84E88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29189A"/>
    <w:multiLevelType w:val="hybridMultilevel"/>
    <w:tmpl w:val="01603280"/>
    <w:lvl w:ilvl="0" w:tplc="4BCC4410">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CF2ABC"/>
    <w:multiLevelType w:val="hybridMultilevel"/>
    <w:tmpl w:val="5E86C2B0"/>
    <w:lvl w:ilvl="0" w:tplc="1214D4BA">
      <w:start w:val="1"/>
      <w:numFmt w:val="lowerRoman"/>
      <w:lvlText w:val="(%1)"/>
      <w:lvlJc w:val="left"/>
      <w:pPr>
        <w:ind w:left="720" w:hanging="720"/>
      </w:pPr>
      <w:rPr>
        <w:rFonts w:eastAsia="Calibr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5E26375"/>
    <w:multiLevelType w:val="hybridMultilevel"/>
    <w:tmpl w:val="AF3C22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F3630D"/>
    <w:multiLevelType w:val="hybridMultilevel"/>
    <w:tmpl w:val="69B82C8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FFB38C6"/>
    <w:multiLevelType w:val="hybridMultilevel"/>
    <w:tmpl w:val="593253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85C24C8"/>
    <w:multiLevelType w:val="hybridMultilevel"/>
    <w:tmpl w:val="BE507B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19D3652"/>
    <w:multiLevelType w:val="hybridMultilevel"/>
    <w:tmpl w:val="5E707022"/>
    <w:lvl w:ilvl="0" w:tplc="511C0F2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82097F"/>
    <w:multiLevelType w:val="hybridMultilevel"/>
    <w:tmpl w:val="CC5A0DE0"/>
    <w:lvl w:ilvl="0" w:tplc="AD041FF2">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nsid w:val="54A74736"/>
    <w:multiLevelType w:val="hybridMultilevel"/>
    <w:tmpl w:val="C8E22E22"/>
    <w:lvl w:ilvl="0" w:tplc="426ECCA0">
      <w:start w:val="1"/>
      <w:numFmt w:val="upperRoman"/>
      <w:lvlText w:val="%1."/>
      <w:lvlJc w:val="left"/>
      <w:pPr>
        <w:ind w:left="1080" w:hanging="72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12">
    <w:nsid w:val="54C12D35"/>
    <w:multiLevelType w:val="hybridMultilevel"/>
    <w:tmpl w:val="789A10CC"/>
    <w:lvl w:ilvl="0" w:tplc="A644FCF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616CD9"/>
    <w:multiLevelType w:val="hybridMultilevel"/>
    <w:tmpl w:val="C69AB7E0"/>
    <w:lvl w:ilvl="0" w:tplc="ACF4A144">
      <w:start w:val="1"/>
      <w:numFmt w:val="decimal"/>
      <w:lvlText w:val="%1."/>
      <w:lvlJc w:val="left"/>
      <w:pPr>
        <w:ind w:left="360" w:hanging="360"/>
      </w:pPr>
      <w:rPr>
        <w:rFonts w:ascii="Times New Roman" w:hAnsi="Times New Roman" w:cs="Times New Roman" w:hint="default"/>
        <w:b w:val="0"/>
        <w:sz w:val="24"/>
        <w:szCs w:val="24"/>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4">
    <w:nsid w:val="604A3D54"/>
    <w:multiLevelType w:val="hybridMultilevel"/>
    <w:tmpl w:val="5A60B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6630E6"/>
    <w:multiLevelType w:val="hybridMultilevel"/>
    <w:tmpl w:val="C8E22E22"/>
    <w:lvl w:ilvl="0" w:tplc="426ECCA0">
      <w:start w:val="1"/>
      <w:numFmt w:val="upperRoman"/>
      <w:lvlText w:val="%1."/>
      <w:lvlJc w:val="left"/>
      <w:pPr>
        <w:ind w:left="1080" w:hanging="72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16">
    <w:nsid w:val="67D0563C"/>
    <w:multiLevelType w:val="hybridMultilevel"/>
    <w:tmpl w:val="8C6A4414"/>
    <w:lvl w:ilvl="0" w:tplc="5BE4CE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1336BB"/>
    <w:multiLevelType w:val="hybridMultilevel"/>
    <w:tmpl w:val="285A555C"/>
    <w:lvl w:ilvl="0" w:tplc="1BD07EEA">
      <w:start w:val="1"/>
      <w:numFmt w:val="upperRoman"/>
      <w:lvlText w:val="%1."/>
      <w:lvlJc w:val="righ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753B18"/>
    <w:multiLevelType w:val="hybridMultilevel"/>
    <w:tmpl w:val="8C6EDA9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3"/>
  </w:num>
  <w:num w:numId="4">
    <w:abstractNumId w:val="4"/>
  </w:num>
  <w:num w:numId="5">
    <w:abstractNumId w:val="5"/>
  </w:num>
  <w:num w:numId="6">
    <w:abstractNumId w:val="3"/>
  </w:num>
  <w:num w:numId="7">
    <w:abstractNumId w:val="7"/>
  </w:num>
  <w:num w:numId="8">
    <w:abstractNumId w:val="14"/>
  </w:num>
  <w:num w:numId="9">
    <w:abstractNumId w:val="2"/>
  </w:num>
  <w:num w:numId="10">
    <w:abstractNumId w:val="8"/>
  </w:num>
  <w:num w:numId="11">
    <w:abstractNumId w:val="18"/>
  </w:num>
  <w:num w:numId="12">
    <w:abstractNumId w:val="6"/>
  </w:num>
  <w:num w:numId="13">
    <w:abstractNumId w:val="10"/>
  </w:num>
  <w:num w:numId="14">
    <w:abstractNumId w:val="9"/>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0"/>
  </w:num>
  <w:num w:numId="18">
    <w:abstractNumId w:val="16"/>
  </w:num>
  <w:num w:numId="19">
    <w:abstractNumId w:val="17"/>
  </w:num>
  <w:num w:numId="2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146"/>
    <w:rsid w:val="00001169"/>
    <w:rsid w:val="00002DD8"/>
    <w:rsid w:val="0000473A"/>
    <w:rsid w:val="00006EED"/>
    <w:rsid w:val="0001081D"/>
    <w:rsid w:val="00010E6E"/>
    <w:rsid w:val="00014DA1"/>
    <w:rsid w:val="00017EB3"/>
    <w:rsid w:val="00020BCF"/>
    <w:rsid w:val="0002198C"/>
    <w:rsid w:val="0002380D"/>
    <w:rsid w:val="00024B4D"/>
    <w:rsid w:val="000335C9"/>
    <w:rsid w:val="000338C5"/>
    <w:rsid w:val="00036E14"/>
    <w:rsid w:val="00037959"/>
    <w:rsid w:val="00041135"/>
    <w:rsid w:val="000428D5"/>
    <w:rsid w:val="00042AD5"/>
    <w:rsid w:val="00044453"/>
    <w:rsid w:val="0004536C"/>
    <w:rsid w:val="00045669"/>
    <w:rsid w:val="00045830"/>
    <w:rsid w:val="00051273"/>
    <w:rsid w:val="00052844"/>
    <w:rsid w:val="000542D9"/>
    <w:rsid w:val="000556F2"/>
    <w:rsid w:val="00055CEC"/>
    <w:rsid w:val="00055EBE"/>
    <w:rsid w:val="00056491"/>
    <w:rsid w:val="000627FC"/>
    <w:rsid w:val="000628E0"/>
    <w:rsid w:val="000637E8"/>
    <w:rsid w:val="00070134"/>
    <w:rsid w:val="0007051E"/>
    <w:rsid w:val="00072707"/>
    <w:rsid w:val="000740B9"/>
    <w:rsid w:val="00074FC7"/>
    <w:rsid w:val="000828EF"/>
    <w:rsid w:val="00086AB3"/>
    <w:rsid w:val="00096EC4"/>
    <w:rsid w:val="00097615"/>
    <w:rsid w:val="000979E7"/>
    <w:rsid w:val="000A1381"/>
    <w:rsid w:val="000A45AA"/>
    <w:rsid w:val="000A4C39"/>
    <w:rsid w:val="000A68E4"/>
    <w:rsid w:val="000B0AC4"/>
    <w:rsid w:val="000B37FA"/>
    <w:rsid w:val="000B50EE"/>
    <w:rsid w:val="000C160C"/>
    <w:rsid w:val="000C170E"/>
    <w:rsid w:val="000C2575"/>
    <w:rsid w:val="000C6230"/>
    <w:rsid w:val="000D15DE"/>
    <w:rsid w:val="000E1663"/>
    <w:rsid w:val="000E6D42"/>
    <w:rsid w:val="000F03D0"/>
    <w:rsid w:val="000F1111"/>
    <w:rsid w:val="000F1C6C"/>
    <w:rsid w:val="000F5589"/>
    <w:rsid w:val="000F7C8A"/>
    <w:rsid w:val="001004EC"/>
    <w:rsid w:val="00100938"/>
    <w:rsid w:val="00101CD6"/>
    <w:rsid w:val="00102BB4"/>
    <w:rsid w:val="00102E79"/>
    <w:rsid w:val="00103EFC"/>
    <w:rsid w:val="00106345"/>
    <w:rsid w:val="001068B0"/>
    <w:rsid w:val="00112398"/>
    <w:rsid w:val="00114396"/>
    <w:rsid w:val="00116267"/>
    <w:rsid w:val="0012028A"/>
    <w:rsid w:val="001231C9"/>
    <w:rsid w:val="001254E4"/>
    <w:rsid w:val="001258A8"/>
    <w:rsid w:val="001326DC"/>
    <w:rsid w:val="0013421D"/>
    <w:rsid w:val="00135DC2"/>
    <w:rsid w:val="00136AD3"/>
    <w:rsid w:val="0014171D"/>
    <w:rsid w:val="0015589B"/>
    <w:rsid w:val="00161EA8"/>
    <w:rsid w:val="00163EE7"/>
    <w:rsid w:val="00167141"/>
    <w:rsid w:val="00172B91"/>
    <w:rsid w:val="00174460"/>
    <w:rsid w:val="0017447F"/>
    <w:rsid w:val="0017448F"/>
    <w:rsid w:val="00180410"/>
    <w:rsid w:val="0018540B"/>
    <w:rsid w:val="001901AC"/>
    <w:rsid w:val="00197F86"/>
    <w:rsid w:val="001A0B47"/>
    <w:rsid w:val="001B1979"/>
    <w:rsid w:val="001B243F"/>
    <w:rsid w:val="001B4304"/>
    <w:rsid w:val="001B61AD"/>
    <w:rsid w:val="001C093E"/>
    <w:rsid w:val="001C32DD"/>
    <w:rsid w:val="001C3512"/>
    <w:rsid w:val="001D0C84"/>
    <w:rsid w:val="001D14B2"/>
    <w:rsid w:val="001D184D"/>
    <w:rsid w:val="001D3077"/>
    <w:rsid w:val="001D3D0D"/>
    <w:rsid w:val="001E43F6"/>
    <w:rsid w:val="001E5479"/>
    <w:rsid w:val="001E5BEE"/>
    <w:rsid w:val="001E77D8"/>
    <w:rsid w:val="001F082F"/>
    <w:rsid w:val="001F1F75"/>
    <w:rsid w:val="001F6495"/>
    <w:rsid w:val="001F69BC"/>
    <w:rsid w:val="00201C73"/>
    <w:rsid w:val="002057F4"/>
    <w:rsid w:val="00210637"/>
    <w:rsid w:val="0021180C"/>
    <w:rsid w:val="00221D50"/>
    <w:rsid w:val="0022273D"/>
    <w:rsid w:val="00223CDF"/>
    <w:rsid w:val="002241F6"/>
    <w:rsid w:val="00224EB7"/>
    <w:rsid w:val="002275C0"/>
    <w:rsid w:val="00227D22"/>
    <w:rsid w:val="00230D92"/>
    <w:rsid w:val="00231B7A"/>
    <w:rsid w:val="00232B13"/>
    <w:rsid w:val="00234907"/>
    <w:rsid w:val="002373F7"/>
    <w:rsid w:val="00237568"/>
    <w:rsid w:val="00244642"/>
    <w:rsid w:val="00251EE3"/>
    <w:rsid w:val="00252BAB"/>
    <w:rsid w:val="002565C8"/>
    <w:rsid w:val="00260FC2"/>
    <w:rsid w:val="002611DD"/>
    <w:rsid w:val="00261945"/>
    <w:rsid w:val="00262999"/>
    <w:rsid w:val="00264AB5"/>
    <w:rsid w:val="0026645C"/>
    <w:rsid w:val="002664E8"/>
    <w:rsid w:val="0026679A"/>
    <w:rsid w:val="00267446"/>
    <w:rsid w:val="00270763"/>
    <w:rsid w:val="00272EAA"/>
    <w:rsid w:val="00272EC5"/>
    <w:rsid w:val="0028299B"/>
    <w:rsid w:val="00283EA6"/>
    <w:rsid w:val="002908B1"/>
    <w:rsid w:val="00292224"/>
    <w:rsid w:val="002932A2"/>
    <w:rsid w:val="00293880"/>
    <w:rsid w:val="00294787"/>
    <w:rsid w:val="002A0058"/>
    <w:rsid w:val="002B134D"/>
    <w:rsid w:val="002B35AD"/>
    <w:rsid w:val="002C0179"/>
    <w:rsid w:val="002C0BFC"/>
    <w:rsid w:val="002C1273"/>
    <w:rsid w:val="002C2A7F"/>
    <w:rsid w:val="002C3F7F"/>
    <w:rsid w:val="002C4680"/>
    <w:rsid w:val="002C6C76"/>
    <w:rsid w:val="002C7F67"/>
    <w:rsid w:val="002D07C3"/>
    <w:rsid w:val="002D40F2"/>
    <w:rsid w:val="002D4EDB"/>
    <w:rsid w:val="002D50B7"/>
    <w:rsid w:val="002D7E62"/>
    <w:rsid w:val="002E16F4"/>
    <w:rsid w:val="002E195D"/>
    <w:rsid w:val="002E5A68"/>
    <w:rsid w:val="002F40EE"/>
    <w:rsid w:val="002F4942"/>
    <w:rsid w:val="002F6F43"/>
    <w:rsid w:val="00301CFF"/>
    <w:rsid w:val="00302140"/>
    <w:rsid w:val="00305987"/>
    <w:rsid w:val="00307A4C"/>
    <w:rsid w:val="00313310"/>
    <w:rsid w:val="00313822"/>
    <w:rsid w:val="00325EF7"/>
    <w:rsid w:val="00325FF6"/>
    <w:rsid w:val="00327C43"/>
    <w:rsid w:val="00332386"/>
    <w:rsid w:val="003326C3"/>
    <w:rsid w:val="00332C33"/>
    <w:rsid w:val="003405A9"/>
    <w:rsid w:val="003422BF"/>
    <w:rsid w:val="003440D8"/>
    <w:rsid w:val="00345BBE"/>
    <w:rsid w:val="00345E64"/>
    <w:rsid w:val="00347B95"/>
    <w:rsid w:val="00350811"/>
    <w:rsid w:val="00351433"/>
    <w:rsid w:val="003556E5"/>
    <w:rsid w:val="00356E9C"/>
    <w:rsid w:val="00363C5C"/>
    <w:rsid w:val="0036481B"/>
    <w:rsid w:val="00366791"/>
    <w:rsid w:val="0036776E"/>
    <w:rsid w:val="0037484B"/>
    <w:rsid w:val="00376C66"/>
    <w:rsid w:val="003770B6"/>
    <w:rsid w:val="003844B1"/>
    <w:rsid w:val="00387C7C"/>
    <w:rsid w:val="00390E66"/>
    <w:rsid w:val="00391F4F"/>
    <w:rsid w:val="003949B2"/>
    <w:rsid w:val="003954C0"/>
    <w:rsid w:val="00395889"/>
    <w:rsid w:val="00395E3D"/>
    <w:rsid w:val="00396A5A"/>
    <w:rsid w:val="00397D4F"/>
    <w:rsid w:val="003A149E"/>
    <w:rsid w:val="003A3F0D"/>
    <w:rsid w:val="003A4B22"/>
    <w:rsid w:val="003A4F4E"/>
    <w:rsid w:val="003B0DBB"/>
    <w:rsid w:val="003C06F6"/>
    <w:rsid w:val="003C6223"/>
    <w:rsid w:val="003C74DE"/>
    <w:rsid w:val="003C7D7B"/>
    <w:rsid w:val="003D0890"/>
    <w:rsid w:val="003D1002"/>
    <w:rsid w:val="003D50B2"/>
    <w:rsid w:val="003D7AAD"/>
    <w:rsid w:val="003E0D85"/>
    <w:rsid w:val="003E165C"/>
    <w:rsid w:val="003E6EBC"/>
    <w:rsid w:val="003E744C"/>
    <w:rsid w:val="003E7D69"/>
    <w:rsid w:val="003F0F77"/>
    <w:rsid w:val="003F16A2"/>
    <w:rsid w:val="003F2A27"/>
    <w:rsid w:val="003F3609"/>
    <w:rsid w:val="003F3928"/>
    <w:rsid w:val="003F3CBE"/>
    <w:rsid w:val="003F58D8"/>
    <w:rsid w:val="004012C3"/>
    <w:rsid w:val="004067E8"/>
    <w:rsid w:val="0041047C"/>
    <w:rsid w:val="00410D1E"/>
    <w:rsid w:val="0041304D"/>
    <w:rsid w:val="0041472B"/>
    <w:rsid w:val="004174A0"/>
    <w:rsid w:val="00420A69"/>
    <w:rsid w:val="00421469"/>
    <w:rsid w:val="00433DCF"/>
    <w:rsid w:val="0043663E"/>
    <w:rsid w:val="00436D89"/>
    <w:rsid w:val="004414A0"/>
    <w:rsid w:val="00451665"/>
    <w:rsid w:val="004567E4"/>
    <w:rsid w:val="004570EE"/>
    <w:rsid w:val="004620A7"/>
    <w:rsid w:val="0046214B"/>
    <w:rsid w:val="0046279C"/>
    <w:rsid w:val="004651E2"/>
    <w:rsid w:val="00466DB3"/>
    <w:rsid w:val="004728DF"/>
    <w:rsid w:val="00473BE4"/>
    <w:rsid w:val="00476377"/>
    <w:rsid w:val="00477391"/>
    <w:rsid w:val="00481BEB"/>
    <w:rsid w:val="00481E84"/>
    <w:rsid w:val="004944B1"/>
    <w:rsid w:val="0049708D"/>
    <w:rsid w:val="00497200"/>
    <w:rsid w:val="004A2498"/>
    <w:rsid w:val="004A24BE"/>
    <w:rsid w:val="004A3140"/>
    <w:rsid w:val="004A3540"/>
    <w:rsid w:val="004A3603"/>
    <w:rsid w:val="004A3F4C"/>
    <w:rsid w:val="004B0C3E"/>
    <w:rsid w:val="004B24F9"/>
    <w:rsid w:val="004B26E7"/>
    <w:rsid w:val="004B3A4E"/>
    <w:rsid w:val="004B591C"/>
    <w:rsid w:val="004B6D0E"/>
    <w:rsid w:val="004B6F48"/>
    <w:rsid w:val="004C58B6"/>
    <w:rsid w:val="004D36D9"/>
    <w:rsid w:val="004D3CAB"/>
    <w:rsid w:val="004D533F"/>
    <w:rsid w:val="004D6F5B"/>
    <w:rsid w:val="004E2752"/>
    <w:rsid w:val="004E2880"/>
    <w:rsid w:val="004E4B26"/>
    <w:rsid w:val="004E4E27"/>
    <w:rsid w:val="004F141A"/>
    <w:rsid w:val="004F19FA"/>
    <w:rsid w:val="004F20DC"/>
    <w:rsid w:val="004F3BBB"/>
    <w:rsid w:val="004F6C2D"/>
    <w:rsid w:val="004F7B53"/>
    <w:rsid w:val="0051042C"/>
    <w:rsid w:val="00512C63"/>
    <w:rsid w:val="00514D6F"/>
    <w:rsid w:val="005152C4"/>
    <w:rsid w:val="00516591"/>
    <w:rsid w:val="00521829"/>
    <w:rsid w:val="00523453"/>
    <w:rsid w:val="00524146"/>
    <w:rsid w:val="005253D9"/>
    <w:rsid w:val="0053125A"/>
    <w:rsid w:val="00532192"/>
    <w:rsid w:val="00533262"/>
    <w:rsid w:val="00533358"/>
    <w:rsid w:val="00534DE1"/>
    <w:rsid w:val="0054181F"/>
    <w:rsid w:val="0054206D"/>
    <w:rsid w:val="00543464"/>
    <w:rsid w:val="005440C5"/>
    <w:rsid w:val="0054612E"/>
    <w:rsid w:val="005563E4"/>
    <w:rsid w:val="00556731"/>
    <w:rsid w:val="005573B8"/>
    <w:rsid w:val="00557D37"/>
    <w:rsid w:val="005634E1"/>
    <w:rsid w:val="00563FC9"/>
    <w:rsid w:val="005647A7"/>
    <w:rsid w:val="005658F7"/>
    <w:rsid w:val="00566851"/>
    <w:rsid w:val="005718CC"/>
    <w:rsid w:val="0057236A"/>
    <w:rsid w:val="00574A0F"/>
    <w:rsid w:val="00575770"/>
    <w:rsid w:val="0058105B"/>
    <w:rsid w:val="00581F31"/>
    <w:rsid w:val="00583945"/>
    <w:rsid w:val="0058670B"/>
    <w:rsid w:val="00586E06"/>
    <w:rsid w:val="00590DEF"/>
    <w:rsid w:val="00591C41"/>
    <w:rsid w:val="00594A42"/>
    <w:rsid w:val="00595B69"/>
    <w:rsid w:val="005967A4"/>
    <w:rsid w:val="005968D7"/>
    <w:rsid w:val="00597C30"/>
    <w:rsid w:val="005A2D01"/>
    <w:rsid w:val="005A338A"/>
    <w:rsid w:val="005A63CF"/>
    <w:rsid w:val="005A6D7D"/>
    <w:rsid w:val="005A721F"/>
    <w:rsid w:val="005A79E2"/>
    <w:rsid w:val="005B0D8F"/>
    <w:rsid w:val="005B2BA6"/>
    <w:rsid w:val="005B43B3"/>
    <w:rsid w:val="005B7275"/>
    <w:rsid w:val="005C08EE"/>
    <w:rsid w:val="005C116C"/>
    <w:rsid w:val="005C2833"/>
    <w:rsid w:val="005C36AB"/>
    <w:rsid w:val="005C4C40"/>
    <w:rsid w:val="005C4E84"/>
    <w:rsid w:val="005E3A85"/>
    <w:rsid w:val="005E498F"/>
    <w:rsid w:val="005E6FE9"/>
    <w:rsid w:val="005E7830"/>
    <w:rsid w:val="005F0299"/>
    <w:rsid w:val="005F1760"/>
    <w:rsid w:val="005F2064"/>
    <w:rsid w:val="005F5EE6"/>
    <w:rsid w:val="005F7081"/>
    <w:rsid w:val="005F7099"/>
    <w:rsid w:val="00601319"/>
    <w:rsid w:val="0060158E"/>
    <w:rsid w:val="0060193B"/>
    <w:rsid w:val="006022F0"/>
    <w:rsid w:val="00612659"/>
    <w:rsid w:val="0061508B"/>
    <w:rsid w:val="0061577C"/>
    <w:rsid w:val="006169EC"/>
    <w:rsid w:val="00616C2F"/>
    <w:rsid w:val="00617D66"/>
    <w:rsid w:val="00623C7F"/>
    <w:rsid w:val="0062477D"/>
    <w:rsid w:val="00626CAC"/>
    <w:rsid w:val="00633444"/>
    <w:rsid w:val="006343C1"/>
    <w:rsid w:val="0064065C"/>
    <w:rsid w:val="00641BA8"/>
    <w:rsid w:val="00642293"/>
    <w:rsid w:val="0064449D"/>
    <w:rsid w:val="00647409"/>
    <w:rsid w:val="00650D2D"/>
    <w:rsid w:val="00650D63"/>
    <w:rsid w:val="0065173F"/>
    <w:rsid w:val="00652D67"/>
    <w:rsid w:val="0065462B"/>
    <w:rsid w:val="00654F47"/>
    <w:rsid w:val="006557BE"/>
    <w:rsid w:val="00661F7F"/>
    <w:rsid w:val="00662F32"/>
    <w:rsid w:val="00667248"/>
    <w:rsid w:val="00667A6D"/>
    <w:rsid w:val="00667F61"/>
    <w:rsid w:val="00671907"/>
    <w:rsid w:val="00672E24"/>
    <w:rsid w:val="00672F82"/>
    <w:rsid w:val="006739A5"/>
    <w:rsid w:val="0067444F"/>
    <w:rsid w:val="00674B6E"/>
    <w:rsid w:val="00684F74"/>
    <w:rsid w:val="0068548B"/>
    <w:rsid w:val="00686471"/>
    <w:rsid w:val="00686C45"/>
    <w:rsid w:val="00687CBC"/>
    <w:rsid w:val="006918E6"/>
    <w:rsid w:val="00691C46"/>
    <w:rsid w:val="00692DE0"/>
    <w:rsid w:val="006948B2"/>
    <w:rsid w:val="006A1BA1"/>
    <w:rsid w:val="006A45CA"/>
    <w:rsid w:val="006A6254"/>
    <w:rsid w:val="006B0F05"/>
    <w:rsid w:val="006B34C0"/>
    <w:rsid w:val="006B59C1"/>
    <w:rsid w:val="006B5A6C"/>
    <w:rsid w:val="006B6BB5"/>
    <w:rsid w:val="006B74CA"/>
    <w:rsid w:val="006C0B13"/>
    <w:rsid w:val="006C1220"/>
    <w:rsid w:val="006C3A5E"/>
    <w:rsid w:val="006C4887"/>
    <w:rsid w:val="006C6B3C"/>
    <w:rsid w:val="006D1A11"/>
    <w:rsid w:val="006D3D0C"/>
    <w:rsid w:val="006D5EEB"/>
    <w:rsid w:val="006D6A8C"/>
    <w:rsid w:val="006D704A"/>
    <w:rsid w:val="006E2B25"/>
    <w:rsid w:val="006E37EB"/>
    <w:rsid w:val="006E3E5D"/>
    <w:rsid w:val="006E7EB9"/>
    <w:rsid w:val="006F2B09"/>
    <w:rsid w:val="0070047A"/>
    <w:rsid w:val="007006BF"/>
    <w:rsid w:val="007007FE"/>
    <w:rsid w:val="007049F0"/>
    <w:rsid w:val="00705730"/>
    <w:rsid w:val="00705C16"/>
    <w:rsid w:val="00711144"/>
    <w:rsid w:val="00712ED4"/>
    <w:rsid w:val="00714540"/>
    <w:rsid w:val="00715609"/>
    <w:rsid w:val="007166A9"/>
    <w:rsid w:val="007171A3"/>
    <w:rsid w:val="007223AA"/>
    <w:rsid w:val="0072315F"/>
    <w:rsid w:val="00723861"/>
    <w:rsid w:val="0072721D"/>
    <w:rsid w:val="00731865"/>
    <w:rsid w:val="00731D14"/>
    <w:rsid w:val="00745D23"/>
    <w:rsid w:val="007526E3"/>
    <w:rsid w:val="00755431"/>
    <w:rsid w:val="00755F54"/>
    <w:rsid w:val="00757412"/>
    <w:rsid w:val="00762EC3"/>
    <w:rsid w:val="0076312A"/>
    <w:rsid w:val="00765FF6"/>
    <w:rsid w:val="0076616E"/>
    <w:rsid w:val="00773B8C"/>
    <w:rsid w:val="00774404"/>
    <w:rsid w:val="00775EA4"/>
    <w:rsid w:val="00781968"/>
    <w:rsid w:val="00782A95"/>
    <w:rsid w:val="00784E10"/>
    <w:rsid w:val="00785674"/>
    <w:rsid w:val="00787E0F"/>
    <w:rsid w:val="00790F47"/>
    <w:rsid w:val="00791927"/>
    <w:rsid w:val="007A2CAF"/>
    <w:rsid w:val="007A62DC"/>
    <w:rsid w:val="007A6AD9"/>
    <w:rsid w:val="007A76C5"/>
    <w:rsid w:val="007B0679"/>
    <w:rsid w:val="007B2013"/>
    <w:rsid w:val="007B2372"/>
    <w:rsid w:val="007B415B"/>
    <w:rsid w:val="007B53E3"/>
    <w:rsid w:val="007B6858"/>
    <w:rsid w:val="007C2989"/>
    <w:rsid w:val="007C328E"/>
    <w:rsid w:val="007C390B"/>
    <w:rsid w:val="007C3D30"/>
    <w:rsid w:val="007C6329"/>
    <w:rsid w:val="007C6C8A"/>
    <w:rsid w:val="007C6EB5"/>
    <w:rsid w:val="007C72A9"/>
    <w:rsid w:val="007D1266"/>
    <w:rsid w:val="007D6E66"/>
    <w:rsid w:val="007E2B52"/>
    <w:rsid w:val="007E44E1"/>
    <w:rsid w:val="007E47EF"/>
    <w:rsid w:val="007F351E"/>
    <w:rsid w:val="007F36C6"/>
    <w:rsid w:val="007F40F2"/>
    <w:rsid w:val="007F709C"/>
    <w:rsid w:val="00802717"/>
    <w:rsid w:val="00802FC7"/>
    <w:rsid w:val="008100FE"/>
    <w:rsid w:val="00811D68"/>
    <w:rsid w:val="0081215F"/>
    <w:rsid w:val="00812965"/>
    <w:rsid w:val="00813512"/>
    <w:rsid w:val="008172A6"/>
    <w:rsid w:val="0082071E"/>
    <w:rsid w:val="00822676"/>
    <w:rsid w:val="00823EA9"/>
    <w:rsid w:val="00826BBB"/>
    <w:rsid w:val="0082714B"/>
    <w:rsid w:val="008310DD"/>
    <w:rsid w:val="0083325C"/>
    <w:rsid w:val="00835BFD"/>
    <w:rsid w:val="00835D0B"/>
    <w:rsid w:val="008419C5"/>
    <w:rsid w:val="008432B0"/>
    <w:rsid w:val="0084454E"/>
    <w:rsid w:val="00846FE2"/>
    <w:rsid w:val="0085128D"/>
    <w:rsid w:val="00851E4F"/>
    <w:rsid w:val="008563AF"/>
    <w:rsid w:val="00856815"/>
    <w:rsid w:val="00861CE0"/>
    <w:rsid w:val="00862D11"/>
    <w:rsid w:val="00863F34"/>
    <w:rsid w:val="00864364"/>
    <w:rsid w:val="008644EA"/>
    <w:rsid w:val="00866778"/>
    <w:rsid w:val="00867FD5"/>
    <w:rsid w:val="00870F92"/>
    <w:rsid w:val="00873083"/>
    <w:rsid w:val="00873C4C"/>
    <w:rsid w:val="00884E12"/>
    <w:rsid w:val="00884F53"/>
    <w:rsid w:val="00890E67"/>
    <w:rsid w:val="00894250"/>
    <w:rsid w:val="00894593"/>
    <w:rsid w:val="00896B6D"/>
    <w:rsid w:val="00897895"/>
    <w:rsid w:val="00897AC3"/>
    <w:rsid w:val="008A30AC"/>
    <w:rsid w:val="008A31F1"/>
    <w:rsid w:val="008A3D26"/>
    <w:rsid w:val="008A592D"/>
    <w:rsid w:val="008B2292"/>
    <w:rsid w:val="008B57F2"/>
    <w:rsid w:val="008C2109"/>
    <w:rsid w:val="008C234C"/>
    <w:rsid w:val="008C6958"/>
    <w:rsid w:val="008C6AA5"/>
    <w:rsid w:val="008D2002"/>
    <w:rsid w:val="008D57A3"/>
    <w:rsid w:val="008D736E"/>
    <w:rsid w:val="008E067C"/>
    <w:rsid w:val="008E12B5"/>
    <w:rsid w:val="008E6139"/>
    <w:rsid w:val="008E799D"/>
    <w:rsid w:val="008F1906"/>
    <w:rsid w:val="00906EBD"/>
    <w:rsid w:val="009074EA"/>
    <w:rsid w:val="00910120"/>
    <w:rsid w:val="00911503"/>
    <w:rsid w:val="00913584"/>
    <w:rsid w:val="00913C56"/>
    <w:rsid w:val="00913C87"/>
    <w:rsid w:val="009142F0"/>
    <w:rsid w:val="00921609"/>
    <w:rsid w:val="009238C8"/>
    <w:rsid w:val="00923DE5"/>
    <w:rsid w:val="009432A6"/>
    <w:rsid w:val="00944424"/>
    <w:rsid w:val="0094460D"/>
    <w:rsid w:val="00945928"/>
    <w:rsid w:val="00945EFB"/>
    <w:rsid w:val="00947C09"/>
    <w:rsid w:val="00950E3D"/>
    <w:rsid w:val="009519FF"/>
    <w:rsid w:val="00954E96"/>
    <w:rsid w:val="009569F0"/>
    <w:rsid w:val="00963D16"/>
    <w:rsid w:val="0096500B"/>
    <w:rsid w:val="00965F40"/>
    <w:rsid w:val="00966810"/>
    <w:rsid w:val="00974035"/>
    <w:rsid w:val="009747BF"/>
    <w:rsid w:val="00976066"/>
    <w:rsid w:val="00976F88"/>
    <w:rsid w:val="009770C6"/>
    <w:rsid w:val="009773AF"/>
    <w:rsid w:val="0098026E"/>
    <w:rsid w:val="009818B6"/>
    <w:rsid w:val="00990094"/>
    <w:rsid w:val="00991466"/>
    <w:rsid w:val="0099282A"/>
    <w:rsid w:val="00992E3D"/>
    <w:rsid w:val="00993B1D"/>
    <w:rsid w:val="00995745"/>
    <w:rsid w:val="0099692F"/>
    <w:rsid w:val="00996AD5"/>
    <w:rsid w:val="009A2B46"/>
    <w:rsid w:val="009A64AA"/>
    <w:rsid w:val="009A7989"/>
    <w:rsid w:val="009B016E"/>
    <w:rsid w:val="009B01CA"/>
    <w:rsid w:val="009B07DC"/>
    <w:rsid w:val="009B1174"/>
    <w:rsid w:val="009B32D4"/>
    <w:rsid w:val="009B4B64"/>
    <w:rsid w:val="009B57CF"/>
    <w:rsid w:val="009B73F1"/>
    <w:rsid w:val="009C0602"/>
    <w:rsid w:val="009C176E"/>
    <w:rsid w:val="009C4C4C"/>
    <w:rsid w:val="009C5B1F"/>
    <w:rsid w:val="009C61BC"/>
    <w:rsid w:val="009C626D"/>
    <w:rsid w:val="009D046A"/>
    <w:rsid w:val="009D169C"/>
    <w:rsid w:val="009D53B6"/>
    <w:rsid w:val="009D743D"/>
    <w:rsid w:val="009E2350"/>
    <w:rsid w:val="009E35B4"/>
    <w:rsid w:val="009E5729"/>
    <w:rsid w:val="009E6CEB"/>
    <w:rsid w:val="009E70D0"/>
    <w:rsid w:val="009F0DDF"/>
    <w:rsid w:val="009F2385"/>
    <w:rsid w:val="009F3AC9"/>
    <w:rsid w:val="009F4E85"/>
    <w:rsid w:val="00A028A0"/>
    <w:rsid w:val="00A02B4C"/>
    <w:rsid w:val="00A0486D"/>
    <w:rsid w:val="00A10CFE"/>
    <w:rsid w:val="00A110B6"/>
    <w:rsid w:val="00A11DF3"/>
    <w:rsid w:val="00A13737"/>
    <w:rsid w:val="00A13A89"/>
    <w:rsid w:val="00A164B0"/>
    <w:rsid w:val="00A24923"/>
    <w:rsid w:val="00A24A69"/>
    <w:rsid w:val="00A25A27"/>
    <w:rsid w:val="00A2687B"/>
    <w:rsid w:val="00A269C8"/>
    <w:rsid w:val="00A31EDE"/>
    <w:rsid w:val="00A32DF4"/>
    <w:rsid w:val="00A32EED"/>
    <w:rsid w:val="00A33AB7"/>
    <w:rsid w:val="00A36D7E"/>
    <w:rsid w:val="00A37DEA"/>
    <w:rsid w:val="00A40823"/>
    <w:rsid w:val="00A419BB"/>
    <w:rsid w:val="00A452BE"/>
    <w:rsid w:val="00A47880"/>
    <w:rsid w:val="00A50E78"/>
    <w:rsid w:val="00A51EFF"/>
    <w:rsid w:val="00A52172"/>
    <w:rsid w:val="00A5764C"/>
    <w:rsid w:val="00A61847"/>
    <w:rsid w:val="00A644C8"/>
    <w:rsid w:val="00A64927"/>
    <w:rsid w:val="00A67068"/>
    <w:rsid w:val="00A720A4"/>
    <w:rsid w:val="00A73195"/>
    <w:rsid w:val="00A73C3C"/>
    <w:rsid w:val="00A73D84"/>
    <w:rsid w:val="00A7611C"/>
    <w:rsid w:val="00A773DE"/>
    <w:rsid w:val="00A77CCC"/>
    <w:rsid w:val="00A80530"/>
    <w:rsid w:val="00A8087E"/>
    <w:rsid w:val="00A8219A"/>
    <w:rsid w:val="00A82A20"/>
    <w:rsid w:val="00A83AC5"/>
    <w:rsid w:val="00A83C47"/>
    <w:rsid w:val="00A8689A"/>
    <w:rsid w:val="00A87CC7"/>
    <w:rsid w:val="00A93A31"/>
    <w:rsid w:val="00A94656"/>
    <w:rsid w:val="00A947D8"/>
    <w:rsid w:val="00AA29EC"/>
    <w:rsid w:val="00AA3580"/>
    <w:rsid w:val="00AA479A"/>
    <w:rsid w:val="00AA4DD2"/>
    <w:rsid w:val="00AA6B22"/>
    <w:rsid w:val="00AA7538"/>
    <w:rsid w:val="00AB0057"/>
    <w:rsid w:val="00AB4D14"/>
    <w:rsid w:val="00AB5E9E"/>
    <w:rsid w:val="00AB7CD0"/>
    <w:rsid w:val="00AC4F74"/>
    <w:rsid w:val="00AC6377"/>
    <w:rsid w:val="00AD0985"/>
    <w:rsid w:val="00AD194D"/>
    <w:rsid w:val="00AD3202"/>
    <w:rsid w:val="00AD55E5"/>
    <w:rsid w:val="00AD78DE"/>
    <w:rsid w:val="00AE0CDC"/>
    <w:rsid w:val="00AE227F"/>
    <w:rsid w:val="00AE2964"/>
    <w:rsid w:val="00AE505E"/>
    <w:rsid w:val="00AE567A"/>
    <w:rsid w:val="00AF0255"/>
    <w:rsid w:val="00AF18F8"/>
    <w:rsid w:val="00AF2745"/>
    <w:rsid w:val="00AF6F26"/>
    <w:rsid w:val="00B00514"/>
    <w:rsid w:val="00B03CB2"/>
    <w:rsid w:val="00B05A2E"/>
    <w:rsid w:val="00B10482"/>
    <w:rsid w:val="00B107A4"/>
    <w:rsid w:val="00B1366D"/>
    <w:rsid w:val="00B147D7"/>
    <w:rsid w:val="00B1664F"/>
    <w:rsid w:val="00B17348"/>
    <w:rsid w:val="00B2002E"/>
    <w:rsid w:val="00B20875"/>
    <w:rsid w:val="00B212FA"/>
    <w:rsid w:val="00B247B7"/>
    <w:rsid w:val="00B2642E"/>
    <w:rsid w:val="00B4159A"/>
    <w:rsid w:val="00B41743"/>
    <w:rsid w:val="00B45837"/>
    <w:rsid w:val="00B4687F"/>
    <w:rsid w:val="00B46E69"/>
    <w:rsid w:val="00B470A2"/>
    <w:rsid w:val="00B47104"/>
    <w:rsid w:val="00B50A1B"/>
    <w:rsid w:val="00B53776"/>
    <w:rsid w:val="00B54C65"/>
    <w:rsid w:val="00B56DB4"/>
    <w:rsid w:val="00B652E5"/>
    <w:rsid w:val="00B656C2"/>
    <w:rsid w:val="00B670D8"/>
    <w:rsid w:val="00B70634"/>
    <w:rsid w:val="00B72453"/>
    <w:rsid w:val="00B73CD4"/>
    <w:rsid w:val="00B750EB"/>
    <w:rsid w:val="00B75EA6"/>
    <w:rsid w:val="00B75F84"/>
    <w:rsid w:val="00B765F8"/>
    <w:rsid w:val="00B77E09"/>
    <w:rsid w:val="00B81089"/>
    <w:rsid w:val="00B81094"/>
    <w:rsid w:val="00B86E8C"/>
    <w:rsid w:val="00B87BC4"/>
    <w:rsid w:val="00B91F58"/>
    <w:rsid w:val="00B940A8"/>
    <w:rsid w:val="00B94808"/>
    <w:rsid w:val="00BA08D4"/>
    <w:rsid w:val="00BA0BD0"/>
    <w:rsid w:val="00BA540F"/>
    <w:rsid w:val="00BA62E9"/>
    <w:rsid w:val="00BB0555"/>
    <w:rsid w:val="00BB1DF0"/>
    <w:rsid w:val="00BB2DA3"/>
    <w:rsid w:val="00BB44BC"/>
    <w:rsid w:val="00BB527C"/>
    <w:rsid w:val="00BC3E8A"/>
    <w:rsid w:val="00BC43B0"/>
    <w:rsid w:val="00BC53A8"/>
    <w:rsid w:val="00BC5E47"/>
    <w:rsid w:val="00BC7649"/>
    <w:rsid w:val="00BC77AC"/>
    <w:rsid w:val="00BD11FE"/>
    <w:rsid w:val="00BD296A"/>
    <w:rsid w:val="00BD3095"/>
    <w:rsid w:val="00BD41D7"/>
    <w:rsid w:val="00BD559E"/>
    <w:rsid w:val="00BD76A0"/>
    <w:rsid w:val="00BD7E08"/>
    <w:rsid w:val="00BE06F8"/>
    <w:rsid w:val="00BE1226"/>
    <w:rsid w:val="00BE19F0"/>
    <w:rsid w:val="00BE646C"/>
    <w:rsid w:val="00BF016E"/>
    <w:rsid w:val="00BF0D9E"/>
    <w:rsid w:val="00BF197F"/>
    <w:rsid w:val="00BF5ADD"/>
    <w:rsid w:val="00C029A8"/>
    <w:rsid w:val="00C04F6B"/>
    <w:rsid w:val="00C05FA0"/>
    <w:rsid w:val="00C06CFA"/>
    <w:rsid w:val="00C10F0D"/>
    <w:rsid w:val="00C1125C"/>
    <w:rsid w:val="00C177F7"/>
    <w:rsid w:val="00C22074"/>
    <w:rsid w:val="00C23F86"/>
    <w:rsid w:val="00C2536F"/>
    <w:rsid w:val="00C26DF9"/>
    <w:rsid w:val="00C30699"/>
    <w:rsid w:val="00C371F7"/>
    <w:rsid w:val="00C43133"/>
    <w:rsid w:val="00C45964"/>
    <w:rsid w:val="00C479D8"/>
    <w:rsid w:val="00C47F79"/>
    <w:rsid w:val="00C5044C"/>
    <w:rsid w:val="00C50804"/>
    <w:rsid w:val="00C50876"/>
    <w:rsid w:val="00C520A0"/>
    <w:rsid w:val="00C52D19"/>
    <w:rsid w:val="00C5508E"/>
    <w:rsid w:val="00C57F37"/>
    <w:rsid w:val="00C6342C"/>
    <w:rsid w:val="00C64B67"/>
    <w:rsid w:val="00C7092D"/>
    <w:rsid w:val="00C71A2B"/>
    <w:rsid w:val="00C730CC"/>
    <w:rsid w:val="00C7371A"/>
    <w:rsid w:val="00C75F5A"/>
    <w:rsid w:val="00C760FA"/>
    <w:rsid w:val="00C77C03"/>
    <w:rsid w:val="00C86492"/>
    <w:rsid w:val="00C9066A"/>
    <w:rsid w:val="00C9111A"/>
    <w:rsid w:val="00C944ED"/>
    <w:rsid w:val="00CA24DE"/>
    <w:rsid w:val="00CA3953"/>
    <w:rsid w:val="00CA65FB"/>
    <w:rsid w:val="00CB0E49"/>
    <w:rsid w:val="00CB60AF"/>
    <w:rsid w:val="00CC0758"/>
    <w:rsid w:val="00CC1B7B"/>
    <w:rsid w:val="00CC66D6"/>
    <w:rsid w:val="00CD2ED9"/>
    <w:rsid w:val="00CD5C58"/>
    <w:rsid w:val="00CD5F15"/>
    <w:rsid w:val="00CD6A57"/>
    <w:rsid w:val="00CE0DDC"/>
    <w:rsid w:val="00CE4968"/>
    <w:rsid w:val="00CE5411"/>
    <w:rsid w:val="00CE6BDD"/>
    <w:rsid w:val="00CF1405"/>
    <w:rsid w:val="00CF260B"/>
    <w:rsid w:val="00CF275C"/>
    <w:rsid w:val="00CF3F22"/>
    <w:rsid w:val="00CF4097"/>
    <w:rsid w:val="00CF72F3"/>
    <w:rsid w:val="00CF76B1"/>
    <w:rsid w:val="00D100C8"/>
    <w:rsid w:val="00D16A65"/>
    <w:rsid w:val="00D202C8"/>
    <w:rsid w:val="00D20D47"/>
    <w:rsid w:val="00D20F83"/>
    <w:rsid w:val="00D229DC"/>
    <w:rsid w:val="00D27408"/>
    <w:rsid w:val="00D32712"/>
    <w:rsid w:val="00D3327A"/>
    <w:rsid w:val="00D336FB"/>
    <w:rsid w:val="00D339CD"/>
    <w:rsid w:val="00D44F26"/>
    <w:rsid w:val="00D47200"/>
    <w:rsid w:val="00D50AA8"/>
    <w:rsid w:val="00D53DC9"/>
    <w:rsid w:val="00D54D38"/>
    <w:rsid w:val="00D554BE"/>
    <w:rsid w:val="00D578A7"/>
    <w:rsid w:val="00D625C0"/>
    <w:rsid w:val="00D715FC"/>
    <w:rsid w:val="00D72544"/>
    <w:rsid w:val="00D73AF9"/>
    <w:rsid w:val="00D748B6"/>
    <w:rsid w:val="00D75669"/>
    <w:rsid w:val="00D76918"/>
    <w:rsid w:val="00D77C76"/>
    <w:rsid w:val="00D82420"/>
    <w:rsid w:val="00D86348"/>
    <w:rsid w:val="00D90B75"/>
    <w:rsid w:val="00D93887"/>
    <w:rsid w:val="00DA28A7"/>
    <w:rsid w:val="00DA34A1"/>
    <w:rsid w:val="00DA3EA0"/>
    <w:rsid w:val="00DA4588"/>
    <w:rsid w:val="00DA77F2"/>
    <w:rsid w:val="00DB165E"/>
    <w:rsid w:val="00DB23FB"/>
    <w:rsid w:val="00DB32CC"/>
    <w:rsid w:val="00DB4086"/>
    <w:rsid w:val="00DB7E48"/>
    <w:rsid w:val="00DC204A"/>
    <w:rsid w:val="00DC4F46"/>
    <w:rsid w:val="00DD45FC"/>
    <w:rsid w:val="00DD658D"/>
    <w:rsid w:val="00DD6C3C"/>
    <w:rsid w:val="00DD7568"/>
    <w:rsid w:val="00DE187D"/>
    <w:rsid w:val="00DE1FD9"/>
    <w:rsid w:val="00DE241C"/>
    <w:rsid w:val="00DE32E5"/>
    <w:rsid w:val="00DE3B64"/>
    <w:rsid w:val="00DE4B31"/>
    <w:rsid w:val="00DE7D3A"/>
    <w:rsid w:val="00DF1059"/>
    <w:rsid w:val="00DF4603"/>
    <w:rsid w:val="00DF5376"/>
    <w:rsid w:val="00DF5A2C"/>
    <w:rsid w:val="00DF5F62"/>
    <w:rsid w:val="00E009D5"/>
    <w:rsid w:val="00E00BAB"/>
    <w:rsid w:val="00E0167D"/>
    <w:rsid w:val="00E10D71"/>
    <w:rsid w:val="00E1181C"/>
    <w:rsid w:val="00E13D3F"/>
    <w:rsid w:val="00E15E72"/>
    <w:rsid w:val="00E16353"/>
    <w:rsid w:val="00E16E1B"/>
    <w:rsid w:val="00E212A9"/>
    <w:rsid w:val="00E24282"/>
    <w:rsid w:val="00E25786"/>
    <w:rsid w:val="00E27E7A"/>
    <w:rsid w:val="00E30F64"/>
    <w:rsid w:val="00E332AF"/>
    <w:rsid w:val="00E43020"/>
    <w:rsid w:val="00E43331"/>
    <w:rsid w:val="00E43525"/>
    <w:rsid w:val="00E442A7"/>
    <w:rsid w:val="00E44BBE"/>
    <w:rsid w:val="00E44DF9"/>
    <w:rsid w:val="00E46E7D"/>
    <w:rsid w:val="00E55326"/>
    <w:rsid w:val="00E57E0E"/>
    <w:rsid w:val="00E60B06"/>
    <w:rsid w:val="00E634E7"/>
    <w:rsid w:val="00E6649B"/>
    <w:rsid w:val="00E71F51"/>
    <w:rsid w:val="00E75C1B"/>
    <w:rsid w:val="00E76B56"/>
    <w:rsid w:val="00E7746A"/>
    <w:rsid w:val="00E775A9"/>
    <w:rsid w:val="00E83012"/>
    <w:rsid w:val="00E83992"/>
    <w:rsid w:val="00E8615D"/>
    <w:rsid w:val="00E8653B"/>
    <w:rsid w:val="00E9210A"/>
    <w:rsid w:val="00E925E1"/>
    <w:rsid w:val="00E92CE5"/>
    <w:rsid w:val="00EA012C"/>
    <w:rsid w:val="00EA01A4"/>
    <w:rsid w:val="00EA1EE1"/>
    <w:rsid w:val="00EA34DC"/>
    <w:rsid w:val="00EA3B99"/>
    <w:rsid w:val="00EA46D8"/>
    <w:rsid w:val="00EA6156"/>
    <w:rsid w:val="00EB03BD"/>
    <w:rsid w:val="00EC091E"/>
    <w:rsid w:val="00EC0ED3"/>
    <w:rsid w:val="00EC14B0"/>
    <w:rsid w:val="00EC424E"/>
    <w:rsid w:val="00EC72D4"/>
    <w:rsid w:val="00ED0F7B"/>
    <w:rsid w:val="00ED3D49"/>
    <w:rsid w:val="00ED6C4F"/>
    <w:rsid w:val="00EE116A"/>
    <w:rsid w:val="00EE6BF5"/>
    <w:rsid w:val="00EE6DC6"/>
    <w:rsid w:val="00EF1808"/>
    <w:rsid w:val="00EF55D1"/>
    <w:rsid w:val="00EF695C"/>
    <w:rsid w:val="00EF6FB0"/>
    <w:rsid w:val="00EF729D"/>
    <w:rsid w:val="00EF7D7C"/>
    <w:rsid w:val="00F00F60"/>
    <w:rsid w:val="00F07182"/>
    <w:rsid w:val="00F11A94"/>
    <w:rsid w:val="00F122C4"/>
    <w:rsid w:val="00F131A1"/>
    <w:rsid w:val="00F158DA"/>
    <w:rsid w:val="00F212EC"/>
    <w:rsid w:val="00F226A7"/>
    <w:rsid w:val="00F243CD"/>
    <w:rsid w:val="00F25E5B"/>
    <w:rsid w:val="00F273ED"/>
    <w:rsid w:val="00F277CE"/>
    <w:rsid w:val="00F3000E"/>
    <w:rsid w:val="00F333FC"/>
    <w:rsid w:val="00F45E22"/>
    <w:rsid w:val="00F52276"/>
    <w:rsid w:val="00F52F6A"/>
    <w:rsid w:val="00F5356A"/>
    <w:rsid w:val="00F54BA4"/>
    <w:rsid w:val="00F54D3F"/>
    <w:rsid w:val="00F55D1E"/>
    <w:rsid w:val="00F570F4"/>
    <w:rsid w:val="00F62CDD"/>
    <w:rsid w:val="00F637DD"/>
    <w:rsid w:val="00F655C8"/>
    <w:rsid w:val="00F66048"/>
    <w:rsid w:val="00F662B7"/>
    <w:rsid w:val="00F66BD9"/>
    <w:rsid w:val="00F72362"/>
    <w:rsid w:val="00F7401A"/>
    <w:rsid w:val="00F7542C"/>
    <w:rsid w:val="00F802A6"/>
    <w:rsid w:val="00F81CCA"/>
    <w:rsid w:val="00F86628"/>
    <w:rsid w:val="00F94DF2"/>
    <w:rsid w:val="00F94E00"/>
    <w:rsid w:val="00F95A6F"/>
    <w:rsid w:val="00FA0602"/>
    <w:rsid w:val="00FA1823"/>
    <w:rsid w:val="00FA37FB"/>
    <w:rsid w:val="00FA65AB"/>
    <w:rsid w:val="00FA6718"/>
    <w:rsid w:val="00FB2A64"/>
    <w:rsid w:val="00FB3C7B"/>
    <w:rsid w:val="00FB474D"/>
    <w:rsid w:val="00FB68A4"/>
    <w:rsid w:val="00FC02F8"/>
    <w:rsid w:val="00FC252C"/>
    <w:rsid w:val="00FC7B1A"/>
    <w:rsid w:val="00FD107D"/>
    <w:rsid w:val="00FD3042"/>
    <w:rsid w:val="00FD394B"/>
    <w:rsid w:val="00FD4A13"/>
    <w:rsid w:val="00FD7B9C"/>
    <w:rsid w:val="00FE284C"/>
    <w:rsid w:val="00FE29C3"/>
    <w:rsid w:val="00FE52D9"/>
    <w:rsid w:val="00FF6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703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6"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02198C"/>
    <w:pPr>
      <w:keepNext/>
      <w:keepLines/>
      <w:spacing w:before="240" w:line="259" w:lineRule="auto"/>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6B34C0"/>
    <w:rPr>
      <w:sz w:val="16"/>
      <w:szCs w:val="16"/>
    </w:rPr>
  </w:style>
  <w:style w:type="paragraph" w:styleId="CommentText">
    <w:name w:val="annotation text"/>
    <w:basedOn w:val="Normal"/>
    <w:link w:val="CommentTextChar"/>
    <w:uiPriority w:val="99"/>
    <w:rsid w:val="006B34C0"/>
    <w:rPr>
      <w:sz w:val="20"/>
      <w:szCs w:val="20"/>
    </w:rPr>
  </w:style>
  <w:style w:type="paragraph" w:styleId="CommentSubject">
    <w:name w:val="annotation subject"/>
    <w:basedOn w:val="CommentText"/>
    <w:next w:val="CommentText"/>
    <w:semiHidden/>
    <w:rsid w:val="006B34C0"/>
    <w:rPr>
      <w:b/>
      <w:bCs/>
    </w:rPr>
  </w:style>
  <w:style w:type="paragraph" w:styleId="BalloonText">
    <w:name w:val="Balloon Text"/>
    <w:basedOn w:val="Normal"/>
    <w:semiHidden/>
    <w:rsid w:val="006B34C0"/>
    <w:rPr>
      <w:rFonts w:ascii="Tahoma" w:hAnsi="Tahoma" w:cs="Tahoma"/>
      <w:sz w:val="16"/>
      <w:szCs w:val="16"/>
    </w:rPr>
  </w:style>
  <w:style w:type="paragraph" w:customStyle="1" w:styleId="CharCharChar1CharCharCharCharCharChar">
    <w:name w:val="Char Char Char1 Char Char Char Char Char Char"/>
    <w:basedOn w:val="Normal"/>
    <w:rsid w:val="00686471"/>
    <w:pPr>
      <w:spacing w:after="160" w:line="240" w:lineRule="exact"/>
    </w:pPr>
    <w:rPr>
      <w:rFonts w:ascii="Tahoma" w:hAnsi="Tahoma"/>
      <w:sz w:val="20"/>
      <w:szCs w:val="20"/>
    </w:rPr>
  </w:style>
  <w:style w:type="paragraph" w:styleId="FootnoteText">
    <w:name w:val="footnote text"/>
    <w:basedOn w:val="Normal"/>
    <w:link w:val="FootnoteTextChar"/>
    <w:uiPriority w:val="99"/>
    <w:rsid w:val="00575770"/>
    <w:rPr>
      <w:sz w:val="20"/>
      <w:szCs w:val="20"/>
    </w:rPr>
  </w:style>
  <w:style w:type="character" w:customStyle="1" w:styleId="FootnoteTextChar">
    <w:name w:val="Footnote Text Char"/>
    <w:link w:val="FootnoteText"/>
    <w:uiPriority w:val="99"/>
    <w:rsid w:val="00575770"/>
    <w:rPr>
      <w:lang w:val="en-US" w:eastAsia="en-US"/>
    </w:rPr>
  </w:style>
  <w:style w:type="character" w:styleId="FootnoteReference">
    <w:name w:val="footnote reference"/>
    <w:aliases w:val="BVI fnr,16 Point,Superscript 6 Point"/>
    <w:uiPriority w:val="26"/>
    <w:rsid w:val="00575770"/>
    <w:rPr>
      <w:vertAlign w:val="superscript"/>
    </w:rPr>
  </w:style>
  <w:style w:type="paragraph" w:customStyle="1" w:styleId="CharCharCharChar">
    <w:name w:val="Char Char Char Char"/>
    <w:basedOn w:val="Normal"/>
    <w:rsid w:val="00A644C8"/>
    <w:pPr>
      <w:spacing w:after="160" w:line="240" w:lineRule="exact"/>
    </w:pPr>
    <w:rPr>
      <w:rFonts w:ascii="Tahoma" w:hAnsi="Tahoma"/>
      <w:sz w:val="20"/>
      <w:szCs w:val="20"/>
      <w:lang w:val="sq-AL"/>
    </w:rPr>
  </w:style>
  <w:style w:type="paragraph" w:styleId="Header">
    <w:name w:val="header"/>
    <w:basedOn w:val="Normal"/>
    <w:link w:val="HeaderChar"/>
    <w:rsid w:val="00A452BE"/>
    <w:pPr>
      <w:tabs>
        <w:tab w:val="center" w:pos="4513"/>
        <w:tab w:val="right" w:pos="9026"/>
      </w:tabs>
    </w:pPr>
  </w:style>
  <w:style w:type="character" w:customStyle="1" w:styleId="HeaderChar">
    <w:name w:val="Header Char"/>
    <w:link w:val="Header"/>
    <w:rsid w:val="00A452BE"/>
    <w:rPr>
      <w:sz w:val="24"/>
      <w:szCs w:val="24"/>
      <w:lang w:val="en-US" w:eastAsia="en-US"/>
    </w:rPr>
  </w:style>
  <w:style w:type="paragraph" w:styleId="Footer">
    <w:name w:val="footer"/>
    <w:basedOn w:val="Normal"/>
    <w:link w:val="FooterChar"/>
    <w:uiPriority w:val="99"/>
    <w:rsid w:val="00A452BE"/>
    <w:pPr>
      <w:tabs>
        <w:tab w:val="center" w:pos="4513"/>
        <w:tab w:val="right" w:pos="9026"/>
      </w:tabs>
    </w:pPr>
  </w:style>
  <w:style w:type="character" w:customStyle="1" w:styleId="FooterChar">
    <w:name w:val="Footer Char"/>
    <w:link w:val="Footer"/>
    <w:uiPriority w:val="99"/>
    <w:rsid w:val="00A452BE"/>
    <w:rPr>
      <w:sz w:val="24"/>
      <w:szCs w:val="24"/>
      <w:lang w:val="en-US" w:eastAsia="en-US"/>
    </w:rPr>
  </w:style>
  <w:style w:type="character" w:styleId="Hyperlink">
    <w:name w:val="Hyperlink"/>
    <w:uiPriority w:val="99"/>
    <w:rsid w:val="00FA37FB"/>
    <w:rPr>
      <w:color w:val="0000FF"/>
      <w:u w:val="single"/>
    </w:rPr>
  </w:style>
  <w:style w:type="paragraph" w:styleId="Revision">
    <w:name w:val="Revision"/>
    <w:hidden/>
    <w:uiPriority w:val="99"/>
    <w:semiHidden/>
    <w:rsid w:val="009E35B4"/>
    <w:rPr>
      <w:sz w:val="24"/>
      <w:szCs w:val="24"/>
    </w:rPr>
  </w:style>
  <w:style w:type="character" w:customStyle="1" w:styleId="longtext">
    <w:name w:val="long_text"/>
    <w:basedOn w:val="DefaultParagraphFont"/>
    <w:rsid w:val="00264AB5"/>
  </w:style>
  <w:style w:type="character" w:styleId="FollowedHyperlink">
    <w:name w:val="FollowedHyperlink"/>
    <w:rsid w:val="00EF1808"/>
    <w:rPr>
      <w:color w:val="800080"/>
      <w:u w:val="single"/>
    </w:rPr>
  </w:style>
  <w:style w:type="paragraph" w:styleId="ListParagraph">
    <w:name w:val="List Paragraph"/>
    <w:basedOn w:val="Normal"/>
    <w:uiPriority w:val="34"/>
    <w:qFormat/>
    <w:rsid w:val="00C50876"/>
    <w:pPr>
      <w:spacing w:after="200" w:line="276" w:lineRule="auto"/>
      <w:ind w:left="720"/>
      <w:contextualSpacing/>
    </w:pPr>
    <w:rPr>
      <w:rFonts w:ascii="Calibri" w:eastAsia="Calibri" w:hAnsi="Calibri"/>
      <w:sz w:val="22"/>
      <w:szCs w:val="22"/>
    </w:rPr>
  </w:style>
  <w:style w:type="paragraph" w:customStyle="1" w:styleId="CM4">
    <w:name w:val="CM4"/>
    <w:basedOn w:val="Normal"/>
    <w:next w:val="Normal"/>
    <w:uiPriority w:val="99"/>
    <w:rsid w:val="00873083"/>
    <w:pPr>
      <w:autoSpaceDE w:val="0"/>
      <w:autoSpaceDN w:val="0"/>
      <w:adjustRightInd w:val="0"/>
      <w:spacing w:before="60" w:after="60"/>
    </w:pPr>
    <w:rPr>
      <w:rFonts w:ascii="EUAlbertina" w:hAnsi="EUAlbertina"/>
    </w:rPr>
  </w:style>
  <w:style w:type="paragraph" w:customStyle="1" w:styleId="Default">
    <w:name w:val="Default"/>
    <w:rsid w:val="00E16353"/>
    <w:pPr>
      <w:autoSpaceDE w:val="0"/>
      <w:autoSpaceDN w:val="0"/>
      <w:adjustRightInd w:val="0"/>
    </w:pPr>
    <w:rPr>
      <w:rFonts w:ascii="Arial" w:hAnsi="Arial" w:cs="Arial"/>
      <w:color w:val="000000"/>
      <w:sz w:val="24"/>
      <w:szCs w:val="24"/>
    </w:rPr>
  </w:style>
  <w:style w:type="table" w:styleId="TableGrid">
    <w:name w:val="Table Grid"/>
    <w:basedOn w:val="TableNormal"/>
    <w:rsid w:val="0036776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M1">
    <w:name w:val="CM1"/>
    <w:basedOn w:val="Default"/>
    <w:next w:val="Default"/>
    <w:uiPriority w:val="99"/>
    <w:rsid w:val="009D169C"/>
    <w:rPr>
      <w:rFonts w:ascii="EUAlbertina" w:hAnsi="EUAlbertina" w:cs="Times New Roman"/>
      <w:color w:val="auto"/>
      <w:lang w:val="sq-AL" w:eastAsia="sq-AL"/>
    </w:rPr>
  </w:style>
  <w:style w:type="paragraph" w:customStyle="1" w:styleId="CM3">
    <w:name w:val="CM3"/>
    <w:basedOn w:val="Default"/>
    <w:next w:val="Default"/>
    <w:uiPriority w:val="99"/>
    <w:rsid w:val="009D169C"/>
    <w:rPr>
      <w:rFonts w:ascii="EUAlbertina" w:hAnsi="EUAlbertina" w:cs="Times New Roman"/>
      <w:color w:val="auto"/>
      <w:lang w:val="sq-AL" w:eastAsia="sq-AL"/>
    </w:rPr>
  </w:style>
  <w:style w:type="paragraph" w:styleId="HTMLPreformatted">
    <w:name w:val="HTML Preformatted"/>
    <w:basedOn w:val="Normal"/>
    <w:link w:val="HTMLPreformattedChar"/>
    <w:uiPriority w:val="99"/>
    <w:unhideWhenUsed/>
    <w:rsid w:val="0002198C"/>
    <w:rPr>
      <w:rFonts w:ascii="Consolas" w:hAnsi="Consolas" w:cs="Consolas"/>
      <w:sz w:val="20"/>
      <w:szCs w:val="20"/>
    </w:rPr>
  </w:style>
  <w:style w:type="character" w:customStyle="1" w:styleId="HTMLPreformattedChar">
    <w:name w:val="HTML Preformatted Char"/>
    <w:link w:val="HTMLPreformatted"/>
    <w:uiPriority w:val="99"/>
    <w:rsid w:val="0002198C"/>
    <w:rPr>
      <w:rFonts w:ascii="Consolas" w:hAnsi="Consolas" w:cs="Consolas"/>
      <w:lang w:val="en-US" w:eastAsia="en-US"/>
    </w:rPr>
  </w:style>
  <w:style w:type="character" w:customStyle="1" w:styleId="Heading1Char">
    <w:name w:val="Heading 1 Char"/>
    <w:link w:val="Heading1"/>
    <w:uiPriority w:val="9"/>
    <w:rsid w:val="0002198C"/>
    <w:rPr>
      <w:rFonts w:ascii="Calibri Light" w:eastAsia="Times New Roman" w:hAnsi="Calibri Light"/>
      <w:color w:val="2E74B5"/>
      <w:sz w:val="32"/>
      <w:szCs w:val="32"/>
      <w:lang w:val="en-US" w:eastAsia="en-US"/>
    </w:rPr>
  </w:style>
  <w:style w:type="character" w:customStyle="1" w:styleId="CommentTextChar">
    <w:name w:val="Comment Text Char"/>
    <w:link w:val="CommentText"/>
    <w:uiPriority w:val="99"/>
    <w:rsid w:val="0002198C"/>
    <w:rPr>
      <w:lang w:val="en-US" w:eastAsia="en-US"/>
    </w:rPr>
  </w:style>
  <w:style w:type="paragraph" w:customStyle="1" w:styleId="paragrafi">
    <w:name w:val="paragrafi"/>
    <w:basedOn w:val="Normal"/>
    <w:rsid w:val="00283EA6"/>
    <w:pPr>
      <w:spacing w:before="100" w:beforeAutospacing="1" w:after="100" w:afterAutospacing="1"/>
    </w:pPr>
    <w:rPr>
      <w:rFonts w:eastAsia="Calibri"/>
      <w:lang w:val="en-GB" w:eastAsia="en-GB"/>
    </w:rPr>
  </w:style>
  <w:style w:type="paragraph" w:styleId="TOCHeading">
    <w:name w:val="TOC Heading"/>
    <w:basedOn w:val="Heading1"/>
    <w:next w:val="Normal"/>
    <w:uiPriority w:val="39"/>
    <w:unhideWhenUsed/>
    <w:qFormat/>
    <w:rsid w:val="004D6F5B"/>
    <w:pPr>
      <w:outlineLvl w:val="9"/>
    </w:pPr>
  </w:style>
  <w:style w:type="paragraph" w:styleId="TOC1">
    <w:name w:val="toc 1"/>
    <w:basedOn w:val="Normal"/>
    <w:next w:val="Normal"/>
    <w:autoRedefine/>
    <w:uiPriority w:val="39"/>
    <w:rsid w:val="004D6F5B"/>
  </w:style>
  <w:style w:type="character" w:customStyle="1" w:styleId="CommentTextChar1">
    <w:name w:val="Comment Text Char1"/>
    <w:basedOn w:val="DefaultParagraphFont"/>
    <w:uiPriority w:val="99"/>
    <w:semiHidden/>
    <w:locked/>
    <w:rsid w:val="005A6D7D"/>
    <w:rPr>
      <w:rFonts w:asciiTheme="minorHAnsi" w:eastAsiaTheme="minorHAnsi" w:hAnsiTheme="minorHAnsi" w:cstheme="minorBidi"/>
    </w:rPr>
  </w:style>
  <w:style w:type="paragraph" w:customStyle="1" w:styleId="doc-ti">
    <w:name w:val="doc-ti"/>
    <w:basedOn w:val="Normal"/>
    <w:rsid w:val="003A4B22"/>
    <w:pPr>
      <w:spacing w:before="100" w:beforeAutospacing="1" w:after="100" w:afterAutospacing="1"/>
    </w:pPr>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4252">
      <w:bodyDiv w:val="1"/>
      <w:marLeft w:val="0"/>
      <w:marRight w:val="0"/>
      <w:marTop w:val="0"/>
      <w:marBottom w:val="0"/>
      <w:divBdr>
        <w:top w:val="none" w:sz="0" w:space="0" w:color="auto"/>
        <w:left w:val="none" w:sz="0" w:space="0" w:color="auto"/>
        <w:bottom w:val="none" w:sz="0" w:space="0" w:color="auto"/>
        <w:right w:val="none" w:sz="0" w:space="0" w:color="auto"/>
      </w:divBdr>
    </w:div>
    <w:div w:id="128281869">
      <w:bodyDiv w:val="1"/>
      <w:marLeft w:val="0"/>
      <w:marRight w:val="0"/>
      <w:marTop w:val="0"/>
      <w:marBottom w:val="0"/>
      <w:divBdr>
        <w:top w:val="none" w:sz="0" w:space="0" w:color="auto"/>
        <w:left w:val="none" w:sz="0" w:space="0" w:color="auto"/>
        <w:bottom w:val="none" w:sz="0" w:space="0" w:color="auto"/>
        <w:right w:val="none" w:sz="0" w:space="0" w:color="auto"/>
      </w:divBdr>
      <w:divsChild>
        <w:div w:id="2090036482">
          <w:marLeft w:val="0"/>
          <w:marRight w:val="0"/>
          <w:marTop w:val="0"/>
          <w:marBottom w:val="0"/>
          <w:divBdr>
            <w:top w:val="none" w:sz="0" w:space="0" w:color="auto"/>
            <w:left w:val="none" w:sz="0" w:space="0" w:color="auto"/>
            <w:bottom w:val="none" w:sz="0" w:space="0" w:color="auto"/>
            <w:right w:val="none" w:sz="0" w:space="0" w:color="auto"/>
          </w:divBdr>
        </w:div>
      </w:divsChild>
    </w:div>
    <w:div w:id="274870121">
      <w:bodyDiv w:val="1"/>
      <w:marLeft w:val="0"/>
      <w:marRight w:val="0"/>
      <w:marTop w:val="0"/>
      <w:marBottom w:val="0"/>
      <w:divBdr>
        <w:top w:val="none" w:sz="0" w:space="0" w:color="auto"/>
        <w:left w:val="none" w:sz="0" w:space="0" w:color="auto"/>
        <w:bottom w:val="none" w:sz="0" w:space="0" w:color="auto"/>
        <w:right w:val="none" w:sz="0" w:space="0" w:color="auto"/>
      </w:divBdr>
      <w:divsChild>
        <w:div w:id="1856965463">
          <w:marLeft w:val="0"/>
          <w:marRight w:val="0"/>
          <w:marTop w:val="0"/>
          <w:marBottom w:val="0"/>
          <w:divBdr>
            <w:top w:val="none" w:sz="0" w:space="0" w:color="auto"/>
            <w:left w:val="none" w:sz="0" w:space="0" w:color="auto"/>
            <w:bottom w:val="none" w:sz="0" w:space="0" w:color="auto"/>
            <w:right w:val="none" w:sz="0" w:space="0" w:color="auto"/>
          </w:divBdr>
        </w:div>
      </w:divsChild>
    </w:div>
    <w:div w:id="284776803">
      <w:bodyDiv w:val="1"/>
      <w:marLeft w:val="0"/>
      <w:marRight w:val="0"/>
      <w:marTop w:val="0"/>
      <w:marBottom w:val="0"/>
      <w:divBdr>
        <w:top w:val="none" w:sz="0" w:space="0" w:color="auto"/>
        <w:left w:val="none" w:sz="0" w:space="0" w:color="auto"/>
        <w:bottom w:val="none" w:sz="0" w:space="0" w:color="auto"/>
        <w:right w:val="none" w:sz="0" w:space="0" w:color="auto"/>
      </w:divBdr>
    </w:div>
    <w:div w:id="341470409">
      <w:bodyDiv w:val="1"/>
      <w:marLeft w:val="0"/>
      <w:marRight w:val="0"/>
      <w:marTop w:val="0"/>
      <w:marBottom w:val="0"/>
      <w:divBdr>
        <w:top w:val="none" w:sz="0" w:space="0" w:color="auto"/>
        <w:left w:val="none" w:sz="0" w:space="0" w:color="auto"/>
        <w:bottom w:val="none" w:sz="0" w:space="0" w:color="auto"/>
        <w:right w:val="none" w:sz="0" w:space="0" w:color="auto"/>
      </w:divBdr>
      <w:divsChild>
        <w:div w:id="1599562966">
          <w:marLeft w:val="0"/>
          <w:marRight w:val="0"/>
          <w:marTop w:val="0"/>
          <w:marBottom w:val="0"/>
          <w:divBdr>
            <w:top w:val="none" w:sz="0" w:space="0" w:color="auto"/>
            <w:left w:val="none" w:sz="0" w:space="0" w:color="auto"/>
            <w:bottom w:val="none" w:sz="0" w:space="0" w:color="auto"/>
            <w:right w:val="none" w:sz="0" w:space="0" w:color="auto"/>
          </w:divBdr>
          <w:divsChild>
            <w:div w:id="157157796">
              <w:marLeft w:val="0"/>
              <w:marRight w:val="0"/>
              <w:marTop w:val="0"/>
              <w:marBottom w:val="0"/>
              <w:divBdr>
                <w:top w:val="none" w:sz="0" w:space="0" w:color="auto"/>
                <w:left w:val="none" w:sz="0" w:space="0" w:color="auto"/>
                <w:bottom w:val="none" w:sz="0" w:space="0" w:color="auto"/>
                <w:right w:val="none" w:sz="0" w:space="0" w:color="auto"/>
              </w:divBdr>
            </w:div>
            <w:div w:id="525094668">
              <w:marLeft w:val="0"/>
              <w:marRight w:val="0"/>
              <w:marTop w:val="0"/>
              <w:marBottom w:val="0"/>
              <w:divBdr>
                <w:top w:val="none" w:sz="0" w:space="0" w:color="auto"/>
                <w:left w:val="none" w:sz="0" w:space="0" w:color="auto"/>
                <w:bottom w:val="none" w:sz="0" w:space="0" w:color="auto"/>
                <w:right w:val="none" w:sz="0" w:space="0" w:color="auto"/>
              </w:divBdr>
            </w:div>
            <w:div w:id="587230836">
              <w:marLeft w:val="0"/>
              <w:marRight w:val="0"/>
              <w:marTop w:val="0"/>
              <w:marBottom w:val="0"/>
              <w:divBdr>
                <w:top w:val="none" w:sz="0" w:space="0" w:color="auto"/>
                <w:left w:val="none" w:sz="0" w:space="0" w:color="auto"/>
                <w:bottom w:val="none" w:sz="0" w:space="0" w:color="auto"/>
                <w:right w:val="none" w:sz="0" w:space="0" w:color="auto"/>
              </w:divBdr>
            </w:div>
            <w:div w:id="963002903">
              <w:marLeft w:val="0"/>
              <w:marRight w:val="0"/>
              <w:marTop w:val="0"/>
              <w:marBottom w:val="0"/>
              <w:divBdr>
                <w:top w:val="none" w:sz="0" w:space="0" w:color="auto"/>
                <w:left w:val="none" w:sz="0" w:space="0" w:color="auto"/>
                <w:bottom w:val="none" w:sz="0" w:space="0" w:color="auto"/>
                <w:right w:val="none" w:sz="0" w:space="0" w:color="auto"/>
              </w:divBdr>
            </w:div>
            <w:div w:id="1047608180">
              <w:marLeft w:val="0"/>
              <w:marRight w:val="0"/>
              <w:marTop w:val="0"/>
              <w:marBottom w:val="0"/>
              <w:divBdr>
                <w:top w:val="none" w:sz="0" w:space="0" w:color="auto"/>
                <w:left w:val="none" w:sz="0" w:space="0" w:color="auto"/>
                <w:bottom w:val="none" w:sz="0" w:space="0" w:color="auto"/>
                <w:right w:val="none" w:sz="0" w:space="0" w:color="auto"/>
              </w:divBdr>
            </w:div>
            <w:div w:id="1478692906">
              <w:marLeft w:val="0"/>
              <w:marRight w:val="0"/>
              <w:marTop w:val="0"/>
              <w:marBottom w:val="0"/>
              <w:divBdr>
                <w:top w:val="none" w:sz="0" w:space="0" w:color="auto"/>
                <w:left w:val="none" w:sz="0" w:space="0" w:color="auto"/>
                <w:bottom w:val="none" w:sz="0" w:space="0" w:color="auto"/>
                <w:right w:val="none" w:sz="0" w:space="0" w:color="auto"/>
              </w:divBdr>
            </w:div>
            <w:div w:id="193018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023013">
      <w:bodyDiv w:val="1"/>
      <w:marLeft w:val="0"/>
      <w:marRight w:val="0"/>
      <w:marTop w:val="0"/>
      <w:marBottom w:val="0"/>
      <w:divBdr>
        <w:top w:val="none" w:sz="0" w:space="0" w:color="auto"/>
        <w:left w:val="none" w:sz="0" w:space="0" w:color="auto"/>
        <w:bottom w:val="none" w:sz="0" w:space="0" w:color="auto"/>
        <w:right w:val="none" w:sz="0" w:space="0" w:color="auto"/>
      </w:divBdr>
      <w:divsChild>
        <w:div w:id="809248488">
          <w:marLeft w:val="0"/>
          <w:marRight w:val="0"/>
          <w:marTop w:val="0"/>
          <w:marBottom w:val="0"/>
          <w:divBdr>
            <w:top w:val="none" w:sz="0" w:space="0" w:color="auto"/>
            <w:left w:val="none" w:sz="0" w:space="0" w:color="auto"/>
            <w:bottom w:val="none" w:sz="0" w:space="0" w:color="auto"/>
            <w:right w:val="none" w:sz="0" w:space="0" w:color="auto"/>
          </w:divBdr>
          <w:divsChild>
            <w:div w:id="777993135">
              <w:marLeft w:val="0"/>
              <w:marRight w:val="0"/>
              <w:marTop w:val="0"/>
              <w:marBottom w:val="0"/>
              <w:divBdr>
                <w:top w:val="none" w:sz="0" w:space="0" w:color="auto"/>
                <w:left w:val="none" w:sz="0" w:space="0" w:color="auto"/>
                <w:bottom w:val="none" w:sz="0" w:space="0" w:color="auto"/>
                <w:right w:val="none" w:sz="0" w:space="0" w:color="auto"/>
              </w:divBdr>
            </w:div>
            <w:div w:id="160723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261926">
      <w:bodyDiv w:val="1"/>
      <w:marLeft w:val="0"/>
      <w:marRight w:val="0"/>
      <w:marTop w:val="0"/>
      <w:marBottom w:val="0"/>
      <w:divBdr>
        <w:top w:val="none" w:sz="0" w:space="0" w:color="auto"/>
        <w:left w:val="none" w:sz="0" w:space="0" w:color="auto"/>
        <w:bottom w:val="none" w:sz="0" w:space="0" w:color="auto"/>
        <w:right w:val="none" w:sz="0" w:space="0" w:color="auto"/>
      </w:divBdr>
    </w:div>
    <w:div w:id="555436094">
      <w:bodyDiv w:val="1"/>
      <w:marLeft w:val="0"/>
      <w:marRight w:val="0"/>
      <w:marTop w:val="0"/>
      <w:marBottom w:val="0"/>
      <w:divBdr>
        <w:top w:val="none" w:sz="0" w:space="0" w:color="auto"/>
        <w:left w:val="none" w:sz="0" w:space="0" w:color="auto"/>
        <w:bottom w:val="none" w:sz="0" w:space="0" w:color="auto"/>
        <w:right w:val="none" w:sz="0" w:space="0" w:color="auto"/>
      </w:divBdr>
    </w:div>
    <w:div w:id="570967202">
      <w:bodyDiv w:val="1"/>
      <w:marLeft w:val="0"/>
      <w:marRight w:val="0"/>
      <w:marTop w:val="0"/>
      <w:marBottom w:val="0"/>
      <w:divBdr>
        <w:top w:val="none" w:sz="0" w:space="0" w:color="auto"/>
        <w:left w:val="none" w:sz="0" w:space="0" w:color="auto"/>
        <w:bottom w:val="none" w:sz="0" w:space="0" w:color="auto"/>
        <w:right w:val="none" w:sz="0" w:space="0" w:color="auto"/>
      </w:divBdr>
      <w:divsChild>
        <w:div w:id="1123311590">
          <w:marLeft w:val="0"/>
          <w:marRight w:val="0"/>
          <w:marTop w:val="0"/>
          <w:marBottom w:val="0"/>
          <w:divBdr>
            <w:top w:val="none" w:sz="0" w:space="0" w:color="auto"/>
            <w:left w:val="none" w:sz="0" w:space="0" w:color="auto"/>
            <w:bottom w:val="none" w:sz="0" w:space="0" w:color="auto"/>
            <w:right w:val="none" w:sz="0" w:space="0" w:color="auto"/>
          </w:divBdr>
          <w:divsChild>
            <w:div w:id="165984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069744">
      <w:bodyDiv w:val="1"/>
      <w:marLeft w:val="0"/>
      <w:marRight w:val="0"/>
      <w:marTop w:val="0"/>
      <w:marBottom w:val="0"/>
      <w:divBdr>
        <w:top w:val="none" w:sz="0" w:space="0" w:color="auto"/>
        <w:left w:val="none" w:sz="0" w:space="0" w:color="auto"/>
        <w:bottom w:val="none" w:sz="0" w:space="0" w:color="auto"/>
        <w:right w:val="none" w:sz="0" w:space="0" w:color="auto"/>
      </w:divBdr>
    </w:div>
    <w:div w:id="615136957">
      <w:bodyDiv w:val="1"/>
      <w:marLeft w:val="0"/>
      <w:marRight w:val="0"/>
      <w:marTop w:val="0"/>
      <w:marBottom w:val="0"/>
      <w:divBdr>
        <w:top w:val="none" w:sz="0" w:space="0" w:color="auto"/>
        <w:left w:val="none" w:sz="0" w:space="0" w:color="auto"/>
        <w:bottom w:val="none" w:sz="0" w:space="0" w:color="auto"/>
        <w:right w:val="none" w:sz="0" w:space="0" w:color="auto"/>
      </w:divBdr>
    </w:div>
    <w:div w:id="862940011">
      <w:bodyDiv w:val="1"/>
      <w:marLeft w:val="0"/>
      <w:marRight w:val="0"/>
      <w:marTop w:val="0"/>
      <w:marBottom w:val="0"/>
      <w:divBdr>
        <w:top w:val="none" w:sz="0" w:space="0" w:color="auto"/>
        <w:left w:val="none" w:sz="0" w:space="0" w:color="auto"/>
        <w:bottom w:val="none" w:sz="0" w:space="0" w:color="auto"/>
        <w:right w:val="none" w:sz="0" w:space="0" w:color="auto"/>
      </w:divBdr>
      <w:divsChild>
        <w:div w:id="456680653">
          <w:marLeft w:val="0"/>
          <w:marRight w:val="0"/>
          <w:marTop w:val="0"/>
          <w:marBottom w:val="0"/>
          <w:divBdr>
            <w:top w:val="none" w:sz="0" w:space="0" w:color="auto"/>
            <w:left w:val="none" w:sz="0" w:space="0" w:color="auto"/>
            <w:bottom w:val="none" w:sz="0" w:space="0" w:color="auto"/>
            <w:right w:val="none" w:sz="0" w:space="0" w:color="auto"/>
          </w:divBdr>
        </w:div>
      </w:divsChild>
    </w:div>
    <w:div w:id="944112848">
      <w:bodyDiv w:val="1"/>
      <w:marLeft w:val="0"/>
      <w:marRight w:val="0"/>
      <w:marTop w:val="0"/>
      <w:marBottom w:val="0"/>
      <w:divBdr>
        <w:top w:val="none" w:sz="0" w:space="0" w:color="auto"/>
        <w:left w:val="none" w:sz="0" w:space="0" w:color="auto"/>
        <w:bottom w:val="none" w:sz="0" w:space="0" w:color="auto"/>
        <w:right w:val="none" w:sz="0" w:space="0" w:color="auto"/>
      </w:divBdr>
    </w:div>
    <w:div w:id="945497978">
      <w:bodyDiv w:val="1"/>
      <w:marLeft w:val="0"/>
      <w:marRight w:val="0"/>
      <w:marTop w:val="0"/>
      <w:marBottom w:val="0"/>
      <w:divBdr>
        <w:top w:val="none" w:sz="0" w:space="0" w:color="auto"/>
        <w:left w:val="none" w:sz="0" w:space="0" w:color="auto"/>
        <w:bottom w:val="none" w:sz="0" w:space="0" w:color="auto"/>
        <w:right w:val="none" w:sz="0" w:space="0" w:color="auto"/>
      </w:divBdr>
      <w:divsChild>
        <w:div w:id="808396724">
          <w:marLeft w:val="547"/>
          <w:marRight w:val="0"/>
          <w:marTop w:val="134"/>
          <w:marBottom w:val="0"/>
          <w:divBdr>
            <w:top w:val="none" w:sz="0" w:space="0" w:color="auto"/>
            <w:left w:val="none" w:sz="0" w:space="0" w:color="auto"/>
            <w:bottom w:val="none" w:sz="0" w:space="0" w:color="auto"/>
            <w:right w:val="none" w:sz="0" w:space="0" w:color="auto"/>
          </w:divBdr>
        </w:div>
      </w:divsChild>
    </w:div>
    <w:div w:id="1009410357">
      <w:bodyDiv w:val="1"/>
      <w:marLeft w:val="0"/>
      <w:marRight w:val="0"/>
      <w:marTop w:val="0"/>
      <w:marBottom w:val="0"/>
      <w:divBdr>
        <w:top w:val="none" w:sz="0" w:space="0" w:color="auto"/>
        <w:left w:val="none" w:sz="0" w:space="0" w:color="auto"/>
        <w:bottom w:val="none" w:sz="0" w:space="0" w:color="auto"/>
        <w:right w:val="none" w:sz="0" w:space="0" w:color="auto"/>
      </w:divBdr>
    </w:div>
    <w:div w:id="1010184121">
      <w:bodyDiv w:val="1"/>
      <w:marLeft w:val="0"/>
      <w:marRight w:val="0"/>
      <w:marTop w:val="0"/>
      <w:marBottom w:val="0"/>
      <w:divBdr>
        <w:top w:val="none" w:sz="0" w:space="0" w:color="auto"/>
        <w:left w:val="none" w:sz="0" w:space="0" w:color="auto"/>
        <w:bottom w:val="none" w:sz="0" w:space="0" w:color="auto"/>
        <w:right w:val="none" w:sz="0" w:space="0" w:color="auto"/>
      </w:divBdr>
      <w:divsChild>
        <w:div w:id="288316457">
          <w:marLeft w:val="0"/>
          <w:marRight w:val="0"/>
          <w:marTop w:val="0"/>
          <w:marBottom w:val="0"/>
          <w:divBdr>
            <w:top w:val="none" w:sz="0" w:space="0" w:color="auto"/>
            <w:left w:val="none" w:sz="0" w:space="0" w:color="auto"/>
            <w:bottom w:val="none" w:sz="0" w:space="0" w:color="auto"/>
            <w:right w:val="none" w:sz="0" w:space="0" w:color="auto"/>
          </w:divBdr>
          <w:divsChild>
            <w:div w:id="957877298">
              <w:marLeft w:val="0"/>
              <w:marRight w:val="0"/>
              <w:marTop w:val="0"/>
              <w:marBottom w:val="0"/>
              <w:divBdr>
                <w:top w:val="none" w:sz="0" w:space="0" w:color="auto"/>
                <w:left w:val="none" w:sz="0" w:space="0" w:color="auto"/>
                <w:bottom w:val="none" w:sz="0" w:space="0" w:color="auto"/>
                <w:right w:val="none" w:sz="0" w:space="0" w:color="auto"/>
              </w:divBdr>
            </w:div>
            <w:div w:id="99499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379538">
      <w:bodyDiv w:val="1"/>
      <w:marLeft w:val="0"/>
      <w:marRight w:val="0"/>
      <w:marTop w:val="0"/>
      <w:marBottom w:val="0"/>
      <w:divBdr>
        <w:top w:val="none" w:sz="0" w:space="0" w:color="auto"/>
        <w:left w:val="none" w:sz="0" w:space="0" w:color="auto"/>
        <w:bottom w:val="none" w:sz="0" w:space="0" w:color="auto"/>
        <w:right w:val="none" w:sz="0" w:space="0" w:color="auto"/>
      </w:divBdr>
    </w:div>
    <w:div w:id="1153596265">
      <w:bodyDiv w:val="1"/>
      <w:marLeft w:val="0"/>
      <w:marRight w:val="0"/>
      <w:marTop w:val="0"/>
      <w:marBottom w:val="0"/>
      <w:divBdr>
        <w:top w:val="none" w:sz="0" w:space="0" w:color="auto"/>
        <w:left w:val="none" w:sz="0" w:space="0" w:color="auto"/>
        <w:bottom w:val="none" w:sz="0" w:space="0" w:color="auto"/>
        <w:right w:val="none" w:sz="0" w:space="0" w:color="auto"/>
      </w:divBdr>
    </w:div>
    <w:div w:id="1181702564">
      <w:bodyDiv w:val="1"/>
      <w:marLeft w:val="0"/>
      <w:marRight w:val="0"/>
      <w:marTop w:val="0"/>
      <w:marBottom w:val="0"/>
      <w:divBdr>
        <w:top w:val="none" w:sz="0" w:space="0" w:color="auto"/>
        <w:left w:val="none" w:sz="0" w:space="0" w:color="auto"/>
        <w:bottom w:val="none" w:sz="0" w:space="0" w:color="auto"/>
        <w:right w:val="none" w:sz="0" w:space="0" w:color="auto"/>
      </w:divBdr>
      <w:divsChild>
        <w:div w:id="834496654">
          <w:marLeft w:val="0"/>
          <w:marRight w:val="0"/>
          <w:marTop w:val="0"/>
          <w:marBottom w:val="0"/>
          <w:divBdr>
            <w:top w:val="none" w:sz="0" w:space="0" w:color="auto"/>
            <w:left w:val="none" w:sz="0" w:space="0" w:color="auto"/>
            <w:bottom w:val="none" w:sz="0" w:space="0" w:color="auto"/>
            <w:right w:val="none" w:sz="0" w:space="0" w:color="auto"/>
          </w:divBdr>
          <w:divsChild>
            <w:div w:id="114447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314162">
      <w:bodyDiv w:val="1"/>
      <w:marLeft w:val="0"/>
      <w:marRight w:val="0"/>
      <w:marTop w:val="0"/>
      <w:marBottom w:val="0"/>
      <w:divBdr>
        <w:top w:val="none" w:sz="0" w:space="0" w:color="auto"/>
        <w:left w:val="none" w:sz="0" w:space="0" w:color="auto"/>
        <w:bottom w:val="none" w:sz="0" w:space="0" w:color="auto"/>
        <w:right w:val="none" w:sz="0" w:space="0" w:color="auto"/>
      </w:divBdr>
      <w:divsChild>
        <w:div w:id="2060517548">
          <w:marLeft w:val="0"/>
          <w:marRight w:val="0"/>
          <w:marTop w:val="0"/>
          <w:marBottom w:val="0"/>
          <w:divBdr>
            <w:top w:val="none" w:sz="0" w:space="0" w:color="auto"/>
            <w:left w:val="none" w:sz="0" w:space="0" w:color="auto"/>
            <w:bottom w:val="none" w:sz="0" w:space="0" w:color="auto"/>
            <w:right w:val="none" w:sz="0" w:space="0" w:color="auto"/>
          </w:divBdr>
        </w:div>
      </w:divsChild>
    </w:div>
    <w:div w:id="1290824190">
      <w:bodyDiv w:val="1"/>
      <w:marLeft w:val="0"/>
      <w:marRight w:val="0"/>
      <w:marTop w:val="0"/>
      <w:marBottom w:val="0"/>
      <w:divBdr>
        <w:top w:val="none" w:sz="0" w:space="0" w:color="auto"/>
        <w:left w:val="none" w:sz="0" w:space="0" w:color="auto"/>
        <w:bottom w:val="none" w:sz="0" w:space="0" w:color="auto"/>
        <w:right w:val="none" w:sz="0" w:space="0" w:color="auto"/>
      </w:divBdr>
      <w:divsChild>
        <w:div w:id="693656835">
          <w:marLeft w:val="0"/>
          <w:marRight w:val="0"/>
          <w:marTop w:val="0"/>
          <w:marBottom w:val="0"/>
          <w:divBdr>
            <w:top w:val="none" w:sz="0" w:space="0" w:color="auto"/>
            <w:left w:val="none" w:sz="0" w:space="0" w:color="auto"/>
            <w:bottom w:val="none" w:sz="0" w:space="0" w:color="auto"/>
            <w:right w:val="none" w:sz="0" w:space="0" w:color="auto"/>
          </w:divBdr>
        </w:div>
      </w:divsChild>
    </w:div>
    <w:div w:id="1349335336">
      <w:bodyDiv w:val="1"/>
      <w:marLeft w:val="0"/>
      <w:marRight w:val="0"/>
      <w:marTop w:val="0"/>
      <w:marBottom w:val="0"/>
      <w:divBdr>
        <w:top w:val="none" w:sz="0" w:space="0" w:color="auto"/>
        <w:left w:val="none" w:sz="0" w:space="0" w:color="auto"/>
        <w:bottom w:val="none" w:sz="0" w:space="0" w:color="auto"/>
        <w:right w:val="none" w:sz="0" w:space="0" w:color="auto"/>
      </w:divBdr>
      <w:divsChild>
        <w:div w:id="1766877240">
          <w:marLeft w:val="0"/>
          <w:marRight w:val="0"/>
          <w:marTop w:val="0"/>
          <w:marBottom w:val="0"/>
          <w:divBdr>
            <w:top w:val="none" w:sz="0" w:space="0" w:color="auto"/>
            <w:left w:val="none" w:sz="0" w:space="0" w:color="auto"/>
            <w:bottom w:val="none" w:sz="0" w:space="0" w:color="auto"/>
            <w:right w:val="none" w:sz="0" w:space="0" w:color="auto"/>
          </w:divBdr>
        </w:div>
      </w:divsChild>
    </w:div>
    <w:div w:id="1365790814">
      <w:bodyDiv w:val="1"/>
      <w:marLeft w:val="0"/>
      <w:marRight w:val="0"/>
      <w:marTop w:val="0"/>
      <w:marBottom w:val="0"/>
      <w:divBdr>
        <w:top w:val="none" w:sz="0" w:space="0" w:color="auto"/>
        <w:left w:val="none" w:sz="0" w:space="0" w:color="auto"/>
        <w:bottom w:val="none" w:sz="0" w:space="0" w:color="auto"/>
        <w:right w:val="none" w:sz="0" w:space="0" w:color="auto"/>
      </w:divBdr>
      <w:divsChild>
        <w:div w:id="408964133">
          <w:marLeft w:val="547"/>
          <w:marRight w:val="0"/>
          <w:marTop w:val="86"/>
          <w:marBottom w:val="0"/>
          <w:divBdr>
            <w:top w:val="none" w:sz="0" w:space="0" w:color="auto"/>
            <w:left w:val="none" w:sz="0" w:space="0" w:color="auto"/>
            <w:bottom w:val="none" w:sz="0" w:space="0" w:color="auto"/>
            <w:right w:val="none" w:sz="0" w:space="0" w:color="auto"/>
          </w:divBdr>
        </w:div>
        <w:div w:id="595984833">
          <w:marLeft w:val="547"/>
          <w:marRight w:val="0"/>
          <w:marTop w:val="86"/>
          <w:marBottom w:val="0"/>
          <w:divBdr>
            <w:top w:val="none" w:sz="0" w:space="0" w:color="auto"/>
            <w:left w:val="none" w:sz="0" w:space="0" w:color="auto"/>
            <w:bottom w:val="none" w:sz="0" w:space="0" w:color="auto"/>
            <w:right w:val="none" w:sz="0" w:space="0" w:color="auto"/>
          </w:divBdr>
        </w:div>
        <w:div w:id="749087361">
          <w:marLeft w:val="547"/>
          <w:marRight w:val="0"/>
          <w:marTop w:val="86"/>
          <w:marBottom w:val="0"/>
          <w:divBdr>
            <w:top w:val="none" w:sz="0" w:space="0" w:color="auto"/>
            <w:left w:val="none" w:sz="0" w:space="0" w:color="auto"/>
            <w:bottom w:val="none" w:sz="0" w:space="0" w:color="auto"/>
            <w:right w:val="none" w:sz="0" w:space="0" w:color="auto"/>
          </w:divBdr>
        </w:div>
        <w:div w:id="983973241">
          <w:marLeft w:val="547"/>
          <w:marRight w:val="0"/>
          <w:marTop w:val="86"/>
          <w:marBottom w:val="0"/>
          <w:divBdr>
            <w:top w:val="none" w:sz="0" w:space="0" w:color="auto"/>
            <w:left w:val="none" w:sz="0" w:space="0" w:color="auto"/>
            <w:bottom w:val="none" w:sz="0" w:space="0" w:color="auto"/>
            <w:right w:val="none" w:sz="0" w:space="0" w:color="auto"/>
          </w:divBdr>
        </w:div>
        <w:div w:id="1159737271">
          <w:marLeft w:val="547"/>
          <w:marRight w:val="0"/>
          <w:marTop w:val="86"/>
          <w:marBottom w:val="0"/>
          <w:divBdr>
            <w:top w:val="none" w:sz="0" w:space="0" w:color="auto"/>
            <w:left w:val="none" w:sz="0" w:space="0" w:color="auto"/>
            <w:bottom w:val="none" w:sz="0" w:space="0" w:color="auto"/>
            <w:right w:val="none" w:sz="0" w:space="0" w:color="auto"/>
          </w:divBdr>
        </w:div>
        <w:div w:id="1467890811">
          <w:marLeft w:val="547"/>
          <w:marRight w:val="0"/>
          <w:marTop w:val="86"/>
          <w:marBottom w:val="0"/>
          <w:divBdr>
            <w:top w:val="none" w:sz="0" w:space="0" w:color="auto"/>
            <w:left w:val="none" w:sz="0" w:space="0" w:color="auto"/>
            <w:bottom w:val="none" w:sz="0" w:space="0" w:color="auto"/>
            <w:right w:val="none" w:sz="0" w:space="0" w:color="auto"/>
          </w:divBdr>
        </w:div>
        <w:div w:id="1619802033">
          <w:marLeft w:val="547"/>
          <w:marRight w:val="0"/>
          <w:marTop w:val="86"/>
          <w:marBottom w:val="0"/>
          <w:divBdr>
            <w:top w:val="none" w:sz="0" w:space="0" w:color="auto"/>
            <w:left w:val="none" w:sz="0" w:space="0" w:color="auto"/>
            <w:bottom w:val="none" w:sz="0" w:space="0" w:color="auto"/>
            <w:right w:val="none" w:sz="0" w:space="0" w:color="auto"/>
          </w:divBdr>
        </w:div>
      </w:divsChild>
    </w:div>
    <w:div w:id="1394113188">
      <w:bodyDiv w:val="1"/>
      <w:marLeft w:val="0"/>
      <w:marRight w:val="0"/>
      <w:marTop w:val="0"/>
      <w:marBottom w:val="0"/>
      <w:divBdr>
        <w:top w:val="none" w:sz="0" w:space="0" w:color="auto"/>
        <w:left w:val="none" w:sz="0" w:space="0" w:color="auto"/>
        <w:bottom w:val="none" w:sz="0" w:space="0" w:color="auto"/>
        <w:right w:val="none" w:sz="0" w:space="0" w:color="auto"/>
      </w:divBdr>
    </w:div>
    <w:div w:id="1464035607">
      <w:bodyDiv w:val="1"/>
      <w:marLeft w:val="0"/>
      <w:marRight w:val="0"/>
      <w:marTop w:val="0"/>
      <w:marBottom w:val="0"/>
      <w:divBdr>
        <w:top w:val="none" w:sz="0" w:space="0" w:color="auto"/>
        <w:left w:val="none" w:sz="0" w:space="0" w:color="auto"/>
        <w:bottom w:val="none" w:sz="0" w:space="0" w:color="auto"/>
        <w:right w:val="none" w:sz="0" w:space="0" w:color="auto"/>
      </w:divBdr>
    </w:div>
    <w:div w:id="1473207960">
      <w:bodyDiv w:val="1"/>
      <w:marLeft w:val="0"/>
      <w:marRight w:val="0"/>
      <w:marTop w:val="0"/>
      <w:marBottom w:val="0"/>
      <w:divBdr>
        <w:top w:val="none" w:sz="0" w:space="0" w:color="auto"/>
        <w:left w:val="none" w:sz="0" w:space="0" w:color="auto"/>
        <w:bottom w:val="none" w:sz="0" w:space="0" w:color="auto"/>
        <w:right w:val="none" w:sz="0" w:space="0" w:color="auto"/>
      </w:divBdr>
      <w:divsChild>
        <w:div w:id="1293973888">
          <w:marLeft w:val="0"/>
          <w:marRight w:val="0"/>
          <w:marTop w:val="0"/>
          <w:marBottom w:val="0"/>
          <w:divBdr>
            <w:top w:val="none" w:sz="0" w:space="0" w:color="auto"/>
            <w:left w:val="none" w:sz="0" w:space="0" w:color="auto"/>
            <w:bottom w:val="none" w:sz="0" w:space="0" w:color="auto"/>
            <w:right w:val="none" w:sz="0" w:space="0" w:color="auto"/>
          </w:divBdr>
        </w:div>
      </w:divsChild>
    </w:div>
    <w:div w:id="1505363471">
      <w:bodyDiv w:val="1"/>
      <w:marLeft w:val="0"/>
      <w:marRight w:val="0"/>
      <w:marTop w:val="0"/>
      <w:marBottom w:val="0"/>
      <w:divBdr>
        <w:top w:val="none" w:sz="0" w:space="0" w:color="auto"/>
        <w:left w:val="none" w:sz="0" w:space="0" w:color="auto"/>
        <w:bottom w:val="none" w:sz="0" w:space="0" w:color="auto"/>
        <w:right w:val="none" w:sz="0" w:space="0" w:color="auto"/>
      </w:divBdr>
    </w:div>
    <w:div w:id="1555195111">
      <w:bodyDiv w:val="1"/>
      <w:marLeft w:val="0"/>
      <w:marRight w:val="0"/>
      <w:marTop w:val="0"/>
      <w:marBottom w:val="0"/>
      <w:divBdr>
        <w:top w:val="none" w:sz="0" w:space="0" w:color="auto"/>
        <w:left w:val="none" w:sz="0" w:space="0" w:color="auto"/>
        <w:bottom w:val="none" w:sz="0" w:space="0" w:color="auto"/>
        <w:right w:val="none" w:sz="0" w:space="0" w:color="auto"/>
      </w:divBdr>
      <w:divsChild>
        <w:div w:id="1691443990">
          <w:marLeft w:val="0"/>
          <w:marRight w:val="0"/>
          <w:marTop w:val="0"/>
          <w:marBottom w:val="0"/>
          <w:divBdr>
            <w:top w:val="none" w:sz="0" w:space="0" w:color="auto"/>
            <w:left w:val="none" w:sz="0" w:space="0" w:color="auto"/>
            <w:bottom w:val="none" w:sz="0" w:space="0" w:color="auto"/>
            <w:right w:val="none" w:sz="0" w:space="0" w:color="auto"/>
          </w:divBdr>
          <w:divsChild>
            <w:div w:id="4301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63891">
      <w:bodyDiv w:val="1"/>
      <w:marLeft w:val="0"/>
      <w:marRight w:val="0"/>
      <w:marTop w:val="0"/>
      <w:marBottom w:val="0"/>
      <w:divBdr>
        <w:top w:val="none" w:sz="0" w:space="0" w:color="auto"/>
        <w:left w:val="none" w:sz="0" w:space="0" w:color="auto"/>
        <w:bottom w:val="none" w:sz="0" w:space="0" w:color="auto"/>
        <w:right w:val="none" w:sz="0" w:space="0" w:color="auto"/>
      </w:divBdr>
      <w:divsChild>
        <w:div w:id="1506045342">
          <w:marLeft w:val="0"/>
          <w:marRight w:val="0"/>
          <w:marTop w:val="0"/>
          <w:marBottom w:val="0"/>
          <w:divBdr>
            <w:top w:val="none" w:sz="0" w:space="0" w:color="auto"/>
            <w:left w:val="none" w:sz="0" w:space="0" w:color="auto"/>
            <w:bottom w:val="none" w:sz="0" w:space="0" w:color="auto"/>
            <w:right w:val="none" w:sz="0" w:space="0" w:color="auto"/>
          </w:divBdr>
          <w:divsChild>
            <w:div w:id="140903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02233">
      <w:bodyDiv w:val="1"/>
      <w:marLeft w:val="0"/>
      <w:marRight w:val="0"/>
      <w:marTop w:val="0"/>
      <w:marBottom w:val="0"/>
      <w:divBdr>
        <w:top w:val="none" w:sz="0" w:space="0" w:color="auto"/>
        <w:left w:val="none" w:sz="0" w:space="0" w:color="auto"/>
        <w:bottom w:val="none" w:sz="0" w:space="0" w:color="auto"/>
        <w:right w:val="none" w:sz="0" w:space="0" w:color="auto"/>
      </w:divBdr>
      <w:divsChild>
        <w:div w:id="1932934271">
          <w:marLeft w:val="0"/>
          <w:marRight w:val="0"/>
          <w:marTop w:val="0"/>
          <w:marBottom w:val="0"/>
          <w:divBdr>
            <w:top w:val="none" w:sz="0" w:space="0" w:color="auto"/>
            <w:left w:val="none" w:sz="0" w:space="0" w:color="auto"/>
            <w:bottom w:val="none" w:sz="0" w:space="0" w:color="auto"/>
            <w:right w:val="none" w:sz="0" w:space="0" w:color="auto"/>
          </w:divBdr>
          <w:divsChild>
            <w:div w:id="171685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39966">
      <w:bodyDiv w:val="1"/>
      <w:marLeft w:val="0"/>
      <w:marRight w:val="0"/>
      <w:marTop w:val="0"/>
      <w:marBottom w:val="0"/>
      <w:divBdr>
        <w:top w:val="none" w:sz="0" w:space="0" w:color="auto"/>
        <w:left w:val="none" w:sz="0" w:space="0" w:color="auto"/>
        <w:bottom w:val="none" w:sz="0" w:space="0" w:color="auto"/>
        <w:right w:val="none" w:sz="0" w:space="0" w:color="auto"/>
      </w:divBdr>
      <w:divsChild>
        <w:div w:id="1606693043">
          <w:marLeft w:val="0"/>
          <w:marRight w:val="0"/>
          <w:marTop w:val="0"/>
          <w:marBottom w:val="0"/>
          <w:divBdr>
            <w:top w:val="none" w:sz="0" w:space="0" w:color="auto"/>
            <w:left w:val="none" w:sz="0" w:space="0" w:color="auto"/>
            <w:bottom w:val="none" w:sz="0" w:space="0" w:color="auto"/>
            <w:right w:val="none" w:sz="0" w:space="0" w:color="auto"/>
          </w:divBdr>
          <w:divsChild>
            <w:div w:id="191315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9815">
      <w:bodyDiv w:val="1"/>
      <w:marLeft w:val="0"/>
      <w:marRight w:val="0"/>
      <w:marTop w:val="0"/>
      <w:marBottom w:val="0"/>
      <w:divBdr>
        <w:top w:val="none" w:sz="0" w:space="0" w:color="auto"/>
        <w:left w:val="none" w:sz="0" w:space="0" w:color="auto"/>
        <w:bottom w:val="none" w:sz="0" w:space="0" w:color="auto"/>
        <w:right w:val="none" w:sz="0" w:space="0" w:color="auto"/>
      </w:divBdr>
      <w:divsChild>
        <w:div w:id="1913077910">
          <w:marLeft w:val="0"/>
          <w:marRight w:val="0"/>
          <w:marTop w:val="0"/>
          <w:marBottom w:val="0"/>
          <w:divBdr>
            <w:top w:val="none" w:sz="0" w:space="0" w:color="auto"/>
            <w:left w:val="none" w:sz="0" w:space="0" w:color="auto"/>
            <w:bottom w:val="none" w:sz="0" w:space="0" w:color="auto"/>
            <w:right w:val="none" w:sz="0" w:space="0" w:color="auto"/>
          </w:divBdr>
          <w:divsChild>
            <w:div w:id="45475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699431">
      <w:bodyDiv w:val="1"/>
      <w:marLeft w:val="0"/>
      <w:marRight w:val="0"/>
      <w:marTop w:val="0"/>
      <w:marBottom w:val="0"/>
      <w:divBdr>
        <w:top w:val="none" w:sz="0" w:space="0" w:color="auto"/>
        <w:left w:val="none" w:sz="0" w:space="0" w:color="auto"/>
        <w:bottom w:val="none" w:sz="0" w:space="0" w:color="auto"/>
        <w:right w:val="none" w:sz="0" w:space="0" w:color="auto"/>
      </w:divBdr>
      <w:divsChild>
        <w:div w:id="1129207353">
          <w:marLeft w:val="0"/>
          <w:marRight w:val="0"/>
          <w:marTop w:val="0"/>
          <w:marBottom w:val="0"/>
          <w:divBdr>
            <w:top w:val="none" w:sz="0" w:space="0" w:color="auto"/>
            <w:left w:val="none" w:sz="0" w:space="0" w:color="auto"/>
            <w:bottom w:val="none" w:sz="0" w:space="0" w:color="auto"/>
            <w:right w:val="none" w:sz="0" w:space="0" w:color="auto"/>
          </w:divBdr>
          <w:divsChild>
            <w:div w:id="111701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28960">
      <w:bodyDiv w:val="1"/>
      <w:marLeft w:val="0"/>
      <w:marRight w:val="0"/>
      <w:marTop w:val="0"/>
      <w:marBottom w:val="0"/>
      <w:divBdr>
        <w:top w:val="none" w:sz="0" w:space="0" w:color="auto"/>
        <w:left w:val="none" w:sz="0" w:space="0" w:color="auto"/>
        <w:bottom w:val="none" w:sz="0" w:space="0" w:color="auto"/>
        <w:right w:val="none" w:sz="0" w:space="0" w:color="auto"/>
      </w:divBdr>
    </w:div>
    <w:div w:id="1802991904">
      <w:bodyDiv w:val="1"/>
      <w:marLeft w:val="0"/>
      <w:marRight w:val="0"/>
      <w:marTop w:val="0"/>
      <w:marBottom w:val="0"/>
      <w:divBdr>
        <w:top w:val="none" w:sz="0" w:space="0" w:color="auto"/>
        <w:left w:val="none" w:sz="0" w:space="0" w:color="auto"/>
        <w:bottom w:val="none" w:sz="0" w:space="0" w:color="auto"/>
        <w:right w:val="none" w:sz="0" w:space="0" w:color="auto"/>
      </w:divBdr>
      <w:divsChild>
        <w:div w:id="1338457098">
          <w:marLeft w:val="0"/>
          <w:marRight w:val="0"/>
          <w:marTop w:val="0"/>
          <w:marBottom w:val="0"/>
          <w:divBdr>
            <w:top w:val="none" w:sz="0" w:space="0" w:color="auto"/>
            <w:left w:val="none" w:sz="0" w:space="0" w:color="auto"/>
            <w:bottom w:val="none" w:sz="0" w:space="0" w:color="auto"/>
            <w:right w:val="none" w:sz="0" w:space="0" w:color="auto"/>
          </w:divBdr>
          <w:divsChild>
            <w:div w:id="435102852">
              <w:marLeft w:val="0"/>
              <w:marRight w:val="0"/>
              <w:marTop w:val="0"/>
              <w:marBottom w:val="0"/>
              <w:divBdr>
                <w:top w:val="none" w:sz="0" w:space="0" w:color="auto"/>
                <w:left w:val="none" w:sz="0" w:space="0" w:color="auto"/>
                <w:bottom w:val="none" w:sz="0" w:space="0" w:color="auto"/>
                <w:right w:val="none" w:sz="0" w:space="0" w:color="auto"/>
              </w:divBdr>
            </w:div>
            <w:div w:id="879325060">
              <w:marLeft w:val="0"/>
              <w:marRight w:val="0"/>
              <w:marTop w:val="0"/>
              <w:marBottom w:val="0"/>
              <w:divBdr>
                <w:top w:val="none" w:sz="0" w:space="0" w:color="auto"/>
                <w:left w:val="none" w:sz="0" w:space="0" w:color="auto"/>
                <w:bottom w:val="none" w:sz="0" w:space="0" w:color="auto"/>
                <w:right w:val="none" w:sz="0" w:space="0" w:color="auto"/>
              </w:divBdr>
            </w:div>
            <w:div w:id="100035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77126">
      <w:bodyDiv w:val="1"/>
      <w:marLeft w:val="0"/>
      <w:marRight w:val="0"/>
      <w:marTop w:val="0"/>
      <w:marBottom w:val="0"/>
      <w:divBdr>
        <w:top w:val="none" w:sz="0" w:space="0" w:color="auto"/>
        <w:left w:val="none" w:sz="0" w:space="0" w:color="auto"/>
        <w:bottom w:val="none" w:sz="0" w:space="0" w:color="auto"/>
        <w:right w:val="none" w:sz="0" w:space="0" w:color="auto"/>
      </w:divBdr>
    </w:div>
    <w:div w:id="1868566163">
      <w:bodyDiv w:val="1"/>
      <w:marLeft w:val="0"/>
      <w:marRight w:val="0"/>
      <w:marTop w:val="0"/>
      <w:marBottom w:val="0"/>
      <w:divBdr>
        <w:top w:val="none" w:sz="0" w:space="0" w:color="auto"/>
        <w:left w:val="none" w:sz="0" w:space="0" w:color="auto"/>
        <w:bottom w:val="none" w:sz="0" w:space="0" w:color="auto"/>
        <w:right w:val="none" w:sz="0" w:space="0" w:color="auto"/>
      </w:divBdr>
      <w:divsChild>
        <w:div w:id="1031227954">
          <w:marLeft w:val="0"/>
          <w:marRight w:val="0"/>
          <w:marTop w:val="0"/>
          <w:marBottom w:val="0"/>
          <w:divBdr>
            <w:top w:val="none" w:sz="0" w:space="0" w:color="auto"/>
            <w:left w:val="none" w:sz="0" w:space="0" w:color="auto"/>
            <w:bottom w:val="none" w:sz="0" w:space="0" w:color="auto"/>
            <w:right w:val="none" w:sz="0" w:space="0" w:color="auto"/>
          </w:divBdr>
        </w:div>
      </w:divsChild>
    </w:div>
    <w:div w:id="1879850394">
      <w:bodyDiv w:val="1"/>
      <w:marLeft w:val="0"/>
      <w:marRight w:val="0"/>
      <w:marTop w:val="0"/>
      <w:marBottom w:val="0"/>
      <w:divBdr>
        <w:top w:val="none" w:sz="0" w:space="0" w:color="auto"/>
        <w:left w:val="none" w:sz="0" w:space="0" w:color="auto"/>
        <w:bottom w:val="none" w:sz="0" w:space="0" w:color="auto"/>
        <w:right w:val="none" w:sz="0" w:space="0" w:color="auto"/>
      </w:divBdr>
      <w:divsChild>
        <w:div w:id="771432533">
          <w:marLeft w:val="0"/>
          <w:marRight w:val="0"/>
          <w:marTop w:val="0"/>
          <w:marBottom w:val="0"/>
          <w:divBdr>
            <w:top w:val="none" w:sz="0" w:space="0" w:color="auto"/>
            <w:left w:val="none" w:sz="0" w:space="0" w:color="auto"/>
            <w:bottom w:val="none" w:sz="0" w:space="0" w:color="auto"/>
            <w:right w:val="none" w:sz="0" w:space="0" w:color="auto"/>
          </w:divBdr>
          <w:divsChild>
            <w:div w:id="97229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15422">
      <w:bodyDiv w:val="1"/>
      <w:marLeft w:val="0"/>
      <w:marRight w:val="0"/>
      <w:marTop w:val="0"/>
      <w:marBottom w:val="0"/>
      <w:divBdr>
        <w:top w:val="none" w:sz="0" w:space="0" w:color="auto"/>
        <w:left w:val="none" w:sz="0" w:space="0" w:color="auto"/>
        <w:bottom w:val="none" w:sz="0" w:space="0" w:color="auto"/>
        <w:right w:val="none" w:sz="0" w:space="0" w:color="auto"/>
      </w:divBdr>
      <w:divsChild>
        <w:div w:id="406659507">
          <w:marLeft w:val="0"/>
          <w:marRight w:val="0"/>
          <w:marTop w:val="0"/>
          <w:marBottom w:val="0"/>
          <w:divBdr>
            <w:top w:val="none" w:sz="0" w:space="0" w:color="auto"/>
            <w:left w:val="none" w:sz="0" w:space="0" w:color="auto"/>
            <w:bottom w:val="none" w:sz="0" w:space="0" w:color="auto"/>
            <w:right w:val="none" w:sz="0" w:space="0" w:color="auto"/>
          </w:divBdr>
        </w:div>
        <w:div w:id="1387139347">
          <w:marLeft w:val="0"/>
          <w:marRight w:val="0"/>
          <w:marTop w:val="0"/>
          <w:marBottom w:val="0"/>
          <w:divBdr>
            <w:top w:val="none" w:sz="0" w:space="0" w:color="auto"/>
            <w:left w:val="none" w:sz="0" w:space="0" w:color="auto"/>
            <w:bottom w:val="none" w:sz="0" w:space="0" w:color="auto"/>
            <w:right w:val="none" w:sz="0" w:space="0" w:color="auto"/>
          </w:divBdr>
        </w:div>
        <w:div w:id="2127576521">
          <w:marLeft w:val="0"/>
          <w:marRight w:val="0"/>
          <w:marTop w:val="0"/>
          <w:marBottom w:val="0"/>
          <w:divBdr>
            <w:top w:val="none" w:sz="0" w:space="0" w:color="auto"/>
            <w:left w:val="none" w:sz="0" w:space="0" w:color="auto"/>
            <w:bottom w:val="none" w:sz="0" w:space="0" w:color="auto"/>
            <w:right w:val="none" w:sz="0" w:space="0" w:color="auto"/>
          </w:divBdr>
        </w:div>
      </w:divsChild>
    </w:div>
    <w:div w:id="1919752780">
      <w:bodyDiv w:val="1"/>
      <w:marLeft w:val="0"/>
      <w:marRight w:val="0"/>
      <w:marTop w:val="0"/>
      <w:marBottom w:val="0"/>
      <w:divBdr>
        <w:top w:val="none" w:sz="0" w:space="0" w:color="auto"/>
        <w:left w:val="none" w:sz="0" w:space="0" w:color="auto"/>
        <w:bottom w:val="none" w:sz="0" w:space="0" w:color="auto"/>
        <w:right w:val="none" w:sz="0" w:space="0" w:color="auto"/>
      </w:divBdr>
      <w:divsChild>
        <w:div w:id="1022583824">
          <w:marLeft w:val="0"/>
          <w:marRight w:val="0"/>
          <w:marTop w:val="0"/>
          <w:marBottom w:val="0"/>
          <w:divBdr>
            <w:top w:val="none" w:sz="0" w:space="0" w:color="auto"/>
            <w:left w:val="none" w:sz="0" w:space="0" w:color="auto"/>
            <w:bottom w:val="none" w:sz="0" w:space="0" w:color="auto"/>
            <w:right w:val="none" w:sz="0" w:space="0" w:color="auto"/>
          </w:divBdr>
          <w:divsChild>
            <w:div w:id="81102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431601">
      <w:bodyDiv w:val="1"/>
      <w:marLeft w:val="0"/>
      <w:marRight w:val="0"/>
      <w:marTop w:val="0"/>
      <w:marBottom w:val="0"/>
      <w:divBdr>
        <w:top w:val="none" w:sz="0" w:space="0" w:color="auto"/>
        <w:left w:val="none" w:sz="0" w:space="0" w:color="auto"/>
        <w:bottom w:val="none" w:sz="0" w:space="0" w:color="auto"/>
        <w:right w:val="none" w:sz="0" w:space="0" w:color="auto"/>
      </w:divBdr>
      <w:divsChild>
        <w:div w:id="1623995248">
          <w:marLeft w:val="0"/>
          <w:marRight w:val="0"/>
          <w:marTop w:val="0"/>
          <w:marBottom w:val="0"/>
          <w:divBdr>
            <w:top w:val="none" w:sz="0" w:space="0" w:color="auto"/>
            <w:left w:val="none" w:sz="0" w:space="0" w:color="auto"/>
            <w:bottom w:val="none" w:sz="0" w:space="0" w:color="auto"/>
            <w:right w:val="none" w:sz="0" w:space="0" w:color="auto"/>
          </w:divBdr>
          <w:divsChild>
            <w:div w:id="69057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230537">
      <w:bodyDiv w:val="1"/>
      <w:marLeft w:val="0"/>
      <w:marRight w:val="0"/>
      <w:marTop w:val="0"/>
      <w:marBottom w:val="0"/>
      <w:divBdr>
        <w:top w:val="none" w:sz="0" w:space="0" w:color="auto"/>
        <w:left w:val="none" w:sz="0" w:space="0" w:color="auto"/>
        <w:bottom w:val="none" w:sz="0" w:space="0" w:color="auto"/>
        <w:right w:val="none" w:sz="0" w:space="0" w:color="auto"/>
      </w:divBdr>
      <w:divsChild>
        <w:div w:id="187185743">
          <w:marLeft w:val="0"/>
          <w:marRight w:val="0"/>
          <w:marTop w:val="0"/>
          <w:marBottom w:val="0"/>
          <w:divBdr>
            <w:top w:val="none" w:sz="0" w:space="0" w:color="auto"/>
            <w:left w:val="none" w:sz="0" w:space="0" w:color="auto"/>
            <w:bottom w:val="none" w:sz="0" w:space="0" w:color="auto"/>
            <w:right w:val="none" w:sz="0" w:space="0" w:color="auto"/>
          </w:divBdr>
        </w:div>
      </w:divsChild>
    </w:div>
    <w:div w:id="2004359536">
      <w:bodyDiv w:val="1"/>
      <w:marLeft w:val="0"/>
      <w:marRight w:val="0"/>
      <w:marTop w:val="0"/>
      <w:marBottom w:val="0"/>
      <w:divBdr>
        <w:top w:val="none" w:sz="0" w:space="0" w:color="auto"/>
        <w:left w:val="none" w:sz="0" w:space="0" w:color="auto"/>
        <w:bottom w:val="none" w:sz="0" w:space="0" w:color="auto"/>
        <w:right w:val="none" w:sz="0" w:space="0" w:color="auto"/>
      </w:divBdr>
      <w:divsChild>
        <w:div w:id="1861163657">
          <w:marLeft w:val="0"/>
          <w:marRight w:val="0"/>
          <w:marTop w:val="0"/>
          <w:marBottom w:val="0"/>
          <w:divBdr>
            <w:top w:val="none" w:sz="0" w:space="0" w:color="auto"/>
            <w:left w:val="none" w:sz="0" w:space="0" w:color="auto"/>
            <w:bottom w:val="none" w:sz="0" w:space="0" w:color="auto"/>
            <w:right w:val="none" w:sz="0" w:space="0" w:color="auto"/>
          </w:divBdr>
          <w:divsChild>
            <w:div w:id="48805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872">
      <w:bodyDiv w:val="1"/>
      <w:marLeft w:val="0"/>
      <w:marRight w:val="0"/>
      <w:marTop w:val="0"/>
      <w:marBottom w:val="0"/>
      <w:divBdr>
        <w:top w:val="none" w:sz="0" w:space="0" w:color="auto"/>
        <w:left w:val="none" w:sz="0" w:space="0" w:color="auto"/>
        <w:bottom w:val="none" w:sz="0" w:space="0" w:color="auto"/>
        <w:right w:val="none" w:sz="0" w:space="0" w:color="auto"/>
      </w:divBdr>
      <w:divsChild>
        <w:div w:id="453408784">
          <w:marLeft w:val="0"/>
          <w:marRight w:val="0"/>
          <w:marTop w:val="0"/>
          <w:marBottom w:val="0"/>
          <w:divBdr>
            <w:top w:val="none" w:sz="0" w:space="0" w:color="auto"/>
            <w:left w:val="none" w:sz="0" w:space="0" w:color="auto"/>
            <w:bottom w:val="none" w:sz="0" w:space="0" w:color="auto"/>
            <w:right w:val="none" w:sz="0" w:space="0" w:color="auto"/>
          </w:divBdr>
        </w:div>
        <w:div w:id="601914393">
          <w:marLeft w:val="0"/>
          <w:marRight w:val="0"/>
          <w:marTop w:val="0"/>
          <w:marBottom w:val="0"/>
          <w:divBdr>
            <w:top w:val="none" w:sz="0" w:space="0" w:color="auto"/>
            <w:left w:val="none" w:sz="0" w:space="0" w:color="auto"/>
            <w:bottom w:val="none" w:sz="0" w:space="0" w:color="auto"/>
            <w:right w:val="none" w:sz="0" w:space="0" w:color="auto"/>
          </w:divBdr>
        </w:div>
        <w:div w:id="1441333815">
          <w:marLeft w:val="0"/>
          <w:marRight w:val="0"/>
          <w:marTop w:val="0"/>
          <w:marBottom w:val="0"/>
          <w:divBdr>
            <w:top w:val="none" w:sz="0" w:space="0" w:color="auto"/>
            <w:left w:val="none" w:sz="0" w:space="0" w:color="auto"/>
            <w:bottom w:val="none" w:sz="0" w:space="0" w:color="auto"/>
            <w:right w:val="none" w:sz="0" w:space="0" w:color="auto"/>
          </w:divBdr>
        </w:div>
        <w:div w:id="1744136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75CD3-D23C-44A2-824A-33D232947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10462</Words>
  <Characters>59638</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69961</CharactersWithSpaces>
  <SharedDoc>false</SharedDoc>
  <HLinks>
    <vt:vector size="72" baseType="variant">
      <vt:variant>
        <vt:i4>1769533</vt:i4>
      </vt:variant>
      <vt:variant>
        <vt:i4>56</vt:i4>
      </vt:variant>
      <vt:variant>
        <vt:i4>0</vt:i4>
      </vt:variant>
      <vt:variant>
        <vt:i4>5</vt:i4>
      </vt:variant>
      <vt:variant>
        <vt:lpwstr/>
      </vt:variant>
      <vt:variant>
        <vt:lpwstr>_Toc511995014</vt:lpwstr>
      </vt:variant>
      <vt:variant>
        <vt:i4>1769533</vt:i4>
      </vt:variant>
      <vt:variant>
        <vt:i4>50</vt:i4>
      </vt:variant>
      <vt:variant>
        <vt:i4>0</vt:i4>
      </vt:variant>
      <vt:variant>
        <vt:i4>5</vt:i4>
      </vt:variant>
      <vt:variant>
        <vt:lpwstr/>
      </vt:variant>
      <vt:variant>
        <vt:lpwstr>_Toc511995013</vt:lpwstr>
      </vt:variant>
      <vt:variant>
        <vt:i4>1769533</vt:i4>
      </vt:variant>
      <vt:variant>
        <vt:i4>44</vt:i4>
      </vt:variant>
      <vt:variant>
        <vt:i4>0</vt:i4>
      </vt:variant>
      <vt:variant>
        <vt:i4>5</vt:i4>
      </vt:variant>
      <vt:variant>
        <vt:lpwstr/>
      </vt:variant>
      <vt:variant>
        <vt:lpwstr>_Toc511995012</vt:lpwstr>
      </vt:variant>
      <vt:variant>
        <vt:i4>1769533</vt:i4>
      </vt:variant>
      <vt:variant>
        <vt:i4>38</vt:i4>
      </vt:variant>
      <vt:variant>
        <vt:i4>0</vt:i4>
      </vt:variant>
      <vt:variant>
        <vt:i4>5</vt:i4>
      </vt:variant>
      <vt:variant>
        <vt:lpwstr/>
      </vt:variant>
      <vt:variant>
        <vt:lpwstr>_Toc511995011</vt:lpwstr>
      </vt:variant>
      <vt:variant>
        <vt:i4>1769533</vt:i4>
      </vt:variant>
      <vt:variant>
        <vt:i4>32</vt:i4>
      </vt:variant>
      <vt:variant>
        <vt:i4>0</vt:i4>
      </vt:variant>
      <vt:variant>
        <vt:i4>5</vt:i4>
      </vt:variant>
      <vt:variant>
        <vt:lpwstr/>
      </vt:variant>
      <vt:variant>
        <vt:lpwstr>_Toc511995010</vt:lpwstr>
      </vt:variant>
      <vt:variant>
        <vt:i4>1703997</vt:i4>
      </vt:variant>
      <vt:variant>
        <vt:i4>26</vt:i4>
      </vt:variant>
      <vt:variant>
        <vt:i4>0</vt:i4>
      </vt:variant>
      <vt:variant>
        <vt:i4>5</vt:i4>
      </vt:variant>
      <vt:variant>
        <vt:lpwstr/>
      </vt:variant>
      <vt:variant>
        <vt:lpwstr>_Toc511995009</vt:lpwstr>
      </vt:variant>
      <vt:variant>
        <vt:i4>1703997</vt:i4>
      </vt:variant>
      <vt:variant>
        <vt:i4>20</vt:i4>
      </vt:variant>
      <vt:variant>
        <vt:i4>0</vt:i4>
      </vt:variant>
      <vt:variant>
        <vt:i4>5</vt:i4>
      </vt:variant>
      <vt:variant>
        <vt:lpwstr/>
      </vt:variant>
      <vt:variant>
        <vt:lpwstr>_Toc511995008</vt:lpwstr>
      </vt:variant>
      <vt:variant>
        <vt:i4>1703997</vt:i4>
      </vt:variant>
      <vt:variant>
        <vt:i4>14</vt:i4>
      </vt:variant>
      <vt:variant>
        <vt:i4>0</vt:i4>
      </vt:variant>
      <vt:variant>
        <vt:i4>5</vt:i4>
      </vt:variant>
      <vt:variant>
        <vt:lpwstr/>
      </vt:variant>
      <vt:variant>
        <vt:lpwstr>_Toc511995007</vt:lpwstr>
      </vt:variant>
      <vt:variant>
        <vt:i4>1703997</vt:i4>
      </vt:variant>
      <vt:variant>
        <vt:i4>8</vt:i4>
      </vt:variant>
      <vt:variant>
        <vt:i4>0</vt:i4>
      </vt:variant>
      <vt:variant>
        <vt:i4>5</vt:i4>
      </vt:variant>
      <vt:variant>
        <vt:lpwstr/>
      </vt:variant>
      <vt:variant>
        <vt:lpwstr>_Toc511995006</vt:lpwstr>
      </vt:variant>
      <vt:variant>
        <vt:i4>1703997</vt:i4>
      </vt:variant>
      <vt:variant>
        <vt:i4>2</vt:i4>
      </vt:variant>
      <vt:variant>
        <vt:i4>0</vt:i4>
      </vt:variant>
      <vt:variant>
        <vt:i4>5</vt:i4>
      </vt:variant>
      <vt:variant>
        <vt:lpwstr/>
      </vt:variant>
      <vt:variant>
        <vt:lpwstr>_Toc511995005</vt:lpwstr>
      </vt:variant>
      <vt:variant>
        <vt:i4>655419</vt:i4>
      </vt:variant>
      <vt:variant>
        <vt:i4>3</vt:i4>
      </vt:variant>
      <vt:variant>
        <vt:i4>0</vt:i4>
      </vt:variant>
      <vt:variant>
        <vt:i4>5</vt:i4>
      </vt:variant>
      <vt:variant>
        <vt:lpwstr>http://www.bankofalbania.org/web/Rregulle_Nr_55_Per_funksionimin_e_sistemit_te_klerimit_te_pagesave_me_1795_1.php?kc=0,9,1,0,0</vt:lpwstr>
      </vt:variant>
      <vt:variant>
        <vt:lpwstr/>
      </vt:variant>
      <vt:variant>
        <vt:i4>327783</vt:i4>
      </vt:variant>
      <vt:variant>
        <vt:i4>0</vt:i4>
      </vt:variant>
      <vt:variant>
        <vt:i4>0</vt:i4>
      </vt:variant>
      <vt:variant>
        <vt:i4>5</vt:i4>
      </vt:variant>
      <vt:variant>
        <vt:lpwstr>http://www.bankofalbania.org/web/Rregullore_Nr_53_Per_funksionimin_e_sistemit_te_pagesave_nderbankare_2827_1.php?kc=0,9,1,0,0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2019-07-31T07:50:00Z</dcterms:created>
  <dcterms:modified xsi:type="dcterms:W3CDTF">2019-07-31T07:50:00Z</dcterms:modified>
</cp:coreProperties>
</file>