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1B747" w14:textId="77777777" w:rsidR="00491A74" w:rsidRPr="00F311AD" w:rsidRDefault="00491A74" w:rsidP="006A306B">
      <w:pPr>
        <w:spacing w:after="0"/>
        <w:jc w:val="center"/>
        <w:rPr>
          <w:rFonts w:ascii="Times New Roman" w:eastAsia="Times New Roman" w:hAnsi="Times New Roman" w:cs="Times New Roman"/>
          <w:b/>
          <w:sz w:val="28"/>
          <w:szCs w:val="28"/>
        </w:rPr>
      </w:pPr>
      <w:r w:rsidRPr="00F311AD">
        <w:rPr>
          <w:rFonts w:ascii="Times New Roman" w:eastAsia="Times New Roman" w:hAnsi="Times New Roman" w:cs="Times New Roman"/>
          <w:b/>
          <w:sz w:val="28"/>
          <w:szCs w:val="28"/>
        </w:rPr>
        <w:t>RELACION</w:t>
      </w:r>
    </w:p>
    <w:p w14:paraId="6E70EA3E" w14:textId="77777777" w:rsidR="00491A74" w:rsidRPr="00F311AD" w:rsidRDefault="00491A74" w:rsidP="006A306B">
      <w:pPr>
        <w:spacing w:after="0"/>
        <w:jc w:val="center"/>
        <w:rPr>
          <w:rFonts w:ascii="Times New Roman" w:eastAsia="Times New Roman" w:hAnsi="Times New Roman" w:cs="Times New Roman"/>
          <w:b/>
          <w:sz w:val="28"/>
          <w:szCs w:val="28"/>
        </w:rPr>
      </w:pPr>
    </w:p>
    <w:p w14:paraId="7CD7495A" w14:textId="77777777" w:rsidR="00491A74" w:rsidRPr="00F311AD" w:rsidRDefault="00491A74" w:rsidP="006A306B">
      <w:pPr>
        <w:spacing w:after="0"/>
        <w:jc w:val="center"/>
        <w:rPr>
          <w:rFonts w:ascii="Times New Roman" w:eastAsia="Times New Roman" w:hAnsi="Times New Roman" w:cs="Times New Roman"/>
          <w:b/>
          <w:sz w:val="28"/>
          <w:szCs w:val="28"/>
        </w:rPr>
      </w:pPr>
      <w:r w:rsidRPr="00F311AD">
        <w:rPr>
          <w:rFonts w:ascii="Times New Roman" w:eastAsia="Times New Roman" w:hAnsi="Times New Roman" w:cs="Times New Roman"/>
          <w:b/>
          <w:sz w:val="28"/>
          <w:szCs w:val="28"/>
        </w:rPr>
        <w:t>PËR</w:t>
      </w:r>
    </w:p>
    <w:p w14:paraId="6A25F336" w14:textId="77777777" w:rsidR="00491A74" w:rsidRPr="00F311AD" w:rsidRDefault="00491A74" w:rsidP="006A306B">
      <w:pPr>
        <w:spacing w:after="0"/>
        <w:jc w:val="center"/>
        <w:rPr>
          <w:rFonts w:ascii="Times New Roman" w:eastAsia="Times New Roman" w:hAnsi="Times New Roman" w:cs="Times New Roman"/>
          <w:b/>
          <w:sz w:val="28"/>
          <w:szCs w:val="28"/>
        </w:rPr>
      </w:pPr>
    </w:p>
    <w:p w14:paraId="4CF03FA6" w14:textId="77777777" w:rsidR="00491A74" w:rsidRPr="00F311AD" w:rsidRDefault="00491A74" w:rsidP="006A306B">
      <w:pPr>
        <w:spacing w:after="0"/>
        <w:jc w:val="center"/>
        <w:rPr>
          <w:rFonts w:ascii="Times New Roman" w:eastAsia="Times New Roman" w:hAnsi="Times New Roman" w:cs="Times New Roman"/>
          <w:b/>
          <w:sz w:val="28"/>
          <w:szCs w:val="28"/>
        </w:rPr>
      </w:pPr>
      <w:r w:rsidRPr="00F311AD">
        <w:rPr>
          <w:rFonts w:ascii="Times New Roman" w:eastAsia="Times New Roman" w:hAnsi="Times New Roman" w:cs="Times New Roman"/>
          <w:b/>
          <w:sz w:val="28"/>
          <w:szCs w:val="28"/>
        </w:rPr>
        <w:t>PROJEKTVENDIMIN</w:t>
      </w:r>
    </w:p>
    <w:p w14:paraId="37C6A5C3" w14:textId="77777777" w:rsidR="00491A74" w:rsidRPr="00F311AD" w:rsidRDefault="00491A74" w:rsidP="006A306B">
      <w:pPr>
        <w:spacing w:after="0"/>
        <w:jc w:val="center"/>
        <w:rPr>
          <w:rFonts w:ascii="Times New Roman" w:eastAsia="Times New Roman" w:hAnsi="Times New Roman" w:cs="Times New Roman"/>
          <w:b/>
          <w:sz w:val="28"/>
          <w:szCs w:val="28"/>
        </w:rPr>
      </w:pPr>
    </w:p>
    <w:p w14:paraId="5AD1F73D" w14:textId="77777777" w:rsidR="00491A74" w:rsidRPr="00F311AD" w:rsidRDefault="00491A74" w:rsidP="006A306B">
      <w:pPr>
        <w:pStyle w:val="TableParagraph"/>
        <w:spacing w:line="276" w:lineRule="auto"/>
        <w:jc w:val="center"/>
        <w:rPr>
          <w:rFonts w:ascii="Times New Roman" w:hAnsi="Times New Roman" w:cs="Times New Roman"/>
          <w:b/>
          <w:sz w:val="28"/>
          <w:szCs w:val="28"/>
          <w:vertAlign w:val="superscript"/>
        </w:rPr>
      </w:pPr>
      <w:r w:rsidRPr="00F311AD">
        <w:rPr>
          <w:rFonts w:ascii="Times New Roman" w:eastAsia="Calibri" w:hAnsi="Times New Roman" w:cs="Times New Roman"/>
          <w:b/>
          <w:sz w:val="28"/>
          <w:szCs w:val="28"/>
        </w:rPr>
        <w:t>“PËR AMBALAZHIMIN, ETIKETIMIN, TRANSPORTIN, GJURMUESHMËRINË, MAGAZINIMIN E PËRKOHSHËM DHE DOKUMENTIN E DORËZIMIT TË MBETJEVE TË RREZIKSHME”</w:t>
      </w:r>
      <w:bookmarkStart w:id="0" w:name="_Hlk225237111"/>
      <w:bookmarkEnd w:id="0"/>
    </w:p>
    <w:p w14:paraId="4406D15A" w14:textId="77777777" w:rsidR="00491A74" w:rsidRPr="00F311AD" w:rsidRDefault="00491A74" w:rsidP="006A306B">
      <w:pPr>
        <w:spacing w:after="0"/>
        <w:jc w:val="center"/>
        <w:rPr>
          <w:rFonts w:ascii="Times New Roman" w:eastAsia="Times New Roman" w:hAnsi="Times New Roman" w:cs="Times New Roman"/>
          <w:b/>
          <w:sz w:val="28"/>
          <w:szCs w:val="28"/>
        </w:rPr>
      </w:pPr>
    </w:p>
    <w:p w14:paraId="549A3CA4" w14:textId="77777777" w:rsidR="00491A74" w:rsidRPr="00F311AD" w:rsidRDefault="00491A74" w:rsidP="006A306B">
      <w:pPr>
        <w:numPr>
          <w:ilvl w:val="0"/>
          <w:numId w:val="1"/>
        </w:numPr>
        <w:spacing w:after="0"/>
        <w:contextualSpacing/>
        <w:jc w:val="both"/>
        <w:rPr>
          <w:rFonts w:ascii="Times New Roman" w:eastAsia="Times New Roman" w:hAnsi="Times New Roman" w:cs="Times New Roman"/>
          <w:b/>
          <w:sz w:val="28"/>
          <w:szCs w:val="28"/>
        </w:rPr>
      </w:pPr>
      <w:r w:rsidRPr="00F311AD">
        <w:rPr>
          <w:rFonts w:ascii="Times New Roman" w:eastAsia="Times New Roman" w:hAnsi="Times New Roman" w:cs="Times New Roman"/>
          <w:b/>
          <w:sz w:val="28"/>
          <w:szCs w:val="28"/>
        </w:rPr>
        <w:t>QËLLIMI I PROJEKTAKTIT DHE OBJEKTIVAT QË SYNOHEN TË ARRIHEN</w:t>
      </w:r>
    </w:p>
    <w:p w14:paraId="3C153C57" w14:textId="77777777" w:rsidR="00DE5C01" w:rsidRPr="00F311AD" w:rsidRDefault="00DE5C01" w:rsidP="006A306B">
      <w:pPr>
        <w:spacing w:after="0"/>
        <w:jc w:val="both"/>
        <w:rPr>
          <w:rFonts w:ascii="Times New Roman" w:eastAsia="Times New Roman" w:hAnsi="Times New Roman" w:cs="Times New Roman"/>
          <w:sz w:val="28"/>
          <w:szCs w:val="28"/>
        </w:rPr>
      </w:pPr>
    </w:p>
    <w:p w14:paraId="15B8AA81" w14:textId="56FAE70E"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Projektvendimi ka për objekt përcaktimin e masave që sigurojnë gjurmueshmërinë e mbetjeve të rrezikshme, nga krijimi deri në destinacionin përfundimtar të tyre, dhe kontrolli</w:t>
      </w:r>
      <w:r w:rsidR="00CB7F8A" w:rsidRPr="00F311AD">
        <w:rPr>
          <w:rFonts w:ascii="Times New Roman" w:eastAsia="Times New Roman" w:hAnsi="Times New Roman" w:cs="Times New Roman"/>
          <w:sz w:val="28"/>
          <w:szCs w:val="28"/>
        </w:rPr>
        <w:t xml:space="preserve">n e të dhënave për këto mbetje, </w:t>
      </w:r>
      <w:r w:rsidRPr="00F311AD">
        <w:rPr>
          <w:rFonts w:ascii="Times New Roman" w:eastAsia="Times New Roman" w:hAnsi="Times New Roman" w:cs="Times New Roman"/>
          <w:sz w:val="28"/>
          <w:szCs w:val="28"/>
        </w:rPr>
        <w:t>të rregullave dhe standardeve për ambalazhimin dhe etiketimin e mbetjeve të rrezikshme gjatë grumbullimit, transporti</w:t>
      </w:r>
      <w:r w:rsidR="00CB7F8A" w:rsidRPr="00F311AD">
        <w:rPr>
          <w:rFonts w:ascii="Times New Roman" w:eastAsia="Times New Roman" w:hAnsi="Times New Roman" w:cs="Times New Roman"/>
          <w:sz w:val="28"/>
          <w:szCs w:val="28"/>
        </w:rPr>
        <w:t>t dhe magazinimit të përkohshëm,</w:t>
      </w:r>
      <w:r w:rsidRPr="00F311AD">
        <w:rPr>
          <w:rFonts w:ascii="Times New Roman" w:eastAsia="Times New Roman" w:hAnsi="Times New Roman" w:cs="Times New Roman"/>
          <w:sz w:val="28"/>
          <w:szCs w:val="28"/>
        </w:rPr>
        <w:t xml:space="preserve"> të masave për transportin e tyre, si dhe të rregullave për dorëzimin e mbetjeve të rrezikshme, përfshirë formularin e dokumentit të dorëzimit.</w:t>
      </w:r>
    </w:p>
    <w:p w14:paraId="21529976" w14:textId="2D4BC990" w:rsidR="00DE5C01" w:rsidRPr="00F311AD" w:rsidRDefault="00695D1A" w:rsidP="00033F2E">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Qëllimi i projektvendimit është mbrojtja e shëndetit të njeriut dhe e mjedisit gjatë menaxhimit të mbetjeve të rrezikshme. Për këtë qëllim, projektvendimi synon</w:t>
      </w:r>
      <w:r w:rsidR="00033F2E" w:rsidRPr="00F311AD">
        <w:rPr>
          <w:rFonts w:ascii="Times New Roman" w:eastAsia="Times New Roman" w:hAnsi="Times New Roman" w:cs="Times New Roman"/>
          <w:sz w:val="28"/>
          <w:szCs w:val="28"/>
        </w:rPr>
        <w:t xml:space="preserve"> </w:t>
      </w:r>
      <w:r w:rsidRPr="00F311AD">
        <w:rPr>
          <w:rFonts w:ascii="Times New Roman" w:eastAsia="Times New Roman" w:hAnsi="Times New Roman" w:cs="Times New Roman"/>
          <w:sz w:val="28"/>
          <w:szCs w:val="28"/>
        </w:rPr>
        <w:t>identifikimin dhe klasifikimin e saktë, ambalazhimin e sigurt dhe etiketimin e qartë të mbetjeve të rrezikshme, që para grumbullimit të tyre</w:t>
      </w:r>
      <w:r w:rsidR="00033F2E" w:rsidRPr="00F311AD">
        <w:rPr>
          <w:rFonts w:ascii="Times New Roman" w:eastAsia="Times New Roman" w:hAnsi="Times New Roman" w:cs="Times New Roman"/>
          <w:sz w:val="28"/>
          <w:szCs w:val="28"/>
        </w:rPr>
        <w:t>. S</w:t>
      </w:r>
      <w:r w:rsidRPr="00F311AD">
        <w:rPr>
          <w:rFonts w:ascii="Times New Roman" w:eastAsia="Times New Roman" w:hAnsi="Times New Roman" w:cs="Times New Roman"/>
          <w:sz w:val="28"/>
          <w:szCs w:val="28"/>
        </w:rPr>
        <w:t>igurimin e gjurmueshmërisë së plotë të mbetjeve të rrezikshme, nga krijuesi ose zotëruesi deri në kryerjen e operacionit të rikuperimit ose të asgjësimit, nëpërmjet dokumentit të dorëzimit me identifikues unik elektronik në Sistemin e Integruar Mjedisor (në vijim “SIM”)</w:t>
      </w:r>
      <w:r w:rsidR="00033F2E" w:rsidRPr="00F311AD">
        <w:rPr>
          <w:rFonts w:ascii="Times New Roman" w:eastAsia="Times New Roman" w:hAnsi="Times New Roman" w:cs="Times New Roman"/>
          <w:sz w:val="28"/>
          <w:szCs w:val="28"/>
        </w:rPr>
        <w:t>. P</w:t>
      </w:r>
      <w:r w:rsidRPr="00F311AD">
        <w:rPr>
          <w:rFonts w:ascii="Times New Roman" w:eastAsia="Times New Roman" w:hAnsi="Times New Roman" w:cs="Times New Roman"/>
          <w:sz w:val="28"/>
          <w:szCs w:val="28"/>
        </w:rPr>
        <w:t>ërcaktimin e kushteve dhe të afateve të magazinimit të përkohshëm, me qëllim parandalimin e rrjedhjeve, derdhjeve, përzierjes së papajtueshme, zjarreve, shpërthimeve dhe incidenteve të tjera</w:t>
      </w:r>
      <w:r w:rsidR="00033F2E" w:rsidRPr="00F311AD">
        <w:rPr>
          <w:rFonts w:ascii="Times New Roman" w:eastAsia="Times New Roman" w:hAnsi="Times New Roman" w:cs="Times New Roman"/>
          <w:sz w:val="28"/>
          <w:szCs w:val="28"/>
        </w:rPr>
        <w:t>. Gjithashtu</w:t>
      </w:r>
      <w:r w:rsidR="00032683" w:rsidRPr="00F311AD">
        <w:rPr>
          <w:rFonts w:ascii="Times New Roman" w:eastAsia="Times New Roman" w:hAnsi="Times New Roman" w:cs="Times New Roman"/>
          <w:sz w:val="28"/>
          <w:szCs w:val="28"/>
        </w:rPr>
        <w:t>,</w:t>
      </w:r>
      <w:r w:rsidR="00033F2E" w:rsidRPr="00F311AD">
        <w:rPr>
          <w:rFonts w:ascii="Times New Roman" w:eastAsia="Times New Roman" w:hAnsi="Times New Roman" w:cs="Times New Roman"/>
          <w:sz w:val="28"/>
          <w:szCs w:val="28"/>
        </w:rPr>
        <w:t xml:space="preserve"> </w:t>
      </w:r>
      <w:r w:rsidRPr="00F311AD">
        <w:rPr>
          <w:rFonts w:ascii="Times New Roman" w:eastAsia="Times New Roman" w:hAnsi="Times New Roman" w:cs="Times New Roman"/>
          <w:sz w:val="28"/>
          <w:szCs w:val="28"/>
        </w:rPr>
        <w:t>përcaktimin qartë të detyrimeve të krijuesve, zotëruesve, grumbulluesve, transportuesve, tregtarëve, agjentëve dhe marrësve në dorëzim të mbetjeve të rrezikshme.</w:t>
      </w:r>
    </w:p>
    <w:p w14:paraId="78D613F6" w14:textId="77777777"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 xml:space="preserve">Projektvendimi propozohet në zbatim të pikës 2, të nenit 40, të pikës 2, të nenit 42, të pikës 2, të nenit 44, dhe të pikës 7, të nenit 45, të ligjit nr. 57/2025, “Për menaxhimin e integruar të mbetjeve”, dhe përafron pjesërisht legjislacionin </w:t>
      </w:r>
      <w:r w:rsidRPr="00F311AD">
        <w:rPr>
          <w:rFonts w:ascii="Times New Roman" w:eastAsia="Times New Roman" w:hAnsi="Times New Roman" w:cs="Times New Roman"/>
          <w:sz w:val="28"/>
          <w:szCs w:val="28"/>
        </w:rPr>
        <w:lastRenderedPageBreak/>
        <w:t>shqiptar me Direktivën 2008/98/KE të Parlamentit Evropian dhe të Këshillit, datë 19 nëntor 2008, “Për mbetjet dhe shfuqizimin e disa direktivave”, të ndryshuar.</w:t>
      </w:r>
    </w:p>
    <w:p w14:paraId="47C8CB3D" w14:textId="77777777" w:rsidR="00DE5C01" w:rsidRPr="00F311AD" w:rsidRDefault="00DE5C01" w:rsidP="006A306B">
      <w:pPr>
        <w:spacing w:after="0"/>
        <w:jc w:val="both"/>
        <w:rPr>
          <w:rFonts w:ascii="Times New Roman" w:eastAsia="Times New Roman" w:hAnsi="Times New Roman" w:cs="Times New Roman"/>
          <w:sz w:val="28"/>
          <w:szCs w:val="28"/>
        </w:rPr>
      </w:pPr>
    </w:p>
    <w:p w14:paraId="7D29BB33" w14:textId="77777777" w:rsidR="00491A74" w:rsidRPr="00F311AD" w:rsidRDefault="00491A74" w:rsidP="006A306B">
      <w:pPr>
        <w:numPr>
          <w:ilvl w:val="0"/>
          <w:numId w:val="1"/>
        </w:numPr>
        <w:spacing w:after="0"/>
        <w:contextualSpacing/>
        <w:jc w:val="both"/>
        <w:rPr>
          <w:rFonts w:ascii="Times New Roman" w:eastAsia="Times New Roman" w:hAnsi="Times New Roman" w:cs="Times New Roman"/>
          <w:b/>
          <w:sz w:val="28"/>
          <w:szCs w:val="28"/>
        </w:rPr>
      </w:pPr>
      <w:r w:rsidRPr="00F311AD">
        <w:rPr>
          <w:rFonts w:ascii="Times New Roman" w:eastAsia="Times New Roman" w:hAnsi="Times New Roman" w:cs="Times New Roman"/>
          <w:b/>
          <w:sz w:val="28"/>
          <w:szCs w:val="28"/>
        </w:rPr>
        <w:t>VLERËSIMI I PROJEKTAKTIT NË RAPORT ME PROGRAMIN POLITIK TË KËSHILLIT TË MINISTRAVE, ME PROGRAMIN ANALITIK TË AKTEVE DHE DOKUMENTE TË TJERA POLITIKE</w:t>
      </w:r>
    </w:p>
    <w:p w14:paraId="44FF7DC7" w14:textId="77777777" w:rsidR="00DE5C01" w:rsidRPr="00F311AD" w:rsidRDefault="00DE5C01" w:rsidP="006A306B">
      <w:pPr>
        <w:spacing w:after="0"/>
        <w:jc w:val="both"/>
        <w:rPr>
          <w:rFonts w:ascii="Times New Roman" w:eastAsia="Times New Roman" w:hAnsi="Times New Roman" w:cs="Times New Roman"/>
          <w:sz w:val="28"/>
          <w:szCs w:val="28"/>
        </w:rPr>
      </w:pPr>
    </w:p>
    <w:p w14:paraId="188904A7" w14:textId="77777777"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Projektvendimi është akt nënligjor, miratimin e të cilit ligji nr. 57/2025, “Për menaxhimin e integruar të mbetjeve”, ia ngarkon Këshillit të Ministrave. Nenet 40, pika 2, 42, pika 2, 44, pika 2, dhe 45, pika 7, të këtij ligji parashikojnë miratimin e masave për gjurmueshmërinë dhe kontrollin e të dhënave të mbetjeve të rrezikshme, të rregullave dhe standardeve për ambalazhimin dhe etiketimin e tyre, të masave për zbatimin e kërkesave për transportin dhe të rregullave për dorëzimin e mbetjeve të rrezikshme, përfshirë formularin e dokumentacionit të dorëzimit, ndërsa neni 82 i ligjit përcakton se aktet nënligjore në zbatim të këtyre dispozitave nxirren brenda 2 (dy) vjetëve nga hyrja në fuqi e ligjit.</w:t>
      </w:r>
    </w:p>
    <w:p w14:paraId="5B842779" w14:textId="77777777"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Projektvendimi është në përputhje me Dokumentin e politikave strategjike dhe planin kombëtar për menaxhimin e integruar të mbetjeve 2020–2035, të miratuar me vendimin nr. 418, datë 27.5.2020, të Këshillit të Ministrave, i cili vijon të zbatohet sipas shkronjës “b” të nenit 83 të ligjit nr. 57/2025.</w:t>
      </w:r>
    </w:p>
    <w:p w14:paraId="16CE48A9" w14:textId="4C53E8FD" w:rsidR="00DE5C01" w:rsidRPr="00F311AD" w:rsidRDefault="00695D1A" w:rsidP="00CB7F8A">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Projektvendimi lidhet me detyrimin për përafrimin e legjislacionit shqiptar me atë të Bashkimit Evropian, sipas nenit 70 të Marrëveshjes së Stabilizim-Asociimit, me bashkëpunimin në fushën e mjedisit, sipas nenit 108 të saj, si dhe me përmbushjen e kritereve të kapitullit 27, “Mjedisi dhe ndryshimet klimatike”, në fushën e menaxhimit të mbetjeve.</w:t>
      </w:r>
    </w:p>
    <w:p w14:paraId="02C62848" w14:textId="77777777" w:rsidR="00DE5C01" w:rsidRPr="00F311AD" w:rsidRDefault="00DE5C01" w:rsidP="006A306B">
      <w:pPr>
        <w:spacing w:after="0"/>
        <w:jc w:val="both"/>
        <w:rPr>
          <w:rFonts w:ascii="Times New Roman" w:eastAsia="Times New Roman" w:hAnsi="Times New Roman" w:cs="Times New Roman"/>
          <w:sz w:val="28"/>
          <w:szCs w:val="28"/>
        </w:rPr>
      </w:pPr>
    </w:p>
    <w:p w14:paraId="0703FE11" w14:textId="77777777" w:rsidR="00491A74" w:rsidRPr="00F311AD" w:rsidRDefault="00491A74" w:rsidP="006A306B">
      <w:pPr>
        <w:numPr>
          <w:ilvl w:val="0"/>
          <w:numId w:val="1"/>
        </w:numPr>
        <w:spacing w:after="0"/>
        <w:contextualSpacing/>
        <w:jc w:val="both"/>
        <w:rPr>
          <w:rFonts w:ascii="Times New Roman" w:eastAsia="Times New Roman" w:hAnsi="Times New Roman" w:cs="Times New Roman"/>
          <w:b/>
          <w:sz w:val="28"/>
          <w:szCs w:val="28"/>
        </w:rPr>
      </w:pPr>
      <w:r w:rsidRPr="00F311AD">
        <w:rPr>
          <w:rFonts w:ascii="Times New Roman" w:eastAsia="Times New Roman" w:hAnsi="Times New Roman" w:cs="Times New Roman"/>
          <w:b/>
          <w:sz w:val="28"/>
          <w:szCs w:val="28"/>
        </w:rPr>
        <w:t>ARGUMENTIMI I PROJEKTAKTIT LIDHUR ME PËRPARËSITË, PROBLEMATIKAT, EFEKTET E PRITSHME</w:t>
      </w:r>
    </w:p>
    <w:p w14:paraId="3F369697" w14:textId="77777777" w:rsidR="00DE5C01" w:rsidRPr="00F311AD" w:rsidRDefault="00DE5C01" w:rsidP="006A306B">
      <w:pPr>
        <w:spacing w:after="0"/>
        <w:jc w:val="both"/>
        <w:rPr>
          <w:rFonts w:ascii="Times New Roman" w:eastAsia="Times New Roman" w:hAnsi="Times New Roman" w:cs="Times New Roman"/>
          <w:sz w:val="28"/>
          <w:szCs w:val="28"/>
        </w:rPr>
      </w:pPr>
    </w:p>
    <w:p w14:paraId="3314B589" w14:textId="77777777" w:rsidR="00CC534E" w:rsidRPr="00F311AD" w:rsidRDefault="00CC534E" w:rsidP="00CC534E">
      <w:pPr>
        <w:ind w:left="270"/>
        <w:jc w:val="both"/>
        <w:rPr>
          <w:rFonts w:ascii="Times New Roman" w:hAnsi="Times New Roman" w:cs="Times New Roman"/>
          <w:sz w:val="28"/>
          <w:szCs w:val="28"/>
        </w:rPr>
      </w:pPr>
      <w:r w:rsidRPr="00F311AD">
        <w:rPr>
          <w:rFonts w:ascii="Times New Roman" w:hAnsi="Times New Roman" w:cs="Times New Roman"/>
          <w:sz w:val="28"/>
          <w:szCs w:val="28"/>
        </w:rPr>
        <w:t xml:space="preserve">Projektakti synon të forcojë kuadrin rregullator dhe institucional për menaxhimin e mbetjeve të rrezikshme, duke përmirësuar kontrollin mbi transferimet e tyre, garantuar gjurmueshmërinë përgjatë gjithë ciklit të menaxhimit dhe vendosur standarde të qarta teknike për identifikimin, klasifikimin, paketimin, etiketimin, magazinimin e përkohshëm, dokumentimin dhe transportin e tyre. </w:t>
      </w:r>
    </w:p>
    <w:p w14:paraId="2C3BE31B" w14:textId="282874C7" w:rsidR="00DE5C01" w:rsidRPr="00F311AD" w:rsidRDefault="00695D1A" w:rsidP="00CC534E">
      <w:pPr>
        <w:ind w:left="270"/>
        <w:jc w:val="both"/>
        <w:rPr>
          <w:rFonts w:ascii="Times New Roman" w:hAnsi="Times New Roman" w:cs="Times New Roman"/>
          <w:sz w:val="28"/>
          <w:szCs w:val="28"/>
        </w:rPr>
      </w:pPr>
      <w:r w:rsidRPr="00F311AD">
        <w:rPr>
          <w:rFonts w:ascii="Times New Roman" w:eastAsia="Times New Roman" w:hAnsi="Times New Roman" w:cs="Times New Roman"/>
          <w:sz w:val="28"/>
          <w:szCs w:val="28"/>
        </w:rPr>
        <w:lastRenderedPageBreak/>
        <w:t>Dorëzimi i mbetjeve të rrezikshme rregullohet aktualisht nga vendimi nr. 371, datë 11.6.2014, i Këshillit të Ministrave, “Për miratimin e rregullave për dorëzimin e mbetjeve të rrezikshme dhe të dokumentit të dorëzimit të tyre”, i ndryshuar, i nxjerrë në zbatim të ligjit nr. 10 463, datë 22.9.2011, “Për menaxhimin e integruar të mbetjeve”, i shfuqizuar. Sipas shkronjës “d” të nenit 83 të ligjit nr. 57/2025, ky vendim mbetet në fuqi, për aq sa nuk bie ndesh me ligjin, deri në miratimin e aktit të ri nënligjor.</w:t>
      </w:r>
    </w:p>
    <w:p w14:paraId="10845F93" w14:textId="7FBD9ED2"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Vendimi nr. 371/2014 rregullon vetëm dokumentin e dorëzimit. Ai nuk përmban rregulla dhe standarde të unifikuara për ambalazhimin dhe etiketimin e mbetjeve të rrezikshme, kërkesa teknike dhe afate për magazinimin e përkohshëm, procedurën e regjistrimit par</w:t>
      </w:r>
      <w:r w:rsidR="00AD03EA" w:rsidRPr="00F311AD">
        <w:rPr>
          <w:rFonts w:ascii="Times New Roman" w:eastAsia="Times New Roman" w:hAnsi="Times New Roman" w:cs="Times New Roman"/>
          <w:sz w:val="28"/>
          <w:szCs w:val="28"/>
        </w:rPr>
        <w:t>aprak të mjeteve të transportit,</w:t>
      </w:r>
      <w:r w:rsidRPr="00F311AD">
        <w:rPr>
          <w:rFonts w:ascii="Times New Roman" w:eastAsia="Times New Roman" w:hAnsi="Times New Roman" w:cs="Times New Roman"/>
          <w:sz w:val="28"/>
          <w:szCs w:val="28"/>
        </w:rPr>
        <w:t xml:space="preserve"> të parashikuar tashmë shprehimisht në shkronjën “ç” të pikës 1 të nenit 44 të ligjit nr. 57/2025, si dhe gjurmueshmërinë elektronike të transfertave nëpërmjet SIM-it.</w:t>
      </w:r>
    </w:p>
    <w:p w14:paraId="415338EF" w14:textId="77777777"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Ligji nr. 57/2025 vendos detyrime të reja për menaxhimin e mbetjeve të rrezikshme (nenet 40–45) dhe kërkon që ato të zbatohen me akt nënligjor. Projektvendimi i përgjigjet kësaj nevoje dhe:</w:t>
      </w:r>
    </w:p>
    <w:p w14:paraId="30BBFAF2" w14:textId="77777777" w:rsidR="00DE5C01" w:rsidRPr="00F311AD" w:rsidRDefault="00695D1A" w:rsidP="006A306B">
      <w:pPr>
        <w:spacing w:after="120"/>
        <w:ind w:left="72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a) përcakton kriteret minimale për identifikimin dhe klasifikimin e mbetjeve të rrezikshme, përfshirë kryerjen e analizave nga laboratorë të akredituar dhe masat për mbetjet me klasifikim të papërcaktuar;</w:t>
      </w:r>
    </w:p>
    <w:p w14:paraId="3696F2C0" w14:textId="006627E1" w:rsidR="00DE5C01" w:rsidRPr="00F311AD" w:rsidRDefault="00695D1A" w:rsidP="006A306B">
      <w:pPr>
        <w:spacing w:after="120"/>
        <w:ind w:left="72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 xml:space="preserve">b) përcakton kërkesat për ambalazhin, elementet minimale dhe modelin e etiketës, përfshirë shënimin dygjuhësh “MBETJE TË RREZIKSHME / HAZARDOUS </w:t>
      </w:r>
      <w:r w:rsidR="00EF5E0E" w:rsidRPr="00F311AD">
        <w:rPr>
          <w:rFonts w:ascii="Times New Roman" w:eastAsia="Times New Roman" w:hAnsi="Times New Roman" w:cs="Times New Roman"/>
          <w:sz w:val="28"/>
          <w:szCs w:val="28"/>
        </w:rPr>
        <w:t>W</w:t>
      </w:r>
      <w:r w:rsidRPr="00F311AD">
        <w:rPr>
          <w:rFonts w:ascii="Times New Roman" w:eastAsia="Times New Roman" w:hAnsi="Times New Roman" w:cs="Times New Roman"/>
          <w:sz w:val="28"/>
          <w:szCs w:val="28"/>
        </w:rPr>
        <w:t>ASTE”, kodin e mbetjes, vetitë e rrezikshme dhe numrin unik të ambalazhit ose të lotit;</w:t>
      </w:r>
    </w:p>
    <w:p w14:paraId="57EB8B9C" w14:textId="65E0DD69" w:rsidR="00DE5C01" w:rsidRPr="00F311AD" w:rsidRDefault="00695D1A" w:rsidP="006A306B">
      <w:pPr>
        <w:spacing w:after="120"/>
        <w:ind w:left="72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c) përcakton kërkesat teknike për zonat e magazinimit të përkohshëm, sinjalistikën dhe afatet maksimale të magazinimit</w:t>
      </w:r>
      <w:r w:rsidR="00CB7F8A" w:rsidRPr="00F311AD">
        <w:rPr>
          <w:rFonts w:ascii="Times New Roman" w:eastAsia="Times New Roman" w:hAnsi="Times New Roman" w:cs="Times New Roman"/>
          <w:sz w:val="28"/>
          <w:szCs w:val="28"/>
        </w:rPr>
        <w:t>;</w:t>
      </w:r>
    </w:p>
    <w:p w14:paraId="7E6E3A7A" w14:textId="2993B354" w:rsidR="00DE5C01" w:rsidRPr="00F311AD" w:rsidRDefault="00F61703" w:rsidP="00F61703">
      <w:pPr>
        <w:spacing w:after="120"/>
        <w:ind w:left="72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 xml:space="preserve">ç) </w:t>
      </w:r>
      <w:r w:rsidR="00695D1A" w:rsidRPr="00F311AD">
        <w:rPr>
          <w:rFonts w:ascii="Times New Roman" w:eastAsia="Times New Roman" w:hAnsi="Times New Roman" w:cs="Times New Roman"/>
          <w:sz w:val="28"/>
          <w:szCs w:val="28"/>
        </w:rPr>
        <w:t>zëvendëson formularin e dokumentit të dorëzimit me një formular të ri, të strukturuar sipas palëve dhe fazave të transfertës, i cili përfshin edhe vërtetimin e përfundimit të operacionit të rikuperimit ose të asgjësimit, dhe e lidh atë me një identifikues unik elektronik në SIM;</w:t>
      </w:r>
    </w:p>
    <w:p w14:paraId="65C65906" w14:textId="627F4078" w:rsidR="00DE5C01" w:rsidRPr="00F311AD" w:rsidRDefault="00695D1A" w:rsidP="006A306B">
      <w:pPr>
        <w:spacing w:after="120"/>
        <w:ind w:left="72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dh) përcakton detyrimet për mbajtjen e</w:t>
      </w:r>
      <w:r w:rsidR="008E2F71" w:rsidRPr="00F311AD">
        <w:rPr>
          <w:rFonts w:ascii="Times New Roman" w:eastAsia="Times New Roman" w:hAnsi="Times New Roman" w:cs="Times New Roman"/>
          <w:sz w:val="28"/>
          <w:szCs w:val="28"/>
        </w:rPr>
        <w:t xml:space="preserve"> evidencave, raportimin</w:t>
      </w:r>
      <w:r w:rsidRPr="00F311AD">
        <w:rPr>
          <w:rFonts w:ascii="Times New Roman" w:eastAsia="Times New Roman" w:hAnsi="Times New Roman" w:cs="Times New Roman"/>
          <w:sz w:val="28"/>
          <w:szCs w:val="28"/>
        </w:rPr>
        <w:t xml:space="preserve"> në S</w:t>
      </w:r>
      <w:r w:rsidR="008E2F71" w:rsidRPr="00F311AD">
        <w:rPr>
          <w:rFonts w:ascii="Times New Roman" w:eastAsia="Times New Roman" w:hAnsi="Times New Roman" w:cs="Times New Roman"/>
          <w:sz w:val="28"/>
          <w:szCs w:val="28"/>
        </w:rPr>
        <w:t xml:space="preserve">istemin e </w:t>
      </w:r>
      <w:r w:rsidRPr="00F311AD">
        <w:rPr>
          <w:rFonts w:ascii="Times New Roman" w:eastAsia="Times New Roman" w:hAnsi="Times New Roman" w:cs="Times New Roman"/>
          <w:sz w:val="28"/>
          <w:szCs w:val="28"/>
        </w:rPr>
        <w:t>I</w:t>
      </w:r>
      <w:r w:rsidR="008E2F71" w:rsidRPr="00F311AD">
        <w:rPr>
          <w:rFonts w:ascii="Times New Roman" w:eastAsia="Times New Roman" w:hAnsi="Times New Roman" w:cs="Times New Roman"/>
          <w:sz w:val="28"/>
          <w:szCs w:val="28"/>
        </w:rPr>
        <w:t xml:space="preserve">ntegruar </w:t>
      </w:r>
      <w:r w:rsidRPr="00F311AD">
        <w:rPr>
          <w:rFonts w:ascii="Times New Roman" w:eastAsia="Times New Roman" w:hAnsi="Times New Roman" w:cs="Times New Roman"/>
          <w:sz w:val="28"/>
          <w:szCs w:val="28"/>
        </w:rPr>
        <w:t>M</w:t>
      </w:r>
      <w:r w:rsidR="008E2F71" w:rsidRPr="00F311AD">
        <w:rPr>
          <w:rFonts w:ascii="Times New Roman" w:eastAsia="Times New Roman" w:hAnsi="Times New Roman" w:cs="Times New Roman"/>
          <w:sz w:val="28"/>
          <w:szCs w:val="28"/>
        </w:rPr>
        <w:t>jedisor</w:t>
      </w:r>
      <w:r w:rsidRPr="00F311AD">
        <w:rPr>
          <w:rFonts w:ascii="Times New Roman" w:eastAsia="Times New Roman" w:hAnsi="Times New Roman" w:cs="Times New Roman"/>
          <w:sz w:val="28"/>
          <w:szCs w:val="28"/>
        </w:rPr>
        <w:t xml:space="preserve"> dhe trajnimin e personelit.</w:t>
      </w:r>
    </w:p>
    <w:p w14:paraId="055231F2" w14:textId="77777777"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 xml:space="preserve">Efektet e pritshme të projektvendimit janë: rritja e sigurisë së menaxhimit të mbetjeve të rrezikshme dhe pakësimi i rrezikut të aksidenteve dhe të ndotjes; gjurmueshmëria e plotë e mbetjeve të rrezikshme deri në trajtimin përfundimtar, e cila parandalon dorëzimin e tyre te subjekte të paautorizuara; përmirësimi i </w:t>
      </w:r>
      <w:r w:rsidRPr="00F311AD">
        <w:rPr>
          <w:rFonts w:ascii="Times New Roman" w:eastAsia="Times New Roman" w:hAnsi="Times New Roman" w:cs="Times New Roman"/>
          <w:sz w:val="28"/>
          <w:szCs w:val="28"/>
        </w:rPr>
        <w:lastRenderedPageBreak/>
        <w:t>cilësisë së të dhënave për mbetjet e rrezikshme, në funksion të politikëbërjes dhe të raportimit; si dhe forcimi i kontrollit nga struktura përgjegjëse për inspektimin në fushën e mjedisit, nëpërmjet kërkesave të qarta dhe të verifikueshme.</w:t>
      </w:r>
    </w:p>
    <w:p w14:paraId="3D52C092" w14:textId="77777777" w:rsidR="00DE5C01" w:rsidRPr="00F311AD" w:rsidRDefault="00DE5C01" w:rsidP="006A306B">
      <w:pPr>
        <w:spacing w:after="0"/>
        <w:jc w:val="both"/>
        <w:rPr>
          <w:rFonts w:ascii="Times New Roman" w:eastAsia="Times New Roman" w:hAnsi="Times New Roman" w:cs="Times New Roman"/>
          <w:sz w:val="28"/>
          <w:szCs w:val="28"/>
        </w:rPr>
      </w:pPr>
    </w:p>
    <w:p w14:paraId="2AB26899" w14:textId="77777777" w:rsidR="00491A74" w:rsidRPr="00F311AD" w:rsidRDefault="00491A74" w:rsidP="006A306B">
      <w:pPr>
        <w:numPr>
          <w:ilvl w:val="0"/>
          <w:numId w:val="1"/>
        </w:numPr>
        <w:spacing w:after="0"/>
        <w:contextualSpacing/>
        <w:jc w:val="both"/>
        <w:rPr>
          <w:rFonts w:ascii="Times New Roman" w:eastAsia="Times New Roman" w:hAnsi="Times New Roman" w:cs="Times New Roman"/>
          <w:b/>
          <w:sz w:val="28"/>
          <w:szCs w:val="28"/>
        </w:rPr>
      </w:pPr>
      <w:r w:rsidRPr="00F311AD">
        <w:rPr>
          <w:rFonts w:ascii="Times New Roman" w:eastAsia="Times New Roman" w:hAnsi="Times New Roman" w:cs="Times New Roman"/>
          <w:b/>
          <w:sz w:val="28"/>
          <w:szCs w:val="28"/>
        </w:rPr>
        <w:t>VLERËSIMI I LIGJSHMËRISË, KUSHTETUTSHMËRISË DHE HARMONIZIMI ME LEGJISLACIONIN NË FUQI VENDAS E NDËRKOMBËTAR</w:t>
      </w:r>
    </w:p>
    <w:p w14:paraId="19637AF8" w14:textId="77777777" w:rsidR="00DE5C01" w:rsidRPr="00F311AD" w:rsidRDefault="00DE5C01" w:rsidP="006A306B">
      <w:pPr>
        <w:spacing w:after="0"/>
        <w:jc w:val="both"/>
        <w:rPr>
          <w:rFonts w:ascii="Times New Roman" w:eastAsia="Times New Roman" w:hAnsi="Times New Roman" w:cs="Times New Roman"/>
          <w:sz w:val="28"/>
          <w:szCs w:val="28"/>
        </w:rPr>
      </w:pPr>
    </w:p>
    <w:p w14:paraId="18713737" w14:textId="77777777"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Projektvendimi propozohet në mbështetje të nenit 100 të Kushtetutës dhe të neneve 40, pika 2, 42, pika 2, 44, pika 2, dhe 45, pika 7, të ligjit nr. 57/2025, “Për menaxhimin e integruar të mbetjeve”, dhe nuk e tejkalon autorizimin ligjor. Projektvendimi nuk riprodhon dispozitat e ligjit, por u referohet atyre kur është e nevojshme.</w:t>
      </w:r>
    </w:p>
    <w:p w14:paraId="4A5FF885" w14:textId="77777777"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Projektvendimi është i harmonizuar me legjislacionin në fuqi. Termat e përdorur në të kanë kuptimin e përcaktuar në ligjin nr. 57/2025, përveç termave të përkufizuar në nenin 5 të projektvendimit. Termi “dokument dorëzimi” është ai i përkufizuar në pikën 8 të nenit 4 të ligjit. Afatet e magazinimit të përkohshëm përputhen me përkufizimin e “landfill-it” në pikën 17, shkronja “b”, nënpikat ii dhe iii, të nenit 4 të ligjit. Klasifikimi i mbetjeve bëhet sipas Katalogut të Mbetjeve, të miratuar me vendimin nr. 402, datë 30.6.2021, të Këshillit të Ministrave, i cili vijon të zbatohet sipas shkronjës “a” të nenit 83 të ligjit nr. 57/2025, ndërsa regjistrimi i të dhënave bëhet në SIM, sipas vendimit nr. 672, datë 12.11.2025, të Këshillit të Ministrave, “Për krijimin e bazës së të dhënave shtetërore të Sistemit të Integruar Mjedisor”.</w:t>
      </w:r>
    </w:p>
    <w:p w14:paraId="5ECDE15A" w14:textId="77777777"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Projektvendimi zbatohet pa cenuar kërkesat e ligjit nr. 118/2012, “Për transportin e mallrave të rrezikshme”, dhe të legjislacionit në fuqi për kimikatet, për sigurinë dhe shëndetin në punë, për mbrojtjen nga zjarri dhe për lejet e mjedisit. Kërkesat e legjislacionit në fuqi për ambalazhet dhe mbetjet e ambalazheve zbatohen pa cenuar kërkesat e projektvendimit për ambalazhimin dhe etiketimin e mbetjeve të rrezikshme.</w:t>
      </w:r>
    </w:p>
    <w:p w14:paraId="1B4B2E23" w14:textId="77777777"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Projektvendimi nuk parashikon kundërvajtje administrative ose sanksione të reja. Për shkeljet e kërkesave të tij zbatohen pikat 1, 17, 18, 19, 20, 21, 22, 23 dhe 24 të nenit 77 dhe neni 78 i ligjit nr. 57/2025, ndërsa masat urgjente merren sipas pikës 4 të nenit 78 të këtij ligji dhe legjislacionit në fuqi për inspektimin.</w:t>
      </w:r>
    </w:p>
    <w:p w14:paraId="2E35B288" w14:textId="77777777"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 xml:space="preserve">Në rrafshin ndërkombëtar, projektvendimi është në përputhje me Marrëveshjen Evropiane për Transportin Ndërkombëtar të Mallrave të Rrezikshme në Rrugë </w:t>
      </w:r>
      <w:r w:rsidRPr="00F311AD">
        <w:rPr>
          <w:rFonts w:ascii="Times New Roman" w:eastAsia="Times New Roman" w:hAnsi="Times New Roman" w:cs="Times New Roman"/>
          <w:sz w:val="28"/>
          <w:szCs w:val="28"/>
        </w:rPr>
        <w:lastRenderedPageBreak/>
        <w:t>Automobilistike (ADR), në të cilën Republika e Shqipërisë është palë, kërkesat e së cilës zbatohen nëpërmjet referimit te legjislacioni në fuqi për transportin e mallrave të rrezikshme.</w:t>
      </w:r>
    </w:p>
    <w:p w14:paraId="5D0EDFA0" w14:textId="77777777"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Me hyrjen në fuqi të projektvendimit shfuqizohet vendimi nr. 371, datë 11.6.2014, i Këshillit të Ministrave, “Për miratimin e rregullave për dorëzimin e mbetjeve të rrezikshme dhe të dokumentit të dorëzimit të tyre”, i ndryshuar.</w:t>
      </w:r>
    </w:p>
    <w:p w14:paraId="1EA5DD43" w14:textId="77777777" w:rsidR="00DE5C01" w:rsidRPr="00F311AD" w:rsidRDefault="00DE5C01" w:rsidP="006A306B">
      <w:pPr>
        <w:spacing w:after="0"/>
        <w:jc w:val="both"/>
        <w:rPr>
          <w:rFonts w:ascii="Times New Roman" w:eastAsia="Times New Roman" w:hAnsi="Times New Roman" w:cs="Times New Roman"/>
          <w:sz w:val="28"/>
          <w:szCs w:val="28"/>
        </w:rPr>
      </w:pPr>
    </w:p>
    <w:p w14:paraId="5C26088A" w14:textId="77777777" w:rsidR="00491A74" w:rsidRPr="00F311AD" w:rsidRDefault="00491A74" w:rsidP="006A306B">
      <w:pPr>
        <w:numPr>
          <w:ilvl w:val="0"/>
          <w:numId w:val="1"/>
        </w:numPr>
        <w:spacing w:after="0"/>
        <w:contextualSpacing/>
        <w:jc w:val="both"/>
        <w:rPr>
          <w:rFonts w:ascii="Times New Roman" w:eastAsia="Times New Roman" w:hAnsi="Times New Roman" w:cs="Times New Roman"/>
          <w:b/>
          <w:sz w:val="28"/>
          <w:szCs w:val="28"/>
        </w:rPr>
      </w:pPr>
      <w:r w:rsidRPr="00F311AD">
        <w:rPr>
          <w:rFonts w:ascii="Times New Roman" w:eastAsia="Times New Roman" w:hAnsi="Times New Roman" w:cs="Times New Roman"/>
          <w:b/>
          <w:sz w:val="28"/>
          <w:szCs w:val="28"/>
        </w:rPr>
        <w:t>VLERËSIMI I SHKALLËS SË PËRAFRIMIT ME ACQUIS COMMUNAUTAIRE TË BE (PËR PROJEKTAKTET NORMATIVE)</w:t>
      </w:r>
    </w:p>
    <w:p w14:paraId="3A226EA0" w14:textId="77777777" w:rsidR="00DE5C01" w:rsidRPr="00F311AD" w:rsidRDefault="00DE5C01" w:rsidP="006A306B">
      <w:pPr>
        <w:spacing w:after="0"/>
        <w:jc w:val="both"/>
        <w:rPr>
          <w:rFonts w:ascii="Times New Roman" w:eastAsia="Times New Roman" w:hAnsi="Times New Roman" w:cs="Times New Roman"/>
          <w:sz w:val="28"/>
          <w:szCs w:val="28"/>
        </w:rPr>
      </w:pPr>
    </w:p>
    <w:p w14:paraId="55FAB775" w14:textId="425900AA"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 xml:space="preserve">Projektvendimi përafron </w:t>
      </w:r>
      <w:r w:rsidR="007E7704" w:rsidRPr="00F311AD">
        <w:rPr>
          <w:rFonts w:ascii="Times New Roman" w:eastAsia="Times New Roman" w:hAnsi="Times New Roman" w:cs="Times New Roman"/>
          <w:color w:val="000000" w:themeColor="text1"/>
          <w:sz w:val="28"/>
          <w:szCs w:val="28"/>
        </w:rPr>
        <w:t>plotësisht</w:t>
      </w:r>
      <w:r w:rsidRPr="00F311AD">
        <w:rPr>
          <w:rFonts w:ascii="Times New Roman" w:eastAsia="Times New Roman" w:hAnsi="Times New Roman" w:cs="Times New Roman"/>
          <w:color w:val="000000" w:themeColor="text1"/>
          <w:sz w:val="28"/>
          <w:szCs w:val="28"/>
        </w:rPr>
        <w:t xml:space="preserve"> </w:t>
      </w:r>
      <w:r w:rsidRPr="00F311AD">
        <w:rPr>
          <w:rFonts w:ascii="Times New Roman" w:eastAsia="Times New Roman" w:hAnsi="Times New Roman" w:cs="Times New Roman"/>
          <w:sz w:val="28"/>
          <w:szCs w:val="28"/>
        </w:rPr>
        <w:t>Direktivën 2008/98/KE të Parlamentit Evropian dhe të Këshillit, datë 19 nëntor 2008, “Për mbetjet dhe shfuqizimin e disa direktivave”, të ndryshuar, përfshirë ndryshimet e bëra me Direktivën (BE) 2018/851. Numri CELEX: 32008L0098, Fletorja Zyrtare e Bashkimit Evropian, seria L, nr. 312, datë 22.11.2008, faqe 3–30.</w:t>
      </w:r>
    </w:p>
    <w:p w14:paraId="0E5CDA59" w14:textId="77777777"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Direktiva është pjesë e legjislacionit të Bashkimit Evropian për mjedisin (kapitulli 27, “Mjedisi dhe ndryshimet klimatike”). Përafrimi i saj është realizuar kryesisht me ligjin nr. 57/2025, ndërsa ky projektvendim, së bashku me ligjin, përafron dispozitat e nenit 17 (kontrolli dhe gjurmueshmëria e mbetjeve të rrezikshme), të nenit 19 (ambalazhimi, etiketimi dhe dokumenti që shoqëron transfertën) të nenit 34, paragrafët 1 dhe 2 (inspektimet), dhe të nenit 35, paragrafët 1, 2 dhe 4 (mbajtja e të dhënave dhe regjistri elektronik, së bashku me vendimin nr. 672, datë 12.11.2025, të Këshillit të Ministrave), si dhe zbaton nenin 20, paragrafët 2 dhe 3 (mbetjet e rrezikshme shtëpiake). Nenet 18 dhe 36 të Direktivës janë përafruar me nenet 41, 76, 77 dhe 78 të ligjit, të cilave projektvendimi u referohet.</w:t>
      </w:r>
    </w:p>
    <w:p w14:paraId="1B314FD1" w14:textId="77777777"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“Dokumenti i identifikimit”, i parashikuar në nenin 19, paragrafi 2, të Direktivës, përafrohet me “dokumentin e dorëzimit”, sipas terminologjisë së ligjit nr. 57/2025. Formulari i shtojcës 4 të projektvendimit përmban të dhënat përkatëse të shtojcës IB të Rregullores (KE) nr. 1013/2006, të cilat janë të zbatueshme për transfertat brenda territorit, dhe kodet e shtojcës IC të saj për gjendjen fizike, llojin e ambalazhit dhe mënyrën e transportit. Rregullorja (KE) nr. 1013/2006 u shfuqizua nga Rregullorja (BE) 2024/1157 me efekt nga 21 maj 2026; referimi i nenit 19, paragrafi 2, të Direktivës lexohet si referim te shtojca përkatëse e rregullores së re.</w:t>
      </w:r>
    </w:p>
    <w:p w14:paraId="4DCFC357" w14:textId="19570906"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lastRenderedPageBreak/>
        <w:t>Afatet e magazinimit të përkohshëm, të nenit 16 të projektvendimit, përputhen me përkufizimin e landfill-it në nenin 2, shkronja “g”, të Direktivës 1999/31/KE “Për landfill-et e mbetjeve”, të përafruar në nenin 4 të ligjit. Detyrimi për ruajtjen e evidencave për të paktën 3 (tre) vjet zbatohet edhe për transportuesit, gjë që përbën kërkesë më të rreptë se afati minimal 12-mujor i nenit 35, paragrafi 2, të Direktivës.</w:t>
      </w:r>
    </w:p>
    <w:p w14:paraId="3685C636" w14:textId="77777777"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Shkalla e përafrimit paraqitet në tabelën e përputhshmërisë, që i bashkëlidhet këtij relacioni. Dispozitat e Direktivës që i drejtohen Komisionit Evropian (neni 20, paragrafi 4, dhe neni 35, paragrafi 5) nuk kërkojnë përafrim në rendin juridik shqiptar.</w:t>
      </w:r>
    </w:p>
    <w:p w14:paraId="4511C4C8" w14:textId="77777777" w:rsidR="00DE5C01" w:rsidRPr="00F311AD" w:rsidRDefault="00DE5C01" w:rsidP="006A306B">
      <w:pPr>
        <w:spacing w:after="0"/>
        <w:jc w:val="both"/>
        <w:rPr>
          <w:rFonts w:ascii="Times New Roman" w:eastAsia="Times New Roman" w:hAnsi="Times New Roman" w:cs="Times New Roman"/>
          <w:sz w:val="28"/>
          <w:szCs w:val="28"/>
        </w:rPr>
      </w:pPr>
    </w:p>
    <w:p w14:paraId="55B70B37" w14:textId="77777777" w:rsidR="00491A74" w:rsidRPr="00F311AD" w:rsidRDefault="00491A74" w:rsidP="006A306B">
      <w:pPr>
        <w:numPr>
          <w:ilvl w:val="0"/>
          <w:numId w:val="1"/>
        </w:numPr>
        <w:spacing w:after="0"/>
        <w:contextualSpacing/>
        <w:jc w:val="both"/>
        <w:rPr>
          <w:rFonts w:ascii="Times New Roman" w:eastAsia="Times New Roman" w:hAnsi="Times New Roman" w:cs="Times New Roman"/>
          <w:b/>
          <w:sz w:val="28"/>
          <w:szCs w:val="28"/>
        </w:rPr>
      </w:pPr>
      <w:r w:rsidRPr="00F311AD">
        <w:rPr>
          <w:rFonts w:ascii="Times New Roman" w:eastAsia="Times New Roman" w:hAnsi="Times New Roman" w:cs="Times New Roman"/>
          <w:b/>
          <w:sz w:val="28"/>
          <w:szCs w:val="28"/>
        </w:rPr>
        <w:t>PËRMBLEDHJE SHPJEGUESE E PËRMBAJTJES SË PROJEKTAKTIT</w:t>
      </w:r>
    </w:p>
    <w:p w14:paraId="6A361FA9" w14:textId="77777777" w:rsidR="00DE5C01" w:rsidRPr="00F311AD" w:rsidRDefault="00DE5C01" w:rsidP="006A306B">
      <w:pPr>
        <w:spacing w:after="0"/>
        <w:jc w:val="both"/>
        <w:rPr>
          <w:rFonts w:ascii="Times New Roman" w:eastAsia="Times New Roman" w:hAnsi="Times New Roman" w:cs="Times New Roman"/>
          <w:sz w:val="28"/>
          <w:szCs w:val="28"/>
        </w:rPr>
      </w:pPr>
    </w:p>
    <w:p w14:paraId="396978B4" w14:textId="20CDABA7"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 xml:space="preserve">Projektvendimi përbëhet nga </w:t>
      </w:r>
      <w:r w:rsidR="00310228" w:rsidRPr="00F311AD">
        <w:rPr>
          <w:rFonts w:ascii="Times New Roman" w:eastAsia="Times New Roman" w:hAnsi="Times New Roman" w:cs="Times New Roman"/>
          <w:sz w:val="28"/>
          <w:szCs w:val="28"/>
        </w:rPr>
        <w:t>8</w:t>
      </w:r>
      <w:r w:rsidRPr="00F311AD">
        <w:rPr>
          <w:rFonts w:ascii="Times New Roman" w:eastAsia="Times New Roman" w:hAnsi="Times New Roman" w:cs="Times New Roman"/>
          <w:sz w:val="28"/>
          <w:szCs w:val="28"/>
        </w:rPr>
        <w:t xml:space="preserve"> krerë, 3</w:t>
      </w:r>
      <w:r w:rsidR="00310228" w:rsidRPr="00F311AD">
        <w:rPr>
          <w:rFonts w:ascii="Times New Roman" w:eastAsia="Times New Roman" w:hAnsi="Times New Roman" w:cs="Times New Roman"/>
          <w:sz w:val="28"/>
          <w:szCs w:val="28"/>
        </w:rPr>
        <w:t>1</w:t>
      </w:r>
      <w:r w:rsidRPr="00F311AD">
        <w:rPr>
          <w:rFonts w:ascii="Times New Roman" w:eastAsia="Times New Roman" w:hAnsi="Times New Roman" w:cs="Times New Roman"/>
          <w:sz w:val="28"/>
          <w:szCs w:val="28"/>
        </w:rPr>
        <w:t xml:space="preserve"> nene dhe </w:t>
      </w:r>
      <w:r w:rsidR="00CC534E" w:rsidRPr="00F311AD">
        <w:rPr>
          <w:rFonts w:ascii="Times New Roman" w:eastAsia="Times New Roman" w:hAnsi="Times New Roman" w:cs="Times New Roman"/>
          <w:sz w:val="28"/>
          <w:szCs w:val="28"/>
        </w:rPr>
        <w:t>5</w:t>
      </w:r>
      <w:r w:rsidRPr="00F311AD">
        <w:rPr>
          <w:rFonts w:ascii="Times New Roman" w:eastAsia="Times New Roman" w:hAnsi="Times New Roman" w:cs="Times New Roman"/>
          <w:sz w:val="28"/>
          <w:szCs w:val="28"/>
        </w:rPr>
        <w:t xml:space="preserve"> shtojca.</w:t>
      </w:r>
    </w:p>
    <w:p w14:paraId="1E4850DB" w14:textId="647AFA2D"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Kreu I, “Dispoz</w:t>
      </w:r>
      <w:r w:rsidR="006F2E42" w:rsidRPr="00F311AD">
        <w:rPr>
          <w:rFonts w:ascii="Times New Roman" w:eastAsia="Times New Roman" w:hAnsi="Times New Roman" w:cs="Times New Roman"/>
          <w:sz w:val="28"/>
          <w:szCs w:val="28"/>
        </w:rPr>
        <w:t>ita të përgjithshme”</w:t>
      </w:r>
      <w:r w:rsidRPr="00F311AD">
        <w:rPr>
          <w:rFonts w:ascii="Times New Roman" w:eastAsia="Times New Roman" w:hAnsi="Times New Roman" w:cs="Times New Roman"/>
          <w:sz w:val="28"/>
          <w:szCs w:val="28"/>
        </w:rPr>
        <w:t xml:space="preserve"> përcakton objektin, qëllimin, fushën e zbatimit dhe përkufizimet. Projektvendimi nuk zbatohet për mbetjet e përziera të krijuara nga sektori familjar.</w:t>
      </w:r>
    </w:p>
    <w:p w14:paraId="5752B5A1" w14:textId="7D6327BC"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Kreu II, “Klasifikimi, identifikimi dhe ndar</w:t>
      </w:r>
      <w:r w:rsidR="006F2E42" w:rsidRPr="00F311AD">
        <w:rPr>
          <w:rFonts w:ascii="Times New Roman" w:eastAsia="Times New Roman" w:hAnsi="Times New Roman" w:cs="Times New Roman"/>
          <w:sz w:val="28"/>
          <w:szCs w:val="28"/>
        </w:rPr>
        <w:t>ja sipas kategorive”</w:t>
      </w:r>
      <w:r w:rsidRPr="00F311AD">
        <w:rPr>
          <w:rFonts w:ascii="Times New Roman" w:eastAsia="Times New Roman" w:hAnsi="Times New Roman" w:cs="Times New Roman"/>
          <w:sz w:val="28"/>
          <w:szCs w:val="28"/>
        </w:rPr>
        <w:t>, rregullon identifikimin dhe klasifikimin e mbetjeve të rrezikshme, kryerjen e analizave nga laboratorë të akredituar me kostot e krijuesit ose të zotëruesit, ndarjen sipas kategorive dhe masat për mbetjet me klasifikim të papërcaktuar.</w:t>
      </w:r>
    </w:p>
    <w:p w14:paraId="1B0EB3B0" w14:textId="3AC35958"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Kreu III, “Kërkesa të përgjithshme për ambalazhi</w:t>
      </w:r>
      <w:r w:rsidR="006F2E42" w:rsidRPr="00F311AD">
        <w:rPr>
          <w:rFonts w:ascii="Times New Roman" w:eastAsia="Times New Roman" w:hAnsi="Times New Roman" w:cs="Times New Roman"/>
          <w:sz w:val="28"/>
          <w:szCs w:val="28"/>
        </w:rPr>
        <w:t>min dhe etiketimin”</w:t>
      </w:r>
      <w:r w:rsidRPr="00F311AD">
        <w:rPr>
          <w:rFonts w:ascii="Times New Roman" w:eastAsia="Times New Roman" w:hAnsi="Times New Roman" w:cs="Times New Roman"/>
          <w:sz w:val="28"/>
          <w:szCs w:val="28"/>
        </w:rPr>
        <w:t xml:space="preserve">, përcakton kërkesat për ambalazhin dhe pajtueshmërinë e tij, elementet minimale të etiketës, </w:t>
      </w:r>
      <w:r w:rsidR="00223228" w:rsidRPr="00F311AD">
        <w:rPr>
          <w:rFonts w:ascii="Times New Roman" w:eastAsia="Times New Roman" w:hAnsi="Times New Roman" w:cs="Times New Roman"/>
          <w:sz w:val="28"/>
          <w:szCs w:val="28"/>
        </w:rPr>
        <w:t xml:space="preserve">riambalazhimin, rietiketimin dhe konsolidimin, </w:t>
      </w:r>
      <w:r w:rsidRPr="00F311AD">
        <w:rPr>
          <w:rFonts w:ascii="Times New Roman" w:eastAsia="Times New Roman" w:hAnsi="Times New Roman" w:cs="Times New Roman"/>
          <w:sz w:val="28"/>
          <w:szCs w:val="28"/>
        </w:rPr>
        <w:t>si dhe formën dhe gjuhën e saj.</w:t>
      </w:r>
    </w:p>
    <w:p w14:paraId="24DF11C9" w14:textId="77777777" w:rsidR="00BB286D" w:rsidRPr="00F311AD" w:rsidRDefault="00695D1A" w:rsidP="00BB286D">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Kreu IV, “Magazi</w:t>
      </w:r>
      <w:r w:rsidR="006F2E42" w:rsidRPr="00F311AD">
        <w:rPr>
          <w:rFonts w:ascii="Times New Roman" w:eastAsia="Times New Roman" w:hAnsi="Times New Roman" w:cs="Times New Roman"/>
          <w:sz w:val="28"/>
          <w:szCs w:val="28"/>
        </w:rPr>
        <w:t>nimi i përkohshëm”</w:t>
      </w:r>
      <w:r w:rsidRPr="00F311AD">
        <w:rPr>
          <w:rFonts w:ascii="Times New Roman" w:eastAsia="Times New Roman" w:hAnsi="Times New Roman" w:cs="Times New Roman"/>
          <w:sz w:val="28"/>
          <w:szCs w:val="28"/>
        </w:rPr>
        <w:t>, përcakton kërkesat dhe kushtet për zonat e magazinimit të përkohshëm, sinjalistikën e tyre dhe afatet maksimale të magazinimit.</w:t>
      </w:r>
    </w:p>
    <w:p w14:paraId="6C5074FA" w14:textId="79BF6E19" w:rsidR="00DE5C01" w:rsidRPr="00F311AD" w:rsidRDefault="00695D1A" w:rsidP="00BB286D">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Kreu V, “Grumbullimi, transporti, gjurmueshmëria dhe dokumentimi i mbetj</w:t>
      </w:r>
      <w:r w:rsidR="006F2E42" w:rsidRPr="00F311AD">
        <w:rPr>
          <w:rFonts w:ascii="Times New Roman" w:eastAsia="Times New Roman" w:hAnsi="Times New Roman" w:cs="Times New Roman"/>
          <w:sz w:val="28"/>
          <w:szCs w:val="28"/>
        </w:rPr>
        <w:t>eve të rrezikshme”</w:t>
      </w:r>
      <w:r w:rsidRPr="00F311AD">
        <w:rPr>
          <w:rFonts w:ascii="Times New Roman" w:eastAsia="Times New Roman" w:hAnsi="Times New Roman" w:cs="Times New Roman"/>
          <w:sz w:val="28"/>
          <w:szCs w:val="28"/>
        </w:rPr>
        <w:t>, rregullon</w:t>
      </w:r>
      <w:r w:rsidR="00BB286D" w:rsidRPr="00F311AD">
        <w:rPr>
          <w:rFonts w:ascii="Times New Roman" w:eastAsia="Times New Roman" w:hAnsi="Times New Roman" w:cs="Times New Roman"/>
          <w:sz w:val="28"/>
          <w:szCs w:val="28"/>
        </w:rPr>
        <w:t xml:space="preserve"> </w:t>
      </w:r>
      <w:r w:rsidR="00BB286D" w:rsidRPr="00F311AD">
        <w:rPr>
          <w:rFonts w:ascii="Times New Roman" w:hAnsi="Times New Roman" w:cs="Times New Roman"/>
          <w:noProof/>
          <w:sz w:val="28"/>
          <w:szCs w:val="28"/>
        </w:rPr>
        <w:t>kërkesat për subjektet që kryejnë veprimtari me mbetjet e rrezikshme</w:t>
      </w:r>
      <w:r w:rsidR="00BB286D" w:rsidRPr="00F311AD">
        <w:rPr>
          <w:rFonts w:ascii="Times New Roman" w:eastAsia="Times New Roman" w:hAnsi="Times New Roman" w:cs="Times New Roman"/>
          <w:sz w:val="28"/>
          <w:szCs w:val="28"/>
        </w:rPr>
        <w:t xml:space="preserve"> </w:t>
      </w:r>
      <w:r w:rsidRPr="00F311AD">
        <w:rPr>
          <w:rFonts w:ascii="Times New Roman" w:eastAsia="Times New Roman" w:hAnsi="Times New Roman" w:cs="Times New Roman"/>
          <w:sz w:val="28"/>
          <w:szCs w:val="28"/>
        </w:rPr>
        <w:t>grumbullimin, transportin</w:t>
      </w:r>
      <w:r w:rsidR="006F2E42" w:rsidRPr="00F311AD">
        <w:rPr>
          <w:rFonts w:ascii="Times New Roman" w:eastAsia="Times New Roman" w:hAnsi="Times New Roman" w:cs="Times New Roman"/>
          <w:sz w:val="28"/>
          <w:szCs w:val="28"/>
        </w:rPr>
        <w:t xml:space="preserve">, </w:t>
      </w:r>
      <w:r w:rsidRPr="00F311AD">
        <w:rPr>
          <w:rFonts w:ascii="Times New Roman" w:eastAsia="Times New Roman" w:hAnsi="Times New Roman" w:cs="Times New Roman"/>
          <w:sz w:val="28"/>
          <w:szCs w:val="28"/>
        </w:rPr>
        <w:t xml:space="preserve">dokumentin e dorëzimit, gjurmueshmërinë </w:t>
      </w:r>
      <w:r w:rsidR="00BB286D" w:rsidRPr="00F311AD">
        <w:rPr>
          <w:rFonts w:ascii="Times New Roman" w:eastAsia="Times New Roman" w:hAnsi="Times New Roman" w:cs="Times New Roman"/>
          <w:sz w:val="28"/>
          <w:szCs w:val="28"/>
        </w:rPr>
        <w:t xml:space="preserve">dhe raportimin </w:t>
      </w:r>
      <w:r w:rsidRPr="00F311AD">
        <w:rPr>
          <w:rFonts w:ascii="Times New Roman" w:eastAsia="Times New Roman" w:hAnsi="Times New Roman" w:cs="Times New Roman"/>
          <w:sz w:val="28"/>
          <w:szCs w:val="28"/>
        </w:rPr>
        <w:t>nëpërmjet identifikuesit unik elektronik në SIM dhe mbajtjen e evidencave.</w:t>
      </w:r>
    </w:p>
    <w:p w14:paraId="65A48F8E" w14:textId="58BA9F6F"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lastRenderedPageBreak/>
        <w:t>Kreu VI, “Detyrim</w:t>
      </w:r>
      <w:r w:rsidR="006F2E42" w:rsidRPr="00F311AD">
        <w:rPr>
          <w:rFonts w:ascii="Times New Roman" w:eastAsia="Times New Roman" w:hAnsi="Times New Roman" w:cs="Times New Roman"/>
          <w:sz w:val="28"/>
          <w:szCs w:val="28"/>
        </w:rPr>
        <w:t>et e subjekteve”</w:t>
      </w:r>
      <w:r w:rsidRPr="00F311AD">
        <w:rPr>
          <w:rFonts w:ascii="Times New Roman" w:eastAsia="Times New Roman" w:hAnsi="Times New Roman" w:cs="Times New Roman"/>
          <w:sz w:val="28"/>
          <w:szCs w:val="28"/>
        </w:rPr>
        <w:t>, përcakton detyrimet e krijuesit ose të zotëruesit fillestar, të grumbulluesit, të transportuesit dhe të marrësit në dorëzim, si dhe detyrimin për trajnimin e personelit.</w:t>
      </w:r>
    </w:p>
    <w:p w14:paraId="09F0290F" w14:textId="6FEB762C" w:rsidR="00DE5C01" w:rsidRPr="00F311AD" w:rsidRDefault="00695D1A" w:rsidP="0010075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Kreu VII, “Kontrolli dhe masat admi</w:t>
      </w:r>
      <w:r w:rsidR="006F2E42" w:rsidRPr="00F311AD">
        <w:rPr>
          <w:rFonts w:ascii="Times New Roman" w:eastAsia="Times New Roman" w:hAnsi="Times New Roman" w:cs="Times New Roman"/>
          <w:sz w:val="28"/>
          <w:szCs w:val="28"/>
        </w:rPr>
        <w:t>nistrative”</w:t>
      </w:r>
      <w:r w:rsidRPr="00F311AD">
        <w:rPr>
          <w:rFonts w:ascii="Times New Roman" w:eastAsia="Times New Roman" w:hAnsi="Times New Roman" w:cs="Times New Roman"/>
          <w:sz w:val="28"/>
          <w:szCs w:val="28"/>
        </w:rPr>
        <w:t>, përcakton kontrollin nga struktura përgjegjëse për inspektimin në fushën e mjedisit, autoritetet përgjegjëse dhe referimin te dispozitat e ligjit për kundërvajtjet administrative.</w:t>
      </w:r>
    </w:p>
    <w:p w14:paraId="5D63D7A0" w14:textId="45E7C9C4"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 xml:space="preserve">Kreu </w:t>
      </w:r>
      <w:r w:rsidR="0010075B" w:rsidRPr="00F311AD">
        <w:rPr>
          <w:rFonts w:ascii="Times New Roman" w:eastAsia="Times New Roman" w:hAnsi="Times New Roman" w:cs="Times New Roman"/>
          <w:sz w:val="28"/>
          <w:szCs w:val="28"/>
        </w:rPr>
        <w:t>VIII</w:t>
      </w:r>
      <w:r w:rsidRPr="00F311AD">
        <w:rPr>
          <w:rFonts w:ascii="Times New Roman" w:eastAsia="Times New Roman" w:hAnsi="Times New Roman" w:cs="Times New Roman"/>
          <w:sz w:val="28"/>
          <w:szCs w:val="28"/>
        </w:rPr>
        <w:t>, “Dispozi</w:t>
      </w:r>
      <w:r w:rsidR="006F2E42" w:rsidRPr="00F311AD">
        <w:rPr>
          <w:rFonts w:ascii="Times New Roman" w:eastAsia="Times New Roman" w:hAnsi="Times New Roman" w:cs="Times New Roman"/>
          <w:sz w:val="28"/>
          <w:szCs w:val="28"/>
        </w:rPr>
        <w:t>ta kalimtare dhe të fundit”</w:t>
      </w:r>
      <w:r w:rsidRPr="00F311AD">
        <w:rPr>
          <w:rFonts w:ascii="Times New Roman" w:eastAsia="Times New Roman" w:hAnsi="Times New Roman" w:cs="Times New Roman"/>
          <w:sz w:val="28"/>
          <w:szCs w:val="28"/>
        </w:rPr>
        <w:t>, përcakton afatin 6 (gjashtë) mujor për përshtatjen e subjekteve, përdorimin kalimtar të etiketave dhe të formularëve ekzistues, përdorimin e dokumentit të dorëzimit në letër deri në vënien në funksionim të modulit përkatës në SIM, shfuqizimin e vendimit nr. 371, datë 11.6.2014, dhe hyrjen në fuqi.</w:t>
      </w:r>
    </w:p>
    <w:p w14:paraId="5A53F149" w14:textId="607D2DC3"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Shtojca 1 përmban kërkesat minimale për ambalazhimin sipas llojit të mbetjes së rrezikshme; shtojca 2, modelin minimal të etiketës; shtojca 3, kërkesat minimale teknike për zonat e magazinimit të përkohshëm; shtojca 4, formularin e dokumentit të dorëzimit të mbetjeve të rrezikshme</w:t>
      </w:r>
      <w:r w:rsidR="0045735B" w:rsidRPr="00F311AD">
        <w:rPr>
          <w:rFonts w:ascii="Times New Roman" w:eastAsia="Times New Roman" w:hAnsi="Times New Roman" w:cs="Times New Roman"/>
          <w:sz w:val="28"/>
          <w:szCs w:val="28"/>
        </w:rPr>
        <w:t xml:space="preserve"> dhe shtojca 5 metodologjinë e përcaktimit të kodit unik të dokumentit të dorëzimit.</w:t>
      </w:r>
    </w:p>
    <w:p w14:paraId="615C6764" w14:textId="77777777" w:rsidR="00DE5C01" w:rsidRPr="00F311AD" w:rsidRDefault="00DE5C01" w:rsidP="006A306B">
      <w:pPr>
        <w:spacing w:after="0"/>
        <w:jc w:val="both"/>
        <w:rPr>
          <w:rFonts w:ascii="Times New Roman" w:eastAsia="Times New Roman" w:hAnsi="Times New Roman" w:cs="Times New Roman"/>
          <w:sz w:val="28"/>
          <w:szCs w:val="28"/>
        </w:rPr>
      </w:pPr>
    </w:p>
    <w:p w14:paraId="30F75A6B" w14:textId="77777777" w:rsidR="00491A74" w:rsidRPr="00F311AD" w:rsidRDefault="00491A74" w:rsidP="006A306B">
      <w:pPr>
        <w:numPr>
          <w:ilvl w:val="0"/>
          <w:numId w:val="1"/>
        </w:numPr>
        <w:spacing w:after="0"/>
        <w:contextualSpacing/>
        <w:jc w:val="both"/>
        <w:rPr>
          <w:rFonts w:ascii="Times New Roman" w:eastAsia="Times New Roman" w:hAnsi="Times New Roman" w:cs="Times New Roman"/>
          <w:b/>
          <w:sz w:val="28"/>
          <w:szCs w:val="28"/>
        </w:rPr>
      </w:pPr>
      <w:r w:rsidRPr="00F311AD">
        <w:rPr>
          <w:rFonts w:ascii="Times New Roman" w:eastAsia="Times New Roman" w:hAnsi="Times New Roman" w:cs="Times New Roman"/>
          <w:b/>
          <w:sz w:val="28"/>
          <w:szCs w:val="28"/>
        </w:rPr>
        <w:t>INSTITUCIONET DHE ORGANET QË NGARKOHEN PËR ZBATIMIN E AKTIT</w:t>
      </w:r>
    </w:p>
    <w:p w14:paraId="1C5494B6" w14:textId="77777777" w:rsidR="00DE5C01" w:rsidRPr="00F311AD" w:rsidRDefault="00DE5C01" w:rsidP="006A306B">
      <w:pPr>
        <w:spacing w:after="0"/>
        <w:jc w:val="both"/>
        <w:rPr>
          <w:rFonts w:ascii="Times New Roman" w:eastAsia="Times New Roman" w:hAnsi="Times New Roman" w:cs="Times New Roman"/>
          <w:sz w:val="28"/>
          <w:szCs w:val="28"/>
        </w:rPr>
      </w:pPr>
    </w:p>
    <w:p w14:paraId="73D9DBC9" w14:textId="609B8615"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Për zbatimin e këtij projektvendimi ngarkohen ministria përgjegjëse për mjedisin, Agjencia Kombëtare e Mjedisit dhe struktura përgjegjëse për in</w:t>
      </w:r>
      <w:r w:rsidR="00BD0754" w:rsidRPr="00F311AD">
        <w:rPr>
          <w:rFonts w:ascii="Times New Roman" w:eastAsia="Times New Roman" w:hAnsi="Times New Roman" w:cs="Times New Roman"/>
          <w:sz w:val="28"/>
          <w:szCs w:val="28"/>
        </w:rPr>
        <w:t>spektimin në fushën e mjedisit.</w:t>
      </w:r>
      <w:r w:rsidR="00CC534E" w:rsidRPr="00F311AD">
        <w:rPr>
          <w:rFonts w:ascii="Times New Roman" w:eastAsia="Times New Roman" w:hAnsi="Times New Roman" w:cs="Times New Roman"/>
          <w:sz w:val="28"/>
          <w:szCs w:val="28"/>
        </w:rPr>
        <w:t xml:space="preserve"> </w:t>
      </w:r>
    </w:p>
    <w:p w14:paraId="07D1ADC7" w14:textId="77777777" w:rsidR="00DE5C01" w:rsidRPr="00F311AD" w:rsidRDefault="00DE5C01" w:rsidP="006A306B">
      <w:pPr>
        <w:spacing w:after="0"/>
        <w:jc w:val="both"/>
        <w:rPr>
          <w:rFonts w:ascii="Times New Roman" w:eastAsia="Times New Roman" w:hAnsi="Times New Roman" w:cs="Times New Roman"/>
          <w:sz w:val="28"/>
          <w:szCs w:val="28"/>
        </w:rPr>
      </w:pPr>
    </w:p>
    <w:p w14:paraId="1204533C" w14:textId="77777777" w:rsidR="00491A74" w:rsidRPr="00F311AD" w:rsidRDefault="00491A74" w:rsidP="006A306B">
      <w:pPr>
        <w:numPr>
          <w:ilvl w:val="0"/>
          <w:numId w:val="1"/>
        </w:numPr>
        <w:spacing w:after="0"/>
        <w:contextualSpacing/>
        <w:jc w:val="both"/>
        <w:rPr>
          <w:rFonts w:ascii="Times New Roman" w:eastAsia="Times New Roman" w:hAnsi="Times New Roman" w:cs="Times New Roman"/>
          <w:b/>
          <w:sz w:val="28"/>
          <w:szCs w:val="28"/>
        </w:rPr>
      </w:pPr>
      <w:r w:rsidRPr="00F311AD">
        <w:rPr>
          <w:rFonts w:ascii="Times New Roman" w:eastAsia="Times New Roman" w:hAnsi="Times New Roman" w:cs="Times New Roman"/>
          <w:b/>
          <w:sz w:val="28"/>
          <w:szCs w:val="28"/>
        </w:rPr>
        <w:t>PERSONAT DHE INSTITUCIONET QË KANË KONTRIBUAR NË HARTIMIN E PROJEKTAKTIT</w:t>
      </w:r>
    </w:p>
    <w:p w14:paraId="4AF9D127" w14:textId="77777777" w:rsidR="00DE5C01" w:rsidRPr="00F311AD" w:rsidRDefault="00DE5C01" w:rsidP="006A306B">
      <w:pPr>
        <w:spacing w:after="0"/>
        <w:jc w:val="both"/>
        <w:rPr>
          <w:rFonts w:ascii="Times New Roman" w:eastAsia="Times New Roman" w:hAnsi="Times New Roman" w:cs="Times New Roman"/>
          <w:sz w:val="28"/>
          <w:szCs w:val="28"/>
        </w:rPr>
      </w:pPr>
    </w:p>
    <w:p w14:paraId="4E6561DB" w14:textId="218E66B2" w:rsidR="00DE5C01" w:rsidRPr="00F311AD" w:rsidRDefault="00BD0754" w:rsidP="00F474D5">
      <w:pPr>
        <w:spacing w:after="0"/>
        <w:ind w:left="360"/>
        <w:jc w:val="both"/>
        <w:rPr>
          <w:rFonts w:ascii="Times New Roman" w:hAnsi="Times New Roman" w:cs="Times New Roman"/>
          <w:color w:val="000000"/>
          <w:sz w:val="28"/>
          <w:szCs w:val="28"/>
        </w:rPr>
      </w:pPr>
      <w:r w:rsidRPr="00F311AD">
        <w:rPr>
          <w:rFonts w:ascii="Times New Roman" w:hAnsi="Times New Roman" w:cs="Times New Roman"/>
          <w:color w:val="000000"/>
          <w:sz w:val="28"/>
          <w:szCs w:val="28"/>
        </w:rPr>
        <w:t xml:space="preserve">Projektakti është hartuar nga ministria përgjegjëse për mjedisin, në bashkëpunim me </w:t>
      </w:r>
      <w:r w:rsidRPr="00F311AD">
        <w:rPr>
          <w:rFonts w:ascii="Times New Roman" w:eastAsia="Times New Roman" w:hAnsi="Times New Roman" w:cs="Times New Roman"/>
          <w:sz w:val="28"/>
          <w:szCs w:val="28"/>
        </w:rPr>
        <w:t>Agjencin</w:t>
      </w:r>
      <w:r w:rsidR="00AD03EA" w:rsidRPr="00F311AD">
        <w:rPr>
          <w:rFonts w:ascii="Times New Roman" w:eastAsia="Times New Roman" w:hAnsi="Times New Roman" w:cs="Times New Roman"/>
          <w:sz w:val="28"/>
          <w:szCs w:val="28"/>
        </w:rPr>
        <w:t xml:space="preserve">ë </w:t>
      </w:r>
      <w:r w:rsidRPr="00F311AD">
        <w:rPr>
          <w:rFonts w:ascii="Times New Roman" w:eastAsia="Times New Roman" w:hAnsi="Times New Roman" w:cs="Times New Roman"/>
          <w:sz w:val="28"/>
          <w:szCs w:val="28"/>
        </w:rPr>
        <w:t xml:space="preserve"> Kombëtare t</w:t>
      </w:r>
      <w:r w:rsidR="00AD03EA" w:rsidRPr="00F311AD">
        <w:rPr>
          <w:rFonts w:ascii="Times New Roman" w:eastAsia="Times New Roman" w:hAnsi="Times New Roman" w:cs="Times New Roman"/>
          <w:sz w:val="28"/>
          <w:szCs w:val="28"/>
        </w:rPr>
        <w:t xml:space="preserve">ë </w:t>
      </w:r>
      <w:r w:rsidRPr="00F311AD">
        <w:rPr>
          <w:rFonts w:ascii="Times New Roman" w:eastAsia="Times New Roman" w:hAnsi="Times New Roman" w:cs="Times New Roman"/>
          <w:sz w:val="28"/>
          <w:szCs w:val="28"/>
        </w:rPr>
        <w:t xml:space="preserve"> Mjedisit </w:t>
      </w:r>
      <w:r w:rsidRPr="00F311AD">
        <w:rPr>
          <w:rFonts w:ascii="Times New Roman" w:hAnsi="Times New Roman" w:cs="Times New Roman"/>
          <w:color w:val="000000"/>
          <w:sz w:val="28"/>
          <w:szCs w:val="28"/>
        </w:rPr>
        <w:t>dhe strukturat teknike përkatëse.</w:t>
      </w:r>
    </w:p>
    <w:p w14:paraId="02E70020" w14:textId="77777777" w:rsidR="00BD0754" w:rsidRPr="00F311AD" w:rsidRDefault="00BD0754" w:rsidP="006A306B">
      <w:pPr>
        <w:spacing w:after="0"/>
        <w:jc w:val="both"/>
        <w:rPr>
          <w:rFonts w:ascii="Times New Roman" w:eastAsia="Times New Roman" w:hAnsi="Times New Roman" w:cs="Times New Roman"/>
          <w:sz w:val="28"/>
          <w:szCs w:val="28"/>
        </w:rPr>
      </w:pPr>
    </w:p>
    <w:p w14:paraId="2267DD9C" w14:textId="77777777" w:rsidR="00491A74" w:rsidRPr="00F311AD" w:rsidRDefault="00491A74" w:rsidP="006A306B">
      <w:pPr>
        <w:numPr>
          <w:ilvl w:val="0"/>
          <w:numId w:val="1"/>
        </w:numPr>
        <w:spacing w:after="0"/>
        <w:contextualSpacing/>
        <w:jc w:val="both"/>
        <w:rPr>
          <w:rFonts w:ascii="Times New Roman" w:eastAsia="Times New Roman" w:hAnsi="Times New Roman" w:cs="Times New Roman"/>
          <w:b/>
          <w:sz w:val="28"/>
          <w:szCs w:val="28"/>
        </w:rPr>
      </w:pPr>
      <w:r w:rsidRPr="00F311AD">
        <w:rPr>
          <w:rFonts w:ascii="Times New Roman" w:eastAsia="Times New Roman" w:hAnsi="Times New Roman" w:cs="Times New Roman"/>
          <w:b/>
          <w:sz w:val="28"/>
          <w:szCs w:val="28"/>
        </w:rPr>
        <w:t>RAPORTI I VLERËSIMIT TË TË ARDHURAVE DHE SHPENZIMEVE BUXHETORE</w:t>
      </w:r>
    </w:p>
    <w:p w14:paraId="05AD755A" w14:textId="77777777" w:rsidR="00DE5C01" w:rsidRPr="00F311AD" w:rsidRDefault="00DE5C01" w:rsidP="006A306B">
      <w:pPr>
        <w:spacing w:after="0"/>
        <w:jc w:val="both"/>
        <w:rPr>
          <w:rFonts w:ascii="Times New Roman" w:eastAsia="Times New Roman" w:hAnsi="Times New Roman" w:cs="Times New Roman"/>
          <w:sz w:val="28"/>
          <w:szCs w:val="28"/>
        </w:rPr>
      </w:pPr>
    </w:p>
    <w:p w14:paraId="6A7BC2B4" w14:textId="77777777" w:rsidR="00DE5C01" w:rsidRPr="00F311AD" w:rsidRDefault="00695D1A" w:rsidP="006A306B">
      <w:pPr>
        <w:spacing w:after="120"/>
        <w:ind w:left="360"/>
        <w:jc w:val="both"/>
        <w:rPr>
          <w:rFonts w:ascii="Times New Roman" w:eastAsia="Times New Roman" w:hAnsi="Times New Roman" w:cs="Times New Roman"/>
          <w:sz w:val="28"/>
          <w:szCs w:val="28"/>
        </w:rPr>
      </w:pPr>
      <w:r w:rsidRPr="00F311AD">
        <w:rPr>
          <w:rFonts w:ascii="Times New Roman" w:eastAsia="Times New Roman" w:hAnsi="Times New Roman" w:cs="Times New Roman"/>
          <w:sz w:val="28"/>
          <w:szCs w:val="28"/>
        </w:rPr>
        <w:t xml:space="preserve">Projektvendimi nuk parashikon krijimin e strukturave të reja. Detyrat që rrjedhin prej tij, përfshirë regjistrimin e mjeteve të transportit dhe administrimin e të dhënave në SIM, u ngarkohen institucioneve ekzistuese, të renditura në pjesën VII </w:t>
      </w:r>
      <w:r w:rsidRPr="00F311AD">
        <w:rPr>
          <w:rFonts w:ascii="Times New Roman" w:eastAsia="Times New Roman" w:hAnsi="Times New Roman" w:cs="Times New Roman"/>
          <w:sz w:val="28"/>
          <w:szCs w:val="28"/>
        </w:rPr>
        <w:lastRenderedPageBreak/>
        <w:t>të këtij relacioni. Kostot e analizave, të ambalazhimit dhe të etiketimit përballohen nga krijuesit ose zotëruesit e mbetjeve.</w:t>
      </w:r>
    </w:p>
    <w:p w14:paraId="28E95865" w14:textId="1E13662A" w:rsidR="00DE5C01" w:rsidRPr="00F311AD" w:rsidRDefault="00DE5C01" w:rsidP="006A306B">
      <w:pPr>
        <w:spacing w:after="120"/>
        <w:ind w:left="360"/>
        <w:jc w:val="both"/>
        <w:rPr>
          <w:rFonts w:ascii="Times New Roman" w:eastAsia="Times New Roman" w:hAnsi="Times New Roman" w:cs="Times New Roman"/>
          <w:sz w:val="28"/>
          <w:szCs w:val="28"/>
        </w:rPr>
      </w:pPr>
    </w:p>
    <w:p w14:paraId="1AF0EED7" w14:textId="77777777" w:rsidR="00DE5C01" w:rsidRPr="00F311AD" w:rsidRDefault="00DE5C01" w:rsidP="006A306B">
      <w:pPr>
        <w:spacing w:after="0"/>
        <w:jc w:val="both"/>
        <w:rPr>
          <w:rFonts w:ascii="Times New Roman" w:eastAsia="Times New Roman" w:hAnsi="Times New Roman" w:cs="Times New Roman"/>
          <w:sz w:val="28"/>
          <w:szCs w:val="28"/>
        </w:rPr>
      </w:pPr>
    </w:p>
    <w:p w14:paraId="280760E9" w14:textId="77777777" w:rsidR="00491A74" w:rsidRPr="00F311AD" w:rsidRDefault="00491A74" w:rsidP="006A306B">
      <w:pPr>
        <w:jc w:val="center"/>
        <w:rPr>
          <w:rFonts w:ascii="Times New Roman" w:eastAsia="Times New Roman" w:hAnsi="Times New Roman" w:cs="Times New Roman"/>
          <w:b/>
          <w:sz w:val="28"/>
          <w:szCs w:val="28"/>
        </w:rPr>
      </w:pPr>
      <w:r w:rsidRPr="00F311AD">
        <w:rPr>
          <w:rFonts w:ascii="Times New Roman" w:eastAsia="Times New Roman" w:hAnsi="Times New Roman" w:cs="Times New Roman"/>
          <w:b/>
          <w:sz w:val="28"/>
          <w:szCs w:val="28"/>
        </w:rPr>
        <w:t>PROPOZUESI</w:t>
      </w:r>
    </w:p>
    <w:p w14:paraId="3E1D83F7" w14:textId="77777777" w:rsidR="00491A74" w:rsidRPr="00F311AD" w:rsidRDefault="00491A74" w:rsidP="006A306B">
      <w:pPr>
        <w:jc w:val="center"/>
        <w:rPr>
          <w:rFonts w:ascii="Times New Roman" w:eastAsia="Times New Roman" w:hAnsi="Times New Roman" w:cs="Times New Roman"/>
          <w:b/>
          <w:sz w:val="28"/>
          <w:szCs w:val="28"/>
        </w:rPr>
      </w:pPr>
      <w:r w:rsidRPr="00F311AD">
        <w:rPr>
          <w:rFonts w:ascii="Times New Roman" w:eastAsia="Times New Roman" w:hAnsi="Times New Roman" w:cs="Times New Roman"/>
          <w:b/>
          <w:sz w:val="28"/>
          <w:szCs w:val="28"/>
        </w:rPr>
        <w:t>MINISTRI</w:t>
      </w:r>
    </w:p>
    <w:p w14:paraId="0D5C72D9" w14:textId="77777777" w:rsidR="00491A74" w:rsidRPr="00F311AD" w:rsidRDefault="00491A74" w:rsidP="006A306B">
      <w:pPr>
        <w:jc w:val="center"/>
        <w:rPr>
          <w:rFonts w:ascii="Times New Roman" w:eastAsia="Times New Roman" w:hAnsi="Times New Roman" w:cs="Times New Roman"/>
          <w:b/>
          <w:sz w:val="28"/>
          <w:szCs w:val="28"/>
        </w:rPr>
      </w:pPr>
      <w:r w:rsidRPr="00F311AD">
        <w:rPr>
          <w:rFonts w:ascii="Times New Roman" w:eastAsia="Times New Roman" w:hAnsi="Times New Roman" w:cs="Times New Roman"/>
          <w:b/>
          <w:sz w:val="28"/>
          <w:szCs w:val="28"/>
        </w:rPr>
        <w:t>SOFJAN JAUPAJ</w:t>
      </w:r>
    </w:p>
    <w:sectPr w:rsidR="00491A74" w:rsidRPr="00F311AD" w:rsidSect="002F4DB2">
      <w:headerReference w:type="default" r:id="rId8"/>
      <w:footerReference w:type="default" r:id="rId9"/>
      <w:pgSz w:w="11907" w:h="16839" w:code="9"/>
      <w:pgMar w:top="450" w:right="1197" w:bottom="630" w:left="126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A9A38" w14:textId="77777777" w:rsidR="004F72A9" w:rsidRDefault="004F72A9">
      <w:pPr>
        <w:spacing w:after="0" w:line="240" w:lineRule="auto"/>
      </w:pPr>
      <w:r>
        <w:separator/>
      </w:r>
    </w:p>
  </w:endnote>
  <w:endnote w:type="continuationSeparator" w:id="0">
    <w:p w14:paraId="6FE74352" w14:textId="77777777" w:rsidR="004F72A9" w:rsidRDefault="004F7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1FB0C" w14:textId="77777777" w:rsidR="00FE40D9" w:rsidRPr="00FE40D9" w:rsidRDefault="005D51FB" w:rsidP="00F311AD">
    <w:pPr>
      <w:pStyle w:val="TableParagraph"/>
      <w:pBdr>
        <w:top w:val="thinThickSmallGap" w:sz="24" w:space="1" w:color="A50021"/>
      </w:pBdr>
      <w:jc w:val="both"/>
      <w:rPr>
        <w:rFonts w:ascii="Times New Roman" w:hAnsi="Times New Roman" w:cs="Times New Roman"/>
        <w:b/>
        <w:sz w:val="24"/>
        <w:szCs w:val="24"/>
      </w:rPr>
    </w:pPr>
    <w:r w:rsidRPr="005D51FB">
      <w:rPr>
        <w:rFonts w:ascii="Times New Roman" w:eastAsia="Calibri" w:hAnsi="Times New Roman" w:cs="Times New Roman"/>
        <w:sz w:val="24"/>
        <w:szCs w:val="24"/>
      </w:rPr>
      <w:t>Relacion shpjegues për projektvendimin “</w:t>
    </w:r>
    <w:r w:rsidR="00FE40D9">
      <w:rPr>
        <w:rFonts w:ascii="Times New Roman" w:hAnsi="Times New Roman" w:cs="Times New Roman"/>
        <w:bCs/>
        <w:sz w:val="24"/>
        <w:szCs w:val="24"/>
      </w:rPr>
      <w:t xml:space="preserve">Për ambalazhimin, etiketimin, transportin, </w:t>
    </w:r>
    <w:proofErr w:type="spellStart"/>
    <w:r w:rsidR="00FE40D9">
      <w:rPr>
        <w:rFonts w:ascii="Times New Roman" w:hAnsi="Times New Roman" w:cs="Times New Roman"/>
        <w:bCs/>
        <w:sz w:val="24"/>
        <w:szCs w:val="24"/>
      </w:rPr>
      <w:t>gjurmueshmërinë</w:t>
    </w:r>
    <w:proofErr w:type="spellEnd"/>
    <w:r w:rsidR="00FE40D9">
      <w:rPr>
        <w:rFonts w:ascii="Times New Roman" w:hAnsi="Times New Roman" w:cs="Times New Roman"/>
        <w:bCs/>
        <w:sz w:val="24"/>
        <w:szCs w:val="24"/>
      </w:rPr>
      <w:t>, magazinimin e përkohshëm dhe dokumentin e dorëzimit të mbetjeve të rrezikshme”.</w:t>
    </w:r>
  </w:p>
  <w:p w14:paraId="7EF8BF17" w14:textId="77777777" w:rsidR="004C7AF0" w:rsidRDefault="004C7AF0" w:rsidP="0041156A">
    <w:pPr>
      <w:spacing w:line="20" w:lineRule="atLeast"/>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08060" w14:textId="77777777" w:rsidR="004F72A9" w:rsidRDefault="004F72A9">
      <w:pPr>
        <w:spacing w:after="0" w:line="240" w:lineRule="auto"/>
      </w:pPr>
      <w:r>
        <w:separator/>
      </w:r>
    </w:p>
  </w:footnote>
  <w:footnote w:type="continuationSeparator" w:id="0">
    <w:p w14:paraId="2294E447" w14:textId="77777777" w:rsidR="004F72A9" w:rsidRDefault="004F72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B1093" w14:textId="77777777" w:rsidR="00470029" w:rsidRDefault="00470029">
    <w:pPr>
      <w:pStyle w:val="Header"/>
    </w:pPr>
  </w:p>
  <w:p w14:paraId="27A7D2A9" w14:textId="77777777" w:rsidR="00470029" w:rsidRDefault="00470029">
    <w:pPr>
      <w:pStyle w:val="Header"/>
    </w:pPr>
  </w:p>
  <w:p w14:paraId="6C496F97" w14:textId="77777777" w:rsidR="00470029" w:rsidRDefault="00470029">
    <w:pPr>
      <w:pStyle w:val="Header"/>
    </w:pPr>
  </w:p>
  <w:p w14:paraId="584AD7A9" w14:textId="77777777" w:rsidR="00470029" w:rsidRDefault="004700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7D1D"/>
    <w:multiLevelType w:val="multilevel"/>
    <w:tmpl w:val="4B3CAE4E"/>
    <w:lvl w:ilvl="0">
      <w:start w:val="1"/>
      <w:numFmt w:val="bullet"/>
      <w:lvlText w:val=""/>
      <w:lvlJc w:val="left"/>
      <w:pPr>
        <w:tabs>
          <w:tab w:val="num" w:pos="22500"/>
        </w:tabs>
        <w:ind w:left="22500" w:hanging="360"/>
      </w:pPr>
      <w:rPr>
        <w:rFonts w:ascii="Symbol" w:hAnsi="Symbol" w:hint="default"/>
        <w:sz w:val="20"/>
      </w:rPr>
    </w:lvl>
    <w:lvl w:ilvl="1" w:tentative="1">
      <w:start w:val="1"/>
      <w:numFmt w:val="bullet"/>
      <w:lvlText w:val="o"/>
      <w:lvlJc w:val="left"/>
      <w:pPr>
        <w:tabs>
          <w:tab w:val="num" w:pos="23220"/>
        </w:tabs>
        <w:ind w:left="23220" w:hanging="360"/>
      </w:pPr>
      <w:rPr>
        <w:rFonts w:ascii="Courier New" w:hAnsi="Courier New" w:hint="default"/>
        <w:sz w:val="20"/>
      </w:rPr>
    </w:lvl>
    <w:lvl w:ilvl="2" w:tentative="1">
      <w:start w:val="1"/>
      <w:numFmt w:val="bullet"/>
      <w:lvlText w:val=""/>
      <w:lvlJc w:val="left"/>
      <w:pPr>
        <w:tabs>
          <w:tab w:val="num" w:pos="23940"/>
        </w:tabs>
        <w:ind w:left="23940" w:hanging="360"/>
      </w:pPr>
      <w:rPr>
        <w:rFonts w:ascii="Wingdings" w:hAnsi="Wingdings" w:hint="default"/>
        <w:sz w:val="20"/>
      </w:rPr>
    </w:lvl>
    <w:lvl w:ilvl="3" w:tentative="1">
      <w:start w:val="1"/>
      <w:numFmt w:val="bullet"/>
      <w:lvlText w:val=""/>
      <w:lvlJc w:val="left"/>
      <w:pPr>
        <w:tabs>
          <w:tab w:val="num" w:pos="24660"/>
        </w:tabs>
        <w:ind w:left="24660" w:hanging="360"/>
      </w:pPr>
      <w:rPr>
        <w:rFonts w:ascii="Wingdings" w:hAnsi="Wingdings" w:hint="default"/>
        <w:sz w:val="20"/>
      </w:rPr>
    </w:lvl>
    <w:lvl w:ilvl="4" w:tentative="1">
      <w:start w:val="1"/>
      <w:numFmt w:val="bullet"/>
      <w:lvlText w:val=""/>
      <w:lvlJc w:val="left"/>
      <w:pPr>
        <w:tabs>
          <w:tab w:val="num" w:pos="25380"/>
        </w:tabs>
        <w:ind w:left="25380" w:hanging="360"/>
      </w:pPr>
      <w:rPr>
        <w:rFonts w:ascii="Wingdings" w:hAnsi="Wingdings" w:hint="default"/>
        <w:sz w:val="20"/>
      </w:rPr>
    </w:lvl>
    <w:lvl w:ilvl="5" w:tentative="1">
      <w:start w:val="1"/>
      <w:numFmt w:val="bullet"/>
      <w:lvlText w:val=""/>
      <w:lvlJc w:val="left"/>
      <w:pPr>
        <w:tabs>
          <w:tab w:val="num" w:pos="26100"/>
        </w:tabs>
        <w:ind w:left="26100" w:hanging="360"/>
      </w:pPr>
      <w:rPr>
        <w:rFonts w:ascii="Wingdings" w:hAnsi="Wingdings" w:hint="default"/>
        <w:sz w:val="20"/>
      </w:rPr>
    </w:lvl>
    <w:lvl w:ilvl="6" w:tentative="1">
      <w:start w:val="1"/>
      <w:numFmt w:val="bullet"/>
      <w:lvlText w:val=""/>
      <w:lvlJc w:val="left"/>
      <w:pPr>
        <w:tabs>
          <w:tab w:val="num" w:pos="26820"/>
        </w:tabs>
        <w:ind w:left="26820" w:hanging="360"/>
      </w:pPr>
      <w:rPr>
        <w:rFonts w:ascii="Wingdings" w:hAnsi="Wingdings" w:hint="default"/>
        <w:sz w:val="20"/>
      </w:rPr>
    </w:lvl>
    <w:lvl w:ilvl="7" w:tentative="1">
      <w:start w:val="1"/>
      <w:numFmt w:val="bullet"/>
      <w:lvlText w:val=""/>
      <w:lvlJc w:val="left"/>
      <w:pPr>
        <w:tabs>
          <w:tab w:val="num" w:pos="27540"/>
        </w:tabs>
        <w:ind w:left="27540" w:hanging="360"/>
      </w:pPr>
      <w:rPr>
        <w:rFonts w:ascii="Wingdings" w:hAnsi="Wingdings" w:hint="default"/>
        <w:sz w:val="20"/>
      </w:rPr>
    </w:lvl>
    <w:lvl w:ilvl="8" w:tentative="1">
      <w:start w:val="1"/>
      <w:numFmt w:val="bullet"/>
      <w:lvlText w:val=""/>
      <w:lvlJc w:val="left"/>
      <w:pPr>
        <w:tabs>
          <w:tab w:val="num" w:pos="28260"/>
        </w:tabs>
        <w:ind w:left="28260" w:hanging="360"/>
      </w:pPr>
      <w:rPr>
        <w:rFonts w:ascii="Wingdings" w:hAnsi="Wingdings" w:hint="default"/>
        <w:sz w:val="20"/>
      </w:rPr>
    </w:lvl>
  </w:abstractNum>
  <w:abstractNum w:abstractNumId="1" w15:restartNumberingAfterBreak="0">
    <w:nsid w:val="13DD2C98"/>
    <w:multiLevelType w:val="hybridMultilevel"/>
    <w:tmpl w:val="7214C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8853FB"/>
    <w:multiLevelType w:val="hybridMultilevel"/>
    <w:tmpl w:val="7E6EC6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ADA46C1"/>
    <w:multiLevelType w:val="hybridMultilevel"/>
    <w:tmpl w:val="BE8CB9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164399C"/>
    <w:multiLevelType w:val="hybridMultilevel"/>
    <w:tmpl w:val="574A3526"/>
    <w:lvl w:ilvl="0" w:tplc="2520B1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6C5697"/>
    <w:multiLevelType w:val="hybridMultilevel"/>
    <w:tmpl w:val="4E36E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DC7A5F"/>
    <w:multiLevelType w:val="hybridMultilevel"/>
    <w:tmpl w:val="E23A7AD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75C96189"/>
    <w:multiLevelType w:val="hybridMultilevel"/>
    <w:tmpl w:val="D966D9DC"/>
    <w:lvl w:ilvl="0" w:tplc="586A6AD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DFD2A48"/>
    <w:multiLevelType w:val="hybridMultilevel"/>
    <w:tmpl w:val="96C6B6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38058741">
    <w:abstractNumId w:val="4"/>
  </w:num>
  <w:num w:numId="2" w16cid:durableId="1876505794">
    <w:abstractNumId w:val="6"/>
  </w:num>
  <w:num w:numId="3" w16cid:durableId="1353259982">
    <w:abstractNumId w:val="1"/>
  </w:num>
  <w:num w:numId="4" w16cid:durableId="1045252901">
    <w:abstractNumId w:val="0"/>
  </w:num>
  <w:num w:numId="5" w16cid:durableId="1239747933">
    <w:abstractNumId w:val="7"/>
  </w:num>
  <w:num w:numId="6" w16cid:durableId="357465109">
    <w:abstractNumId w:val="2"/>
  </w:num>
  <w:num w:numId="7" w16cid:durableId="1277954613">
    <w:abstractNumId w:val="8"/>
  </w:num>
  <w:num w:numId="8" w16cid:durableId="1373338505">
    <w:abstractNumId w:val="3"/>
  </w:num>
  <w:num w:numId="9" w16cid:durableId="19058677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2C4"/>
    <w:rsid w:val="00001F78"/>
    <w:rsid w:val="000147C1"/>
    <w:rsid w:val="00016EAE"/>
    <w:rsid w:val="00021EA9"/>
    <w:rsid w:val="00032683"/>
    <w:rsid w:val="00033F2E"/>
    <w:rsid w:val="000417BB"/>
    <w:rsid w:val="00044737"/>
    <w:rsid w:val="00045794"/>
    <w:rsid w:val="00047558"/>
    <w:rsid w:val="0007096A"/>
    <w:rsid w:val="000731D5"/>
    <w:rsid w:val="000820C1"/>
    <w:rsid w:val="000A19C5"/>
    <w:rsid w:val="000B0CDE"/>
    <w:rsid w:val="000B1E73"/>
    <w:rsid w:val="000B3E5C"/>
    <w:rsid w:val="000B6133"/>
    <w:rsid w:val="000C20F8"/>
    <w:rsid w:val="000E05AB"/>
    <w:rsid w:val="000E1688"/>
    <w:rsid w:val="000E2E5B"/>
    <w:rsid w:val="000E3472"/>
    <w:rsid w:val="000E69D0"/>
    <w:rsid w:val="0010075B"/>
    <w:rsid w:val="001061E1"/>
    <w:rsid w:val="00111A37"/>
    <w:rsid w:val="00121579"/>
    <w:rsid w:val="00121EB0"/>
    <w:rsid w:val="001333E4"/>
    <w:rsid w:val="00137C97"/>
    <w:rsid w:val="00140617"/>
    <w:rsid w:val="001409B0"/>
    <w:rsid w:val="001505C3"/>
    <w:rsid w:val="001538D4"/>
    <w:rsid w:val="00161C7F"/>
    <w:rsid w:val="00171434"/>
    <w:rsid w:val="00190305"/>
    <w:rsid w:val="00190606"/>
    <w:rsid w:val="001927D9"/>
    <w:rsid w:val="001977EE"/>
    <w:rsid w:val="001A4313"/>
    <w:rsid w:val="001B5CCB"/>
    <w:rsid w:val="001C4AC3"/>
    <w:rsid w:val="001C5B8A"/>
    <w:rsid w:val="001D2AC9"/>
    <w:rsid w:val="001D30C5"/>
    <w:rsid w:val="001D6F57"/>
    <w:rsid w:val="001E0997"/>
    <w:rsid w:val="001F2315"/>
    <w:rsid w:val="001F74FF"/>
    <w:rsid w:val="002042A9"/>
    <w:rsid w:val="00204741"/>
    <w:rsid w:val="00212817"/>
    <w:rsid w:val="00221595"/>
    <w:rsid w:val="0022284A"/>
    <w:rsid w:val="00223228"/>
    <w:rsid w:val="002446A9"/>
    <w:rsid w:val="002464F5"/>
    <w:rsid w:val="0025210C"/>
    <w:rsid w:val="002718C8"/>
    <w:rsid w:val="00273C86"/>
    <w:rsid w:val="0028121D"/>
    <w:rsid w:val="002844A0"/>
    <w:rsid w:val="00296585"/>
    <w:rsid w:val="00296EF4"/>
    <w:rsid w:val="002A250C"/>
    <w:rsid w:val="002A7FB8"/>
    <w:rsid w:val="002B77E3"/>
    <w:rsid w:val="002C47B1"/>
    <w:rsid w:val="002D0152"/>
    <w:rsid w:val="002E0360"/>
    <w:rsid w:val="002E54DE"/>
    <w:rsid w:val="002E5B20"/>
    <w:rsid w:val="002E5B79"/>
    <w:rsid w:val="002F0AF1"/>
    <w:rsid w:val="002F13F6"/>
    <w:rsid w:val="002F5E78"/>
    <w:rsid w:val="002F7FB3"/>
    <w:rsid w:val="00301F1C"/>
    <w:rsid w:val="0030474E"/>
    <w:rsid w:val="00310228"/>
    <w:rsid w:val="0031210C"/>
    <w:rsid w:val="00316320"/>
    <w:rsid w:val="00323E78"/>
    <w:rsid w:val="00324263"/>
    <w:rsid w:val="003268CD"/>
    <w:rsid w:val="00331296"/>
    <w:rsid w:val="00332CA9"/>
    <w:rsid w:val="003349AA"/>
    <w:rsid w:val="003363A7"/>
    <w:rsid w:val="003364BB"/>
    <w:rsid w:val="00342A1F"/>
    <w:rsid w:val="00351091"/>
    <w:rsid w:val="003571CF"/>
    <w:rsid w:val="003621FA"/>
    <w:rsid w:val="00364009"/>
    <w:rsid w:val="0036606C"/>
    <w:rsid w:val="003726BE"/>
    <w:rsid w:val="003753E4"/>
    <w:rsid w:val="003775C9"/>
    <w:rsid w:val="00394EF7"/>
    <w:rsid w:val="003A0ACA"/>
    <w:rsid w:val="003B2883"/>
    <w:rsid w:val="003B405A"/>
    <w:rsid w:val="003C0759"/>
    <w:rsid w:val="003C75C6"/>
    <w:rsid w:val="003E22DB"/>
    <w:rsid w:val="003E4B0D"/>
    <w:rsid w:val="003F2775"/>
    <w:rsid w:val="003F4EDC"/>
    <w:rsid w:val="003F646F"/>
    <w:rsid w:val="0040231F"/>
    <w:rsid w:val="00402755"/>
    <w:rsid w:val="00403F84"/>
    <w:rsid w:val="0041156A"/>
    <w:rsid w:val="00417492"/>
    <w:rsid w:val="004206A6"/>
    <w:rsid w:val="00430133"/>
    <w:rsid w:val="004340B6"/>
    <w:rsid w:val="00435366"/>
    <w:rsid w:val="0043727B"/>
    <w:rsid w:val="00452014"/>
    <w:rsid w:val="0045735B"/>
    <w:rsid w:val="004614AA"/>
    <w:rsid w:val="00470029"/>
    <w:rsid w:val="00473DF9"/>
    <w:rsid w:val="004759B1"/>
    <w:rsid w:val="00481568"/>
    <w:rsid w:val="00491253"/>
    <w:rsid w:val="00491A74"/>
    <w:rsid w:val="004A1290"/>
    <w:rsid w:val="004A3E15"/>
    <w:rsid w:val="004A415B"/>
    <w:rsid w:val="004B1C86"/>
    <w:rsid w:val="004C7AF0"/>
    <w:rsid w:val="004D2B88"/>
    <w:rsid w:val="004D73A0"/>
    <w:rsid w:val="004E00DD"/>
    <w:rsid w:val="004E28D3"/>
    <w:rsid w:val="004F72A9"/>
    <w:rsid w:val="004F7895"/>
    <w:rsid w:val="00510065"/>
    <w:rsid w:val="0051110F"/>
    <w:rsid w:val="005146B6"/>
    <w:rsid w:val="005229A9"/>
    <w:rsid w:val="0052612A"/>
    <w:rsid w:val="0053498F"/>
    <w:rsid w:val="00540AD7"/>
    <w:rsid w:val="0054447C"/>
    <w:rsid w:val="00572193"/>
    <w:rsid w:val="005768E4"/>
    <w:rsid w:val="005820DD"/>
    <w:rsid w:val="0058419B"/>
    <w:rsid w:val="005844A2"/>
    <w:rsid w:val="00584D23"/>
    <w:rsid w:val="00587D44"/>
    <w:rsid w:val="00593E21"/>
    <w:rsid w:val="005A1C05"/>
    <w:rsid w:val="005A6914"/>
    <w:rsid w:val="005B1C06"/>
    <w:rsid w:val="005B4A9A"/>
    <w:rsid w:val="005C088B"/>
    <w:rsid w:val="005C1447"/>
    <w:rsid w:val="005C1693"/>
    <w:rsid w:val="005C45D9"/>
    <w:rsid w:val="005C5272"/>
    <w:rsid w:val="005D193D"/>
    <w:rsid w:val="005D51FB"/>
    <w:rsid w:val="005D6E95"/>
    <w:rsid w:val="006057E2"/>
    <w:rsid w:val="006277AA"/>
    <w:rsid w:val="00637CA0"/>
    <w:rsid w:val="00645FFD"/>
    <w:rsid w:val="00646251"/>
    <w:rsid w:val="006549B4"/>
    <w:rsid w:val="006633A0"/>
    <w:rsid w:val="00677356"/>
    <w:rsid w:val="00677404"/>
    <w:rsid w:val="006874F6"/>
    <w:rsid w:val="0069514B"/>
    <w:rsid w:val="00695D1A"/>
    <w:rsid w:val="006A306B"/>
    <w:rsid w:val="006A5076"/>
    <w:rsid w:val="006A6089"/>
    <w:rsid w:val="006B0E4B"/>
    <w:rsid w:val="006B14DE"/>
    <w:rsid w:val="006C39B8"/>
    <w:rsid w:val="006C3E91"/>
    <w:rsid w:val="006C40B2"/>
    <w:rsid w:val="006D30EF"/>
    <w:rsid w:val="006D5D89"/>
    <w:rsid w:val="006D7E01"/>
    <w:rsid w:val="006E5A9A"/>
    <w:rsid w:val="006E66BF"/>
    <w:rsid w:val="006E7881"/>
    <w:rsid w:val="006F2E42"/>
    <w:rsid w:val="00701276"/>
    <w:rsid w:val="007136DB"/>
    <w:rsid w:val="00714D23"/>
    <w:rsid w:val="00714E17"/>
    <w:rsid w:val="00717CD8"/>
    <w:rsid w:val="00727368"/>
    <w:rsid w:val="00740387"/>
    <w:rsid w:val="00745967"/>
    <w:rsid w:val="00762430"/>
    <w:rsid w:val="007766C3"/>
    <w:rsid w:val="0078246F"/>
    <w:rsid w:val="00791F7E"/>
    <w:rsid w:val="007969AE"/>
    <w:rsid w:val="007A0911"/>
    <w:rsid w:val="007A3BAD"/>
    <w:rsid w:val="007A6314"/>
    <w:rsid w:val="007A6EEB"/>
    <w:rsid w:val="007C0284"/>
    <w:rsid w:val="007C6FC5"/>
    <w:rsid w:val="007D0401"/>
    <w:rsid w:val="007D1239"/>
    <w:rsid w:val="007E7704"/>
    <w:rsid w:val="007F2911"/>
    <w:rsid w:val="007F68DE"/>
    <w:rsid w:val="00800C3D"/>
    <w:rsid w:val="00805CF7"/>
    <w:rsid w:val="008304C7"/>
    <w:rsid w:val="00830B4D"/>
    <w:rsid w:val="0083380F"/>
    <w:rsid w:val="00833D16"/>
    <w:rsid w:val="00835063"/>
    <w:rsid w:val="00845E95"/>
    <w:rsid w:val="00857105"/>
    <w:rsid w:val="00857353"/>
    <w:rsid w:val="008608A8"/>
    <w:rsid w:val="00861C18"/>
    <w:rsid w:val="00867897"/>
    <w:rsid w:val="008709C9"/>
    <w:rsid w:val="008732C4"/>
    <w:rsid w:val="00874029"/>
    <w:rsid w:val="00880C01"/>
    <w:rsid w:val="008846E1"/>
    <w:rsid w:val="00890FD4"/>
    <w:rsid w:val="008A4287"/>
    <w:rsid w:val="008B6EF8"/>
    <w:rsid w:val="008C2AA9"/>
    <w:rsid w:val="008C6B33"/>
    <w:rsid w:val="008E2F71"/>
    <w:rsid w:val="008E3ACE"/>
    <w:rsid w:val="008E7DEE"/>
    <w:rsid w:val="008F0AFD"/>
    <w:rsid w:val="008F74CD"/>
    <w:rsid w:val="00906843"/>
    <w:rsid w:val="00906913"/>
    <w:rsid w:val="009075E0"/>
    <w:rsid w:val="009112F1"/>
    <w:rsid w:val="00911DEF"/>
    <w:rsid w:val="00914F42"/>
    <w:rsid w:val="00917D1E"/>
    <w:rsid w:val="009210E0"/>
    <w:rsid w:val="00937E47"/>
    <w:rsid w:val="00942BA4"/>
    <w:rsid w:val="00942E25"/>
    <w:rsid w:val="0095252F"/>
    <w:rsid w:val="0096288B"/>
    <w:rsid w:val="00967580"/>
    <w:rsid w:val="00970BFC"/>
    <w:rsid w:val="0097326E"/>
    <w:rsid w:val="00977988"/>
    <w:rsid w:val="00985BDE"/>
    <w:rsid w:val="00994024"/>
    <w:rsid w:val="009A13FF"/>
    <w:rsid w:val="009A643E"/>
    <w:rsid w:val="009A6C86"/>
    <w:rsid w:val="009B4063"/>
    <w:rsid w:val="009C1FA0"/>
    <w:rsid w:val="009C5343"/>
    <w:rsid w:val="009C601E"/>
    <w:rsid w:val="009D157C"/>
    <w:rsid w:val="009D55C4"/>
    <w:rsid w:val="009E031F"/>
    <w:rsid w:val="009F0513"/>
    <w:rsid w:val="009F4E27"/>
    <w:rsid w:val="00A12880"/>
    <w:rsid w:val="00A134A2"/>
    <w:rsid w:val="00A17724"/>
    <w:rsid w:val="00A22083"/>
    <w:rsid w:val="00A22730"/>
    <w:rsid w:val="00A22ECB"/>
    <w:rsid w:val="00A24FB8"/>
    <w:rsid w:val="00A27372"/>
    <w:rsid w:val="00A306BF"/>
    <w:rsid w:val="00A4313A"/>
    <w:rsid w:val="00A55CCD"/>
    <w:rsid w:val="00A652F4"/>
    <w:rsid w:val="00A779EA"/>
    <w:rsid w:val="00A77E56"/>
    <w:rsid w:val="00A93226"/>
    <w:rsid w:val="00A95A5D"/>
    <w:rsid w:val="00A95DD2"/>
    <w:rsid w:val="00A96000"/>
    <w:rsid w:val="00AB1C54"/>
    <w:rsid w:val="00AB294E"/>
    <w:rsid w:val="00AB3600"/>
    <w:rsid w:val="00AB45EF"/>
    <w:rsid w:val="00AC2C93"/>
    <w:rsid w:val="00AC4C9E"/>
    <w:rsid w:val="00AD03EA"/>
    <w:rsid w:val="00AD4DC2"/>
    <w:rsid w:val="00AD788B"/>
    <w:rsid w:val="00AE5BF7"/>
    <w:rsid w:val="00AF1AD4"/>
    <w:rsid w:val="00AF40B6"/>
    <w:rsid w:val="00AF4C06"/>
    <w:rsid w:val="00B24CD5"/>
    <w:rsid w:val="00B267CE"/>
    <w:rsid w:val="00B2757C"/>
    <w:rsid w:val="00B318D5"/>
    <w:rsid w:val="00B36FB2"/>
    <w:rsid w:val="00B37B7B"/>
    <w:rsid w:val="00B42A84"/>
    <w:rsid w:val="00B505D5"/>
    <w:rsid w:val="00B53CEF"/>
    <w:rsid w:val="00B56F10"/>
    <w:rsid w:val="00B6386A"/>
    <w:rsid w:val="00B63E70"/>
    <w:rsid w:val="00B7533A"/>
    <w:rsid w:val="00B8766B"/>
    <w:rsid w:val="00B878B5"/>
    <w:rsid w:val="00B92420"/>
    <w:rsid w:val="00BA4B24"/>
    <w:rsid w:val="00BB286D"/>
    <w:rsid w:val="00BC3CBE"/>
    <w:rsid w:val="00BC4A59"/>
    <w:rsid w:val="00BD0754"/>
    <w:rsid w:val="00BD4127"/>
    <w:rsid w:val="00BE2A1D"/>
    <w:rsid w:val="00BE6027"/>
    <w:rsid w:val="00BF09A2"/>
    <w:rsid w:val="00BF2AE0"/>
    <w:rsid w:val="00BF483A"/>
    <w:rsid w:val="00BF7F29"/>
    <w:rsid w:val="00C20A08"/>
    <w:rsid w:val="00C22BB3"/>
    <w:rsid w:val="00C32252"/>
    <w:rsid w:val="00C35F82"/>
    <w:rsid w:val="00C41854"/>
    <w:rsid w:val="00C42EA8"/>
    <w:rsid w:val="00C52535"/>
    <w:rsid w:val="00C53E7E"/>
    <w:rsid w:val="00C65DA8"/>
    <w:rsid w:val="00C76687"/>
    <w:rsid w:val="00C8011D"/>
    <w:rsid w:val="00C93CD2"/>
    <w:rsid w:val="00C94363"/>
    <w:rsid w:val="00C97E88"/>
    <w:rsid w:val="00CA2BFA"/>
    <w:rsid w:val="00CA4884"/>
    <w:rsid w:val="00CA48AB"/>
    <w:rsid w:val="00CA5638"/>
    <w:rsid w:val="00CA5884"/>
    <w:rsid w:val="00CB1EC2"/>
    <w:rsid w:val="00CB3078"/>
    <w:rsid w:val="00CB3259"/>
    <w:rsid w:val="00CB7F8A"/>
    <w:rsid w:val="00CC534E"/>
    <w:rsid w:val="00CD13C7"/>
    <w:rsid w:val="00CD2B32"/>
    <w:rsid w:val="00CE03F6"/>
    <w:rsid w:val="00D0340A"/>
    <w:rsid w:val="00D034DE"/>
    <w:rsid w:val="00D123D1"/>
    <w:rsid w:val="00D1514C"/>
    <w:rsid w:val="00D15AA0"/>
    <w:rsid w:val="00D26C1A"/>
    <w:rsid w:val="00D340CF"/>
    <w:rsid w:val="00D369F3"/>
    <w:rsid w:val="00D4012B"/>
    <w:rsid w:val="00D558F9"/>
    <w:rsid w:val="00D55CD5"/>
    <w:rsid w:val="00D603EF"/>
    <w:rsid w:val="00D6234D"/>
    <w:rsid w:val="00D634F7"/>
    <w:rsid w:val="00D732F3"/>
    <w:rsid w:val="00D7547C"/>
    <w:rsid w:val="00D914E6"/>
    <w:rsid w:val="00DA3606"/>
    <w:rsid w:val="00DB4170"/>
    <w:rsid w:val="00DB71BC"/>
    <w:rsid w:val="00DC2FBC"/>
    <w:rsid w:val="00DC6A15"/>
    <w:rsid w:val="00DE5C01"/>
    <w:rsid w:val="00DF2083"/>
    <w:rsid w:val="00E00493"/>
    <w:rsid w:val="00E0269D"/>
    <w:rsid w:val="00E107E7"/>
    <w:rsid w:val="00E159EC"/>
    <w:rsid w:val="00E27425"/>
    <w:rsid w:val="00E36F79"/>
    <w:rsid w:val="00E376E1"/>
    <w:rsid w:val="00E41BFB"/>
    <w:rsid w:val="00E53919"/>
    <w:rsid w:val="00E613C0"/>
    <w:rsid w:val="00E646A7"/>
    <w:rsid w:val="00E64DF5"/>
    <w:rsid w:val="00E67543"/>
    <w:rsid w:val="00E71648"/>
    <w:rsid w:val="00E76896"/>
    <w:rsid w:val="00EA4179"/>
    <w:rsid w:val="00EA5D7C"/>
    <w:rsid w:val="00EB22C6"/>
    <w:rsid w:val="00EC265F"/>
    <w:rsid w:val="00ED2607"/>
    <w:rsid w:val="00ED64B2"/>
    <w:rsid w:val="00EE7307"/>
    <w:rsid w:val="00EF26B3"/>
    <w:rsid w:val="00EF3886"/>
    <w:rsid w:val="00EF5E0E"/>
    <w:rsid w:val="00F008AF"/>
    <w:rsid w:val="00F05BFA"/>
    <w:rsid w:val="00F072C6"/>
    <w:rsid w:val="00F114DA"/>
    <w:rsid w:val="00F13573"/>
    <w:rsid w:val="00F154DD"/>
    <w:rsid w:val="00F2263F"/>
    <w:rsid w:val="00F2700E"/>
    <w:rsid w:val="00F311AD"/>
    <w:rsid w:val="00F40017"/>
    <w:rsid w:val="00F430F3"/>
    <w:rsid w:val="00F433D7"/>
    <w:rsid w:val="00F441E5"/>
    <w:rsid w:val="00F44CBD"/>
    <w:rsid w:val="00F474D5"/>
    <w:rsid w:val="00F5289A"/>
    <w:rsid w:val="00F61703"/>
    <w:rsid w:val="00F631EC"/>
    <w:rsid w:val="00F653E8"/>
    <w:rsid w:val="00F71C47"/>
    <w:rsid w:val="00F77668"/>
    <w:rsid w:val="00F87451"/>
    <w:rsid w:val="00FA595F"/>
    <w:rsid w:val="00FB06E6"/>
    <w:rsid w:val="00FB2419"/>
    <w:rsid w:val="00FC15A0"/>
    <w:rsid w:val="00FD084A"/>
    <w:rsid w:val="00FD56F8"/>
    <w:rsid w:val="00FE0ADE"/>
    <w:rsid w:val="00FE3037"/>
    <w:rsid w:val="00FE4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01E5F"/>
  <w15:chartTrackingRefBased/>
  <w15:docId w15:val="{C0C1F17B-D318-4546-B57A-179949D16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A74"/>
    <w:pPr>
      <w:spacing w:after="200" w:line="27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91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A74"/>
    <w:rPr>
      <w:lang w:val="sq-AL"/>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491A74"/>
    <w:pPr>
      <w:ind w:left="720"/>
      <w:contextualSpacing/>
    </w:p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basedOn w:val="DefaultParagraphFont"/>
    <w:link w:val="ListParagraph"/>
    <w:uiPriority w:val="34"/>
    <w:qFormat/>
    <w:rsid w:val="00491A74"/>
    <w:rPr>
      <w:lang w:val="sq-AL"/>
    </w:rPr>
  </w:style>
  <w:style w:type="paragraph" w:styleId="FootnoteText">
    <w:name w:val="footnote text"/>
    <w:basedOn w:val="Normal"/>
    <w:link w:val="FootnoteTextChar"/>
    <w:uiPriority w:val="99"/>
    <w:semiHidden/>
    <w:unhideWhenUsed/>
    <w:rsid w:val="00C65DA8"/>
    <w:pPr>
      <w:spacing w:after="0" w:line="240" w:lineRule="auto"/>
    </w:pPr>
    <w:rPr>
      <w:rFonts w:ascii="Arial" w:hAnsi="Arial"/>
      <w:sz w:val="20"/>
      <w:szCs w:val="20"/>
      <w:lang w:val="de-DE"/>
    </w:rPr>
  </w:style>
  <w:style w:type="character" w:customStyle="1" w:styleId="FootnoteTextChar">
    <w:name w:val="Footnote Text Char"/>
    <w:basedOn w:val="DefaultParagraphFont"/>
    <w:link w:val="FootnoteText"/>
    <w:uiPriority w:val="99"/>
    <w:semiHidden/>
    <w:rsid w:val="00C65DA8"/>
    <w:rPr>
      <w:rFonts w:ascii="Arial" w:hAnsi="Arial"/>
      <w:sz w:val="20"/>
      <w:szCs w:val="20"/>
      <w:lang w:val="de-DE"/>
    </w:rPr>
  </w:style>
  <w:style w:type="paragraph" w:customStyle="1" w:styleId="TableParagraph">
    <w:name w:val="Table Paragraph"/>
    <w:basedOn w:val="Normal"/>
    <w:uiPriority w:val="1"/>
    <w:qFormat/>
    <w:rsid w:val="00B267CE"/>
    <w:pPr>
      <w:widowControl w:val="0"/>
      <w:autoSpaceDE w:val="0"/>
      <w:autoSpaceDN w:val="0"/>
      <w:spacing w:after="0" w:line="240" w:lineRule="auto"/>
      <w:ind w:left="107"/>
    </w:pPr>
    <w:rPr>
      <w:rFonts w:ascii="Garamond" w:eastAsia="Garamond" w:hAnsi="Garamond" w:cs="Garamond"/>
    </w:rPr>
  </w:style>
  <w:style w:type="paragraph" w:styleId="NormalWeb">
    <w:name w:val="Normal (Web)"/>
    <w:basedOn w:val="Normal"/>
    <w:uiPriority w:val="99"/>
    <w:unhideWhenUsed/>
    <w:rsid w:val="00830B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5D51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51FB"/>
    <w:rPr>
      <w:lang w:val="sq-AL"/>
    </w:rPr>
  </w:style>
  <w:style w:type="character" w:styleId="CommentReference">
    <w:name w:val="annotation reference"/>
    <w:basedOn w:val="DefaultParagraphFont"/>
    <w:uiPriority w:val="99"/>
    <w:semiHidden/>
    <w:unhideWhenUsed/>
    <w:rsid w:val="00CD2B32"/>
    <w:rPr>
      <w:sz w:val="16"/>
      <w:szCs w:val="16"/>
    </w:rPr>
  </w:style>
  <w:style w:type="paragraph" w:styleId="CommentText">
    <w:name w:val="annotation text"/>
    <w:basedOn w:val="Normal"/>
    <w:link w:val="CommentTextChar"/>
    <w:uiPriority w:val="99"/>
    <w:unhideWhenUsed/>
    <w:rsid w:val="00CD2B32"/>
    <w:pPr>
      <w:spacing w:after="0" w:line="240" w:lineRule="auto"/>
    </w:pPr>
    <w:rPr>
      <w:rFonts w:ascii="Arial" w:hAnsi="Arial"/>
      <w:sz w:val="20"/>
      <w:szCs w:val="20"/>
      <w:lang w:val="de-DE"/>
    </w:rPr>
  </w:style>
  <w:style w:type="character" w:customStyle="1" w:styleId="CommentTextChar">
    <w:name w:val="Comment Text Char"/>
    <w:basedOn w:val="DefaultParagraphFont"/>
    <w:link w:val="CommentText"/>
    <w:uiPriority w:val="99"/>
    <w:rsid w:val="00CD2B32"/>
    <w:rPr>
      <w:rFonts w:ascii="Arial" w:hAnsi="Arial"/>
      <w:sz w:val="20"/>
      <w:szCs w:val="20"/>
      <w:lang w:val="de-DE"/>
    </w:rPr>
  </w:style>
  <w:style w:type="paragraph" w:customStyle="1" w:styleId="ColorfulList-Accent11">
    <w:name w:val="Colorful List - Accent 11"/>
    <w:basedOn w:val="Normal"/>
    <w:uiPriority w:val="34"/>
    <w:qFormat/>
    <w:rsid w:val="00637CA0"/>
    <w:pPr>
      <w:ind w:left="720"/>
      <w:contextualSpacing/>
    </w:pPr>
    <w:rPr>
      <w:rFonts w:ascii="Calibri" w:eastAsia="Calibri" w:hAnsi="Calibri" w:cs="Times New Roman"/>
      <w:lang w:val="en-US"/>
    </w:rPr>
  </w:style>
  <w:style w:type="paragraph" w:styleId="Revision">
    <w:name w:val="Revision"/>
    <w:hidden/>
    <w:uiPriority w:val="99"/>
    <w:semiHidden/>
    <w:rsid w:val="008E3ACE"/>
    <w:pPr>
      <w:spacing w:after="0" w:line="240" w:lineRule="auto"/>
    </w:pPr>
    <w:rPr>
      <w:lang w:val="sq-AL"/>
    </w:rPr>
  </w:style>
  <w:style w:type="character" w:customStyle="1" w:styleId="cf01">
    <w:name w:val="cf01"/>
    <w:basedOn w:val="DefaultParagraphFont"/>
    <w:rsid w:val="00880C0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780099">
      <w:bodyDiv w:val="1"/>
      <w:marLeft w:val="0"/>
      <w:marRight w:val="0"/>
      <w:marTop w:val="0"/>
      <w:marBottom w:val="0"/>
      <w:divBdr>
        <w:top w:val="none" w:sz="0" w:space="0" w:color="auto"/>
        <w:left w:val="none" w:sz="0" w:space="0" w:color="auto"/>
        <w:bottom w:val="none" w:sz="0" w:space="0" w:color="auto"/>
        <w:right w:val="none" w:sz="0" w:space="0" w:color="auto"/>
      </w:divBdr>
    </w:div>
    <w:div w:id="313530871">
      <w:bodyDiv w:val="1"/>
      <w:marLeft w:val="0"/>
      <w:marRight w:val="0"/>
      <w:marTop w:val="0"/>
      <w:marBottom w:val="0"/>
      <w:divBdr>
        <w:top w:val="none" w:sz="0" w:space="0" w:color="auto"/>
        <w:left w:val="none" w:sz="0" w:space="0" w:color="auto"/>
        <w:bottom w:val="none" w:sz="0" w:space="0" w:color="auto"/>
        <w:right w:val="none" w:sz="0" w:space="0" w:color="auto"/>
      </w:divBdr>
    </w:div>
    <w:div w:id="316766258">
      <w:bodyDiv w:val="1"/>
      <w:marLeft w:val="0"/>
      <w:marRight w:val="0"/>
      <w:marTop w:val="0"/>
      <w:marBottom w:val="0"/>
      <w:divBdr>
        <w:top w:val="none" w:sz="0" w:space="0" w:color="auto"/>
        <w:left w:val="none" w:sz="0" w:space="0" w:color="auto"/>
        <w:bottom w:val="none" w:sz="0" w:space="0" w:color="auto"/>
        <w:right w:val="none" w:sz="0" w:space="0" w:color="auto"/>
      </w:divBdr>
    </w:div>
    <w:div w:id="806627598">
      <w:bodyDiv w:val="1"/>
      <w:marLeft w:val="0"/>
      <w:marRight w:val="0"/>
      <w:marTop w:val="0"/>
      <w:marBottom w:val="0"/>
      <w:divBdr>
        <w:top w:val="none" w:sz="0" w:space="0" w:color="auto"/>
        <w:left w:val="none" w:sz="0" w:space="0" w:color="auto"/>
        <w:bottom w:val="none" w:sz="0" w:space="0" w:color="auto"/>
        <w:right w:val="none" w:sz="0" w:space="0" w:color="auto"/>
      </w:divBdr>
    </w:div>
    <w:div w:id="996420488">
      <w:bodyDiv w:val="1"/>
      <w:marLeft w:val="0"/>
      <w:marRight w:val="0"/>
      <w:marTop w:val="0"/>
      <w:marBottom w:val="0"/>
      <w:divBdr>
        <w:top w:val="none" w:sz="0" w:space="0" w:color="auto"/>
        <w:left w:val="none" w:sz="0" w:space="0" w:color="auto"/>
        <w:bottom w:val="none" w:sz="0" w:space="0" w:color="auto"/>
        <w:right w:val="none" w:sz="0" w:space="0" w:color="auto"/>
      </w:divBdr>
    </w:div>
    <w:div w:id="1303854341">
      <w:bodyDiv w:val="1"/>
      <w:marLeft w:val="0"/>
      <w:marRight w:val="0"/>
      <w:marTop w:val="0"/>
      <w:marBottom w:val="0"/>
      <w:divBdr>
        <w:top w:val="none" w:sz="0" w:space="0" w:color="auto"/>
        <w:left w:val="none" w:sz="0" w:space="0" w:color="auto"/>
        <w:bottom w:val="none" w:sz="0" w:space="0" w:color="auto"/>
        <w:right w:val="none" w:sz="0" w:space="0" w:color="auto"/>
      </w:divBdr>
    </w:div>
    <w:div w:id="1379623030">
      <w:bodyDiv w:val="1"/>
      <w:marLeft w:val="0"/>
      <w:marRight w:val="0"/>
      <w:marTop w:val="0"/>
      <w:marBottom w:val="0"/>
      <w:divBdr>
        <w:top w:val="none" w:sz="0" w:space="0" w:color="auto"/>
        <w:left w:val="none" w:sz="0" w:space="0" w:color="auto"/>
        <w:bottom w:val="none" w:sz="0" w:space="0" w:color="auto"/>
        <w:right w:val="none" w:sz="0" w:space="0" w:color="auto"/>
      </w:divBdr>
    </w:div>
    <w:div w:id="1597900753">
      <w:bodyDiv w:val="1"/>
      <w:marLeft w:val="0"/>
      <w:marRight w:val="0"/>
      <w:marTop w:val="0"/>
      <w:marBottom w:val="0"/>
      <w:divBdr>
        <w:top w:val="none" w:sz="0" w:space="0" w:color="auto"/>
        <w:left w:val="none" w:sz="0" w:space="0" w:color="auto"/>
        <w:bottom w:val="none" w:sz="0" w:space="0" w:color="auto"/>
        <w:right w:val="none" w:sz="0" w:space="0" w:color="auto"/>
      </w:divBdr>
    </w:div>
    <w:div w:id="1631521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7EE50-2246-4756-ABA2-6B01E4A86B0A}">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24</TotalTime>
  <Pages>8</Pages>
  <Words>2290</Words>
  <Characters>13057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Altin Kaso</cp:lastModifiedBy>
  <cp:revision>12</cp:revision>
  <cp:lastPrinted>2026-08-19T12:58:00Z</cp:lastPrinted>
  <dcterms:created xsi:type="dcterms:W3CDTF">2026-11-05T14:30:00Z</dcterms:created>
  <dcterms:modified xsi:type="dcterms:W3CDTF">2026-11-06T11:15:00Z</dcterms:modified>
</cp:coreProperties>
</file>