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4AD57" w14:textId="2B271817" w:rsidR="009505BC" w:rsidRPr="00E7257C" w:rsidRDefault="00E94EBD" w:rsidP="00805B98">
      <w:pPr>
        <w:spacing w:line="276" w:lineRule="auto"/>
        <w:ind w:left="491" w:right="48"/>
        <w:jc w:val="center"/>
        <w:rPr>
          <w:b/>
          <w:spacing w:val="-10"/>
          <w:sz w:val="24"/>
          <w:szCs w:val="24"/>
        </w:rPr>
      </w:pPr>
      <w:r w:rsidRPr="00E7257C">
        <w:rPr>
          <w:b/>
          <w:sz w:val="24"/>
          <w:szCs w:val="24"/>
        </w:rPr>
        <w:t>RELACIO</w:t>
      </w:r>
      <w:r w:rsidRPr="00E7257C">
        <w:rPr>
          <w:b/>
          <w:spacing w:val="-10"/>
          <w:sz w:val="24"/>
          <w:szCs w:val="24"/>
        </w:rPr>
        <w:t>N</w:t>
      </w:r>
    </w:p>
    <w:p w14:paraId="66C60E12" w14:textId="77777777" w:rsidR="00E76BF2" w:rsidRPr="00E7257C" w:rsidRDefault="00E76BF2" w:rsidP="00805B98">
      <w:pPr>
        <w:spacing w:line="276" w:lineRule="auto"/>
        <w:ind w:left="491" w:right="48"/>
        <w:jc w:val="center"/>
        <w:rPr>
          <w:b/>
          <w:sz w:val="24"/>
          <w:szCs w:val="24"/>
        </w:rPr>
      </w:pPr>
    </w:p>
    <w:p w14:paraId="51072096" w14:textId="77777777" w:rsidR="00E7257C" w:rsidRPr="00E7257C" w:rsidRDefault="00E94EBD" w:rsidP="00E7257C">
      <w:pPr>
        <w:spacing w:line="276" w:lineRule="auto"/>
        <w:ind w:left="491" w:right="48"/>
        <w:jc w:val="center"/>
        <w:rPr>
          <w:b/>
          <w:bCs/>
          <w:sz w:val="24"/>
          <w:szCs w:val="24"/>
        </w:rPr>
      </w:pPr>
      <w:r w:rsidRPr="00E7257C">
        <w:rPr>
          <w:b/>
          <w:spacing w:val="-5"/>
          <w:sz w:val="24"/>
          <w:szCs w:val="24"/>
        </w:rPr>
        <w:t>PËR</w:t>
      </w:r>
      <w:r w:rsidR="00E7257C" w:rsidRPr="00E7257C">
        <w:rPr>
          <w:b/>
          <w:spacing w:val="-5"/>
          <w:sz w:val="24"/>
          <w:szCs w:val="24"/>
        </w:rPr>
        <w:t xml:space="preserve"> </w:t>
      </w:r>
      <w:r w:rsidR="007E6E9D" w:rsidRPr="00E7257C">
        <w:rPr>
          <w:b/>
          <w:bCs/>
          <w:sz w:val="24"/>
          <w:szCs w:val="24"/>
        </w:rPr>
        <w:t xml:space="preserve">PROJEKTLIGJIN </w:t>
      </w:r>
    </w:p>
    <w:p w14:paraId="007E31AE" w14:textId="77777777" w:rsidR="00E7257C" w:rsidRPr="00E7257C" w:rsidRDefault="00E7257C" w:rsidP="00E7257C">
      <w:pPr>
        <w:spacing w:line="276" w:lineRule="auto"/>
        <w:ind w:left="491" w:right="48"/>
        <w:jc w:val="center"/>
        <w:rPr>
          <w:b/>
          <w:bCs/>
          <w:sz w:val="24"/>
          <w:szCs w:val="24"/>
        </w:rPr>
      </w:pPr>
    </w:p>
    <w:p w14:paraId="04058ADD" w14:textId="3D67C541" w:rsidR="007E6E9D" w:rsidRPr="00E7257C" w:rsidRDefault="007E6E9D" w:rsidP="00E7257C">
      <w:pPr>
        <w:spacing w:line="276" w:lineRule="auto"/>
        <w:ind w:left="491" w:right="48"/>
        <w:jc w:val="center"/>
        <w:rPr>
          <w:b/>
          <w:sz w:val="24"/>
          <w:szCs w:val="24"/>
        </w:rPr>
      </w:pPr>
      <w:r w:rsidRPr="00E7257C">
        <w:rPr>
          <w:b/>
          <w:bCs/>
          <w:sz w:val="24"/>
          <w:szCs w:val="24"/>
        </w:rPr>
        <w:t>“PËR SISTEMIN E PAGESAVE</w:t>
      </w:r>
      <w:r w:rsidR="009338E7" w:rsidRPr="00E7257C">
        <w:rPr>
          <w:b/>
          <w:bCs/>
          <w:sz w:val="24"/>
          <w:szCs w:val="24"/>
        </w:rPr>
        <w:t xml:space="preserve"> DHE KOLATERALIN FINANCIAR </w:t>
      </w:r>
      <w:r w:rsidRPr="00E7257C">
        <w:rPr>
          <w:b/>
          <w:bCs/>
          <w:sz w:val="24"/>
          <w:szCs w:val="24"/>
        </w:rPr>
        <w:t>”</w:t>
      </w:r>
    </w:p>
    <w:p w14:paraId="3AC243F3" w14:textId="77777777" w:rsidR="001157E9" w:rsidRPr="004F7CAC" w:rsidRDefault="001157E9" w:rsidP="00805B98">
      <w:pPr>
        <w:spacing w:line="276" w:lineRule="auto"/>
        <w:ind w:firstLine="284"/>
        <w:jc w:val="center"/>
        <w:rPr>
          <w:b/>
          <w:bCs/>
          <w:sz w:val="24"/>
          <w:szCs w:val="24"/>
        </w:rPr>
      </w:pPr>
    </w:p>
    <w:p w14:paraId="588AEE5E" w14:textId="77777777" w:rsidR="001157E9" w:rsidRPr="00E7257C" w:rsidRDefault="001157E9" w:rsidP="00805B98">
      <w:pPr>
        <w:spacing w:line="276" w:lineRule="auto"/>
        <w:ind w:firstLine="284"/>
        <w:jc w:val="center"/>
        <w:rPr>
          <w:bCs/>
          <w:sz w:val="18"/>
          <w:szCs w:val="18"/>
        </w:rPr>
      </w:pPr>
    </w:p>
    <w:p w14:paraId="760F3B47" w14:textId="138F3449" w:rsidR="00292B17" w:rsidRPr="004F7CAC" w:rsidRDefault="00E94EBD" w:rsidP="00805B98">
      <w:pPr>
        <w:pStyle w:val="ListParagraph"/>
        <w:numPr>
          <w:ilvl w:val="0"/>
          <w:numId w:val="13"/>
        </w:numPr>
        <w:tabs>
          <w:tab w:val="left" w:pos="809"/>
          <w:tab w:val="left" w:pos="811"/>
        </w:tabs>
        <w:spacing w:line="276" w:lineRule="auto"/>
        <w:ind w:right="48"/>
        <w:jc w:val="both"/>
        <w:rPr>
          <w:b/>
          <w:sz w:val="24"/>
          <w:szCs w:val="24"/>
        </w:rPr>
      </w:pPr>
      <w:r w:rsidRPr="004F7CAC">
        <w:rPr>
          <w:b/>
          <w:sz w:val="24"/>
          <w:szCs w:val="24"/>
        </w:rPr>
        <w:t xml:space="preserve">QËLLIMI I PROJEKTAKTIT DHE OBJEKTIVAT QË SYNOHEN TË </w:t>
      </w:r>
      <w:r w:rsidRPr="004F7CAC">
        <w:rPr>
          <w:b/>
          <w:spacing w:val="-2"/>
          <w:sz w:val="24"/>
          <w:szCs w:val="24"/>
        </w:rPr>
        <w:t>ARRIHEN</w:t>
      </w:r>
    </w:p>
    <w:p w14:paraId="0DA0D42F" w14:textId="77777777" w:rsidR="007E6E9D" w:rsidRPr="004F7CAC" w:rsidRDefault="007E6E9D" w:rsidP="00805B98">
      <w:pPr>
        <w:pStyle w:val="BodyText"/>
        <w:spacing w:line="276" w:lineRule="auto"/>
        <w:ind w:right="48"/>
        <w:rPr>
          <w:sz w:val="24"/>
          <w:szCs w:val="24"/>
        </w:rPr>
      </w:pPr>
    </w:p>
    <w:p w14:paraId="670EB910" w14:textId="1913A925" w:rsidR="009A1DAA" w:rsidRPr="004F7CAC" w:rsidRDefault="007E6E9D" w:rsidP="00805B98">
      <w:pPr>
        <w:pStyle w:val="BodyText"/>
        <w:spacing w:line="276" w:lineRule="auto"/>
        <w:ind w:right="48"/>
        <w:rPr>
          <w:sz w:val="24"/>
          <w:szCs w:val="24"/>
        </w:rPr>
      </w:pPr>
      <w:r w:rsidRPr="004F7CAC">
        <w:rPr>
          <w:sz w:val="24"/>
          <w:szCs w:val="24"/>
        </w:rPr>
        <w:t xml:space="preserve">Ky projektligj hartohet në kuadër të përafrimit të legjislacionit shqiptar me acquis të Bashkimit Europian në fushën e sistemeve të pagesave, tregjeve financiare dhe stabilitetit financiar. </w:t>
      </w:r>
      <w:r w:rsidR="009A1DAA" w:rsidRPr="004F7CAC">
        <w:rPr>
          <w:sz w:val="24"/>
          <w:szCs w:val="24"/>
        </w:rPr>
        <w:t>Më konkretisht, transpozimi i plotë i Direktivës 98/26/KE të ndryshuar dhe Direktivës 2002/47/KE</w:t>
      </w:r>
      <w:r w:rsidR="003D2B8E">
        <w:rPr>
          <w:sz w:val="24"/>
          <w:szCs w:val="24"/>
        </w:rPr>
        <w:t>, të cilat</w:t>
      </w:r>
      <w:r w:rsidR="009A1DAA" w:rsidRPr="004F7CAC">
        <w:rPr>
          <w:sz w:val="24"/>
          <w:szCs w:val="24"/>
        </w:rPr>
        <w:t xml:space="preserve"> janë pjesë e</w:t>
      </w:r>
      <w:r w:rsidR="009A1DAA" w:rsidRPr="00E7257C">
        <w:rPr>
          <w:sz w:val="24"/>
          <w:szCs w:val="24"/>
        </w:rPr>
        <w:t xml:space="preserve"> Benchmark</w:t>
      </w:r>
      <w:r w:rsidR="009A1DAA" w:rsidRPr="004F7CAC">
        <w:rPr>
          <w:sz w:val="24"/>
          <w:szCs w:val="24"/>
        </w:rPr>
        <w:t xml:space="preserve"> të Kapitullit 9.</w:t>
      </w:r>
    </w:p>
    <w:p w14:paraId="6E176EAF" w14:textId="77777777" w:rsidR="009A1DAA" w:rsidRPr="004F7CAC" w:rsidRDefault="009A1DAA" w:rsidP="00805B98">
      <w:pPr>
        <w:pStyle w:val="BodyText"/>
        <w:spacing w:line="276" w:lineRule="auto"/>
        <w:ind w:right="48"/>
        <w:rPr>
          <w:sz w:val="24"/>
          <w:szCs w:val="24"/>
        </w:rPr>
      </w:pPr>
    </w:p>
    <w:p w14:paraId="6DF8BEE0" w14:textId="59F2D456" w:rsidR="007E6E9D" w:rsidRPr="004F7CAC" w:rsidRDefault="00E7257C" w:rsidP="00805B98">
      <w:pPr>
        <w:pStyle w:val="BodyText"/>
        <w:spacing w:line="276" w:lineRule="auto"/>
        <w:ind w:right="48"/>
        <w:rPr>
          <w:sz w:val="24"/>
          <w:szCs w:val="24"/>
        </w:rPr>
      </w:pPr>
      <w:r>
        <w:rPr>
          <w:sz w:val="24"/>
          <w:szCs w:val="24"/>
        </w:rPr>
        <w:t>Projektligji</w:t>
      </w:r>
      <w:r w:rsidR="007E6E9D" w:rsidRPr="004F7CAC">
        <w:rPr>
          <w:sz w:val="24"/>
          <w:szCs w:val="24"/>
        </w:rPr>
        <w:t xml:space="preserve"> synon gjithashtu forcimin e sigurisë juridike në transaksionet financiare dhe integrimin progresiv të tregut financiar shqiptar me tregjet europiane.</w:t>
      </w:r>
    </w:p>
    <w:p w14:paraId="7ABF933A" w14:textId="77777777" w:rsidR="007E6E9D" w:rsidRPr="00E7257C" w:rsidRDefault="007E6E9D" w:rsidP="00805B98">
      <w:pPr>
        <w:pStyle w:val="BodyText"/>
        <w:spacing w:line="276" w:lineRule="auto"/>
        <w:ind w:right="48"/>
        <w:rPr>
          <w:sz w:val="20"/>
          <w:szCs w:val="20"/>
        </w:rPr>
      </w:pPr>
    </w:p>
    <w:p w14:paraId="22802204" w14:textId="4C545B9E" w:rsidR="007E6E9D" w:rsidRPr="004F7CAC" w:rsidRDefault="007E6E9D" w:rsidP="00805B98">
      <w:pPr>
        <w:pStyle w:val="BodyText"/>
        <w:spacing w:line="276" w:lineRule="auto"/>
        <w:ind w:right="48"/>
        <w:rPr>
          <w:sz w:val="24"/>
          <w:szCs w:val="24"/>
        </w:rPr>
      </w:pPr>
      <w:r w:rsidRPr="004F7CAC">
        <w:rPr>
          <w:sz w:val="24"/>
          <w:szCs w:val="24"/>
        </w:rPr>
        <w:t xml:space="preserve">Projektligji parashikon krijimin e një kuadri të ri, të plotë dhe të konsoliduar ligjor për funksionimin, mbikëqyrjen dhe mbrojtjen juridike të sistemeve të pagesave dhe të sistemeve të shlyerjes së letrave me vlerë. </w:t>
      </w:r>
      <w:r w:rsidR="005B1339">
        <w:rPr>
          <w:sz w:val="24"/>
          <w:szCs w:val="24"/>
        </w:rPr>
        <w:t xml:space="preserve">Në të njëjtën kohë, projektligji </w:t>
      </w:r>
      <w:r w:rsidR="005B1339" w:rsidRPr="00277553">
        <w:rPr>
          <w:sz w:val="24"/>
          <w:szCs w:val="24"/>
        </w:rPr>
        <w:t>garant</w:t>
      </w:r>
      <w:r w:rsidR="005B1339">
        <w:rPr>
          <w:sz w:val="24"/>
          <w:szCs w:val="24"/>
        </w:rPr>
        <w:t>on</w:t>
      </w:r>
      <w:r w:rsidR="005B1339" w:rsidRPr="00277553">
        <w:rPr>
          <w:sz w:val="24"/>
          <w:szCs w:val="24"/>
        </w:rPr>
        <w:t xml:space="preserve"> sigurinë dhe efikasitetin e ofrimit dhe përdorimit të kolateralit financiar</w:t>
      </w:r>
      <w:r w:rsidR="005B1339">
        <w:rPr>
          <w:sz w:val="24"/>
          <w:szCs w:val="24"/>
        </w:rPr>
        <w:t xml:space="preserve">, si dhe </w:t>
      </w:r>
      <w:r w:rsidR="005B1339" w:rsidRPr="00277553">
        <w:rPr>
          <w:sz w:val="24"/>
          <w:szCs w:val="24"/>
        </w:rPr>
        <w:t>siguro</w:t>
      </w:r>
      <w:r w:rsidR="005B1339">
        <w:rPr>
          <w:sz w:val="24"/>
          <w:szCs w:val="24"/>
        </w:rPr>
        <w:t>n</w:t>
      </w:r>
      <w:r w:rsidR="005B1339" w:rsidRPr="00277553">
        <w:rPr>
          <w:sz w:val="24"/>
          <w:szCs w:val="24"/>
        </w:rPr>
        <w:t xml:space="preserve"> mbrojtjen e të drejtave të palëve </w:t>
      </w:r>
      <w:r w:rsidR="005B1339">
        <w:rPr>
          <w:sz w:val="24"/>
          <w:szCs w:val="24"/>
        </w:rPr>
        <w:t xml:space="preserve">në </w:t>
      </w:r>
      <w:r w:rsidR="005B1339" w:rsidRPr="00277553">
        <w:rPr>
          <w:sz w:val="24"/>
          <w:szCs w:val="24"/>
        </w:rPr>
        <w:t>marrëveshje</w:t>
      </w:r>
      <w:r w:rsidR="005B1339">
        <w:rPr>
          <w:sz w:val="24"/>
          <w:szCs w:val="24"/>
        </w:rPr>
        <w:t>n e</w:t>
      </w:r>
      <w:r w:rsidR="005B1339" w:rsidRPr="00277553">
        <w:rPr>
          <w:sz w:val="24"/>
          <w:szCs w:val="24"/>
        </w:rPr>
        <w:t xml:space="preserve"> kolateralit financiar nëse </w:t>
      </w:r>
      <w:r w:rsidR="005B1339">
        <w:rPr>
          <w:sz w:val="24"/>
          <w:szCs w:val="24"/>
        </w:rPr>
        <w:t xml:space="preserve">njëra prej </w:t>
      </w:r>
      <w:r w:rsidR="005B1339" w:rsidRPr="00277553">
        <w:rPr>
          <w:sz w:val="24"/>
          <w:szCs w:val="24"/>
        </w:rPr>
        <w:t>pal</w:t>
      </w:r>
      <w:r w:rsidR="005B1339">
        <w:rPr>
          <w:sz w:val="24"/>
          <w:szCs w:val="24"/>
        </w:rPr>
        <w:t xml:space="preserve">ëve </w:t>
      </w:r>
      <w:r w:rsidR="005B1339" w:rsidRPr="00277553">
        <w:rPr>
          <w:sz w:val="24"/>
          <w:szCs w:val="24"/>
        </w:rPr>
        <w:t>i nënshtrohet procedurave të likuidimit.</w:t>
      </w:r>
      <w:r w:rsidR="005B1339">
        <w:rPr>
          <w:sz w:val="24"/>
          <w:szCs w:val="24"/>
        </w:rPr>
        <w:t xml:space="preserve"> </w:t>
      </w:r>
      <w:r w:rsidRPr="004F7CAC">
        <w:rPr>
          <w:sz w:val="24"/>
          <w:szCs w:val="24"/>
        </w:rPr>
        <w:t>Në këtë kuadër,</w:t>
      </w:r>
      <w:r w:rsidR="00E7257C">
        <w:rPr>
          <w:sz w:val="24"/>
          <w:szCs w:val="24"/>
        </w:rPr>
        <w:t xml:space="preserve"> </w:t>
      </w:r>
      <w:r w:rsidRPr="004F7CAC">
        <w:rPr>
          <w:sz w:val="24"/>
          <w:szCs w:val="24"/>
        </w:rPr>
        <w:t>shfuqizon dispozitat ekzistuese që rregullojnë finalitetin e shlyerjes dhe kolateralin financiar, duke synuar një rregullim më të qartë, më të unifikuar dhe më efikas.</w:t>
      </w:r>
    </w:p>
    <w:p w14:paraId="28A5B65E" w14:textId="77777777" w:rsidR="007E6E9D" w:rsidRPr="00E7257C" w:rsidRDefault="007E6E9D" w:rsidP="00805B98">
      <w:pPr>
        <w:pStyle w:val="BodyText"/>
        <w:spacing w:line="276" w:lineRule="auto"/>
        <w:ind w:right="48"/>
        <w:rPr>
          <w:sz w:val="18"/>
          <w:szCs w:val="18"/>
        </w:rPr>
      </w:pPr>
    </w:p>
    <w:p w14:paraId="7851EF7D" w14:textId="77777777" w:rsidR="007E6E9D" w:rsidRPr="004F7CAC" w:rsidRDefault="007E6E9D" w:rsidP="00805B98">
      <w:pPr>
        <w:pStyle w:val="BodyText"/>
        <w:spacing w:line="276" w:lineRule="auto"/>
        <w:ind w:right="48"/>
        <w:rPr>
          <w:sz w:val="24"/>
          <w:szCs w:val="24"/>
        </w:rPr>
      </w:pPr>
      <w:r w:rsidRPr="004F7CAC">
        <w:rPr>
          <w:sz w:val="24"/>
          <w:szCs w:val="24"/>
        </w:rPr>
        <w:t>Projektligji siguron përafrim të mëtejshëm me legjislacionin e Bashkimit Europian, në veçanti me:</w:t>
      </w:r>
    </w:p>
    <w:p w14:paraId="7A5D8937" w14:textId="77777777" w:rsidR="007E6E9D" w:rsidRPr="00E7257C" w:rsidRDefault="007E6E9D" w:rsidP="00805B98">
      <w:pPr>
        <w:pStyle w:val="BodyText"/>
        <w:spacing w:line="276" w:lineRule="auto"/>
        <w:ind w:right="48"/>
        <w:rPr>
          <w:sz w:val="18"/>
          <w:szCs w:val="18"/>
        </w:rPr>
      </w:pPr>
    </w:p>
    <w:p w14:paraId="66BDF0F5" w14:textId="77777777" w:rsidR="009A1DAA" w:rsidRDefault="007E6E9D" w:rsidP="00805B98">
      <w:pPr>
        <w:pStyle w:val="BodyText"/>
        <w:numPr>
          <w:ilvl w:val="0"/>
          <w:numId w:val="35"/>
        </w:numPr>
        <w:spacing w:line="276" w:lineRule="auto"/>
        <w:ind w:right="48"/>
        <w:rPr>
          <w:sz w:val="24"/>
          <w:szCs w:val="24"/>
        </w:rPr>
      </w:pPr>
      <w:r w:rsidRPr="004F7CAC">
        <w:rPr>
          <w:sz w:val="24"/>
          <w:szCs w:val="24"/>
        </w:rPr>
        <w:t>Direktivën 98/26/KE të Parlamentit Europian dhe të Këshillit, datë 19 maj 1998, “Për finalitetin e shlyerjes në sistemet e pagesave dhe të shlyerjes së letrave me vlerë”, e ndryshuar me:</w:t>
      </w:r>
    </w:p>
    <w:p w14:paraId="7E312F6E" w14:textId="77777777" w:rsidR="00E7257C" w:rsidRPr="00E7257C" w:rsidRDefault="00E7257C" w:rsidP="00E7257C">
      <w:pPr>
        <w:pStyle w:val="BodyText"/>
        <w:spacing w:line="276" w:lineRule="auto"/>
        <w:ind w:left="720" w:right="48"/>
        <w:rPr>
          <w:sz w:val="18"/>
          <w:szCs w:val="18"/>
        </w:rPr>
      </w:pPr>
    </w:p>
    <w:p w14:paraId="2CD9CC7C" w14:textId="3A866A84" w:rsidR="009A1DAA" w:rsidRDefault="007E6E9D" w:rsidP="00805B98">
      <w:pPr>
        <w:pStyle w:val="BodyText"/>
        <w:numPr>
          <w:ilvl w:val="1"/>
          <w:numId w:val="37"/>
        </w:numPr>
        <w:spacing w:line="276" w:lineRule="auto"/>
        <w:ind w:right="48"/>
        <w:rPr>
          <w:sz w:val="24"/>
          <w:szCs w:val="24"/>
        </w:rPr>
      </w:pPr>
      <w:r w:rsidRPr="004F7CAC">
        <w:rPr>
          <w:sz w:val="24"/>
          <w:szCs w:val="24"/>
        </w:rPr>
        <w:t>Direktivën 2009/44/KE, datë 6 maj 2009;</w:t>
      </w:r>
    </w:p>
    <w:p w14:paraId="236EBF5B" w14:textId="7E0A6898" w:rsidR="007D16BF" w:rsidRPr="00E7257C" w:rsidRDefault="007D16BF" w:rsidP="00E7257C">
      <w:pPr>
        <w:pStyle w:val="ListParagraph"/>
        <w:numPr>
          <w:ilvl w:val="1"/>
          <w:numId w:val="37"/>
        </w:numPr>
        <w:spacing w:line="276" w:lineRule="auto"/>
        <w:rPr>
          <w:sz w:val="24"/>
          <w:szCs w:val="24"/>
        </w:rPr>
      </w:pPr>
      <w:r w:rsidRPr="007D16BF">
        <w:rPr>
          <w:sz w:val="24"/>
          <w:szCs w:val="24"/>
        </w:rPr>
        <w:t>Direktivë</w:t>
      </w:r>
      <w:r w:rsidR="00E7257C">
        <w:rPr>
          <w:sz w:val="24"/>
          <w:szCs w:val="24"/>
        </w:rPr>
        <w:t>n</w:t>
      </w:r>
      <w:r w:rsidRPr="007D16BF">
        <w:rPr>
          <w:sz w:val="24"/>
          <w:szCs w:val="24"/>
        </w:rPr>
        <w:t xml:space="preserve"> (BE) 2010/78, datë 24 nëntor 2010</w:t>
      </w:r>
      <w:r w:rsidR="00E7257C">
        <w:rPr>
          <w:sz w:val="24"/>
          <w:szCs w:val="24"/>
        </w:rPr>
        <w:t>;</w:t>
      </w:r>
    </w:p>
    <w:p w14:paraId="39A567E8" w14:textId="026381F4" w:rsidR="007E6E9D" w:rsidRPr="004F7CAC" w:rsidRDefault="007E6E9D" w:rsidP="00805B98">
      <w:pPr>
        <w:pStyle w:val="BodyText"/>
        <w:numPr>
          <w:ilvl w:val="1"/>
          <w:numId w:val="37"/>
        </w:numPr>
        <w:spacing w:line="276" w:lineRule="auto"/>
        <w:ind w:right="48"/>
        <w:rPr>
          <w:sz w:val="24"/>
          <w:szCs w:val="24"/>
        </w:rPr>
      </w:pPr>
      <w:r w:rsidRPr="004F7CAC">
        <w:rPr>
          <w:sz w:val="24"/>
          <w:szCs w:val="24"/>
        </w:rPr>
        <w:t>Direktivën (BE) 2019/879, datë 20 maj 2019</w:t>
      </w:r>
      <w:r w:rsidR="00E7257C">
        <w:rPr>
          <w:sz w:val="24"/>
          <w:szCs w:val="24"/>
        </w:rPr>
        <w:t>.</w:t>
      </w:r>
    </w:p>
    <w:p w14:paraId="198FEF59" w14:textId="77777777" w:rsidR="007E6E9D" w:rsidRPr="00E7257C" w:rsidRDefault="007E6E9D" w:rsidP="00805B98">
      <w:pPr>
        <w:pStyle w:val="BodyText"/>
        <w:spacing w:line="276" w:lineRule="auto"/>
        <w:ind w:right="48"/>
        <w:rPr>
          <w:sz w:val="18"/>
          <w:szCs w:val="18"/>
        </w:rPr>
      </w:pPr>
    </w:p>
    <w:p w14:paraId="41DDE86C" w14:textId="389A69EB" w:rsidR="007E6E9D" w:rsidRDefault="007E6E9D" w:rsidP="00805B98">
      <w:pPr>
        <w:pStyle w:val="BodyText"/>
        <w:numPr>
          <w:ilvl w:val="0"/>
          <w:numId w:val="35"/>
        </w:numPr>
        <w:spacing w:line="276" w:lineRule="auto"/>
        <w:ind w:right="48"/>
        <w:rPr>
          <w:sz w:val="24"/>
          <w:szCs w:val="24"/>
        </w:rPr>
      </w:pPr>
      <w:r w:rsidRPr="004F7CAC">
        <w:rPr>
          <w:sz w:val="24"/>
          <w:szCs w:val="24"/>
        </w:rPr>
        <w:t>Direktivën 2002/47/KE të Parlamentit Europian dhe të Këshillit, datë 6 qershor 2002, “Për marrëveshjet e kolateralit financiar”, e ndryshuar me</w:t>
      </w:r>
      <w:r w:rsidR="009A1DAA" w:rsidRPr="004F7CAC">
        <w:rPr>
          <w:sz w:val="24"/>
          <w:szCs w:val="24"/>
        </w:rPr>
        <w:t>:</w:t>
      </w:r>
    </w:p>
    <w:p w14:paraId="601EDC93" w14:textId="77777777" w:rsidR="00E7257C" w:rsidRPr="00E7257C" w:rsidRDefault="00E7257C" w:rsidP="00E7257C">
      <w:pPr>
        <w:pStyle w:val="BodyText"/>
        <w:spacing w:line="276" w:lineRule="auto"/>
        <w:ind w:left="720" w:right="48"/>
        <w:rPr>
          <w:sz w:val="18"/>
          <w:szCs w:val="18"/>
        </w:rPr>
      </w:pPr>
    </w:p>
    <w:p w14:paraId="792A4ED3" w14:textId="7BFF4331" w:rsidR="007E6E9D" w:rsidRPr="004F7CAC" w:rsidRDefault="007E6E9D" w:rsidP="00805B98">
      <w:pPr>
        <w:pStyle w:val="BodyText"/>
        <w:numPr>
          <w:ilvl w:val="0"/>
          <w:numId w:val="36"/>
        </w:numPr>
        <w:spacing w:line="276" w:lineRule="auto"/>
        <w:ind w:left="1440" w:right="48"/>
        <w:rPr>
          <w:sz w:val="24"/>
          <w:szCs w:val="24"/>
        </w:rPr>
      </w:pPr>
      <w:r w:rsidRPr="004F7CAC">
        <w:rPr>
          <w:sz w:val="24"/>
          <w:szCs w:val="24"/>
        </w:rPr>
        <w:t>Direktivën 2009/44/KE, datë 6 maj 2009;</w:t>
      </w:r>
    </w:p>
    <w:p w14:paraId="671EDB74" w14:textId="0AC1B826" w:rsidR="007E6E9D" w:rsidRPr="004F7CAC" w:rsidRDefault="007E6E9D" w:rsidP="00805B98">
      <w:pPr>
        <w:pStyle w:val="BodyText"/>
        <w:numPr>
          <w:ilvl w:val="0"/>
          <w:numId w:val="36"/>
        </w:numPr>
        <w:spacing w:line="276" w:lineRule="auto"/>
        <w:ind w:left="1440" w:right="48"/>
        <w:rPr>
          <w:sz w:val="24"/>
          <w:szCs w:val="24"/>
        </w:rPr>
      </w:pPr>
      <w:r w:rsidRPr="004F7CAC">
        <w:rPr>
          <w:sz w:val="24"/>
          <w:szCs w:val="24"/>
        </w:rPr>
        <w:t>Direktivën 2014/59/BE, datë 15 maj 2014;</w:t>
      </w:r>
    </w:p>
    <w:p w14:paraId="170F42E4" w14:textId="77777777" w:rsidR="007E6E9D" w:rsidRPr="00E7257C" w:rsidRDefault="007E6E9D" w:rsidP="00805B98">
      <w:pPr>
        <w:pStyle w:val="BodyText"/>
        <w:spacing w:line="276" w:lineRule="auto"/>
        <w:ind w:left="360" w:right="48"/>
        <w:rPr>
          <w:sz w:val="24"/>
          <w:szCs w:val="24"/>
        </w:rPr>
      </w:pPr>
    </w:p>
    <w:p w14:paraId="3F85E724" w14:textId="77777777" w:rsidR="007E6E9D" w:rsidRPr="004F7CAC" w:rsidRDefault="007E6E9D" w:rsidP="00805B98">
      <w:pPr>
        <w:pStyle w:val="BodyText"/>
        <w:spacing w:line="276" w:lineRule="auto"/>
        <w:ind w:right="48"/>
        <w:rPr>
          <w:sz w:val="24"/>
          <w:szCs w:val="24"/>
        </w:rPr>
      </w:pPr>
      <w:r w:rsidRPr="004F7CAC">
        <w:rPr>
          <w:sz w:val="24"/>
          <w:szCs w:val="24"/>
        </w:rPr>
        <w:t xml:space="preserve">Gjithashtu, projektligji merr në konsideratë dhe reflekton zhvillimet më të fundit të </w:t>
      </w:r>
      <w:r w:rsidRPr="00E7257C">
        <w:rPr>
          <w:sz w:val="24"/>
          <w:szCs w:val="24"/>
        </w:rPr>
        <w:t xml:space="preserve">acquis </w:t>
      </w:r>
      <w:r w:rsidRPr="004F7CAC">
        <w:rPr>
          <w:sz w:val="24"/>
          <w:szCs w:val="24"/>
        </w:rPr>
        <w:t xml:space="preserve">të Bashkimit Europian, duke përfshirë ndërveprimin me rregullore të rëndësishme </w:t>
      </w:r>
      <w:r w:rsidRPr="004F7CAC">
        <w:rPr>
          <w:sz w:val="24"/>
          <w:szCs w:val="24"/>
        </w:rPr>
        <w:lastRenderedPageBreak/>
        <w:t>në fushën e infrastrukturave financiare dhe sistemeve të pagesave, në veçanti:</w:t>
      </w:r>
    </w:p>
    <w:p w14:paraId="0F012068" w14:textId="77777777" w:rsidR="007E6E9D" w:rsidRPr="004F7CAC" w:rsidRDefault="007E6E9D" w:rsidP="00805B98">
      <w:pPr>
        <w:pStyle w:val="BodyText"/>
        <w:spacing w:line="276" w:lineRule="auto"/>
        <w:ind w:right="48"/>
        <w:rPr>
          <w:sz w:val="24"/>
          <w:szCs w:val="24"/>
        </w:rPr>
      </w:pPr>
    </w:p>
    <w:p w14:paraId="2F806BC2" w14:textId="21178F72" w:rsidR="009A1DAA" w:rsidRPr="004F7CAC" w:rsidRDefault="007E6E9D" w:rsidP="00805B98">
      <w:pPr>
        <w:pStyle w:val="BodyText"/>
        <w:numPr>
          <w:ilvl w:val="2"/>
          <w:numId w:val="37"/>
        </w:numPr>
        <w:spacing w:line="276" w:lineRule="auto"/>
        <w:ind w:left="360" w:right="48"/>
        <w:rPr>
          <w:sz w:val="24"/>
          <w:szCs w:val="24"/>
        </w:rPr>
      </w:pPr>
      <w:r w:rsidRPr="004F7CAC">
        <w:rPr>
          <w:sz w:val="24"/>
          <w:szCs w:val="24"/>
        </w:rPr>
        <w:t>Rregulloren (BE) nr. 648/2012 të Parlamentit Europian dhe të Këshillit, datë 4 korrik 2012, “Për derivatet OTC, kundër</w:t>
      </w:r>
      <w:r w:rsidR="009A1DAA" w:rsidRPr="004F7CAC">
        <w:rPr>
          <w:sz w:val="24"/>
          <w:szCs w:val="24"/>
        </w:rPr>
        <w:t>partive</w:t>
      </w:r>
      <w:r w:rsidRPr="004F7CAC">
        <w:rPr>
          <w:sz w:val="24"/>
          <w:szCs w:val="24"/>
        </w:rPr>
        <w:t xml:space="preserve"> qendrore dhe regjistrat e tregtimit” (EMIR);</w:t>
      </w:r>
    </w:p>
    <w:p w14:paraId="5B7D653C" w14:textId="77777777" w:rsidR="009A1DAA" w:rsidRPr="004F7CAC" w:rsidRDefault="007E6E9D" w:rsidP="00805B98">
      <w:pPr>
        <w:pStyle w:val="BodyText"/>
        <w:numPr>
          <w:ilvl w:val="2"/>
          <w:numId w:val="37"/>
        </w:numPr>
        <w:spacing w:line="276" w:lineRule="auto"/>
        <w:ind w:left="360" w:right="48"/>
        <w:rPr>
          <w:sz w:val="24"/>
          <w:szCs w:val="24"/>
        </w:rPr>
      </w:pPr>
      <w:r w:rsidRPr="004F7CAC">
        <w:rPr>
          <w:sz w:val="24"/>
          <w:szCs w:val="24"/>
        </w:rPr>
        <w:t>Rregulloren (BE) nr. 909/2014 të Parlamentit Europian dhe të Këshillit, datë 23 korrik 2014, “Për përmirësimin e shlyerjes së letrave me vlerë në Bashkimin Europian dhe për depozitarët qendrorë të letrave me vlerë” (CSDR);</w:t>
      </w:r>
    </w:p>
    <w:p w14:paraId="5A372672" w14:textId="1AA25A0C" w:rsidR="007E6E9D" w:rsidRPr="004F7CAC" w:rsidRDefault="007E6E9D" w:rsidP="00805B98">
      <w:pPr>
        <w:pStyle w:val="BodyText"/>
        <w:numPr>
          <w:ilvl w:val="2"/>
          <w:numId w:val="37"/>
        </w:numPr>
        <w:spacing w:line="276" w:lineRule="auto"/>
        <w:ind w:left="360" w:right="48"/>
        <w:rPr>
          <w:sz w:val="24"/>
          <w:szCs w:val="24"/>
        </w:rPr>
      </w:pPr>
      <w:r w:rsidRPr="004F7CAC">
        <w:rPr>
          <w:sz w:val="24"/>
          <w:szCs w:val="24"/>
        </w:rPr>
        <w:t>Rregulloren (BE) 2021/23 të Parlamentit Europian dhe të Këshillit, datë 16 dhjetor 2020, “Për rimëkëmbjen dhe zgjidhjen e kundërpa</w:t>
      </w:r>
      <w:r w:rsidR="009A1DAA" w:rsidRPr="004F7CAC">
        <w:rPr>
          <w:sz w:val="24"/>
          <w:szCs w:val="24"/>
        </w:rPr>
        <w:t xml:space="preserve">rtive </w:t>
      </w:r>
      <w:r w:rsidRPr="004F7CAC">
        <w:rPr>
          <w:sz w:val="24"/>
          <w:szCs w:val="24"/>
        </w:rPr>
        <w:t>qendrore</w:t>
      </w:r>
      <w:r w:rsidR="00E7257C">
        <w:rPr>
          <w:sz w:val="24"/>
          <w:szCs w:val="24"/>
        </w:rPr>
        <w:t>”</w:t>
      </w:r>
      <w:r w:rsidR="009A1DAA" w:rsidRPr="004F7CAC">
        <w:rPr>
          <w:sz w:val="24"/>
          <w:szCs w:val="24"/>
        </w:rPr>
        <w:t>;</w:t>
      </w:r>
    </w:p>
    <w:p w14:paraId="4A1A12CB" w14:textId="565AFE91" w:rsidR="009A1DAA" w:rsidRPr="004F7CAC" w:rsidRDefault="009A1DAA" w:rsidP="00805B98">
      <w:pPr>
        <w:pStyle w:val="BodyText"/>
        <w:numPr>
          <w:ilvl w:val="2"/>
          <w:numId w:val="37"/>
        </w:numPr>
        <w:spacing w:line="276" w:lineRule="auto"/>
        <w:ind w:left="360" w:right="48"/>
        <w:rPr>
          <w:sz w:val="24"/>
          <w:szCs w:val="24"/>
        </w:rPr>
      </w:pPr>
      <w:r w:rsidRPr="004F7CAC">
        <w:rPr>
          <w:sz w:val="24"/>
          <w:szCs w:val="24"/>
        </w:rPr>
        <w:t>Rregulloren (BE) 2024/886 të Parlamentit Europian dhe të Këshillit, datë 13 mars 2024, “Për pagesat e menjëhershme në euro” (Instant Payments Regulation), e cila ndryshon Rregulloren (BE) nr. 260/2012 (SEPA Regulation);</w:t>
      </w:r>
    </w:p>
    <w:p w14:paraId="268C9C06" w14:textId="77777777" w:rsidR="007E6E9D" w:rsidRPr="00E7257C" w:rsidRDefault="007E6E9D" w:rsidP="00805B98">
      <w:pPr>
        <w:pStyle w:val="BodyText"/>
        <w:spacing w:line="276" w:lineRule="auto"/>
        <w:ind w:right="48"/>
      </w:pPr>
    </w:p>
    <w:p w14:paraId="46C99390" w14:textId="607AD2D2" w:rsidR="001E24BA" w:rsidRPr="004F7CAC" w:rsidRDefault="00E94EBD" w:rsidP="00805B98">
      <w:pPr>
        <w:pStyle w:val="ListParagraph"/>
        <w:numPr>
          <w:ilvl w:val="0"/>
          <w:numId w:val="13"/>
        </w:numPr>
        <w:tabs>
          <w:tab w:val="left" w:pos="0"/>
        </w:tabs>
        <w:spacing w:line="276" w:lineRule="auto"/>
        <w:ind w:left="0" w:right="48" w:firstLine="0"/>
        <w:jc w:val="both"/>
        <w:rPr>
          <w:b/>
          <w:sz w:val="24"/>
          <w:szCs w:val="24"/>
        </w:rPr>
      </w:pPr>
      <w:r w:rsidRPr="004F7CAC">
        <w:rPr>
          <w:b/>
          <w:sz w:val="24"/>
          <w:szCs w:val="24"/>
        </w:rPr>
        <w:t xml:space="preserve">VLERËSIMI I PROJEKTAKTIT NË RAPORT ME PROGRAMIN POLITIK TË KËSHILLIT TË MINISTRAVE, ME PROGRAMIN ANALITIK TË AKTEVE DHE DOKUMENTEVE TË TJERA </w:t>
      </w:r>
      <w:r w:rsidRPr="004F7CAC">
        <w:rPr>
          <w:b/>
          <w:spacing w:val="-2"/>
          <w:sz w:val="24"/>
          <w:szCs w:val="24"/>
        </w:rPr>
        <w:t>POLITIKE</w:t>
      </w:r>
    </w:p>
    <w:p w14:paraId="1DBB36CA" w14:textId="77777777" w:rsidR="001814DA" w:rsidRPr="004F7CAC" w:rsidRDefault="001814DA" w:rsidP="00805B98">
      <w:pPr>
        <w:pStyle w:val="ListParagraph"/>
        <w:tabs>
          <w:tab w:val="left" w:pos="0"/>
        </w:tabs>
        <w:spacing w:line="276" w:lineRule="auto"/>
        <w:ind w:left="0" w:right="48" w:firstLine="0"/>
        <w:rPr>
          <w:b/>
          <w:sz w:val="24"/>
          <w:szCs w:val="24"/>
          <w:highlight w:val="yellow"/>
        </w:rPr>
      </w:pPr>
    </w:p>
    <w:p w14:paraId="040C4E05" w14:textId="77777777" w:rsidR="001814DA" w:rsidRPr="004F7CAC" w:rsidRDefault="001814DA" w:rsidP="00805B98">
      <w:pPr>
        <w:pStyle w:val="BodyText"/>
        <w:tabs>
          <w:tab w:val="left" w:pos="0"/>
        </w:tabs>
        <w:spacing w:line="276" w:lineRule="auto"/>
        <w:ind w:right="48"/>
        <w:rPr>
          <w:sz w:val="24"/>
          <w:szCs w:val="24"/>
        </w:rPr>
      </w:pPr>
      <w:r w:rsidRPr="004F7CAC">
        <w:rPr>
          <w:sz w:val="24"/>
          <w:szCs w:val="24"/>
        </w:rPr>
        <w:t xml:space="preserve">Projektligji është në përputhje me prioritetet e Programit Politik të Këshillit të Ministrave dhe me Programin Analitik të Akteve, duke adresuar nevojën për forcimin e stabilitetit financiar dhe zhvillimin e mëtejshëm të tregjeve financiare në vend. </w:t>
      </w:r>
    </w:p>
    <w:p w14:paraId="61A866CC" w14:textId="77777777" w:rsidR="001814DA" w:rsidRPr="004F7CAC" w:rsidRDefault="001814DA" w:rsidP="00805B98">
      <w:pPr>
        <w:pStyle w:val="BodyText"/>
        <w:tabs>
          <w:tab w:val="left" w:pos="0"/>
        </w:tabs>
        <w:spacing w:line="276" w:lineRule="auto"/>
        <w:ind w:right="48"/>
        <w:rPr>
          <w:sz w:val="24"/>
          <w:szCs w:val="24"/>
        </w:rPr>
      </w:pPr>
    </w:p>
    <w:p w14:paraId="0A3C0477" w14:textId="77777777" w:rsidR="001814DA" w:rsidRPr="004F7CAC" w:rsidRDefault="001814DA" w:rsidP="00805B98">
      <w:pPr>
        <w:pStyle w:val="BodyText"/>
        <w:tabs>
          <w:tab w:val="left" w:pos="0"/>
        </w:tabs>
        <w:spacing w:line="276" w:lineRule="auto"/>
        <w:ind w:right="48"/>
        <w:rPr>
          <w:sz w:val="24"/>
          <w:szCs w:val="24"/>
        </w:rPr>
      </w:pPr>
      <w:r w:rsidRPr="004F7CAC">
        <w:rPr>
          <w:sz w:val="24"/>
          <w:szCs w:val="24"/>
        </w:rPr>
        <w:t>Në mënyrë të veçantë, ai kontribuon në përmirësimin e kuadrit ligjor dhe rregullator të sektorit, rritjen e sigurisë juridike në transaksionet financiare dhe modernizimin e infrastrukturave të pagesave, në linjë me zhvillimet më të fundit europiane. Projektligji përbën gjithashtu një masë (</w:t>
      </w:r>
      <w:r w:rsidRPr="004F7CAC">
        <w:rPr>
          <w:i/>
          <w:iCs/>
          <w:sz w:val="24"/>
          <w:szCs w:val="24"/>
        </w:rPr>
        <w:t>benchmark</w:t>
      </w:r>
      <w:r w:rsidRPr="004F7CAC">
        <w:rPr>
          <w:sz w:val="24"/>
          <w:szCs w:val="24"/>
        </w:rPr>
        <w:t xml:space="preserve">) të përcaktuar në kuadër të procesit të negociatave për anëtarësim në Bashkimin Europian, në veçanti në Kapitullin 9 “Shërbimet financiare”, duke mbështetur drejtpërdrejt përmbushjen e detyrimeve të përafrimit me </w:t>
      </w:r>
      <w:r w:rsidRPr="004F7CAC">
        <w:rPr>
          <w:i/>
          <w:iCs/>
          <w:sz w:val="24"/>
          <w:szCs w:val="24"/>
        </w:rPr>
        <w:t>acquis</w:t>
      </w:r>
      <w:r w:rsidRPr="004F7CAC">
        <w:rPr>
          <w:sz w:val="24"/>
          <w:szCs w:val="24"/>
        </w:rPr>
        <w:t xml:space="preserve">. </w:t>
      </w:r>
    </w:p>
    <w:p w14:paraId="51B63B19" w14:textId="77777777" w:rsidR="001814DA" w:rsidRPr="004F7CAC" w:rsidRDefault="001814DA" w:rsidP="00805B98">
      <w:pPr>
        <w:pStyle w:val="BodyText"/>
        <w:tabs>
          <w:tab w:val="left" w:pos="0"/>
        </w:tabs>
        <w:spacing w:line="276" w:lineRule="auto"/>
        <w:ind w:right="48"/>
        <w:rPr>
          <w:sz w:val="24"/>
          <w:szCs w:val="24"/>
        </w:rPr>
      </w:pPr>
    </w:p>
    <w:p w14:paraId="06309663" w14:textId="5CD0C6A9" w:rsidR="00804179" w:rsidRDefault="001814DA" w:rsidP="00805B98">
      <w:pPr>
        <w:pStyle w:val="BodyText"/>
        <w:tabs>
          <w:tab w:val="left" w:pos="0"/>
        </w:tabs>
        <w:spacing w:line="276" w:lineRule="auto"/>
        <w:ind w:right="48"/>
        <w:rPr>
          <w:sz w:val="24"/>
          <w:szCs w:val="24"/>
        </w:rPr>
      </w:pPr>
      <w:r w:rsidRPr="004F7CAC">
        <w:rPr>
          <w:sz w:val="24"/>
          <w:szCs w:val="24"/>
        </w:rPr>
        <w:t>Njëkohësisht, është në përputhje me objektivat e dokumenteve strategjike sektoriale për rritjen e konkurrueshmërisë, integrimin e tregut financiar shqiptar dhe nxitjen e inovacionit në shërbimet financiare.</w:t>
      </w:r>
      <w:r w:rsidR="0069290F" w:rsidRPr="004F7CAC">
        <w:rPr>
          <w:sz w:val="24"/>
          <w:szCs w:val="24"/>
        </w:rPr>
        <w:tab/>
      </w:r>
    </w:p>
    <w:p w14:paraId="62594BD4" w14:textId="77777777" w:rsidR="00E7257C" w:rsidRPr="00E7257C" w:rsidRDefault="00E7257C" w:rsidP="00805B98">
      <w:pPr>
        <w:pStyle w:val="BodyText"/>
        <w:tabs>
          <w:tab w:val="left" w:pos="0"/>
        </w:tabs>
        <w:spacing w:line="276" w:lineRule="auto"/>
        <w:ind w:right="48"/>
        <w:rPr>
          <w:sz w:val="8"/>
          <w:szCs w:val="8"/>
        </w:rPr>
      </w:pPr>
    </w:p>
    <w:p w14:paraId="3440817F" w14:textId="6B70E7E2" w:rsidR="00E7257C" w:rsidRPr="00E7257C" w:rsidRDefault="00E94EBD" w:rsidP="00E7257C">
      <w:pPr>
        <w:pStyle w:val="ListParagraph"/>
        <w:widowControl/>
        <w:numPr>
          <w:ilvl w:val="0"/>
          <w:numId w:val="13"/>
        </w:numPr>
        <w:tabs>
          <w:tab w:val="left" w:pos="0"/>
        </w:tabs>
        <w:autoSpaceDE/>
        <w:autoSpaceDN/>
        <w:spacing w:before="100" w:beforeAutospacing="1" w:line="276" w:lineRule="auto"/>
        <w:ind w:left="0" w:right="48" w:firstLine="0"/>
        <w:jc w:val="both"/>
        <w:rPr>
          <w:sz w:val="24"/>
          <w:szCs w:val="24"/>
        </w:rPr>
      </w:pPr>
      <w:r w:rsidRPr="004F7CAC">
        <w:rPr>
          <w:b/>
          <w:sz w:val="24"/>
          <w:szCs w:val="24"/>
        </w:rPr>
        <w:t>ARGUMENTIMI I PROJEKTAKTIT LIDHUR ME PËRPARËSITË, PROBLEMATIKAT, EFEKTET E PRITSHME</w:t>
      </w:r>
    </w:p>
    <w:p w14:paraId="370DC6CF" w14:textId="77777777" w:rsidR="00E7257C" w:rsidRPr="00E7257C" w:rsidRDefault="00E7257C" w:rsidP="00E7257C">
      <w:pPr>
        <w:pStyle w:val="ListParagraph"/>
        <w:widowControl/>
        <w:tabs>
          <w:tab w:val="left" w:pos="0"/>
        </w:tabs>
        <w:autoSpaceDE/>
        <w:autoSpaceDN/>
        <w:spacing w:before="100" w:beforeAutospacing="1" w:line="276" w:lineRule="auto"/>
        <w:ind w:left="0" w:right="48" w:firstLine="0"/>
        <w:rPr>
          <w:sz w:val="8"/>
          <w:szCs w:val="8"/>
        </w:rPr>
      </w:pPr>
    </w:p>
    <w:p w14:paraId="72EAC32A" w14:textId="4590ECC0" w:rsidR="007D4F13" w:rsidRPr="004F7CAC" w:rsidRDefault="007D4F13" w:rsidP="00E7257C">
      <w:pPr>
        <w:pStyle w:val="BodyText"/>
        <w:tabs>
          <w:tab w:val="left" w:pos="0"/>
        </w:tabs>
        <w:spacing w:line="276" w:lineRule="auto"/>
        <w:ind w:right="48"/>
        <w:rPr>
          <w:sz w:val="24"/>
          <w:szCs w:val="24"/>
        </w:rPr>
      </w:pPr>
      <w:r w:rsidRPr="004F7CAC">
        <w:rPr>
          <w:sz w:val="24"/>
          <w:szCs w:val="24"/>
        </w:rPr>
        <w:t xml:space="preserve">Kuadri aktual ligjor, ndonëse ka shërbyer si bazë për funksionimin e sistemeve të pagesave dhe për mbrojtjen e parimit të finalitetit të shlyerjes, paraqet mangësi strukturore dhe substanciale, të cilat pengojnë harmonizimin e plotë me </w:t>
      </w:r>
      <w:r w:rsidRPr="00A37CC4">
        <w:rPr>
          <w:i/>
          <w:iCs/>
          <w:sz w:val="24"/>
          <w:szCs w:val="24"/>
        </w:rPr>
        <w:t>acquis</w:t>
      </w:r>
      <w:r w:rsidRPr="004F7CAC">
        <w:rPr>
          <w:sz w:val="24"/>
          <w:szCs w:val="24"/>
        </w:rPr>
        <w:t xml:space="preserve"> të Bashkimit Europian dhe cenojnë zhvillimin e sigurt dhe efikas të tregut financiar shqiptar.</w:t>
      </w:r>
    </w:p>
    <w:p w14:paraId="2D3E2EAA" w14:textId="77777777" w:rsidR="007D4F13" w:rsidRPr="004F7CAC" w:rsidRDefault="007D4F13" w:rsidP="00805B98">
      <w:pPr>
        <w:pStyle w:val="BodyText"/>
        <w:tabs>
          <w:tab w:val="left" w:pos="0"/>
        </w:tabs>
        <w:spacing w:line="276" w:lineRule="auto"/>
        <w:ind w:right="48"/>
        <w:rPr>
          <w:sz w:val="24"/>
          <w:szCs w:val="24"/>
        </w:rPr>
      </w:pPr>
    </w:p>
    <w:p w14:paraId="334E0923" w14:textId="77777777" w:rsidR="007D4F13" w:rsidRPr="004F7CAC" w:rsidRDefault="007D4F13" w:rsidP="00805B98">
      <w:pPr>
        <w:pStyle w:val="BodyText"/>
        <w:tabs>
          <w:tab w:val="left" w:pos="0"/>
        </w:tabs>
        <w:spacing w:line="276" w:lineRule="auto"/>
        <w:ind w:right="48"/>
        <w:rPr>
          <w:sz w:val="24"/>
          <w:szCs w:val="24"/>
        </w:rPr>
      </w:pPr>
      <w:r w:rsidRPr="004F7CAC">
        <w:rPr>
          <w:sz w:val="24"/>
          <w:szCs w:val="24"/>
        </w:rPr>
        <w:t xml:space="preserve">Legjislacioni ekzistues nuk reflekton plotësisht evolucionin e kuadrit rregullator europian në fushën e infrastrukturave financiare dhe nuk garanton nivelin e kërkuar të sigurisë </w:t>
      </w:r>
      <w:r w:rsidRPr="004F7CAC">
        <w:rPr>
          <w:sz w:val="24"/>
          <w:szCs w:val="24"/>
        </w:rPr>
        <w:lastRenderedPageBreak/>
        <w:t>juridike për pjesëmarrësit në treg. Mungesa e instrumenteve të caktuara juridike krijon paqartësi në zbatim, rrit ekspozimin ndaj rreziqeve sistemike dhe kufizon aftësinë e autoriteteve për të ushtruar mbikëqyrje efektive.</w:t>
      </w:r>
    </w:p>
    <w:p w14:paraId="570CCB19" w14:textId="77777777" w:rsidR="007D4F13" w:rsidRPr="004F7CAC" w:rsidRDefault="007D4F13" w:rsidP="00805B98">
      <w:pPr>
        <w:pStyle w:val="BodyText"/>
        <w:tabs>
          <w:tab w:val="left" w:pos="0"/>
        </w:tabs>
        <w:spacing w:line="276" w:lineRule="auto"/>
        <w:ind w:right="48"/>
        <w:rPr>
          <w:sz w:val="24"/>
          <w:szCs w:val="24"/>
        </w:rPr>
      </w:pPr>
    </w:p>
    <w:p w14:paraId="53C14653" w14:textId="3A771FF1" w:rsidR="007D4F13" w:rsidRPr="004F7CAC" w:rsidRDefault="007D4F13" w:rsidP="00805B98">
      <w:pPr>
        <w:pStyle w:val="BodyText"/>
        <w:tabs>
          <w:tab w:val="left" w:pos="0"/>
        </w:tabs>
        <w:spacing w:line="276" w:lineRule="auto"/>
        <w:ind w:right="48"/>
        <w:rPr>
          <w:sz w:val="24"/>
          <w:szCs w:val="24"/>
        </w:rPr>
      </w:pPr>
      <w:r w:rsidRPr="004F7CAC">
        <w:rPr>
          <w:sz w:val="24"/>
          <w:szCs w:val="24"/>
        </w:rPr>
        <w:t xml:space="preserve">Në mënyrë të veçantë, mosparashikimi i mekanizmit të njohjes </w:t>
      </w:r>
      <w:r w:rsidR="007D16BF" w:rsidRPr="00194D27">
        <w:rPr>
          <w:i/>
          <w:iCs/>
          <w:sz w:val="24"/>
          <w:szCs w:val="24"/>
        </w:rPr>
        <w:t>(</w:t>
      </w:r>
      <w:r w:rsidRPr="00194D27">
        <w:rPr>
          <w:i/>
          <w:iCs/>
          <w:sz w:val="24"/>
          <w:szCs w:val="24"/>
        </w:rPr>
        <w:t>designation</w:t>
      </w:r>
      <w:r w:rsidR="007D16BF" w:rsidRPr="00194D27">
        <w:rPr>
          <w:i/>
          <w:iCs/>
          <w:sz w:val="24"/>
          <w:szCs w:val="24"/>
        </w:rPr>
        <w:t>)</w:t>
      </w:r>
      <w:r w:rsidRPr="004F7CAC">
        <w:rPr>
          <w:sz w:val="24"/>
          <w:szCs w:val="24"/>
        </w:rPr>
        <w:t xml:space="preserve"> të sistemeve që përfitojnë mbrojtje nga finaliteti i shlyerjes përbën një boshllëk të rëndësishëm ligjor. Ky mekanizëm është thelbësor në kuadër të legjislacionit të Bashkimit Europian dhe përbën një standard bazë për garantimin e sigurisë dhe qëndrueshmërisë së sistemeve të pagesave dhe të shlyerjes. Mosadresimi i tij deri më sot, pavarësisht vështirësive praktike të hasura në të kaluarën, nuk është më i justifikueshëm në kushtet e angazhimeve që rrjedhin nga procesi i integrimit europian.</w:t>
      </w:r>
    </w:p>
    <w:p w14:paraId="25866B55" w14:textId="77777777" w:rsidR="007D4F13" w:rsidRPr="004F7CAC" w:rsidRDefault="007D4F13" w:rsidP="00805B98">
      <w:pPr>
        <w:pStyle w:val="BodyText"/>
        <w:tabs>
          <w:tab w:val="left" w:pos="0"/>
        </w:tabs>
        <w:spacing w:line="276" w:lineRule="auto"/>
        <w:ind w:right="48"/>
        <w:rPr>
          <w:sz w:val="24"/>
          <w:szCs w:val="24"/>
        </w:rPr>
      </w:pPr>
    </w:p>
    <w:p w14:paraId="38B3CA59" w14:textId="77777777" w:rsidR="007D4F13" w:rsidRPr="004F7CAC" w:rsidRDefault="007D4F13" w:rsidP="00805B98">
      <w:pPr>
        <w:pStyle w:val="BodyText"/>
        <w:tabs>
          <w:tab w:val="left" w:pos="0"/>
        </w:tabs>
        <w:spacing w:line="276" w:lineRule="auto"/>
        <w:ind w:right="48"/>
        <w:rPr>
          <w:sz w:val="24"/>
          <w:szCs w:val="24"/>
        </w:rPr>
      </w:pPr>
      <w:r w:rsidRPr="004F7CAC">
        <w:rPr>
          <w:sz w:val="24"/>
          <w:szCs w:val="24"/>
        </w:rPr>
        <w:t>Po ashtu, legjislacioni aktual nuk rregullon në mënyrë të plotë dhe të qartë një sërë elementesh thelbësore, të cilat konsiderohen të domosdoshme për funksionimin e një infrastrukture moderne financiare, konkretisht:</w:t>
      </w:r>
    </w:p>
    <w:p w14:paraId="64669D42" w14:textId="77777777" w:rsidR="007D4F13" w:rsidRPr="004F7CAC" w:rsidRDefault="007D4F13" w:rsidP="00805B98">
      <w:pPr>
        <w:pStyle w:val="BodyText"/>
        <w:tabs>
          <w:tab w:val="left" w:pos="0"/>
        </w:tabs>
        <w:spacing w:line="276" w:lineRule="auto"/>
        <w:ind w:right="48"/>
        <w:rPr>
          <w:sz w:val="24"/>
          <w:szCs w:val="24"/>
        </w:rPr>
      </w:pPr>
    </w:p>
    <w:p w14:paraId="2E82B545" w14:textId="1C5C6AC2" w:rsidR="007D4F13" w:rsidRPr="004F7CAC" w:rsidRDefault="00E7257C" w:rsidP="00805B98">
      <w:pPr>
        <w:pStyle w:val="BodyText"/>
        <w:numPr>
          <w:ilvl w:val="0"/>
          <w:numId w:val="38"/>
        </w:numPr>
        <w:tabs>
          <w:tab w:val="left" w:pos="0"/>
        </w:tabs>
        <w:spacing w:line="276" w:lineRule="auto"/>
        <w:ind w:right="48"/>
        <w:rPr>
          <w:sz w:val="24"/>
          <w:szCs w:val="24"/>
        </w:rPr>
      </w:pPr>
      <w:r>
        <w:rPr>
          <w:sz w:val="24"/>
          <w:szCs w:val="24"/>
        </w:rPr>
        <w:t>M</w:t>
      </w:r>
      <w:r w:rsidR="007D4F13" w:rsidRPr="004F7CAC">
        <w:rPr>
          <w:sz w:val="24"/>
          <w:szCs w:val="24"/>
        </w:rPr>
        <w:t>ungojnë procedura të qarta dhe të standardizuara për njohjen</w:t>
      </w:r>
      <w:r w:rsidR="007D16BF">
        <w:rPr>
          <w:sz w:val="24"/>
          <w:szCs w:val="24"/>
        </w:rPr>
        <w:t xml:space="preserve"> (</w:t>
      </w:r>
      <w:r w:rsidR="007D4F13" w:rsidRPr="00194D27">
        <w:rPr>
          <w:i/>
          <w:iCs/>
          <w:sz w:val="24"/>
          <w:szCs w:val="24"/>
        </w:rPr>
        <w:t>designation</w:t>
      </w:r>
      <w:r w:rsidR="007D16BF">
        <w:rPr>
          <w:sz w:val="24"/>
          <w:szCs w:val="24"/>
        </w:rPr>
        <w:t>)</w:t>
      </w:r>
      <w:r w:rsidR="007D4F13" w:rsidRPr="004F7CAC">
        <w:rPr>
          <w:sz w:val="24"/>
          <w:szCs w:val="24"/>
        </w:rPr>
        <w:t xml:space="preserve"> e sistemeve që përfitojnë mbrojtje nga finaliteti i shlyerjes</w:t>
      </w:r>
      <w:r>
        <w:rPr>
          <w:sz w:val="24"/>
          <w:szCs w:val="24"/>
        </w:rPr>
        <w:t>.</w:t>
      </w:r>
    </w:p>
    <w:p w14:paraId="0F76708F" w14:textId="42BA9E50" w:rsidR="007D4F13" w:rsidRPr="004F7CAC" w:rsidRDefault="00E7257C" w:rsidP="00805B98">
      <w:pPr>
        <w:pStyle w:val="BodyText"/>
        <w:numPr>
          <w:ilvl w:val="0"/>
          <w:numId w:val="38"/>
        </w:numPr>
        <w:tabs>
          <w:tab w:val="left" w:pos="0"/>
        </w:tabs>
        <w:spacing w:line="276" w:lineRule="auto"/>
        <w:ind w:right="48"/>
        <w:rPr>
          <w:sz w:val="24"/>
          <w:szCs w:val="24"/>
        </w:rPr>
      </w:pPr>
      <w:r>
        <w:rPr>
          <w:sz w:val="24"/>
          <w:szCs w:val="24"/>
        </w:rPr>
        <w:t>N</w:t>
      </w:r>
      <w:r w:rsidR="007D4F13" w:rsidRPr="004F7CAC">
        <w:rPr>
          <w:sz w:val="24"/>
          <w:szCs w:val="24"/>
        </w:rPr>
        <w:t>uk parashikohen mekanizma të qartë për komunikimin dhe njoftimin me autoritetet kompetente të Bashkimit Europian, në kundërshtim me kërkesat e bashkëpunimit ndërinstitucional</w:t>
      </w:r>
      <w:r>
        <w:rPr>
          <w:sz w:val="24"/>
          <w:szCs w:val="24"/>
        </w:rPr>
        <w:t>.</w:t>
      </w:r>
    </w:p>
    <w:p w14:paraId="7403DDC8" w14:textId="7466A5A8" w:rsidR="007D4F13" w:rsidRPr="004F7CAC" w:rsidRDefault="00E7257C" w:rsidP="00805B98">
      <w:pPr>
        <w:pStyle w:val="BodyText"/>
        <w:numPr>
          <w:ilvl w:val="0"/>
          <w:numId w:val="38"/>
        </w:numPr>
        <w:tabs>
          <w:tab w:val="left" w:pos="0"/>
        </w:tabs>
        <w:spacing w:line="276" w:lineRule="auto"/>
        <w:ind w:right="48"/>
        <w:rPr>
          <w:sz w:val="24"/>
          <w:szCs w:val="24"/>
        </w:rPr>
      </w:pPr>
      <w:r>
        <w:rPr>
          <w:sz w:val="24"/>
          <w:szCs w:val="24"/>
        </w:rPr>
        <w:t>N</w:t>
      </w:r>
      <w:r w:rsidR="007D4F13" w:rsidRPr="004F7CAC">
        <w:rPr>
          <w:sz w:val="24"/>
          <w:szCs w:val="24"/>
        </w:rPr>
        <w:t xml:space="preserve">uk ekziston një kuadër i plotë juridik për trajtimin e sistemeve ndërlidhura (intreporable), </w:t>
      </w:r>
      <w:r>
        <w:rPr>
          <w:sz w:val="24"/>
          <w:szCs w:val="24"/>
        </w:rPr>
        <w:t>kjo</w:t>
      </w:r>
      <w:r w:rsidR="007D4F13" w:rsidRPr="004F7CAC">
        <w:rPr>
          <w:sz w:val="24"/>
          <w:szCs w:val="24"/>
        </w:rPr>
        <w:t xml:space="preserve"> kufizon zhvillimin dhe integrimin e infrastrukturave të tregut</w:t>
      </w:r>
      <w:r>
        <w:rPr>
          <w:sz w:val="24"/>
          <w:szCs w:val="24"/>
        </w:rPr>
        <w:t>.</w:t>
      </w:r>
    </w:p>
    <w:p w14:paraId="76DD7B63" w14:textId="6509E0AE" w:rsidR="007D4F13" w:rsidRPr="004F7CAC" w:rsidRDefault="00E7257C" w:rsidP="00805B98">
      <w:pPr>
        <w:pStyle w:val="BodyText"/>
        <w:numPr>
          <w:ilvl w:val="0"/>
          <w:numId w:val="38"/>
        </w:numPr>
        <w:tabs>
          <w:tab w:val="left" w:pos="0"/>
        </w:tabs>
        <w:spacing w:line="276" w:lineRule="auto"/>
        <w:ind w:right="48"/>
        <w:rPr>
          <w:sz w:val="24"/>
          <w:szCs w:val="24"/>
        </w:rPr>
      </w:pPr>
      <w:r>
        <w:rPr>
          <w:sz w:val="24"/>
          <w:szCs w:val="24"/>
        </w:rPr>
        <w:t>T</w:t>
      </w:r>
      <w:r w:rsidR="007D4F13" w:rsidRPr="004F7CAC">
        <w:rPr>
          <w:sz w:val="24"/>
          <w:szCs w:val="24"/>
        </w:rPr>
        <w:t>rajtimi i “credit claims” si formë e kolateralit financiar mbetet i papërcaktuar, duke kufizuar përdorimin e instrumenteve bashkëkohore të menaxhimit të rrezikut</w:t>
      </w:r>
      <w:r>
        <w:rPr>
          <w:sz w:val="24"/>
          <w:szCs w:val="24"/>
        </w:rPr>
        <w:t>.</w:t>
      </w:r>
    </w:p>
    <w:p w14:paraId="04B045E5" w14:textId="004AC8D6" w:rsidR="007D4F13" w:rsidRPr="004F7CAC" w:rsidRDefault="00E7257C" w:rsidP="00805B98">
      <w:pPr>
        <w:pStyle w:val="BodyText"/>
        <w:numPr>
          <w:ilvl w:val="0"/>
          <w:numId w:val="38"/>
        </w:numPr>
        <w:tabs>
          <w:tab w:val="left" w:pos="0"/>
        </w:tabs>
        <w:spacing w:line="276" w:lineRule="auto"/>
        <w:ind w:right="48"/>
        <w:rPr>
          <w:sz w:val="24"/>
          <w:szCs w:val="24"/>
        </w:rPr>
      </w:pPr>
      <w:r>
        <w:rPr>
          <w:sz w:val="24"/>
          <w:szCs w:val="24"/>
        </w:rPr>
        <w:t>M</w:t>
      </w:r>
      <w:r w:rsidR="007D4F13" w:rsidRPr="004F7CAC">
        <w:rPr>
          <w:sz w:val="24"/>
          <w:szCs w:val="24"/>
        </w:rPr>
        <w:t>ungon një rregullim i qartë për koordinimin dhe trajtimin juridik në rastet e procedurave ndërkufitare të paaftësisë paguese, duke krijuar pasiguri në zbatim dhe rrezik për konflikt normash.</w:t>
      </w:r>
    </w:p>
    <w:p w14:paraId="79762566" w14:textId="77777777" w:rsidR="007D4F13" w:rsidRPr="004F7CAC" w:rsidRDefault="007D4F13" w:rsidP="00805B98">
      <w:pPr>
        <w:pStyle w:val="BodyText"/>
        <w:tabs>
          <w:tab w:val="left" w:pos="0"/>
        </w:tabs>
        <w:spacing w:line="276" w:lineRule="auto"/>
        <w:ind w:right="48"/>
        <w:rPr>
          <w:sz w:val="24"/>
          <w:szCs w:val="24"/>
        </w:rPr>
      </w:pPr>
    </w:p>
    <w:p w14:paraId="4485B7A2" w14:textId="77777777" w:rsidR="007D4F13" w:rsidRPr="004F7CAC" w:rsidRDefault="007D4F13" w:rsidP="00805B98">
      <w:pPr>
        <w:pStyle w:val="BodyText"/>
        <w:tabs>
          <w:tab w:val="left" w:pos="0"/>
        </w:tabs>
        <w:spacing w:line="276" w:lineRule="auto"/>
        <w:ind w:right="48"/>
        <w:rPr>
          <w:sz w:val="24"/>
          <w:szCs w:val="24"/>
        </w:rPr>
      </w:pPr>
      <w:r w:rsidRPr="004F7CAC">
        <w:rPr>
          <w:sz w:val="24"/>
          <w:szCs w:val="24"/>
        </w:rPr>
        <w:t>Në këtë situatë, vijimi me kuadrin aktual ligjor do të nënkuptonte ruajtjen e boshllëqeve rregullatore, rritjen e pasigurive juridike dhe mosrespektimin e standardeve të kërkuara nga acquis i Bashkimit Europian.</w:t>
      </w:r>
    </w:p>
    <w:p w14:paraId="5DCEB58F" w14:textId="77777777" w:rsidR="007D4F13" w:rsidRPr="004F7CAC" w:rsidRDefault="007D4F13" w:rsidP="00805B98">
      <w:pPr>
        <w:pStyle w:val="BodyText"/>
        <w:tabs>
          <w:tab w:val="left" w:pos="0"/>
        </w:tabs>
        <w:spacing w:line="276" w:lineRule="auto"/>
        <w:ind w:right="48"/>
        <w:rPr>
          <w:sz w:val="24"/>
          <w:szCs w:val="24"/>
        </w:rPr>
      </w:pPr>
    </w:p>
    <w:p w14:paraId="45922340" w14:textId="59618734" w:rsidR="0003459C" w:rsidRPr="004F7CAC" w:rsidRDefault="007D4F13" w:rsidP="00805B98">
      <w:pPr>
        <w:pStyle w:val="BodyText"/>
        <w:tabs>
          <w:tab w:val="left" w:pos="0"/>
        </w:tabs>
        <w:spacing w:line="276" w:lineRule="auto"/>
        <w:ind w:right="48"/>
        <w:rPr>
          <w:sz w:val="24"/>
          <w:szCs w:val="24"/>
        </w:rPr>
      </w:pPr>
      <w:r w:rsidRPr="004F7CAC">
        <w:rPr>
          <w:sz w:val="24"/>
          <w:szCs w:val="24"/>
        </w:rPr>
        <w:t xml:space="preserve">Për rrjedhojë, miratimi i këtij projektligji paraqitet jo vetëm si një nevojë teknike për përmirësimin e kuadrit ligjor, por si një domosdoshmëri </w:t>
      </w:r>
      <w:r w:rsidR="00B126B5" w:rsidRPr="004F7CAC">
        <w:rPr>
          <w:sz w:val="24"/>
          <w:szCs w:val="24"/>
        </w:rPr>
        <w:t>thelbësore</w:t>
      </w:r>
      <w:r w:rsidRPr="004F7CAC">
        <w:rPr>
          <w:sz w:val="24"/>
          <w:szCs w:val="24"/>
        </w:rPr>
        <w:t xml:space="preserve"> për garantimin e stabilitetit financiar, forcimin e besimit në tregjet financiare dhe përmbushjen e detyrimeve që rrjedhin nga procesi i integrimit europian të Republikës së Shqipërisë.</w:t>
      </w:r>
    </w:p>
    <w:p w14:paraId="76D2B661" w14:textId="77777777" w:rsidR="007D4F13" w:rsidRPr="004F7CAC" w:rsidRDefault="007D4F13" w:rsidP="00805B98">
      <w:pPr>
        <w:pStyle w:val="BodyText"/>
        <w:tabs>
          <w:tab w:val="left" w:pos="0"/>
        </w:tabs>
        <w:spacing w:line="276" w:lineRule="auto"/>
        <w:ind w:right="48"/>
        <w:rPr>
          <w:sz w:val="24"/>
          <w:szCs w:val="24"/>
        </w:rPr>
      </w:pPr>
    </w:p>
    <w:p w14:paraId="797368FA" w14:textId="500769B2" w:rsidR="00292B17" w:rsidRDefault="00E03C40" w:rsidP="00805B98">
      <w:pPr>
        <w:pStyle w:val="BodyText"/>
        <w:tabs>
          <w:tab w:val="left" w:pos="0"/>
        </w:tabs>
        <w:spacing w:line="276" w:lineRule="auto"/>
        <w:ind w:right="48"/>
        <w:rPr>
          <w:b/>
          <w:sz w:val="24"/>
          <w:szCs w:val="24"/>
        </w:rPr>
      </w:pPr>
      <w:r w:rsidRPr="004F7CAC">
        <w:rPr>
          <w:b/>
          <w:sz w:val="24"/>
          <w:szCs w:val="24"/>
        </w:rPr>
        <w:t>Përparësitë e projektligjit</w:t>
      </w:r>
    </w:p>
    <w:p w14:paraId="7D26435D" w14:textId="77777777" w:rsidR="00E7257C" w:rsidRPr="004F7CAC" w:rsidRDefault="00E7257C" w:rsidP="00805B98">
      <w:pPr>
        <w:pStyle w:val="BodyText"/>
        <w:tabs>
          <w:tab w:val="left" w:pos="0"/>
        </w:tabs>
        <w:spacing w:line="276" w:lineRule="auto"/>
        <w:ind w:right="48"/>
        <w:rPr>
          <w:b/>
          <w:sz w:val="24"/>
          <w:szCs w:val="24"/>
        </w:rPr>
      </w:pPr>
    </w:p>
    <w:p w14:paraId="7EA356C7" w14:textId="515E29DA" w:rsidR="0067079A" w:rsidRDefault="00114BF1" w:rsidP="00805B98">
      <w:pPr>
        <w:pStyle w:val="BodyText"/>
        <w:numPr>
          <w:ilvl w:val="0"/>
          <w:numId w:val="22"/>
        </w:numPr>
        <w:tabs>
          <w:tab w:val="left" w:pos="0"/>
        </w:tabs>
        <w:spacing w:line="276" w:lineRule="auto"/>
        <w:ind w:right="48"/>
        <w:rPr>
          <w:sz w:val="24"/>
          <w:szCs w:val="24"/>
        </w:rPr>
      </w:pPr>
      <w:r w:rsidRPr="004F7CAC">
        <w:rPr>
          <w:sz w:val="24"/>
          <w:szCs w:val="24"/>
        </w:rPr>
        <w:t xml:space="preserve">Përmbush një nga </w:t>
      </w:r>
      <w:r w:rsidRPr="00E7257C">
        <w:rPr>
          <w:sz w:val="24"/>
          <w:szCs w:val="24"/>
        </w:rPr>
        <w:t>benchmark</w:t>
      </w:r>
      <w:r w:rsidRPr="004F7CAC">
        <w:rPr>
          <w:sz w:val="24"/>
          <w:szCs w:val="24"/>
        </w:rPr>
        <w:t xml:space="preserve"> të kapitullit </w:t>
      </w:r>
      <w:r w:rsidR="007D4F13" w:rsidRPr="004F7CAC">
        <w:rPr>
          <w:sz w:val="24"/>
          <w:szCs w:val="24"/>
        </w:rPr>
        <w:t>9</w:t>
      </w:r>
      <w:r w:rsidRPr="004F7CAC">
        <w:rPr>
          <w:sz w:val="24"/>
          <w:szCs w:val="24"/>
        </w:rPr>
        <w:t xml:space="preserve"> </w:t>
      </w:r>
      <w:r w:rsidR="00E7257C">
        <w:rPr>
          <w:sz w:val="24"/>
          <w:szCs w:val="24"/>
        </w:rPr>
        <w:t>“</w:t>
      </w:r>
      <w:r w:rsidR="007D4F13" w:rsidRPr="004F7CAC">
        <w:rPr>
          <w:sz w:val="24"/>
          <w:szCs w:val="24"/>
        </w:rPr>
        <w:t>Shërbimet Financiare</w:t>
      </w:r>
      <w:r w:rsidRPr="004F7CAC">
        <w:rPr>
          <w:sz w:val="24"/>
          <w:szCs w:val="24"/>
        </w:rPr>
        <w:t>” duke mundësuar kështu arritjen e të gjitha nevojave të parashikuara p</w:t>
      </w:r>
      <w:r w:rsidR="00661320" w:rsidRPr="004F7CAC">
        <w:rPr>
          <w:sz w:val="24"/>
          <w:szCs w:val="24"/>
        </w:rPr>
        <w:t>ë</w:t>
      </w:r>
      <w:r w:rsidRPr="004F7CAC">
        <w:rPr>
          <w:sz w:val="24"/>
          <w:szCs w:val="24"/>
        </w:rPr>
        <w:t>r mbylljen e këtij kapitulli</w:t>
      </w:r>
      <w:r w:rsidR="00E7257C">
        <w:rPr>
          <w:sz w:val="24"/>
          <w:szCs w:val="24"/>
        </w:rPr>
        <w:t>,</w:t>
      </w:r>
      <w:r w:rsidRPr="004F7CAC">
        <w:rPr>
          <w:sz w:val="24"/>
          <w:szCs w:val="24"/>
        </w:rPr>
        <w:t xml:space="preserve"> përsa i përket nënkapitullit “</w:t>
      </w:r>
      <w:r w:rsidR="007D4F13" w:rsidRPr="004F7CAC">
        <w:rPr>
          <w:sz w:val="24"/>
          <w:szCs w:val="24"/>
        </w:rPr>
        <w:t>Tregjet Financiare</w:t>
      </w:r>
      <w:r w:rsidRPr="004F7CAC">
        <w:rPr>
          <w:sz w:val="24"/>
          <w:szCs w:val="24"/>
        </w:rPr>
        <w:t xml:space="preserve">”. </w:t>
      </w:r>
    </w:p>
    <w:p w14:paraId="4B87F9B0" w14:textId="77777777" w:rsidR="00596987" w:rsidRDefault="0067079A" w:rsidP="00805B98">
      <w:pPr>
        <w:pStyle w:val="BodyText"/>
        <w:numPr>
          <w:ilvl w:val="0"/>
          <w:numId w:val="22"/>
        </w:numPr>
        <w:tabs>
          <w:tab w:val="left" w:pos="0"/>
        </w:tabs>
        <w:spacing w:line="276" w:lineRule="auto"/>
        <w:ind w:right="48"/>
        <w:rPr>
          <w:sz w:val="24"/>
          <w:szCs w:val="24"/>
        </w:rPr>
      </w:pPr>
      <w:r>
        <w:rPr>
          <w:sz w:val="24"/>
          <w:szCs w:val="24"/>
        </w:rPr>
        <w:t>Plot</w:t>
      </w:r>
      <w:r w:rsidR="001D59F5">
        <w:rPr>
          <w:sz w:val="24"/>
          <w:szCs w:val="24"/>
        </w:rPr>
        <w:t>ë</w:t>
      </w:r>
      <w:r>
        <w:rPr>
          <w:sz w:val="24"/>
          <w:szCs w:val="24"/>
        </w:rPr>
        <w:t>simi i mang</w:t>
      </w:r>
      <w:r w:rsidR="001D59F5">
        <w:rPr>
          <w:sz w:val="24"/>
          <w:szCs w:val="24"/>
        </w:rPr>
        <w:t>ë</w:t>
      </w:r>
      <w:r>
        <w:rPr>
          <w:sz w:val="24"/>
          <w:szCs w:val="24"/>
        </w:rPr>
        <w:t>sive ligjore t</w:t>
      </w:r>
      <w:r w:rsidR="001D59F5">
        <w:rPr>
          <w:sz w:val="24"/>
          <w:szCs w:val="24"/>
        </w:rPr>
        <w:t>ë</w:t>
      </w:r>
      <w:r>
        <w:rPr>
          <w:sz w:val="24"/>
          <w:szCs w:val="24"/>
        </w:rPr>
        <w:t xml:space="preserve"> cilat qart</w:t>
      </w:r>
      <w:r w:rsidR="001D59F5">
        <w:rPr>
          <w:sz w:val="24"/>
          <w:szCs w:val="24"/>
        </w:rPr>
        <w:t>ë</w:t>
      </w:r>
      <w:r>
        <w:rPr>
          <w:sz w:val="24"/>
          <w:szCs w:val="24"/>
        </w:rPr>
        <w:t>sojn</w:t>
      </w:r>
      <w:r w:rsidR="001D59F5">
        <w:rPr>
          <w:sz w:val="24"/>
          <w:szCs w:val="24"/>
        </w:rPr>
        <w:t>ë</w:t>
      </w:r>
      <w:r>
        <w:rPr>
          <w:sz w:val="24"/>
          <w:szCs w:val="24"/>
        </w:rPr>
        <w:t xml:space="preserve"> statusin juridik dhe mbrojtjen e sistemeve me finalitet shlyerjeje n</w:t>
      </w:r>
      <w:r w:rsidR="001D59F5">
        <w:rPr>
          <w:sz w:val="24"/>
          <w:szCs w:val="24"/>
        </w:rPr>
        <w:t>ë</w:t>
      </w:r>
      <w:r>
        <w:rPr>
          <w:sz w:val="24"/>
          <w:szCs w:val="24"/>
        </w:rPr>
        <w:t xml:space="preserve"> vend</w:t>
      </w:r>
      <w:r w:rsidR="00596987">
        <w:rPr>
          <w:sz w:val="24"/>
          <w:szCs w:val="24"/>
        </w:rPr>
        <w:t>.</w:t>
      </w:r>
    </w:p>
    <w:p w14:paraId="3D2A9DA1" w14:textId="45064551" w:rsidR="006D4936" w:rsidRPr="004F7CAC" w:rsidRDefault="00663D55" w:rsidP="00805B98">
      <w:pPr>
        <w:pStyle w:val="BodyText"/>
        <w:numPr>
          <w:ilvl w:val="0"/>
          <w:numId w:val="22"/>
        </w:numPr>
        <w:tabs>
          <w:tab w:val="left" w:pos="0"/>
        </w:tabs>
        <w:spacing w:line="276" w:lineRule="auto"/>
        <w:ind w:right="48"/>
        <w:rPr>
          <w:sz w:val="24"/>
          <w:szCs w:val="24"/>
        </w:rPr>
      </w:pPr>
      <w:r w:rsidRPr="00663D55">
        <w:rPr>
          <w:sz w:val="24"/>
          <w:szCs w:val="24"/>
        </w:rPr>
        <w:lastRenderedPageBreak/>
        <w:t>Zgjerimi i përdorimit të instrumenteve financiare, përmes njohjes ligjore të pretendimeve kreditore (</w:t>
      </w:r>
      <w:r w:rsidRPr="00845E84">
        <w:rPr>
          <w:i/>
          <w:iCs/>
          <w:sz w:val="24"/>
          <w:szCs w:val="24"/>
        </w:rPr>
        <w:t>credit claims</w:t>
      </w:r>
      <w:r w:rsidRPr="00663D55">
        <w:rPr>
          <w:sz w:val="24"/>
          <w:szCs w:val="24"/>
        </w:rPr>
        <w:t xml:space="preserve">) si formë e re dhe e pranuar e kolateralit financiar dhe përmirësimi </w:t>
      </w:r>
      <w:r>
        <w:rPr>
          <w:sz w:val="24"/>
          <w:szCs w:val="24"/>
        </w:rPr>
        <w:t>i</w:t>
      </w:r>
      <w:r w:rsidRPr="00663D55">
        <w:rPr>
          <w:sz w:val="24"/>
          <w:szCs w:val="24"/>
        </w:rPr>
        <w:t xml:space="preserve"> kuadrit të përgjithshëm për marrëveshjet e kolateralit</w:t>
      </w:r>
      <w:r>
        <w:rPr>
          <w:sz w:val="24"/>
          <w:szCs w:val="24"/>
        </w:rPr>
        <w:t xml:space="preserve"> financiar.</w:t>
      </w:r>
      <w:r w:rsidRPr="00663D55">
        <w:rPr>
          <w:sz w:val="24"/>
          <w:szCs w:val="24"/>
        </w:rPr>
        <w:t xml:space="preserve"> </w:t>
      </w:r>
      <w:r w:rsidR="007D4F13" w:rsidRPr="004F7CAC">
        <w:rPr>
          <w:sz w:val="24"/>
          <w:szCs w:val="24"/>
        </w:rPr>
        <w:t>Krijon bazën ligjore për marrjen e opinionit të ISDA-së për Shqipërinë, si një element kyç për zhvillimin e tregjeve financiare, rritjen e besueshmërisë së juridiksionit dhe zgjerimin e përdorimit të instrumenteve financiare.</w:t>
      </w:r>
    </w:p>
    <w:p w14:paraId="088530EB" w14:textId="77777777" w:rsidR="007D4F13" w:rsidRPr="004F7CAC" w:rsidRDefault="007D4F13" w:rsidP="00805B98">
      <w:pPr>
        <w:pStyle w:val="BodyText"/>
        <w:tabs>
          <w:tab w:val="left" w:pos="0"/>
        </w:tabs>
        <w:spacing w:line="276" w:lineRule="auto"/>
        <w:ind w:left="540" w:right="48"/>
        <w:rPr>
          <w:sz w:val="24"/>
          <w:szCs w:val="24"/>
        </w:rPr>
      </w:pPr>
    </w:p>
    <w:p w14:paraId="3EC48C43" w14:textId="2478792C" w:rsidR="00292B17" w:rsidRPr="004F7CAC" w:rsidRDefault="00E03C40" w:rsidP="00805B98">
      <w:pPr>
        <w:pStyle w:val="BodyText"/>
        <w:tabs>
          <w:tab w:val="left" w:pos="0"/>
        </w:tabs>
        <w:spacing w:line="276" w:lineRule="auto"/>
        <w:ind w:right="48"/>
        <w:rPr>
          <w:b/>
          <w:sz w:val="24"/>
          <w:szCs w:val="24"/>
        </w:rPr>
      </w:pPr>
      <w:r w:rsidRPr="004F7CAC">
        <w:rPr>
          <w:b/>
          <w:sz w:val="24"/>
          <w:szCs w:val="24"/>
        </w:rPr>
        <w:t>Efektet e pritshme</w:t>
      </w:r>
    </w:p>
    <w:p w14:paraId="6759316A" w14:textId="77777777" w:rsidR="001157E9" w:rsidRPr="004F7CAC" w:rsidRDefault="001157E9" w:rsidP="00805B98">
      <w:pPr>
        <w:pStyle w:val="BodyText"/>
        <w:tabs>
          <w:tab w:val="left" w:pos="0"/>
        </w:tabs>
        <w:spacing w:line="276" w:lineRule="auto"/>
        <w:ind w:right="48"/>
        <w:rPr>
          <w:sz w:val="24"/>
          <w:szCs w:val="24"/>
        </w:rPr>
      </w:pPr>
    </w:p>
    <w:p w14:paraId="2C9EF942" w14:textId="77777777" w:rsidR="00B126B5" w:rsidRPr="004F7CAC" w:rsidRDefault="00B126B5" w:rsidP="00805B98">
      <w:pPr>
        <w:pStyle w:val="BodyText"/>
        <w:tabs>
          <w:tab w:val="left" w:pos="0"/>
        </w:tabs>
        <w:spacing w:line="276" w:lineRule="auto"/>
        <w:ind w:right="48"/>
        <w:rPr>
          <w:sz w:val="24"/>
          <w:szCs w:val="24"/>
        </w:rPr>
      </w:pPr>
      <w:r w:rsidRPr="004F7CAC">
        <w:rPr>
          <w:sz w:val="24"/>
          <w:szCs w:val="24"/>
        </w:rPr>
        <w:t>Miratimi i këtij projektligji pritet të sjellë një sërë efektesh pozitive në funksionimin dhe zhvillimin e tregut financiar në Republikën e Shqipërisë, si më poshtë:</w:t>
      </w:r>
    </w:p>
    <w:p w14:paraId="7FA4D349" w14:textId="77777777" w:rsidR="00B126B5" w:rsidRPr="004F7CAC" w:rsidRDefault="00B126B5" w:rsidP="00805B98">
      <w:pPr>
        <w:pStyle w:val="BodyText"/>
        <w:tabs>
          <w:tab w:val="left" w:pos="0"/>
        </w:tabs>
        <w:spacing w:line="276" w:lineRule="auto"/>
        <w:ind w:right="48"/>
        <w:rPr>
          <w:sz w:val="24"/>
          <w:szCs w:val="24"/>
        </w:rPr>
      </w:pPr>
    </w:p>
    <w:p w14:paraId="1F8B918A" w14:textId="5301C33D" w:rsidR="00B126B5" w:rsidRPr="004F7CAC" w:rsidRDefault="00B126B5" w:rsidP="00805B98">
      <w:pPr>
        <w:pStyle w:val="BodyText"/>
        <w:numPr>
          <w:ilvl w:val="0"/>
          <w:numId w:val="39"/>
        </w:numPr>
        <w:tabs>
          <w:tab w:val="left" w:pos="0"/>
        </w:tabs>
        <w:spacing w:line="276" w:lineRule="auto"/>
        <w:ind w:right="48"/>
        <w:rPr>
          <w:sz w:val="24"/>
          <w:szCs w:val="24"/>
        </w:rPr>
      </w:pPr>
      <w:r w:rsidRPr="004F7CAC">
        <w:rPr>
          <w:sz w:val="24"/>
          <w:szCs w:val="24"/>
        </w:rPr>
        <w:t>Forcimin e stabilitetit financiar, përmes rritjes së sigurisë dhe qëndrueshmërisë së sistemeve të pagesave dhe të shlyerjes së letrave me vlerë</w:t>
      </w:r>
      <w:r w:rsidR="000E5C89">
        <w:rPr>
          <w:sz w:val="24"/>
          <w:szCs w:val="24"/>
        </w:rPr>
        <w:t>.</w:t>
      </w:r>
    </w:p>
    <w:p w14:paraId="424AF4E0" w14:textId="2E61984A" w:rsidR="00B126B5" w:rsidRPr="004F7CAC" w:rsidRDefault="00B126B5" w:rsidP="00805B98">
      <w:pPr>
        <w:pStyle w:val="BodyText"/>
        <w:numPr>
          <w:ilvl w:val="0"/>
          <w:numId w:val="39"/>
        </w:numPr>
        <w:tabs>
          <w:tab w:val="left" w:pos="0"/>
        </w:tabs>
        <w:spacing w:line="276" w:lineRule="auto"/>
        <w:ind w:right="48"/>
        <w:rPr>
          <w:sz w:val="24"/>
          <w:szCs w:val="24"/>
        </w:rPr>
      </w:pPr>
      <w:r w:rsidRPr="004F7CAC">
        <w:rPr>
          <w:sz w:val="24"/>
          <w:szCs w:val="24"/>
        </w:rPr>
        <w:t>Rritjen e sigurisë juridike në transaksionet financiare, duke garantuar qartësi dhe mbrojtje më të madhe për pjesëmarrësit në sisteme</w:t>
      </w:r>
      <w:r w:rsidR="000E5C89">
        <w:rPr>
          <w:sz w:val="24"/>
          <w:szCs w:val="24"/>
        </w:rPr>
        <w:t>.</w:t>
      </w:r>
    </w:p>
    <w:p w14:paraId="3E67491F" w14:textId="60C04DF6" w:rsidR="00B126B5" w:rsidRPr="004F7CAC" w:rsidRDefault="00B126B5" w:rsidP="00805B98">
      <w:pPr>
        <w:pStyle w:val="BodyText"/>
        <w:numPr>
          <w:ilvl w:val="0"/>
          <w:numId w:val="39"/>
        </w:numPr>
        <w:tabs>
          <w:tab w:val="left" w:pos="0"/>
        </w:tabs>
        <w:spacing w:line="276" w:lineRule="auto"/>
        <w:ind w:right="48"/>
        <w:rPr>
          <w:sz w:val="24"/>
          <w:szCs w:val="24"/>
        </w:rPr>
      </w:pPr>
      <w:r w:rsidRPr="004F7CAC">
        <w:rPr>
          <w:sz w:val="24"/>
          <w:szCs w:val="24"/>
        </w:rPr>
        <w:t xml:space="preserve">Përafrimin e plotë me </w:t>
      </w:r>
      <w:r w:rsidRPr="000E5C89">
        <w:rPr>
          <w:sz w:val="24"/>
          <w:szCs w:val="24"/>
        </w:rPr>
        <w:t>acquis</w:t>
      </w:r>
      <w:r w:rsidRPr="004F7CAC">
        <w:rPr>
          <w:sz w:val="24"/>
          <w:szCs w:val="24"/>
        </w:rPr>
        <w:t xml:space="preserve"> të Bashkimit Europian, në fushën e sistemeve të pagesave, kolateralit financiar dhe infrastrukturave të tregjeve financiare</w:t>
      </w:r>
      <w:r w:rsidR="000E5C89">
        <w:rPr>
          <w:sz w:val="24"/>
          <w:szCs w:val="24"/>
        </w:rPr>
        <w:t>.</w:t>
      </w:r>
    </w:p>
    <w:p w14:paraId="4E0776D1" w14:textId="455976EB" w:rsidR="00B126B5" w:rsidRPr="004F7CAC" w:rsidRDefault="00B126B5" w:rsidP="00805B98">
      <w:pPr>
        <w:pStyle w:val="BodyText"/>
        <w:numPr>
          <w:ilvl w:val="0"/>
          <w:numId w:val="39"/>
        </w:numPr>
        <w:tabs>
          <w:tab w:val="left" w:pos="0"/>
        </w:tabs>
        <w:spacing w:line="276" w:lineRule="auto"/>
        <w:ind w:right="48"/>
        <w:rPr>
          <w:sz w:val="24"/>
          <w:szCs w:val="24"/>
        </w:rPr>
      </w:pPr>
      <w:r w:rsidRPr="004F7CAC">
        <w:rPr>
          <w:sz w:val="24"/>
          <w:szCs w:val="24"/>
        </w:rPr>
        <w:t>Lehtësimin e integrimit të tregut financiar shqiptar me tregjet europiane, duke krijuar kushtet për ndërveprim më të sigurt dhe efikas me sistemet ndërkombëtare</w:t>
      </w:r>
      <w:r w:rsidR="000E5C89">
        <w:rPr>
          <w:sz w:val="24"/>
          <w:szCs w:val="24"/>
        </w:rPr>
        <w:t>.</w:t>
      </w:r>
    </w:p>
    <w:p w14:paraId="48713828" w14:textId="71DAD82E" w:rsidR="00B126B5" w:rsidRPr="004F7CAC" w:rsidRDefault="00B126B5" w:rsidP="00805B98">
      <w:pPr>
        <w:pStyle w:val="BodyText"/>
        <w:numPr>
          <w:ilvl w:val="0"/>
          <w:numId w:val="39"/>
        </w:numPr>
        <w:tabs>
          <w:tab w:val="left" w:pos="0"/>
        </w:tabs>
        <w:spacing w:line="276" w:lineRule="auto"/>
        <w:ind w:right="48"/>
        <w:rPr>
          <w:sz w:val="24"/>
          <w:szCs w:val="24"/>
        </w:rPr>
      </w:pPr>
      <w:r w:rsidRPr="004F7CAC">
        <w:rPr>
          <w:sz w:val="24"/>
          <w:szCs w:val="24"/>
        </w:rPr>
        <w:t>Zhvillimi i mëtejshëm i infrastrukturave financiare, veçanërisht në drejtim të sistemeve ndërvepruese dhe inovacionit në pagesa</w:t>
      </w:r>
      <w:r w:rsidR="000E5C89">
        <w:rPr>
          <w:sz w:val="24"/>
          <w:szCs w:val="24"/>
        </w:rPr>
        <w:t>.</w:t>
      </w:r>
    </w:p>
    <w:p w14:paraId="1236881D" w14:textId="0037953E" w:rsidR="00B126B5" w:rsidRPr="004F7CAC" w:rsidRDefault="00596987" w:rsidP="00805B98">
      <w:pPr>
        <w:pStyle w:val="BodyText"/>
        <w:numPr>
          <w:ilvl w:val="0"/>
          <w:numId w:val="39"/>
        </w:numPr>
        <w:tabs>
          <w:tab w:val="left" w:pos="0"/>
        </w:tabs>
        <w:spacing w:line="276" w:lineRule="auto"/>
        <w:ind w:right="48"/>
        <w:rPr>
          <w:sz w:val="24"/>
          <w:szCs w:val="24"/>
        </w:rPr>
      </w:pPr>
      <w:r>
        <w:rPr>
          <w:sz w:val="24"/>
          <w:szCs w:val="24"/>
        </w:rPr>
        <w:t>P</w:t>
      </w:r>
      <w:r w:rsidRPr="00596987">
        <w:rPr>
          <w:sz w:val="24"/>
          <w:szCs w:val="24"/>
        </w:rPr>
        <w:t xml:space="preserve">ërfshirja e </w:t>
      </w:r>
      <w:r w:rsidR="000631F8">
        <w:rPr>
          <w:sz w:val="24"/>
          <w:szCs w:val="24"/>
        </w:rPr>
        <w:t>pretendimeve kreditore (</w:t>
      </w:r>
      <w:r w:rsidRPr="00845E84">
        <w:rPr>
          <w:i/>
          <w:iCs/>
          <w:sz w:val="24"/>
          <w:szCs w:val="24"/>
        </w:rPr>
        <w:t>credit claims</w:t>
      </w:r>
      <w:r w:rsidR="000631F8">
        <w:rPr>
          <w:i/>
          <w:iCs/>
          <w:sz w:val="24"/>
          <w:szCs w:val="24"/>
        </w:rPr>
        <w:t>)</w:t>
      </w:r>
      <w:r w:rsidRPr="00596987">
        <w:rPr>
          <w:sz w:val="24"/>
          <w:szCs w:val="24"/>
        </w:rPr>
        <w:t xml:space="preserve"> si kolateral financiar krijon mundësinë që bankat</w:t>
      </w:r>
      <w:r w:rsidR="000631F8">
        <w:rPr>
          <w:sz w:val="24"/>
          <w:szCs w:val="24"/>
        </w:rPr>
        <w:t>/institucionet e kreditit</w:t>
      </w:r>
      <w:r w:rsidRPr="00596987">
        <w:rPr>
          <w:sz w:val="24"/>
          <w:szCs w:val="24"/>
        </w:rPr>
        <w:t xml:space="preserve"> dhe institucionet e tjera financiare të</w:t>
      </w:r>
      <w:r w:rsidR="00663D55">
        <w:rPr>
          <w:sz w:val="24"/>
          <w:szCs w:val="24"/>
        </w:rPr>
        <w:t xml:space="preserve"> zgjerojnë gamën e </w:t>
      </w:r>
      <w:r w:rsidRPr="00596987">
        <w:rPr>
          <w:sz w:val="24"/>
          <w:szCs w:val="24"/>
        </w:rPr>
        <w:t xml:space="preserve"> aktive</w:t>
      </w:r>
      <w:r w:rsidR="00663D55">
        <w:rPr>
          <w:sz w:val="24"/>
          <w:szCs w:val="24"/>
        </w:rPr>
        <w:t>ve</w:t>
      </w:r>
      <w:r w:rsidRPr="00596987">
        <w:rPr>
          <w:sz w:val="24"/>
          <w:szCs w:val="24"/>
        </w:rPr>
        <w:t xml:space="preserve"> </w:t>
      </w:r>
      <w:r w:rsidR="00663D55">
        <w:rPr>
          <w:sz w:val="24"/>
          <w:szCs w:val="24"/>
        </w:rPr>
        <w:t xml:space="preserve">duke </w:t>
      </w:r>
      <w:r w:rsidRPr="00596987">
        <w:rPr>
          <w:sz w:val="24"/>
          <w:szCs w:val="24"/>
        </w:rPr>
        <w:t xml:space="preserve">rritur likuiditetin, efikasitetin e </w:t>
      </w:r>
      <w:r w:rsidR="00663D55">
        <w:rPr>
          <w:sz w:val="24"/>
          <w:szCs w:val="24"/>
        </w:rPr>
        <w:t xml:space="preserve">administrimit të </w:t>
      </w:r>
      <w:r w:rsidRPr="00596987">
        <w:rPr>
          <w:sz w:val="24"/>
          <w:szCs w:val="24"/>
        </w:rPr>
        <w:t>rrezikut dhe aksesin në financim</w:t>
      </w:r>
      <w:r w:rsidR="000E5C89">
        <w:rPr>
          <w:sz w:val="24"/>
          <w:szCs w:val="24"/>
        </w:rPr>
        <w:t>.</w:t>
      </w:r>
    </w:p>
    <w:p w14:paraId="2FAD38DF" w14:textId="16DE839B" w:rsidR="00B126B5" w:rsidRPr="004F7CAC" w:rsidRDefault="00B126B5" w:rsidP="00805B98">
      <w:pPr>
        <w:pStyle w:val="BodyText"/>
        <w:numPr>
          <w:ilvl w:val="0"/>
          <w:numId w:val="39"/>
        </w:numPr>
        <w:tabs>
          <w:tab w:val="left" w:pos="0"/>
        </w:tabs>
        <w:spacing w:line="276" w:lineRule="auto"/>
        <w:ind w:right="48"/>
        <w:rPr>
          <w:sz w:val="24"/>
          <w:szCs w:val="24"/>
        </w:rPr>
      </w:pPr>
      <w:r w:rsidRPr="004F7CAC">
        <w:rPr>
          <w:sz w:val="24"/>
          <w:szCs w:val="24"/>
        </w:rPr>
        <w:t>Rritjen e besueshmërisë së juridiksionit shqiptar për investitorët vendas dhe të huaj, duke përmirësuar klimën e biznesit dhe duke ulur rreziqet ligjore</w:t>
      </w:r>
      <w:r w:rsidR="000E5C89">
        <w:rPr>
          <w:sz w:val="24"/>
          <w:szCs w:val="24"/>
        </w:rPr>
        <w:t>.</w:t>
      </w:r>
    </w:p>
    <w:p w14:paraId="4320F849" w14:textId="45E01889" w:rsidR="00B126B5" w:rsidRPr="004F7CAC" w:rsidRDefault="00B126B5" w:rsidP="00805B98">
      <w:pPr>
        <w:pStyle w:val="BodyText"/>
        <w:numPr>
          <w:ilvl w:val="0"/>
          <w:numId w:val="39"/>
        </w:numPr>
        <w:tabs>
          <w:tab w:val="left" w:pos="0"/>
        </w:tabs>
        <w:spacing w:line="276" w:lineRule="auto"/>
        <w:ind w:right="48"/>
        <w:rPr>
          <w:sz w:val="24"/>
          <w:szCs w:val="24"/>
        </w:rPr>
      </w:pPr>
      <w:r w:rsidRPr="004F7CAC">
        <w:rPr>
          <w:sz w:val="24"/>
          <w:szCs w:val="24"/>
        </w:rPr>
        <w:t>Mundësimin e marrjes së opinionit të ISDA-së për Shqipërinë, duke kontribuar në zhvillimin e tregjeve dhe instrumenteve financiare dhe në integrimin me tregjet ndërkombëtare</w:t>
      </w:r>
      <w:r w:rsidR="000E5C89">
        <w:rPr>
          <w:sz w:val="24"/>
          <w:szCs w:val="24"/>
        </w:rPr>
        <w:t>.</w:t>
      </w:r>
    </w:p>
    <w:p w14:paraId="77B7695F" w14:textId="20B44E97" w:rsidR="00B126B5" w:rsidRPr="004F7CAC" w:rsidRDefault="00B126B5" w:rsidP="00805B98">
      <w:pPr>
        <w:pStyle w:val="BodyText"/>
        <w:numPr>
          <w:ilvl w:val="0"/>
          <w:numId w:val="39"/>
        </w:numPr>
        <w:tabs>
          <w:tab w:val="left" w:pos="0"/>
        </w:tabs>
        <w:spacing w:line="276" w:lineRule="auto"/>
        <w:ind w:right="48"/>
        <w:rPr>
          <w:sz w:val="24"/>
          <w:szCs w:val="24"/>
        </w:rPr>
      </w:pPr>
      <w:r w:rsidRPr="004F7CAC">
        <w:rPr>
          <w:sz w:val="24"/>
          <w:szCs w:val="24"/>
        </w:rPr>
        <w:t>Përmirësimi i menaxhimit të rreziqeve sistemike, përmes rregullimit më të plotë të finalitetit të shlyerjes dhe trajtimit të situatave të paaftësisë paguese, përfshirë ato ndërkufitare</w:t>
      </w:r>
      <w:r w:rsidR="000E5C89">
        <w:rPr>
          <w:sz w:val="24"/>
          <w:szCs w:val="24"/>
        </w:rPr>
        <w:t>.</w:t>
      </w:r>
    </w:p>
    <w:p w14:paraId="6B010346" w14:textId="59ADB2F6" w:rsidR="007D4F13" w:rsidRPr="004F7CAC" w:rsidRDefault="00B126B5" w:rsidP="00805B98">
      <w:pPr>
        <w:pStyle w:val="BodyText"/>
        <w:numPr>
          <w:ilvl w:val="0"/>
          <w:numId w:val="39"/>
        </w:numPr>
        <w:tabs>
          <w:tab w:val="left" w:pos="0"/>
        </w:tabs>
        <w:spacing w:line="276" w:lineRule="auto"/>
        <w:ind w:right="48"/>
        <w:rPr>
          <w:sz w:val="24"/>
          <w:szCs w:val="24"/>
        </w:rPr>
      </w:pPr>
      <w:r w:rsidRPr="004F7CAC">
        <w:rPr>
          <w:sz w:val="24"/>
          <w:szCs w:val="24"/>
        </w:rPr>
        <w:t>Rritja e efikasitetit dhe shpejtësisë së shlyerjes së pagesave, në përputhje me zhvillimet më të fundit europiane, përfshirë pagesat e menjëhershme (instant payments).</w:t>
      </w:r>
    </w:p>
    <w:p w14:paraId="54920C82" w14:textId="77777777" w:rsidR="007D4F13" w:rsidRPr="004F7CAC" w:rsidRDefault="007D4F13" w:rsidP="00805B98">
      <w:pPr>
        <w:pStyle w:val="BodyText"/>
        <w:tabs>
          <w:tab w:val="left" w:pos="0"/>
        </w:tabs>
        <w:spacing w:line="276" w:lineRule="auto"/>
        <w:ind w:right="48"/>
        <w:rPr>
          <w:sz w:val="24"/>
          <w:szCs w:val="24"/>
        </w:rPr>
      </w:pPr>
    </w:p>
    <w:p w14:paraId="0D2B3860" w14:textId="77777777" w:rsidR="008E0EFC" w:rsidRPr="004F7CAC" w:rsidRDefault="00E94EBD" w:rsidP="00805B98">
      <w:pPr>
        <w:pStyle w:val="ListParagraph"/>
        <w:numPr>
          <w:ilvl w:val="0"/>
          <w:numId w:val="13"/>
        </w:numPr>
        <w:tabs>
          <w:tab w:val="left" w:pos="0"/>
        </w:tabs>
        <w:spacing w:line="276" w:lineRule="auto"/>
        <w:ind w:left="0" w:right="48" w:firstLine="0"/>
        <w:jc w:val="both"/>
        <w:rPr>
          <w:b/>
          <w:sz w:val="24"/>
          <w:szCs w:val="24"/>
        </w:rPr>
      </w:pPr>
      <w:r w:rsidRPr="004F7CAC">
        <w:rPr>
          <w:b/>
          <w:sz w:val="24"/>
          <w:szCs w:val="24"/>
        </w:rPr>
        <w:t>VLERËSIMI I LIGJSHMËRISË, KUSHTETUTSHMËRISË DHE HARMONIZIMI ME LEGJISLACIONIN</w:t>
      </w:r>
      <w:r w:rsidRPr="004F7CAC">
        <w:rPr>
          <w:b/>
          <w:spacing w:val="40"/>
          <w:sz w:val="24"/>
          <w:szCs w:val="24"/>
        </w:rPr>
        <w:t xml:space="preserve"> </w:t>
      </w:r>
      <w:r w:rsidRPr="004F7CAC">
        <w:rPr>
          <w:b/>
          <w:sz w:val="24"/>
          <w:szCs w:val="24"/>
        </w:rPr>
        <w:t xml:space="preserve">NË FUQI, VENDAS E </w:t>
      </w:r>
      <w:r w:rsidRPr="004F7CAC">
        <w:rPr>
          <w:b/>
          <w:spacing w:val="-2"/>
          <w:sz w:val="24"/>
          <w:szCs w:val="24"/>
        </w:rPr>
        <w:t>NDËRKOMBËTAR</w:t>
      </w:r>
    </w:p>
    <w:p w14:paraId="46534AFF" w14:textId="77777777" w:rsidR="00376EA8" w:rsidRPr="004F7CAC" w:rsidRDefault="00376EA8" w:rsidP="00805B98">
      <w:pPr>
        <w:pStyle w:val="ListParagraph"/>
        <w:tabs>
          <w:tab w:val="left" w:pos="0"/>
        </w:tabs>
        <w:spacing w:line="276" w:lineRule="auto"/>
        <w:ind w:left="0" w:right="48" w:firstLine="0"/>
        <w:rPr>
          <w:b/>
          <w:sz w:val="24"/>
          <w:szCs w:val="24"/>
        </w:rPr>
      </w:pPr>
    </w:p>
    <w:p w14:paraId="45C6E0AA" w14:textId="4A17F85A" w:rsidR="00716C24" w:rsidRPr="000E5C89" w:rsidRDefault="00CB0096" w:rsidP="00805B98">
      <w:pPr>
        <w:pStyle w:val="BodyText"/>
        <w:spacing w:line="276" w:lineRule="auto"/>
        <w:ind w:right="48"/>
        <w:rPr>
          <w:bCs/>
          <w:sz w:val="24"/>
          <w:szCs w:val="24"/>
        </w:rPr>
      </w:pPr>
      <w:r w:rsidRPr="004F7CAC">
        <w:rPr>
          <w:bCs/>
          <w:sz w:val="24"/>
          <w:szCs w:val="24"/>
        </w:rPr>
        <w:t xml:space="preserve">Projektligji mbështetet në nenet </w:t>
      </w:r>
      <w:r w:rsidRPr="009F0719">
        <w:rPr>
          <w:bCs/>
          <w:sz w:val="24"/>
          <w:szCs w:val="24"/>
        </w:rPr>
        <w:t>78 dhe 83, pika 1,</w:t>
      </w:r>
      <w:r w:rsidRPr="004F7CAC">
        <w:rPr>
          <w:bCs/>
          <w:sz w:val="24"/>
          <w:szCs w:val="24"/>
        </w:rPr>
        <w:t xml:space="preserve"> të Kushtetutës</w:t>
      </w:r>
      <w:r w:rsidR="000E5C89">
        <w:rPr>
          <w:bCs/>
          <w:sz w:val="24"/>
          <w:szCs w:val="24"/>
        </w:rPr>
        <w:t xml:space="preserve"> së Republikës së Shqipërisë</w:t>
      </w:r>
      <w:r w:rsidR="00962438" w:rsidRPr="004F7CAC">
        <w:rPr>
          <w:bCs/>
          <w:sz w:val="24"/>
          <w:szCs w:val="24"/>
        </w:rPr>
        <w:t>.</w:t>
      </w:r>
      <w:r w:rsidR="00F029DE" w:rsidRPr="004F7CAC">
        <w:rPr>
          <w:bCs/>
          <w:sz w:val="24"/>
          <w:szCs w:val="24"/>
        </w:rPr>
        <w:t xml:space="preserve"> </w:t>
      </w:r>
    </w:p>
    <w:p w14:paraId="280B049E" w14:textId="4FBDEC44" w:rsidR="00716C24" w:rsidRPr="001C70CA" w:rsidRDefault="00E94EBD" w:rsidP="001C70CA">
      <w:pPr>
        <w:pStyle w:val="ListParagraph"/>
        <w:widowControl/>
        <w:numPr>
          <w:ilvl w:val="0"/>
          <w:numId w:val="13"/>
        </w:numPr>
        <w:autoSpaceDE/>
        <w:autoSpaceDN/>
        <w:spacing w:after="200" w:line="276" w:lineRule="auto"/>
        <w:contextualSpacing/>
        <w:jc w:val="both"/>
        <w:rPr>
          <w:b/>
          <w:sz w:val="24"/>
          <w:szCs w:val="24"/>
        </w:rPr>
      </w:pPr>
      <w:r w:rsidRPr="001C70CA">
        <w:rPr>
          <w:b/>
          <w:sz w:val="24"/>
          <w:szCs w:val="24"/>
        </w:rPr>
        <w:lastRenderedPageBreak/>
        <w:t>VLERËSIMI</w:t>
      </w:r>
      <w:r w:rsidRPr="001C70CA">
        <w:rPr>
          <w:b/>
          <w:spacing w:val="80"/>
          <w:sz w:val="24"/>
          <w:szCs w:val="24"/>
        </w:rPr>
        <w:t xml:space="preserve"> </w:t>
      </w:r>
      <w:r w:rsidRPr="001C70CA">
        <w:rPr>
          <w:b/>
          <w:sz w:val="24"/>
          <w:szCs w:val="24"/>
        </w:rPr>
        <w:t>I</w:t>
      </w:r>
      <w:r w:rsidRPr="001C70CA">
        <w:rPr>
          <w:b/>
          <w:spacing w:val="80"/>
          <w:sz w:val="24"/>
          <w:szCs w:val="24"/>
        </w:rPr>
        <w:t xml:space="preserve"> </w:t>
      </w:r>
      <w:r w:rsidRPr="001C70CA">
        <w:rPr>
          <w:b/>
          <w:sz w:val="24"/>
          <w:szCs w:val="24"/>
        </w:rPr>
        <w:t>SHKALLËS</w:t>
      </w:r>
      <w:r w:rsidRPr="001C70CA">
        <w:rPr>
          <w:b/>
          <w:spacing w:val="80"/>
          <w:sz w:val="24"/>
          <w:szCs w:val="24"/>
        </w:rPr>
        <w:t xml:space="preserve"> </w:t>
      </w:r>
      <w:r w:rsidRPr="001C70CA">
        <w:rPr>
          <w:b/>
          <w:sz w:val="24"/>
          <w:szCs w:val="24"/>
        </w:rPr>
        <w:t>SË</w:t>
      </w:r>
      <w:r w:rsidRPr="001C70CA">
        <w:rPr>
          <w:b/>
          <w:spacing w:val="80"/>
          <w:sz w:val="24"/>
          <w:szCs w:val="24"/>
        </w:rPr>
        <w:t xml:space="preserve"> </w:t>
      </w:r>
      <w:r w:rsidRPr="001C70CA">
        <w:rPr>
          <w:b/>
          <w:sz w:val="24"/>
          <w:szCs w:val="24"/>
        </w:rPr>
        <w:t>PËRAFRIMIT</w:t>
      </w:r>
      <w:r w:rsidRPr="001C70CA">
        <w:rPr>
          <w:b/>
          <w:spacing w:val="80"/>
          <w:sz w:val="24"/>
          <w:szCs w:val="24"/>
        </w:rPr>
        <w:t xml:space="preserve"> </w:t>
      </w:r>
      <w:r w:rsidRPr="001C70CA">
        <w:rPr>
          <w:b/>
          <w:sz w:val="24"/>
          <w:szCs w:val="24"/>
        </w:rPr>
        <w:t>ME</w:t>
      </w:r>
      <w:r w:rsidR="00A60C56" w:rsidRPr="001C70CA">
        <w:rPr>
          <w:b/>
          <w:spacing w:val="80"/>
          <w:sz w:val="24"/>
          <w:szCs w:val="24"/>
        </w:rPr>
        <w:t xml:space="preserve"> </w:t>
      </w:r>
      <w:r w:rsidRPr="001C70CA">
        <w:rPr>
          <w:b/>
          <w:sz w:val="24"/>
          <w:szCs w:val="24"/>
        </w:rPr>
        <w:t>ACQUIS</w:t>
      </w:r>
      <w:r w:rsidRPr="001C70CA">
        <w:rPr>
          <w:b/>
          <w:spacing w:val="80"/>
          <w:sz w:val="24"/>
          <w:szCs w:val="24"/>
        </w:rPr>
        <w:t xml:space="preserve"> </w:t>
      </w:r>
      <w:r w:rsidR="001C70CA" w:rsidRPr="001C70CA">
        <w:rPr>
          <w:b/>
          <w:i/>
          <w:sz w:val="24"/>
          <w:szCs w:val="24"/>
        </w:rPr>
        <w:t xml:space="preserve">COMMUNAUTAIRE </w:t>
      </w:r>
      <w:r w:rsidR="001C70CA" w:rsidRPr="001C70CA">
        <w:rPr>
          <w:b/>
          <w:sz w:val="24"/>
          <w:szCs w:val="24"/>
        </w:rPr>
        <w:t>(PËR PROJEKTAKET NORMATIVE)</w:t>
      </w:r>
    </w:p>
    <w:p w14:paraId="3DA520DA" w14:textId="149F7D39" w:rsidR="00B126B5" w:rsidRPr="004F7CAC" w:rsidRDefault="00B126B5" w:rsidP="000E5C89">
      <w:pPr>
        <w:widowControl/>
        <w:autoSpaceDE/>
        <w:autoSpaceDN/>
        <w:spacing w:before="100" w:beforeAutospacing="1" w:after="100" w:afterAutospacing="1" w:line="276" w:lineRule="auto"/>
        <w:jc w:val="both"/>
        <w:rPr>
          <w:sz w:val="24"/>
          <w:szCs w:val="24"/>
        </w:rPr>
      </w:pPr>
      <w:r w:rsidRPr="004F7CAC">
        <w:rPr>
          <w:sz w:val="24"/>
          <w:szCs w:val="24"/>
        </w:rPr>
        <w:t xml:space="preserve">Projektligji është hartuar në përputhje me </w:t>
      </w:r>
      <w:r w:rsidRPr="000E5C89">
        <w:rPr>
          <w:sz w:val="24"/>
          <w:szCs w:val="24"/>
        </w:rPr>
        <w:t>acquis</w:t>
      </w:r>
      <w:r w:rsidRPr="004F7CAC">
        <w:rPr>
          <w:sz w:val="24"/>
          <w:szCs w:val="24"/>
        </w:rPr>
        <w:t xml:space="preserve"> të Bashkimit Europian në fushën e sistemeve të pagesave, infrastrukturave të tregjeve financiare dhe stabilitetit financiar, pjesë e Kapitullit 9 “Shërbimet financiare” në kuadër të procesit të negociatave për anëtarësim.</w:t>
      </w:r>
    </w:p>
    <w:p w14:paraId="02EA0E09" w14:textId="77777777" w:rsidR="00B126B5" w:rsidRPr="004F7CAC" w:rsidRDefault="00B126B5" w:rsidP="000E5C89">
      <w:pPr>
        <w:widowControl/>
        <w:autoSpaceDE/>
        <w:autoSpaceDN/>
        <w:spacing w:before="100" w:beforeAutospacing="1" w:after="100" w:afterAutospacing="1" w:line="276" w:lineRule="auto"/>
        <w:jc w:val="both"/>
        <w:rPr>
          <w:sz w:val="24"/>
          <w:szCs w:val="24"/>
        </w:rPr>
      </w:pPr>
      <w:r w:rsidRPr="004F7CAC">
        <w:rPr>
          <w:sz w:val="24"/>
          <w:szCs w:val="24"/>
        </w:rPr>
        <w:t>Në mënyrë të veçantë, projektligji synon përafrimin me:</w:t>
      </w:r>
    </w:p>
    <w:p w14:paraId="682923A4" w14:textId="0689A762" w:rsidR="00B126B5" w:rsidRPr="004F7CAC" w:rsidRDefault="00B126B5" w:rsidP="000E5C89">
      <w:pPr>
        <w:widowControl/>
        <w:numPr>
          <w:ilvl w:val="0"/>
          <w:numId w:val="40"/>
        </w:numPr>
        <w:autoSpaceDE/>
        <w:autoSpaceDN/>
        <w:spacing w:before="100" w:beforeAutospacing="1" w:after="100" w:afterAutospacing="1" w:line="276" w:lineRule="auto"/>
        <w:jc w:val="both"/>
        <w:rPr>
          <w:sz w:val="24"/>
          <w:szCs w:val="24"/>
        </w:rPr>
      </w:pPr>
      <w:r w:rsidRPr="004F7CAC">
        <w:rPr>
          <w:sz w:val="24"/>
          <w:szCs w:val="24"/>
        </w:rPr>
        <w:t>Direktivën 98/26/KE “Për finalitetin e shlyerjes</w:t>
      </w:r>
      <w:r w:rsidR="0067079A" w:rsidRPr="0067079A">
        <w:t xml:space="preserve"> </w:t>
      </w:r>
      <w:r w:rsidR="0067079A" w:rsidRPr="0067079A">
        <w:rPr>
          <w:sz w:val="24"/>
          <w:szCs w:val="24"/>
        </w:rPr>
        <w:t>në sistemet e pagesave dhe të shlyerjes së letrave me vlerë</w:t>
      </w:r>
      <w:r w:rsidRPr="004F7CAC">
        <w:rPr>
          <w:sz w:val="24"/>
          <w:szCs w:val="24"/>
        </w:rPr>
        <w:t>, të ndryshuar;</w:t>
      </w:r>
    </w:p>
    <w:p w14:paraId="0D494983" w14:textId="20A2E78F" w:rsidR="00B126B5" w:rsidRPr="004F7CAC" w:rsidRDefault="00B126B5" w:rsidP="000E5C89">
      <w:pPr>
        <w:widowControl/>
        <w:numPr>
          <w:ilvl w:val="0"/>
          <w:numId w:val="40"/>
        </w:numPr>
        <w:autoSpaceDE/>
        <w:autoSpaceDN/>
        <w:spacing w:before="100" w:beforeAutospacing="1" w:after="100" w:afterAutospacing="1" w:line="276" w:lineRule="auto"/>
        <w:jc w:val="both"/>
        <w:rPr>
          <w:sz w:val="24"/>
          <w:szCs w:val="24"/>
        </w:rPr>
      </w:pPr>
      <w:r w:rsidRPr="004F7CAC">
        <w:rPr>
          <w:sz w:val="24"/>
          <w:szCs w:val="24"/>
        </w:rPr>
        <w:t>Direktivën 2002/47/KE “Për marrëveshjet e kolateralit financiar”, të ndryshuar</w:t>
      </w:r>
      <w:r w:rsidR="000E5C89">
        <w:rPr>
          <w:sz w:val="24"/>
          <w:szCs w:val="24"/>
        </w:rPr>
        <w:t>,</w:t>
      </w:r>
    </w:p>
    <w:p w14:paraId="4F95E587" w14:textId="77777777" w:rsidR="00B126B5" w:rsidRPr="004F7CAC" w:rsidRDefault="00B126B5" w:rsidP="000E5C89">
      <w:pPr>
        <w:widowControl/>
        <w:autoSpaceDE/>
        <w:autoSpaceDN/>
        <w:spacing w:before="100" w:beforeAutospacing="1" w:after="100" w:afterAutospacing="1" w:line="276" w:lineRule="auto"/>
        <w:jc w:val="both"/>
        <w:rPr>
          <w:sz w:val="24"/>
          <w:szCs w:val="24"/>
        </w:rPr>
      </w:pPr>
      <w:r w:rsidRPr="004F7CAC">
        <w:rPr>
          <w:sz w:val="24"/>
          <w:szCs w:val="24"/>
        </w:rPr>
        <w:t>si dhe reflekton zhvillimet e acquis përmes rregulloreve përkatëse (EMIR, CSDR, Rregullorja 2021/23 dhe Rregullorja 2024/886 për pagesat e menjëhershme).</w:t>
      </w:r>
    </w:p>
    <w:p w14:paraId="40D3F66D" w14:textId="0A8DEB46" w:rsidR="00F041BD" w:rsidRPr="004F7CAC" w:rsidRDefault="00B126B5" w:rsidP="00805B98">
      <w:pPr>
        <w:widowControl/>
        <w:autoSpaceDE/>
        <w:autoSpaceDN/>
        <w:spacing w:before="100" w:beforeAutospacing="1" w:after="100" w:afterAutospacing="1" w:line="276" w:lineRule="auto"/>
        <w:outlineLvl w:val="3"/>
        <w:rPr>
          <w:b/>
          <w:bCs/>
          <w:sz w:val="24"/>
          <w:szCs w:val="24"/>
        </w:rPr>
      </w:pPr>
      <w:r w:rsidRPr="004F7CAC">
        <w:rPr>
          <w:b/>
          <w:bCs/>
          <w:sz w:val="24"/>
          <w:szCs w:val="24"/>
        </w:rPr>
        <w:t>Vlerësimi i shkallës së përafrimit</w:t>
      </w:r>
    </w:p>
    <w:p w14:paraId="38B5BC99" w14:textId="0187A4D1" w:rsidR="00F041BD" w:rsidRPr="004F7CAC" w:rsidRDefault="00B126B5" w:rsidP="000E5C89">
      <w:pPr>
        <w:widowControl/>
        <w:autoSpaceDE/>
        <w:autoSpaceDN/>
        <w:spacing w:before="100" w:beforeAutospacing="1" w:after="100" w:afterAutospacing="1" w:line="276" w:lineRule="auto"/>
        <w:outlineLvl w:val="3"/>
        <w:rPr>
          <w:b/>
          <w:bCs/>
          <w:sz w:val="24"/>
          <w:szCs w:val="24"/>
        </w:rPr>
      </w:pPr>
      <w:r w:rsidRPr="004F7CAC">
        <w:rPr>
          <w:b/>
          <w:bCs/>
          <w:sz w:val="24"/>
          <w:szCs w:val="24"/>
        </w:rPr>
        <w:t>Direktiva 98/26/KE (Settlement Finality Directive)</w:t>
      </w:r>
      <w:r w:rsidRPr="004F7CAC">
        <w:rPr>
          <w:sz w:val="24"/>
          <w:szCs w:val="24"/>
        </w:rPr>
        <w:br/>
      </w:r>
      <w:r w:rsidRPr="004F7CAC">
        <w:rPr>
          <w:b/>
          <w:bCs/>
          <w:sz w:val="24"/>
          <w:szCs w:val="24"/>
        </w:rPr>
        <w:t>Shkalla e përafrimit: Përafrim i plotë</w:t>
      </w:r>
    </w:p>
    <w:p w14:paraId="643F9A7E" w14:textId="0810F4DB" w:rsidR="00B126B5" w:rsidRPr="004F7CAC" w:rsidRDefault="00B126B5" w:rsidP="000E5C89">
      <w:pPr>
        <w:widowControl/>
        <w:autoSpaceDE/>
        <w:autoSpaceDN/>
        <w:spacing w:before="100" w:beforeAutospacing="1" w:after="100" w:afterAutospacing="1" w:line="276" w:lineRule="auto"/>
        <w:jc w:val="both"/>
        <w:outlineLvl w:val="3"/>
        <w:rPr>
          <w:b/>
          <w:bCs/>
          <w:sz w:val="24"/>
          <w:szCs w:val="24"/>
        </w:rPr>
      </w:pPr>
      <w:r w:rsidRPr="004F7CAC">
        <w:rPr>
          <w:sz w:val="24"/>
          <w:szCs w:val="24"/>
        </w:rPr>
        <w:t>Projektligji transpozon elementet thelbësore të direktivës, përfshirë:</w:t>
      </w:r>
    </w:p>
    <w:p w14:paraId="7716B4F4" w14:textId="33583987" w:rsidR="00B126B5" w:rsidRPr="004F7CAC" w:rsidRDefault="000E5C89" w:rsidP="000E5C89">
      <w:pPr>
        <w:widowControl/>
        <w:numPr>
          <w:ilvl w:val="1"/>
          <w:numId w:val="41"/>
        </w:numPr>
        <w:autoSpaceDE/>
        <w:autoSpaceDN/>
        <w:spacing w:before="100" w:beforeAutospacing="1" w:after="100" w:afterAutospacing="1" w:line="276" w:lineRule="auto"/>
        <w:jc w:val="both"/>
        <w:rPr>
          <w:sz w:val="24"/>
          <w:szCs w:val="24"/>
        </w:rPr>
      </w:pPr>
      <w:r>
        <w:rPr>
          <w:sz w:val="24"/>
          <w:szCs w:val="24"/>
        </w:rPr>
        <w:t>K</w:t>
      </w:r>
      <w:r w:rsidR="00B126B5" w:rsidRPr="004F7CAC">
        <w:rPr>
          <w:sz w:val="24"/>
          <w:szCs w:val="24"/>
        </w:rPr>
        <w:t xml:space="preserve">onceptin e </w:t>
      </w:r>
      <w:r w:rsidR="00F041BD" w:rsidRPr="004F7CAC">
        <w:rPr>
          <w:sz w:val="24"/>
          <w:szCs w:val="24"/>
        </w:rPr>
        <w:t>njohjes s</w:t>
      </w:r>
      <w:r w:rsidR="00B126B5" w:rsidRPr="004F7CAC">
        <w:rPr>
          <w:sz w:val="24"/>
          <w:szCs w:val="24"/>
        </w:rPr>
        <w:t>ë sistemeve</w:t>
      </w:r>
      <w:r w:rsidR="00F041BD" w:rsidRPr="004F7CAC">
        <w:rPr>
          <w:sz w:val="24"/>
          <w:szCs w:val="24"/>
        </w:rPr>
        <w:t xml:space="preserve"> të pagesave dhe klerime dhe shlyerjes së titujve</w:t>
      </w:r>
      <w:r w:rsidR="00B126B5" w:rsidRPr="004F7CAC">
        <w:rPr>
          <w:sz w:val="24"/>
          <w:szCs w:val="24"/>
        </w:rPr>
        <w:t>;</w:t>
      </w:r>
    </w:p>
    <w:p w14:paraId="3D28E509" w14:textId="5BF33A8F" w:rsidR="00B126B5" w:rsidRPr="004F7CAC" w:rsidRDefault="000E5C89" w:rsidP="000E5C89">
      <w:pPr>
        <w:widowControl/>
        <w:numPr>
          <w:ilvl w:val="1"/>
          <w:numId w:val="41"/>
        </w:numPr>
        <w:autoSpaceDE/>
        <w:autoSpaceDN/>
        <w:spacing w:before="100" w:beforeAutospacing="1" w:after="100" w:afterAutospacing="1" w:line="276" w:lineRule="auto"/>
        <w:jc w:val="both"/>
        <w:rPr>
          <w:sz w:val="24"/>
          <w:szCs w:val="24"/>
        </w:rPr>
      </w:pPr>
      <w:r>
        <w:rPr>
          <w:sz w:val="24"/>
          <w:szCs w:val="24"/>
        </w:rPr>
        <w:t>M</w:t>
      </w:r>
      <w:r w:rsidR="00B126B5" w:rsidRPr="004F7CAC">
        <w:rPr>
          <w:sz w:val="24"/>
          <w:szCs w:val="24"/>
        </w:rPr>
        <w:t>brojtjen e finalitetit të shlyerjes;</w:t>
      </w:r>
    </w:p>
    <w:p w14:paraId="64E74F6D" w14:textId="1882FA15" w:rsidR="00B126B5" w:rsidRPr="004F7CAC" w:rsidRDefault="000E5C89" w:rsidP="000E5C89">
      <w:pPr>
        <w:widowControl/>
        <w:numPr>
          <w:ilvl w:val="1"/>
          <w:numId w:val="41"/>
        </w:numPr>
        <w:autoSpaceDE/>
        <w:autoSpaceDN/>
        <w:spacing w:before="100" w:beforeAutospacing="1" w:after="100" w:afterAutospacing="1" w:line="276" w:lineRule="auto"/>
        <w:jc w:val="both"/>
        <w:rPr>
          <w:sz w:val="24"/>
          <w:szCs w:val="24"/>
        </w:rPr>
      </w:pPr>
      <w:r>
        <w:rPr>
          <w:sz w:val="24"/>
          <w:szCs w:val="24"/>
        </w:rPr>
        <w:t>T</w:t>
      </w:r>
      <w:r w:rsidR="00B126B5" w:rsidRPr="004F7CAC">
        <w:rPr>
          <w:sz w:val="24"/>
          <w:szCs w:val="24"/>
        </w:rPr>
        <w:t>rajtimin e urdhrave të transfer</w:t>
      </w:r>
      <w:r w:rsidR="0067079A">
        <w:rPr>
          <w:sz w:val="24"/>
          <w:szCs w:val="24"/>
        </w:rPr>
        <w:t xml:space="preserve">tave </w:t>
      </w:r>
      <w:r w:rsidR="00B126B5" w:rsidRPr="004F7CAC">
        <w:rPr>
          <w:sz w:val="24"/>
          <w:szCs w:val="24"/>
        </w:rPr>
        <w:t>dhe momenteve të hyrjes në sistem;</w:t>
      </w:r>
    </w:p>
    <w:p w14:paraId="18DEFB8A" w14:textId="41C458BB" w:rsidR="00B126B5" w:rsidRPr="004F7CAC" w:rsidRDefault="000E5C89" w:rsidP="000E5C89">
      <w:pPr>
        <w:widowControl/>
        <w:numPr>
          <w:ilvl w:val="1"/>
          <w:numId w:val="41"/>
        </w:numPr>
        <w:autoSpaceDE/>
        <w:autoSpaceDN/>
        <w:spacing w:before="100" w:beforeAutospacing="1" w:after="100" w:afterAutospacing="1" w:line="276" w:lineRule="auto"/>
        <w:jc w:val="both"/>
        <w:rPr>
          <w:sz w:val="24"/>
          <w:szCs w:val="24"/>
        </w:rPr>
      </w:pPr>
      <w:r>
        <w:rPr>
          <w:sz w:val="24"/>
          <w:szCs w:val="24"/>
        </w:rPr>
        <w:t>N</w:t>
      </w:r>
      <w:r w:rsidR="00B126B5" w:rsidRPr="004F7CAC">
        <w:rPr>
          <w:sz w:val="24"/>
          <w:szCs w:val="24"/>
        </w:rPr>
        <w:t xml:space="preserve">johjen e efekteve juridike në rastet e procedurave të </w:t>
      </w:r>
      <w:r w:rsidR="00F041BD" w:rsidRPr="004F7CAC">
        <w:rPr>
          <w:sz w:val="24"/>
          <w:szCs w:val="24"/>
        </w:rPr>
        <w:t>paftësisë paguese;</w:t>
      </w:r>
    </w:p>
    <w:p w14:paraId="60B6E8E0" w14:textId="4CD6AC55" w:rsidR="00F041BD" w:rsidRPr="004F7CAC" w:rsidRDefault="000E5C89" w:rsidP="000E5C89">
      <w:pPr>
        <w:widowControl/>
        <w:numPr>
          <w:ilvl w:val="1"/>
          <w:numId w:val="41"/>
        </w:numPr>
        <w:autoSpaceDE/>
        <w:autoSpaceDN/>
        <w:spacing w:before="100" w:beforeAutospacing="1" w:after="100" w:afterAutospacing="1" w:line="276" w:lineRule="auto"/>
        <w:jc w:val="both"/>
        <w:rPr>
          <w:sz w:val="24"/>
          <w:szCs w:val="24"/>
        </w:rPr>
      </w:pPr>
      <w:r>
        <w:rPr>
          <w:sz w:val="24"/>
          <w:szCs w:val="24"/>
        </w:rPr>
        <w:t>K</w:t>
      </w:r>
      <w:r w:rsidR="001814DA" w:rsidRPr="004F7CAC">
        <w:rPr>
          <w:sz w:val="24"/>
          <w:szCs w:val="24"/>
        </w:rPr>
        <w:t>rijimi</w:t>
      </w:r>
      <w:r>
        <w:rPr>
          <w:sz w:val="24"/>
          <w:szCs w:val="24"/>
        </w:rPr>
        <w:t>n</w:t>
      </w:r>
      <w:r w:rsidR="001814DA" w:rsidRPr="004F7CAC">
        <w:rPr>
          <w:sz w:val="24"/>
          <w:szCs w:val="24"/>
        </w:rPr>
        <w:t xml:space="preserve"> e konceptit të sistemeve të ndëvepruehme dhe trajtimin e rasteve të shfaqes së paaftësisë paguese në të tilla raste. </w:t>
      </w:r>
    </w:p>
    <w:p w14:paraId="40032916" w14:textId="629E157D" w:rsidR="001814DA" w:rsidRPr="004F7CAC" w:rsidRDefault="00B126B5" w:rsidP="000E5C89">
      <w:pPr>
        <w:widowControl/>
        <w:autoSpaceDE/>
        <w:autoSpaceDN/>
        <w:spacing w:before="100" w:beforeAutospacing="1" w:after="100" w:afterAutospacing="1" w:line="276" w:lineRule="auto"/>
        <w:rPr>
          <w:b/>
          <w:bCs/>
          <w:sz w:val="24"/>
          <w:szCs w:val="24"/>
        </w:rPr>
      </w:pPr>
      <w:r w:rsidRPr="004F7CAC">
        <w:rPr>
          <w:b/>
          <w:bCs/>
          <w:sz w:val="24"/>
          <w:szCs w:val="24"/>
        </w:rPr>
        <w:t>Direktiva 2002/47/KE (Financial Collateral Directive)</w:t>
      </w:r>
      <w:r w:rsidRPr="004F7CAC">
        <w:rPr>
          <w:sz w:val="24"/>
          <w:szCs w:val="24"/>
        </w:rPr>
        <w:br/>
      </w:r>
      <w:r w:rsidRPr="004F7CAC">
        <w:rPr>
          <w:b/>
          <w:bCs/>
          <w:sz w:val="24"/>
          <w:szCs w:val="24"/>
        </w:rPr>
        <w:t xml:space="preserve">Shkalla e përafrimit: Përafrim i </w:t>
      </w:r>
      <w:r w:rsidR="00F041BD" w:rsidRPr="004F7CAC">
        <w:rPr>
          <w:b/>
          <w:bCs/>
          <w:sz w:val="24"/>
          <w:szCs w:val="24"/>
        </w:rPr>
        <w:t>pl</w:t>
      </w:r>
      <w:r w:rsidR="001814DA" w:rsidRPr="004F7CAC">
        <w:rPr>
          <w:b/>
          <w:bCs/>
          <w:sz w:val="24"/>
          <w:szCs w:val="24"/>
        </w:rPr>
        <w:t>otë</w:t>
      </w:r>
    </w:p>
    <w:p w14:paraId="3D64A909" w14:textId="245C95BD" w:rsidR="00B126B5" w:rsidRPr="004F7CAC" w:rsidRDefault="00B126B5" w:rsidP="00C36529">
      <w:pPr>
        <w:widowControl/>
        <w:autoSpaceDE/>
        <w:autoSpaceDN/>
        <w:spacing w:before="100" w:beforeAutospacing="1" w:after="100" w:afterAutospacing="1" w:line="276" w:lineRule="auto"/>
        <w:jc w:val="both"/>
        <w:rPr>
          <w:sz w:val="24"/>
          <w:szCs w:val="24"/>
        </w:rPr>
      </w:pPr>
      <w:r w:rsidRPr="004F7CAC">
        <w:rPr>
          <w:sz w:val="24"/>
          <w:szCs w:val="24"/>
        </w:rPr>
        <w:t>Projektligji përfshin kërkesat kryesore të direktivës, si</w:t>
      </w:r>
      <w:r w:rsidR="000E5C89">
        <w:rPr>
          <w:sz w:val="24"/>
          <w:szCs w:val="24"/>
        </w:rPr>
        <w:t xml:space="preserve"> vijon</w:t>
      </w:r>
      <w:r w:rsidRPr="004F7CAC">
        <w:rPr>
          <w:sz w:val="24"/>
          <w:szCs w:val="24"/>
        </w:rPr>
        <w:t>:</w:t>
      </w:r>
    </w:p>
    <w:p w14:paraId="59B5982F" w14:textId="21A91A3A" w:rsidR="00B126B5" w:rsidRPr="004F7CAC" w:rsidRDefault="000E5C89" w:rsidP="00C36529">
      <w:pPr>
        <w:widowControl/>
        <w:numPr>
          <w:ilvl w:val="1"/>
          <w:numId w:val="43"/>
        </w:numPr>
        <w:autoSpaceDE/>
        <w:autoSpaceDN/>
        <w:spacing w:before="100" w:beforeAutospacing="1" w:after="100" w:afterAutospacing="1" w:line="276" w:lineRule="auto"/>
        <w:jc w:val="both"/>
        <w:rPr>
          <w:sz w:val="24"/>
          <w:szCs w:val="24"/>
        </w:rPr>
      </w:pPr>
      <w:r>
        <w:rPr>
          <w:sz w:val="24"/>
          <w:szCs w:val="24"/>
        </w:rPr>
        <w:t>N</w:t>
      </w:r>
      <w:r w:rsidR="00B126B5" w:rsidRPr="004F7CAC">
        <w:rPr>
          <w:sz w:val="24"/>
          <w:szCs w:val="24"/>
        </w:rPr>
        <w:t>johjen dhe zbatueshmërinë e marrëveshjeve të kolateralit financiar;</w:t>
      </w:r>
    </w:p>
    <w:p w14:paraId="269C1BB7" w14:textId="4AD6291C" w:rsidR="00B126B5" w:rsidRPr="004F7CAC" w:rsidRDefault="000E5C89" w:rsidP="00C36529">
      <w:pPr>
        <w:widowControl/>
        <w:numPr>
          <w:ilvl w:val="1"/>
          <w:numId w:val="43"/>
        </w:numPr>
        <w:autoSpaceDE/>
        <w:autoSpaceDN/>
        <w:spacing w:before="100" w:beforeAutospacing="1" w:after="100" w:afterAutospacing="1" w:line="276" w:lineRule="auto"/>
        <w:jc w:val="both"/>
        <w:rPr>
          <w:sz w:val="24"/>
          <w:szCs w:val="24"/>
        </w:rPr>
      </w:pPr>
      <w:r>
        <w:rPr>
          <w:sz w:val="24"/>
          <w:szCs w:val="24"/>
        </w:rPr>
        <w:t>E</w:t>
      </w:r>
      <w:r w:rsidR="00B126B5" w:rsidRPr="004F7CAC">
        <w:rPr>
          <w:sz w:val="24"/>
          <w:szCs w:val="24"/>
        </w:rPr>
        <w:t>liminimin e formaliteteve të panevojshme për krijimin e kolateralit;</w:t>
      </w:r>
    </w:p>
    <w:p w14:paraId="67B478E1" w14:textId="6C581E6F" w:rsidR="00663D55" w:rsidRPr="00845E84" w:rsidRDefault="000E5C89" w:rsidP="00C36529">
      <w:pPr>
        <w:widowControl/>
        <w:numPr>
          <w:ilvl w:val="1"/>
          <w:numId w:val="43"/>
        </w:numPr>
        <w:autoSpaceDE/>
        <w:autoSpaceDN/>
        <w:spacing w:before="100" w:beforeAutospacing="1" w:after="100" w:afterAutospacing="1" w:line="276" w:lineRule="auto"/>
        <w:jc w:val="both"/>
        <w:outlineLvl w:val="3"/>
        <w:rPr>
          <w:b/>
          <w:bCs/>
          <w:sz w:val="24"/>
          <w:szCs w:val="24"/>
        </w:rPr>
      </w:pPr>
      <w:r>
        <w:rPr>
          <w:sz w:val="24"/>
          <w:szCs w:val="24"/>
        </w:rPr>
        <w:t>P</w:t>
      </w:r>
      <w:r w:rsidR="00B126B5" w:rsidRPr="004F7CAC">
        <w:rPr>
          <w:sz w:val="24"/>
          <w:szCs w:val="24"/>
        </w:rPr>
        <w:t>ërfshirjen e “credit claims” si formë kolaterali;</w:t>
      </w:r>
    </w:p>
    <w:p w14:paraId="18810DED" w14:textId="597D94DC" w:rsidR="00663D55" w:rsidRPr="00845E84" w:rsidRDefault="000E5C89" w:rsidP="00C36529">
      <w:pPr>
        <w:widowControl/>
        <w:numPr>
          <w:ilvl w:val="1"/>
          <w:numId w:val="43"/>
        </w:numPr>
        <w:autoSpaceDE/>
        <w:autoSpaceDN/>
        <w:spacing w:before="100" w:beforeAutospacing="1" w:after="100" w:afterAutospacing="1" w:line="276" w:lineRule="auto"/>
        <w:jc w:val="both"/>
        <w:outlineLvl w:val="3"/>
        <w:rPr>
          <w:sz w:val="24"/>
          <w:szCs w:val="24"/>
        </w:rPr>
      </w:pPr>
      <w:r>
        <w:rPr>
          <w:sz w:val="24"/>
          <w:szCs w:val="24"/>
        </w:rPr>
        <w:t>N</w:t>
      </w:r>
      <w:r w:rsidR="00663D55" w:rsidRPr="00845E84">
        <w:rPr>
          <w:sz w:val="24"/>
          <w:szCs w:val="24"/>
        </w:rPr>
        <w:t>johjen dhe zbatueshmërinë e netimit përfundimtar (</w:t>
      </w:r>
      <w:r w:rsidR="00663D55" w:rsidRPr="00845E84">
        <w:rPr>
          <w:i/>
          <w:iCs/>
          <w:sz w:val="24"/>
          <w:szCs w:val="24"/>
        </w:rPr>
        <w:t>close-out netting</w:t>
      </w:r>
      <w:r w:rsidR="00663D55" w:rsidRPr="00845E84">
        <w:rPr>
          <w:sz w:val="24"/>
          <w:szCs w:val="24"/>
        </w:rPr>
        <w:t>) pavarësisht procedurave të paaftësisë paguese;</w:t>
      </w:r>
    </w:p>
    <w:p w14:paraId="67CCE9CE" w14:textId="325B15D8" w:rsidR="00663D55" w:rsidRPr="00845E84" w:rsidRDefault="000E5C89" w:rsidP="00C36529">
      <w:pPr>
        <w:widowControl/>
        <w:numPr>
          <w:ilvl w:val="1"/>
          <w:numId w:val="43"/>
        </w:numPr>
        <w:autoSpaceDE/>
        <w:autoSpaceDN/>
        <w:spacing w:before="100" w:beforeAutospacing="1" w:after="100" w:afterAutospacing="1" w:line="276" w:lineRule="auto"/>
        <w:jc w:val="both"/>
        <w:outlineLvl w:val="3"/>
        <w:rPr>
          <w:sz w:val="24"/>
          <w:szCs w:val="24"/>
        </w:rPr>
      </w:pPr>
      <w:r>
        <w:rPr>
          <w:sz w:val="24"/>
          <w:szCs w:val="24"/>
        </w:rPr>
        <w:t>R</w:t>
      </w:r>
      <w:r w:rsidR="00663D55" w:rsidRPr="00845E84">
        <w:rPr>
          <w:sz w:val="24"/>
          <w:szCs w:val="24"/>
        </w:rPr>
        <w:t xml:space="preserve">regullimin e të drejtës së përdorimit </w:t>
      </w:r>
      <w:r w:rsidR="00663D55" w:rsidRPr="00845E84">
        <w:rPr>
          <w:i/>
          <w:iCs/>
          <w:sz w:val="24"/>
          <w:szCs w:val="24"/>
        </w:rPr>
        <w:t>(right of use</w:t>
      </w:r>
      <w:r w:rsidR="00663D55" w:rsidRPr="00845E84">
        <w:rPr>
          <w:sz w:val="24"/>
          <w:szCs w:val="24"/>
        </w:rPr>
        <w:t xml:space="preserve">) të kolateralit në marrëveshjet </w:t>
      </w:r>
      <w:r w:rsidR="00663D55" w:rsidRPr="00D97246">
        <w:rPr>
          <w:sz w:val="24"/>
          <w:szCs w:val="24"/>
        </w:rPr>
        <w:t>kolateralit financiar</w:t>
      </w:r>
      <w:r w:rsidR="00663D55">
        <w:rPr>
          <w:sz w:val="24"/>
          <w:szCs w:val="24"/>
        </w:rPr>
        <w:t xml:space="preserve"> </w:t>
      </w:r>
      <w:r w:rsidR="00663D55" w:rsidRPr="007208FF">
        <w:rPr>
          <w:sz w:val="24"/>
          <w:szCs w:val="24"/>
        </w:rPr>
        <w:t>me vendosje pengu</w:t>
      </w:r>
      <w:r w:rsidR="00663D55">
        <w:rPr>
          <w:sz w:val="24"/>
          <w:szCs w:val="24"/>
        </w:rPr>
        <w:t>;</w:t>
      </w:r>
    </w:p>
    <w:p w14:paraId="61F9D56A" w14:textId="2073848F" w:rsidR="00663D55" w:rsidRPr="00845E84" w:rsidRDefault="000E5C89" w:rsidP="00C36529">
      <w:pPr>
        <w:widowControl/>
        <w:numPr>
          <w:ilvl w:val="1"/>
          <w:numId w:val="43"/>
        </w:numPr>
        <w:autoSpaceDE/>
        <w:autoSpaceDN/>
        <w:spacing w:before="100" w:beforeAutospacing="1" w:after="100" w:afterAutospacing="1" w:line="276" w:lineRule="auto"/>
        <w:jc w:val="both"/>
        <w:outlineLvl w:val="3"/>
        <w:rPr>
          <w:sz w:val="24"/>
          <w:szCs w:val="24"/>
        </w:rPr>
      </w:pPr>
      <w:r>
        <w:rPr>
          <w:sz w:val="24"/>
          <w:szCs w:val="24"/>
        </w:rPr>
        <w:t>K</w:t>
      </w:r>
      <w:r w:rsidR="00663D55" w:rsidRPr="00845E84">
        <w:rPr>
          <w:sz w:val="24"/>
          <w:szCs w:val="24"/>
        </w:rPr>
        <w:t>ufizimin e zbatimit të disa dispozitave të falimentimit ndaj marrëveshjeve të kolateralit financiar</w:t>
      </w:r>
      <w:r w:rsidR="000631F8">
        <w:rPr>
          <w:sz w:val="24"/>
          <w:szCs w:val="24"/>
        </w:rPr>
        <w:t>.</w:t>
      </w:r>
    </w:p>
    <w:p w14:paraId="14D5F8A1" w14:textId="3F9E2DB7" w:rsidR="00B126B5" w:rsidRPr="000E5C89" w:rsidRDefault="00B126B5" w:rsidP="00C36529">
      <w:pPr>
        <w:widowControl/>
        <w:autoSpaceDE/>
        <w:autoSpaceDN/>
        <w:spacing w:before="100" w:beforeAutospacing="1" w:after="100" w:afterAutospacing="1" w:line="276" w:lineRule="auto"/>
        <w:jc w:val="both"/>
        <w:outlineLvl w:val="3"/>
        <w:rPr>
          <w:sz w:val="24"/>
          <w:szCs w:val="24"/>
        </w:rPr>
      </w:pPr>
      <w:r w:rsidRPr="000E5C89">
        <w:rPr>
          <w:sz w:val="24"/>
          <w:szCs w:val="24"/>
        </w:rPr>
        <w:lastRenderedPageBreak/>
        <w:t>Vlerësim i përgjithshëm</w:t>
      </w:r>
    </w:p>
    <w:p w14:paraId="5FDA9495" w14:textId="52F19DC5" w:rsidR="00B126B5" w:rsidRPr="004F7CAC" w:rsidRDefault="00B126B5" w:rsidP="00C36529">
      <w:pPr>
        <w:widowControl/>
        <w:autoSpaceDE/>
        <w:autoSpaceDN/>
        <w:spacing w:before="100" w:beforeAutospacing="1" w:after="100" w:afterAutospacing="1" w:line="276" w:lineRule="auto"/>
        <w:jc w:val="both"/>
        <w:rPr>
          <w:sz w:val="24"/>
          <w:szCs w:val="24"/>
        </w:rPr>
      </w:pPr>
      <w:r w:rsidRPr="004F7CAC">
        <w:rPr>
          <w:sz w:val="24"/>
          <w:szCs w:val="24"/>
        </w:rPr>
        <w:t xml:space="preserve">Në tërësi, projektligji vlerësohet të ketë arritur një nivel të </w:t>
      </w:r>
      <w:r w:rsidR="001814DA" w:rsidRPr="004F7CAC">
        <w:rPr>
          <w:sz w:val="24"/>
          <w:szCs w:val="24"/>
        </w:rPr>
        <w:t>plotë të</w:t>
      </w:r>
      <w:r w:rsidR="004F7CAC">
        <w:rPr>
          <w:sz w:val="24"/>
          <w:szCs w:val="24"/>
        </w:rPr>
        <w:t xml:space="preserve"> </w:t>
      </w:r>
      <w:r w:rsidRPr="004F7CAC">
        <w:rPr>
          <w:sz w:val="24"/>
          <w:szCs w:val="24"/>
        </w:rPr>
        <w:t xml:space="preserve">përafrimi me </w:t>
      </w:r>
      <w:r w:rsidRPr="000E5C89">
        <w:rPr>
          <w:sz w:val="24"/>
          <w:szCs w:val="24"/>
        </w:rPr>
        <w:t>acquis</w:t>
      </w:r>
      <w:r w:rsidRPr="004F7CAC">
        <w:rPr>
          <w:i/>
          <w:iCs/>
          <w:sz w:val="24"/>
          <w:szCs w:val="24"/>
        </w:rPr>
        <w:t xml:space="preserve"> </w:t>
      </w:r>
      <w:r w:rsidRPr="004F7CAC">
        <w:rPr>
          <w:sz w:val="24"/>
          <w:szCs w:val="24"/>
        </w:rPr>
        <w:t>të Bashkimit Europian</w:t>
      </w:r>
      <w:r w:rsidR="001814DA" w:rsidRPr="004F7CAC">
        <w:rPr>
          <w:sz w:val="24"/>
          <w:szCs w:val="24"/>
        </w:rPr>
        <w:t xml:space="preserve">. </w:t>
      </w:r>
    </w:p>
    <w:p w14:paraId="35B4A017" w14:textId="1AF05A33" w:rsidR="00B126B5" w:rsidRPr="000E5C89" w:rsidRDefault="00B126B5" w:rsidP="00C36529">
      <w:pPr>
        <w:widowControl/>
        <w:autoSpaceDE/>
        <w:autoSpaceDN/>
        <w:spacing w:before="100" w:beforeAutospacing="1" w:after="100" w:afterAutospacing="1" w:line="276" w:lineRule="auto"/>
        <w:jc w:val="both"/>
        <w:rPr>
          <w:sz w:val="24"/>
          <w:szCs w:val="24"/>
        </w:rPr>
      </w:pPr>
      <w:r w:rsidRPr="004F7CAC">
        <w:rPr>
          <w:sz w:val="24"/>
          <w:szCs w:val="24"/>
        </w:rPr>
        <w:t xml:space="preserve">Projektligji kontribuon drejtpërdrejt në avancimin e detyrimeve të Shqipërisë në kuadër të Kapitullit </w:t>
      </w:r>
      <w:r w:rsidR="004F7CAC" w:rsidRPr="004F7CAC">
        <w:rPr>
          <w:sz w:val="24"/>
          <w:szCs w:val="24"/>
        </w:rPr>
        <w:t>9</w:t>
      </w:r>
      <w:r w:rsidR="000E5C89">
        <w:rPr>
          <w:sz w:val="24"/>
          <w:szCs w:val="24"/>
        </w:rPr>
        <w:t xml:space="preserve"> “</w:t>
      </w:r>
      <w:r w:rsidR="004F7CAC" w:rsidRPr="004F7CAC">
        <w:rPr>
          <w:sz w:val="24"/>
          <w:szCs w:val="24"/>
        </w:rPr>
        <w:t>Shërbimet</w:t>
      </w:r>
      <w:r w:rsidRPr="004F7CAC">
        <w:rPr>
          <w:sz w:val="24"/>
          <w:szCs w:val="24"/>
        </w:rPr>
        <w:t xml:space="preserve"> financiare</w:t>
      </w:r>
      <w:r w:rsidR="001814DA" w:rsidRPr="004F7CAC">
        <w:rPr>
          <w:sz w:val="24"/>
          <w:szCs w:val="24"/>
        </w:rPr>
        <w:t>”</w:t>
      </w:r>
      <w:r w:rsidRPr="004F7CAC">
        <w:rPr>
          <w:sz w:val="24"/>
          <w:szCs w:val="24"/>
        </w:rPr>
        <w:t xml:space="preserve">, duke adresuar boshllëqet kryesore të identifikuara </w:t>
      </w:r>
      <w:r w:rsidR="0067079A">
        <w:rPr>
          <w:sz w:val="24"/>
          <w:szCs w:val="24"/>
        </w:rPr>
        <w:t>n</w:t>
      </w:r>
      <w:r w:rsidR="00962866">
        <w:rPr>
          <w:sz w:val="24"/>
          <w:szCs w:val="24"/>
        </w:rPr>
        <w:t>ë</w:t>
      </w:r>
      <w:r w:rsidR="0067079A">
        <w:rPr>
          <w:sz w:val="24"/>
          <w:szCs w:val="24"/>
        </w:rPr>
        <w:t xml:space="preserve"> </w:t>
      </w:r>
      <w:r w:rsidR="001D59F5">
        <w:rPr>
          <w:sz w:val="24"/>
          <w:szCs w:val="24"/>
        </w:rPr>
        <w:t>p</w:t>
      </w:r>
      <w:r w:rsidR="00962866">
        <w:rPr>
          <w:sz w:val="24"/>
          <w:szCs w:val="24"/>
        </w:rPr>
        <w:t>ë</w:t>
      </w:r>
      <w:r w:rsidR="001D59F5">
        <w:rPr>
          <w:sz w:val="24"/>
          <w:szCs w:val="24"/>
        </w:rPr>
        <w:t>rputhshm</w:t>
      </w:r>
      <w:r w:rsidR="00962866">
        <w:rPr>
          <w:sz w:val="24"/>
          <w:szCs w:val="24"/>
        </w:rPr>
        <w:t>ë</w:t>
      </w:r>
      <w:r w:rsidR="001D59F5">
        <w:rPr>
          <w:sz w:val="24"/>
          <w:szCs w:val="24"/>
        </w:rPr>
        <w:t>rin</w:t>
      </w:r>
      <w:r w:rsidR="00962866">
        <w:rPr>
          <w:sz w:val="24"/>
          <w:szCs w:val="24"/>
        </w:rPr>
        <w:t>ë</w:t>
      </w:r>
      <w:r w:rsidR="001D59F5">
        <w:rPr>
          <w:sz w:val="24"/>
          <w:szCs w:val="24"/>
        </w:rPr>
        <w:t xml:space="preserve"> me dy direktiva, si dhe duke ndihmuar </w:t>
      </w:r>
      <w:r w:rsidRPr="004F7CAC">
        <w:rPr>
          <w:sz w:val="24"/>
          <w:szCs w:val="24"/>
        </w:rPr>
        <w:t>fazat e mëtejshme të negociatave.</w:t>
      </w:r>
    </w:p>
    <w:p w14:paraId="27CE01A0" w14:textId="77777777" w:rsidR="00716C24" w:rsidRPr="004F7CAC" w:rsidRDefault="00E94EBD" w:rsidP="00C36529">
      <w:pPr>
        <w:pStyle w:val="ListParagraph"/>
        <w:numPr>
          <w:ilvl w:val="0"/>
          <w:numId w:val="13"/>
        </w:numPr>
        <w:tabs>
          <w:tab w:val="left" w:pos="630"/>
          <w:tab w:val="left" w:pos="3609"/>
          <w:tab w:val="left" w:pos="6008"/>
          <w:tab w:val="left" w:pos="6773"/>
          <w:tab w:val="left" w:pos="9376"/>
        </w:tabs>
        <w:spacing w:line="276" w:lineRule="auto"/>
        <w:ind w:left="0" w:right="48" w:firstLine="0"/>
        <w:jc w:val="both"/>
        <w:rPr>
          <w:b/>
          <w:sz w:val="24"/>
          <w:szCs w:val="24"/>
        </w:rPr>
      </w:pPr>
      <w:r w:rsidRPr="004F7CAC">
        <w:rPr>
          <w:b/>
          <w:spacing w:val="-2"/>
          <w:sz w:val="24"/>
          <w:szCs w:val="24"/>
        </w:rPr>
        <w:t>PËRMBLEDHJE</w:t>
      </w:r>
      <w:r w:rsidR="000A224C" w:rsidRPr="004F7CAC">
        <w:rPr>
          <w:b/>
          <w:spacing w:val="-2"/>
          <w:sz w:val="24"/>
          <w:szCs w:val="24"/>
        </w:rPr>
        <w:t xml:space="preserve"> </w:t>
      </w:r>
      <w:r w:rsidRPr="004F7CAC">
        <w:rPr>
          <w:b/>
          <w:spacing w:val="-2"/>
          <w:sz w:val="24"/>
          <w:szCs w:val="24"/>
        </w:rPr>
        <w:t>SHPJEGUESE</w:t>
      </w:r>
      <w:r w:rsidR="000A224C" w:rsidRPr="004F7CAC">
        <w:rPr>
          <w:b/>
          <w:spacing w:val="-2"/>
          <w:sz w:val="24"/>
          <w:szCs w:val="24"/>
        </w:rPr>
        <w:t xml:space="preserve"> </w:t>
      </w:r>
      <w:r w:rsidRPr="004F7CAC">
        <w:rPr>
          <w:b/>
          <w:spacing w:val="-10"/>
          <w:sz w:val="24"/>
          <w:szCs w:val="24"/>
        </w:rPr>
        <w:t>E</w:t>
      </w:r>
      <w:r w:rsidR="00492C0E" w:rsidRPr="004F7CAC">
        <w:rPr>
          <w:b/>
          <w:spacing w:val="-10"/>
          <w:sz w:val="24"/>
          <w:szCs w:val="24"/>
        </w:rPr>
        <w:t xml:space="preserve"> </w:t>
      </w:r>
      <w:r w:rsidRPr="004F7CAC">
        <w:rPr>
          <w:b/>
          <w:spacing w:val="-2"/>
          <w:sz w:val="24"/>
          <w:szCs w:val="24"/>
        </w:rPr>
        <w:t>PËRMBAJTJES</w:t>
      </w:r>
      <w:r w:rsidR="000A224C" w:rsidRPr="004F7CAC">
        <w:rPr>
          <w:b/>
          <w:spacing w:val="-2"/>
          <w:sz w:val="24"/>
          <w:szCs w:val="24"/>
        </w:rPr>
        <w:t xml:space="preserve"> </w:t>
      </w:r>
      <w:r w:rsidRPr="004F7CAC">
        <w:rPr>
          <w:b/>
          <w:spacing w:val="-6"/>
          <w:sz w:val="24"/>
          <w:szCs w:val="24"/>
        </w:rPr>
        <w:t xml:space="preserve">SË </w:t>
      </w:r>
      <w:r w:rsidRPr="004F7CAC">
        <w:rPr>
          <w:b/>
          <w:spacing w:val="-2"/>
          <w:sz w:val="24"/>
          <w:szCs w:val="24"/>
        </w:rPr>
        <w:t>PROJEKTAKTIT</w:t>
      </w:r>
    </w:p>
    <w:p w14:paraId="61D8D6A4" w14:textId="77777777" w:rsidR="001814DA" w:rsidRPr="004F7CAC" w:rsidRDefault="001814DA" w:rsidP="00C36529">
      <w:pPr>
        <w:tabs>
          <w:tab w:val="left" w:pos="630"/>
          <w:tab w:val="left" w:pos="3609"/>
          <w:tab w:val="left" w:pos="6008"/>
          <w:tab w:val="left" w:pos="6773"/>
          <w:tab w:val="left" w:pos="9376"/>
        </w:tabs>
        <w:spacing w:line="276" w:lineRule="auto"/>
        <w:ind w:right="48"/>
        <w:jc w:val="both"/>
        <w:rPr>
          <w:b/>
          <w:sz w:val="24"/>
          <w:szCs w:val="24"/>
        </w:rPr>
      </w:pPr>
    </w:p>
    <w:p w14:paraId="09869101" w14:textId="51F5B6DB" w:rsidR="00297143" w:rsidRPr="004F7CAC" w:rsidRDefault="00297143" w:rsidP="00C36529">
      <w:pPr>
        <w:tabs>
          <w:tab w:val="left" w:pos="630"/>
          <w:tab w:val="left" w:pos="3609"/>
          <w:tab w:val="left" w:pos="6008"/>
          <w:tab w:val="left" w:pos="6773"/>
          <w:tab w:val="left" w:pos="9376"/>
        </w:tabs>
        <w:spacing w:line="276" w:lineRule="auto"/>
        <w:ind w:right="48"/>
        <w:jc w:val="both"/>
        <w:rPr>
          <w:bCs/>
          <w:sz w:val="24"/>
          <w:szCs w:val="24"/>
        </w:rPr>
      </w:pPr>
      <w:r w:rsidRPr="004F7CAC">
        <w:rPr>
          <w:bCs/>
          <w:sz w:val="24"/>
          <w:szCs w:val="24"/>
        </w:rPr>
        <w:t>Projektligji “Për sistemet e pagesave</w:t>
      </w:r>
      <w:r w:rsidR="000E5C89">
        <w:rPr>
          <w:bCs/>
          <w:sz w:val="24"/>
          <w:szCs w:val="24"/>
        </w:rPr>
        <w:t xml:space="preserve"> dhe kolateralin financiar</w:t>
      </w:r>
      <w:r w:rsidRPr="004F7CAC">
        <w:rPr>
          <w:bCs/>
          <w:sz w:val="24"/>
          <w:szCs w:val="24"/>
        </w:rPr>
        <w:t>” synon krijimin e një kuadri të ri, të plotë dhe të konsoliduar ligjor për rregullimin, funksionimin dhe mbikëqyrjen e sistemeve të pagesave dhe të sistemeve të shlyerjes së letrave me vlerë në Republikën e Shqipërisë, në përputhje me standardet dhe kërkesat e</w:t>
      </w:r>
      <w:r w:rsidRPr="000E5C89">
        <w:rPr>
          <w:bCs/>
          <w:sz w:val="24"/>
          <w:szCs w:val="24"/>
        </w:rPr>
        <w:t xml:space="preserve"> acquis</w:t>
      </w:r>
      <w:r w:rsidRPr="004F7CAC">
        <w:rPr>
          <w:bCs/>
          <w:sz w:val="24"/>
          <w:szCs w:val="24"/>
        </w:rPr>
        <w:t xml:space="preserve"> të Bashkimit Europian. </w:t>
      </w:r>
      <w:r w:rsidR="000E5C89">
        <w:rPr>
          <w:bCs/>
          <w:sz w:val="24"/>
          <w:szCs w:val="24"/>
        </w:rPr>
        <w:t>Projektligji</w:t>
      </w:r>
      <w:r w:rsidRPr="004F7CAC">
        <w:rPr>
          <w:bCs/>
          <w:sz w:val="24"/>
          <w:szCs w:val="24"/>
        </w:rPr>
        <w:t xml:space="preserve"> adreson nevojën për modernizimin e kuadrit ekzistues ligjor, forcimin e sigurisë juridike dhe rritjen e qëndrueshmërisë së infrastrukturave financiare, si elemente thelbësore për stabilitetin financiar dhe integrimin europian.</w:t>
      </w:r>
    </w:p>
    <w:p w14:paraId="0A758BA3" w14:textId="77777777" w:rsidR="00297143" w:rsidRPr="004F7CAC" w:rsidRDefault="00297143" w:rsidP="00C36529">
      <w:pPr>
        <w:tabs>
          <w:tab w:val="left" w:pos="630"/>
          <w:tab w:val="left" w:pos="3609"/>
          <w:tab w:val="left" w:pos="6008"/>
          <w:tab w:val="left" w:pos="6773"/>
          <w:tab w:val="left" w:pos="9376"/>
        </w:tabs>
        <w:spacing w:line="276" w:lineRule="auto"/>
        <w:ind w:right="48"/>
        <w:jc w:val="both"/>
        <w:rPr>
          <w:bCs/>
          <w:sz w:val="24"/>
          <w:szCs w:val="24"/>
        </w:rPr>
      </w:pPr>
    </w:p>
    <w:p w14:paraId="5A7AAF80" w14:textId="5A74CF51" w:rsidR="00297143" w:rsidRPr="004F7CAC" w:rsidRDefault="00297143" w:rsidP="00C36529">
      <w:pPr>
        <w:tabs>
          <w:tab w:val="left" w:pos="630"/>
          <w:tab w:val="left" w:pos="3609"/>
          <w:tab w:val="left" w:pos="6008"/>
          <w:tab w:val="left" w:pos="6773"/>
          <w:tab w:val="left" w:pos="9376"/>
        </w:tabs>
        <w:spacing w:line="276" w:lineRule="auto"/>
        <w:ind w:right="48"/>
        <w:jc w:val="both"/>
        <w:rPr>
          <w:bCs/>
          <w:sz w:val="24"/>
          <w:szCs w:val="24"/>
        </w:rPr>
      </w:pPr>
      <w:r w:rsidRPr="004F7CAC">
        <w:rPr>
          <w:bCs/>
          <w:sz w:val="24"/>
          <w:szCs w:val="24"/>
        </w:rPr>
        <w:t>Projektligji është i organizuar në kapituj tematik, të cilët trajtojnë në mënyrë të strukturuar dhe të detajuar çështjet kryesore të këtij sektori:</w:t>
      </w:r>
    </w:p>
    <w:p w14:paraId="48D5F1B5" w14:textId="77777777" w:rsidR="00297143" w:rsidRPr="004F7CAC" w:rsidRDefault="00297143" w:rsidP="00C36529">
      <w:pPr>
        <w:tabs>
          <w:tab w:val="left" w:pos="630"/>
          <w:tab w:val="left" w:pos="3609"/>
          <w:tab w:val="left" w:pos="6008"/>
          <w:tab w:val="left" w:pos="6773"/>
          <w:tab w:val="left" w:pos="9376"/>
        </w:tabs>
        <w:spacing w:line="276" w:lineRule="auto"/>
        <w:ind w:right="48"/>
        <w:jc w:val="both"/>
        <w:rPr>
          <w:bCs/>
          <w:sz w:val="24"/>
          <w:szCs w:val="24"/>
        </w:rPr>
      </w:pPr>
    </w:p>
    <w:p w14:paraId="6619E2C6" w14:textId="6A3D7CCD" w:rsidR="00297143" w:rsidRDefault="00200D3B" w:rsidP="00C36529">
      <w:pPr>
        <w:tabs>
          <w:tab w:val="left" w:pos="630"/>
          <w:tab w:val="left" w:pos="3609"/>
          <w:tab w:val="left" w:pos="6008"/>
          <w:tab w:val="left" w:pos="6773"/>
          <w:tab w:val="left" w:pos="9376"/>
        </w:tabs>
        <w:spacing w:line="276" w:lineRule="auto"/>
        <w:ind w:right="48"/>
        <w:jc w:val="both"/>
        <w:rPr>
          <w:bCs/>
          <w:sz w:val="24"/>
          <w:szCs w:val="24"/>
        </w:rPr>
      </w:pPr>
      <w:r>
        <w:rPr>
          <w:b/>
          <w:sz w:val="24"/>
          <w:szCs w:val="24"/>
        </w:rPr>
        <w:t>Kreu</w:t>
      </w:r>
      <w:r w:rsidRPr="004F7CAC">
        <w:rPr>
          <w:b/>
          <w:sz w:val="24"/>
          <w:szCs w:val="24"/>
        </w:rPr>
        <w:t xml:space="preserve"> </w:t>
      </w:r>
      <w:r w:rsidR="00297143" w:rsidRPr="004F7CAC">
        <w:rPr>
          <w:b/>
          <w:sz w:val="24"/>
          <w:szCs w:val="24"/>
        </w:rPr>
        <w:t xml:space="preserve">I – </w:t>
      </w:r>
      <w:r w:rsidR="00297143" w:rsidRPr="009F0719">
        <w:rPr>
          <w:b/>
          <w:sz w:val="24"/>
          <w:szCs w:val="24"/>
        </w:rPr>
        <w:t>Dispozita të përgjithshme</w:t>
      </w:r>
      <w:r w:rsidR="00297143" w:rsidRPr="004F7CAC">
        <w:rPr>
          <w:bCs/>
          <w:sz w:val="24"/>
          <w:szCs w:val="24"/>
        </w:rPr>
        <w:t xml:space="preserve"> përcakton objektin, qëllimin dhe fushën e zbatimit, si dhe jep përkufizimet e termave kyç të përdorur në</w:t>
      </w:r>
      <w:r w:rsidR="000E5C89">
        <w:rPr>
          <w:bCs/>
          <w:sz w:val="24"/>
          <w:szCs w:val="24"/>
        </w:rPr>
        <w:t xml:space="preserve"> projektligj</w:t>
      </w:r>
      <w:r w:rsidR="00297143" w:rsidRPr="004F7CAC">
        <w:rPr>
          <w:bCs/>
          <w:sz w:val="24"/>
          <w:szCs w:val="24"/>
        </w:rPr>
        <w:t>. Në këtë kapitull theksohet roli i Bankës së Shqipërisë si autoriteti kryesor përgjegjës për rregullimin, mbikëqyrjen dhe operimin e sistemeve të pagesave. Gjithashtu, parashikohet bashkëpunimi ndërinstitucional me autoritete të tjera vendase dhe të huaja, si dhe krijimi i strukturave këshilluese, në funksion të zhvillimit të politikave në fushën e sistemeve të pagesave.</w:t>
      </w:r>
    </w:p>
    <w:p w14:paraId="104B82AA" w14:textId="761BDD53" w:rsidR="00CC114D" w:rsidRPr="00CC114D" w:rsidRDefault="00CC114D" w:rsidP="00C36529">
      <w:pPr>
        <w:pStyle w:val="NormalWeb"/>
        <w:spacing w:line="276" w:lineRule="auto"/>
        <w:jc w:val="both"/>
        <w:rPr>
          <w:bCs/>
          <w:lang w:val="sq-AL"/>
        </w:rPr>
      </w:pPr>
      <w:r>
        <w:rPr>
          <w:bCs/>
          <w:lang w:val="sq-AL"/>
        </w:rPr>
        <w:t xml:space="preserve">Në vijim evidentojmë </w:t>
      </w:r>
      <w:r w:rsidR="00B642D5">
        <w:rPr>
          <w:bCs/>
          <w:lang w:val="sq-AL"/>
        </w:rPr>
        <w:t>risitë</w:t>
      </w:r>
      <w:r>
        <w:rPr>
          <w:bCs/>
          <w:lang w:val="sq-AL"/>
        </w:rPr>
        <w:t xml:space="preserve"> kryesore të sjella nga projektligji krahasuar me ligjin ekzistues</w:t>
      </w:r>
      <w:r w:rsidR="000D05D3">
        <w:rPr>
          <w:bCs/>
          <w:lang w:val="sq-AL"/>
        </w:rPr>
        <w:t>.</w:t>
      </w:r>
      <w:r w:rsidRPr="00CC114D">
        <w:rPr>
          <w:bCs/>
          <w:lang w:val="sq-AL"/>
        </w:rPr>
        <w:t xml:space="preserve"> Në ligjin ekzistues nr. 133/2013, neni 1 (Qëllimi) dhe neni 2 (Objekti) fokusohen kryesisht në funksionimin e sistemit kombëtar të pagesave dhe rolin e Bankës së Shqipërisë në sigurimin e stabilitetit dhe efikasitetit të tij. Përkufizimet në nenin 4 janë relativisht të kufizuara dhe të orientuara drejt sistemeve tradicionale të pagesave dhe shlyerjes.</w:t>
      </w:r>
    </w:p>
    <w:p w14:paraId="3BE05C4B" w14:textId="02C3DD2F" w:rsidR="00CC114D" w:rsidRDefault="00CC114D" w:rsidP="00C36529">
      <w:pPr>
        <w:widowControl/>
        <w:autoSpaceDE/>
        <w:autoSpaceDN/>
        <w:spacing w:before="100" w:beforeAutospacing="1" w:after="100" w:afterAutospacing="1" w:line="276" w:lineRule="auto"/>
        <w:jc w:val="both"/>
        <w:rPr>
          <w:rFonts w:eastAsiaTheme="minorHAnsi"/>
          <w:bCs/>
          <w:sz w:val="24"/>
          <w:szCs w:val="24"/>
        </w:rPr>
      </w:pPr>
      <w:r w:rsidRPr="00CC114D">
        <w:rPr>
          <w:rFonts w:eastAsiaTheme="minorHAnsi"/>
          <w:bCs/>
          <w:sz w:val="24"/>
          <w:szCs w:val="24"/>
        </w:rPr>
        <w:t>Projektligji i ri, në nenet 1 dhe 2, ruan qëllimin bazë të ligjit ekzistues, por e zgjeron ndjeshëm objektin e tij, duke përfshirë jo vetëm sistemet e pagesave</w:t>
      </w:r>
      <w:r>
        <w:rPr>
          <w:rFonts w:eastAsiaTheme="minorHAnsi"/>
          <w:bCs/>
          <w:sz w:val="24"/>
          <w:szCs w:val="24"/>
        </w:rPr>
        <w:t>,</w:t>
      </w:r>
      <w:r w:rsidRPr="00CC114D">
        <w:rPr>
          <w:rFonts w:eastAsiaTheme="minorHAnsi"/>
          <w:bCs/>
          <w:sz w:val="24"/>
          <w:szCs w:val="24"/>
        </w:rPr>
        <w:t xml:space="preserve"> sistemet e shlyerjes së titujv</w:t>
      </w:r>
      <w:r>
        <w:rPr>
          <w:rFonts w:eastAsiaTheme="minorHAnsi"/>
          <w:bCs/>
          <w:sz w:val="24"/>
          <w:szCs w:val="24"/>
        </w:rPr>
        <w:t>e dhe shtëpive të klerimit të titujve</w:t>
      </w:r>
      <w:r w:rsidR="000E5C89">
        <w:rPr>
          <w:rFonts w:eastAsiaTheme="minorHAnsi"/>
          <w:bCs/>
          <w:sz w:val="24"/>
          <w:szCs w:val="24"/>
        </w:rPr>
        <w:t>,</w:t>
      </w:r>
      <w:r>
        <w:rPr>
          <w:rFonts w:eastAsiaTheme="minorHAnsi"/>
          <w:bCs/>
          <w:sz w:val="24"/>
          <w:szCs w:val="24"/>
        </w:rPr>
        <w:t xml:space="preserve"> por</w:t>
      </w:r>
      <w:r w:rsidR="000E5C89">
        <w:rPr>
          <w:rFonts w:eastAsiaTheme="minorHAnsi"/>
          <w:bCs/>
          <w:sz w:val="24"/>
          <w:szCs w:val="24"/>
        </w:rPr>
        <w:t xml:space="preserve"> </w:t>
      </w:r>
      <w:r>
        <w:rPr>
          <w:rFonts w:eastAsiaTheme="minorHAnsi"/>
          <w:bCs/>
          <w:sz w:val="24"/>
          <w:szCs w:val="24"/>
        </w:rPr>
        <w:t>dhe</w:t>
      </w:r>
      <w:r w:rsidR="000E5C89">
        <w:rPr>
          <w:rFonts w:eastAsiaTheme="minorHAnsi"/>
          <w:bCs/>
          <w:sz w:val="24"/>
          <w:szCs w:val="24"/>
        </w:rPr>
        <w:t xml:space="preserve"> </w:t>
      </w:r>
      <w:r w:rsidRPr="00CC114D">
        <w:rPr>
          <w:rFonts w:eastAsiaTheme="minorHAnsi"/>
          <w:bCs/>
          <w:sz w:val="24"/>
          <w:szCs w:val="24"/>
        </w:rPr>
        <w:t xml:space="preserve">depozitarët qendrorë dhe </w:t>
      </w:r>
      <w:r w:rsidR="007D16BF">
        <w:rPr>
          <w:rFonts w:eastAsiaTheme="minorHAnsi"/>
          <w:bCs/>
          <w:sz w:val="24"/>
          <w:szCs w:val="24"/>
        </w:rPr>
        <w:t xml:space="preserve">Kundërpartitë Qendrore </w:t>
      </w:r>
      <w:r w:rsidRPr="00CC114D">
        <w:rPr>
          <w:rFonts w:eastAsiaTheme="minorHAnsi"/>
          <w:bCs/>
          <w:sz w:val="24"/>
          <w:szCs w:val="24"/>
        </w:rPr>
        <w:t>(CCP). Ky zgjerim nuk ekziston në ligjin aktual.</w:t>
      </w:r>
    </w:p>
    <w:p w14:paraId="07094E32" w14:textId="77777777" w:rsidR="000E5C89" w:rsidRDefault="00E9041F" w:rsidP="00C36529">
      <w:pPr>
        <w:pStyle w:val="NormalWeb"/>
        <w:spacing w:line="276" w:lineRule="auto"/>
        <w:jc w:val="both"/>
        <w:rPr>
          <w:bCs/>
          <w:lang w:val="sq-AL"/>
        </w:rPr>
      </w:pPr>
      <w:r w:rsidRPr="00AC09CB">
        <w:rPr>
          <w:bCs/>
          <w:lang w:val="sq-AL"/>
        </w:rPr>
        <w:t xml:space="preserve">Ashtu si dhe në ligjin ekzistuese, neni 3 rregullon bashkëpunimin ndërinstitucional të Bankës së Shqipërisë me autoritetet vendase dhe të huaja. Dispozita forcon bazën ligjore </w:t>
      </w:r>
      <w:r w:rsidRPr="00AC09CB">
        <w:rPr>
          <w:bCs/>
          <w:lang w:val="sq-AL"/>
        </w:rPr>
        <w:lastRenderedPageBreak/>
        <w:t xml:space="preserve">për shkëmbimin e informacionit dhe bashkëpunimin ndërkufitar, në përputhje me kërkesat e acquis të Bashkimit Europian. </w:t>
      </w:r>
    </w:p>
    <w:p w14:paraId="61740D4B" w14:textId="2F08FE1C" w:rsidR="00E9041F" w:rsidRPr="00AC09CB" w:rsidRDefault="00E9041F" w:rsidP="00C36529">
      <w:pPr>
        <w:pStyle w:val="NormalWeb"/>
        <w:spacing w:line="276" w:lineRule="auto"/>
        <w:jc w:val="both"/>
        <w:rPr>
          <w:bCs/>
          <w:lang w:val="sq-AL"/>
        </w:rPr>
      </w:pPr>
      <w:r w:rsidRPr="00AC09CB">
        <w:rPr>
          <w:bCs/>
          <w:lang w:val="sq-AL"/>
        </w:rPr>
        <w:t>Neni 4 rregullon Komitetin Kombëtar të Sistemit të Pagesave dhe përcakton kompetencën e Bankës së Shqipërisë për organizimin dhe funksionimin e tij me akt nënligjor. Dispozita ruan qasjen ekzistuese lidhur me rolin e Komitetit si forum bashkëpunimi dhe koordinimi për zhvillimin e sistemit kombëtar të pagesave, duke e integruar atë në strukturën dhe objektivat e reja të projektligjit. Në raport me ligjin ekzistues, ndryshimet kanë karakter kryesisht sistemues dhe harmonizues me kuadrin e ri institucional të parashikuar nga projektligji.</w:t>
      </w:r>
    </w:p>
    <w:p w14:paraId="6E438A8D" w14:textId="43B4E45D" w:rsidR="00CC114D" w:rsidRPr="00CC114D" w:rsidRDefault="00CC114D" w:rsidP="00C36529">
      <w:pPr>
        <w:widowControl/>
        <w:autoSpaceDE/>
        <w:autoSpaceDN/>
        <w:spacing w:before="100" w:beforeAutospacing="1" w:after="100" w:afterAutospacing="1" w:line="276" w:lineRule="auto"/>
        <w:jc w:val="both"/>
        <w:rPr>
          <w:rFonts w:eastAsiaTheme="minorHAnsi"/>
          <w:bCs/>
          <w:sz w:val="24"/>
          <w:szCs w:val="24"/>
        </w:rPr>
      </w:pPr>
      <w:r w:rsidRPr="00CC114D">
        <w:rPr>
          <w:rFonts w:eastAsiaTheme="minorHAnsi"/>
          <w:bCs/>
          <w:sz w:val="24"/>
          <w:szCs w:val="24"/>
        </w:rPr>
        <w:t xml:space="preserve">Ndryshimi më i rëndësishëm në këtë kapitull qëndron në nenin 5 </w:t>
      </w:r>
      <w:r w:rsidR="00782E98">
        <w:rPr>
          <w:rFonts w:eastAsiaTheme="minorHAnsi"/>
          <w:bCs/>
          <w:sz w:val="24"/>
          <w:szCs w:val="24"/>
        </w:rPr>
        <w:t>“</w:t>
      </w:r>
      <w:r w:rsidRPr="00CC114D">
        <w:rPr>
          <w:rFonts w:eastAsiaTheme="minorHAnsi"/>
          <w:bCs/>
          <w:sz w:val="24"/>
          <w:szCs w:val="24"/>
        </w:rPr>
        <w:t>Përkufizime</w:t>
      </w:r>
      <w:r w:rsidR="00782E98">
        <w:rPr>
          <w:rFonts w:eastAsiaTheme="minorHAnsi"/>
          <w:bCs/>
          <w:sz w:val="24"/>
          <w:szCs w:val="24"/>
        </w:rPr>
        <w:t xml:space="preserve">” </w:t>
      </w:r>
      <w:r w:rsidRPr="00CC114D">
        <w:rPr>
          <w:rFonts w:eastAsiaTheme="minorHAnsi"/>
          <w:bCs/>
          <w:sz w:val="24"/>
          <w:szCs w:val="24"/>
        </w:rPr>
        <w:t>të projektligjit, i ci</w:t>
      </w:r>
      <w:r>
        <w:rPr>
          <w:rFonts w:eastAsiaTheme="minorHAnsi"/>
          <w:bCs/>
          <w:sz w:val="24"/>
          <w:szCs w:val="24"/>
        </w:rPr>
        <w:t xml:space="preserve">li </w:t>
      </w:r>
      <w:r w:rsidRPr="00CC114D">
        <w:rPr>
          <w:rFonts w:eastAsiaTheme="minorHAnsi"/>
          <w:bCs/>
          <w:sz w:val="24"/>
          <w:szCs w:val="24"/>
        </w:rPr>
        <w:t>zgjeron ndjeshëm terminologjinë,</w:t>
      </w:r>
      <w:r>
        <w:rPr>
          <w:rFonts w:eastAsiaTheme="minorHAnsi"/>
          <w:bCs/>
          <w:sz w:val="24"/>
          <w:szCs w:val="24"/>
        </w:rPr>
        <w:t xml:space="preserve"> </w:t>
      </w:r>
      <w:r w:rsidRPr="00CC114D">
        <w:rPr>
          <w:rFonts w:eastAsiaTheme="minorHAnsi"/>
          <w:bCs/>
          <w:sz w:val="24"/>
          <w:szCs w:val="24"/>
        </w:rPr>
        <w:t>harmonizon përkufizimet me direktivat dhe rregulloret e BE</w:t>
      </w:r>
      <w:r w:rsidRPr="00CC114D">
        <w:rPr>
          <w:rFonts w:eastAsiaTheme="minorHAnsi"/>
          <w:bCs/>
          <w:sz w:val="24"/>
          <w:szCs w:val="24"/>
        </w:rPr>
        <w:noBreakHyphen/>
        <w:t>së</w:t>
      </w:r>
      <w:r>
        <w:rPr>
          <w:rFonts w:eastAsiaTheme="minorHAnsi"/>
          <w:bCs/>
          <w:sz w:val="24"/>
          <w:szCs w:val="24"/>
        </w:rPr>
        <w:t xml:space="preserve">, </w:t>
      </w:r>
      <w:r w:rsidRPr="00CC114D">
        <w:rPr>
          <w:rFonts w:eastAsiaTheme="minorHAnsi"/>
          <w:bCs/>
          <w:sz w:val="24"/>
          <w:szCs w:val="24"/>
        </w:rPr>
        <w:t>dhe për herë të parë përfshin shprehimisht</w:t>
      </w:r>
      <w:r w:rsidR="001D59F5">
        <w:rPr>
          <w:rFonts w:eastAsiaTheme="minorHAnsi"/>
          <w:bCs/>
          <w:sz w:val="24"/>
          <w:szCs w:val="24"/>
        </w:rPr>
        <w:t xml:space="preserve"> termat</w:t>
      </w:r>
      <w:r w:rsidRPr="00CC114D">
        <w:rPr>
          <w:rFonts w:eastAsiaTheme="minorHAnsi"/>
          <w:bCs/>
          <w:sz w:val="24"/>
          <w:szCs w:val="24"/>
        </w:rPr>
        <w:t xml:space="preserve">: </w:t>
      </w:r>
      <w:r>
        <w:rPr>
          <w:rFonts w:eastAsiaTheme="minorHAnsi"/>
          <w:bCs/>
          <w:sz w:val="24"/>
          <w:szCs w:val="24"/>
        </w:rPr>
        <w:t xml:space="preserve"> </w:t>
      </w:r>
      <w:r w:rsidRPr="00CC114D">
        <w:rPr>
          <w:rFonts w:eastAsiaTheme="minorHAnsi"/>
          <w:bCs/>
          <w:sz w:val="24"/>
          <w:szCs w:val="24"/>
        </w:rPr>
        <w:t>“</w:t>
      </w:r>
      <w:r>
        <w:rPr>
          <w:rFonts w:eastAsiaTheme="minorHAnsi"/>
          <w:bCs/>
          <w:sz w:val="24"/>
          <w:szCs w:val="24"/>
        </w:rPr>
        <w:t xml:space="preserve">sistemeve të ndëveprueshme” </w:t>
      </w:r>
      <w:r w:rsidRPr="00CC114D">
        <w:rPr>
          <w:rFonts w:eastAsiaTheme="minorHAnsi"/>
          <w:bCs/>
          <w:sz w:val="24"/>
          <w:szCs w:val="24"/>
        </w:rPr>
        <w:t>,</w:t>
      </w:r>
      <w:r>
        <w:rPr>
          <w:rFonts w:eastAsiaTheme="minorHAnsi"/>
          <w:bCs/>
          <w:sz w:val="24"/>
          <w:szCs w:val="24"/>
        </w:rPr>
        <w:t xml:space="preserve"> </w:t>
      </w:r>
      <w:r w:rsidR="004C589E" w:rsidRPr="004C589E">
        <w:rPr>
          <w:rFonts w:eastAsiaTheme="minorHAnsi"/>
          <w:bCs/>
          <w:sz w:val="24"/>
          <w:szCs w:val="24"/>
        </w:rPr>
        <w:t>“pretendimet kreditore” (</w:t>
      </w:r>
      <w:r w:rsidRPr="004C589E">
        <w:rPr>
          <w:rFonts w:eastAsiaTheme="minorHAnsi"/>
          <w:bCs/>
          <w:sz w:val="24"/>
          <w:szCs w:val="24"/>
        </w:rPr>
        <w:t>“</w:t>
      </w:r>
      <w:r w:rsidRPr="00194D27">
        <w:rPr>
          <w:rFonts w:eastAsiaTheme="minorHAnsi"/>
          <w:bCs/>
          <w:i/>
          <w:iCs/>
          <w:sz w:val="24"/>
          <w:szCs w:val="24"/>
        </w:rPr>
        <w:t>credit claims</w:t>
      </w:r>
      <w:r w:rsidRPr="004C589E">
        <w:rPr>
          <w:rFonts w:eastAsiaTheme="minorHAnsi"/>
          <w:bCs/>
          <w:sz w:val="24"/>
          <w:szCs w:val="24"/>
        </w:rPr>
        <w:t>”</w:t>
      </w:r>
      <w:r w:rsidR="004C589E" w:rsidRPr="004C589E">
        <w:rPr>
          <w:rFonts w:eastAsiaTheme="minorHAnsi"/>
          <w:bCs/>
          <w:sz w:val="24"/>
          <w:szCs w:val="24"/>
        </w:rPr>
        <w:t>)</w:t>
      </w:r>
      <w:r w:rsidRPr="00CC114D">
        <w:rPr>
          <w:rFonts w:eastAsiaTheme="minorHAnsi"/>
          <w:bCs/>
          <w:sz w:val="24"/>
          <w:szCs w:val="24"/>
        </w:rPr>
        <w:t xml:space="preserve"> si formë kolaterali,</w:t>
      </w:r>
      <w:r>
        <w:rPr>
          <w:rFonts w:eastAsiaTheme="minorHAnsi"/>
          <w:bCs/>
          <w:sz w:val="24"/>
          <w:szCs w:val="24"/>
        </w:rPr>
        <w:t xml:space="preserve"> njohjen (</w:t>
      </w:r>
      <w:r w:rsidR="007D16BF">
        <w:rPr>
          <w:rFonts w:eastAsiaTheme="minorHAnsi"/>
          <w:bCs/>
          <w:sz w:val="24"/>
          <w:szCs w:val="24"/>
        </w:rPr>
        <w:t>“</w:t>
      </w:r>
      <w:r w:rsidRPr="00194D27">
        <w:rPr>
          <w:rFonts w:eastAsiaTheme="minorHAnsi"/>
          <w:bCs/>
          <w:i/>
          <w:iCs/>
          <w:sz w:val="24"/>
          <w:szCs w:val="24"/>
        </w:rPr>
        <w:t>desigantion</w:t>
      </w:r>
      <w:r w:rsidR="007D16BF">
        <w:rPr>
          <w:rFonts w:eastAsiaTheme="minorHAnsi"/>
          <w:bCs/>
          <w:i/>
          <w:iCs/>
          <w:sz w:val="24"/>
          <w:szCs w:val="24"/>
        </w:rPr>
        <w:t>”</w:t>
      </w:r>
      <w:r>
        <w:rPr>
          <w:rFonts w:eastAsiaTheme="minorHAnsi"/>
          <w:bCs/>
          <w:sz w:val="24"/>
          <w:szCs w:val="24"/>
        </w:rPr>
        <w:t>) e sistemeve etj.</w:t>
      </w:r>
    </w:p>
    <w:p w14:paraId="302742AD" w14:textId="77777777" w:rsidR="00CC114D" w:rsidRPr="00CC114D" w:rsidRDefault="00CC114D" w:rsidP="00C36529">
      <w:pPr>
        <w:widowControl/>
        <w:autoSpaceDE/>
        <w:autoSpaceDN/>
        <w:spacing w:before="100" w:beforeAutospacing="1" w:after="100" w:afterAutospacing="1" w:line="276" w:lineRule="auto"/>
        <w:jc w:val="both"/>
        <w:rPr>
          <w:rFonts w:eastAsiaTheme="minorHAnsi"/>
          <w:bCs/>
          <w:sz w:val="24"/>
          <w:szCs w:val="24"/>
        </w:rPr>
      </w:pPr>
      <w:r w:rsidRPr="00CC114D">
        <w:rPr>
          <w:rFonts w:eastAsiaTheme="minorHAnsi"/>
          <w:bCs/>
          <w:sz w:val="24"/>
          <w:szCs w:val="24"/>
        </w:rPr>
        <w:t>Këto elemente nuk janë të pranishme në ligjin nr. 133/2013 dhe përfaqësojnë një kalim nga një ligj me fokus kombëtar në një ligj të ndërtuar për integrim europian.</w:t>
      </w:r>
    </w:p>
    <w:p w14:paraId="31E26810" w14:textId="540A1F26" w:rsidR="00297143" w:rsidRDefault="00200D3B" w:rsidP="00C36529">
      <w:pPr>
        <w:tabs>
          <w:tab w:val="left" w:pos="630"/>
          <w:tab w:val="left" w:pos="3609"/>
          <w:tab w:val="left" w:pos="6008"/>
          <w:tab w:val="left" w:pos="6773"/>
          <w:tab w:val="left" w:pos="9376"/>
        </w:tabs>
        <w:spacing w:line="276" w:lineRule="auto"/>
        <w:ind w:right="48"/>
        <w:jc w:val="both"/>
        <w:rPr>
          <w:bCs/>
          <w:sz w:val="24"/>
          <w:szCs w:val="24"/>
        </w:rPr>
      </w:pPr>
      <w:r>
        <w:rPr>
          <w:b/>
          <w:sz w:val="24"/>
          <w:szCs w:val="24"/>
        </w:rPr>
        <w:t>Kreu</w:t>
      </w:r>
      <w:r w:rsidRPr="004F7CAC">
        <w:rPr>
          <w:b/>
          <w:sz w:val="24"/>
          <w:szCs w:val="24"/>
        </w:rPr>
        <w:t xml:space="preserve"> </w:t>
      </w:r>
      <w:r w:rsidR="00297143" w:rsidRPr="004F7CAC">
        <w:rPr>
          <w:b/>
          <w:sz w:val="24"/>
          <w:szCs w:val="24"/>
        </w:rPr>
        <w:t>II – Rregullimi dhe mbikëqyrja e sistemeve</w:t>
      </w:r>
      <w:r w:rsidR="00782E98">
        <w:rPr>
          <w:bCs/>
          <w:sz w:val="24"/>
          <w:szCs w:val="24"/>
        </w:rPr>
        <w:t xml:space="preserve"> </w:t>
      </w:r>
      <w:r w:rsidR="00297143" w:rsidRPr="004F7CAC">
        <w:rPr>
          <w:bCs/>
          <w:sz w:val="24"/>
          <w:szCs w:val="24"/>
        </w:rPr>
        <w:t>rregullon në mënyrë të detajuar procedurat për licencimin dhe miratimin e sistemeve të pagesave dhe sistemeve të tjera të lidhura me infrastrukturën financiare. Ky kapitull përcakton qartë kompetencat e Bankës së Shqipërisë në drejtim të mbikëqyrjes, duke përfshirë të drejtën për të vendosur kërkesa rregullatore shtesë, për të kryer inspektime dhe për të ndërmarrë masa administrative dhe sanksionuese në rast të shkeljeve. Gjithashtu, parashikohet bashkëpunimi institucional me Autoritetin e Mbikëqyrjes Financiare për sistemet e lidhura me tregjet e kapitaleve.</w:t>
      </w:r>
    </w:p>
    <w:p w14:paraId="681AFB1E" w14:textId="0FA2D958" w:rsidR="00782E98" w:rsidRDefault="00E9041F" w:rsidP="00C36529">
      <w:pPr>
        <w:spacing w:before="100" w:beforeAutospacing="1" w:after="100" w:afterAutospacing="1" w:line="276" w:lineRule="auto"/>
        <w:jc w:val="both"/>
        <w:rPr>
          <w:bCs/>
          <w:sz w:val="24"/>
          <w:szCs w:val="24"/>
        </w:rPr>
      </w:pPr>
      <w:r>
        <w:rPr>
          <w:bCs/>
          <w:sz w:val="24"/>
          <w:szCs w:val="24"/>
        </w:rPr>
        <w:t>Më konkretisht, n</w:t>
      </w:r>
      <w:r w:rsidRPr="00AC09CB">
        <w:rPr>
          <w:bCs/>
          <w:sz w:val="24"/>
          <w:szCs w:val="24"/>
        </w:rPr>
        <w:t>eni 6 rregullon licencimin ose miratimin e sistemeve. Përveç sistemeve të pagesave</w:t>
      </w:r>
      <w:r w:rsidR="00782E98">
        <w:rPr>
          <w:bCs/>
          <w:sz w:val="24"/>
          <w:szCs w:val="24"/>
        </w:rPr>
        <w:t xml:space="preserve"> </w:t>
      </w:r>
      <w:r>
        <w:rPr>
          <w:bCs/>
          <w:sz w:val="24"/>
          <w:szCs w:val="24"/>
        </w:rPr>
        <w:t xml:space="preserve">dhe </w:t>
      </w:r>
      <w:r w:rsidRPr="00F63738">
        <w:rPr>
          <w:bCs/>
          <w:sz w:val="24"/>
          <w:szCs w:val="24"/>
        </w:rPr>
        <w:t>sistemet e shlyerjes së titujve</w:t>
      </w:r>
      <w:r>
        <w:rPr>
          <w:bCs/>
          <w:sz w:val="24"/>
          <w:szCs w:val="24"/>
        </w:rPr>
        <w:t>,</w:t>
      </w:r>
      <w:r w:rsidRPr="00F63738">
        <w:rPr>
          <w:bCs/>
          <w:sz w:val="24"/>
          <w:szCs w:val="24"/>
        </w:rPr>
        <w:t xml:space="preserve"> </w:t>
      </w:r>
      <w:r w:rsidRPr="00AC09CB">
        <w:rPr>
          <w:bCs/>
          <w:sz w:val="24"/>
          <w:szCs w:val="24"/>
        </w:rPr>
        <w:t xml:space="preserve">për herë të parë përfshin depozitarët qendrorë, kundërpartitë qendrore dhe </w:t>
      </w:r>
      <w:r w:rsidR="004864B1">
        <w:rPr>
          <w:bCs/>
          <w:sz w:val="24"/>
          <w:szCs w:val="24"/>
        </w:rPr>
        <w:t>g</w:t>
      </w:r>
      <w:r w:rsidRPr="00AC09CB">
        <w:rPr>
          <w:bCs/>
          <w:sz w:val="24"/>
          <w:szCs w:val="24"/>
        </w:rPr>
        <w:t xml:space="preserve">jithashtu përcaktohet roli i Autoritetit të Mbikëqyrjes Financiare në këto procese. </w:t>
      </w:r>
    </w:p>
    <w:p w14:paraId="744B8991" w14:textId="77777777" w:rsidR="00782E98" w:rsidRDefault="00E9041F" w:rsidP="00C36529">
      <w:pPr>
        <w:spacing w:before="100" w:beforeAutospacing="1" w:after="100" w:afterAutospacing="1" w:line="276" w:lineRule="auto"/>
        <w:jc w:val="both"/>
        <w:rPr>
          <w:bCs/>
          <w:sz w:val="24"/>
          <w:szCs w:val="24"/>
        </w:rPr>
      </w:pPr>
      <w:r w:rsidRPr="00AC09CB">
        <w:rPr>
          <w:bCs/>
          <w:sz w:val="24"/>
          <w:szCs w:val="24"/>
        </w:rPr>
        <w:t>Në nenin 7 përcaktohen rastet kur Banka e Shqipërisë mund të pezullojë ose revokojë licencën apo miratimin e një sistemi</w:t>
      </w:r>
      <w:r>
        <w:rPr>
          <w:bCs/>
          <w:sz w:val="24"/>
          <w:szCs w:val="24"/>
        </w:rPr>
        <w:t xml:space="preserve"> të licencuar nga ajo</w:t>
      </w:r>
      <w:r w:rsidRPr="00AC09CB">
        <w:rPr>
          <w:bCs/>
          <w:sz w:val="24"/>
          <w:szCs w:val="24"/>
        </w:rPr>
        <w:t xml:space="preserve">. Dispozita konsolidon kriteret mbikëqyrëse dhe lidh drejtpërdrejt stabilitetin financiar me vazhdimësinë e licencimit.  </w:t>
      </w:r>
    </w:p>
    <w:p w14:paraId="3C119E55" w14:textId="6E209D9D" w:rsidR="00E9041F" w:rsidRPr="00AC09CB" w:rsidRDefault="00E9041F" w:rsidP="00C36529">
      <w:pPr>
        <w:spacing w:before="100" w:beforeAutospacing="1" w:after="100" w:afterAutospacing="1" w:line="276" w:lineRule="auto"/>
        <w:jc w:val="both"/>
        <w:rPr>
          <w:bCs/>
          <w:sz w:val="24"/>
          <w:szCs w:val="24"/>
        </w:rPr>
      </w:pPr>
      <w:r w:rsidRPr="00AC09CB">
        <w:rPr>
          <w:bCs/>
          <w:sz w:val="24"/>
          <w:szCs w:val="24"/>
        </w:rPr>
        <w:t xml:space="preserve">Neni 8 rregullon kompetencat e Bankës së Shqipërisë për rregullimin dhe mbikëqyrjen e sistemeve, si dhe përcakton bashkëpunimin institucional me Autoritetin e Mbikëqyrjes Financiare për infrastrukturat e tregjeve financiare. Krahasuar me ligjin nr. 133/2013, kjo dispozitë reflekton zhvillimet e rëndësishme të kuadrit ligjor të tregjeve financiare që kanë ndodhur pas miratimit të ligjit ekzistues. Në kohën e miratimit të ligjit nr. 133/2013, infrastruktura të tilla si depozitarët qendrorë të titujve, kundërpartitë qendrore (CCP) dhe shtëpitë e klerimit nuk ishin të rregulluara në mënyrë të posaçme në legjislacionin shqiptar. Me hyrjen në fuqi të legjislacionit për tregjet e kapitalit dhe krijimin e kuadrit </w:t>
      </w:r>
      <w:r w:rsidRPr="00AC09CB">
        <w:rPr>
          <w:bCs/>
          <w:sz w:val="24"/>
          <w:szCs w:val="24"/>
        </w:rPr>
        <w:lastRenderedPageBreak/>
        <w:t>rregullator për infrastrukturat e tregjeve financiare, është bërë e nevojshme përcaktimi më i qartë i roleve dhe përgjegjësive të Bankës së Shqipërisë dhe Autoritetit të Mbikëqyrjes Financiare. Në këtë drejtim, neni 8 krijon bazën ligjore për koordinimin ndërinstitucional në mbikëqyrjen e këtyre infrastrukturave, duke reflektuar zgjerimin e fushës së zbatimit të ligjit përtej sistemeve tradicionale të pagesave dhe duke harmonizuar kuadrin vendas me standardet e Bashkimit Europian për mbikëqyrjen e infrastrukturave të tregjeve financiare.</w:t>
      </w:r>
    </w:p>
    <w:p w14:paraId="66B3C550" w14:textId="77777777" w:rsidR="00782E98" w:rsidRDefault="00E9041F" w:rsidP="00C36529">
      <w:pPr>
        <w:spacing w:line="276" w:lineRule="auto"/>
        <w:jc w:val="both"/>
        <w:rPr>
          <w:bCs/>
          <w:sz w:val="24"/>
          <w:szCs w:val="24"/>
        </w:rPr>
      </w:pPr>
      <w:r w:rsidRPr="00AC09CB">
        <w:rPr>
          <w:bCs/>
          <w:sz w:val="24"/>
          <w:szCs w:val="24"/>
        </w:rPr>
        <w:t xml:space="preserve">Neni 9 ashtu si dhe në ligjin aktual përcakton kompetencat inspektuese të Bankës së Shqipërisë, duke i dhënë të drejtën të kontrollojë operatorët, pjesëmarrësit dhe nënpjesëmarrësit, si dhe të kërkojë çdo informacion të nevojshëm për mbikëqyrjen e sistemeve. </w:t>
      </w:r>
    </w:p>
    <w:p w14:paraId="7E21C5F3" w14:textId="77777777" w:rsidR="00782E98" w:rsidRDefault="00782E98" w:rsidP="00C36529">
      <w:pPr>
        <w:spacing w:line="276" w:lineRule="auto"/>
        <w:jc w:val="both"/>
        <w:rPr>
          <w:bCs/>
          <w:sz w:val="24"/>
          <w:szCs w:val="24"/>
        </w:rPr>
      </w:pPr>
    </w:p>
    <w:p w14:paraId="0AF3E99D" w14:textId="060CA852" w:rsidR="00E9041F" w:rsidRPr="00AC09CB" w:rsidRDefault="00E9041F" w:rsidP="00C36529">
      <w:pPr>
        <w:spacing w:line="276" w:lineRule="auto"/>
        <w:jc w:val="both"/>
        <w:rPr>
          <w:bCs/>
          <w:sz w:val="24"/>
          <w:szCs w:val="24"/>
        </w:rPr>
      </w:pPr>
      <w:r w:rsidRPr="00AC09CB">
        <w:rPr>
          <w:bCs/>
          <w:sz w:val="24"/>
          <w:szCs w:val="24"/>
        </w:rPr>
        <w:t>Gjithashtu,  neni 10  ashtu si dhe në ligjin ekzistues  njeh shprehimisht kompetencën e Bankës së Shqipërisë për të nxjerrë urdhra, udhëzime dhe vendime për adresimin e rreziqeve sistemike.</w:t>
      </w:r>
      <w:r w:rsidR="00782E98">
        <w:rPr>
          <w:bCs/>
          <w:sz w:val="24"/>
          <w:szCs w:val="24"/>
        </w:rPr>
        <w:t xml:space="preserve"> </w:t>
      </w:r>
      <w:r w:rsidRPr="00AC09CB">
        <w:rPr>
          <w:bCs/>
          <w:sz w:val="24"/>
          <w:szCs w:val="24"/>
        </w:rPr>
        <w:t>Në të njëjtën linj</w:t>
      </w:r>
      <w:r w:rsidR="00782E98">
        <w:rPr>
          <w:bCs/>
          <w:sz w:val="24"/>
          <w:szCs w:val="24"/>
        </w:rPr>
        <w:t xml:space="preserve">ë </w:t>
      </w:r>
      <w:r w:rsidRPr="00AC09CB">
        <w:rPr>
          <w:bCs/>
          <w:sz w:val="24"/>
          <w:szCs w:val="24"/>
        </w:rPr>
        <w:t xml:space="preserve">neni 11 parashikon masat mbikëqyrëse dhe parandaluese që mund të merren në rast të shkeljes së ligjit ose akteve nënligjore. </w:t>
      </w:r>
    </w:p>
    <w:p w14:paraId="19B387BD" w14:textId="77777777" w:rsidR="00782E98" w:rsidRDefault="00E9041F" w:rsidP="00C36529">
      <w:pPr>
        <w:spacing w:before="100" w:beforeAutospacing="1" w:after="100" w:afterAutospacing="1" w:line="276" w:lineRule="auto"/>
        <w:jc w:val="both"/>
        <w:rPr>
          <w:bCs/>
          <w:sz w:val="24"/>
          <w:szCs w:val="24"/>
        </w:rPr>
      </w:pPr>
      <w:r w:rsidRPr="00AC09CB">
        <w:rPr>
          <w:bCs/>
          <w:sz w:val="24"/>
          <w:szCs w:val="24"/>
        </w:rPr>
        <w:t xml:space="preserve">Neni 12 përcakton sistemin e sanksioneve administrative dhe gjobave për operatorët që shkelin dispozitat ligjore. Krahas ligjit ekzistues, dispozitat janë më të plota dhe parashikojnë masa shtesë në rast përsëritjeje të shkeljeve.  </w:t>
      </w:r>
    </w:p>
    <w:p w14:paraId="4C4BBFA7" w14:textId="77777777" w:rsidR="0000096F" w:rsidRDefault="00E9041F" w:rsidP="00C36529">
      <w:pPr>
        <w:spacing w:before="100" w:beforeAutospacing="1" w:after="100" w:afterAutospacing="1" w:line="276" w:lineRule="auto"/>
        <w:jc w:val="both"/>
        <w:rPr>
          <w:bCs/>
          <w:sz w:val="24"/>
          <w:szCs w:val="24"/>
        </w:rPr>
      </w:pPr>
      <w:r w:rsidRPr="00AC09CB">
        <w:rPr>
          <w:bCs/>
          <w:sz w:val="24"/>
          <w:szCs w:val="24"/>
        </w:rPr>
        <w:t xml:space="preserve">Në </w:t>
      </w:r>
      <w:r w:rsidR="00782E98">
        <w:rPr>
          <w:bCs/>
          <w:sz w:val="24"/>
          <w:szCs w:val="24"/>
        </w:rPr>
        <w:t>n</w:t>
      </w:r>
      <w:r w:rsidRPr="00AC09CB">
        <w:rPr>
          <w:bCs/>
          <w:sz w:val="24"/>
          <w:szCs w:val="24"/>
        </w:rPr>
        <w:t>enin 13 parashikohet detyrimi Bankë</w:t>
      </w:r>
      <w:r w:rsidR="0000096F">
        <w:rPr>
          <w:bCs/>
          <w:sz w:val="24"/>
          <w:szCs w:val="24"/>
        </w:rPr>
        <w:t>s</w:t>
      </w:r>
      <w:r w:rsidRPr="00AC09CB">
        <w:rPr>
          <w:bCs/>
          <w:sz w:val="24"/>
          <w:szCs w:val="24"/>
        </w:rPr>
        <w:t xml:space="preserve"> </w:t>
      </w:r>
      <w:r w:rsidR="0000096F">
        <w:rPr>
          <w:bCs/>
          <w:sz w:val="24"/>
          <w:szCs w:val="24"/>
        </w:rPr>
        <w:t>së</w:t>
      </w:r>
      <w:r w:rsidRPr="00AC09CB">
        <w:rPr>
          <w:bCs/>
          <w:sz w:val="24"/>
          <w:szCs w:val="24"/>
        </w:rPr>
        <w:t xml:space="preserve"> Shqipërisë të publikojë dhe administrojë listën e sistemeve të licencuara ose të miratuara. Kjo rrit transparencën dhe sigurinë juridike të tregut.  </w:t>
      </w:r>
    </w:p>
    <w:p w14:paraId="4A55F17E" w14:textId="1B349BDA" w:rsidR="00E9041F" w:rsidRPr="00AC09CB" w:rsidRDefault="00E9041F" w:rsidP="00C36529">
      <w:pPr>
        <w:spacing w:before="100" w:beforeAutospacing="1" w:after="100" w:afterAutospacing="1" w:line="276" w:lineRule="auto"/>
        <w:jc w:val="both"/>
        <w:rPr>
          <w:bCs/>
          <w:sz w:val="24"/>
          <w:szCs w:val="24"/>
        </w:rPr>
      </w:pPr>
      <w:r w:rsidRPr="00AC09CB">
        <w:rPr>
          <w:bCs/>
          <w:sz w:val="24"/>
          <w:szCs w:val="24"/>
        </w:rPr>
        <w:t xml:space="preserve">Së fundi,  neni 14 ruan kompetencat e Bankës së Shqipërisë për rregullimin dhe mbikëqyrjen e instrumenteve dhe shërbimeve të pagesave, duke harmonizuar dispozitat me ligjin “Për shërbimet e pagesave”. </w:t>
      </w:r>
    </w:p>
    <w:p w14:paraId="41734677" w14:textId="7EA4A8D8" w:rsidR="004D06D2" w:rsidRDefault="00200D3B" w:rsidP="00C36529">
      <w:pPr>
        <w:tabs>
          <w:tab w:val="left" w:pos="630"/>
          <w:tab w:val="left" w:pos="3609"/>
          <w:tab w:val="left" w:pos="6008"/>
          <w:tab w:val="left" w:pos="6773"/>
          <w:tab w:val="left" w:pos="9376"/>
        </w:tabs>
        <w:spacing w:line="276" w:lineRule="auto"/>
        <w:ind w:right="48"/>
        <w:jc w:val="both"/>
        <w:rPr>
          <w:bCs/>
          <w:sz w:val="24"/>
          <w:szCs w:val="24"/>
        </w:rPr>
      </w:pPr>
      <w:r>
        <w:rPr>
          <w:b/>
          <w:sz w:val="24"/>
          <w:szCs w:val="24"/>
        </w:rPr>
        <w:t>Kreu</w:t>
      </w:r>
      <w:r w:rsidRPr="004F7CAC">
        <w:rPr>
          <w:b/>
          <w:sz w:val="24"/>
          <w:szCs w:val="24"/>
        </w:rPr>
        <w:t xml:space="preserve"> </w:t>
      </w:r>
      <w:r w:rsidR="00297143" w:rsidRPr="004F7CAC">
        <w:rPr>
          <w:b/>
          <w:sz w:val="24"/>
          <w:szCs w:val="24"/>
        </w:rPr>
        <w:t>III – Mbrojtja e sistemeve</w:t>
      </w:r>
      <w:r w:rsidR="004864B1">
        <w:rPr>
          <w:bCs/>
          <w:sz w:val="24"/>
          <w:szCs w:val="24"/>
        </w:rPr>
        <w:t xml:space="preserve">. </w:t>
      </w:r>
      <w:r w:rsidR="004D06D2" w:rsidRPr="004D06D2">
        <w:rPr>
          <w:bCs/>
          <w:sz w:val="24"/>
          <w:szCs w:val="24"/>
        </w:rPr>
        <w:t xml:space="preserve">Ky kapitull përbëhet nga nenet 15-26 dhe përfaqëson një nga pjesët më të rëndësishme të projektligjit, pasi transpozon elementet kryesore të Direktivës 98/26/KE për finalitetin e shlyerjes në sistemet e pagesave dhe sistemet e shlyerjes së titujve. Dispozitat e këtij kreu synojnë të reduktojnë rrezikun sistemik dhe të forcojnë sigurinë juridike të proceseve të pagesave dhe shlyerjes së titujve. </w:t>
      </w:r>
    </w:p>
    <w:p w14:paraId="28B37483" w14:textId="77777777" w:rsidR="009457F0" w:rsidRPr="004D06D2" w:rsidRDefault="009457F0" w:rsidP="00C36529">
      <w:pPr>
        <w:tabs>
          <w:tab w:val="left" w:pos="630"/>
          <w:tab w:val="left" w:pos="3609"/>
          <w:tab w:val="left" w:pos="6008"/>
          <w:tab w:val="left" w:pos="6773"/>
          <w:tab w:val="left" w:pos="9376"/>
        </w:tabs>
        <w:spacing w:line="276" w:lineRule="auto"/>
        <w:ind w:right="48"/>
        <w:jc w:val="both"/>
        <w:rPr>
          <w:bCs/>
          <w:sz w:val="24"/>
          <w:szCs w:val="24"/>
        </w:rPr>
      </w:pPr>
    </w:p>
    <w:p w14:paraId="7E630E88" w14:textId="77777777" w:rsidR="004D06D2" w:rsidRDefault="004D06D2" w:rsidP="00C36529">
      <w:pPr>
        <w:tabs>
          <w:tab w:val="left" w:pos="630"/>
          <w:tab w:val="left" w:pos="3609"/>
          <w:tab w:val="left" w:pos="6008"/>
          <w:tab w:val="left" w:pos="6773"/>
          <w:tab w:val="left" w:pos="9376"/>
        </w:tabs>
        <w:spacing w:line="276" w:lineRule="auto"/>
        <w:ind w:right="48"/>
        <w:jc w:val="both"/>
        <w:rPr>
          <w:bCs/>
          <w:sz w:val="24"/>
          <w:szCs w:val="24"/>
        </w:rPr>
      </w:pPr>
      <w:r w:rsidRPr="004D06D2">
        <w:rPr>
          <w:bCs/>
          <w:sz w:val="24"/>
          <w:szCs w:val="24"/>
        </w:rPr>
        <w:t xml:space="preserve">Më konkretisht, neni 15 përcakton fushën e zbatimit të këtij kreu dhe identifikon sistemet, pjesëmarrësit dhe kolateralin që përfitojnë nga mbrojtja e parashikuar nga ligji. Krahas sistemeve të pagesave, dispozita shtrin mbrojtjen edhe ndaj sistemeve të shlyerjes së titujve dhe kolateralit të përdorur në lidhje me to, duke reflektuar qasjen e Direktivës për Finalitetin e Shlyerjes. </w:t>
      </w:r>
    </w:p>
    <w:p w14:paraId="5F008BDD" w14:textId="77777777" w:rsidR="00805B98" w:rsidRPr="004D06D2" w:rsidRDefault="00805B98" w:rsidP="00C36529">
      <w:pPr>
        <w:tabs>
          <w:tab w:val="left" w:pos="630"/>
          <w:tab w:val="left" w:pos="3609"/>
          <w:tab w:val="left" w:pos="6008"/>
          <w:tab w:val="left" w:pos="6773"/>
          <w:tab w:val="left" w:pos="9376"/>
        </w:tabs>
        <w:spacing w:line="276" w:lineRule="auto"/>
        <w:ind w:right="48"/>
        <w:jc w:val="both"/>
        <w:rPr>
          <w:bCs/>
          <w:sz w:val="24"/>
          <w:szCs w:val="24"/>
        </w:rPr>
      </w:pPr>
    </w:p>
    <w:p w14:paraId="3931664D" w14:textId="0C841611" w:rsidR="004D06D2" w:rsidRDefault="004D06D2" w:rsidP="00C36529">
      <w:pPr>
        <w:tabs>
          <w:tab w:val="left" w:pos="630"/>
          <w:tab w:val="left" w:pos="3609"/>
          <w:tab w:val="left" w:pos="6008"/>
          <w:tab w:val="left" w:pos="6773"/>
          <w:tab w:val="left" w:pos="9376"/>
        </w:tabs>
        <w:spacing w:line="276" w:lineRule="auto"/>
        <w:ind w:right="48"/>
        <w:jc w:val="both"/>
        <w:rPr>
          <w:bCs/>
          <w:sz w:val="24"/>
          <w:szCs w:val="24"/>
        </w:rPr>
      </w:pPr>
      <w:r w:rsidRPr="004D06D2">
        <w:rPr>
          <w:bCs/>
          <w:sz w:val="24"/>
          <w:szCs w:val="24"/>
        </w:rPr>
        <w:t xml:space="preserve">Neni 16 në vijim të përcaktimit të fushës së zbatimit, rregullon kategoritë e pjesëmarrësve në sistem dhe trajtimin e nënpjesëmarrësve. Dispozita i njeh Bankës së Shqipërisë kompetencën që kur kjo justifikohet nga rreziku sistemik, të trajtojë nënpjesëmarrësit si </w:t>
      </w:r>
      <w:r w:rsidRPr="004D06D2">
        <w:rPr>
          <w:bCs/>
          <w:sz w:val="24"/>
          <w:szCs w:val="24"/>
        </w:rPr>
        <w:lastRenderedPageBreak/>
        <w:t xml:space="preserve">pjesëmarrës për qëllime të mbrojtjes së parashikuar nga ky kapitull. </w:t>
      </w:r>
    </w:p>
    <w:p w14:paraId="76251404" w14:textId="77777777" w:rsidR="004864B1" w:rsidRPr="004D06D2" w:rsidRDefault="004864B1" w:rsidP="00C36529">
      <w:pPr>
        <w:tabs>
          <w:tab w:val="left" w:pos="630"/>
          <w:tab w:val="left" w:pos="3609"/>
          <w:tab w:val="left" w:pos="6008"/>
          <w:tab w:val="left" w:pos="6773"/>
          <w:tab w:val="left" w:pos="9376"/>
        </w:tabs>
        <w:spacing w:line="276" w:lineRule="auto"/>
        <w:ind w:right="48"/>
        <w:jc w:val="both"/>
        <w:rPr>
          <w:bCs/>
          <w:sz w:val="24"/>
          <w:szCs w:val="24"/>
        </w:rPr>
      </w:pPr>
    </w:p>
    <w:p w14:paraId="421E3A04" w14:textId="77777777" w:rsidR="009457F0" w:rsidRDefault="004D06D2" w:rsidP="00C36529">
      <w:pPr>
        <w:tabs>
          <w:tab w:val="left" w:pos="630"/>
          <w:tab w:val="left" w:pos="3609"/>
          <w:tab w:val="left" w:pos="6008"/>
          <w:tab w:val="left" w:pos="6773"/>
          <w:tab w:val="left" w:pos="9376"/>
        </w:tabs>
        <w:spacing w:line="276" w:lineRule="auto"/>
        <w:ind w:right="48"/>
        <w:jc w:val="both"/>
        <w:rPr>
          <w:bCs/>
          <w:sz w:val="24"/>
          <w:szCs w:val="24"/>
        </w:rPr>
      </w:pPr>
      <w:r w:rsidRPr="004D06D2">
        <w:rPr>
          <w:bCs/>
          <w:sz w:val="24"/>
          <w:szCs w:val="24"/>
        </w:rPr>
        <w:t xml:space="preserve">Pasi përcaktohen subjektet që përfitojnë nga mbrojtja ligjore, neni 17 krijon mekanizmin e njohjes (“designation”) të sistemeve. Ky mekanizëm përbën një nga risitë më të rëndësishme të projektligjit, pasi mungon në ligjin nr. 133/2013 dhe përfaqëson një kërkesë themelore të acquis të Bashkimit Europian. Dispozita përcakton kushtet dhe autoritetet përgjegjëse për njohjen e sistemeve që përfitojnë mbrojtjen e posaçme të finalitetit të shlyerjes. </w:t>
      </w:r>
    </w:p>
    <w:p w14:paraId="70B107DC" w14:textId="77777777" w:rsidR="009457F0" w:rsidRDefault="009457F0" w:rsidP="00C36529">
      <w:pPr>
        <w:tabs>
          <w:tab w:val="left" w:pos="630"/>
          <w:tab w:val="left" w:pos="3609"/>
          <w:tab w:val="left" w:pos="6008"/>
          <w:tab w:val="left" w:pos="6773"/>
          <w:tab w:val="left" w:pos="9376"/>
        </w:tabs>
        <w:spacing w:line="276" w:lineRule="auto"/>
        <w:ind w:right="48"/>
        <w:jc w:val="both"/>
        <w:rPr>
          <w:bCs/>
          <w:sz w:val="24"/>
          <w:szCs w:val="24"/>
        </w:rPr>
      </w:pPr>
    </w:p>
    <w:p w14:paraId="372E6B38" w14:textId="1CA4933B" w:rsidR="004D06D2" w:rsidRDefault="004D06D2" w:rsidP="00C36529">
      <w:pPr>
        <w:tabs>
          <w:tab w:val="left" w:pos="630"/>
          <w:tab w:val="left" w:pos="3609"/>
          <w:tab w:val="left" w:pos="6008"/>
          <w:tab w:val="left" w:pos="6773"/>
          <w:tab w:val="left" w:pos="9376"/>
        </w:tabs>
        <w:spacing w:line="276" w:lineRule="auto"/>
        <w:ind w:right="48"/>
        <w:jc w:val="both"/>
        <w:rPr>
          <w:bCs/>
          <w:sz w:val="24"/>
          <w:szCs w:val="24"/>
        </w:rPr>
      </w:pPr>
      <w:r w:rsidRPr="004D06D2">
        <w:rPr>
          <w:bCs/>
          <w:sz w:val="24"/>
          <w:szCs w:val="24"/>
        </w:rPr>
        <w:t xml:space="preserve">Mbi bazën e këtij mekanizmi, neni 18 sanksionon parimin e finalitetit të shlyerjes, duke garantuar se urdhër-transfertat dhe proceset e netimit mbeten të vlefshme, të detyrueshme dhe juridikisht të ekzekutueshme edhe në rastet e hapjes së procedurave të paaftësisë paguese ndaj një pjesëmarrësi. Krahasuar me ligjin ekzistues, dispozita zgjeron mbrojtjen duke adresuar edhe sistemet ndërvepruese dhe marrëdhëniet ndërmjet tyre. </w:t>
      </w:r>
    </w:p>
    <w:p w14:paraId="58F0C1EC" w14:textId="77777777" w:rsidR="00805B98" w:rsidRPr="004D06D2" w:rsidRDefault="00805B98" w:rsidP="00C36529">
      <w:pPr>
        <w:tabs>
          <w:tab w:val="left" w:pos="630"/>
          <w:tab w:val="left" w:pos="3609"/>
          <w:tab w:val="left" w:pos="6008"/>
          <w:tab w:val="left" w:pos="6773"/>
          <w:tab w:val="left" w:pos="9376"/>
        </w:tabs>
        <w:spacing w:line="276" w:lineRule="auto"/>
        <w:ind w:right="48"/>
        <w:jc w:val="both"/>
        <w:rPr>
          <w:bCs/>
          <w:sz w:val="24"/>
          <w:szCs w:val="24"/>
        </w:rPr>
      </w:pPr>
    </w:p>
    <w:p w14:paraId="0AD4159E" w14:textId="77777777" w:rsidR="004D06D2" w:rsidRDefault="004D06D2" w:rsidP="00C36529">
      <w:pPr>
        <w:tabs>
          <w:tab w:val="left" w:pos="630"/>
          <w:tab w:val="left" w:pos="3609"/>
          <w:tab w:val="left" w:pos="6008"/>
          <w:tab w:val="left" w:pos="6773"/>
          <w:tab w:val="left" w:pos="9376"/>
        </w:tabs>
        <w:spacing w:line="276" w:lineRule="auto"/>
        <w:ind w:right="48"/>
        <w:jc w:val="both"/>
        <w:rPr>
          <w:bCs/>
          <w:sz w:val="24"/>
          <w:szCs w:val="24"/>
        </w:rPr>
      </w:pPr>
      <w:r w:rsidRPr="004D06D2">
        <w:rPr>
          <w:bCs/>
          <w:sz w:val="24"/>
          <w:szCs w:val="24"/>
        </w:rPr>
        <w:t xml:space="preserve">I lidhur ngushtë me këtë parim, neni 19 rregullon parevokueshmërinë e urdhër-transfertave dhe momentin nga i cili ato nuk mund të anulohen ose revokohen. Në raport me kuadrin aktual ligjor, projekligji trajton në mënyrë më të detajuar koordinimin e këtyre rregullave në rastin e sistemeve ndërvepruese.  Për të garantuar zbatimin praktik të këtyre parimeve, neni 20 përcakton momentin juridik të hapjes së procedurës së paaftësisë paguese dhe procedurat përkatëse të njoftimit. Krahasuar me ligjin ekzistues, dispozita detajon detyrimet institucionale të njoftimit dhe bashkëpunimit ndërmjet autoriteteve kompetente dhe operatorëve të sistemeve. </w:t>
      </w:r>
    </w:p>
    <w:p w14:paraId="37E20B3A" w14:textId="77777777" w:rsidR="00805B98" w:rsidRPr="004D06D2" w:rsidRDefault="00805B98" w:rsidP="00C36529">
      <w:pPr>
        <w:tabs>
          <w:tab w:val="left" w:pos="630"/>
          <w:tab w:val="left" w:pos="3609"/>
          <w:tab w:val="left" w:pos="6008"/>
          <w:tab w:val="left" w:pos="6773"/>
          <w:tab w:val="left" w:pos="9376"/>
        </w:tabs>
        <w:spacing w:line="276" w:lineRule="auto"/>
        <w:ind w:right="48"/>
        <w:jc w:val="both"/>
        <w:rPr>
          <w:bCs/>
          <w:sz w:val="24"/>
          <w:szCs w:val="24"/>
        </w:rPr>
      </w:pPr>
    </w:p>
    <w:p w14:paraId="054E12D0" w14:textId="77777777" w:rsidR="004D06D2" w:rsidRDefault="004D06D2" w:rsidP="00C36529">
      <w:pPr>
        <w:tabs>
          <w:tab w:val="left" w:pos="630"/>
          <w:tab w:val="left" w:pos="3609"/>
          <w:tab w:val="left" w:pos="6008"/>
          <w:tab w:val="left" w:pos="6773"/>
          <w:tab w:val="left" w:pos="9376"/>
        </w:tabs>
        <w:spacing w:line="276" w:lineRule="auto"/>
        <w:ind w:right="48"/>
        <w:jc w:val="both"/>
        <w:rPr>
          <w:bCs/>
          <w:sz w:val="24"/>
          <w:szCs w:val="24"/>
        </w:rPr>
      </w:pPr>
      <w:r w:rsidRPr="004D06D2">
        <w:rPr>
          <w:bCs/>
          <w:sz w:val="24"/>
          <w:szCs w:val="24"/>
        </w:rPr>
        <w:t xml:space="preserve">Në vijim, neni 21 garanton se të drejtat dhe detyrimet e krijuara përpara hapjes së procedurës së paaftësisë paguese nuk cenohen nga fillimi i kësaj procedure. Në këtë mënyrë, forcohet më tej mbrojtja e finalitetit të pagesave dhe e proceseve të netimit, duke siguruar vazhdimësinë juridike të transaksioneve që janë futur në sistem përpara fillimit të procedurës. </w:t>
      </w:r>
    </w:p>
    <w:p w14:paraId="1D09F675" w14:textId="77777777" w:rsidR="00805B98" w:rsidRPr="004D06D2" w:rsidRDefault="00805B98" w:rsidP="00C36529">
      <w:pPr>
        <w:tabs>
          <w:tab w:val="left" w:pos="630"/>
          <w:tab w:val="left" w:pos="3609"/>
          <w:tab w:val="left" w:pos="6008"/>
          <w:tab w:val="left" w:pos="6773"/>
          <w:tab w:val="left" w:pos="9376"/>
        </w:tabs>
        <w:spacing w:line="276" w:lineRule="auto"/>
        <w:ind w:right="48"/>
        <w:jc w:val="both"/>
        <w:rPr>
          <w:bCs/>
          <w:sz w:val="24"/>
          <w:szCs w:val="24"/>
        </w:rPr>
      </w:pPr>
    </w:p>
    <w:p w14:paraId="1F3462D2" w14:textId="77777777" w:rsidR="004D06D2" w:rsidRDefault="004D06D2" w:rsidP="00C36529">
      <w:pPr>
        <w:tabs>
          <w:tab w:val="left" w:pos="630"/>
          <w:tab w:val="left" w:pos="3609"/>
          <w:tab w:val="left" w:pos="6008"/>
          <w:tab w:val="left" w:pos="6773"/>
          <w:tab w:val="left" w:pos="9376"/>
        </w:tabs>
        <w:spacing w:line="276" w:lineRule="auto"/>
        <w:ind w:right="48"/>
        <w:jc w:val="both"/>
        <w:rPr>
          <w:bCs/>
          <w:sz w:val="24"/>
          <w:szCs w:val="24"/>
        </w:rPr>
      </w:pPr>
      <w:r w:rsidRPr="004D06D2">
        <w:rPr>
          <w:bCs/>
          <w:sz w:val="24"/>
          <w:szCs w:val="24"/>
        </w:rPr>
        <w:t xml:space="preserve">Krahas situatave të paaftësisë paguese, neni 22 adreson edhe rastet e ndërhyrjes së jashtëzakonshme ndaj institucioneve financiare. Dispozita parashikon se masat e tilla nuk cenojnë vlefshmërinë e urdhër-transfertave, netimit dhe proceseve të shlyerjes, duke reflektuar zhvillimet e legjislacionit europian dhe atij shqiptar pas krizës financiare dhe ndërveprimin me kuadrin e rimëkëmbjes dhe ndërhyrjes së jashtëzakonshme (BRRD). Për të plotësuar këtë regjim mbrojtjeje, neni 23 forcon mbrojtjen e kolateralit të përdorur në sistemet e pagesave dhe në operacionet e bankave qendrore. Krahasuar me ligjin ekzistues, dispozita është më e detajuar dhe garanton që të drejtat mbi kolateralin të mos cenohen nga procedurat e paaftësisë paguese, duke ruajtur efektivitetin e mekanizmave të administrimet të rrezikut. </w:t>
      </w:r>
    </w:p>
    <w:p w14:paraId="233205ED" w14:textId="77777777" w:rsidR="00805B98" w:rsidRPr="004D06D2" w:rsidRDefault="00805B98" w:rsidP="00C36529">
      <w:pPr>
        <w:tabs>
          <w:tab w:val="left" w:pos="630"/>
          <w:tab w:val="left" w:pos="3609"/>
          <w:tab w:val="left" w:pos="6008"/>
          <w:tab w:val="left" w:pos="6773"/>
          <w:tab w:val="left" w:pos="9376"/>
        </w:tabs>
        <w:spacing w:line="276" w:lineRule="auto"/>
        <w:ind w:right="48"/>
        <w:jc w:val="both"/>
        <w:rPr>
          <w:bCs/>
          <w:sz w:val="24"/>
          <w:szCs w:val="24"/>
        </w:rPr>
      </w:pPr>
    </w:p>
    <w:p w14:paraId="33C9B3DB" w14:textId="77777777" w:rsidR="009457F0" w:rsidRDefault="004D06D2" w:rsidP="00C36529">
      <w:pPr>
        <w:tabs>
          <w:tab w:val="left" w:pos="630"/>
          <w:tab w:val="left" w:pos="3609"/>
          <w:tab w:val="left" w:pos="6008"/>
          <w:tab w:val="left" w:pos="6773"/>
          <w:tab w:val="left" w:pos="9376"/>
        </w:tabs>
        <w:spacing w:line="276" w:lineRule="auto"/>
        <w:ind w:right="48"/>
        <w:jc w:val="both"/>
        <w:rPr>
          <w:bCs/>
          <w:sz w:val="24"/>
          <w:szCs w:val="24"/>
        </w:rPr>
      </w:pPr>
      <w:r w:rsidRPr="004D06D2">
        <w:rPr>
          <w:bCs/>
          <w:sz w:val="24"/>
          <w:szCs w:val="24"/>
        </w:rPr>
        <w:t xml:space="preserve">Në të njëjtën logjikë mbrojtjeje, neni 24 parashikon mbrojtjen e fondeve dhe instrumenteve financiare të mbajtura në llogaritë e shlyerjes nga sekuestrimet ose masat e tjera të ekzekutimit të detyrueshëm, duke kontribuar në sigurinë dhe vazhdimësinë e proceseve të shlyerjes. </w:t>
      </w:r>
    </w:p>
    <w:p w14:paraId="601B75ED" w14:textId="77777777" w:rsidR="009457F0" w:rsidRDefault="009457F0" w:rsidP="00C36529">
      <w:pPr>
        <w:tabs>
          <w:tab w:val="left" w:pos="630"/>
          <w:tab w:val="left" w:pos="3609"/>
          <w:tab w:val="left" w:pos="6008"/>
          <w:tab w:val="left" w:pos="6773"/>
          <w:tab w:val="left" w:pos="9376"/>
        </w:tabs>
        <w:spacing w:line="276" w:lineRule="auto"/>
        <w:ind w:right="48"/>
        <w:jc w:val="both"/>
        <w:rPr>
          <w:bCs/>
          <w:sz w:val="24"/>
          <w:szCs w:val="24"/>
        </w:rPr>
      </w:pPr>
    </w:p>
    <w:p w14:paraId="3115BCA0" w14:textId="77777777" w:rsidR="009457F0" w:rsidRDefault="004D06D2" w:rsidP="00C36529">
      <w:pPr>
        <w:tabs>
          <w:tab w:val="left" w:pos="630"/>
          <w:tab w:val="left" w:pos="3609"/>
          <w:tab w:val="left" w:pos="6008"/>
          <w:tab w:val="left" w:pos="6773"/>
          <w:tab w:val="left" w:pos="9376"/>
        </w:tabs>
        <w:spacing w:line="276" w:lineRule="auto"/>
        <w:ind w:right="48"/>
        <w:jc w:val="both"/>
        <w:rPr>
          <w:bCs/>
          <w:sz w:val="24"/>
          <w:szCs w:val="24"/>
        </w:rPr>
      </w:pPr>
      <w:r w:rsidRPr="004D06D2">
        <w:rPr>
          <w:bCs/>
          <w:sz w:val="24"/>
          <w:szCs w:val="24"/>
        </w:rPr>
        <w:t xml:space="preserve">Pas përcaktimit të mekanizmave të mbrojtjes, neni 25 rregullon detyrimet e raportimit dhe njoftimit për operatorët e sistemeve të njohura. Risitë lidhen veçanërisht me detyrimet e bashkëpunimit dhe shkëmbimit të informacionit me autoritetet europiane pas anëtarësimit të Republikës së Shqipërisë në Bashkimin Europian. </w:t>
      </w:r>
    </w:p>
    <w:p w14:paraId="47D842E1" w14:textId="77777777" w:rsidR="009457F0" w:rsidRDefault="009457F0" w:rsidP="00C36529">
      <w:pPr>
        <w:tabs>
          <w:tab w:val="left" w:pos="630"/>
          <w:tab w:val="left" w:pos="3609"/>
          <w:tab w:val="left" w:pos="6008"/>
          <w:tab w:val="left" w:pos="6773"/>
          <w:tab w:val="left" w:pos="9376"/>
        </w:tabs>
        <w:spacing w:line="276" w:lineRule="auto"/>
        <w:ind w:right="48"/>
        <w:jc w:val="both"/>
        <w:rPr>
          <w:bCs/>
          <w:sz w:val="24"/>
          <w:szCs w:val="24"/>
        </w:rPr>
      </w:pPr>
    </w:p>
    <w:p w14:paraId="37BFE10A" w14:textId="29F219E6" w:rsidR="004D06D2" w:rsidRPr="004D06D2" w:rsidRDefault="004D06D2" w:rsidP="00C36529">
      <w:pPr>
        <w:tabs>
          <w:tab w:val="left" w:pos="630"/>
          <w:tab w:val="left" w:pos="3609"/>
          <w:tab w:val="left" w:pos="6008"/>
          <w:tab w:val="left" w:pos="6773"/>
          <w:tab w:val="left" w:pos="9376"/>
        </w:tabs>
        <w:spacing w:line="276" w:lineRule="auto"/>
        <w:ind w:right="48"/>
        <w:jc w:val="both"/>
        <w:rPr>
          <w:bCs/>
          <w:sz w:val="24"/>
          <w:szCs w:val="24"/>
        </w:rPr>
      </w:pPr>
      <w:r w:rsidRPr="004D06D2">
        <w:rPr>
          <w:bCs/>
          <w:sz w:val="24"/>
          <w:szCs w:val="24"/>
        </w:rPr>
        <w:t xml:space="preserve">Së fundi, neni 26 përcakton ligjin e zbatueshëm në rastet ndërkufitare të paaftësisë paguese, duke sqaruar se cili legjislacion do të rregullojë të drejtat dhe detyrimet që rrjedhin nga pjesëmarrja në një sistem. Në këtë mënyrë, plotësohet kuadri i mbrojtjes së krijuar nga Kreu III dhe sigurohet qartësi juridike për pjesëmarrësit vendas dhe të huaj në sistemet e pagesave dhe të shlyerjes së titujve. </w:t>
      </w:r>
    </w:p>
    <w:p w14:paraId="69441B1D" w14:textId="32507300" w:rsidR="00B31A86" w:rsidRPr="00B31A86" w:rsidRDefault="00200D3B" w:rsidP="00C36529">
      <w:pPr>
        <w:widowControl/>
        <w:autoSpaceDE/>
        <w:autoSpaceDN/>
        <w:spacing w:before="100" w:beforeAutospacing="1" w:after="100" w:afterAutospacing="1" w:line="276" w:lineRule="auto"/>
        <w:jc w:val="both"/>
        <w:rPr>
          <w:bCs/>
          <w:sz w:val="24"/>
          <w:szCs w:val="24"/>
        </w:rPr>
      </w:pPr>
      <w:r>
        <w:rPr>
          <w:b/>
          <w:sz w:val="24"/>
          <w:szCs w:val="24"/>
        </w:rPr>
        <w:t xml:space="preserve">Kreu </w:t>
      </w:r>
      <w:r w:rsidR="00297143" w:rsidRPr="004F7CAC">
        <w:rPr>
          <w:b/>
          <w:sz w:val="24"/>
          <w:szCs w:val="24"/>
        </w:rPr>
        <w:t>IV – Sistemet e Bankës së Shqipërisë</w:t>
      </w:r>
      <w:r w:rsidR="009457F0">
        <w:rPr>
          <w:b/>
          <w:sz w:val="24"/>
          <w:szCs w:val="24"/>
        </w:rPr>
        <w:t xml:space="preserve"> </w:t>
      </w:r>
      <w:r w:rsidR="00297143" w:rsidRPr="004F7CAC">
        <w:rPr>
          <w:bCs/>
          <w:sz w:val="24"/>
          <w:szCs w:val="24"/>
        </w:rPr>
        <w:t xml:space="preserve">- </w:t>
      </w:r>
      <w:r w:rsidR="00B31A86" w:rsidRPr="00B31A86">
        <w:rPr>
          <w:bCs/>
          <w:sz w:val="24"/>
          <w:szCs w:val="24"/>
        </w:rPr>
        <w:t>Kreu IV përmban dispozita të posaçme për sistemet që administrohen dhe operohen nga Banka e Shqipërisë. Në këtë kapitull përcaktohen rregullat e funksionimit të këtyre sistemeve, përfshirë momentin e hyrjes së urdhër-transfertave në sistem, parevokueshmërinë e tyre, procedurat e shlyerjes, administrimin e rrezikut dhe përgjegjësitë e pjesëmarrësve. Gjithashtu, parashikohen masa administrative dhe sanksione ndaj pjesëmarrësve në rast të mosrespektimit të rregullave të sistemit.</w:t>
      </w:r>
      <w:r w:rsidR="009457F0">
        <w:rPr>
          <w:bCs/>
          <w:sz w:val="24"/>
          <w:szCs w:val="24"/>
        </w:rPr>
        <w:t xml:space="preserve"> </w:t>
      </w:r>
      <w:r w:rsidR="00B31A86" w:rsidRPr="00B31A86">
        <w:rPr>
          <w:bCs/>
          <w:sz w:val="24"/>
          <w:szCs w:val="24"/>
        </w:rPr>
        <w:t>Më në detaje, neni 27 përcakton statusin juridik të sistemeve të administruara dhe operuara nga Banka e Shqipërisë, duke ruajtur parimin ekzistues sipas të cilit këto sisteme nuk i nënshtrohen procedurave të licencimit ose miratimit nga ndonjë autoritet publik. Megjithatë, projektligji thekson se këto sisteme duhet të funksionojnë në përputhje me parimet mbikëqyrëse të miratuara nga Banka e Shqipërisë dhe të zbatueshme për sisteme të ngjashme, duke forcuar kështu lidhjen me standardet ndërkombëtare për infrastrukturat e tregjeve financiare.</w:t>
      </w:r>
    </w:p>
    <w:p w14:paraId="123425C8" w14:textId="77777777" w:rsidR="00B31A86" w:rsidRPr="00B31A86" w:rsidRDefault="00B31A86" w:rsidP="00C36529">
      <w:pPr>
        <w:widowControl/>
        <w:autoSpaceDE/>
        <w:autoSpaceDN/>
        <w:spacing w:before="100" w:beforeAutospacing="1" w:after="100" w:afterAutospacing="1" w:line="276" w:lineRule="auto"/>
        <w:jc w:val="both"/>
        <w:rPr>
          <w:bCs/>
          <w:sz w:val="24"/>
          <w:szCs w:val="24"/>
        </w:rPr>
      </w:pPr>
      <w:r w:rsidRPr="00B31A86">
        <w:rPr>
          <w:bCs/>
          <w:sz w:val="24"/>
          <w:szCs w:val="24"/>
        </w:rPr>
        <w:t>Në vijim, neni 28 detajon në mënyrë shumë më të qartë krahasuar me ligjin nr. 133/2013 rregullat operative të sistemeve të Bankës së Shqipërisë. Dispozita përcakton elementet minimale që duhet të përmbajnë rregullat e administrimit dhe operimit të këtyre sistemeve, duke përfshirë të drejtat dhe detyrimet e pjesëmarrësve, momentin e hyrjes së urdhër-transfertave në sistem, parevokueshmërinë e tyre, procedurat e shlyerjes, administrimin e rrezikut, rastet e raportimit dhe detyrimet financiare që burojnë nga pjesëmarrja në sistem. Në këtë mënyrë krijohet një kuadër më i plotë dhe më transparent për funksionimin e sistemeve të operuara nga Banka e Shqipërisë.</w:t>
      </w:r>
    </w:p>
    <w:p w14:paraId="0A83C541" w14:textId="77777777" w:rsidR="009457F0" w:rsidRDefault="00B31A86" w:rsidP="00C36529">
      <w:pPr>
        <w:spacing w:line="276" w:lineRule="auto"/>
        <w:jc w:val="both"/>
        <w:rPr>
          <w:bCs/>
          <w:sz w:val="24"/>
          <w:szCs w:val="24"/>
        </w:rPr>
      </w:pPr>
      <w:r w:rsidRPr="00B31A86">
        <w:rPr>
          <w:bCs/>
          <w:sz w:val="24"/>
          <w:szCs w:val="24"/>
        </w:rPr>
        <w:t>Një risi e rëndësishme krahasuar me ligjin nr. 133/2013 është neni 29, i cili parashikon masa administrative dhe gjoba ndaj pjesëmarrësve në sistemet e Bankës së Shqipërisë në rast të mosrespektimit të rregullave të pjesëmarrjes, procedurave operative, kërkesave për raportim dhe detyrimeve financiare që rrjedhin nga pjesëmarrja në sistem. Këto dispozita synojnë të forcojnë disiplinën operacionale, sigurinë dhe qëndrueshmërinë e sistemeve të pagesave dhe janë në përputhje me standardet ndërkombëtare të CPMI-IOSCO për infrastrukturat e tregjeve financiare.</w:t>
      </w:r>
    </w:p>
    <w:p w14:paraId="4D344EE5" w14:textId="77777777" w:rsidR="009457F0" w:rsidRDefault="009457F0" w:rsidP="00C36529">
      <w:pPr>
        <w:spacing w:line="276" w:lineRule="auto"/>
        <w:jc w:val="both"/>
        <w:rPr>
          <w:bCs/>
          <w:sz w:val="24"/>
          <w:szCs w:val="24"/>
        </w:rPr>
      </w:pPr>
    </w:p>
    <w:p w14:paraId="2EBFB6B5" w14:textId="7C330ADA" w:rsidR="007D16BF" w:rsidRDefault="007D16BF" w:rsidP="00C36529">
      <w:pPr>
        <w:spacing w:line="276" w:lineRule="auto"/>
        <w:jc w:val="both"/>
        <w:rPr>
          <w:bCs/>
          <w:sz w:val="24"/>
          <w:szCs w:val="24"/>
        </w:rPr>
      </w:pPr>
      <w:r>
        <w:rPr>
          <w:b/>
          <w:sz w:val="24"/>
          <w:szCs w:val="24"/>
        </w:rPr>
        <w:t xml:space="preserve">Kreu </w:t>
      </w:r>
      <w:r w:rsidRPr="004F7CAC">
        <w:rPr>
          <w:b/>
          <w:sz w:val="24"/>
          <w:szCs w:val="24"/>
        </w:rPr>
        <w:t>V</w:t>
      </w:r>
      <w:r w:rsidRPr="004F7CAC">
        <w:rPr>
          <w:bCs/>
          <w:sz w:val="24"/>
          <w:szCs w:val="24"/>
        </w:rPr>
        <w:t xml:space="preserve"> – </w:t>
      </w:r>
      <w:r>
        <w:rPr>
          <w:bCs/>
          <w:sz w:val="24"/>
          <w:szCs w:val="24"/>
        </w:rPr>
        <w:t>M</w:t>
      </w:r>
      <w:r w:rsidRPr="000820A7">
        <w:rPr>
          <w:b/>
          <w:sz w:val="24"/>
          <w:szCs w:val="24"/>
        </w:rPr>
        <w:t>arrëveshja e kolateralit financia</w:t>
      </w:r>
      <w:r>
        <w:rPr>
          <w:b/>
          <w:sz w:val="24"/>
          <w:szCs w:val="24"/>
        </w:rPr>
        <w:t xml:space="preserve">r - </w:t>
      </w:r>
      <w:r w:rsidRPr="004A4664">
        <w:rPr>
          <w:bCs/>
          <w:sz w:val="24"/>
          <w:szCs w:val="24"/>
        </w:rPr>
        <w:t xml:space="preserve">krijon një kuadër të plotë dhe të harmonizuar me Direktivën 2002/47/EC për marrëveshjet e kolateralit financiar, me </w:t>
      </w:r>
      <w:r w:rsidRPr="004A4664">
        <w:rPr>
          <w:bCs/>
          <w:sz w:val="24"/>
          <w:szCs w:val="24"/>
        </w:rPr>
        <w:lastRenderedPageBreak/>
        <w:t>synimin për të rritur sigurinë juridike, efikasitetin e tregjeve financiare dhe përdorimin e kolateralit financiar në transaksionet ndërmjet institucioneve financiare dhe subjekteve të tjera të kualifikuara. Dispozitat e tij përcaktojnë vlefshmërinë dhe zbatueshmërinë e marrëveshjeve të kolateralit financiar, kufizojnë formalitetet për krijimin dhe ekzekutimin e tyre, si dhe rregullojnë mekanizmat e ekzekutimit të kolateralit dhe netimit përfundimtar (close-out netting), duke reduktuar rrezikun juridik dhe operacional në tregjet financiare.</w:t>
      </w:r>
    </w:p>
    <w:p w14:paraId="72D85241" w14:textId="77777777" w:rsidR="00805B98" w:rsidRPr="00845E84" w:rsidRDefault="00805B98" w:rsidP="00C36529">
      <w:pPr>
        <w:spacing w:line="276" w:lineRule="auto"/>
        <w:jc w:val="both"/>
        <w:rPr>
          <w:bCs/>
          <w:sz w:val="24"/>
          <w:szCs w:val="24"/>
        </w:rPr>
      </w:pPr>
    </w:p>
    <w:p w14:paraId="0BD10FE1" w14:textId="6BA6C5A4" w:rsidR="007D16BF" w:rsidRDefault="007D16BF" w:rsidP="00C36529">
      <w:pPr>
        <w:tabs>
          <w:tab w:val="left" w:pos="630"/>
          <w:tab w:val="left" w:pos="3609"/>
          <w:tab w:val="left" w:pos="6008"/>
          <w:tab w:val="left" w:pos="6773"/>
          <w:tab w:val="left" w:pos="9376"/>
        </w:tabs>
        <w:spacing w:line="276" w:lineRule="auto"/>
        <w:ind w:right="48"/>
        <w:jc w:val="both"/>
        <w:rPr>
          <w:bCs/>
          <w:sz w:val="24"/>
          <w:szCs w:val="24"/>
        </w:rPr>
      </w:pPr>
      <w:r w:rsidRPr="00845E84">
        <w:rPr>
          <w:bCs/>
          <w:sz w:val="24"/>
          <w:szCs w:val="24"/>
        </w:rPr>
        <w:t xml:space="preserve">Një nga risitë kryesore të këtij kapitulli është përfshirja e pretendimeve kreditore (credit claims) si një kategori e re kolaterali financiar, krahas parave </w:t>
      </w:r>
      <w:r w:rsidRPr="00C67F3C">
        <w:rPr>
          <w:bCs/>
          <w:i/>
          <w:iCs/>
          <w:sz w:val="24"/>
          <w:szCs w:val="24"/>
        </w:rPr>
        <w:t>cash</w:t>
      </w:r>
      <w:r w:rsidRPr="00845E84">
        <w:rPr>
          <w:bCs/>
          <w:sz w:val="24"/>
          <w:szCs w:val="24"/>
        </w:rPr>
        <w:t xml:space="preserve"> dhe instrumenteve financiare. Për këtë kategori janë parashikuar rregulla të posaçme që lidhen me identifikimin e pretendimeve kreditore, provën e dhënies së tyre si kolateral, njoftimin e debitorit, regjistrimin, prioritetin ndërmjet kreditorëve konkurrues dhe efektet ndaj palëve të treta. Këto dispozita </w:t>
      </w:r>
      <w:r>
        <w:rPr>
          <w:bCs/>
          <w:sz w:val="24"/>
          <w:szCs w:val="24"/>
        </w:rPr>
        <w:t>parashikohen në nenin 32 të projektligjit. Ky nen përcakton vlefshmërinë dhe njohjen e marrëveshjes së kolateralit financiar. Parimi themelor është se marrëveshja është e vlefshme nëse mund të provohet me shkrim ose në formë elektronike, pa kërkuar regjistrim, publikim, noterizim apo formalitete të tjera burokratike. Ky parimi është sidomos i rëndësishëm në rastin e pretendimeve kreditore (</w:t>
      </w:r>
      <w:r w:rsidRPr="00200D3B">
        <w:rPr>
          <w:bCs/>
          <w:sz w:val="24"/>
          <w:szCs w:val="24"/>
        </w:rPr>
        <w:t>credit claims</w:t>
      </w:r>
      <w:r>
        <w:rPr>
          <w:bCs/>
          <w:sz w:val="24"/>
          <w:szCs w:val="24"/>
        </w:rPr>
        <w:t>). K</w:t>
      </w:r>
      <w:r w:rsidR="009457F0">
        <w:rPr>
          <w:bCs/>
          <w:sz w:val="24"/>
          <w:szCs w:val="24"/>
        </w:rPr>
        <w:t>ë</w:t>
      </w:r>
      <w:r>
        <w:rPr>
          <w:bCs/>
          <w:sz w:val="24"/>
          <w:szCs w:val="24"/>
        </w:rPr>
        <w:t xml:space="preserve">to dispozita </w:t>
      </w:r>
      <w:r w:rsidRPr="00845E84">
        <w:rPr>
          <w:bCs/>
          <w:sz w:val="24"/>
          <w:szCs w:val="24"/>
        </w:rPr>
        <w:t>krijojnë bazën ligjore për përdorimin e portofol</w:t>
      </w:r>
      <w:r>
        <w:rPr>
          <w:bCs/>
          <w:sz w:val="24"/>
          <w:szCs w:val="24"/>
        </w:rPr>
        <w:t>e</w:t>
      </w:r>
      <w:r w:rsidRPr="00845E84">
        <w:rPr>
          <w:bCs/>
          <w:sz w:val="24"/>
          <w:szCs w:val="24"/>
        </w:rPr>
        <w:t xml:space="preserve">ve të kredive </w:t>
      </w:r>
      <w:r>
        <w:rPr>
          <w:bCs/>
          <w:sz w:val="24"/>
          <w:szCs w:val="24"/>
        </w:rPr>
        <w:t xml:space="preserve">të institucioneve të kreditit </w:t>
      </w:r>
      <w:r w:rsidRPr="00845E84">
        <w:rPr>
          <w:bCs/>
          <w:sz w:val="24"/>
          <w:szCs w:val="24"/>
        </w:rPr>
        <w:t>si kolateral financiar, në përputhje me standardet e Bashkimit Evropian.</w:t>
      </w:r>
    </w:p>
    <w:p w14:paraId="6174A7F2" w14:textId="77777777" w:rsidR="00805B98" w:rsidRPr="00845E84" w:rsidRDefault="00805B98" w:rsidP="00C36529">
      <w:pPr>
        <w:tabs>
          <w:tab w:val="left" w:pos="630"/>
          <w:tab w:val="left" w:pos="3609"/>
          <w:tab w:val="left" w:pos="6008"/>
          <w:tab w:val="left" w:pos="6773"/>
          <w:tab w:val="left" w:pos="9376"/>
        </w:tabs>
        <w:spacing w:line="276" w:lineRule="auto"/>
        <w:ind w:right="48"/>
        <w:jc w:val="both"/>
        <w:rPr>
          <w:bCs/>
          <w:sz w:val="24"/>
          <w:szCs w:val="24"/>
        </w:rPr>
      </w:pPr>
    </w:p>
    <w:p w14:paraId="6E5AE135" w14:textId="539EC09B" w:rsidR="007D16BF" w:rsidRDefault="007D16BF" w:rsidP="00C36529">
      <w:pPr>
        <w:tabs>
          <w:tab w:val="left" w:pos="630"/>
          <w:tab w:val="left" w:pos="3609"/>
          <w:tab w:val="left" w:pos="6008"/>
          <w:tab w:val="left" w:pos="6773"/>
          <w:tab w:val="left" w:pos="9376"/>
        </w:tabs>
        <w:spacing w:line="276" w:lineRule="auto"/>
        <w:ind w:right="48"/>
        <w:jc w:val="both"/>
        <w:rPr>
          <w:bCs/>
          <w:sz w:val="24"/>
          <w:szCs w:val="24"/>
        </w:rPr>
      </w:pPr>
      <w:r w:rsidRPr="00845E84">
        <w:rPr>
          <w:bCs/>
          <w:sz w:val="24"/>
          <w:szCs w:val="24"/>
        </w:rPr>
        <w:t xml:space="preserve">Një risi tjetër e rëndësishme është zgjerimi dhe sqarimi i kategorive të subjekteve që mund të jenë palë në një marrëveshje kolaterali financiar. </w:t>
      </w:r>
      <w:r>
        <w:rPr>
          <w:bCs/>
          <w:sz w:val="24"/>
          <w:szCs w:val="24"/>
        </w:rPr>
        <w:t xml:space="preserve">Neni 30 i projektligjit përcakton kategoritë e subjekteve që mund të jenë palë në këto marrëveshje. </w:t>
      </w:r>
      <w:r w:rsidRPr="00845E84">
        <w:rPr>
          <w:bCs/>
          <w:sz w:val="24"/>
          <w:szCs w:val="24"/>
        </w:rPr>
        <w:t>Krahas institucioneve tradicionale financiare, dispozitat përfshijnë një gamë më të gjerë subjektesh publike dhe private, duke harmonizuar kategoritë e palëve të kualifikuara me ato të parashikuara në direktivë dhe duke krijuar siguri më të madhe juridike për pjesëmarrësit në treg</w:t>
      </w:r>
      <w:r w:rsidR="00805B98">
        <w:rPr>
          <w:bCs/>
          <w:sz w:val="24"/>
          <w:szCs w:val="24"/>
        </w:rPr>
        <w:t>.</w:t>
      </w:r>
    </w:p>
    <w:p w14:paraId="71253DF6" w14:textId="77777777" w:rsidR="00805B98" w:rsidRPr="00845E84" w:rsidRDefault="00805B98" w:rsidP="00C36529">
      <w:pPr>
        <w:tabs>
          <w:tab w:val="left" w:pos="630"/>
          <w:tab w:val="left" w:pos="3609"/>
          <w:tab w:val="left" w:pos="6008"/>
          <w:tab w:val="left" w:pos="6773"/>
          <w:tab w:val="left" w:pos="9376"/>
        </w:tabs>
        <w:spacing w:line="276" w:lineRule="auto"/>
        <w:ind w:right="48"/>
        <w:jc w:val="both"/>
        <w:rPr>
          <w:bCs/>
          <w:sz w:val="24"/>
          <w:szCs w:val="24"/>
        </w:rPr>
      </w:pPr>
    </w:p>
    <w:p w14:paraId="2F7EB07B" w14:textId="77777777" w:rsidR="007D16BF" w:rsidRDefault="007D16BF" w:rsidP="00C36529">
      <w:pPr>
        <w:tabs>
          <w:tab w:val="left" w:pos="630"/>
          <w:tab w:val="left" w:pos="3609"/>
          <w:tab w:val="left" w:pos="6008"/>
          <w:tab w:val="left" w:pos="6773"/>
          <w:tab w:val="left" w:pos="9376"/>
        </w:tabs>
        <w:spacing w:line="276" w:lineRule="auto"/>
        <w:ind w:right="48"/>
        <w:jc w:val="both"/>
        <w:rPr>
          <w:bCs/>
          <w:sz w:val="24"/>
          <w:szCs w:val="24"/>
        </w:rPr>
      </w:pPr>
      <w:r>
        <w:rPr>
          <w:bCs/>
          <w:sz w:val="24"/>
          <w:szCs w:val="24"/>
        </w:rPr>
        <w:t xml:space="preserve">Neni 31 i projektligjit </w:t>
      </w:r>
      <w:r w:rsidRPr="00845E84">
        <w:rPr>
          <w:bCs/>
          <w:sz w:val="24"/>
          <w:szCs w:val="24"/>
        </w:rPr>
        <w:t>sqaron më tej kategoritë e aktiveve dhe marrëdhënieve juridike që nuk përfitojnë nga regjimi i posaçëm i kolateralit financiar, veçanërisht në lidhje me disa lloje aksionesh dhe pretendimesh kreditore ndaj konsumatorëve dhe ndërmarrjeve mikro ose të vogla. Këto kufizime synojnë të ruajnë ekuilibrin ndërmjet lehtësimit të përdorimit të kolateralit financiar dhe mbrojtjes së kategorive që konsiderohen më të ekspozuara ndaj rrezikut.</w:t>
      </w:r>
    </w:p>
    <w:p w14:paraId="377CA195" w14:textId="77777777" w:rsidR="00805B98" w:rsidRDefault="00805B98" w:rsidP="00C36529">
      <w:pPr>
        <w:tabs>
          <w:tab w:val="left" w:pos="630"/>
          <w:tab w:val="left" w:pos="3609"/>
          <w:tab w:val="left" w:pos="6008"/>
          <w:tab w:val="left" w:pos="6773"/>
          <w:tab w:val="left" w:pos="9376"/>
        </w:tabs>
        <w:spacing w:line="276" w:lineRule="auto"/>
        <w:ind w:right="48"/>
        <w:jc w:val="both"/>
        <w:rPr>
          <w:bCs/>
          <w:sz w:val="24"/>
          <w:szCs w:val="24"/>
        </w:rPr>
      </w:pPr>
    </w:p>
    <w:p w14:paraId="2A452CD6" w14:textId="390EA910" w:rsidR="007D16BF" w:rsidRDefault="007D16BF" w:rsidP="00C36529">
      <w:pPr>
        <w:spacing w:line="276" w:lineRule="auto"/>
        <w:jc w:val="both"/>
        <w:rPr>
          <w:bCs/>
          <w:sz w:val="24"/>
          <w:szCs w:val="24"/>
        </w:rPr>
      </w:pPr>
      <w:r>
        <w:rPr>
          <w:bCs/>
          <w:sz w:val="24"/>
          <w:szCs w:val="24"/>
        </w:rPr>
        <w:t>Neni 33 i projektligjit rregullon ekzekutimin e kolateralit financiar me ndodhjen e një ngjarjeje mospërmbushjeje.</w:t>
      </w:r>
      <w:r w:rsidR="009457F0">
        <w:rPr>
          <w:bCs/>
          <w:sz w:val="24"/>
          <w:szCs w:val="24"/>
        </w:rPr>
        <w:t xml:space="preserve"> P</w:t>
      </w:r>
      <w:r>
        <w:rPr>
          <w:bCs/>
          <w:sz w:val="24"/>
          <w:szCs w:val="24"/>
        </w:rPr>
        <w:t>arashikon tri mënyra ekzekutimi për instrumentet financiare (shitje, përvetësim/appropriation, kompensim), dy mënyra për para cash (kompensim, përdorim drejtpërdrejtë) dhe tri mënyra për pretendimet kreditore (shitje, përvetësim, kompensim vlere). Në të gjitha rastet, ekzekutimi kryhet pa kërkuar shpallje publike, miratim nga gjykata ose procedura të veçanta. Vlerësimi i kolateralit bazohet në vlerën e tregut ose, në mungesë të kësaj, në modele financiare të pranuara gjerësisht, duke garantuar arsyeshmëri tregtare dhe shmangur veprimet arbitrare.</w:t>
      </w:r>
    </w:p>
    <w:p w14:paraId="5FA9FCEE" w14:textId="77777777" w:rsidR="00805B98" w:rsidRDefault="00805B98" w:rsidP="00C36529">
      <w:pPr>
        <w:spacing w:line="276" w:lineRule="auto"/>
        <w:jc w:val="both"/>
        <w:rPr>
          <w:bCs/>
          <w:sz w:val="24"/>
          <w:szCs w:val="24"/>
        </w:rPr>
      </w:pPr>
    </w:p>
    <w:p w14:paraId="68855585" w14:textId="77777777" w:rsidR="009457F0" w:rsidRDefault="009457F0" w:rsidP="00C36529">
      <w:pPr>
        <w:spacing w:line="276" w:lineRule="auto"/>
        <w:jc w:val="both"/>
        <w:rPr>
          <w:bCs/>
          <w:sz w:val="24"/>
          <w:szCs w:val="24"/>
        </w:rPr>
      </w:pPr>
    </w:p>
    <w:p w14:paraId="3AD5D287" w14:textId="42A5C378" w:rsidR="007D16BF" w:rsidRDefault="007D16BF" w:rsidP="00C36529">
      <w:pPr>
        <w:tabs>
          <w:tab w:val="left" w:pos="630"/>
          <w:tab w:val="left" w:pos="3609"/>
          <w:tab w:val="left" w:pos="6008"/>
          <w:tab w:val="left" w:pos="6773"/>
          <w:tab w:val="left" w:pos="9376"/>
        </w:tabs>
        <w:spacing w:line="276" w:lineRule="auto"/>
        <w:ind w:right="48"/>
        <w:jc w:val="both"/>
        <w:rPr>
          <w:bCs/>
          <w:sz w:val="24"/>
          <w:szCs w:val="24"/>
        </w:rPr>
      </w:pPr>
      <w:r>
        <w:rPr>
          <w:bCs/>
          <w:sz w:val="24"/>
          <w:szCs w:val="24"/>
        </w:rPr>
        <w:t xml:space="preserve">Neni 34 dhe </w:t>
      </w:r>
      <w:r w:rsidR="009457F0">
        <w:rPr>
          <w:bCs/>
          <w:sz w:val="24"/>
          <w:szCs w:val="24"/>
        </w:rPr>
        <w:t>n</w:t>
      </w:r>
      <w:r>
        <w:rPr>
          <w:bCs/>
          <w:sz w:val="24"/>
          <w:szCs w:val="24"/>
        </w:rPr>
        <w:t>eni 35 rregullojnë respektivisht të drejtën e përdorimit (</w:t>
      </w:r>
      <w:r w:rsidRPr="00845E84">
        <w:rPr>
          <w:bCs/>
          <w:i/>
          <w:iCs/>
          <w:sz w:val="24"/>
          <w:szCs w:val="24"/>
        </w:rPr>
        <w:t>right of use</w:t>
      </w:r>
      <w:r>
        <w:rPr>
          <w:bCs/>
          <w:sz w:val="24"/>
          <w:szCs w:val="24"/>
        </w:rPr>
        <w:t>) në marrëveshjet e kolateralit financiar me vendosje pengu dhe efektet në marrëveshjet e kolateralit financiar me transferim pronësie. E drejta e përdorimit lejon marrësin e kolateralit të shesë, transferojë ose ri-investojë kolateralin, me detyrimin që të kthejë kolateral ekuivalent jo më vonë se data e përmbushjes së detyrimeve financiare përkatëse. Këto dispozita rregullojnë qëllimisht situatat kur ndodh një ngjarje mospërmbushjeje ndërkohë që detyrimi për kthimin e kolateralit ekuivalent mbetet i papërmbushur, rast në të cilin detyrimi mund t’i nënshtrohet netimit përfundimtar (</w:t>
      </w:r>
      <w:r w:rsidRPr="00194D27">
        <w:rPr>
          <w:bCs/>
          <w:i/>
          <w:iCs/>
          <w:sz w:val="24"/>
          <w:szCs w:val="24"/>
        </w:rPr>
        <w:t>close-out netting</w:t>
      </w:r>
      <w:r>
        <w:rPr>
          <w:bCs/>
          <w:sz w:val="24"/>
          <w:szCs w:val="24"/>
        </w:rPr>
        <w:t>), duke shmangur rreziqet e dyfishëzimit ose moskoordinimit të pretendimeve.</w:t>
      </w:r>
    </w:p>
    <w:p w14:paraId="3A8D75B0" w14:textId="77777777" w:rsidR="009457F0" w:rsidRDefault="009457F0" w:rsidP="00C36529">
      <w:pPr>
        <w:tabs>
          <w:tab w:val="left" w:pos="630"/>
          <w:tab w:val="left" w:pos="3609"/>
          <w:tab w:val="left" w:pos="6008"/>
          <w:tab w:val="left" w:pos="6773"/>
          <w:tab w:val="left" w:pos="9376"/>
        </w:tabs>
        <w:spacing w:line="276" w:lineRule="auto"/>
        <w:ind w:right="48"/>
        <w:jc w:val="both"/>
        <w:rPr>
          <w:bCs/>
          <w:sz w:val="24"/>
          <w:szCs w:val="24"/>
        </w:rPr>
      </w:pPr>
    </w:p>
    <w:p w14:paraId="37FA5524" w14:textId="52305ED1" w:rsidR="007D16BF" w:rsidRDefault="007D16BF" w:rsidP="00C36529">
      <w:pPr>
        <w:tabs>
          <w:tab w:val="left" w:pos="630"/>
          <w:tab w:val="left" w:pos="3609"/>
          <w:tab w:val="left" w:pos="6008"/>
          <w:tab w:val="left" w:pos="6773"/>
          <w:tab w:val="left" w:pos="9376"/>
        </w:tabs>
        <w:spacing w:line="276" w:lineRule="auto"/>
        <w:ind w:right="48"/>
        <w:jc w:val="both"/>
        <w:rPr>
          <w:bCs/>
          <w:sz w:val="24"/>
          <w:szCs w:val="24"/>
        </w:rPr>
      </w:pPr>
      <w:r>
        <w:rPr>
          <w:bCs/>
          <w:sz w:val="24"/>
          <w:szCs w:val="24"/>
        </w:rPr>
        <w:t xml:space="preserve">Neni 36 </w:t>
      </w:r>
      <w:r w:rsidRPr="00845E84">
        <w:rPr>
          <w:bCs/>
          <w:sz w:val="24"/>
          <w:szCs w:val="24"/>
        </w:rPr>
        <w:t xml:space="preserve">rregullon dy mekanizma praktikë që mund të parashikohen në marrëveshjen e kolateralit financiar: detyrimin për të dhënë kolateral shtesë kur vlera e kolateralit ose shuma e detyrimeve ndryshon dhe të drejtën për të zëvendësuar kolateralin ekzistues me kolateral tjetër </w:t>
      </w:r>
      <w:r>
        <w:rPr>
          <w:bCs/>
          <w:sz w:val="24"/>
          <w:szCs w:val="24"/>
        </w:rPr>
        <w:t xml:space="preserve">me vlerë të njëjtë. </w:t>
      </w:r>
      <w:r w:rsidRPr="00845E84">
        <w:rPr>
          <w:bCs/>
          <w:sz w:val="24"/>
          <w:szCs w:val="24"/>
        </w:rPr>
        <w:t xml:space="preserve">Parimi themelor i nenit është se asnjë nga këto veprime </w:t>
      </w:r>
      <w:r w:rsidR="009457F0">
        <w:rPr>
          <w:bCs/>
          <w:sz w:val="24"/>
          <w:szCs w:val="24"/>
        </w:rPr>
        <w:t>-</w:t>
      </w:r>
      <w:r w:rsidRPr="00845E84">
        <w:rPr>
          <w:bCs/>
          <w:sz w:val="24"/>
          <w:szCs w:val="24"/>
        </w:rPr>
        <w:t xml:space="preserve"> dhënia e kolateralit shtesë, zëvendësimi apo tërheqja e kolateralit të tepërt</w:t>
      </w:r>
      <w:r w:rsidR="00020F15">
        <w:rPr>
          <w:bCs/>
          <w:sz w:val="24"/>
          <w:szCs w:val="24"/>
        </w:rPr>
        <w:t xml:space="preserve"> </w:t>
      </w:r>
      <w:r w:rsidRPr="00845E84">
        <w:rPr>
          <w:bCs/>
          <w:sz w:val="24"/>
          <w:szCs w:val="24"/>
        </w:rPr>
        <w:t>nuk konsiderohet lidhje e një marrëveshjeje të re, duke shmangur kështu rrezikun e pavlefshmërisë retroaktive në rast falimentimi. Po ashtu, ushtrimi i të drejtave të dhënësit të kolateralit (zëvendësim, tërheqje teprice, mbledhje pagesash nga pretendimet kreditore) nuk cenon vlefshmërinë apo efektivitetin e marrëveshjes origjinale.</w:t>
      </w:r>
    </w:p>
    <w:p w14:paraId="53DDD194" w14:textId="77777777" w:rsidR="00805B98" w:rsidRDefault="00805B98" w:rsidP="00C36529">
      <w:pPr>
        <w:tabs>
          <w:tab w:val="left" w:pos="630"/>
          <w:tab w:val="left" w:pos="3609"/>
          <w:tab w:val="left" w:pos="6008"/>
          <w:tab w:val="left" w:pos="6773"/>
          <w:tab w:val="left" w:pos="9376"/>
        </w:tabs>
        <w:spacing w:line="276" w:lineRule="auto"/>
        <w:ind w:right="48"/>
        <w:jc w:val="both"/>
        <w:rPr>
          <w:bCs/>
          <w:sz w:val="24"/>
          <w:szCs w:val="24"/>
        </w:rPr>
      </w:pPr>
    </w:p>
    <w:p w14:paraId="19A12697" w14:textId="77777777" w:rsidR="007D16BF" w:rsidRDefault="007D16BF" w:rsidP="00C36529">
      <w:pPr>
        <w:tabs>
          <w:tab w:val="left" w:pos="630"/>
          <w:tab w:val="left" w:pos="3609"/>
          <w:tab w:val="left" w:pos="6008"/>
          <w:tab w:val="left" w:pos="6773"/>
          <w:tab w:val="left" w:pos="9376"/>
        </w:tabs>
        <w:spacing w:line="276" w:lineRule="auto"/>
        <w:ind w:right="48"/>
        <w:jc w:val="both"/>
        <w:rPr>
          <w:bCs/>
          <w:sz w:val="24"/>
          <w:szCs w:val="24"/>
        </w:rPr>
      </w:pPr>
      <w:r>
        <w:rPr>
          <w:bCs/>
          <w:sz w:val="24"/>
          <w:szCs w:val="24"/>
        </w:rPr>
        <w:t>Neni 37 rregullon njohjen dhe zbatueshmërinë e netimit përfundimtar (</w:t>
      </w:r>
      <w:r w:rsidRPr="00194D27">
        <w:rPr>
          <w:bCs/>
          <w:i/>
          <w:iCs/>
          <w:sz w:val="24"/>
          <w:szCs w:val="24"/>
        </w:rPr>
        <w:t>close-out netting</w:t>
      </w:r>
      <w:r>
        <w:rPr>
          <w:bCs/>
          <w:sz w:val="24"/>
          <w:szCs w:val="24"/>
        </w:rPr>
        <w:t xml:space="preserve">). Ky mekanizëm përcakton që në rast mospërmbushjeje, të gjitha detyrimet ndërmjet palëve bëhen menjëherë të kërkueshme, llogariten neto dhe përcaktohet një shumë e vetme përfundimtare që paguhet nga njëra palë. Ky mekanizëm zbatohet pavarësisht fillimit të procedurave të falimentimit, likuidimit apo çdo kufizimi tjetër të ushtrimit të të drejtave duke garantuar sigurinë juridike maksimale në transaksionet financiare. </w:t>
      </w:r>
    </w:p>
    <w:p w14:paraId="33F66026" w14:textId="77777777" w:rsidR="00805B98" w:rsidRDefault="00805B98" w:rsidP="00C36529">
      <w:pPr>
        <w:tabs>
          <w:tab w:val="left" w:pos="630"/>
          <w:tab w:val="left" w:pos="3609"/>
          <w:tab w:val="left" w:pos="6008"/>
          <w:tab w:val="left" w:pos="6773"/>
          <w:tab w:val="left" w:pos="9376"/>
        </w:tabs>
        <w:spacing w:line="276" w:lineRule="auto"/>
        <w:ind w:right="48"/>
        <w:jc w:val="both"/>
        <w:rPr>
          <w:bCs/>
          <w:sz w:val="24"/>
          <w:szCs w:val="24"/>
        </w:rPr>
      </w:pPr>
    </w:p>
    <w:p w14:paraId="6DF86C1D" w14:textId="77777777" w:rsidR="00C36529" w:rsidRDefault="007D16BF" w:rsidP="00C36529">
      <w:pPr>
        <w:tabs>
          <w:tab w:val="left" w:pos="630"/>
          <w:tab w:val="left" w:pos="3609"/>
          <w:tab w:val="left" w:pos="6008"/>
          <w:tab w:val="left" w:pos="6773"/>
          <w:tab w:val="left" w:pos="9376"/>
        </w:tabs>
        <w:spacing w:line="276" w:lineRule="auto"/>
        <w:ind w:right="48"/>
        <w:jc w:val="both"/>
        <w:rPr>
          <w:bCs/>
          <w:sz w:val="24"/>
          <w:szCs w:val="24"/>
        </w:rPr>
      </w:pPr>
      <w:r>
        <w:rPr>
          <w:bCs/>
          <w:sz w:val="24"/>
          <w:szCs w:val="24"/>
        </w:rPr>
        <w:t xml:space="preserve">Neni 38 kufızon zbatimin e disa dispozitave të paaftësisë paguese ndaj marrëveshjeve të kolateralit financiar. Konkretisht, një marrëveshje kolaterali financiar nuk mund të shpallet e pavlefshme ose të revokohet vetëm për shkak se është lidhur në ditën e fillimit të procedurës së paaftësisë paguese ose përpara fillimit të këtyre procedurave. Ky kufizim ka si qëllim të shmangë pasiguritë për palët e treta që kanë hyrë në marrëdhënie kolaterali financiar në mirëbesim. Kur pala mund të provojë se nuk ishte në dijeni për fillimin e procedurave, marrëveshja e kolateralit financiar prodhon efekte të plota ndaj palëve të treta, përfshirë likuidatorin. </w:t>
      </w:r>
    </w:p>
    <w:p w14:paraId="55749DD2" w14:textId="77777777" w:rsidR="00C36529" w:rsidRDefault="00C36529" w:rsidP="00C36529">
      <w:pPr>
        <w:tabs>
          <w:tab w:val="left" w:pos="630"/>
          <w:tab w:val="left" w:pos="3609"/>
          <w:tab w:val="left" w:pos="6008"/>
          <w:tab w:val="left" w:pos="6773"/>
          <w:tab w:val="left" w:pos="9376"/>
        </w:tabs>
        <w:spacing w:line="276" w:lineRule="auto"/>
        <w:ind w:right="48"/>
        <w:jc w:val="both"/>
        <w:rPr>
          <w:bCs/>
          <w:sz w:val="24"/>
          <w:szCs w:val="24"/>
        </w:rPr>
      </w:pPr>
    </w:p>
    <w:p w14:paraId="6242CD7C" w14:textId="77777777" w:rsidR="00C36529" w:rsidRDefault="007D16BF" w:rsidP="00C36529">
      <w:pPr>
        <w:tabs>
          <w:tab w:val="left" w:pos="630"/>
          <w:tab w:val="left" w:pos="3609"/>
          <w:tab w:val="left" w:pos="6008"/>
          <w:tab w:val="left" w:pos="6773"/>
          <w:tab w:val="left" w:pos="9376"/>
        </w:tabs>
        <w:spacing w:line="276" w:lineRule="auto"/>
        <w:ind w:right="48"/>
        <w:jc w:val="both"/>
        <w:rPr>
          <w:bCs/>
          <w:sz w:val="24"/>
          <w:szCs w:val="24"/>
        </w:rPr>
      </w:pPr>
      <w:r w:rsidRPr="00DD0C83">
        <w:rPr>
          <w:bCs/>
          <w:sz w:val="24"/>
          <w:szCs w:val="24"/>
        </w:rPr>
        <w:t xml:space="preserve">Neni 39 </w:t>
      </w:r>
      <w:r w:rsidRPr="00C67F3C">
        <w:rPr>
          <w:bCs/>
          <w:sz w:val="24"/>
          <w:szCs w:val="24"/>
        </w:rPr>
        <w:t>përcakton se marrësi i kolateralit gëzon përparësi ndaj kreditorëve të tjerë mbi kolateralin financiar, ndërsa për pretendimet kreditore kjo përparësi kushtëzohet nga regjistrimi sipas rregullave të këtij ligji.</w:t>
      </w:r>
      <w:r w:rsidR="00194D27">
        <w:rPr>
          <w:bCs/>
          <w:sz w:val="24"/>
          <w:szCs w:val="24"/>
        </w:rPr>
        <w:t xml:space="preserve"> </w:t>
      </w:r>
    </w:p>
    <w:p w14:paraId="0EB9131A" w14:textId="77777777" w:rsidR="00C36529" w:rsidRDefault="00C36529" w:rsidP="00C36529">
      <w:pPr>
        <w:tabs>
          <w:tab w:val="left" w:pos="630"/>
          <w:tab w:val="left" w:pos="3609"/>
          <w:tab w:val="left" w:pos="6008"/>
          <w:tab w:val="left" w:pos="6773"/>
          <w:tab w:val="left" w:pos="9376"/>
        </w:tabs>
        <w:spacing w:line="276" w:lineRule="auto"/>
        <w:ind w:right="48"/>
        <w:jc w:val="both"/>
        <w:rPr>
          <w:bCs/>
          <w:sz w:val="24"/>
          <w:szCs w:val="24"/>
        </w:rPr>
      </w:pPr>
    </w:p>
    <w:p w14:paraId="44A8A338" w14:textId="12223C53" w:rsidR="00C36529" w:rsidRDefault="007D16BF" w:rsidP="00C36529">
      <w:pPr>
        <w:tabs>
          <w:tab w:val="left" w:pos="630"/>
          <w:tab w:val="left" w:pos="3609"/>
          <w:tab w:val="left" w:pos="6008"/>
          <w:tab w:val="left" w:pos="6773"/>
          <w:tab w:val="left" w:pos="9376"/>
        </w:tabs>
        <w:spacing w:line="276" w:lineRule="auto"/>
        <w:ind w:right="48"/>
        <w:jc w:val="both"/>
        <w:rPr>
          <w:bCs/>
          <w:sz w:val="24"/>
          <w:szCs w:val="24"/>
        </w:rPr>
      </w:pPr>
      <w:r>
        <w:rPr>
          <w:bCs/>
          <w:sz w:val="24"/>
          <w:szCs w:val="24"/>
        </w:rPr>
        <w:t xml:space="preserve">Neni 40 rregullon ndërveprimin e marrëveshjeve të kolateralit financiar me legjislacionin për rimëkëmbjen dhe ndërhyrjen e jashtëzakonshme.  Neni parashikon që kufizimet ose pezullimet e përkohshme të parashikuara nga atë legjislacion nuk cenojnë vlefshmërinë ose zbatueshmërinë e marrëveshjeve të kolateralit financiar, përveç rasteve të </w:t>
      </w:r>
      <w:r>
        <w:rPr>
          <w:bCs/>
          <w:sz w:val="24"/>
          <w:szCs w:val="24"/>
        </w:rPr>
        <w:lastRenderedPageBreak/>
        <w:t xml:space="preserve">parashikuara shprehimisht nga ai legjislacion. </w:t>
      </w:r>
    </w:p>
    <w:p w14:paraId="67C10054" w14:textId="77777777" w:rsidR="00020F15" w:rsidRDefault="00020F15" w:rsidP="00C36529">
      <w:pPr>
        <w:tabs>
          <w:tab w:val="left" w:pos="630"/>
          <w:tab w:val="left" w:pos="3609"/>
          <w:tab w:val="left" w:pos="6008"/>
          <w:tab w:val="left" w:pos="6773"/>
          <w:tab w:val="left" w:pos="9376"/>
        </w:tabs>
        <w:spacing w:line="276" w:lineRule="auto"/>
        <w:ind w:right="48"/>
        <w:jc w:val="both"/>
        <w:rPr>
          <w:bCs/>
          <w:sz w:val="24"/>
          <w:szCs w:val="24"/>
        </w:rPr>
      </w:pPr>
    </w:p>
    <w:p w14:paraId="56522088" w14:textId="6D1E762E" w:rsidR="007D16BF" w:rsidRDefault="007D16BF" w:rsidP="00C36529">
      <w:pPr>
        <w:tabs>
          <w:tab w:val="left" w:pos="630"/>
          <w:tab w:val="left" w:pos="3609"/>
          <w:tab w:val="left" w:pos="6008"/>
          <w:tab w:val="left" w:pos="6773"/>
          <w:tab w:val="left" w:pos="9376"/>
        </w:tabs>
        <w:spacing w:line="276" w:lineRule="auto"/>
        <w:ind w:right="48"/>
        <w:jc w:val="both"/>
        <w:rPr>
          <w:bCs/>
          <w:sz w:val="24"/>
          <w:szCs w:val="24"/>
        </w:rPr>
      </w:pPr>
      <w:r>
        <w:rPr>
          <w:bCs/>
          <w:sz w:val="24"/>
          <w:szCs w:val="24"/>
        </w:rPr>
        <w:t>Neni 41 plotëson këtë trajtim me rregullat e ligjit të zbatueshëm për titujt e dematerializuar, duke sanksionuar parimin që zbatohet ekskluzivisht ligji i shtetit ku mbahet llogaria ose regjistri përkatës, duke garantuar një rregull të qartë ndërkombëtar konflikti të ligjeve.</w:t>
      </w:r>
    </w:p>
    <w:p w14:paraId="7F7CD126" w14:textId="77777777" w:rsidR="00805B98" w:rsidRDefault="00805B98" w:rsidP="00C36529">
      <w:pPr>
        <w:tabs>
          <w:tab w:val="left" w:pos="630"/>
          <w:tab w:val="left" w:pos="3609"/>
          <w:tab w:val="left" w:pos="6008"/>
          <w:tab w:val="left" w:pos="6773"/>
          <w:tab w:val="left" w:pos="9376"/>
        </w:tabs>
        <w:spacing w:line="276" w:lineRule="auto"/>
        <w:ind w:right="48"/>
        <w:jc w:val="both"/>
        <w:rPr>
          <w:bCs/>
          <w:sz w:val="24"/>
          <w:szCs w:val="24"/>
        </w:rPr>
      </w:pPr>
    </w:p>
    <w:p w14:paraId="27B6EBA8" w14:textId="77777777" w:rsidR="007D16BF" w:rsidRDefault="007D16BF" w:rsidP="00C36529">
      <w:pPr>
        <w:tabs>
          <w:tab w:val="left" w:pos="630"/>
          <w:tab w:val="left" w:pos="3609"/>
          <w:tab w:val="left" w:pos="6008"/>
          <w:tab w:val="left" w:pos="6773"/>
          <w:tab w:val="left" w:pos="9376"/>
        </w:tabs>
        <w:spacing w:line="276" w:lineRule="auto"/>
        <w:ind w:right="48"/>
        <w:jc w:val="both"/>
        <w:rPr>
          <w:bCs/>
          <w:sz w:val="24"/>
          <w:szCs w:val="24"/>
        </w:rPr>
      </w:pPr>
      <w:r w:rsidRPr="00845E84">
        <w:rPr>
          <w:bCs/>
          <w:sz w:val="24"/>
          <w:szCs w:val="24"/>
        </w:rPr>
        <w:t xml:space="preserve">Në tërësi, </w:t>
      </w:r>
      <w:r>
        <w:rPr>
          <w:bCs/>
          <w:sz w:val="24"/>
          <w:szCs w:val="24"/>
        </w:rPr>
        <w:t xml:space="preserve">Kreu V </w:t>
      </w:r>
      <w:r w:rsidRPr="00845E84">
        <w:rPr>
          <w:bCs/>
          <w:sz w:val="24"/>
          <w:szCs w:val="24"/>
        </w:rPr>
        <w:t>përafron legjislacionin shqiptar me standardet evropiane në fushën e kolateralit financiar dhe krijon kushtet për një përdorim më efikas të kolateralit, një menaxhim më të mirë të rrezikut financiar dhe një funksionim më të sigurt të tregjeve financiare.</w:t>
      </w:r>
    </w:p>
    <w:p w14:paraId="6590E179" w14:textId="77777777" w:rsidR="00805B98" w:rsidRPr="00845E84" w:rsidRDefault="00805B98" w:rsidP="00C36529">
      <w:pPr>
        <w:tabs>
          <w:tab w:val="left" w:pos="630"/>
          <w:tab w:val="left" w:pos="3609"/>
          <w:tab w:val="left" w:pos="6008"/>
          <w:tab w:val="left" w:pos="6773"/>
          <w:tab w:val="left" w:pos="9376"/>
        </w:tabs>
        <w:spacing w:line="276" w:lineRule="auto"/>
        <w:ind w:right="48"/>
        <w:jc w:val="both"/>
        <w:rPr>
          <w:bCs/>
          <w:sz w:val="24"/>
          <w:szCs w:val="24"/>
        </w:rPr>
      </w:pPr>
    </w:p>
    <w:p w14:paraId="2F7B553D" w14:textId="77777777" w:rsidR="007D16BF" w:rsidRPr="00845E84" w:rsidRDefault="007D16BF" w:rsidP="00C36529">
      <w:pPr>
        <w:tabs>
          <w:tab w:val="left" w:pos="630"/>
          <w:tab w:val="left" w:pos="3609"/>
          <w:tab w:val="left" w:pos="6008"/>
          <w:tab w:val="left" w:pos="6773"/>
          <w:tab w:val="left" w:pos="9376"/>
        </w:tabs>
        <w:spacing w:line="276" w:lineRule="auto"/>
        <w:ind w:right="48"/>
        <w:jc w:val="both"/>
        <w:rPr>
          <w:bCs/>
          <w:sz w:val="24"/>
          <w:szCs w:val="24"/>
        </w:rPr>
      </w:pPr>
      <w:r w:rsidRPr="00C616E0">
        <w:rPr>
          <w:bCs/>
          <w:sz w:val="24"/>
          <w:szCs w:val="24"/>
        </w:rPr>
        <w:t>Harmonizimi i këtij kuadri me Direktivën 2002/47/EC përbën gjithashtu një hap të rëndësishëm drejt krijimit të kushteve ligjore të nevojshme për përfshirjen e Shqipërisë në juridiksionet për të cilat mund të lëshohen opinione ligjore të netimit (ISDA Netting Opinions). Njohja dhe mbrojtja ligjore e netimit përfundimtar, e marrëveshjeve të kolateralit financiar dhe e efekteve të tyre në rast falimentimi janë elemente themelore që vlerësohen në procesin e përgatitjes së këtyre opinioneve dhe kontribuojnë në zhvillimin e tregjeve financiare dhe transaksioneve ndërkombëtare me instrumente derivative dhe repo.</w:t>
      </w:r>
    </w:p>
    <w:p w14:paraId="1CC3C0E1" w14:textId="77777777" w:rsidR="00297143" w:rsidRPr="004F7CAC" w:rsidRDefault="00297143" w:rsidP="00C36529">
      <w:pPr>
        <w:tabs>
          <w:tab w:val="left" w:pos="630"/>
          <w:tab w:val="left" w:pos="3609"/>
          <w:tab w:val="left" w:pos="6008"/>
          <w:tab w:val="left" w:pos="6773"/>
          <w:tab w:val="left" w:pos="9376"/>
        </w:tabs>
        <w:spacing w:line="276" w:lineRule="auto"/>
        <w:ind w:right="48"/>
        <w:jc w:val="both"/>
        <w:rPr>
          <w:bCs/>
          <w:sz w:val="24"/>
          <w:szCs w:val="24"/>
        </w:rPr>
      </w:pPr>
    </w:p>
    <w:p w14:paraId="1CCB3854" w14:textId="1A3C6B58" w:rsidR="00297143" w:rsidRPr="004F7CAC" w:rsidRDefault="000820A7" w:rsidP="00C36529">
      <w:pPr>
        <w:tabs>
          <w:tab w:val="left" w:pos="630"/>
          <w:tab w:val="left" w:pos="3609"/>
          <w:tab w:val="left" w:pos="6008"/>
          <w:tab w:val="left" w:pos="6773"/>
          <w:tab w:val="left" w:pos="9376"/>
        </w:tabs>
        <w:spacing w:line="276" w:lineRule="auto"/>
        <w:ind w:right="48"/>
        <w:jc w:val="both"/>
        <w:rPr>
          <w:bCs/>
          <w:sz w:val="24"/>
          <w:szCs w:val="24"/>
        </w:rPr>
      </w:pPr>
      <w:r>
        <w:rPr>
          <w:b/>
          <w:sz w:val="24"/>
          <w:szCs w:val="24"/>
        </w:rPr>
        <w:t>Kreu</w:t>
      </w:r>
      <w:r w:rsidRPr="004F7CAC">
        <w:rPr>
          <w:b/>
          <w:sz w:val="24"/>
          <w:szCs w:val="24"/>
        </w:rPr>
        <w:t xml:space="preserve"> </w:t>
      </w:r>
      <w:r w:rsidR="00297143" w:rsidRPr="004F7CAC">
        <w:rPr>
          <w:b/>
          <w:sz w:val="24"/>
          <w:szCs w:val="24"/>
        </w:rPr>
        <w:t>VI – Dispozita mbi provat</w:t>
      </w:r>
      <w:r w:rsidR="00020F15">
        <w:rPr>
          <w:bCs/>
          <w:sz w:val="24"/>
          <w:szCs w:val="24"/>
        </w:rPr>
        <w:t xml:space="preserve">, </w:t>
      </w:r>
      <w:r w:rsidR="00297143" w:rsidRPr="004F7CAC">
        <w:rPr>
          <w:bCs/>
          <w:sz w:val="24"/>
          <w:szCs w:val="24"/>
        </w:rPr>
        <w:t>rregullon çështjet që lidhen me provueshmërinë e transaksioneve në sistemet e pagesave, duke njohur vlefshmërinë e provave elektronike dhe optike. Ky kapitull përfshin gjithashtu dispozita për procedura teknologjike si “</w:t>
      </w:r>
      <w:r w:rsidR="00297143" w:rsidRPr="004F7CAC">
        <w:rPr>
          <w:bCs/>
          <w:i/>
          <w:iCs/>
          <w:sz w:val="24"/>
          <w:szCs w:val="24"/>
        </w:rPr>
        <w:t>truncation</w:t>
      </w:r>
      <w:r w:rsidR="00297143" w:rsidRPr="004F7CAC">
        <w:rPr>
          <w:bCs/>
          <w:sz w:val="24"/>
          <w:szCs w:val="24"/>
        </w:rPr>
        <w:t>”, në përputhje me zhvillimet moderne në përpunimin e instrumenteve të pagesave. Këto dispozita kanë qenë edhe në ligjin ekzistues “Për sistemin e Pagesave”</w:t>
      </w:r>
    </w:p>
    <w:p w14:paraId="3B3CB805" w14:textId="77777777" w:rsidR="00297143" w:rsidRPr="004F7CAC" w:rsidRDefault="00297143" w:rsidP="00C36529">
      <w:pPr>
        <w:tabs>
          <w:tab w:val="left" w:pos="630"/>
          <w:tab w:val="left" w:pos="3609"/>
          <w:tab w:val="left" w:pos="6008"/>
          <w:tab w:val="left" w:pos="6773"/>
          <w:tab w:val="left" w:pos="9376"/>
        </w:tabs>
        <w:spacing w:line="276" w:lineRule="auto"/>
        <w:ind w:right="48"/>
        <w:jc w:val="both"/>
        <w:rPr>
          <w:bCs/>
          <w:sz w:val="24"/>
          <w:szCs w:val="24"/>
        </w:rPr>
      </w:pPr>
    </w:p>
    <w:p w14:paraId="236C78ED" w14:textId="156E44D6" w:rsidR="00297143" w:rsidRPr="004F7CAC" w:rsidRDefault="00297143" w:rsidP="00C36529">
      <w:pPr>
        <w:tabs>
          <w:tab w:val="left" w:pos="630"/>
          <w:tab w:val="left" w:pos="3609"/>
          <w:tab w:val="left" w:pos="6008"/>
          <w:tab w:val="left" w:pos="6773"/>
          <w:tab w:val="left" w:pos="9376"/>
        </w:tabs>
        <w:spacing w:line="276" w:lineRule="auto"/>
        <w:ind w:right="48"/>
        <w:jc w:val="both"/>
        <w:rPr>
          <w:bCs/>
          <w:sz w:val="24"/>
          <w:szCs w:val="24"/>
        </w:rPr>
      </w:pPr>
      <w:r w:rsidRPr="004F7CAC">
        <w:rPr>
          <w:bCs/>
          <w:sz w:val="24"/>
          <w:szCs w:val="24"/>
        </w:rPr>
        <w:t xml:space="preserve">Në pjesën përfundimtare, projektligji parashikon shfuqizimin e ligjit nr. 133/2013 “Për sistemin e pagesave”, duke e zëvendësuar atë me një kuadër më të avancuar dhe të harmonizuar me </w:t>
      </w:r>
      <w:r w:rsidRPr="00C36529">
        <w:rPr>
          <w:bCs/>
          <w:sz w:val="24"/>
          <w:szCs w:val="24"/>
        </w:rPr>
        <w:t>acquis</w:t>
      </w:r>
      <w:r w:rsidRPr="004F7CAC">
        <w:rPr>
          <w:bCs/>
          <w:sz w:val="24"/>
          <w:szCs w:val="24"/>
        </w:rPr>
        <w:t xml:space="preserve"> të Bashkimit Europian. Gjithashtu, përcaktohen dispozita kalimtare për hyrjen në fuqi të disa neneve specifike, të cilat lidhen me momentin e anëtarësimit të Republikës së Shqipërisë në Bashkimin Europian, në mënyrë që të sigurohet përputhshmëri e plotë me detyrimet që rrjedhin nga ky proces.</w:t>
      </w:r>
    </w:p>
    <w:p w14:paraId="1367DF29" w14:textId="77777777" w:rsidR="00297143" w:rsidRPr="004F7CAC" w:rsidRDefault="00297143" w:rsidP="00C36529">
      <w:pPr>
        <w:tabs>
          <w:tab w:val="left" w:pos="630"/>
          <w:tab w:val="left" w:pos="3609"/>
          <w:tab w:val="left" w:pos="6008"/>
          <w:tab w:val="left" w:pos="6773"/>
          <w:tab w:val="left" w:pos="9376"/>
        </w:tabs>
        <w:spacing w:line="276" w:lineRule="auto"/>
        <w:ind w:right="48"/>
        <w:jc w:val="both"/>
        <w:rPr>
          <w:bCs/>
          <w:sz w:val="24"/>
          <w:szCs w:val="24"/>
        </w:rPr>
      </w:pPr>
    </w:p>
    <w:p w14:paraId="12E8F12D" w14:textId="77777777" w:rsidR="00297143" w:rsidRPr="004F7CAC" w:rsidRDefault="00297143" w:rsidP="00C36529">
      <w:pPr>
        <w:tabs>
          <w:tab w:val="left" w:pos="630"/>
          <w:tab w:val="left" w:pos="3609"/>
          <w:tab w:val="left" w:pos="6008"/>
          <w:tab w:val="left" w:pos="6773"/>
          <w:tab w:val="left" w:pos="9376"/>
        </w:tabs>
        <w:spacing w:line="276" w:lineRule="auto"/>
        <w:ind w:right="48"/>
        <w:jc w:val="both"/>
        <w:rPr>
          <w:bCs/>
          <w:sz w:val="24"/>
          <w:szCs w:val="24"/>
        </w:rPr>
      </w:pPr>
      <w:r w:rsidRPr="004F7CAC">
        <w:rPr>
          <w:bCs/>
          <w:sz w:val="24"/>
          <w:szCs w:val="24"/>
        </w:rPr>
        <w:t>Në tërësi, projektligji përfaqëson një reformë të rëndësishme në fushën e sistemeve të pagesave dhe infrastrukturave financiare, duke krijuar kushte për rritjen e sigurisë, efikasitetit dhe besueshmërisë së tregut financiar shqiptar, si dhe për integrimin e tij të mëtejshëm në tregjet financiare europiane dhe ndërkombëtare.</w:t>
      </w:r>
    </w:p>
    <w:p w14:paraId="5F3FEF59" w14:textId="77777777" w:rsidR="001814DA" w:rsidRPr="00C36529" w:rsidRDefault="001814DA" w:rsidP="00C36529">
      <w:pPr>
        <w:tabs>
          <w:tab w:val="left" w:pos="630"/>
          <w:tab w:val="left" w:pos="3609"/>
          <w:tab w:val="left" w:pos="6008"/>
          <w:tab w:val="left" w:pos="6773"/>
          <w:tab w:val="left" w:pos="9376"/>
        </w:tabs>
        <w:spacing w:line="276" w:lineRule="auto"/>
        <w:ind w:right="48"/>
        <w:jc w:val="both"/>
        <w:rPr>
          <w:b/>
          <w:sz w:val="28"/>
          <w:szCs w:val="28"/>
        </w:rPr>
      </w:pPr>
    </w:p>
    <w:p w14:paraId="18A8EE01" w14:textId="77777777" w:rsidR="00716C24" w:rsidRPr="004F7CAC" w:rsidRDefault="00E94EBD" w:rsidP="00C36529">
      <w:pPr>
        <w:pStyle w:val="ListParagraph"/>
        <w:numPr>
          <w:ilvl w:val="0"/>
          <w:numId w:val="13"/>
        </w:numPr>
        <w:tabs>
          <w:tab w:val="left" w:pos="896"/>
          <w:tab w:val="left" w:pos="900"/>
          <w:tab w:val="left" w:pos="3496"/>
          <w:tab w:val="left" w:pos="4444"/>
          <w:tab w:val="left" w:pos="6203"/>
          <w:tab w:val="left" w:pos="6949"/>
          <w:tab w:val="left" w:pos="9159"/>
        </w:tabs>
        <w:spacing w:line="276" w:lineRule="auto"/>
        <w:ind w:left="0" w:right="48" w:firstLine="0"/>
        <w:jc w:val="both"/>
        <w:rPr>
          <w:b/>
          <w:sz w:val="24"/>
          <w:szCs w:val="24"/>
        </w:rPr>
      </w:pPr>
      <w:r w:rsidRPr="004F7CAC">
        <w:rPr>
          <w:b/>
          <w:spacing w:val="-2"/>
          <w:sz w:val="24"/>
          <w:szCs w:val="24"/>
        </w:rPr>
        <w:t>INSTITUCIONET</w:t>
      </w:r>
      <w:r w:rsidRPr="004F7CAC">
        <w:rPr>
          <w:b/>
          <w:sz w:val="24"/>
          <w:szCs w:val="24"/>
        </w:rPr>
        <w:tab/>
      </w:r>
      <w:r w:rsidRPr="004F7CAC">
        <w:rPr>
          <w:b/>
          <w:spacing w:val="-4"/>
          <w:sz w:val="24"/>
          <w:szCs w:val="24"/>
        </w:rPr>
        <w:t>DHE</w:t>
      </w:r>
      <w:r w:rsidRPr="004F7CAC">
        <w:rPr>
          <w:b/>
          <w:sz w:val="24"/>
          <w:szCs w:val="24"/>
        </w:rPr>
        <w:tab/>
      </w:r>
      <w:r w:rsidRPr="004F7CAC">
        <w:rPr>
          <w:b/>
          <w:spacing w:val="-2"/>
          <w:sz w:val="24"/>
          <w:szCs w:val="24"/>
        </w:rPr>
        <w:t>ORGANET</w:t>
      </w:r>
      <w:r w:rsidR="000001CD" w:rsidRPr="004F7CAC">
        <w:rPr>
          <w:b/>
          <w:spacing w:val="-2"/>
          <w:sz w:val="24"/>
          <w:szCs w:val="24"/>
        </w:rPr>
        <w:t xml:space="preserve"> </w:t>
      </w:r>
      <w:r w:rsidRPr="004F7CAC">
        <w:rPr>
          <w:b/>
          <w:spacing w:val="-6"/>
          <w:sz w:val="24"/>
          <w:szCs w:val="24"/>
        </w:rPr>
        <w:t>QË</w:t>
      </w:r>
      <w:r w:rsidR="000001CD" w:rsidRPr="004F7CAC">
        <w:rPr>
          <w:b/>
          <w:sz w:val="24"/>
          <w:szCs w:val="24"/>
        </w:rPr>
        <w:t xml:space="preserve"> </w:t>
      </w:r>
      <w:r w:rsidRPr="004F7CAC">
        <w:rPr>
          <w:b/>
          <w:spacing w:val="-2"/>
          <w:sz w:val="24"/>
          <w:szCs w:val="24"/>
        </w:rPr>
        <w:t>NGARKOHEN</w:t>
      </w:r>
      <w:r w:rsidR="001B3476" w:rsidRPr="004F7CAC">
        <w:rPr>
          <w:b/>
          <w:sz w:val="24"/>
          <w:szCs w:val="24"/>
        </w:rPr>
        <w:t xml:space="preserve"> </w:t>
      </w:r>
      <w:r w:rsidRPr="004F7CAC">
        <w:rPr>
          <w:b/>
          <w:spacing w:val="-4"/>
          <w:sz w:val="24"/>
          <w:szCs w:val="24"/>
        </w:rPr>
        <w:t xml:space="preserve">PËR </w:t>
      </w:r>
      <w:r w:rsidRPr="004F7CAC">
        <w:rPr>
          <w:b/>
          <w:sz w:val="24"/>
          <w:szCs w:val="24"/>
        </w:rPr>
        <w:t>ZBATIMIN E KËTIJ PROJEKTLIGJI</w:t>
      </w:r>
    </w:p>
    <w:p w14:paraId="166A8A6F" w14:textId="77777777" w:rsidR="000631F8" w:rsidRDefault="000631F8" w:rsidP="00C36529">
      <w:pPr>
        <w:pStyle w:val="ListParagraph"/>
        <w:tabs>
          <w:tab w:val="left" w:pos="896"/>
          <w:tab w:val="left" w:pos="900"/>
          <w:tab w:val="left" w:pos="3496"/>
          <w:tab w:val="left" w:pos="4444"/>
          <w:tab w:val="left" w:pos="6203"/>
          <w:tab w:val="left" w:pos="6949"/>
          <w:tab w:val="left" w:pos="9159"/>
        </w:tabs>
        <w:spacing w:line="276" w:lineRule="auto"/>
        <w:ind w:left="0" w:right="48" w:firstLine="0"/>
        <w:rPr>
          <w:sz w:val="24"/>
          <w:szCs w:val="24"/>
        </w:rPr>
      </w:pPr>
    </w:p>
    <w:p w14:paraId="39719C99" w14:textId="6303B8A6" w:rsidR="001157E9" w:rsidRPr="004F7CAC" w:rsidRDefault="001157E9" w:rsidP="00C36529">
      <w:pPr>
        <w:pStyle w:val="ListParagraph"/>
        <w:tabs>
          <w:tab w:val="left" w:pos="896"/>
          <w:tab w:val="left" w:pos="900"/>
          <w:tab w:val="left" w:pos="3496"/>
          <w:tab w:val="left" w:pos="4444"/>
          <w:tab w:val="left" w:pos="6203"/>
          <w:tab w:val="left" w:pos="6949"/>
          <w:tab w:val="left" w:pos="9159"/>
        </w:tabs>
        <w:spacing w:line="276" w:lineRule="auto"/>
        <w:ind w:left="0" w:right="48" w:firstLine="0"/>
        <w:rPr>
          <w:b/>
          <w:sz w:val="24"/>
          <w:szCs w:val="24"/>
        </w:rPr>
      </w:pPr>
      <w:r w:rsidRPr="004F7CAC">
        <w:rPr>
          <w:sz w:val="24"/>
          <w:szCs w:val="24"/>
        </w:rPr>
        <w:t>Për zbatimin e këtij projektligji ngarkohet Banka e Shqipërisë</w:t>
      </w:r>
      <w:r w:rsidR="00297143" w:rsidRPr="004F7CAC">
        <w:rPr>
          <w:sz w:val="24"/>
          <w:szCs w:val="24"/>
        </w:rPr>
        <w:t xml:space="preserve"> dhe Autoritetit i Mbikëqyrjes Financiarë për </w:t>
      </w:r>
      <w:r w:rsidR="00C36529">
        <w:rPr>
          <w:sz w:val="24"/>
          <w:szCs w:val="24"/>
        </w:rPr>
        <w:t>K</w:t>
      </w:r>
      <w:r w:rsidR="00297143" w:rsidRPr="004F7CAC">
        <w:rPr>
          <w:sz w:val="24"/>
          <w:szCs w:val="24"/>
        </w:rPr>
        <w:t>reun II dhe III</w:t>
      </w:r>
      <w:r w:rsidRPr="004F7CAC">
        <w:rPr>
          <w:sz w:val="24"/>
          <w:szCs w:val="24"/>
        </w:rPr>
        <w:t xml:space="preserve"> në cilësinë e autoritet</w:t>
      </w:r>
      <w:r w:rsidR="00297143" w:rsidRPr="004F7CAC">
        <w:rPr>
          <w:sz w:val="24"/>
          <w:szCs w:val="24"/>
        </w:rPr>
        <w:t>eve</w:t>
      </w:r>
      <w:r w:rsidRPr="004F7CAC">
        <w:rPr>
          <w:sz w:val="24"/>
          <w:szCs w:val="24"/>
        </w:rPr>
        <w:t xml:space="preserve"> rregullator dhe </w:t>
      </w:r>
      <w:r w:rsidRPr="004F7CAC">
        <w:rPr>
          <w:sz w:val="24"/>
          <w:szCs w:val="24"/>
        </w:rPr>
        <w:lastRenderedPageBreak/>
        <w:t xml:space="preserve">mbikëqyrës të tregut të </w:t>
      </w:r>
      <w:r w:rsidR="00297143" w:rsidRPr="004F7CAC">
        <w:rPr>
          <w:sz w:val="24"/>
          <w:szCs w:val="24"/>
        </w:rPr>
        <w:t xml:space="preserve">sistemeve të pagesave dhe tregjeve financiare. </w:t>
      </w:r>
    </w:p>
    <w:p w14:paraId="1C861947" w14:textId="77777777" w:rsidR="00E76BF2" w:rsidRPr="004F7CAC" w:rsidRDefault="00E76BF2" w:rsidP="00805B98">
      <w:pPr>
        <w:pStyle w:val="BodyText"/>
        <w:spacing w:line="276" w:lineRule="auto"/>
        <w:ind w:right="48"/>
        <w:rPr>
          <w:sz w:val="24"/>
          <w:szCs w:val="24"/>
        </w:rPr>
      </w:pPr>
    </w:p>
    <w:p w14:paraId="04D377CD" w14:textId="303B24D9" w:rsidR="009505BC" w:rsidRPr="00C36529" w:rsidRDefault="00E94EBD" w:rsidP="00C36529">
      <w:pPr>
        <w:pStyle w:val="ListParagraph"/>
        <w:numPr>
          <w:ilvl w:val="0"/>
          <w:numId w:val="13"/>
        </w:numPr>
        <w:tabs>
          <w:tab w:val="left" w:pos="0"/>
        </w:tabs>
        <w:spacing w:line="276" w:lineRule="auto"/>
        <w:ind w:left="0" w:right="48" w:firstLine="0"/>
        <w:jc w:val="both"/>
        <w:rPr>
          <w:b/>
          <w:sz w:val="24"/>
          <w:szCs w:val="24"/>
        </w:rPr>
      </w:pPr>
      <w:r w:rsidRPr="00C36529">
        <w:rPr>
          <w:b/>
          <w:sz w:val="24"/>
          <w:szCs w:val="24"/>
        </w:rPr>
        <w:t>PERSONAT</w:t>
      </w:r>
      <w:r w:rsidRPr="00C36529">
        <w:rPr>
          <w:b/>
          <w:spacing w:val="40"/>
          <w:sz w:val="24"/>
          <w:szCs w:val="24"/>
        </w:rPr>
        <w:t xml:space="preserve"> </w:t>
      </w:r>
      <w:r w:rsidRPr="00C36529">
        <w:rPr>
          <w:b/>
          <w:sz w:val="24"/>
          <w:szCs w:val="24"/>
        </w:rPr>
        <w:t>DHE</w:t>
      </w:r>
      <w:r w:rsidRPr="00C36529">
        <w:rPr>
          <w:b/>
          <w:spacing w:val="40"/>
          <w:sz w:val="24"/>
          <w:szCs w:val="24"/>
        </w:rPr>
        <w:t xml:space="preserve"> </w:t>
      </w:r>
      <w:r w:rsidRPr="00C36529">
        <w:rPr>
          <w:b/>
          <w:sz w:val="24"/>
          <w:szCs w:val="24"/>
        </w:rPr>
        <w:t>INSTITUCIONET</w:t>
      </w:r>
      <w:r w:rsidRPr="00C36529">
        <w:rPr>
          <w:b/>
          <w:spacing w:val="40"/>
          <w:sz w:val="24"/>
          <w:szCs w:val="24"/>
        </w:rPr>
        <w:t xml:space="preserve"> </w:t>
      </w:r>
      <w:r w:rsidRPr="00C36529">
        <w:rPr>
          <w:b/>
          <w:sz w:val="24"/>
          <w:szCs w:val="24"/>
        </w:rPr>
        <w:t>QË</w:t>
      </w:r>
      <w:r w:rsidRPr="00C36529">
        <w:rPr>
          <w:b/>
          <w:spacing w:val="40"/>
          <w:sz w:val="24"/>
          <w:szCs w:val="24"/>
        </w:rPr>
        <w:t xml:space="preserve"> </w:t>
      </w:r>
      <w:r w:rsidRPr="00C36529">
        <w:rPr>
          <w:b/>
          <w:sz w:val="24"/>
          <w:szCs w:val="24"/>
        </w:rPr>
        <w:t>KANË</w:t>
      </w:r>
      <w:r w:rsidRPr="00C36529">
        <w:rPr>
          <w:b/>
          <w:spacing w:val="40"/>
          <w:sz w:val="24"/>
          <w:szCs w:val="24"/>
        </w:rPr>
        <w:t xml:space="preserve"> </w:t>
      </w:r>
      <w:r w:rsidRPr="00C36529">
        <w:rPr>
          <w:b/>
          <w:sz w:val="24"/>
          <w:szCs w:val="24"/>
        </w:rPr>
        <w:t>KONTRIBUAR</w:t>
      </w:r>
      <w:r w:rsidRPr="00C36529">
        <w:rPr>
          <w:b/>
          <w:spacing w:val="40"/>
          <w:sz w:val="24"/>
          <w:szCs w:val="24"/>
        </w:rPr>
        <w:t xml:space="preserve"> </w:t>
      </w:r>
      <w:r w:rsidRPr="00C36529">
        <w:rPr>
          <w:b/>
          <w:sz w:val="24"/>
          <w:szCs w:val="24"/>
        </w:rPr>
        <w:t>NË HARTIMIN E PROJEKTLIGJIT</w:t>
      </w:r>
    </w:p>
    <w:p w14:paraId="2CC922AA" w14:textId="77777777" w:rsidR="00297143" w:rsidRPr="00C36529" w:rsidRDefault="00297143" w:rsidP="00C36529">
      <w:pPr>
        <w:pStyle w:val="ListParagraph"/>
        <w:tabs>
          <w:tab w:val="left" w:pos="0"/>
        </w:tabs>
        <w:spacing w:line="276" w:lineRule="auto"/>
        <w:ind w:left="0" w:right="48" w:firstLine="0"/>
        <w:rPr>
          <w:b/>
          <w:sz w:val="24"/>
          <w:szCs w:val="24"/>
        </w:rPr>
      </w:pPr>
    </w:p>
    <w:p w14:paraId="20714AC9" w14:textId="7F464B96" w:rsidR="009505BC" w:rsidRPr="00C36529" w:rsidRDefault="00E94EBD" w:rsidP="00C36529">
      <w:pPr>
        <w:pStyle w:val="BodyText"/>
        <w:tabs>
          <w:tab w:val="left" w:pos="0"/>
        </w:tabs>
        <w:spacing w:line="276" w:lineRule="auto"/>
        <w:ind w:right="48"/>
        <w:rPr>
          <w:sz w:val="24"/>
          <w:szCs w:val="24"/>
        </w:rPr>
      </w:pPr>
      <w:r w:rsidRPr="00C36529">
        <w:rPr>
          <w:sz w:val="24"/>
          <w:szCs w:val="24"/>
        </w:rPr>
        <w:t xml:space="preserve">Projektligji është hartuar nga </w:t>
      </w:r>
      <w:r w:rsidR="00F029DE" w:rsidRPr="00C36529">
        <w:rPr>
          <w:sz w:val="24"/>
          <w:szCs w:val="24"/>
        </w:rPr>
        <w:t>Banka e Shqipërisë dhe është konsultuar me aktorët e tregu</w:t>
      </w:r>
      <w:r w:rsidR="000631F8" w:rsidRPr="00C36529">
        <w:rPr>
          <w:sz w:val="24"/>
          <w:szCs w:val="24"/>
        </w:rPr>
        <w:t>t</w:t>
      </w:r>
      <w:r w:rsidR="00C36529">
        <w:rPr>
          <w:sz w:val="24"/>
          <w:szCs w:val="24"/>
        </w:rPr>
        <w:t xml:space="preserve"> </w:t>
      </w:r>
      <w:r w:rsidR="00F029DE" w:rsidRPr="00C36529">
        <w:rPr>
          <w:sz w:val="24"/>
          <w:szCs w:val="24"/>
        </w:rPr>
        <w:t xml:space="preserve">përkatës. </w:t>
      </w:r>
    </w:p>
    <w:p w14:paraId="111E5D2D" w14:textId="77777777" w:rsidR="00DA49BA" w:rsidRPr="004F7CAC" w:rsidRDefault="00DA49BA" w:rsidP="00805B98">
      <w:pPr>
        <w:pStyle w:val="BodyText"/>
        <w:tabs>
          <w:tab w:val="left" w:pos="0"/>
        </w:tabs>
        <w:spacing w:line="276" w:lineRule="auto"/>
        <w:ind w:right="48"/>
        <w:jc w:val="left"/>
        <w:rPr>
          <w:sz w:val="24"/>
          <w:szCs w:val="24"/>
        </w:rPr>
      </w:pPr>
    </w:p>
    <w:p w14:paraId="2801D737" w14:textId="2E305FAD" w:rsidR="009505BC" w:rsidRDefault="00E94EBD" w:rsidP="00805B98">
      <w:pPr>
        <w:pStyle w:val="ListParagraph"/>
        <w:numPr>
          <w:ilvl w:val="0"/>
          <w:numId w:val="13"/>
        </w:numPr>
        <w:tabs>
          <w:tab w:val="left" w:pos="0"/>
          <w:tab w:val="left" w:pos="808"/>
          <w:tab w:val="left" w:pos="811"/>
          <w:tab w:val="left" w:pos="2527"/>
          <w:tab w:val="left" w:pos="3062"/>
          <w:tab w:val="left" w:pos="5274"/>
          <w:tab w:val="left" w:pos="6070"/>
          <w:tab w:val="left" w:pos="6869"/>
          <w:tab w:val="left" w:pos="9111"/>
        </w:tabs>
        <w:spacing w:line="276" w:lineRule="auto"/>
        <w:ind w:left="0" w:right="48" w:firstLine="0"/>
        <w:jc w:val="both"/>
        <w:rPr>
          <w:b/>
          <w:sz w:val="24"/>
          <w:szCs w:val="24"/>
        </w:rPr>
      </w:pPr>
      <w:r w:rsidRPr="004F7CAC">
        <w:rPr>
          <w:b/>
          <w:spacing w:val="-2"/>
          <w:sz w:val="24"/>
          <w:szCs w:val="24"/>
        </w:rPr>
        <w:t>RAPORTI</w:t>
      </w:r>
      <w:r w:rsidR="000001CD" w:rsidRPr="004F7CAC">
        <w:rPr>
          <w:b/>
          <w:spacing w:val="-2"/>
          <w:sz w:val="24"/>
          <w:szCs w:val="24"/>
        </w:rPr>
        <w:t xml:space="preserve"> </w:t>
      </w:r>
      <w:r w:rsidRPr="004F7CAC">
        <w:rPr>
          <w:b/>
          <w:spacing w:val="-10"/>
          <w:sz w:val="24"/>
          <w:szCs w:val="24"/>
        </w:rPr>
        <w:t>I</w:t>
      </w:r>
      <w:r w:rsidR="000001CD" w:rsidRPr="004F7CAC">
        <w:rPr>
          <w:b/>
          <w:spacing w:val="-10"/>
          <w:sz w:val="24"/>
          <w:szCs w:val="24"/>
        </w:rPr>
        <w:t xml:space="preserve"> </w:t>
      </w:r>
      <w:r w:rsidRPr="004F7CAC">
        <w:rPr>
          <w:b/>
          <w:spacing w:val="-2"/>
          <w:sz w:val="24"/>
          <w:szCs w:val="24"/>
        </w:rPr>
        <w:t>VLERËSIMIT</w:t>
      </w:r>
      <w:r w:rsidR="000001CD" w:rsidRPr="004F7CAC">
        <w:rPr>
          <w:b/>
          <w:spacing w:val="-2"/>
          <w:sz w:val="24"/>
          <w:szCs w:val="24"/>
        </w:rPr>
        <w:t xml:space="preserve"> </w:t>
      </w:r>
      <w:r w:rsidRPr="004F7CAC">
        <w:rPr>
          <w:b/>
          <w:spacing w:val="-6"/>
          <w:sz w:val="24"/>
          <w:szCs w:val="24"/>
        </w:rPr>
        <w:t>TË</w:t>
      </w:r>
      <w:r w:rsidR="000001CD" w:rsidRPr="004F7CAC">
        <w:rPr>
          <w:b/>
          <w:spacing w:val="-6"/>
          <w:sz w:val="24"/>
          <w:szCs w:val="24"/>
        </w:rPr>
        <w:t xml:space="preserve"> </w:t>
      </w:r>
      <w:r w:rsidRPr="004F7CAC">
        <w:rPr>
          <w:b/>
          <w:spacing w:val="-6"/>
          <w:sz w:val="24"/>
          <w:szCs w:val="24"/>
        </w:rPr>
        <w:t>TË</w:t>
      </w:r>
      <w:r w:rsidR="000001CD" w:rsidRPr="004F7CAC">
        <w:rPr>
          <w:b/>
          <w:sz w:val="24"/>
          <w:szCs w:val="24"/>
        </w:rPr>
        <w:t xml:space="preserve"> </w:t>
      </w:r>
      <w:r w:rsidRPr="004F7CAC">
        <w:rPr>
          <w:b/>
          <w:spacing w:val="-2"/>
          <w:sz w:val="24"/>
          <w:szCs w:val="24"/>
        </w:rPr>
        <w:t>ARDHURAVE</w:t>
      </w:r>
      <w:r w:rsidRPr="004F7CAC">
        <w:rPr>
          <w:b/>
          <w:sz w:val="24"/>
          <w:szCs w:val="24"/>
        </w:rPr>
        <w:tab/>
      </w:r>
      <w:r w:rsidRPr="004F7CAC">
        <w:rPr>
          <w:b/>
          <w:spacing w:val="-4"/>
          <w:sz w:val="24"/>
          <w:szCs w:val="24"/>
        </w:rPr>
        <w:t>DHE</w:t>
      </w:r>
      <w:r w:rsidR="00E76BF2" w:rsidRPr="004F7CAC">
        <w:rPr>
          <w:b/>
          <w:spacing w:val="-4"/>
          <w:sz w:val="24"/>
          <w:szCs w:val="24"/>
        </w:rPr>
        <w:t xml:space="preserve"> </w:t>
      </w:r>
      <w:r w:rsidRPr="004F7CAC">
        <w:rPr>
          <w:b/>
          <w:sz w:val="24"/>
          <w:szCs w:val="24"/>
        </w:rPr>
        <w:t>SHPENZIMEVE BUXHETORE</w:t>
      </w:r>
    </w:p>
    <w:p w14:paraId="04CEC8D6" w14:textId="77777777" w:rsidR="00C36529" w:rsidRPr="004F7CAC" w:rsidRDefault="00C36529" w:rsidP="00C36529">
      <w:pPr>
        <w:pStyle w:val="ListParagraph"/>
        <w:tabs>
          <w:tab w:val="left" w:pos="0"/>
          <w:tab w:val="left" w:pos="808"/>
          <w:tab w:val="left" w:pos="811"/>
          <w:tab w:val="left" w:pos="2527"/>
          <w:tab w:val="left" w:pos="3062"/>
          <w:tab w:val="left" w:pos="5274"/>
          <w:tab w:val="left" w:pos="6070"/>
          <w:tab w:val="left" w:pos="6869"/>
          <w:tab w:val="left" w:pos="9111"/>
        </w:tabs>
        <w:spacing w:line="276" w:lineRule="auto"/>
        <w:ind w:left="0" w:right="48" w:firstLine="0"/>
        <w:rPr>
          <w:b/>
          <w:sz w:val="24"/>
          <w:szCs w:val="24"/>
        </w:rPr>
      </w:pPr>
    </w:p>
    <w:p w14:paraId="69AA2003" w14:textId="3B43AFB2" w:rsidR="009505BC" w:rsidRPr="004F7CAC" w:rsidRDefault="00E94EBD" w:rsidP="00C36529">
      <w:pPr>
        <w:pStyle w:val="BodyText"/>
        <w:tabs>
          <w:tab w:val="left" w:pos="0"/>
        </w:tabs>
        <w:spacing w:line="276" w:lineRule="auto"/>
        <w:ind w:right="48"/>
        <w:rPr>
          <w:sz w:val="24"/>
          <w:szCs w:val="24"/>
        </w:rPr>
      </w:pPr>
      <w:r w:rsidRPr="004F7CAC">
        <w:rPr>
          <w:sz w:val="24"/>
          <w:szCs w:val="24"/>
        </w:rPr>
        <w:t>Projektligji nuk vlerësohet të ketë efekte të posaçme të paparashikuara në buxhetin e shtetit.</w:t>
      </w:r>
      <w:r w:rsidR="00114BF1" w:rsidRPr="004F7CAC">
        <w:rPr>
          <w:sz w:val="24"/>
          <w:szCs w:val="24"/>
        </w:rPr>
        <w:t xml:space="preserve"> </w:t>
      </w:r>
    </w:p>
    <w:p w14:paraId="1345F988" w14:textId="77777777" w:rsidR="00DA49BA" w:rsidRPr="004F7CAC" w:rsidRDefault="00DA49BA" w:rsidP="00C36529">
      <w:pPr>
        <w:pStyle w:val="BodyText"/>
        <w:tabs>
          <w:tab w:val="left" w:pos="0"/>
        </w:tabs>
        <w:spacing w:line="276" w:lineRule="auto"/>
        <w:ind w:right="48"/>
        <w:rPr>
          <w:sz w:val="24"/>
          <w:szCs w:val="24"/>
        </w:rPr>
      </w:pPr>
    </w:p>
    <w:p w14:paraId="5FC27D4F" w14:textId="77777777" w:rsidR="001930C1" w:rsidRDefault="00E76BF2" w:rsidP="001930C1">
      <w:pPr>
        <w:jc w:val="both"/>
        <w:rPr>
          <w:b/>
          <w:sz w:val="28"/>
          <w:szCs w:val="28"/>
        </w:rPr>
      </w:pPr>
      <w:r w:rsidRPr="004F7CAC">
        <w:rPr>
          <w:b/>
          <w:sz w:val="24"/>
          <w:szCs w:val="24"/>
        </w:rPr>
        <w:t xml:space="preserve">  </w:t>
      </w:r>
    </w:p>
    <w:p w14:paraId="434E2CDF" w14:textId="77777777" w:rsidR="001930C1" w:rsidRDefault="001930C1" w:rsidP="001930C1">
      <w:pPr>
        <w:jc w:val="both"/>
        <w:rPr>
          <w:b/>
          <w:sz w:val="28"/>
          <w:szCs w:val="28"/>
        </w:rPr>
      </w:pPr>
    </w:p>
    <w:p w14:paraId="291C3371" w14:textId="77777777" w:rsidR="001930C1" w:rsidRPr="001930C1" w:rsidRDefault="001930C1" w:rsidP="001930C1">
      <w:pPr>
        <w:ind w:left="491" w:right="48"/>
        <w:jc w:val="right"/>
        <w:rPr>
          <w:b/>
          <w:sz w:val="24"/>
          <w:szCs w:val="24"/>
        </w:rPr>
      </w:pPr>
      <w:r>
        <w:rPr>
          <w:b/>
          <w:sz w:val="28"/>
          <w:szCs w:val="28"/>
        </w:rPr>
        <w:t xml:space="preserve">                                                                         </w:t>
      </w:r>
      <w:r w:rsidRPr="001930C1">
        <w:rPr>
          <w:b/>
          <w:sz w:val="24"/>
          <w:szCs w:val="24"/>
        </w:rPr>
        <w:t>MINISTRI</w:t>
      </w:r>
    </w:p>
    <w:p w14:paraId="045F0E5F" w14:textId="77777777" w:rsidR="001930C1" w:rsidRPr="001930C1" w:rsidRDefault="001930C1" w:rsidP="001930C1">
      <w:pPr>
        <w:ind w:left="491" w:right="48"/>
        <w:jc w:val="right"/>
        <w:rPr>
          <w:rFonts w:eastAsia="Calibri"/>
          <w:b/>
          <w:sz w:val="24"/>
          <w:szCs w:val="24"/>
        </w:rPr>
      </w:pPr>
    </w:p>
    <w:p w14:paraId="39EE3404" w14:textId="77777777" w:rsidR="001930C1" w:rsidRPr="001930C1" w:rsidRDefault="001930C1" w:rsidP="001930C1">
      <w:pPr>
        <w:ind w:left="491" w:right="48"/>
        <w:jc w:val="right"/>
        <w:rPr>
          <w:b/>
          <w:sz w:val="24"/>
          <w:szCs w:val="24"/>
        </w:rPr>
      </w:pPr>
    </w:p>
    <w:p w14:paraId="024E5F9D" w14:textId="77777777" w:rsidR="001930C1" w:rsidRPr="001930C1" w:rsidRDefault="001930C1" w:rsidP="001930C1">
      <w:pPr>
        <w:ind w:left="491" w:right="48"/>
        <w:jc w:val="right"/>
        <w:rPr>
          <w:b/>
          <w:bCs/>
          <w:sz w:val="24"/>
          <w:szCs w:val="24"/>
        </w:rPr>
      </w:pPr>
      <w:r w:rsidRPr="001930C1">
        <w:rPr>
          <w:b/>
          <w:sz w:val="24"/>
          <w:szCs w:val="24"/>
        </w:rPr>
        <w:t>Petrit Malaj</w:t>
      </w:r>
    </w:p>
    <w:p w14:paraId="13B6BB91" w14:textId="77777777" w:rsidR="001930C1" w:rsidRDefault="001930C1" w:rsidP="001930C1">
      <w:pPr>
        <w:tabs>
          <w:tab w:val="left" w:pos="900"/>
        </w:tabs>
        <w:rPr>
          <w:rFonts w:eastAsia="Calibri"/>
          <w:sz w:val="28"/>
          <w:szCs w:val="28"/>
        </w:rPr>
      </w:pPr>
    </w:p>
    <w:p w14:paraId="0DB79FE8" w14:textId="64465FA0" w:rsidR="004F0D2D" w:rsidRPr="004F7CAC" w:rsidRDefault="00E76BF2" w:rsidP="00805B98">
      <w:pPr>
        <w:spacing w:line="276" w:lineRule="auto"/>
        <w:ind w:left="491" w:right="48"/>
        <w:jc w:val="right"/>
        <w:rPr>
          <w:b/>
          <w:sz w:val="24"/>
          <w:szCs w:val="24"/>
        </w:rPr>
      </w:pPr>
      <w:r w:rsidRPr="004F7CAC">
        <w:rPr>
          <w:b/>
          <w:sz w:val="24"/>
          <w:szCs w:val="24"/>
        </w:rPr>
        <w:t xml:space="preserve">                                                                       </w:t>
      </w:r>
    </w:p>
    <w:sectPr w:rsidR="004F0D2D" w:rsidRPr="004F7CAC" w:rsidSect="00E76BF2">
      <w:footerReference w:type="default" r:id="rId8"/>
      <w:pgSz w:w="11906" w:h="16838" w:code="9"/>
      <w:pgMar w:top="1138" w:right="1699" w:bottom="1138" w:left="1699" w:header="0" w:footer="86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3A877" w14:textId="77777777" w:rsidR="005018D3" w:rsidRDefault="005018D3">
      <w:r>
        <w:separator/>
      </w:r>
    </w:p>
  </w:endnote>
  <w:endnote w:type="continuationSeparator" w:id="0">
    <w:p w14:paraId="262B7CD0" w14:textId="77777777" w:rsidR="005018D3" w:rsidRDefault="005018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201672429"/>
      <w:docPartObj>
        <w:docPartGallery w:val="Page Numbers (Bottom of Page)"/>
        <w:docPartUnique/>
      </w:docPartObj>
    </w:sdtPr>
    <w:sdtEndPr>
      <w:rPr>
        <w:noProof/>
      </w:rPr>
    </w:sdtEndPr>
    <w:sdtContent>
      <w:p w14:paraId="71B5A7CF" w14:textId="0206135F" w:rsidR="0013622C" w:rsidRPr="000C1CB4" w:rsidRDefault="00F26F6C">
        <w:pPr>
          <w:pStyle w:val="Footer"/>
          <w:jc w:val="right"/>
          <w:rPr>
            <w:sz w:val="20"/>
            <w:szCs w:val="20"/>
          </w:rPr>
        </w:pPr>
        <w:r>
          <w:rPr>
            <w:sz w:val="20"/>
            <w:szCs w:val="20"/>
          </w:rPr>
          <w:t xml:space="preserve">      </w:t>
        </w:r>
        <w:r w:rsidR="0013622C" w:rsidRPr="000C1CB4">
          <w:rPr>
            <w:sz w:val="20"/>
            <w:szCs w:val="20"/>
          </w:rPr>
          <w:fldChar w:fldCharType="begin"/>
        </w:r>
        <w:r w:rsidR="0013622C" w:rsidRPr="000C1CB4">
          <w:rPr>
            <w:sz w:val="20"/>
            <w:szCs w:val="20"/>
          </w:rPr>
          <w:instrText xml:space="preserve"> PAGE   \* MERGEFORMAT </w:instrText>
        </w:r>
        <w:r w:rsidR="0013622C" w:rsidRPr="000C1CB4">
          <w:rPr>
            <w:sz w:val="20"/>
            <w:szCs w:val="20"/>
          </w:rPr>
          <w:fldChar w:fldCharType="separate"/>
        </w:r>
        <w:r w:rsidR="000C1CB4" w:rsidRPr="000C1CB4">
          <w:rPr>
            <w:noProof/>
            <w:sz w:val="20"/>
            <w:szCs w:val="20"/>
          </w:rPr>
          <w:t>5</w:t>
        </w:r>
        <w:r w:rsidR="0013622C" w:rsidRPr="000C1CB4">
          <w:rPr>
            <w:noProof/>
            <w:sz w:val="20"/>
            <w:szCs w:val="20"/>
          </w:rPr>
          <w:fldChar w:fldCharType="end"/>
        </w:r>
      </w:p>
    </w:sdtContent>
  </w:sdt>
  <w:p w14:paraId="49AE2ACD" w14:textId="5FA35C15" w:rsidR="000C1CB4" w:rsidRPr="000C1CB4" w:rsidRDefault="000C1CB4" w:rsidP="000C1CB4">
    <w:pPr>
      <w:pBdr>
        <w:top w:val="single" w:sz="4" w:space="1" w:color="auto"/>
      </w:pBdr>
      <w:spacing w:line="276" w:lineRule="auto"/>
      <w:ind w:right="48"/>
      <w:jc w:val="center"/>
      <w:rPr>
        <w:bCs/>
        <w:sz w:val="20"/>
        <w:szCs w:val="20"/>
      </w:rPr>
    </w:pPr>
    <w:r w:rsidRPr="000C1CB4">
      <w:rPr>
        <w:bCs/>
        <w:spacing w:val="-5"/>
        <w:sz w:val="20"/>
        <w:szCs w:val="20"/>
      </w:rPr>
      <w:t>Relacion shpjegues për projektligji</w:t>
    </w:r>
    <w:r>
      <w:rPr>
        <w:bCs/>
        <w:spacing w:val="-5"/>
        <w:sz w:val="20"/>
        <w:szCs w:val="20"/>
      </w:rPr>
      <w:t xml:space="preserve">n </w:t>
    </w:r>
    <w:r w:rsidRPr="000C1CB4">
      <w:rPr>
        <w:bCs/>
        <w:sz w:val="20"/>
        <w:szCs w:val="20"/>
      </w:rPr>
      <w:t xml:space="preserve">“Për </w:t>
    </w:r>
    <w:r w:rsidR="009A1DAA">
      <w:rPr>
        <w:bCs/>
        <w:sz w:val="20"/>
        <w:szCs w:val="20"/>
      </w:rPr>
      <w:t>Sistemin e Pagesave</w:t>
    </w:r>
    <w:r w:rsidR="00194D27">
      <w:rPr>
        <w:bCs/>
        <w:sz w:val="20"/>
        <w:szCs w:val="20"/>
      </w:rPr>
      <w:t xml:space="preserve"> dhe Kolateralin Financiar</w:t>
    </w:r>
    <w:r w:rsidR="00716C24" w:rsidRPr="00716C24">
      <w:rPr>
        <w:bCs/>
        <w:sz w:val="20"/>
        <w:szCs w:val="20"/>
      </w:rPr>
      <w:t>”</w:t>
    </w:r>
  </w:p>
  <w:p w14:paraId="60F3AD41" w14:textId="77777777" w:rsidR="009505BC" w:rsidRDefault="009505BC">
    <w:pPr>
      <w:pStyle w:val="BodyText"/>
      <w:spacing w:line="14" w:lineRule="auto"/>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3CA5C" w14:textId="77777777" w:rsidR="005018D3" w:rsidRDefault="005018D3">
      <w:r>
        <w:separator/>
      </w:r>
    </w:p>
  </w:footnote>
  <w:footnote w:type="continuationSeparator" w:id="0">
    <w:p w14:paraId="5B35FDC4" w14:textId="77777777" w:rsidR="005018D3" w:rsidRDefault="005018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21A73"/>
    <w:multiLevelType w:val="multilevel"/>
    <w:tmpl w:val="DD1CF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4C308C"/>
    <w:multiLevelType w:val="hybridMultilevel"/>
    <w:tmpl w:val="E780A8B2"/>
    <w:lvl w:ilvl="0" w:tplc="04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EB58A5"/>
    <w:multiLevelType w:val="hybridMultilevel"/>
    <w:tmpl w:val="DB1424AC"/>
    <w:lvl w:ilvl="0" w:tplc="335E2888">
      <w:start w:val="3"/>
      <w:numFmt w:val="decimal"/>
      <w:lvlText w:val="%1."/>
      <w:lvlJc w:val="left"/>
      <w:pPr>
        <w:ind w:left="1868" w:hanging="672"/>
      </w:pPr>
      <w:rPr>
        <w:rFonts w:ascii="Times New Roman" w:eastAsia="Times New Roman" w:hAnsi="Times New Roman" w:cs="Times New Roman" w:hint="default"/>
        <w:b w:val="0"/>
        <w:bCs w:val="0"/>
        <w:i w:val="0"/>
        <w:iCs w:val="0"/>
        <w:spacing w:val="0"/>
        <w:w w:val="100"/>
        <w:sz w:val="28"/>
        <w:szCs w:val="28"/>
        <w:lang w:val="sq-AL" w:eastAsia="en-US" w:bidi="ar-SA"/>
      </w:rPr>
    </w:lvl>
    <w:lvl w:ilvl="1" w:tplc="71123D9C">
      <w:numFmt w:val="bullet"/>
      <w:lvlText w:val="•"/>
      <w:lvlJc w:val="left"/>
      <w:pPr>
        <w:ind w:left="2700" w:hanging="672"/>
      </w:pPr>
      <w:rPr>
        <w:rFonts w:hint="default"/>
        <w:lang w:val="sq-AL" w:eastAsia="en-US" w:bidi="ar-SA"/>
      </w:rPr>
    </w:lvl>
    <w:lvl w:ilvl="2" w:tplc="01321C90">
      <w:numFmt w:val="bullet"/>
      <w:lvlText w:val="•"/>
      <w:lvlJc w:val="left"/>
      <w:pPr>
        <w:ind w:left="3530" w:hanging="672"/>
      </w:pPr>
      <w:rPr>
        <w:rFonts w:hint="default"/>
        <w:lang w:val="sq-AL" w:eastAsia="en-US" w:bidi="ar-SA"/>
      </w:rPr>
    </w:lvl>
    <w:lvl w:ilvl="3" w:tplc="39749564">
      <w:numFmt w:val="bullet"/>
      <w:lvlText w:val="•"/>
      <w:lvlJc w:val="left"/>
      <w:pPr>
        <w:ind w:left="4360" w:hanging="672"/>
      </w:pPr>
      <w:rPr>
        <w:rFonts w:hint="default"/>
        <w:lang w:val="sq-AL" w:eastAsia="en-US" w:bidi="ar-SA"/>
      </w:rPr>
    </w:lvl>
    <w:lvl w:ilvl="4" w:tplc="A198C522">
      <w:numFmt w:val="bullet"/>
      <w:lvlText w:val="•"/>
      <w:lvlJc w:val="left"/>
      <w:pPr>
        <w:ind w:left="5190" w:hanging="672"/>
      </w:pPr>
      <w:rPr>
        <w:rFonts w:hint="default"/>
        <w:lang w:val="sq-AL" w:eastAsia="en-US" w:bidi="ar-SA"/>
      </w:rPr>
    </w:lvl>
    <w:lvl w:ilvl="5" w:tplc="2538217C">
      <w:numFmt w:val="bullet"/>
      <w:lvlText w:val="•"/>
      <w:lvlJc w:val="left"/>
      <w:pPr>
        <w:ind w:left="6020" w:hanging="672"/>
      </w:pPr>
      <w:rPr>
        <w:rFonts w:hint="default"/>
        <w:lang w:val="sq-AL" w:eastAsia="en-US" w:bidi="ar-SA"/>
      </w:rPr>
    </w:lvl>
    <w:lvl w:ilvl="6" w:tplc="ECE0139C">
      <w:numFmt w:val="bullet"/>
      <w:lvlText w:val="•"/>
      <w:lvlJc w:val="left"/>
      <w:pPr>
        <w:ind w:left="6850" w:hanging="672"/>
      </w:pPr>
      <w:rPr>
        <w:rFonts w:hint="default"/>
        <w:lang w:val="sq-AL" w:eastAsia="en-US" w:bidi="ar-SA"/>
      </w:rPr>
    </w:lvl>
    <w:lvl w:ilvl="7" w:tplc="B4BC2F06">
      <w:numFmt w:val="bullet"/>
      <w:lvlText w:val="•"/>
      <w:lvlJc w:val="left"/>
      <w:pPr>
        <w:ind w:left="7680" w:hanging="672"/>
      </w:pPr>
      <w:rPr>
        <w:rFonts w:hint="default"/>
        <w:lang w:val="sq-AL" w:eastAsia="en-US" w:bidi="ar-SA"/>
      </w:rPr>
    </w:lvl>
    <w:lvl w:ilvl="8" w:tplc="72F48BBE">
      <w:numFmt w:val="bullet"/>
      <w:lvlText w:val="•"/>
      <w:lvlJc w:val="left"/>
      <w:pPr>
        <w:ind w:left="8510" w:hanging="672"/>
      </w:pPr>
      <w:rPr>
        <w:rFonts w:hint="default"/>
        <w:lang w:val="sq-AL" w:eastAsia="en-US" w:bidi="ar-SA"/>
      </w:rPr>
    </w:lvl>
  </w:abstractNum>
  <w:abstractNum w:abstractNumId="3" w15:restartNumberingAfterBreak="0">
    <w:nsid w:val="05BE0CEF"/>
    <w:multiLevelType w:val="hybridMultilevel"/>
    <w:tmpl w:val="AFF6F978"/>
    <w:lvl w:ilvl="0" w:tplc="0DA6E826">
      <w:start w:val="1"/>
      <w:numFmt w:val="lowerRoman"/>
      <w:lvlText w:val="%1."/>
      <w:lvlJc w:val="left"/>
      <w:pPr>
        <w:ind w:left="2203" w:hanging="404"/>
      </w:pPr>
      <w:rPr>
        <w:rFonts w:ascii="Times New Roman" w:eastAsia="Times New Roman" w:hAnsi="Times New Roman" w:cs="Times New Roman" w:hint="default"/>
        <w:b w:val="0"/>
        <w:bCs w:val="0"/>
        <w:i w:val="0"/>
        <w:iCs w:val="0"/>
        <w:spacing w:val="0"/>
        <w:w w:val="100"/>
        <w:sz w:val="28"/>
        <w:szCs w:val="28"/>
        <w:lang w:val="sq-AL" w:eastAsia="en-US" w:bidi="ar-SA"/>
      </w:rPr>
    </w:lvl>
    <w:lvl w:ilvl="1" w:tplc="A42A76D0">
      <w:numFmt w:val="bullet"/>
      <w:lvlText w:val="•"/>
      <w:lvlJc w:val="left"/>
      <w:pPr>
        <w:ind w:left="2988" w:hanging="404"/>
      </w:pPr>
      <w:rPr>
        <w:rFonts w:hint="default"/>
        <w:lang w:val="sq-AL" w:eastAsia="en-US" w:bidi="ar-SA"/>
      </w:rPr>
    </w:lvl>
    <w:lvl w:ilvl="2" w:tplc="8D22C52C">
      <w:numFmt w:val="bullet"/>
      <w:lvlText w:val="•"/>
      <w:lvlJc w:val="left"/>
      <w:pPr>
        <w:ind w:left="3776" w:hanging="404"/>
      </w:pPr>
      <w:rPr>
        <w:rFonts w:hint="default"/>
        <w:lang w:val="sq-AL" w:eastAsia="en-US" w:bidi="ar-SA"/>
      </w:rPr>
    </w:lvl>
    <w:lvl w:ilvl="3" w:tplc="A294AF84">
      <w:numFmt w:val="bullet"/>
      <w:lvlText w:val="•"/>
      <w:lvlJc w:val="left"/>
      <w:pPr>
        <w:ind w:left="4564" w:hanging="404"/>
      </w:pPr>
      <w:rPr>
        <w:rFonts w:hint="default"/>
        <w:lang w:val="sq-AL" w:eastAsia="en-US" w:bidi="ar-SA"/>
      </w:rPr>
    </w:lvl>
    <w:lvl w:ilvl="4" w:tplc="088E8220">
      <w:numFmt w:val="bullet"/>
      <w:lvlText w:val="•"/>
      <w:lvlJc w:val="left"/>
      <w:pPr>
        <w:ind w:left="5352" w:hanging="404"/>
      </w:pPr>
      <w:rPr>
        <w:rFonts w:hint="default"/>
        <w:lang w:val="sq-AL" w:eastAsia="en-US" w:bidi="ar-SA"/>
      </w:rPr>
    </w:lvl>
    <w:lvl w:ilvl="5" w:tplc="9D7057B6">
      <w:numFmt w:val="bullet"/>
      <w:lvlText w:val="•"/>
      <w:lvlJc w:val="left"/>
      <w:pPr>
        <w:ind w:left="6140" w:hanging="404"/>
      </w:pPr>
      <w:rPr>
        <w:rFonts w:hint="default"/>
        <w:lang w:val="sq-AL" w:eastAsia="en-US" w:bidi="ar-SA"/>
      </w:rPr>
    </w:lvl>
    <w:lvl w:ilvl="6" w:tplc="4A5ABD7C">
      <w:numFmt w:val="bullet"/>
      <w:lvlText w:val="•"/>
      <w:lvlJc w:val="left"/>
      <w:pPr>
        <w:ind w:left="6928" w:hanging="404"/>
      </w:pPr>
      <w:rPr>
        <w:rFonts w:hint="default"/>
        <w:lang w:val="sq-AL" w:eastAsia="en-US" w:bidi="ar-SA"/>
      </w:rPr>
    </w:lvl>
    <w:lvl w:ilvl="7" w:tplc="F544D8EE">
      <w:numFmt w:val="bullet"/>
      <w:lvlText w:val="•"/>
      <w:lvlJc w:val="left"/>
      <w:pPr>
        <w:ind w:left="7716" w:hanging="404"/>
      </w:pPr>
      <w:rPr>
        <w:rFonts w:hint="default"/>
        <w:lang w:val="sq-AL" w:eastAsia="en-US" w:bidi="ar-SA"/>
      </w:rPr>
    </w:lvl>
    <w:lvl w:ilvl="8" w:tplc="9F04E82A">
      <w:numFmt w:val="bullet"/>
      <w:lvlText w:val="•"/>
      <w:lvlJc w:val="left"/>
      <w:pPr>
        <w:ind w:left="8504" w:hanging="404"/>
      </w:pPr>
      <w:rPr>
        <w:rFonts w:hint="default"/>
        <w:lang w:val="sq-AL" w:eastAsia="en-US" w:bidi="ar-SA"/>
      </w:rPr>
    </w:lvl>
  </w:abstractNum>
  <w:abstractNum w:abstractNumId="4" w15:restartNumberingAfterBreak="0">
    <w:nsid w:val="0A7B41FA"/>
    <w:multiLevelType w:val="multilevel"/>
    <w:tmpl w:val="C5BC6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B57D96"/>
    <w:multiLevelType w:val="hybridMultilevel"/>
    <w:tmpl w:val="787218E0"/>
    <w:lvl w:ilvl="0" w:tplc="9822D3F0">
      <w:start w:val="1"/>
      <w:numFmt w:val="upperRoman"/>
      <w:lvlText w:val="%1."/>
      <w:lvlJc w:val="left"/>
      <w:pPr>
        <w:ind w:left="554" w:hanging="464"/>
        <w:jc w:val="right"/>
      </w:pPr>
      <w:rPr>
        <w:rFonts w:ascii="Times New Roman" w:eastAsia="Times New Roman" w:hAnsi="Times New Roman" w:cs="Times New Roman" w:hint="default"/>
        <w:b/>
        <w:bCs/>
        <w:i w:val="0"/>
        <w:iCs w:val="0"/>
        <w:spacing w:val="0"/>
        <w:w w:val="100"/>
        <w:sz w:val="28"/>
        <w:szCs w:val="28"/>
        <w:lang w:val="sq-AL" w:eastAsia="en-US" w:bidi="ar-SA"/>
      </w:rPr>
    </w:lvl>
    <w:lvl w:ilvl="1" w:tplc="5AD03382">
      <w:numFmt w:val="bullet"/>
      <w:lvlText w:val=""/>
      <w:lvlJc w:val="left"/>
      <w:pPr>
        <w:ind w:left="823" w:hanging="360"/>
      </w:pPr>
      <w:rPr>
        <w:rFonts w:ascii="Symbol" w:eastAsia="Symbol" w:hAnsi="Symbol" w:cs="Symbol" w:hint="default"/>
        <w:b w:val="0"/>
        <w:bCs w:val="0"/>
        <w:i w:val="0"/>
        <w:iCs w:val="0"/>
        <w:spacing w:val="0"/>
        <w:w w:val="100"/>
        <w:sz w:val="28"/>
        <w:szCs w:val="28"/>
        <w:lang w:val="sq-AL" w:eastAsia="en-US" w:bidi="ar-SA"/>
      </w:rPr>
    </w:lvl>
    <w:lvl w:ilvl="2" w:tplc="7A28D16E">
      <w:numFmt w:val="bullet"/>
      <w:lvlText w:val="•"/>
      <w:lvlJc w:val="left"/>
      <w:pPr>
        <w:ind w:left="1823" w:hanging="360"/>
      </w:pPr>
      <w:rPr>
        <w:rFonts w:hint="default"/>
        <w:lang w:val="sq-AL" w:eastAsia="en-US" w:bidi="ar-SA"/>
      </w:rPr>
    </w:lvl>
    <w:lvl w:ilvl="3" w:tplc="043A7A76">
      <w:numFmt w:val="bullet"/>
      <w:lvlText w:val="•"/>
      <w:lvlJc w:val="left"/>
      <w:pPr>
        <w:ind w:left="2823" w:hanging="360"/>
      </w:pPr>
      <w:rPr>
        <w:rFonts w:hint="default"/>
        <w:lang w:val="sq-AL" w:eastAsia="en-US" w:bidi="ar-SA"/>
      </w:rPr>
    </w:lvl>
    <w:lvl w:ilvl="4" w:tplc="A01CDF72">
      <w:numFmt w:val="bullet"/>
      <w:lvlText w:val="•"/>
      <w:lvlJc w:val="left"/>
      <w:pPr>
        <w:ind w:left="3823" w:hanging="360"/>
      </w:pPr>
      <w:rPr>
        <w:rFonts w:hint="default"/>
        <w:lang w:val="sq-AL" w:eastAsia="en-US" w:bidi="ar-SA"/>
      </w:rPr>
    </w:lvl>
    <w:lvl w:ilvl="5" w:tplc="BB94BCA0">
      <w:numFmt w:val="bullet"/>
      <w:lvlText w:val="•"/>
      <w:lvlJc w:val="left"/>
      <w:pPr>
        <w:ind w:left="4823" w:hanging="360"/>
      </w:pPr>
      <w:rPr>
        <w:rFonts w:hint="default"/>
        <w:lang w:val="sq-AL" w:eastAsia="en-US" w:bidi="ar-SA"/>
      </w:rPr>
    </w:lvl>
    <w:lvl w:ilvl="6" w:tplc="E2FA13DA">
      <w:numFmt w:val="bullet"/>
      <w:lvlText w:val="•"/>
      <w:lvlJc w:val="left"/>
      <w:pPr>
        <w:ind w:left="5823" w:hanging="360"/>
      </w:pPr>
      <w:rPr>
        <w:rFonts w:hint="default"/>
        <w:lang w:val="sq-AL" w:eastAsia="en-US" w:bidi="ar-SA"/>
      </w:rPr>
    </w:lvl>
    <w:lvl w:ilvl="7" w:tplc="FF482988">
      <w:numFmt w:val="bullet"/>
      <w:lvlText w:val="•"/>
      <w:lvlJc w:val="left"/>
      <w:pPr>
        <w:ind w:left="6823" w:hanging="360"/>
      </w:pPr>
      <w:rPr>
        <w:rFonts w:hint="default"/>
        <w:lang w:val="sq-AL" w:eastAsia="en-US" w:bidi="ar-SA"/>
      </w:rPr>
    </w:lvl>
    <w:lvl w:ilvl="8" w:tplc="B8E6CE5C">
      <w:numFmt w:val="bullet"/>
      <w:lvlText w:val="•"/>
      <w:lvlJc w:val="left"/>
      <w:pPr>
        <w:ind w:left="7823" w:hanging="360"/>
      </w:pPr>
      <w:rPr>
        <w:rFonts w:hint="default"/>
        <w:lang w:val="sq-AL" w:eastAsia="en-US" w:bidi="ar-SA"/>
      </w:rPr>
    </w:lvl>
  </w:abstractNum>
  <w:abstractNum w:abstractNumId="6" w15:restartNumberingAfterBreak="0">
    <w:nsid w:val="0E9641DF"/>
    <w:multiLevelType w:val="hybridMultilevel"/>
    <w:tmpl w:val="8BC8F162"/>
    <w:lvl w:ilvl="0" w:tplc="01F44DEE">
      <w:start w:val="1"/>
      <w:numFmt w:val="lowerRoman"/>
      <w:lvlText w:val="%1."/>
      <w:lvlJc w:val="left"/>
      <w:pPr>
        <w:ind w:left="2203" w:hanging="284"/>
      </w:pPr>
      <w:rPr>
        <w:rFonts w:ascii="Times New Roman" w:eastAsia="Times New Roman" w:hAnsi="Times New Roman" w:cs="Times New Roman" w:hint="default"/>
        <w:b w:val="0"/>
        <w:bCs w:val="0"/>
        <w:i w:val="0"/>
        <w:iCs w:val="0"/>
        <w:spacing w:val="0"/>
        <w:w w:val="100"/>
        <w:sz w:val="28"/>
        <w:szCs w:val="28"/>
        <w:lang w:val="sq-AL" w:eastAsia="en-US" w:bidi="ar-SA"/>
      </w:rPr>
    </w:lvl>
    <w:lvl w:ilvl="1" w:tplc="F1A4D8D0">
      <w:numFmt w:val="bullet"/>
      <w:lvlText w:val="•"/>
      <w:lvlJc w:val="left"/>
      <w:pPr>
        <w:ind w:left="2988" w:hanging="284"/>
      </w:pPr>
      <w:rPr>
        <w:rFonts w:hint="default"/>
        <w:lang w:val="sq-AL" w:eastAsia="en-US" w:bidi="ar-SA"/>
      </w:rPr>
    </w:lvl>
    <w:lvl w:ilvl="2" w:tplc="66A65274">
      <w:numFmt w:val="bullet"/>
      <w:lvlText w:val="•"/>
      <w:lvlJc w:val="left"/>
      <w:pPr>
        <w:ind w:left="3776" w:hanging="284"/>
      </w:pPr>
      <w:rPr>
        <w:rFonts w:hint="default"/>
        <w:lang w:val="sq-AL" w:eastAsia="en-US" w:bidi="ar-SA"/>
      </w:rPr>
    </w:lvl>
    <w:lvl w:ilvl="3" w:tplc="B02AC53E">
      <w:numFmt w:val="bullet"/>
      <w:lvlText w:val="•"/>
      <w:lvlJc w:val="left"/>
      <w:pPr>
        <w:ind w:left="4564" w:hanging="284"/>
      </w:pPr>
      <w:rPr>
        <w:rFonts w:hint="default"/>
        <w:lang w:val="sq-AL" w:eastAsia="en-US" w:bidi="ar-SA"/>
      </w:rPr>
    </w:lvl>
    <w:lvl w:ilvl="4" w:tplc="86805D2A">
      <w:numFmt w:val="bullet"/>
      <w:lvlText w:val="•"/>
      <w:lvlJc w:val="left"/>
      <w:pPr>
        <w:ind w:left="5352" w:hanging="284"/>
      </w:pPr>
      <w:rPr>
        <w:rFonts w:hint="default"/>
        <w:lang w:val="sq-AL" w:eastAsia="en-US" w:bidi="ar-SA"/>
      </w:rPr>
    </w:lvl>
    <w:lvl w:ilvl="5" w:tplc="7DCC956E">
      <w:numFmt w:val="bullet"/>
      <w:lvlText w:val="•"/>
      <w:lvlJc w:val="left"/>
      <w:pPr>
        <w:ind w:left="6140" w:hanging="284"/>
      </w:pPr>
      <w:rPr>
        <w:rFonts w:hint="default"/>
        <w:lang w:val="sq-AL" w:eastAsia="en-US" w:bidi="ar-SA"/>
      </w:rPr>
    </w:lvl>
    <w:lvl w:ilvl="6" w:tplc="0EEA92B2">
      <w:numFmt w:val="bullet"/>
      <w:lvlText w:val="•"/>
      <w:lvlJc w:val="left"/>
      <w:pPr>
        <w:ind w:left="6928" w:hanging="284"/>
      </w:pPr>
      <w:rPr>
        <w:rFonts w:hint="default"/>
        <w:lang w:val="sq-AL" w:eastAsia="en-US" w:bidi="ar-SA"/>
      </w:rPr>
    </w:lvl>
    <w:lvl w:ilvl="7" w:tplc="211A6BAC">
      <w:numFmt w:val="bullet"/>
      <w:lvlText w:val="•"/>
      <w:lvlJc w:val="left"/>
      <w:pPr>
        <w:ind w:left="7716" w:hanging="284"/>
      </w:pPr>
      <w:rPr>
        <w:rFonts w:hint="default"/>
        <w:lang w:val="sq-AL" w:eastAsia="en-US" w:bidi="ar-SA"/>
      </w:rPr>
    </w:lvl>
    <w:lvl w:ilvl="8" w:tplc="35BE3C6C">
      <w:numFmt w:val="bullet"/>
      <w:lvlText w:val="•"/>
      <w:lvlJc w:val="left"/>
      <w:pPr>
        <w:ind w:left="8504" w:hanging="284"/>
      </w:pPr>
      <w:rPr>
        <w:rFonts w:hint="default"/>
        <w:lang w:val="sq-AL" w:eastAsia="en-US" w:bidi="ar-SA"/>
      </w:rPr>
    </w:lvl>
  </w:abstractNum>
  <w:abstractNum w:abstractNumId="7" w15:restartNumberingAfterBreak="0">
    <w:nsid w:val="0F601352"/>
    <w:multiLevelType w:val="hybridMultilevel"/>
    <w:tmpl w:val="CC5C785C"/>
    <w:lvl w:ilvl="0" w:tplc="B532B53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EE0673"/>
    <w:multiLevelType w:val="hybridMultilevel"/>
    <w:tmpl w:val="1D047A46"/>
    <w:lvl w:ilvl="0" w:tplc="75C0EB84">
      <w:start w:val="1"/>
      <w:numFmt w:val="lowerLetter"/>
      <w:lvlText w:val="%1)"/>
      <w:lvlJc w:val="left"/>
      <w:pPr>
        <w:ind w:left="2160" w:hanging="360"/>
      </w:pPr>
      <w:rPr>
        <w:rFonts w:ascii="Times New Roman" w:eastAsia="Times New Roman" w:hAnsi="Times New Roman" w:cs="Times New Roman" w:hint="default"/>
        <w:b w:val="0"/>
        <w:bCs w:val="0"/>
        <w:i w:val="0"/>
        <w:iCs w:val="0"/>
        <w:spacing w:val="0"/>
        <w:w w:val="100"/>
        <w:sz w:val="28"/>
        <w:szCs w:val="28"/>
        <w:lang w:val="sq-AL" w:eastAsia="en-US" w:bidi="ar-SA"/>
      </w:rPr>
    </w:lvl>
    <w:lvl w:ilvl="1" w:tplc="C0E81210">
      <w:numFmt w:val="bullet"/>
      <w:lvlText w:val="•"/>
      <w:lvlJc w:val="left"/>
      <w:pPr>
        <w:ind w:left="2952" w:hanging="360"/>
      </w:pPr>
      <w:rPr>
        <w:rFonts w:hint="default"/>
        <w:lang w:val="sq-AL" w:eastAsia="en-US" w:bidi="ar-SA"/>
      </w:rPr>
    </w:lvl>
    <w:lvl w:ilvl="2" w:tplc="64CED0B2">
      <w:numFmt w:val="bullet"/>
      <w:lvlText w:val="•"/>
      <w:lvlJc w:val="left"/>
      <w:pPr>
        <w:ind w:left="3744" w:hanging="360"/>
      </w:pPr>
      <w:rPr>
        <w:rFonts w:hint="default"/>
        <w:lang w:val="sq-AL" w:eastAsia="en-US" w:bidi="ar-SA"/>
      </w:rPr>
    </w:lvl>
    <w:lvl w:ilvl="3" w:tplc="F0AEF304">
      <w:numFmt w:val="bullet"/>
      <w:lvlText w:val="•"/>
      <w:lvlJc w:val="left"/>
      <w:pPr>
        <w:ind w:left="4536" w:hanging="360"/>
      </w:pPr>
      <w:rPr>
        <w:rFonts w:hint="default"/>
        <w:lang w:val="sq-AL" w:eastAsia="en-US" w:bidi="ar-SA"/>
      </w:rPr>
    </w:lvl>
    <w:lvl w:ilvl="4" w:tplc="80B06FD6">
      <w:numFmt w:val="bullet"/>
      <w:lvlText w:val="•"/>
      <w:lvlJc w:val="left"/>
      <w:pPr>
        <w:ind w:left="5328" w:hanging="360"/>
      </w:pPr>
      <w:rPr>
        <w:rFonts w:hint="default"/>
        <w:lang w:val="sq-AL" w:eastAsia="en-US" w:bidi="ar-SA"/>
      </w:rPr>
    </w:lvl>
    <w:lvl w:ilvl="5" w:tplc="E378ECE2">
      <w:numFmt w:val="bullet"/>
      <w:lvlText w:val="•"/>
      <w:lvlJc w:val="left"/>
      <w:pPr>
        <w:ind w:left="6120" w:hanging="360"/>
      </w:pPr>
      <w:rPr>
        <w:rFonts w:hint="default"/>
        <w:lang w:val="sq-AL" w:eastAsia="en-US" w:bidi="ar-SA"/>
      </w:rPr>
    </w:lvl>
    <w:lvl w:ilvl="6" w:tplc="37E0128E">
      <w:numFmt w:val="bullet"/>
      <w:lvlText w:val="•"/>
      <w:lvlJc w:val="left"/>
      <w:pPr>
        <w:ind w:left="6912" w:hanging="360"/>
      </w:pPr>
      <w:rPr>
        <w:rFonts w:hint="default"/>
        <w:lang w:val="sq-AL" w:eastAsia="en-US" w:bidi="ar-SA"/>
      </w:rPr>
    </w:lvl>
    <w:lvl w:ilvl="7" w:tplc="360489D6">
      <w:numFmt w:val="bullet"/>
      <w:lvlText w:val="•"/>
      <w:lvlJc w:val="left"/>
      <w:pPr>
        <w:ind w:left="7704" w:hanging="360"/>
      </w:pPr>
      <w:rPr>
        <w:rFonts w:hint="default"/>
        <w:lang w:val="sq-AL" w:eastAsia="en-US" w:bidi="ar-SA"/>
      </w:rPr>
    </w:lvl>
    <w:lvl w:ilvl="8" w:tplc="428075D4">
      <w:numFmt w:val="bullet"/>
      <w:lvlText w:val="•"/>
      <w:lvlJc w:val="left"/>
      <w:pPr>
        <w:ind w:left="8496" w:hanging="360"/>
      </w:pPr>
      <w:rPr>
        <w:rFonts w:hint="default"/>
        <w:lang w:val="sq-AL" w:eastAsia="en-US" w:bidi="ar-SA"/>
      </w:rPr>
    </w:lvl>
  </w:abstractNum>
  <w:abstractNum w:abstractNumId="9" w15:restartNumberingAfterBreak="0">
    <w:nsid w:val="1A3D4336"/>
    <w:multiLevelType w:val="hybridMultilevel"/>
    <w:tmpl w:val="83420DCC"/>
    <w:lvl w:ilvl="0" w:tplc="D13C69CC">
      <w:numFmt w:val="bullet"/>
      <w:lvlText w:val=""/>
      <w:lvlJc w:val="left"/>
      <w:pPr>
        <w:ind w:left="643" w:hanging="284"/>
      </w:pPr>
      <w:rPr>
        <w:rFonts w:ascii="Symbol" w:eastAsia="Symbol" w:hAnsi="Symbol" w:cs="Symbol" w:hint="default"/>
        <w:b w:val="0"/>
        <w:bCs w:val="0"/>
        <w:i w:val="0"/>
        <w:iCs w:val="0"/>
        <w:spacing w:val="0"/>
        <w:w w:val="100"/>
        <w:sz w:val="28"/>
        <w:szCs w:val="28"/>
        <w:lang w:val="sq-AL" w:eastAsia="en-US" w:bidi="ar-SA"/>
      </w:rPr>
    </w:lvl>
    <w:lvl w:ilvl="1" w:tplc="11E01CD0">
      <w:numFmt w:val="bullet"/>
      <w:lvlText w:val="•"/>
      <w:lvlJc w:val="left"/>
      <w:pPr>
        <w:ind w:left="1584" w:hanging="284"/>
      </w:pPr>
      <w:rPr>
        <w:rFonts w:hint="default"/>
        <w:lang w:val="sq-AL" w:eastAsia="en-US" w:bidi="ar-SA"/>
      </w:rPr>
    </w:lvl>
    <w:lvl w:ilvl="2" w:tplc="9FA60AD8">
      <w:numFmt w:val="bullet"/>
      <w:lvlText w:val="•"/>
      <w:lvlJc w:val="left"/>
      <w:pPr>
        <w:ind w:left="2528" w:hanging="284"/>
      </w:pPr>
      <w:rPr>
        <w:rFonts w:hint="default"/>
        <w:lang w:val="sq-AL" w:eastAsia="en-US" w:bidi="ar-SA"/>
      </w:rPr>
    </w:lvl>
    <w:lvl w:ilvl="3" w:tplc="673E322C">
      <w:numFmt w:val="bullet"/>
      <w:lvlText w:val="•"/>
      <w:lvlJc w:val="left"/>
      <w:pPr>
        <w:ind w:left="3472" w:hanging="284"/>
      </w:pPr>
      <w:rPr>
        <w:rFonts w:hint="default"/>
        <w:lang w:val="sq-AL" w:eastAsia="en-US" w:bidi="ar-SA"/>
      </w:rPr>
    </w:lvl>
    <w:lvl w:ilvl="4" w:tplc="076E78E4">
      <w:numFmt w:val="bullet"/>
      <w:lvlText w:val="•"/>
      <w:lvlJc w:val="left"/>
      <w:pPr>
        <w:ind w:left="4416" w:hanging="284"/>
      </w:pPr>
      <w:rPr>
        <w:rFonts w:hint="default"/>
        <w:lang w:val="sq-AL" w:eastAsia="en-US" w:bidi="ar-SA"/>
      </w:rPr>
    </w:lvl>
    <w:lvl w:ilvl="5" w:tplc="5BAC42C6">
      <w:numFmt w:val="bullet"/>
      <w:lvlText w:val="•"/>
      <w:lvlJc w:val="left"/>
      <w:pPr>
        <w:ind w:left="5360" w:hanging="284"/>
      </w:pPr>
      <w:rPr>
        <w:rFonts w:hint="default"/>
        <w:lang w:val="sq-AL" w:eastAsia="en-US" w:bidi="ar-SA"/>
      </w:rPr>
    </w:lvl>
    <w:lvl w:ilvl="6" w:tplc="339A1AD8">
      <w:numFmt w:val="bullet"/>
      <w:lvlText w:val="•"/>
      <w:lvlJc w:val="left"/>
      <w:pPr>
        <w:ind w:left="6304" w:hanging="284"/>
      </w:pPr>
      <w:rPr>
        <w:rFonts w:hint="default"/>
        <w:lang w:val="sq-AL" w:eastAsia="en-US" w:bidi="ar-SA"/>
      </w:rPr>
    </w:lvl>
    <w:lvl w:ilvl="7" w:tplc="382652C2">
      <w:numFmt w:val="bullet"/>
      <w:lvlText w:val="•"/>
      <w:lvlJc w:val="left"/>
      <w:pPr>
        <w:ind w:left="7248" w:hanging="284"/>
      </w:pPr>
      <w:rPr>
        <w:rFonts w:hint="default"/>
        <w:lang w:val="sq-AL" w:eastAsia="en-US" w:bidi="ar-SA"/>
      </w:rPr>
    </w:lvl>
    <w:lvl w:ilvl="8" w:tplc="6A9A1D0E">
      <w:numFmt w:val="bullet"/>
      <w:lvlText w:val="•"/>
      <w:lvlJc w:val="left"/>
      <w:pPr>
        <w:ind w:left="8192" w:hanging="284"/>
      </w:pPr>
      <w:rPr>
        <w:rFonts w:hint="default"/>
        <w:lang w:val="sq-AL" w:eastAsia="en-US" w:bidi="ar-SA"/>
      </w:rPr>
    </w:lvl>
  </w:abstractNum>
  <w:abstractNum w:abstractNumId="10" w15:restartNumberingAfterBreak="0">
    <w:nsid w:val="1ACA753C"/>
    <w:multiLevelType w:val="hybridMultilevel"/>
    <w:tmpl w:val="B0C0616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1B0E30"/>
    <w:multiLevelType w:val="multilevel"/>
    <w:tmpl w:val="E96EBC9E"/>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644" w:hanging="360"/>
      </w:pPr>
      <w:rPr>
        <w:b w:val="0"/>
        <w:bCs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A83634"/>
    <w:multiLevelType w:val="multilevel"/>
    <w:tmpl w:val="44F280E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72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154B1F"/>
    <w:multiLevelType w:val="multilevel"/>
    <w:tmpl w:val="35EE69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690974"/>
    <w:multiLevelType w:val="hybridMultilevel"/>
    <w:tmpl w:val="BEF2052C"/>
    <w:lvl w:ilvl="0" w:tplc="AD02B6C4">
      <w:start w:val="1"/>
      <w:numFmt w:val="lowerLetter"/>
      <w:lvlText w:val="%1)"/>
      <w:lvlJc w:val="left"/>
      <w:pPr>
        <w:ind w:left="1080" w:hanging="360"/>
        <w:jc w:val="right"/>
      </w:pPr>
      <w:rPr>
        <w:rFonts w:ascii="Times New Roman" w:eastAsia="Times New Roman" w:hAnsi="Times New Roman" w:cs="Times New Roman" w:hint="default"/>
        <w:b w:val="0"/>
        <w:bCs w:val="0"/>
        <w:i w:val="0"/>
        <w:iCs w:val="0"/>
        <w:spacing w:val="0"/>
        <w:w w:val="100"/>
        <w:sz w:val="28"/>
        <w:szCs w:val="28"/>
        <w:lang w:val="sq-AL" w:eastAsia="en-US" w:bidi="ar-SA"/>
      </w:rPr>
    </w:lvl>
    <w:lvl w:ilvl="1" w:tplc="10C82638">
      <w:numFmt w:val="bullet"/>
      <w:lvlText w:val="•"/>
      <w:lvlJc w:val="left"/>
      <w:pPr>
        <w:ind w:left="1980" w:hanging="360"/>
      </w:pPr>
      <w:rPr>
        <w:rFonts w:hint="default"/>
        <w:lang w:val="sq-AL" w:eastAsia="en-US" w:bidi="ar-SA"/>
      </w:rPr>
    </w:lvl>
    <w:lvl w:ilvl="2" w:tplc="B0A4221E">
      <w:numFmt w:val="bullet"/>
      <w:lvlText w:val="•"/>
      <w:lvlJc w:val="left"/>
      <w:pPr>
        <w:ind w:left="2880" w:hanging="360"/>
      </w:pPr>
      <w:rPr>
        <w:rFonts w:hint="default"/>
        <w:lang w:val="sq-AL" w:eastAsia="en-US" w:bidi="ar-SA"/>
      </w:rPr>
    </w:lvl>
    <w:lvl w:ilvl="3" w:tplc="4F7E2586">
      <w:numFmt w:val="bullet"/>
      <w:lvlText w:val="•"/>
      <w:lvlJc w:val="left"/>
      <w:pPr>
        <w:ind w:left="3780" w:hanging="360"/>
      </w:pPr>
      <w:rPr>
        <w:rFonts w:hint="default"/>
        <w:lang w:val="sq-AL" w:eastAsia="en-US" w:bidi="ar-SA"/>
      </w:rPr>
    </w:lvl>
    <w:lvl w:ilvl="4" w:tplc="F3F480DA">
      <w:numFmt w:val="bullet"/>
      <w:lvlText w:val="•"/>
      <w:lvlJc w:val="left"/>
      <w:pPr>
        <w:ind w:left="4680" w:hanging="360"/>
      </w:pPr>
      <w:rPr>
        <w:rFonts w:hint="default"/>
        <w:lang w:val="sq-AL" w:eastAsia="en-US" w:bidi="ar-SA"/>
      </w:rPr>
    </w:lvl>
    <w:lvl w:ilvl="5" w:tplc="B6FC8A66">
      <w:numFmt w:val="bullet"/>
      <w:lvlText w:val="•"/>
      <w:lvlJc w:val="left"/>
      <w:pPr>
        <w:ind w:left="5580" w:hanging="360"/>
      </w:pPr>
      <w:rPr>
        <w:rFonts w:hint="default"/>
        <w:lang w:val="sq-AL" w:eastAsia="en-US" w:bidi="ar-SA"/>
      </w:rPr>
    </w:lvl>
    <w:lvl w:ilvl="6" w:tplc="DFAAF8DA">
      <w:numFmt w:val="bullet"/>
      <w:lvlText w:val="•"/>
      <w:lvlJc w:val="left"/>
      <w:pPr>
        <w:ind w:left="6480" w:hanging="360"/>
      </w:pPr>
      <w:rPr>
        <w:rFonts w:hint="default"/>
        <w:lang w:val="sq-AL" w:eastAsia="en-US" w:bidi="ar-SA"/>
      </w:rPr>
    </w:lvl>
    <w:lvl w:ilvl="7" w:tplc="74066952">
      <w:numFmt w:val="bullet"/>
      <w:lvlText w:val="•"/>
      <w:lvlJc w:val="left"/>
      <w:pPr>
        <w:ind w:left="7380" w:hanging="360"/>
      </w:pPr>
      <w:rPr>
        <w:rFonts w:hint="default"/>
        <w:lang w:val="sq-AL" w:eastAsia="en-US" w:bidi="ar-SA"/>
      </w:rPr>
    </w:lvl>
    <w:lvl w:ilvl="8" w:tplc="F3DCF620">
      <w:numFmt w:val="bullet"/>
      <w:lvlText w:val="•"/>
      <w:lvlJc w:val="left"/>
      <w:pPr>
        <w:ind w:left="8280" w:hanging="360"/>
      </w:pPr>
      <w:rPr>
        <w:rFonts w:hint="default"/>
        <w:lang w:val="sq-AL" w:eastAsia="en-US" w:bidi="ar-SA"/>
      </w:rPr>
    </w:lvl>
  </w:abstractNum>
  <w:abstractNum w:abstractNumId="15" w15:restartNumberingAfterBreak="0">
    <w:nsid w:val="256D0547"/>
    <w:multiLevelType w:val="hybridMultilevel"/>
    <w:tmpl w:val="34D432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8B72105"/>
    <w:multiLevelType w:val="hybridMultilevel"/>
    <w:tmpl w:val="5028A90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15:restartNumberingAfterBreak="0">
    <w:nsid w:val="2928104B"/>
    <w:multiLevelType w:val="multilevel"/>
    <w:tmpl w:val="885213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BC5634E"/>
    <w:multiLevelType w:val="multilevel"/>
    <w:tmpl w:val="CC323E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3619CC"/>
    <w:multiLevelType w:val="hybridMultilevel"/>
    <w:tmpl w:val="9E9C773C"/>
    <w:lvl w:ilvl="0" w:tplc="BC48A420">
      <w:numFmt w:val="bullet"/>
      <w:lvlText w:val="-"/>
      <w:lvlJc w:val="left"/>
      <w:pPr>
        <w:ind w:left="1493" w:hanging="658"/>
      </w:pPr>
      <w:rPr>
        <w:rFonts w:ascii="Times New Roman" w:eastAsia="Times New Roman" w:hAnsi="Times New Roman" w:cs="Times New Roman" w:hint="default"/>
        <w:b w:val="0"/>
        <w:bCs w:val="0"/>
        <w:i w:val="0"/>
        <w:iCs w:val="0"/>
        <w:spacing w:val="0"/>
        <w:w w:val="99"/>
        <w:sz w:val="20"/>
        <w:szCs w:val="20"/>
        <w:lang w:val="sq-AL" w:eastAsia="en-US" w:bidi="ar-SA"/>
      </w:rPr>
    </w:lvl>
    <w:lvl w:ilvl="1" w:tplc="0AEA1F5E">
      <w:start w:val="1"/>
      <w:numFmt w:val="lowerRoman"/>
      <w:lvlText w:val="%2."/>
      <w:lvlJc w:val="left"/>
      <w:pPr>
        <w:ind w:left="2345" w:hanging="545"/>
      </w:pPr>
      <w:rPr>
        <w:rFonts w:ascii="Times New Roman" w:eastAsia="Times New Roman" w:hAnsi="Times New Roman" w:cs="Times New Roman" w:hint="default"/>
        <w:b w:val="0"/>
        <w:bCs w:val="0"/>
        <w:i w:val="0"/>
        <w:iCs w:val="0"/>
        <w:spacing w:val="0"/>
        <w:w w:val="100"/>
        <w:sz w:val="28"/>
        <w:szCs w:val="28"/>
        <w:lang w:val="sq-AL" w:eastAsia="en-US" w:bidi="ar-SA"/>
      </w:rPr>
    </w:lvl>
    <w:lvl w:ilvl="2" w:tplc="E2AC85B8">
      <w:numFmt w:val="bullet"/>
      <w:lvlText w:val="•"/>
      <w:lvlJc w:val="left"/>
      <w:pPr>
        <w:ind w:left="3200" w:hanging="545"/>
      </w:pPr>
      <w:rPr>
        <w:rFonts w:hint="default"/>
        <w:lang w:val="sq-AL" w:eastAsia="en-US" w:bidi="ar-SA"/>
      </w:rPr>
    </w:lvl>
    <w:lvl w:ilvl="3" w:tplc="7E6EA3BC">
      <w:numFmt w:val="bullet"/>
      <w:lvlText w:val="•"/>
      <w:lvlJc w:val="left"/>
      <w:pPr>
        <w:ind w:left="4060" w:hanging="545"/>
      </w:pPr>
      <w:rPr>
        <w:rFonts w:hint="default"/>
        <w:lang w:val="sq-AL" w:eastAsia="en-US" w:bidi="ar-SA"/>
      </w:rPr>
    </w:lvl>
    <w:lvl w:ilvl="4" w:tplc="DCCC2036">
      <w:numFmt w:val="bullet"/>
      <w:lvlText w:val="•"/>
      <w:lvlJc w:val="left"/>
      <w:pPr>
        <w:ind w:left="4920" w:hanging="545"/>
      </w:pPr>
      <w:rPr>
        <w:rFonts w:hint="default"/>
        <w:lang w:val="sq-AL" w:eastAsia="en-US" w:bidi="ar-SA"/>
      </w:rPr>
    </w:lvl>
    <w:lvl w:ilvl="5" w:tplc="28EC41F2">
      <w:numFmt w:val="bullet"/>
      <w:lvlText w:val="•"/>
      <w:lvlJc w:val="left"/>
      <w:pPr>
        <w:ind w:left="5780" w:hanging="545"/>
      </w:pPr>
      <w:rPr>
        <w:rFonts w:hint="default"/>
        <w:lang w:val="sq-AL" w:eastAsia="en-US" w:bidi="ar-SA"/>
      </w:rPr>
    </w:lvl>
    <w:lvl w:ilvl="6" w:tplc="49E0A7A6">
      <w:numFmt w:val="bullet"/>
      <w:lvlText w:val="•"/>
      <w:lvlJc w:val="left"/>
      <w:pPr>
        <w:ind w:left="6640" w:hanging="545"/>
      </w:pPr>
      <w:rPr>
        <w:rFonts w:hint="default"/>
        <w:lang w:val="sq-AL" w:eastAsia="en-US" w:bidi="ar-SA"/>
      </w:rPr>
    </w:lvl>
    <w:lvl w:ilvl="7" w:tplc="3ACCF842">
      <w:numFmt w:val="bullet"/>
      <w:lvlText w:val="•"/>
      <w:lvlJc w:val="left"/>
      <w:pPr>
        <w:ind w:left="7500" w:hanging="545"/>
      </w:pPr>
      <w:rPr>
        <w:rFonts w:hint="default"/>
        <w:lang w:val="sq-AL" w:eastAsia="en-US" w:bidi="ar-SA"/>
      </w:rPr>
    </w:lvl>
    <w:lvl w:ilvl="8" w:tplc="9F228CB2">
      <w:numFmt w:val="bullet"/>
      <w:lvlText w:val="•"/>
      <w:lvlJc w:val="left"/>
      <w:pPr>
        <w:ind w:left="8360" w:hanging="545"/>
      </w:pPr>
      <w:rPr>
        <w:rFonts w:hint="default"/>
        <w:lang w:val="sq-AL" w:eastAsia="en-US" w:bidi="ar-SA"/>
      </w:rPr>
    </w:lvl>
  </w:abstractNum>
  <w:abstractNum w:abstractNumId="20" w15:restartNumberingAfterBreak="0">
    <w:nsid w:val="339C34F8"/>
    <w:multiLevelType w:val="hybridMultilevel"/>
    <w:tmpl w:val="B45CB45E"/>
    <w:lvl w:ilvl="0" w:tplc="2CE8498C">
      <w:start w:val="1"/>
      <w:numFmt w:val="lowerRoman"/>
      <w:lvlText w:val="%1."/>
      <w:lvlJc w:val="left"/>
      <w:pPr>
        <w:ind w:left="1800" w:hanging="447"/>
      </w:pPr>
      <w:rPr>
        <w:rFonts w:ascii="Times New Roman" w:eastAsia="Times New Roman" w:hAnsi="Times New Roman" w:cs="Times New Roman" w:hint="default"/>
        <w:b w:val="0"/>
        <w:bCs w:val="0"/>
        <w:i w:val="0"/>
        <w:iCs w:val="0"/>
        <w:spacing w:val="0"/>
        <w:w w:val="100"/>
        <w:sz w:val="28"/>
        <w:szCs w:val="28"/>
        <w:lang w:val="sq-AL" w:eastAsia="en-US" w:bidi="ar-SA"/>
      </w:rPr>
    </w:lvl>
    <w:lvl w:ilvl="1" w:tplc="F050E5F6">
      <w:numFmt w:val="bullet"/>
      <w:lvlText w:val="•"/>
      <w:lvlJc w:val="left"/>
      <w:pPr>
        <w:ind w:left="2628" w:hanging="447"/>
      </w:pPr>
      <w:rPr>
        <w:rFonts w:hint="default"/>
        <w:lang w:val="sq-AL" w:eastAsia="en-US" w:bidi="ar-SA"/>
      </w:rPr>
    </w:lvl>
    <w:lvl w:ilvl="2" w:tplc="8E3AB406">
      <w:numFmt w:val="bullet"/>
      <w:lvlText w:val="•"/>
      <w:lvlJc w:val="left"/>
      <w:pPr>
        <w:ind w:left="3456" w:hanging="447"/>
      </w:pPr>
      <w:rPr>
        <w:rFonts w:hint="default"/>
        <w:lang w:val="sq-AL" w:eastAsia="en-US" w:bidi="ar-SA"/>
      </w:rPr>
    </w:lvl>
    <w:lvl w:ilvl="3" w:tplc="BA62CB86">
      <w:numFmt w:val="bullet"/>
      <w:lvlText w:val="•"/>
      <w:lvlJc w:val="left"/>
      <w:pPr>
        <w:ind w:left="4284" w:hanging="447"/>
      </w:pPr>
      <w:rPr>
        <w:rFonts w:hint="default"/>
        <w:lang w:val="sq-AL" w:eastAsia="en-US" w:bidi="ar-SA"/>
      </w:rPr>
    </w:lvl>
    <w:lvl w:ilvl="4" w:tplc="6016BF80">
      <w:numFmt w:val="bullet"/>
      <w:lvlText w:val="•"/>
      <w:lvlJc w:val="left"/>
      <w:pPr>
        <w:ind w:left="5112" w:hanging="447"/>
      </w:pPr>
      <w:rPr>
        <w:rFonts w:hint="default"/>
        <w:lang w:val="sq-AL" w:eastAsia="en-US" w:bidi="ar-SA"/>
      </w:rPr>
    </w:lvl>
    <w:lvl w:ilvl="5" w:tplc="063A4B2E">
      <w:numFmt w:val="bullet"/>
      <w:lvlText w:val="•"/>
      <w:lvlJc w:val="left"/>
      <w:pPr>
        <w:ind w:left="5940" w:hanging="447"/>
      </w:pPr>
      <w:rPr>
        <w:rFonts w:hint="default"/>
        <w:lang w:val="sq-AL" w:eastAsia="en-US" w:bidi="ar-SA"/>
      </w:rPr>
    </w:lvl>
    <w:lvl w:ilvl="6" w:tplc="A2426196">
      <w:numFmt w:val="bullet"/>
      <w:lvlText w:val="•"/>
      <w:lvlJc w:val="left"/>
      <w:pPr>
        <w:ind w:left="6768" w:hanging="447"/>
      </w:pPr>
      <w:rPr>
        <w:rFonts w:hint="default"/>
        <w:lang w:val="sq-AL" w:eastAsia="en-US" w:bidi="ar-SA"/>
      </w:rPr>
    </w:lvl>
    <w:lvl w:ilvl="7" w:tplc="3738ACDC">
      <w:numFmt w:val="bullet"/>
      <w:lvlText w:val="•"/>
      <w:lvlJc w:val="left"/>
      <w:pPr>
        <w:ind w:left="7596" w:hanging="447"/>
      </w:pPr>
      <w:rPr>
        <w:rFonts w:hint="default"/>
        <w:lang w:val="sq-AL" w:eastAsia="en-US" w:bidi="ar-SA"/>
      </w:rPr>
    </w:lvl>
    <w:lvl w:ilvl="8" w:tplc="FB0C9992">
      <w:numFmt w:val="bullet"/>
      <w:lvlText w:val="•"/>
      <w:lvlJc w:val="left"/>
      <w:pPr>
        <w:ind w:left="8424" w:hanging="447"/>
      </w:pPr>
      <w:rPr>
        <w:rFonts w:hint="default"/>
        <w:lang w:val="sq-AL" w:eastAsia="en-US" w:bidi="ar-SA"/>
      </w:rPr>
    </w:lvl>
  </w:abstractNum>
  <w:abstractNum w:abstractNumId="21" w15:restartNumberingAfterBreak="0">
    <w:nsid w:val="34637183"/>
    <w:multiLevelType w:val="hybridMultilevel"/>
    <w:tmpl w:val="C2C81EA6"/>
    <w:lvl w:ilvl="0" w:tplc="20DAB088">
      <w:start w:val="1"/>
      <w:numFmt w:val="upperRoman"/>
      <w:lvlText w:val="%1."/>
      <w:lvlJc w:val="left"/>
      <w:pPr>
        <w:ind w:left="1080" w:hanging="720"/>
      </w:pPr>
      <w:rPr>
        <w:rFonts w:eastAsia="Calibr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35386C18"/>
    <w:multiLevelType w:val="hybridMultilevel"/>
    <w:tmpl w:val="AF74733C"/>
    <w:lvl w:ilvl="0" w:tplc="0DFCBC7E">
      <w:start w:val="1"/>
      <w:numFmt w:val="decimal"/>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23" w15:restartNumberingAfterBreak="0">
    <w:nsid w:val="3A3C4012"/>
    <w:multiLevelType w:val="hybridMultilevel"/>
    <w:tmpl w:val="3FA887A2"/>
    <w:lvl w:ilvl="0" w:tplc="041C000F">
      <w:start w:val="8"/>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3A6F6E4F"/>
    <w:multiLevelType w:val="multilevel"/>
    <w:tmpl w:val="43906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DCB66C4"/>
    <w:multiLevelType w:val="hybridMultilevel"/>
    <w:tmpl w:val="51D25022"/>
    <w:lvl w:ilvl="0" w:tplc="B532B534">
      <w:numFmt w:val="bullet"/>
      <w:lvlText w:val="-"/>
      <w:lvlJc w:val="left"/>
      <w:pPr>
        <w:ind w:left="630" w:hanging="360"/>
      </w:pPr>
      <w:rPr>
        <w:rFonts w:ascii="Times New Roman" w:eastAsia="Times New Roman" w:hAnsi="Times New Roman" w:cs="Times New Roman" w:hint="default"/>
      </w:rPr>
    </w:lvl>
    <w:lvl w:ilvl="1" w:tplc="041C0003" w:tentative="1">
      <w:start w:val="1"/>
      <w:numFmt w:val="bullet"/>
      <w:lvlText w:val="o"/>
      <w:lvlJc w:val="left"/>
      <w:pPr>
        <w:ind w:left="1350" w:hanging="360"/>
      </w:pPr>
      <w:rPr>
        <w:rFonts w:ascii="Courier New" w:hAnsi="Courier New" w:cs="Courier New" w:hint="default"/>
      </w:rPr>
    </w:lvl>
    <w:lvl w:ilvl="2" w:tplc="041C0005" w:tentative="1">
      <w:start w:val="1"/>
      <w:numFmt w:val="bullet"/>
      <w:lvlText w:val=""/>
      <w:lvlJc w:val="left"/>
      <w:pPr>
        <w:ind w:left="2070" w:hanging="360"/>
      </w:pPr>
      <w:rPr>
        <w:rFonts w:ascii="Wingdings" w:hAnsi="Wingdings" w:hint="default"/>
      </w:rPr>
    </w:lvl>
    <w:lvl w:ilvl="3" w:tplc="041C0001" w:tentative="1">
      <w:start w:val="1"/>
      <w:numFmt w:val="bullet"/>
      <w:lvlText w:val=""/>
      <w:lvlJc w:val="left"/>
      <w:pPr>
        <w:ind w:left="2790" w:hanging="360"/>
      </w:pPr>
      <w:rPr>
        <w:rFonts w:ascii="Symbol" w:hAnsi="Symbol" w:hint="default"/>
      </w:rPr>
    </w:lvl>
    <w:lvl w:ilvl="4" w:tplc="041C0003" w:tentative="1">
      <w:start w:val="1"/>
      <w:numFmt w:val="bullet"/>
      <w:lvlText w:val="o"/>
      <w:lvlJc w:val="left"/>
      <w:pPr>
        <w:ind w:left="3510" w:hanging="360"/>
      </w:pPr>
      <w:rPr>
        <w:rFonts w:ascii="Courier New" w:hAnsi="Courier New" w:cs="Courier New" w:hint="default"/>
      </w:rPr>
    </w:lvl>
    <w:lvl w:ilvl="5" w:tplc="041C0005" w:tentative="1">
      <w:start w:val="1"/>
      <w:numFmt w:val="bullet"/>
      <w:lvlText w:val=""/>
      <w:lvlJc w:val="left"/>
      <w:pPr>
        <w:ind w:left="4230" w:hanging="360"/>
      </w:pPr>
      <w:rPr>
        <w:rFonts w:ascii="Wingdings" w:hAnsi="Wingdings" w:hint="default"/>
      </w:rPr>
    </w:lvl>
    <w:lvl w:ilvl="6" w:tplc="041C0001" w:tentative="1">
      <w:start w:val="1"/>
      <w:numFmt w:val="bullet"/>
      <w:lvlText w:val=""/>
      <w:lvlJc w:val="left"/>
      <w:pPr>
        <w:ind w:left="4950" w:hanging="360"/>
      </w:pPr>
      <w:rPr>
        <w:rFonts w:ascii="Symbol" w:hAnsi="Symbol" w:hint="default"/>
      </w:rPr>
    </w:lvl>
    <w:lvl w:ilvl="7" w:tplc="041C0003" w:tentative="1">
      <w:start w:val="1"/>
      <w:numFmt w:val="bullet"/>
      <w:lvlText w:val="o"/>
      <w:lvlJc w:val="left"/>
      <w:pPr>
        <w:ind w:left="5670" w:hanging="360"/>
      </w:pPr>
      <w:rPr>
        <w:rFonts w:ascii="Courier New" w:hAnsi="Courier New" w:cs="Courier New" w:hint="default"/>
      </w:rPr>
    </w:lvl>
    <w:lvl w:ilvl="8" w:tplc="041C0005" w:tentative="1">
      <w:start w:val="1"/>
      <w:numFmt w:val="bullet"/>
      <w:lvlText w:val=""/>
      <w:lvlJc w:val="left"/>
      <w:pPr>
        <w:ind w:left="6390" w:hanging="360"/>
      </w:pPr>
      <w:rPr>
        <w:rFonts w:ascii="Wingdings" w:hAnsi="Wingdings" w:hint="default"/>
      </w:rPr>
    </w:lvl>
  </w:abstractNum>
  <w:abstractNum w:abstractNumId="26" w15:restartNumberingAfterBreak="0">
    <w:nsid w:val="40111E44"/>
    <w:multiLevelType w:val="hybridMultilevel"/>
    <w:tmpl w:val="44562562"/>
    <w:lvl w:ilvl="0" w:tplc="ED14D4FC">
      <w:start w:val="1"/>
      <w:numFmt w:val="decimal"/>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27" w15:restartNumberingAfterBreak="0">
    <w:nsid w:val="4583751A"/>
    <w:multiLevelType w:val="hybridMultilevel"/>
    <w:tmpl w:val="43242674"/>
    <w:lvl w:ilvl="0" w:tplc="B532B534">
      <w:numFmt w:val="bullet"/>
      <w:lvlText w:val="-"/>
      <w:lvlJc w:val="left"/>
      <w:pPr>
        <w:ind w:left="630" w:hanging="360"/>
      </w:pPr>
      <w:rPr>
        <w:rFonts w:ascii="Times New Roman" w:eastAsia="Times New Roman"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8" w15:restartNumberingAfterBreak="0">
    <w:nsid w:val="45FE6241"/>
    <w:multiLevelType w:val="hybridMultilevel"/>
    <w:tmpl w:val="1E00689E"/>
    <w:lvl w:ilvl="0" w:tplc="B532B534">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9" w15:restartNumberingAfterBreak="0">
    <w:nsid w:val="53676340"/>
    <w:multiLevelType w:val="hybridMultilevel"/>
    <w:tmpl w:val="4C56F6F8"/>
    <w:lvl w:ilvl="0" w:tplc="FFFFFFFF">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2732FD30">
      <w:start w:val="1"/>
      <w:numFmt w:val="decimal"/>
      <w:lvlText w:val="%3."/>
      <w:lvlJc w:val="left"/>
      <w:pPr>
        <w:ind w:left="2160" w:hanging="360"/>
      </w:pPr>
      <w:rPr>
        <w:rFont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449351C"/>
    <w:multiLevelType w:val="hybridMultilevel"/>
    <w:tmpl w:val="86BC55F6"/>
    <w:lvl w:ilvl="0" w:tplc="41B2C1FC">
      <w:start w:val="1"/>
      <w:numFmt w:val="lowerLetter"/>
      <w:lvlText w:val="%1)"/>
      <w:lvlJc w:val="left"/>
      <w:pPr>
        <w:ind w:left="1778" w:hanging="296"/>
      </w:pPr>
      <w:rPr>
        <w:rFonts w:ascii="Times New Roman" w:eastAsia="Times New Roman" w:hAnsi="Times New Roman" w:cs="Times New Roman" w:hint="default"/>
        <w:b w:val="0"/>
        <w:bCs w:val="0"/>
        <w:i w:val="0"/>
        <w:iCs w:val="0"/>
        <w:spacing w:val="0"/>
        <w:w w:val="100"/>
        <w:sz w:val="28"/>
        <w:szCs w:val="28"/>
        <w:lang w:val="sq-AL" w:eastAsia="en-US" w:bidi="ar-SA"/>
      </w:rPr>
    </w:lvl>
    <w:lvl w:ilvl="1" w:tplc="8C5C491C">
      <w:numFmt w:val="bullet"/>
      <w:lvlText w:val="•"/>
      <w:lvlJc w:val="left"/>
      <w:pPr>
        <w:ind w:left="2610" w:hanging="296"/>
      </w:pPr>
      <w:rPr>
        <w:rFonts w:hint="default"/>
        <w:lang w:val="sq-AL" w:eastAsia="en-US" w:bidi="ar-SA"/>
      </w:rPr>
    </w:lvl>
    <w:lvl w:ilvl="2" w:tplc="496C2426">
      <w:numFmt w:val="bullet"/>
      <w:lvlText w:val="•"/>
      <w:lvlJc w:val="left"/>
      <w:pPr>
        <w:ind w:left="3440" w:hanging="296"/>
      </w:pPr>
      <w:rPr>
        <w:rFonts w:hint="default"/>
        <w:lang w:val="sq-AL" w:eastAsia="en-US" w:bidi="ar-SA"/>
      </w:rPr>
    </w:lvl>
    <w:lvl w:ilvl="3" w:tplc="27D46060">
      <w:numFmt w:val="bullet"/>
      <w:lvlText w:val="•"/>
      <w:lvlJc w:val="left"/>
      <w:pPr>
        <w:ind w:left="4270" w:hanging="296"/>
      </w:pPr>
      <w:rPr>
        <w:rFonts w:hint="default"/>
        <w:lang w:val="sq-AL" w:eastAsia="en-US" w:bidi="ar-SA"/>
      </w:rPr>
    </w:lvl>
    <w:lvl w:ilvl="4" w:tplc="BC9A105E">
      <w:numFmt w:val="bullet"/>
      <w:lvlText w:val="•"/>
      <w:lvlJc w:val="left"/>
      <w:pPr>
        <w:ind w:left="5100" w:hanging="296"/>
      </w:pPr>
      <w:rPr>
        <w:rFonts w:hint="default"/>
        <w:lang w:val="sq-AL" w:eastAsia="en-US" w:bidi="ar-SA"/>
      </w:rPr>
    </w:lvl>
    <w:lvl w:ilvl="5" w:tplc="4432A610">
      <w:numFmt w:val="bullet"/>
      <w:lvlText w:val="•"/>
      <w:lvlJc w:val="left"/>
      <w:pPr>
        <w:ind w:left="5930" w:hanging="296"/>
      </w:pPr>
      <w:rPr>
        <w:rFonts w:hint="default"/>
        <w:lang w:val="sq-AL" w:eastAsia="en-US" w:bidi="ar-SA"/>
      </w:rPr>
    </w:lvl>
    <w:lvl w:ilvl="6" w:tplc="29DE76DC">
      <w:numFmt w:val="bullet"/>
      <w:lvlText w:val="•"/>
      <w:lvlJc w:val="left"/>
      <w:pPr>
        <w:ind w:left="6760" w:hanging="296"/>
      </w:pPr>
      <w:rPr>
        <w:rFonts w:hint="default"/>
        <w:lang w:val="sq-AL" w:eastAsia="en-US" w:bidi="ar-SA"/>
      </w:rPr>
    </w:lvl>
    <w:lvl w:ilvl="7" w:tplc="301AC974">
      <w:numFmt w:val="bullet"/>
      <w:lvlText w:val="•"/>
      <w:lvlJc w:val="left"/>
      <w:pPr>
        <w:ind w:left="7590" w:hanging="296"/>
      </w:pPr>
      <w:rPr>
        <w:rFonts w:hint="default"/>
        <w:lang w:val="sq-AL" w:eastAsia="en-US" w:bidi="ar-SA"/>
      </w:rPr>
    </w:lvl>
    <w:lvl w:ilvl="8" w:tplc="1F926532">
      <w:numFmt w:val="bullet"/>
      <w:lvlText w:val="•"/>
      <w:lvlJc w:val="left"/>
      <w:pPr>
        <w:ind w:left="8420" w:hanging="296"/>
      </w:pPr>
      <w:rPr>
        <w:rFonts w:hint="default"/>
        <w:lang w:val="sq-AL" w:eastAsia="en-US" w:bidi="ar-SA"/>
      </w:rPr>
    </w:lvl>
  </w:abstractNum>
  <w:abstractNum w:abstractNumId="31" w15:restartNumberingAfterBreak="0">
    <w:nsid w:val="54726387"/>
    <w:multiLevelType w:val="hybridMultilevel"/>
    <w:tmpl w:val="0A92FF9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8272269"/>
    <w:multiLevelType w:val="hybridMultilevel"/>
    <w:tmpl w:val="053044E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3" w15:restartNumberingAfterBreak="0">
    <w:nsid w:val="5C9A430B"/>
    <w:multiLevelType w:val="hybridMultilevel"/>
    <w:tmpl w:val="91306324"/>
    <w:lvl w:ilvl="0" w:tplc="B532B534">
      <w:numFmt w:val="bullet"/>
      <w:lvlText w:val="-"/>
      <w:lvlJc w:val="left"/>
      <w:pPr>
        <w:ind w:left="54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4" w15:restartNumberingAfterBreak="0">
    <w:nsid w:val="60184506"/>
    <w:multiLevelType w:val="hybridMultilevel"/>
    <w:tmpl w:val="474487E2"/>
    <w:lvl w:ilvl="0" w:tplc="5C1ABF12">
      <w:start w:val="1"/>
      <w:numFmt w:val="decimal"/>
      <w:lvlText w:val="%1."/>
      <w:lvlJc w:val="left"/>
      <w:pPr>
        <w:ind w:left="644" w:hanging="284"/>
        <w:jc w:val="right"/>
      </w:pPr>
      <w:rPr>
        <w:rFonts w:ascii="Times New Roman" w:eastAsia="Times New Roman" w:hAnsi="Times New Roman" w:cs="Times New Roman" w:hint="default"/>
        <w:b w:val="0"/>
        <w:bCs w:val="0"/>
        <w:i w:val="0"/>
        <w:iCs w:val="0"/>
        <w:spacing w:val="0"/>
        <w:w w:val="96"/>
        <w:sz w:val="24"/>
        <w:szCs w:val="24"/>
        <w:lang w:val="sq-AL" w:eastAsia="en-US" w:bidi="ar-SA"/>
      </w:rPr>
    </w:lvl>
    <w:lvl w:ilvl="1" w:tplc="6BFE7BD8">
      <w:start w:val="1"/>
      <w:numFmt w:val="decimal"/>
      <w:lvlText w:val="%2."/>
      <w:lvlJc w:val="left"/>
      <w:pPr>
        <w:ind w:left="1081" w:hanging="360"/>
      </w:pPr>
      <w:rPr>
        <w:rFonts w:ascii="Times New Roman" w:eastAsia="Times New Roman" w:hAnsi="Times New Roman" w:cs="Times New Roman"/>
        <w:spacing w:val="0"/>
        <w:w w:val="99"/>
        <w:lang w:val="sq-AL" w:eastAsia="en-US" w:bidi="ar-SA"/>
      </w:rPr>
    </w:lvl>
    <w:lvl w:ilvl="2" w:tplc="FC20E90A">
      <w:start w:val="1"/>
      <w:numFmt w:val="lowerLetter"/>
      <w:lvlText w:val="%3)"/>
      <w:lvlJc w:val="left"/>
      <w:pPr>
        <w:ind w:left="1465" w:hanging="360"/>
      </w:pPr>
      <w:rPr>
        <w:rFonts w:ascii="Times New Roman" w:eastAsia="Times New Roman" w:hAnsi="Times New Roman" w:cs="Times New Roman" w:hint="default"/>
        <w:b w:val="0"/>
        <w:bCs w:val="0"/>
        <w:i w:val="0"/>
        <w:iCs w:val="0"/>
        <w:spacing w:val="0"/>
        <w:w w:val="100"/>
        <w:sz w:val="28"/>
        <w:szCs w:val="28"/>
        <w:lang w:val="sq-AL" w:eastAsia="en-US" w:bidi="ar-SA"/>
      </w:rPr>
    </w:lvl>
    <w:lvl w:ilvl="3" w:tplc="AEE4E674">
      <w:numFmt w:val="bullet"/>
      <w:lvlText w:val="•"/>
      <w:lvlJc w:val="left"/>
      <w:pPr>
        <w:ind w:left="1381" w:hanging="360"/>
      </w:pPr>
      <w:rPr>
        <w:rFonts w:hint="default"/>
        <w:lang w:val="sq-AL" w:eastAsia="en-US" w:bidi="ar-SA"/>
      </w:rPr>
    </w:lvl>
    <w:lvl w:ilvl="4" w:tplc="A5043BA8">
      <w:numFmt w:val="bullet"/>
      <w:lvlText w:val="•"/>
      <w:lvlJc w:val="left"/>
      <w:pPr>
        <w:ind w:left="1461" w:hanging="360"/>
      </w:pPr>
      <w:rPr>
        <w:rFonts w:hint="default"/>
        <w:lang w:val="sq-AL" w:eastAsia="en-US" w:bidi="ar-SA"/>
      </w:rPr>
    </w:lvl>
    <w:lvl w:ilvl="5" w:tplc="F7EA88B8">
      <w:numFmt w:val="bullet"/>
      <w:lvlText w:val="•"/>
      <w:lvlJc w:val="left"/>
      <w:pPr>
        <w:ind w:left="2061" w:hanging="360"/>
      </w:pPr>
      <w:rPr>
        <w:rFonts w:hint="default"/>
        <w:lang w:val="sq-AL" w:eastAsia="en-US" w:bidi="ar-SA"/>
      </w:rPr>
    </w:lvl>
    <w:lvl w:ilvl="6" w:tplc="6E0AD8F4">
      <w:numFmt w:val="bullet"/>
      <w:lvlText w:val="•"/>
      <w:lvlJc w:val="left"/>
      <w:pPr>
        <w:ind w:left="2161" w:hanging="360"/>
      </w:pPr>
      <w:rPr>
        <w:rFonts w:hint="default"/>
        <w:lang w:val="sq-AL" w:eastAsia="en-US" w:bidi="ar-SA"/>
      </w:rPr>
    </w:lvl>
    <w:lvl w:ilvl="7" w:tplc="903A8B16">
      <w:numFmt w:val="bullet"/>
      <w:lvlText w:val="•"/>
      <w:lvlJc w:val="left"/>
      <w:pPr>
        <w:ind w:left="4141" w:hanging="360"/>
      </w:pPr>
      <w:rPr>
        <w:rFonts w:hint="default"/>
        <w:lang w:val="sq-AL" w:eastAsia="en-US" w:bidi="ar-SA"/>
      </w:rPr>
    </w:lvl>
    <w:lvl w:ilvl="8" w:tplc="550AD4C6">
      <w:numFmt w:val="bullet"/>
      <w:lvlText w:val="•"/>
      <w:lvlJc w:val="left"/>
      <w:pPr>
        <w:ind w:left="6121" w:hanging="360"/>
      </w:pPr>
      <w:rPr>
        <w:rFonts w:hint="default"/>
        <w:lang w:val="sq-AL" w:eastAsia="en-US" w:bidi="ar-SA"/>
      </w:rPr>
    </w:lvl>
  </w:abstractNum>
  <w:abstractNum w:abstractNumId="35" w15:restartNumberingAfterBreak="0">
    <w:nsid w:val="60BE3022"/>
    <w:multiLevelType w:val="hybridMultilevel"/>
    <w:tmpl w:val="9426E136"/>
    <w:lvl w:ilvl="0" w:tplc="041C0005">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6" w15:restartNumberingAfterBreak="0">
    <w:nsid w:val="60DD5B77"/>
    <w:multiLevelType w:val="multilevel"/>
    <w:tmpl w:val="63DEB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3AA46B6"/>
    <w:multiLevelType w:val="hybridMultilevel"/>
    <w:tmpl w:val="F946B15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47A736C"/>
    <w:multiLevelType w:val="hybridMultilevel"/>
    <w:tmpl w:val="01AA40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83C074A"/>
    <w:multiLevelType w:val="hybridMultilevel"/>
    <w:tmpl w:val="45DA357A"/>
    <w:lvl w:ilvl="0" w:tplc="BA82B25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685C5C5E"/>
    <w:multiLevelType w:val="hybridMultilevel"/>
    <w:tmpl w:val="91B20092"/>
    <w:lvl w:ilvl="0" w:tplc="4B32304A">
      <w:start w:val="1"/>
      <w:numFmt w:val="lowerRoman"/>
      <w:lvlText w:val="%1."/>
      <w:lvlJc w:val="left"/>
      <w:pPr>
        <w:ind w:left="1855" w:hanging="219"/>
      </w:pPr>
      <w:rPr>
        <w:rFonts w:ascii="Times New Roman" w:eastAsia="Times New Roman" w:hAnsi="Times New Roman" w:cs="Times New Roman" w:hint="default"/>
        <w:b w:val="0"/>
        <w:bCs w:val="0"/>
        <w:i w:val="0"/>
        <w:iCs w:val="0"/>
        <w:spacing w:val="0"/>
        <w:w w:val="100"/>
        <w:sz w:val="28"/>
        <w:szCs w:val="28"/>
        <w:lang w:val="sq-AL" w:eastAsia="en-US" w:bidi="ar-SA"/>
      </w:rPr>
    </w:lvl>
    <w:lvl w:ilvl="1" w:tplc="E7CE82D6">
      <w:numFmt w:val="bullet"/>
      <w:lvlText w:val="•"/>
      <w:lvlJc w:val="left"/>
      <w:pPr>
        <w:ind w:left="2682" w:hanging="219"/>
      </w:pPr>
      <w:rPr>
        <w:rFonts w:hint="default"/>
        <w:lang w:val="sq-AL" w:eastAsia="en-US" w:bidi="ar-SA"/>
      </w:rPr>
    </w:lvl>
    <w:lvl w:ilvl="2" w:tplc="C40815A8">
      <w:numFmt w:val="bullet"/>
      <w:lvlText w:val="•"/>
      <w:lvlJc w:val="left"/>
      <w:pPr>
        <w:ind w:left="3504" w:hanging="219"/>
      </w:pPr>
      <w:rPr>
        <w:rFonts w:hint="default"/>
        <w:lang w:val="sq-AL" w:eastAsia="en-US" w:bidi="ar-SA"/>
      </w:rPr>
    </w:lvl>
    <w:lvl w:ilvl="3" w:tplc="18942DAE">
      <w:numFmt w:val="bullet"/>
      <w:lvlText w:val="•"/>
      <w:lvlJc w:val="left"/>
      <w:pPr>
        <w:ind w:left="4326" w:hanging="219"/>
      </w:pPr>
      <w:rPr>
        <w:rFonts w:hint="default"/>
        <w:lang w:val="sq-AL" w:eastAsia="en-US" w:bidi="ar-SA"/>
      </w:rPr>
    </w:lvl>
    <w:lvl w:ilvl="4" w:tplc="F1808634">
      <w:numFmt w:val="bullet"/>
      <w:lvlText w:val="•"/>
      <w:lvlJc w:val="left"/>
      <w:pPr>
        <w:ind w:left="5148" w:hanging="219"/>
      </w:pPr>
      <w:rPr>
        <w:rFonts w:hint="default"/>
        <w:lang w:val="sq-AL" w:eastAsia="en-US" w:bidi="ar-SA"/>
      </w:rPr>
    </w:lvl>
    <w:lvl w:ilvl="5" w:tplc="01F45A9C">
      <w:numFmt w:val="bullet"/>
      <w:lvlText w:val="•"/>
      <w:lvlJc w:val="left"/>
      <w:pPr>
        <w:ind w:left="5970" w:hanging="219"/>
      </w:pPr>
      <w:rPr>
        <w:rFonts w:hint="default"/>
        <w:lang w:val="sq-AL" w:eastAsia="en-US" w:bidi="ar-SA"/>
      </w:rPr>
    </w:lvl>
    <w:lvl w:ilvl="6" w:tplc="981E2970">
      <w:numFmt w:val="bullet"/>
      <w:lvlText w:val="•"/>
      <w:lvlJc w:val="left"/>
      <w:pPr>
        <w:ind w:left="6792" w:hanging="219"/>
      </w:pPr>
      <w:rPr>
        <w:rFonts w:hint="default"/>
        <w:lang w:val="sq-AL" w:eastAsia="en-US" w:bidi="ar-SA"/>
      </w:rPr>
    </w:lvl>
    <w:lvl w:ilvl="7" w:tplc="24368C00">
      <w:numFmt w:val="bullet"/>
      <w:lvlText w:val="•"/>
      <w:lvlJc w:val="left"/>
      <w:pPr>
        <w:ind w:left="7614" w:hanging="219"/>
      </w:pPr>
      <w:rPr>
        <w:rFonts w:hint="default"/>
        <w:lang w:val="sq-AL" w:eastAsia="en-US" w:bidi="ar-SA"/>
      </w:rPr>
    </w:lvl>
    <w:lvl w:ilvl="8" w:tplc="7068AE1C">
      <w:numFmt w:val="bullet"/>
      <w:lvlText w:val="•"/>
      <w:lvlJc w:val="left"/>
      <w:pPr>
        <w:ind w:left="8436" w:hanging="219"/>
      </w:pPr>
      <w:rPr>
        <w:rFonts w:hint="default"/>
        <w:lang w:val="sq-AL" w:eastAsia="en-US" w:bidi="ar-SA"/>
      </w:rPr>
    </w:lvl>
  </w:abstractNum>
  <w:abstractNum w:abstractNumId="41" w15:restartNumberingAfterBreak="0">
    <w:nsid w:val="6BC076AC"/>
    <w:multiLevelType w:val="hybridMultilevel"/>
    <w:tmpl w:val="6C1C0812"/>
    <w:lvl w:ilvl="0" w:tplc="A58429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D4D7FA0"/>
    <w:multiLevelType w:val="hybridMultilevel"/>
    <w:tmpl w:val="B316CB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072214D"/>
    <w:multiLevelType w:val="hybridMultilevel"/>
    <w:tmpl w:val="7E40DECC"/>
    <w:lvl w:ilvl="0" w:tplc="E15286A8">
      <w:start w:val="1"/>
      <w:numFmt w:val="decimal"/>
      <w:lvlText w:val="%1."/>
      <w:lvlJc w:val="left"/>
      <w:pPr>
        <w:ind w:left="1440" w:hanging="360"/>
      </w:pPr>
      <w:rPr>
        <w:rFonts w:ascii="Times New Roman" w:eastAsia="Times New Roman" w:hAnsi="Times New Roman" w:cs="Times New Roman" w:hint="default"/>
        <w:b w:val="0"/>
        <w:bCs w:val="0"/>
        <w:i w:val="0"/>
        <w:iCs w:val="0"/>
        <w:spacing w:val="0"/>
        <w:w w:val="100"/>
        <w:sz w:val="28"/>
        <w:szCs w:val="28"/>
        <w:lang w:val="sq-AL" w:eastAsia="en-US" w:bidi="ar-SA"/>
      </w:rPr>
    </w:lvl>
    <w:lvl w:ilvl="1" w:tplc="687CF6E6">
      <w:numFmt w:val="bullet"/>
      <w:lvlText w:val="•"/>
      <w:lvlJc w:val="left"/>
      <w:pPr>
        <w:ind w:left="2304" w:hanging="360"/>
      </w:pPr>
      <w:rPr>
        <w:rFonts w:hint="default"/>
        <w:lang w:val="sq-AL" w:eastAsia="en-US" w:bidi="ar-SA"/>
      </w:rPr>
    </w:lvl>
    <w:lvl w:ilvl="2" w:tplc="598A843A">
      <w:numFmt w:val="bullet"/>
      <w:lvlText w:val="•"/>
      <w:lvlJc w:val="left"/>
      <w:pPr>
        <w:ind w:left="3168" w:hanging="360"/>
      </w:pPr>
      <w:rPr>
        <w:rFonts w:hint="default"/>
        <w:lang w:val="sq-AL" w:eastAsia="en-US" w:bidi="ar-SA"/>
      </w:rPr>
    </w:lvl>
    <w:lvl w:ilvl="3" w:tplc="3970F9D8">
      <w:numFmt w:val="bullet"/>
      <w:lvlText w:val="•"/>
      <w:lvlJc w:val="left"/>
      <w:pPr>
        <w:ind w:left="4032" w:hanging="360"/>
      </w:pPr>
      <w:rPr>
        <w:rFonts w:hint="default"/>
        <w:lang w:val="sq-AL" w:eastAsia="en-US" w:bidi="ar-SA"/>
      </w:rPr>
    </w:lvl>
    <w:lvl w:ilvl="4" w:tplc="5A4ED58C">
      <w:numFmt w:val="bullet"/>
      <w:lvlText w:val="•"/>
      <w:lvlJc w:val="left"/>
      <w:pPr>
        <w:ind w:left="4896" w:hanging="360"/>
      </w:pPr>
      <w:rPr>
        <w:rFonts w:hint="default"/>
        <w:lang w:val="sq-AL" w:eastAsia="en-US" w:bidi="ar-SA"/>
      </w:rPr>
    </w:lvl>
    <w:lvl w:ilvl="5" w:tplc="FF82E716">
      <w:numFmt w:val="bullet"/>
      <w:lvlText w:val="•"/>
      <w:lvlJc w:val="left"/>
      <w:pPr>
        <w:ind w:left="5760" w:hanging="360"/>
      </w:pPr>
      <w:rPr>
        <w:rFonts w:hint="default"/>
        <w:lang w:val="sq-AL" w:eastAsia="en-US" w:bidi="ar-SA"/>
      </w:rPr>
    </w:lvl>
    <w:lvl w:ilvl="6" w:tplc="E284703E">
      <w:numFmt w:val="bullet"/>
      <w:lvlText w:val="•"/>
      <w:lvlJc w:val="left"/>
      <w:pPr>
        <w:ind w:left="6624" w:hanging="360"/>
      </w:pPr>
      <w:rPr>
        <w:rFonts w:hint="default"/>
        <w:lang w:val="sq-AL" w:eastAsia="en-US" w:bidi="ar-SA"/>
      </w:rPr>
    </w:lvl>
    <w:lvl w:ilvl="7" w:tplc="9D88F70A">
      <w:numFmt w:val="bullet"/>
      <w:lvlText w:val="•"/>
      <w:lvlJc w:val="left"/>
      <w:pPr>
        <w:ind w:left="7488" w:hanging="360"/>
      </w:pPr>
      <w:rPr>
        <w:rFonts w:hint="default"/>
        <w:lang w:val="sq-AL" w:eastAsia="en-US" w:bidi="ar-SA"/>
      </w:rPr>
    </w:lvl>
    <w:lvl w:ilvl="8" w:tplc="FA2AC820">
      <w:numFmt w:val="bullet"/>
      <w:lvlText w:val="•"/>
      <w:lvlJc w:val="left"/>
      <w:pPr>
        <w:ind w:left="8352" w:hanging="360"/>
      </w:pPr>
      <w:rPr>
        <w:rFonts w:hint="default"/>
        <w:lang w:val="sq-AL" w:eastAsia="en-US" w:bidi="ar-SA"/>
      </w:rPr>
    </w:lvl>
  </w:abstractNum>
  <w:abstractNum w:abstractNumId="44" w15:restartNumberingAfterBreak="0">
    <w:nsid w:val="71DE1D43"/>
    <w:multiLevelType w:val="multilevel"/>
    <w:tmpl w:val="B9F80D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AF265EE"/>
    <w:multiLevelType w:val="hybridMultilevel"/>
    <w:tmpl w:val="76CE4AAA"/>
    <w:lvl w:ilvl="0" w:tplc="B532B534">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6" w15:restartNumberingAfterBreak="0">
    <w:nsid w:val="7B7F0700"/>
    <w:multiLevelType w:val="hybridMultilevel"/>
    <w:tmpl w:val="01AA40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E6410AB"/>
    <w:multiLevelType w:val="hybridMultilevel"/>
    <w:tmpl w:val="83501DBA"/>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8" w15:restartNumberingAfterBreak="0">
    <w:nsid w:val="7ED1638E"/>
    <w:multiLevelType w:val="multilevel"/>
    <w:tmpl w:val="267243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452359182">
    <w:abstractNumId w:val="3"/>
  </w:num>
  <w:num w:numId="2" w16cid:durableId="1096052365">
    <w:abstractNumId w:val="14"/>
  </w:num>
  <w:num w:numId="3" w16cid:durableId="767888966">
    <w:abstractNumId w:val="40"/>
  </w:num>
  <w:num w:numId="4" w16cid:durableId="100616099">
    <w:abstractNumId w:val="43"/>
  </w:num>
  <w:num w:numId="5" w16cid:durableId="1481337933">
    <w:abstractNumId w:val="2"/>
  </w:num>
  <w:num w:numId="6" w16cid:durableId="1826360585">
    <w:abstractNumId w:val="20"/>
  </w:num>
  <w:num w:numId="7" w16cid:durableId="1303075417">
    <w:abstractNumId w:val="6"/>
  </w:num>
  <w:num w:numId="8" w16cid:durableId="526214467">
    <w:abstractNumId w:val="19"/>
  </w:num>
  <w:num w:numId="9" w16cid:durableId="2128309058">
    <w:abstractNumId w:val="8"/>
  </w:num>
  <w:num w:numId="10" w16cid:durableId="1838038077">
    <w:abstractNumId w:val="30"/>
  </w:num>
  <w:num w:numId="11" w16cid:durableId="638219417">
    <w:abstractNumId w:val="34"/>
  </w:num>
  <w:num w:numId="12" w16cid:durableId="949775030">
    <w:abstractNumId w:val="9"/>
  </w:num>
  <w:num w:numId="13" w16cid:durableId="234558803">
    <w:abstractNumId w:val="5"/>
  </w:num>
  <w:num w:numId="14" w16cid:durableId="1522356096">
    <w:abstractNumId w:val="32"/>
  </w:num>
  <w:num w:numId="15" w16cid:durableId="1987934433">
    <w:abstractNumId w:val="22"/>
  </w:num>
  <w:num w:numId="16" w16cid:durableId="1049258172">
    <w:abstractNumId w:val="26"/>
  </w:num>
  <w:num w:numId="17" w16cid:durableId="1105660145">
    <w:abstractNumId w:val="16"/>
  </w:num>
  <w:num w:numId="18" w16cid:durableId="1326595383">
    <w:abstractNumId w:val="47"/>
  </w:num>
  <w:num w:numId="19" w16cid:durableId="824511627">
    <w:abstractNumId w:val="23"/>
  </w:num>
  <w:num w:numId="20" w16cid:durableId="735855486">
    <w:abstractNumId w:val="35"/>
  </w:num>
  <w:num w:numId="21" w16cid:durableId="2081516187">
    <w:abstractNumId w:val="28"/>
  </w:num>
  <w:num w:numId="22" w16cid:durableId="1288781200">
    <w:abstractNumId w:val="33"/>
  </w:num>
  <w:num w:numId="23" w16cid:durableId="367336697">
    <w:abstractNumId w:val="45"/>
  </w:num>
  <w:num w:numId="24" w16cid:durableId="1410228577">
    <w:abstractNumId w:val="25"/>
  </w:num>
  <w:num w:numId="25" w16cid:durableId="1792700109">
    <w:abstractNumId w:val="7"/>
  </w:num>
  <w:num w:numId="26" w16cid:durableId="2023437115">
    <w:abstractNumId w:val="27"/>
  </w:num>
  <w:num w:numId="27" w16cid:durableId="31342095">
    <w:abstractNumId w:val="46"/>
  </w:num>
  <w:num w:numId="28" w16cid:durableId="515927472">
    <w:abstractNumId w:val="15"/>
  </w:num>
  <w:num w:numId="29" w16cid:durableId="1379821501">
    <w:abstractNumId w:val="38"/>
  </w:num>
  <w:num w:numId="30" w16cid:durableId="940185666">
    <w:abstractNumId w:val="41"/>
  </w:num>
  <w:num w:numId="31" w16cid:durableId="860320870">
    <w:abstractNumId w:val="17"/>
  </w:num>
  <w:num w:numId="32" w16cid:durableId="2010518925">
    <w:abstractNumId w:val="18"/>
  </w:num>
  <w:num w:numId="33" w16cid:durableId="1986396619">
    <w:abstractNumId w:val="48"/>
  </w:num>
  <w:num w:numId="34" w16cid:durableId="1044329424">
    <w:abstractNumId w:val="44"/>
  </w:num>
  <w:num w:numId="35" w16cid:durableId="1329409743">
    <w:abstractNumId w:val="42"/>
  </w:num>
  <w:num w:numId="36" w16cid:durableId="1178736743">
    <w:abstractNumId w:val="31"/>
  </w:num>
  <w:num w:numId="37" w16cid:durableId="1460683022">
    <w:abstractNumId w:val="29"/>
  </w:num>
  <w:num w:numId="38" w16cid:durableId="575432255">
    <w:abstractNumId w:val="39"/>
  </w:num>
  <w:num w:numId="39" w16cid:durableId="2057973296">
    <w:abstractNumId w:val="10"/>
  </w:num>
  <w:num w:numId="40" w16cid:durableId="522286458">
    <w:abstractNumId w:val="4"/>
  </w:num>
  <w:num w:numId="41" w16cid:durableId="3091181">
    <w:abstractNumId w:val="12"/>
  </w:num>
  <w:num w:numId="42" w16cid:durableId="742070031">
    <w:abstractNumId w:val="0"/>
  </w:num>
  <w:num w:numId="43" w16cid:durableId="1983003000">
    <w:abstractNumId w:val="11"/>
  </w:num>
  <w:num w:numId="44" w16cid:durableId="476655187">
    <w:abstractNumId w:val="24"/>
  </w:num>
  <w:num w:numId="45" w16cid:durableId="456879762">
    <w:abstractNumId w:val="36"/>
  </w:num>
  <w:num w:numId="46" w16cid:durableId="8223484">
    <w:abstractNumId w:val="13"/>
  </w:num>
  <w:num w:numId="47" w16cid:durableId="55667965">
    <w:abstractNumId w:val="37"/>
  </w:num>
  <w:num w:numId="48" w16cid:durableId="835417315">
    <w:abstractNumId w:val="1"/>
  </w:num>
  <w:num w:numId="49" w16cid:durableId="56244707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5BC"/>
    <w:rsid w:val="000001CD"/>
    <w:rsid w:val="0000096F"/>
    <w:rsid w:val="00002EAF"/>
    <w:rsid w:val="000038AD"/>
    <w:rsid w:val="00004380"/>
    <w:rsid w:val="000139A6"/>
    <w:rsid w:val="000151D2"/>
    <w:rsid w:val="00015361"/>
    <w:rsid w:val="00020F15"/>
    <w:rsid w:val="00027D64"/>
    <w:rsid w:val="00030AA8"/>
    <w:rsid w:val="0003459C"/>
    <w:rsid w:val="00040881"/>
    <w:rsid w:val="0004188A"/>
    <w:rsid w:val="00053536"/>
    <w:rsid w:val="000610FF"/>
    <w:rsid w:val="000623FB"/>
    <w:rsid w:val="000631F8"/>
    <w:rsid w:val="00065E4C"/>
    <w:rsid w:val="00070BFE"/>
    <w:rsid w:val="000813BD"/>
    <w:rsid w:val="000820A7"/>
    <w:rsid w:val="000973CD"/>
    <w:rsid w:val="000A224C"/>
    <w:rsid w:val="000C1CB4"/>
    <w:rsid w:val="000C7D7F"/>
    <w:rsid w:val="000D05D3"/>
    <w:rsid w:val="000E1318"/>
    <w:rsid w:val="000E5C89"/>
    <w:rsid w:val="001014F3"/>
    <w:rsid w:val="00103330"/>
    <w:rsid w:val="00114BF1"/>
    <w:rsid w:val="001157E9"/>
    <w:rsid w:val="0013622C"/>
    <w:rsid w:val="00144779"/>
    <w:rsid w:val="00145499"/>
    <w:rsid w:val="0016474B"/>
    <w:rsid w:val="0017700E"/>
    <w:rsid w:val="001814DA"/>
    <w:rsid w:val="001930C1"/>
    <w:rsid w:val="001938A9"/>
    <w:rsid w:val="00194D27"/>
    <w:rsid w:val="0019658A"/>
    <w:rsid w:val="001A4D58"/>
    <w:rsid w:val="001B3476"/>
    <w:rsid w:val="001B4C84"/>
    <w:rsid w:val="001C19FD"/>
    <w:rsid w:val="001C3B91"/>
    <w:rsid w:val="001C70CA"/>
    <w:rsid w:val="001D1304"/>
    <w:rsid w:val="001D59F5"/>
    <w:rsid w:val="001D7B94"/>
    <w:rsid w:val="001E24BA"/>
    <w:rsid w:val="001F6B5D"/>
    <w:rsid w:val="00200D3B"/>
    <w:rsid w:val="002152AE"/>
    <w:rsid w:val="00230C8D"/>
    <w:rsid w:val="00242335"/>
    <w:rsid w:val="002579AA"/>
    <w:rsid w:val="0027224A"/>
    <w:rsid w:val="00292B17"/>
    <w:rsid w:val="00297143"/>
    <w:rsid w:val="002C0368"/>
    <w:rsid w:val="002E11D4"/>
    <w:rsid w:val="002F0B23"/>
    <w:rsid w:val="002F1A0C"/>
    <w:rsid w:val="00300E56"/>
    <w:rsid w:val="00330E9B"/>
    <w:rsid w:val="00356BEA"/>
    <w:rsid w:val="00362701"/>
    <w:rsid w:val="00364646"/>
    <w:rsid w:val="0037434B"/>
    <w:rsid w:val="00376EA8"/>
    <w:rsid w:val="003B2AE3"/>
    <w:rsid w:val="003B348F"/>
    <w:rsid w:val="003C4224"/>
    <w:rsid w:val="003D2B8E"/>
    <w:rsid w:val="003E3C36"/>
    <w:rsid w:val="003F7041"/>
    <w:rsid w:val="003F7C7D"/>
    <w:rsid w:val="004142D0"/>
    <w:rsid w:val="004855EC"/>
    <w:rsid w:val="004864B1"/>
    <w:rsid w:val="00492C0E"/>
    <w:rsid w:val="00495455"/>
    <w:rsid w:val="00497C3F"/>
    <w:rsid w:val="004B0520"/>
    <w:rsid w:val="004C27D7"/>
    <w:rsid w:val="004C589E"/>
    <w:rsid w:val="004C7389"/>
    <w:rsid w:val="004D06D2"/>
    <w:rsid w:val="004F0D2D"/>
    <w:rsid w:val="004F7CAC"/>
    <w:rsid w:val="005018D3"/>
    <w:rsid w:val="00505694"/>
    <w:rsid w:val="005136A4"/>
    <w:rsid w:val="00535BA6"/>
    <w:rsid w:val="0053792F"/>
    <w:rsid w:val="00557A93"/>
    <w:rsid w:val="00563A38"/>
    <w:rsid w:val="0056683A"/>
    <w:rsid w:val="0057297F"/>
    <w:rsid w:val="00596987"/>
    <w:rsid w:val="005A29AE"/>
    <w:rsid w:val="005A406F"/>
    <w:rsid w:val="005B1339"/>
    <w:rsid w:val="0062489A"/>
    <w:rsid w:val="00641EFC"/>
    <w:rsid w:val="00644AB0"/>
    <w:rsid w:val="00647BE1"/>
    <w:rsid w:val="00661320"/>
    <w:rsid w:val="00663D55"/>
    <w:rsid w:val="00667DE2"/>
    <w:rsid w:val="0067079A"/>
    <w:rsid w:val="006759DB"/>
    <w:rsid w:val="0069290F"/>
    <w:rsid w:val="006A6FDB"/>
    <w:rsid w:val="006D4936"/>
    <w:rsid w:val="006F243E"/>
    <w:rsid w:val="00716C24"/>
    <w:rsid w:val="00721C79"/>
    <w:rsid w:val="007309D3"/>
    <w:rsid w:val="007333CC"/>
    <w:rsid w:val="00781C22"/>
    <w:rsid w:val="00782E98"/>
    <w:rsid w:val="007917F8"/>
    <w:rsid w:val="007C41F6"/>
    <w:rsid w:val="007C45CA"/>
    <w:rsid w:val="007D16BF"/>
    <w:rsid w:val="007D4F13"/>
    <w:rsid w:val="007E53BE"/>
    <w:rsid w:val="007E6E9D"/>
    <w:rsid w:val="007E7A39"/>
    <w:rsid w:val="007F4F28"/>
    <w:rsid w:val="00802880"/>
    <w:rsid w:val="008037EE"/>
    <w:rsid w:val="00804179"/>
    <w:rsid w:val="00805B98"/>
    <w:rsid w:val="008076DF"/>
    <w:rsid w:val="0081572A"/>
    <w:rsid w:val="0084030A"/>
    <w:rsid w:val="00845E84"/>
    <w:rsid w:val="0084637F"/>
    <w:rsid w:val="00870145"/>
    <w:rsid w:val="00871F18"/>
    <w:rsid w:val="00874709"/>
    <w:rsid w:val="008963F0"/>
    <w:rsid w:val="008A7679"/>
    <w:rsid w:val="008B6C7D"/>
    <w:rsid w:val="008C701F"/>
    <w:rsid w:val="008D10E3"/>
    <w:rsid w:val="008E0EFC"/>
    <w:rsid w:val="008F0A63"/>
    <w:rsid w:val="008F258D"/>
    <w:rsid w:val="009047FA"/>
    <w:rsid w:val="0092540A"/>
    <w:rsid w:val="009338E7"/>
    <w:rsid w:val="00940334"/>
    <w:rsid w:val="009457F0"/>
    <w:rsid w:val="009505BC"/>
    <w:rsid w:val="00962438"/>
    <w:rsid w:val="00962866"/>
    <w:rsid w:val="00962A2D"/>
    <w:rsid w:val="009734A6"/>
    <w:rsid w:val="00982282"/>
    <w:rsid w:val="00991922"/>
    <w:rsid w:val="009952F2"/>
    <w:rsid w:val="009A1DAA"/>
    <w:rsid w:val="009A55F9"/>
    <w:rsid w:val="009E54D2"/>
    <w:rsid w:val="009E553B"/>
    <w:rsid w:val="009F0719"/>
    <w:rsid w:val="009F5A9F"/>
    <w:rsid w:val="00A02801"/>
    <w:rsid w:val="00A17DF7"/>
    <w:rsid w:val="00A23724"/>
    <w:rsid w:val="00A27760"/>
    <w:rsid w:val="00A37CC4"/>
    <w:rsid w:val="00A514DD"/>
    <w:rsid w:val="00A60213"/>
    <w:rsid w:val="00A60C56"/>
    <w:rsid w:val="00A66583"/>
    <w:rsid w:val="00A7714D"/>
    <w:rsid w:val="00A84C75"/>
    <w:rsid w:val="00AA437C"/>
    <w:rsid w:val="00AC09CB"/>
    <w:rsid w:val="00AC5FF6"/>
    <w:rsid w:val="00AD4693"/>
    <w:rsid w:val="00AF0A1B"/>
    <w:rsid w:val="00B0084F"/>
    <w:rsid w:val="00B05064"/>
    <w:rsid w:val="00B126B5"/>
    <w:rsid w:val="00B31A86"/>
    <w:rsid w:val="00B37B25"/>
    <w:rsid w:val="00B57B34"/>
    <w:rsid w:val="00B642D5"/>
    <w:rsid w:val="00B71DAB"/>
    <w:rsid w:val="00B816E9"/>
    <w:rsid w:val="00B84A87"/>
    <w:rsid w:val="00B97FD5"/>
    <w:rsid w:val="00BA1798"/>
    <w:rsid w:val="00BA6F6F"/>
    <w:rsid w:val="00BC69CE"/>
    <w:rsid w:val="00BD65CA"/>
    <w:rsid w:val="00C17726"/>
    <w:rsid w:val="00C20AFF"/>
    <w:rsid w:val="00C36529"/>
    <w:rsid w:val="00C40173"/>
    <w:rsid w:val="00C43CF7"/>
    <w:rsid w:val="00C4518B"/>
    <w:rsid w:val="00C46E7E"/>
    <w:rsid w:val="00C616E0"/>
    <w:rsid w:val="00C820A8"/>
    <w:rsid w:val="00C93047"/>
    <w:rsid w:val="00CA2268"/>
    <w:rsid w:val="00CB0096"/>
    <w:rsid w:val="00CB5E01"/>
    <w:rsid w:val="00CC114D"/>
    <w:rsid w:val="00CC15D0"/>
    <w:rsid w:val="00CE5317"/>
    <w:rsid w:val="00D12CF3"/>
    <w:rsid w:val="00D1530D"/>
    <w:rsid w:val="00D90B87"/>
    <w:rsid w:val="00DA49BA"/>
    <w:rsid w:val="00DE3404"/>
    <w:rsid w:val="00DE453E"/>
    <w:rsid w:val="00DF4268"/>
    <w:rsid w:val="00DF6FE4"/>
    <w:rsid w:val="00E03C40"/>
    <w:rsid w:val="00E139B2"/>
    <w:rsid w:val="00E448F0"/>
    <w:rsid w:val="00E519D8"/>
    <w:rsid w:val="00E61A37"/>
    <w:rsid w:val="00E7257C"/>
    <w:rsid w:val="00E76BF2"/>
    <w:rsid w:val="00E80D9F"/>
    <w:rsid w:val="00E9041F"/>
    <w:rsid w:val="00E94EBD"/>
    <w:rsid w:val="00ED09E7"/>
    <w:rsid w:val="00F015D6"/>
    <w:rsid w:val="00F029DE"/>
    <w:rsid w:val="00F041BD"/>
    <w:rsid w:val="00F16CDB"/>
    <w:rsid w:val="00F17E8F"/>
    <w:rsid w:val="00F26F6C"/>
    <w:rsid w:val="00F414E1"/>
    <w:rsid w:val="00F428CF"/>
    <w:rsid w:val="00F443E0"/>
    <w:rsid w:val="00F470FA"/>
    <w:rsid w:val="00F86FDE"/>
    <w:rsid w:val="00F92AAA"/>
    <w:rsid w:val="00FA2E91"/>
    <w:rsid w:val="00FD70B2"/>
    <w:rsid w:val="00FE0B1D"/>
    <w:rsid w:val="00FE113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89BE7F"/>
  <w15:docId w15:val="{E8967EF3-A7D6-454B-B4A1-E13904704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E0B1D"/>
    <w:rPr>
      <w:rFonts w:ascii="Times New Roman" w:eastAsia="Times New Roman" w:hAnsi="Times New Roman" w:cs="Times New Roman"/>
      <w:lang w:val="sq-AL"/>
    </w:rPr>
  </w:style>
  <w:style w:type="paragraph" w:styleId="Heading3">
    <w:name w:val="heading 3"/>
    <w:basedOn w:val="Normal"/>
    <w:link w:val="Heading3Char"/>
    <w:uiPriority w:val="9"/>
    <w:unhideWhenUsed/>
    <w:qFormat/>
    <w:rsid w:val="001157E9"/>
    <w:pPr>
      <w:widowControl/>
      <w:autoSpaceDE/>
      <w:autoSpaceDN/>
      <w:spacing w:before="100" w:beforeAutospacing="1" w:after="100" w:afterAutospacing="1"/>
      <w:outlineLvl w:val="2"/>
    </w:pPr>
    <w:rPr>
      <w:rFonts w:eastAsiaTheme="minorHAnsi"/>
      <w:b/>
      <w:bCs/>
      <w:sz w:val="27"/>
      <w:szCs w:val="27"/>
      <w:lang w:val="en-US"/>
    </w:rPr>
  </w:style>
  <w:style w:type="paragraph" w:styleId="Heading4">
    <w:name w:val="heading 4"/>
    <w:basedOn w:val="Normal"/>
    <w:next w:val="Normal"/>
    <w:link w:val="Heading4Char"/>
    <w:uiPriority w:val="9"/>
    <w:semiHidden/>
    <w:unhideWhenUsed/>
    <w:qFormat/>
    <w:rsid w:val="00B126B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rPr>
      <w:sz w:val="28"/>
      <w:szCs w:val="28"/>
    </w:rPr>
  </w:style>
  <w:style w:type="paragraph" w:styleId="ListParagraph">
    <w:name w:val="List Paragraph"/>
    <w:basedOn w:val="Normal"/>
    <w:uiPriority w:val="1"/>
    <w:qFormat/>
    <w:pPr>
      <w:ind w:left="1080" w:right="355" w:hanging="360"/>
      <w:jc w:val="both"/>
    </w:pPr>
  </w:style>
  <w:style w:type="paragraph" w:customStyle="1" w:styleId="TableParagraph">
    <w:name w:val="Table Paragraph"/>
    <w:basedOn w:val="Normal"/>
    <w:uiPriority w:val="1"/>
    <w:qFormat/>
  </w:style>
  <w:style w:type="paragraph" w:styleId="CommentText">
    <w:name w:val="annotation text"/>
    <w:basedOn w:val="Normal"/>
    <w:link w:val="CommentTextChar"/>
    <w:uiPriority w:val="99"/>
    <w:unhideWhenUsed/>
    <w:rsid w:val="00FE0B1D"/>
    <w:pPr>
      <w:widowControl/>
      <w:autoSpaceDE/>
      <w:autoSpaceDN/>
    </w:pPr>
    <w:rPr>
      <w:rFonts w:ascii="Calibri" w:eastAsiaTheme="minorHAnsi" w:hAnsi="Calibri" w:cs="Calibri"/>
      <w:sz w:val="20"/>
      <w:szCs w:val="20"/>
      <w:lang w:val="en-US"/>
    </w:rPr>
  </w:style>
  <w:style w:type="character" w:customStyle="1" w:styleId="CommentTextChar">
    <w:name w:val="Comment Text Char"/>
    <w:basedOn w:val="DefaultParagraphFont"/>
    <w:link w:val="CommentText"/>
    <w:uiPriority w:val="99"/>
    <w:rsid w:val="00FE0B1D"/>
    <w:rPr>
      <w:rFonts w:ascii="Calibri" w:hAnsi="Calibri" w:cs="Calibri"/>
      <w:sz w:val="20"/>
      <w:szCs w:val="20"/>
    </w:rPr>
  </w:style>
  <w:style w:type="paragraph" w:styleId="Header">
    <w:name w:val="header"/>
    <w:basedOn w:val="Normal"/>
    <w:link w:val="HeaderChar"/>
    <w:uiPriority w:val="99"/>
    <w:unhideWhenUsed/>
    <w:rsid w:val="0013622C"/>
    <w:pPr>
      <w:tabs>
        <w:tab w:val="center" w:pos="4513"/>
        <w:tab w:val="right" w:pos="9026"/>
      </w:tabs>
    </w:pPr>
  </w:style>
  <w:style w:type="character" w:customStyle="1" w:styleId="HeaderChar">
    <w:name w:val="Header Char"/>
    <w:basedOn w:val="DefaultParagraphFont"/>
    <w:link w:val="Header"/>
    <w:uiPriority w:val="99"/>
    <w:rsid w:val="0013622C"/>
    <w:rPr>
      <w:rFonts w:ascii="Times New Roman" w:eastAsia="Times New Roman" w:hAnsi="Times New Roman" w:cs="Times New Roman"/>
      <w:lang w:val="sq-AL"/>
    </w:rPr>
  </w:style>
  <w:style w:type="paragraph" w:styleId="Footer">
    <w:name w:val="footer"/>
    <w:basedOn w:val="Normal"/>
    <w:link w:val="FooterChar"/>
    <w:uiPriority w:val="99"/>
    <w:unhideWhenUsed/>
    <w:rsid w:val="0013622C"/>
    <w:pPr>
      <w:tabs>
        <w:tab w:val="center" w:pos="4513"/>
        <w:tab w:val="right" w:pos="9026"/>
      </w:tabs>
    </w:pPr>
  </w:style>
  <w:style w:type="character" w:customStyle="1" w:styleId="FooterChar">
    <w:name w:val="Footer Char"/>
    <w:basedOn w:val="DefaultParagraphFont"/>
    <w:link w:val="Footer"/>
    <w:uiPriority w:val="99"/>
    <w:rsid w:val="0013622C"/>
    <w:rPr>
      <w:rFonts w:ascii="Times New Roman" w:eastAsia="Times New Roman" w:hAnsi="Times New Roman" w:cs="Times New Roman"/>
      <w:lang w:val="sq-AL"/>
    </w:rPr>
  </w:style>
  <w:style w:type="paragraph" w:styleId="NormalWeb">
    <w:name w:val="Normal (Web)"/>
    <w:basedOn w:val="Normal"/>
    <w:uiPriority w:val="99"/>
    <w:unhideWhenUsed/>
    <w:rsid w:val="0003459C"/>
    <w:pPr>
      <w:widowControl/>
      <w:autoSpaceDE/>
      <w:autoSpaceDN/>
      <w:spacing w:before="100" w:beforeAutospacing="1" w:after="100" w:afterAutospacing="1"/>
    </w:pPr>
    <w:rPr>
      <w:rFonts w:eastAsiaTheme="minorHAnsi"/>
      <w:sz w:val="24"/>
      <w:szCs w:val="24"/>
      <w:lang w:val="en-US"/>
    </w:rPr>
  </w:style>
  <w:style w:type="character" w:customStyle="1" w:styleId="Heading3Char">
    <w:name w:val="Heading 3 Char"/>
    <w:basedOn w:val="DefaultParagraphFont"/>
    <w:link w:val="Heading3"/>
    <w:uiPriority w:val="9"/>
    <w:rsid w:val="001157E9"/>
    <w:rPr>
      <w:rFonts w:ascii="Times New Roman" w:hAnsi="Times New Roman" w:cs="Times New Roman"/>
      <w:b/>
      <w:bCs/>
      <w:sz w:val="27"/>
      <w:szCs w:val="27"/>
    </w:rPr>
  </w:style>
  <w:style w:type="character" w:customStyle="1" w:styleId="Heading4Char">
    <w:name w:val="Heading 4 Char"/>
    <w:basedOn w:val="DefaultParagraphFont"/>
    <w:link w:val="Heading4"/>
    <w:uiPriority w:val="9"/>
    <w:semiHidden/>
    <w:rsid w:val="00B126B5"/>
    <w:rPr>
      <w:rFonts w:asciiTheme="majorHAnsi" w:eastAsiaTheme="majorEastAsia" w:hAnsiTheme="majorHAnsi" w:cstheme="majorBidi"/>
      <w:i/>
      <w:iCs/>
      <w:color w:val="365F91" w:themeColor="accent1" w:themeShade="BF"/>
      <w:lang w:val="sq-AL"/>
    </w:rPr>
  </w:style>
  <w:style w:type="character" w:styleId="CommentReference">
    <w:name w:val="annotation reference"/>
    <w:basedOn w:val="DefaultParagraphFont"/>
    <w:uiPriority w:val="99"/>
    <w:semiHidden/>
    <w:unhideWhenUsed/>
    <w:rsid w:val="004F7CAC"/>
    <w:rPr>
      <w:sz w:val="16"/>
      <w:szCs w:val="16"/>
    </w:rPr>
  </w:style>
  <w:style w:type="paragraph" w:styleId="CommentSubject">
    <w:name w:val="annotation subject"/>
    <w:basedOn w:val="CommentText"/>
    <w:next w:val="CommentText"/>
    <w:link w:val="CommentSubjectChar"/>
    <w:uiPriority w:val="99"/>
    <w:semiHidden/>
    <w:unhideWhenUsed/>
    <w:rsid w:val="004F7CAC"/>
    <w:pPr>
      <w:widowControl w:val="0"/>
      <w:autoSpaceDE w:val="0"/>
      <w:autoSpaceDN w:val="0"/>
    </w:pPr>
    <w:rPr>
      <w:rFonts w:ascii="Times New Roman" w:eastAsia="Times New Roman" w:hAnsi="Times New Roman" w:cs="Times New Roman"/>
      <w:b/>
      <w:bCs/>
      <w:lang w:val="sq-AL"/>
    </w:rPr>
  </w:style>
  <w:style w:type="character" w:customStyle="1" w:styleId="CommentSubjectChar">
    <w:name w:val="Comment Subject Char"/>
    <w:basedOn w:val="CommentTextChar"/>
    <w:link w:val="CommentSubject"/>
    <w:uiPriority w:val="99"/>
    <w:semiHidden/>
    <w:rsid w:val="004F7CAC"/>
    <w:rPr>
      <w:rFonts w:ascii="Times New Roman" w:eastAsia="Times New Roman" w:hAnsi="Times New Roman" w:cs="Times New Roman"/>
      <w:b/>
      <w:bCs/>
      <w:sz w:val="20"/>
      <w:szCs w:val="20"/>
      <w:lang w:val="sq-AL"/>
    </w:rPr>
  </w:style>
  <w:style w:type="paragraph" w:styleId="Revision">
    <w:name w:val="Revision"/>
    <w:hidden/>
    <w:uiPriority w:val="99"/>
    <w:semiHidden/>
    <w:rsid w:val="0067079A"/>
    <w:pPr>
      <w:widowControl/>
      <w:autoSpaceDE/>
      <w:autoSpaceDN/>
    </w:pPr>
    <w:rPr>
      <w:rFonts w:ascii="Times New Roman" w:eastAsia="Times New Roman" w:hAnsi="Times New Roman" w:cs="Times New Roman"/>
      <w:lang w:val="sq-AL"/>
    </w:rPr>
  </w:style>
  <w:style w:type="paragraph" w:customStyle="1" w:styleId="font-claude-response-body">
    <w:name w:val="font-claude-response-body"/>
    <w:basedOn w:val="Normal"/>
    <w:rsid w:val="00663D55"/>
    <w:pPr>
      <w:widowControl/>
      <w:autoSpaceDE/>
      <w:autoSpaceDN/>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0F188F-A567-4E77-B1A1-CC9A7C5135BD}">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172</TotalTime>
  <Pages>1</Pages>
  <Words>5497</Words>
  <Characters>31334</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Relacioni Varianti Dakordesuar</vt:lpstr>
    </vt:vector>
  </TitlesOfParts>
  <Company/>
  <LinksUpToDate>false</LinksUpToDate>
  <CharactersWithSpaces>36758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Relacioni Varianti Dakordesuar</dc:title>
  <dc:creator>vsemi@bankofalbania.org</dc:creator>
  <cp:lastModifiedBy>Marinela Nikolla</cp:lastModifiedBy>
  <cp:revision>27</cp:revision>
  <cp:lastPrinted>2025-10-08T10:07:00Z</cp:lastPrinted>
  <dcterms:created xsi:type="dcterms:W3CDTF">2026-06-24T10:57:00Z</dcterms:created>
  <dcterms:modified xsi:type="dcterms:W3CDTF">2026-10-19T10:00:00Z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2021-09-28T00:00:00Z</vt:filetime>
  </property>
  <property fmtid="{D5CDD505-2E9C-101B-9397-08002B2CF9AE}" pid="3" name="Creator">
    <vt:lpwstr>Microsoft® Word 2016</vt:lpwstr>
  </property>
  <property fmtid="{D5CDD505-2E9C-101B-9397-08002B2CF9AE}" pid="4" name="LastSaved">
    <vt:filetime>2025-05-22T00:00:00Z</vt:filetime>
  </property>
  <property fmtid="{D5CDD505-2E9C-101B-9397-08002B2CF9AE}" pid="5" name="Producer">
    <vt:lpwstr>Microsoft® Word 2016</vt:lpwstr>
  </property>
</Properties>
</file>