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EA475" w14:textId="77777777" w:rsidR="005A5037" w:rsidRDefault="005A5037" w:rsidP="00373342">
      <w:pPr>
        <w:pStyle w:val="BodyText"/>
        <w:spacing w:line="276" w:lineRule="auto"/>
        <w:ind w:left="0" w:firstLine="0"/>
        <w:jc w:val="center"/>
        <w:rPr>
          <w:rFonts w:ascii="Times New Roman" w:hAnsi="Times New Roman" w:cs="Times New Roman"/>
          <w:b/>
          <w:bCs/>
          <w:sz w:val="20"/>
          <w:szCs w:val="20"/>
          <w:lang w:val="en-US"/>
        </w:rPr>
      </w:pPr>
    </w:p>
    <w:p w14:paraId="7803C349" w14:textId="5F96D9CE" w:rsidR="00922FEB" w:rsidRPr="00373342" w:rsidRDefault="00B148E8" w:rsidP="00373342">
      <w:pPr>
        <w:pStyle w:val="BodyText"/>
        <w:spacing w:line="276" w:lineRule="auto"/>
        <w:ind w:left="0" w:firstLine="0"/>
        <w:jc w:val="center"/>
        <w:rPr>
          <w:rFonts w:ascii="Times New Roman" w:hAnsi="Times New Roman" w:cs="Times New Roman"/>
          <w:b/>
          <w:bCs/>
          <w:sz w:val="20"/>
          <w:szCs w:val="20"/>
          <w:lang w:val="en-US"/>
        </w:rPr>
      </w:pPr>
      <w:r w:rsidRPr="00373342">
        <w:rPr>
          <w:rFonts w:ascii="Times New Roman" w:hAnsi="Times New Roman" w:cs="Times New Roman"/>
          <w:b/>
          <w:bCs/>
          <w:sz w:val="20"/>
          <w:szCs w:val="20"/>
          <w:lang w:val="en-US"/>
        </w:rPr>
        <w:t>TABELA E PËRPUTHSHMËRISË</w:t>
      </w:r>
    </w:p>
    <w:p w14:paraId="4367D103" w14:textId="77777777" w:rsidR="007732FC" w:rsidRPr="00373342" w:rsidRDefault="007732FC" w:rsidP="00373342">
      <w:pPr>
        <w:pStyle w:val="BodyText"/>
        <w:spacing w:line="276" w:lineRule="auto"/>
        <w:ind w:left="0" w:firstLine="0"/>
        <w:jc w:val="center"/>
        <w:rPr>
          <w:rFonts w:ascii="Times New Roman" w:hAnsi="Times New Roman" w:cs="Times New Roman"/>
          <w:b/>
          <w:bCs/>
          <w:sz w:val="20"/>
          <w:szCs w:val="20"/>
          <w:lang w:val="en-US"/>
        </w:rPr>
      </w:pPr>
    </w:p>
    <w:p w14:paraId="00CA45EC" w14:textId="77777777" w:rsidR="007732FC" w:rsidRPr="00373342" w:rsidRDefault="007732FC" w:rsidP="00373342">
      <w:pPr>
        <w:pStyle w:val="BodyText"/>
        <w:spacing w:line="276" w:lineRule="auto"/>
        <w:ind w:left="0" w:firstLine="0"/>
        <w:jc w:val="center"/>
        <w:rPr>
          <w:rFonts w:ascii="Times New Roman" w:hAnsi="Times New Roman" w:cs="Times New Roman"/>
          <w:b/>
          <w:bCs/>
          <w:sz w:val="20"/>
          <w:szCs w:val="20"/>
          <w:lang w:val="en-US"/>
        </w:rPr>
      </w:pPr>
    </w:p>
    <w:p w14:paraId="6AE91C70" w14:textId="77777777" w:rsidR="007732FC" w:rsidRPr="00373342" w:rsidRDefault="007732FC" w:rsidP="00373342">
      <w:pPr>
        <w:pStyle w:val="BodyText"/>
        <w:spacing w:line="276" w:lineRule="auto"/>
        <w:ind w:left="0" w:firstLine="0"/>
        <w:jc w:val="center"/>
        <w:rPr>
          <w:rFonts w:ascii="Times New Roman" w:hAnsi="Times New Roman" w:cs="Times New Roman"/>
          <w:b/>
          <w:bCs/>
          <w:sz w:val="20"/>
          <w:szCs w:val="20"/>
          <w:lang w:val="en-US"/>
        </w:rPr>
      </w:pPr>
    </w:p>
    <w:p w14:paraId="0BF4ED40" w14:textId="77777777" w:rsidR="007732FC" w:rsidRPr="00373342" w:rsidRDefault="007732FC" w:rsidP="00373342">
      <w:pPr>
        <w:pStyle w:val="BodyText"/>
        <w:spacing w:line="276" w:lineRule="auto"/>
        <w:ind w:left="0" w:firstLine="0"/>
        <w:jc w:val="center"/>
        <w:rPr>
          <w:rFonts w:ascii="Times New Roman" w:hAnsi="Times New Roman" w:cs="Times New Roman"/>
          <w:b/>
          <w:bCs/>
          <w:sz w:val="20"/>
          <w:szCs w:val="20"/>
          <w:lang w:val="en-US"/>
        </w:rPr>
      </w:pPr>
    </w:p>
    <w:p w14:paraId="4E3E794E" w14:textId="77777777" w:rsidR="00922FEB" w:rsidRPr="00373342" w:rsidRDefault="00922FEB" w:rsidP="00373342">
      <w:pPr>
        <w:spacing w:after="0" w:line="276" w:lineRule="auto"/>
        <w:rPr>
          <w:rFonts w:ascii="Times New Roman" w:eastAsia="Times New Roman" w:hAnsi="Times New Roman" w:cs="Times New Roman"/>
          <w:kern w:val="0"/>
          <w:sz w:val="20"/>
          <w:szCs w:val="20"/>
          <w14:ligatures w14:val="none"/>
        </w:rPr>
      </w:pPr>
    </w:p>
    <w:tbl>
      <w:tblPr>
        <w:tblStyle w:val="TableGrid"/>
        <w:tblW w:w="16110" w:type="dxa"/>
        <w:tblInd w:w="-1085" w:type="dxa"/>
        <w:tblLayout w:type="fixed"/>
        <w:tblLook w:val="04A0" w:firstRow="1" w:lastRow="0" w:firstColumn="1" w:lastColumn="0" w:noHBand="0" w:noVBand="1"/>
      </w:tblPr>
      <w:tblGrid>
        <w:gridCol w:w="1440"/>
        <w:gridCol w:w="3960"/>
        <w:gridCol w:w="1170"/>
        <w:gridCol w:w="1260"/>
        <w:gridCol w:w="3870"/>
        <w:gridCol w:w="1620"/>
        <w:gridCol w:w="2790"/>
      </w:tblGrid>
      <w:tr w:rsidR="004800E6" w:rsidRPr="00373342" w14:paraId="1FF0BD23" w14:textId="77777777" w:rsidTr="00373342">
        <w:trPr>
          <w:trHeight w:val="5093"/>
          <w:tblHeader/>
        </w:trPr>
        <w:tc>
          <w:tcPr>
            <w:tcW w:w="5400" w:type="dxa"/>
            <w:gridSpan w:val="2"/>
          </w:tcPr>
          <w:p w14:paraId="113750A2" w14:textId="77777777" w:rsidR="006B4A44" w:rsidRPr="00373342" w:rsidRDefault="006B4A44" w:rsidP="00373342">
            <w:pPr>
              <w:pStyle w:val="ListParagraph"/>
              <w:spacing w:after="0"/>
              <w:jc w:val="both"/>
              <w:rPr>
                <w:rFonts w:ascii="Times New Roman" w:eastAsia="Calibri" w:hAnsi="Times New Roman" w:cs="Times New Roman"/>
                <w:b/>
                <w:sz w:val="20"/>
                <w:szCs w:val="20"/>
                <w:lang w:val="en-US"/>
              </w:rPr>
            </w:pPr>
          </w:p>
          <w:p w14:paraId="735A460C" w14:textId="693E2C53" w:rsidR="006B4A44" w:rsidRPr="00373342" w:rsidRDefault="00B34E9A" w:rsidP="00373342">
            <w:pPr>
              <w:tabs>
                <w:tab w:val="left" w:pos="5383"/>
              </w:tabs>
              <w:spacing w:line="276" w:lineRule="auto"/>
              <w:jc w:val="both"/>
              <w:rPr>
                <w:rFonts w:ascii="Times New Roman" w:eastAsia="Calibri" w:hAnsi="Times New Roman" w:cs="Times New Roman"/>
                <w:b/>
                <w:sz w:val="20"/>
                <w:szCs w:val="20"/>
                <w:lang w:val="en-US"/>
              </w:rPr>
            </w:pPr>
            <w:r w:rsidRPr="00373342">
              <w:rPr>
                <w:rFonts w:ascii="Times New Roman" w:eastAsia="Calibri" w:hAnsi="Times New Roman" w:cs="Times New Roman"/>
                <w:b/>
                <w:sz w:val="20"/>
                <w:szCs w:val="20"/>
                <w:lang w:val="en-US"/>
              </w:rPr>
              <w:t>Legjislacioni i Bashkimit Evropian:</w:t>
            </w:r>
          </w:p>
          <w:p w14:paraId="055FB34E" w14:textId="77777777" w:rsidR="006B4A44" w:rsidRPr="00373342" w:rsidRDefault="006B4A44" w:rsidP="00373342">
            <w:pPr>
              <w:pStyle w:val="ListParagraph"/>
              <w:spacing w:after="0"/>
              <w:jc w:val="both"/>
              <w:rPr>
                <w:rFonts w:ascii="Times New Roman" w:eastAsia="Calibri" w:hAnsi="Times New Roman" w:cs="Times New Roman"/>
                <w:b/>
                <w:sz w:val="20"/>
                <w:szCs w:val="20"/>
                <w:lang w:val="en-US"/>
              </w:rPr>
            </w:pPr>
          </w:p>
          <w:p w14:paraId="5495D9D2" w14:textId="358FAAFB" w:rsidR="009D0B38" w:rsidRPr="00373342" w:rsidRDefault="00B34E9A" w:rsidP="00373342">
            <w:pPr>
              <w:pStyle w:val="ListParagraph"/>
              <w:numPr>
                <w:ilvl w:val="0"/>
                <w:numId w:val="38"/>
              </w:numPr>
              <w:spacing w:after="0"/>
              <w:ind w:left="343"/>
              <w:jc w:val="both"/>
              <w:rPr>
                <w:rFonts w:ascii="Times New Roman" w:eastAsia="Calibri" w:hAnsi="Times New Roman" w:cs="Times New Roman"/>
                <w:b/>
                <w:sz w:val="20"/>
                <w:szCs w:val="20"/>
                <w:lang w:val="en-US"/>
              </w:rPr>
            </w:pPr>
            <w:r w:rsidRPr="00373342">
              <w:rPr>
                <w:rFonts w:ascii="Times New Roman" w:eastAsia="Calibri" w:hAnsi="Times New Roman" w:cs="Times New Roman"/>
                <w:b/>
                <w:sz w:val="20"/>
                <w:szCs w:val="20"/>
                <w:lang w:val="en-US"/>
              </w:rPr>
              <w:t>Direktiva (BE) 2016/881 e Këshillit të Bashkimit Evropian, e datës 25 maj 2016 (DAC 4), që ndryshon Direktivën 2011/16/BE (DAC) për sa i përket shkëmbimit automatik të detyrueshëm të informacionit në fushën e tatimeve</w:t>
            </w:r>
          </w:p>
        </w:tc>
        <w:tc>
          <w:tcPr>
            <w:tcW w:w="10710" w:type="dxa"/>
            <w:gridSpan w:val="5"/>
            <w:vAlign w:val="center"/>
          </w:tcPr>
          <w:p w14:paraId="2EDFAB1B" w14:textId="77777777" w:rsidR="006B4A44" w:rsidRPr="00373342" w:rsidRDefault="006B4A44" w:rsidP="00373342">
            <w:pPr>
              <w:spacing w:line="276" w:lineRule="auto"/>
              <w:jc w:val="both"/>
              <w:rPr>
                <w:rFonts w:ascii="Times New Roman" w:eastAsia="Calibri" w:hAnsi="Times New Roman" w:cs="Times New Roman"/>
                <w:b/>
                <w:sz w:val="20"/>
                <w:szCs w:val="20"/>
                <w:lang w:val="en-US"/>
              </w:rPr>
            </w:pPr>
          </w:p>
          <w:p w14:paraId="51BD7389" w14:textId="58682852" w:rsidR="006B4A44" w:rsidRPr="00373342" w:rsidRDefault="00FC0DD2" w:rsidP="00373342">
            <w:pPr>
              <w:spacing w:line="276" w:lineRule="auto"/>
              <w:jc w:val="both"/>
              <w:rPr>
                <w:rFonts w:ascii="Times New Roman" w:eastAsia="Calibri" w:hAnsi="Times New Roman" w:cs="Times New Roman"/>
                <w:b/>
                <w:sz w:val="20"/>
                <w:szCs w:val="20"/>
                <w:lang w:val="en-US"/>
              </w:rPr>
            </w:pPr>
            <w:r w:rsidRPr="00373342">
              <w:rPr>
                <w:rFonts w:ascii="Times New Roman" w:eastAsia="Calibri" w:hAnsi="Times New Roman" w:cs="Times New Roman"/>
                <w:b/>
                <w:sz w:val="20"/>
                <w:szCs w:val="20"/>
                <w:lang w:val="en-US"/>
              </w:rPr>
              <w:t>Legjislacioni shqiptar:</w:t>
            </w:r>
          </w:p>
          <w:p w14:paraId="68F349EE" w14:textId="77777777" w:rsidR="006B4A44" w:rsidRPr="00373342" w:rsidRDefault="006B4A44" w:rsidP="00373342">
            <w:pPr>
              <w:spacing w:line="276" w:lineRule="auto"/>
              <w:jc w:val="both"/>
              <w:rPr>
                <w:rFonts w:ascii="Times New Roman" w:eastAsia="Calibri" w:hAnsi="Times New Roman" w:cs="Times New Roman"/>
                <w:b/>
                <w:sz w:val="20"/>
                <w:szCs w:val="20"/>
                <w:lang w:val="en-US"/>
              </w:rPr>
            </w:pPr>
          </w:p>
          <w:p w14:paraId="19AA1762" w14:textId="77777777" w:rsidR="006B4A44" w:rsidRPr="00373342" w:rsidRDefault="00FC0DD2" w:rsidP="00373342">
            <w:pPr>
              <w:pStyle w:val="ListParagraph"/>
              <w:numPr>
                <w:ilvl w:val="0"/>
                <w:numId w:val="37"/>
              </w:numPr>
              <w:spacing w:after="0"/>
              <w:ind w:left="343"/>
              <w:jc w:val="both"/>
              <w:rPr>
                <w:rFonts w:ascii="Times New Roman" w:eastAsia="Calibri" w:hAnsi="Times New Roman" w:cs="Times New Roman"/>
                <w:b/>
                <w:sz w:val="20"/>
                <w:szCs w:val="20"/>
              </w:rPr>
            </w:pPr>
            <w:r w:rsidRPr="00373342">
              <w:rPr>
                <w:rFonts w:ascii="Times New Roman" w:eastAsia="Calibri" w:hAnsi="Times New Roman" w:cs="Times New Roman"/>
                <w:b/>
                <w:sz w:val="20"/>
                <w:szCs w:val="20"/>
              </w:rPr>
              <w:t>Ligji nr. 9920, datë 19.5.2008, “Për procedurat tatimore në Republikën e Shqipërisë”, i ndryshuar, i konsoliduar me projektligjin “Për disa shtesa dhe ndryshime në ligjin nr. 9920, datë 19.5.2008, ‘Për procedurat tatimore në Republikën e Shqipërisë’, të ndryshuar”</w:t>
            </w:r>
          </w:p>
          <w:p w14:paraId="5D22FBE8" w14:textId="77777777" w:rsidR="006B4A44" w:rsidRPr="00373342" w:rsidRDefault="006B4A44" w:rsidP="00373342">
            <w:pPr>
              <w:pStyle w:val="ListParagraph"/>
              <w:spacing w:after="0"/>
              <w:ind w:left="343"/>
              <w:jc w:val="both"/>
              <w:rPr>
                <w:rFonts w:ascii="Times New Roman" w:eastAsia="Calibri" w:hAnsi="Times New Roman" w:cs="Times New Roman"/>
                <w:b/>
                <w:sz w:val="20"/>
                <w:szCs w:val="20"/>
              </w:rPr>
            </w:pPr>
          </w:p>
          <w:p w14:paraId="75459ECF" w14:textId="77777777" w:rsidR="006B4A44" w:rsidRPr="00373342" w:rsidRDefault="00FC0DD2" w:rsidP="00373342">
            <w:pPr>
              <w:pStyle w:val="ListParagraph"/>
              <w:numPr>
                <w:ilvl w:val="0"/>
                <w:numId w:val="37"/>
              </w:numPr>
              <w:spacing w:after="0"/>
              <w:ind w:left="343"/>
              <w:jc w:val="both"/>
              <w:rPr>
                <w:rFonts w:ascii="Times New Roman" w:eastAsia="Calibri" w:hAnsi="Times New Roman" w:cs="Times New Roman"/>
                <w:b/>
                <w:sz w:val="20"/>
                <w:szCs w:val="20"/>
              </w:rPr>
            </w:pPr>
            <w:r w:rsidRPr="00373342">
              <w:rPr>
                <w:rFonts w:ascii="Times New Roman" w:eastAsia="Calibri" w:hAnsi="Times New Roman" w:cs="Times New Roman"/>
                <w:b/>
                <w:sz w:val="20"/>
                <w:szCs w:val="20"/>
              </w:rPr>
              <w:t>Vendimi i Këshillit të Ministrave të Republikës së Shqipërisë nr. 513, datë 1.8.2024, “Për përcaktimin e procedurave dhe të informacionit të detajuar</w:t>
            </w:r>
            <w:r w:rsidR="006B4A44" w:rsidRPr="00373342">
              <w:rPr>
                <w:rFonts w:ascii="Times New Roman" w:eastAsia="Calibri" w:hAnsi="Times New Roman" w:cs="Times New Roman"/>
                <w:b/>
                <w:sz w:val="20"/>
                <w:szCs w:val="20"/>
              </w:rPr>
              <w:t xml:space="preserve">, </w:t>
            </w:r>
            <w:r w:rsidRPr="00373342">
              <w:rPr>
                <w:rFonts w:ascii="Times New Roman" w:eastAsia="Calibri" w:hAnsi="Times New Roman" w:cs="Times New Roman"/>
                <w:b/>
                <w:sz w:val="20"/>
                <w:szCs w:val="20"/>
              </w:rPr>
              <w:t>që përmban raporti për çdo vend</w:t>
            </w:r>
            <w:r w:rsidR="006B4A44" w:rsidRPr="00373342">
              <w:rPr>
                <w:rFonts w:ascii="Times New Roman" w:eastAsia="Calibri" w:hAnsi="Times New Roman" w:cs="Times New Roman"/>
                <w:b/>
                <w:sz w:val="20"/>
                <w:szCs w:val="20"/>
              </w:rPr>
              <w:t xml:space="preserve"> </w:t>
            </w:r>
            <w:r w:rsidRPr="00373342">
              <w:rPr>
                <w:rFonts w:ascii="Times New Roman" w:eastAsia="Calibri" w:hAnsi="Times New Roman" w:cs="Times New Roman"/>
                <w:b/>
                <w:sz w:val="20"/>
                <w:szCs w:val="20"/>
              </w:rPr>
              <w:t>në lidhje me grupet e shoqërive shumëkombëshe”</w:t>
            </w:r>
            <w:r w:rsidRPr="00373342">
              <w:rPr>
                <w:rFonts w:ascii="Times New Roman" w:eastAsia="Calibri" w:hAnsi="Times New Roman" w:cs="Times New Roman"/>
                <w:b/>
                <w:sz w:val="20"/>
                <w:szCs w:val="20"/>
              </w:rPr>
              <w:br/>
            </w:r>
            <w:r w:rsidRPr="00373342">
              <w:rPr>
                <w:rFonts w:ascii="Times New Roman" w:eastAsia="Calibri" w:hAnsi="Times New Roman" w:cs="Times New Roman"/>
                <w:b/>
                <w:sz w:val="20"/>
                <w:szCs w:val="20"/>
              </w:rPr>
              <w:br/>
            </w:r>
          </w:p>
          <w:p w14:paraId="457E1119" w14:textId="77777777" w:rsidR="006B4A44" w:rsidRPr="00373342" w:rsidRDefault="006B4A44" w:rsidP="00373342">
            <w:pPr>
              <w:pStyle w:val="ListParagraph"/>
              <w:spacing w:after="0"/>
              <w:ind w:left="343"/>
              <w:jc w:val="both"/>
              <w:rPr>
                <w:rFonts w:ascii="Times New Roman" w:eastAsia="Calibri" w:hAnsi="Times New Roman" w:cs="Times New Roman"/>
                <w:b/>
                <w:sz w:val="20"/>
                <w:szCs w:val="20"/>
              </w:rPr>
            </w:pPr>
          </w:p>
          <w:p w14:paraId="67612EE7" w14:textId="2226CC73" w:rsidR="006B4A44" w:rsidRPr="00373342" w:rsidRDefault="00FC0DD2" w:rsidP="00373342">
            <w:pPr>
              <w:pStyle w:val="ListParagraph"/>
              <w:spacing w:after="0"/>
              <w:ind w:left="343"/>
              <w:jc w:val="both"/>
              <w:rPr>
                <w:rFonts w:ascii="Times New Roman" w:eastAsia="Calibri" w:hAnsi="Times New Roman" w:cs="Times New Roman"/>
                <w:b/>
                <w:sz w:val="20"/>
                <w:szCs w:val="20"/>
              </w:rPr>
            </w:pPr>
            <w:r w:rsidRPr="00373342">
              <w:rPr>
                <w:rFonts w:ascii="Times New Roman" w:eastAsia="Calibri" w:hAnsi="Times New Roman" w:cs="Times New Roman"/>
                <w:b/>
                <w:sz w:val="20"/>
                <w:szCs w:val="20"/>
              </w:rPr>
              <w:t>Shkalla e përgjithshme e përafrimit me legjislacionin kombëtar:</w:t>
            </w:r>
          </w:p>
          <w:p w14:paraId="13D22542" w14:textId="428B6FE4" w:rsidR="00FC0DD2" w:rsidRPr="00373342" w:rsidRDefault="00FC0DD2" w:rsidP="00373342">
            <w:pPr>
              <w:pStyle w:val="ListParagraph"/>
              <w:spacing w:after="0"/>
              <w:ind w:left="343"/>
              <w:jc w:val="both"/>
              <w:rPr>
                <w:rFonts w:ascii="Times New Roman" w:eastAsia="Calibri" w:hAnsi="Times New Roman" w:cs="Times New Roman"/>
                <w:b/>
                <w:sz w:val="20"/>
                <w:szCs w:val="20"/>
              </w:rPr>
            </w:pPr>
            <w:r w:rsidRPr="00373342">
              <w:rPr>
                <w:rFonts w:ascii="Times New Roman" w:eastAsia="Calibri" w:hAnsi="Times New Roman" w:cs="Times New Roman"/>
                <w:b/>
                <w:sz w:val="20"/>
                <w:szCs w:val="20"/>
              </w:rPr>
              <w:br/>
            </w:r>
            <w:r w:rsidR="006B4A44" w:rsidRPr="00373342">
              <w:rPr>
                <w:rFonts w:ascii="Times New Roman" w:eastAsia="Calibri" w:hAnsi="Times New Roman" w:cs="Times New Roman"/>
                <w:b/>
                <w:sz w:val="20"/>
                <w:szCs w:val="20"/>
              </w:rPr>
              <w:t>P</w:t>
            </w:r>
            <w:r w:rsidRPr="00373342">
              <w:rPr>
                <w:rFonts w:ascii="Times New Roman" w:eastAsia="Calibri" w:hAnsi="Times New Roman" w:cs="Times New Roman"/>
                <w:b/>
                <w:sz w:val="20"/>
                <w:szCs w:val="20"/>
              </w:rPr>
              <w:t>ërputhshmëri e plotë</w:t>
            </w:r>
          </w:p>
          <w:p w14:paraId="7FEC11E4" w14:textId="77777777" w:rsidR="00922FEB" w:rsidRPr="00373342" w:rsidRDefault="00922FEB" w:rsidP="00373342">
            <w:pPr>
              <w:spacing w:line="276" w:lineRule="auto"/>
              <w:jc w:val="both"/>
              <w:rPr>
                <w:rFonts w:ascii="Times New Roman" w:eastAsia="Calibri" w:hAnsi="Times New Roman" w:cs="Times New Roman"/>
                <w:b/>
                <w:sz w:val="20"/>
                <w:szCs w:val="20"/>
                <w:lang w:val="en-US"/>
              </w:rPr>
            </w:pPr>
          </w:p>
          <w:p w14:paraId="3D10D894" w14:textId="77777777" w:rsidR="00DB11D8" w:rsidRPr="00373342" w:rsidRDefault="00DB11D8" w:rsidP="00373342">
            <w:pPr>
              <w:spacing w:line="276" w:lineRule="auto"/>
              <w:jc w:val="both"/>
              <w:rPr>
                <w:rFonts w:ascii="Times New Roman" w:eastAsia="Calibri" w:hAnsi="Times New Roman" w:cs="Times New Roman"/>
                <w:b/>
                <w:sz w:val="20"/>
                <w:szCs w:val="20"/>
                <w:lang w:val="en-US"/>
              </w:rPr>
            </w:pPr>
          </w:p>
          <w:p w14:paraId="02ADEFC7" w14:textId="356D4C32" w:rsidR="00922FEB" w:rsidRPr="00373342" w:rsidRDefault="00922FEB" w:rsidP="00373342">
            <w:pPr>
              <w:spacing w:line="276" w:lineRule="auto"/>
              <w:jc w:val="both"/>
              <w:rPr>
                <w:rFonts w:ascii="Times New Roman" w:eastAsia="Calibri" w:hAnsi="Times New Roman" w:cs="Times New Roman"/>
                <w:b/>
                <w:sz w:val="20"/>
                <w:szCs w:val="20"/>
                <w:lang w:val="en-US"/>
              </w:rPr>
            </w:pPr>
          </w:p>
          <w:p w14:paraId="65D46342" w14:textId="77777777" w:rsidR="00922FEB" w:rsidRPr="00373342" w:rsidRDefault="00922FEB" w:rsidP="00373342">
            <w:pPr>
              <w:spacing w:line="276" w:lineRule="auto"/>
              <w:jc w:val="both"/>
              <w:rPr>
                <w:rFonts w:ascii="Times New Roman" w:eastAsia="Calibri" w:hAnsi="Times New Roman" w:cs="Times New Roman"/>
                <w:b/>
                <w:sz w:val="20"/>
                <w:szCs w:val="20"/>
                <w:lang w:val="en-US"/>
              </w:rPr>
            </w:pPr>
          </w:p>
        </w:tc>
      </w:tr>
      <w:tr w:rsidR="004800E6" w:rsidRPr="00373342" w14:paraId="0850A4D3" w14:textId="77777777" w:rsidTr="00373342">
        <w:trPr>
          <w:tblHeader/>
        </w:trPr>
        <w:tc>
          <w:tcPr>
            <w:tcW w:w="1440" w:type="dxa"/>
            <w:shd w:val="clear" w:color="auto" w:fill="D0CECE" w:themeFill="background2" w:themeFillShade="E6"/>
          </w:tcPr>
          <w:p w14:paraId="7194B03E" w14:textId="77777777" w:rsidR="004F619A" w:rsidRPr="00373342" w:rsidRDefault="004F619A" w:rsidP="00373342">
            <w:pPr>
              <w:spacing w:line="276" w:lineRule="auto"/>
              <w:jc w:val="center"/>
              <w:rPr>
                <w:rFonts w:ascii="Times New Roman" w:eastAsia="Times New Roman" w:hAnsi="Times New Roman" w:cs="Times New Roman"/>
                <w:sz w:val="20"/>
                <w:szCs w:val="20"/>
              </w:rPr>
            </w:pPr>
            <w:r w:rsidRPr="00373342">
              <w:rPr>
                <w:rFonts w:ascii="Times New Roman" w:hAnsi="Times New Roman" w:cs="Times New Roman"/>
                <w:b/>
                <w:bCs/>
                <w:sz w:val="20"/>
                <w:szCs w:val="20"/>
              </w:rPr>
              <w:t>1</w:t>
            </w:r>
          </w:p>
        </w:tc>
        <w:tc>
          <w:tcPr>
            <w:tcW w:w="3960" w:type="dxa"/>
            <w:shd w:val="clear" w:color="auto" w:fill="D0CECE" w:themeFill="background2" w:themeFillShade="E6"/>
          </w:tcPr>
          <w:p w14:paraId="703A3421" w14:textId="77777777" w:rsidR="004F619A" w:rsidRPr="00373342" w:rsidRDefault="004F619A" w:rsidP="00373342">
            <w:pPr>
              <w:spacing w:line="276" w:lineRule="auto"/>
              <w:jc w:val="center"/>
              <w:rPr>
                <w:rFonts w:ascii="Times New Roman" w:eastAsia="Times New Roman" w:hAnsi="Times New Roman" w:cs="Times New Roman"/>
                <w:b/>
                <w:i/>
                <w:sz w:val="20"/>
                <w:szCs w:val="20"/>
              </w:rPr>
            </w:pPr>
            <w:r w:rsidRPr="00373342">
              <w:rPr>
                <w:rFonts w:ascii="Times New Roman" w:hAnsi="Times New Roman" w:cs="Times New Roman"/>
                <w:b/>
                <w:bCs/>
                <w:sz w:val="20"/>
                <w:szCs w:val="20"/>
              </w:rPr>
              <w:t>2</w:t>
            </w:r>
          </w:p>
        </w:tc>
        <w:tc>
          <w:tcPr>
            <w:tcW w:w="1170" w:type="dxa"/>
            <w:shd w:val="clear" w:color="auto" w:fill="D0CECE" w:themeFill="background2" w:themeFillShade="E6"/>
          </w:tcPr>
          <w:p w14:paraId="03EECEB4" w14:textId="77777777" w:rsidR="004F619A" w:rsidRPr="00373342" w:rsidRDefault="004F619A" w:rsidP="00373342">
            <w:pPr>
              <w:spacing w:line="276" w:lineRule="auto"/>
              <w:jc w:val="center"/>
              <w:rPr>
                <w:rFonts w:ascii="Times New Roman" w:eastAsia="Times New Roman" w:hAnsi="Times New Roman" w:cs="Times New Roman"/>
                <w:b/>
                <w:i/>
                <w:sz w:val="20"/>
                <w:szCs w:val="20"/>
              </w:rPr>
            </w:pPr>
            <w:r w:rsidRPr="00373342">
              <w:rPr>
                <w:rFonts w:ascii="Times New Roman" w:hAnsi="Times New Roman" w:cs="Times New Roman"/>
                <w:b/>
                <w:bCs/>
                <w:sz w:val="20"/>
                <w:szCs w:val="20"/>
              </w:rPr>
              <w:t>3</w:t>
            </w:r>
          </w:p>
        </w:tc>
        <w:tc>
          <w:tcPr>
            <w:tcW w:w="1260" w:type="dxa"/>
            <w:shd w:val="clear" w:color="auto" w:fill="D0CECE" w:themeFill="background2" w:themeFillShade="E6"/>
          </w:tcPr>
          <w:p w14:paraId="7B7C747A" w14:textId="77777777" w:rsidR="004F619A" w:rsidRPr="00373342" w:rsidRDefault="004F619A" w:rsidP="00373342">
            <w:pPr>
              <w:spacing w:line="276" w:lineRule="auto"/>
              <w:jc w:val="center"/>
              <w:rPr>
                <w:rFonts w:ascii="Times New Roman" w:eastAsia="Times New Roman" w:hAnsi="Times New Roman" w:cs="Times New Roman"/>
                <w:b/>
                <w:i/>
                <w:sz w:val="20"/>
                <w:szCs w:val="20"/>
              </w:rPr>
            </w:pPr>
            <w:r w:rsidRPr="00373342">
              <w:rPr>
                <w:rFonts w:ascii="Times New Roman" w:hAnsi="Times New Roman" w:cs="Times New Roman"/>
                <w:b/>
                <w:bCs/>
                <w:sz w:val="20"/>
                <w:szCs w:val="20"/>
              </w:rPr>
              <w:t>4</w:t>
            </w:r>
          </w:p>
        </w:tc>
        <w:tc>
          <w:tcPr>
            <w:tcW w:w="3870" w:type="dxa"/>
            <w:shd w:val="clear" w:color="auto" w:fill="D0CECE" w:themeFill="background2" w:themeFillShade="E6"/>
          </w:tcPr>
          <w:p w14:paraId="708D6926" w14:textId="77777777" w:rsidR="004F619A" w:rsidRPr="00373342" w:rsidRDefault="004F619A" w:rsidP="00373342">
            <w:pPr>
              <w:spacing w:line="276" w:lineRule="auto"/>
              <w:jc w:val="center"/>
              <w:rPr>
                <w:rFonts w:ascii="Times New Roman" w:eastAsia="Times New Roman" w:hAnsi="Times New Roman" w:cs="Times New Roman"/>
                <w:b/>
                <w:i/>
                <w:sz w:val="20"/>
                <w:szCs w:val="20"/>
              </w:rPr>
            </w:pPr>
            <w:r w:rsidRPr="00373342">
              <w:rPr>
                <w:rFonts w:ascii="Times New Roman" w:hAnsi="Times New Roman" w:cs="Times New Roman"/>
                <w:b/>
                <w:bCs/>
                <w:sz w:val="20"/>
                <w:szCs w:val="20"/>
              </w:rPr>
              <w:t>5</w:t>
            </w:r>
          </w:p>
        </w:tc>
        <w:tc>
          <w:tcPr>
            <w:tcW w:w="1620" w:type="dxa"/>
            <w:shd w:val="clear" w:color="auto" w:fill="D0CECE" w:themeFill="background2" w:themeFillShade="E6"/>
          </w:tcPr>
          <w:p w14:paraId="7C07C851" w14:textId="77777777" w:rsidR="004F619A" w:rsidRPr="00373342" w:rsidRDefault="004F619A" w:rsidP="00373342">
            <w:pPr>
              <w:spacing w:line="276" w:lineRule="auto"/>
              <w:jc w:val="center"/>
              <w:rPr>
                <w:rFonts w:ascii="Times New Roman" w:eastAsia="Times New Roman" w:hAnsi="Times New Roman" w:cs="Times New Roman"/>
                <w:b/>
                <w:i/>
                <w:sz w:val="20"/>
                <w:szCs w:val="20"/>
              </w:rPr>
            </w:pPr>
            <w:r w:rsidRPr="00373342">
              <w:rPr>
                <w:rFonts w:ascii="Times New Roman" w:hAnsi="Times New Roman" w:cs="Times New Roman"/>
                <w:b/>
                <w:bCs/>
                <w:sz w:val="20"/>
                <w:szCs w:val="20"/>
              </w:rPr>
              <w:t>6</w:t>
            </w:r>
          </w:p>
        </w:tc>
        <w:tc>
          <w:tcPr>
            <w:tcW w:w="2790" w:type="dxa"/>
            <w:shd w:val="clear" w:color="auto" w:fill="D0CECE" w:themeFill="background2" w:themeFillShade="E6"/>
          </w:tcPr>
          <w:p w14:paraId="519CD2D2" w14:textId="77777777" w:rsidR="004F619A" w:rsidRPr="00373342" w:rsidRDefault="004F619A" w:rsidP="00373342">
            <w:pPr>
              <w:spacing w:line="276" w:lineRule="auto"/>
              <w:jc w:val="center"/>
              <w:rPr>
                <w:rFonts w:ascii="Times New Roman" w:eastAsia="Times New Roman" w:hAnsi="Times New Roman" w:cs="Times New Roman"/>
                <w:b/>
                <w:i/>
                <w:sz w:val="20"/>
                <w:szCs w:val="20"/>
              </w:rPr>
            </w:pPr>
            <w:r w:rsidRPr="00373342">
              <w:rPr>
                <w:rFonts w:ascii="Times New Roman" w:hAnsi="Times New Roman" w:cs="Times New Roman"/>
                <w:b/>
                <w:bCs/>
                <w:sz w:val="20"/>
                <w:szCs w:val="20"/>
              </w:rPr>
              <w:t>7</w:t>
            </w:r>
          </w:p>
        </w:tc>
      </w:tr>
      <w:tr w:rsidR="004800E6" w:rsidRPr="00373342" w14:paraId="7D09EDB9" w14:textId="77777777" w:rsidTr="00373342">
        <w:trPr>
          <w:tblHeader/>
        </w:trPr>
        <w:tc>
          <w:tcPr>
            <w:tcW w:w="1440" w:type="dxa"/>
            <w:shd w:val="clear" w:color="auto" w:fill="D0CECE" w:themeFill="background2" w:themeFillShade="E6"/>
            <w:vAlign w:val="center"/>
          </w:tcPr>
          <w:p w14:paraId="18CFE0A9" w14:textId="77777777" w:rsidR="004F619A" w:rsidRPr="00373342" w:rsidRDefault="004F619A" w:rsidP="00373342">
            <w:pPr>
              <w:spacing w:line="276" w:lineRule="auto"/>
              <w:jc w:val="center"/>
              <w:rPr>
                <w:rFonts w:ascii="Times New Roman" w:eastAsia="Times New Roman" w:hAnsi="Times New Roman" w:cs="Times New Roman"/>
                <w:b/>
                <w:bCs/>
                <w:sz w:val="20"/>
                <w:szCs w:val="20"/>
                <w:lang w:val="en-US"/>
              </w:rPr>
            </w:pPr>
            <w:r w:rsidRPr="00373342">
              <w:rPr>
                <w:rFonts w:ascii="Times New Roman" w:eastAsia="Times New Roman" w:hAnsi="Times New Roman" w:cs="Times New Roman"/>
                <w:b/>
                <w:bCs/>
                <w:sz w:val="20"/>
                <w:szCs w:val="20"/>
                <w:lang w:val="en-US"/>
              </w:rPr>
              <w:t>Neni</w:t>
            </w:r>
          </w:p>
        </w:tc>
        <w:tc>
          <w:tcPr>
            <w:tcW w:w="3960" w:type="dxa"/>
            <w:shd w:val="clear" w:color="auto" w:fill="D0CECE" w:themeFill="background2" w:themeFillShade="E6"/>
            <w:vAlign w:val="center"/>
          </w:tcPr>
          <w:p w14:paraId="79EA7B19" w14:textId="77777777" w:rsidR="004F619A" w:rsidRPr="00373342" w:rsidRDefault="004F619A" w:rsidP="00373342">
            <w:pPr>
              <w:spacing w:line="276" w:lineRule="auto"/>
              <w:jc w:val="center"/>
              <w:rPr>
                <w:rFonts w:ascii="Times New Roman" w:eastAsia="Times New Roman" w:hAnsi="Times New Roman" w:cs="Times New Roman"/>
                <w:b/>
                <w:bCs/>
                <w:sz w:val="20"/>
                <w:szCs w:val="20"/>
                <w:lang w:val="en-US"/>
              </w:rPr>
            </w:pPr>
            <w:r w:rsidRPr="00373342">
              <w:rPr>
                <w:rFonts w:ascii="Times New Roman" w:eastAsia="Times New Roman" w:hAnsi="Times New Roman" w:cs="Times New Roman"/>
                <w:b/>
                <w:bCs/>
                <w:sz w:val="20"/>
                <w:szCs w:val="20"/>
                <w:lang w:val="en-US"/>
              </w:rPr>
              <w:t>Teksti</w:t>
            </w:r>
          </w:p>
        </w:tc>
        <w:tc>
          <w:tcPr>
            <w:tcW w:w="1170" w:type="dxa"/>
            <w:shd w:val="clear" w:color="auto" w:fill="D0CECE" w:themeFill="background2" w:themeFillShade="E6"/>
            <w:vAlign w:val="center"/>
          </w:tcPr>
          <w:p w14:paraId="338167C4" w14:textId="77777777" w:rsidR="004F619A" w:rsidRPr="00373342" w:rsidRDefault="004F619A" w:rsidP="00373342">
            <w:pPr>
              <w:spacing w:line="276" w:lineRule="auto"/>
              <w:jc w:val="center"/>
              <w:rPr>
                <w:rFonts w:ascii="Times New Roman" w:eastAsia="Times New Roman" w:hAnsi="Times New Roman" w:cs="Times New Roman"/>
                <w:b/>
                <w:bCs/>
                <w:sz w:val="20"/>
                <w:szCs w:val="20"/>
                <w:lang w:val="en-US"/>
              </w:rPr>
            </w:pPr>
            <w:r w:rsidRPr="00373342">
              <w:rPr>
                <w:rFonts w:ascii="Times New Roman" w:eastAsia="Times New Roman" w:hAnsi="Times New Roman" w:cs="Times New Roman"/>
                <w:b/>
                <w:bCs/>
                <w:sz w:val="20"/>
                <w:szCs w:val="20"/>
                <w:lang w:val="en-US"/>
              </w:rPr>
              <w:t>Referenca</w:t>
            </w:r>
          </w:p>
        </w:tc>
        <w:tc>
          <w:tcPr>
            <w:tcW w:w="1260" w:type="dxa"/>
            <w:shd w:val="clear" w:color="auto" w:fill="D0CECE" w:themeFill="background2" w:themeFillShade="E6"/>
            <w:vAlign w:val="center"/>
          </w:tcPr>
          <w:p w14:paraId="0676A372" w14:textId="77777777" w:rsidR="004F619A" w:rsidRPr="00373342" w:rsidRDefault="004F619A" w:rsidP="00373342">
            <w:pPr>
              <w:spacing w:line="276" w:lineRule="auto"/>
              <w:jc w:val="center"/>
              <w:rPr>
                <w:rFonts w:ascii="Times New Roman" w:eastAsia="Times New Roman" w:hAnsi="Times New Roman" w:cs="Times New Roman"/>
                <w:b/>
                <w:bCs/>
                <w:sz w:val="20"/>
                <w:szCs w:val="20"/>
                <w:lang w:val="en-US"/>
              </w:rPr>
            </w:pPr>
            <w:r w:rsidRPr="00373342">
              <w:rPr>
                <w:rFonts w:ascii="Times New Roman" w:eastAsia="Times New Roman" w:hAnsi="Times New Roman" w:cs="Times New Roman"/>
                <w:b/>
                <w:bCs/>
                <w:sz w:val="20"/>
                <w:szCs w:val="20"/>
                <w:lang w:val="en-US"/>
              </w:rPr>
              <w:t>Neni</w:t>
            </w:r>
          </w:p>
        </w:tc>
        <w:tc>
          <w:tcPr>
            <w:tcW w:w="3870" w:type="dxa"/>
            <w:shd w:val="clear" w:color="auto" w:fill="D0CECE" w:themeFill="background2" w:themeFillShade="E6"/>
            <w:vAlign w:val="center"/>
          </w:tcPr>
          <w:p w14:paraId="10690CB5" w14:textId="77777777" w:rsidR="004F619A" w:rsidRPr="00373342" w:rsidRDefault="004F619A" w:rsidP="00373342">
            <w:pPr>
              <w:spacing w:line="276" w:lineRule="auto"/>
              <w:jc w:val="center"/>
              <w:rPr>
                <w:rFonts w:ascii="Times New Roman" w:eastAsia="Times New Roman" w:hAnsi="Times New Roman" w:cs="Times New Roman"/>
                <w:b/>
                <w:bCs/>
                <w:sz w:val="20"/>
                <w:szCs w:val="20"/>
                <w:lang w:val="en-US"/>
              </w:rPr>
            </w:pPr>
            <w:r w:rsidRPr="00373342">
              <w:rPr>
                <w:rFonts w:ascii="Times New Roman" w:eastAsia="Times New Roman" w:hAnsi="Times New Roman" w:cs="Times New Roman"/>
                <w:b/>
                <w:bCs/>
                <w:sz w:val="20"/>
                <w:szCs w:val="20"/>
                <w:lang w:val="en-US"/>
              </w:rPr>
              <w:t>Teksti</w:t>
            </w:r>
          </w:p>
        </w:tc>
        <w:tc>
          <w:tcPr>
            <w:tcW w:w="1620" w:type="dxa"/>
            <w:shd w:val="clear" w:color="auto" w:fill="D0CECE" w:themeFill="background2" w:themeFillShade="E6"/>
            <w:vAlign w:val="center"/>
          </w:tcPr>
          <w:p w14:paraId="29192963" w14:textId="77777777" w:rsidR="004F619A" w:rsidRPr="00373342" w:rsidRDefault="004F619A" w:rsidP="00373342">
            <w:pPr>
              <w:spacing w:line="276" w:lineRule="auto"/>
              <w:jc w:val="center"/>
              <w:rPr>
                <w:rFonts w:ascii="Times New Roman" w:eastAsia="Times New Roman" w:hAnsi="Times New Roman" w:cs="Times New Roman"/>
                <w:b/>
                <w:bCs/>
                <w:sz w:val="20"/>
                <w:szCs w:val="20"/>
                <w:lang w:val="en-US"/>
              </w:rPr>
            </w:pPr>
            <w:r w:rsidRPr="00373342">
              <w:rPr>
                <w:rFonts w:ascii="Times New Roman" w:eastAsia="Times New Roman" w:hAnsi="Times New Roman" w:cs="Times New Roman"/>
                <w:b/>
                <w:bCs/>
                <w:sz w:val="20"/>
                <w:szCs w:val="20"/>
                <w:lang w:val="en-US"/>
              </w:rPr>
              <w:t>Përputhshmëria</w:t>
            </w:r>
          </w:p>
        </w:tc>
        <w:tc>
          <w:tcPr>
            <w:tcW w:w="2790" w:type="dxa"/>
            <w:shd w:val="clear" w:color="auto" w:fill="D0CECE" w:themeFill="background2" w:themeFillShade="E6"/>
            <w:vAlign w:val="center"/>
          </w:tcPr>
          <w:p w14:paraId="45558631" w14:textId="77777777" w:rsidR="004F619A" w:rsidRPr="00373342" w:rsidRDefault="004F619A" w:rsidP="00373342">
            <w:pPr>
              <w:spacing w:line="276" w:lineRule="auto"/>
              <w:jc w:val="center"/>
              <w:rPr>
                <w:rFonts w:ascii="Times New Roman" w:eastAsia="Times New Roman" w:hAnsi="Times New Roman" w:cs="Times New Roman"/>
                <w:b/>
                <w:bCs/>
                <w:sz w:val="20"/>
                <w:szCs w:val="20"/>
                <w:lang w:val="en-US"/>
              </w:rPr>
            </w:pPr>
            <w:r w:rsidRPr="00373342">
              <w:rPr>
                <w:rFonts w:ascii="Times New Roman" w:eastAsia="Times New Roman" w:hAnsi="Times New Roman" w:cs="Times New Roman"/>
                <w:b/>
                <w:bCs/>
                <w:sz w:val="20"/>
                <w:szCs w:val="20"/>
                <w:lang w:val="en-US"/>
              </w:rPr>
              <w:t>Shënime</w:t>
            </w:r>
          </w:p>
        </w:tc>
      </w:tr>
    </w:tbl>
    <w:p w14:paraId="00F1CFF1" w14:textId="77777777" w:rsidR="008B6E7F" w:rsidRPr="00373342" w:rsidRDefault="00922FEB" w:rsidP="00373342">
      <w:pPr>
        <w:spacing w:after="200" w:line="276" w:lineRule="auto"/>
        <w:rPr>
          <w:rFonts w:ascii="Times New Roman" w:eastAsiaTheme="minorEastAsia" w:hAnsi="Times New Roman" w:cs="Times New Roman"/>
          <w:noProof/>
          <w:kern w:val="0"/>
          <w:sz w:val="20"/>
          <w:szCs w:val="20"/>
          <w14:ligatures w14:val="none"/>
        </w:rPr>
      </w:pPr>
      <w:r w:rsidRPr="00373342">
        <w:rPr>
          <w:rFonts w:ascii="Times New Roman" w:eastAsia="Calibri" w:hAnsi="Times New Roman" w:cs="Times New Roman"/>
          <w:kern w:val="0"/>
          <w:sz w:val="20"/>
          <w:szCs w:val="20"/>
          <w14:ligatures w14:val="none"/>
        </w:rPr>
        <w:br w:type="page"/>
      </w:r>
      <w:r w:rsidR="00A106AB" w:rsidRPr="00373342">
        <w:rPr>
          <w:rFonts w:ascii="Times New Roman" w:eastAsia="Calibri" w:hAnsi="Times New Roman" w:cs="Times New Roman"/>
          <w:kern w:val="0"/>
          <w:sz w:val="20"/>
          <w:szCs w:val="20"/>
          <w14:ligatures w14:val="none"/>
        </w:rPr>
        <w:fldChar w:fldCharType="begin"/>
      </w:r>
      <w:r w:rsidR="00A106AB" w:rsidRPr="00373342">
        <w:rPr>
          <w:rFonts w:ascii="Times New Roman" w:eastAsia="Calibri" w:hAnsi="Times New Roman" w:cs="Times New Roman"/>
          <w:kern w:val="0"/>
          <w:sz w:val="20"/>
          <w:szCs w:val="20"/>
          <w14:ligatures w14:val="none"/>
        </w:rPr>
        <w:instrText xml:space="preserve"> TOC \o "1-3" \h \z \u </w:instrText>
      </w:r>
      <w:r w:rsidR="00A106AB" w:rsidRPr="00373342">
        <w:rPr>
          <w:rFonts w:ascii="Times New Roman" w:eastAsia="Calibri" w:hAnsi="Times New Roman" w:cs="Times New Roman"/>
          <w:kern w:val="0"/>
          <w:sz w:val="20"/>
          <w:szCs w:val="20"/>
          <w14:ligatures w14:val="none"/>
        </w:rPr>
        <w:fldChar w:fldCharType="separate"/>
      </w:r>
    </w:p>
    <w:p w14:paraId="57C2FC3C" w14:textId="77777777" w:rsidR="00922FEB" w:rsidRPr="00373342" w:rsidRDefault="00A106AB" w:rsidP="00373342">
      <w:pPr>
        <w:spacing w:after="0" w:line="276" w:lineRule="auto"/>
        <w:rPr>
          <w:rFonts w:ascii="Times New Roman" w:eastAsia="Calibri" w:hAnsi="Times New Roman" w:cs="Times New Roman"/>
          <w:kern w:val="0"/>
          <w:sz w:val="20"/>
          <w:szCs w:val="20"/>
          <w14:ligatures w14:val="none"/>
        </w:rPr>
      </w:pPr>
      <w:r w:rsidRPr="00373342">
        <w:rPr>
          <w:rFonts w:ascii="Times New Roman" w:eastAsia="Calibri" w:hAnsi="Times New Roman" w:cs="Times New Roman"/>
          <w:kern w:val="0"/>
          <w:sz w:val="20"/>
          <w:szCs w:val="20"/>
          <w14:ligatures w14:val="none"/>
        </w:rPr>
        <w:lastRenderedPageBreak/>
        <w:fldChar w:fldCharType="end"/>
      </w:r>
    </w:p>
    <w:tbl>
      <w:tblPr>
        <w:tblStyle w:val="TableGrid"/>
        <w:tblW w:w="16110" w:type="dxa"/>
        <w:tblInd w:w="-1085" w:type="dxa"/>
        <w:tblLayout w:type="fixed"/>
        <w:tblLook w:val="04A0" w:firstRow="1" w:lastRow="0" w:firstColumn="1" w:lastColumn="0" w:noHBand="0" w:noVBand="1"/>
      </w:tblPr>
      <w:tblGrid>
        <w:gridCol w:w="1440"/>
        <w:gridCol w:w="3960"/>
        <w:gridCol w:w="1170"/>
        <w:gridCol w:w="1260"/>
        <w:gridCol w:w="3870"/>
        <w:gridCol w:w="1620"/>
        <w:gridCol w:w="2790"/>
      </w:tblGrid>
      <w:tr w:rsidR="004800E6" w:rsidRPr="00373342" w14:paraId="24FB374D" w14:textId="77777777" w:rsidTr="00373342">
        <w:trPr>
          <w:tblHeader/>
        </w:trPr>
        <w:tc>
          <w:tcPr>
            <w:tcW w:w="1440" w:type="dxa"/>
            <w:shd w:val="clear" w:color="auto" w:fill="D0CECE" w:themeFill="background2" w:themeFillShade="E6"/>
          </w:tcPr>
          <w:p w14:paraId="6E535FAA" w14:textId="77777777" w:rsidR="000A7EA3" w:rsidRPr="00373342" w:rsidRDefault="000A7EA3" w:rsidP="00373342">
            <w:pPr>
              <w:spacing w:line="276" w:lineRule="auto"/>
              <w:jc w:val="center"/>
              <w:rPr>
                <w:rFonts w:ascii="Times New Roman" w:eastAsia="Times New Roman" w:hAnsi="Times New Roman" w:cs="Times New Roman"/>
                <w:sz w:val="20"/>
                <w:szCs w:val="20"/>
              </w:rPr>
            </w:pPr>
            <w:r w:rsidRPr="00373342">
              <w:rPr>
                <w:rFonts w:ascii="Times New Roman" w:hAnsi="Times New Roman" w:cs="Times New Roman"/>
                <w:b/>
                <w:bCs/>
                <w:sz w:val="20"/>
                <w:szCs w:val="20"/>
              </w:rPr>
              <w:t>1</w:t>
            </w:r>
          </w:p>
        </w:tc>
        <w:tc>
          <w:tcPr>
            <w:tcW w:w="3960" w:type="dxa"/>
            <w:shd w:val="clear" w:color="auto" w:fill="D0CECE" w:themeFill="background2" w:themeFillShade="E6"/>
          </w:tcPr>
          <w:p w14:paraId="0F89E835" w14:textId="77777777" w:rsidR="000A7EA3" w:rsidRPr="00373342" w:rsidRDefault="000A7EA3" w:rsidP="00373342">
            <w:pPr>
              <w:spacing w:line="276" w:lineRule="auto"/>
              <w:jc w:val="center"/>
              <w:rPr>
                <w:rFonts w:ascii="Times New Roman" w:eastAsia="Times New Roman" w:hAnsi="Times New Roman" w:cs="Times New Roman"/>
                <w:b/>
                <w:iCs/>
                <w:sz w:val="20"/>
                <w:szCs w:val="20"/>
              </w:rPr>
            </w:pPr>
            <w:r w:rsidRPr="00373342">
              <w:rPr>
                <w:rFonts w:ascii="Times New Roman" w:hAnsi="Times New Roman" w:cs="Times New Roman"/>
                <w:b/>
                <w:bCs/>
                <w:sz w:val="20"/>
                <w:szCs w:val="20"/>
              </w:rPr>
              <w:t>2</w:t>
            </w:r>
          </w:p>
        </w:tc>
        <w:tc>
          <w:tcPr>
            <w:tcW w:w="1170" w:type="dxa"/>
            <w:shd w:val="clear" w:color="auto" w:fill="D0CECE" w:themeFill="background2" w:themeFillShade="E6"/>
          </w:tcPr>
          <w:p w14:paraId="389DFF03" w14:textId="77777777" w:rsidR="000A7EA3" w:rsidRPr="00373342" w:rsidRDefault="000A7EA3" w:rsidP="00373342">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3</w:t>
            </w:r>
          </w:p>
        </w:tc>
        <w:tc>
          <w:tcPr>
            <w:tcW w:w="1260" w:type="dxa"/>
            <w:shd w:val="clear" w:color="auto" w:fill="D0CECE" w:themeFill="background2" w:themeFillShade="E6"/>
          </w:tcPr>
          <w:p w14:paraId="204CF40D" w14:textId="77777777" w:rsidR="000A7EA3" w:rsidRPr="00373342" w:rsidRDefault="000A7EA3" w:rsidP="00373342">
            <w:pPr>
              <w:spacing w:line="276" w:lineRule="auto"/>
              <w:jc w:val="center"/>
              <w:rPr>
                <w:rFonts w:ascii="Times New Roman" w:eastAsia="Times New Roman" w:hAnsi="Times New Roman" w:cs="Times New Roman"/>
                <w:b/>
                <w:i/>
                <w:sz w:val="20"/>
                <w:szCs w:val="20"/>
              </w:rPr>
            </w:pPr>
            <w:r w:rsidRPr="00373342">
              <w:rPr>
                <w:rFonts w:ascii="Times New Roman" w:hAnsi="Times New Roman" w:cs="Times New Roman"/>
                <w:b/>
                <w:bCs/>
                <w:sz w:val="20"/>
                <w:szCs w:val="20"/>
              </w:rPr>
              <w:t>4</w:t>
            </w:r>
          </w:p>
        </w:tc>
        <w:tc>
          <w:tcPr>
            <w:tcW w:w="3870" w:type="dxa"/>
            <w:shd w:val="clear" w:color="auto" w:fill="D0CECE" w:themeFill="background2" w:themeFillShade="E6"/>
          </w:tcPr>
          <w:p w14:paraId="433B6805" w14:textId="77777777" w:rsidR="000A7EA3" w:rsidRPr="00373342" w:rsidRDefault="000A7EA3" w:rsidP="00373342">
            <w:pPr>
              <w:spacing w:line="276" w:lineRule="auto"/>
              <w:jc w:val="center"/>
              <w:rPr>
                <w:rFonts w:ascii="Times New Roman" w:eastAsia="Times New Roman" w:hAnsi="Times New Roman" w:cs="Times New Roman"/>
                <w:b/>
                <w:i/>
                <w:sz w:val="20"/>
                <w:szCs w:val="20"/>
              </w:rPr>
            </w:pPr>
            <w:r w:rsidRPr="00373342">
              <w:rPr>
                <w:rFonts w:ascii="Times New Roman" w:hAnsi="Times New Roman" w:cs="Times New Roman"/>
                <w:b/>
                <w:bCs/>
                <w:sz w:val="20"/>
                <w:szCs w:val="20"/>
              </w:rPr>
              <w:t>5</w:t>
            </w:r>
          </w:p>
        </w:tc>
        <w:tc>
          <w:tcPr>
            <w:tcW w:w="1620" w:type="dxa"/>
            <w:shd w:val="clear" w:color="auto" w:fill="D0CECE" w:themeFill="background2" w:themeFillShade="E6"/>
          </w:tcPr>
          <w:p w14:paraId="591264BA" w14:textId="77777777" w:rsidR="000A7EA3" w:rsidRPr="00373342" w:rsidRDefault="000A7EA3" w:rsidP="00373342">
            <w:pPr>
              <w:spacing w:line="276" w:lineRule="auto"/>
              <w:jc w:val="center"/>
              <w:rPr>
                <w:rFonts w:ascii="Times New Roman" w:eastAsia="Times New Roman" w:hAnsi="Times New Roman" w:cs="Times New Roman"/>
                <w:b/>
                <w:i/>
                <w:sz w:val="20"/>
                <w:szCs w:val="20"/>
              </w:rPr>
            </w:pPr>
            <w:r w:rsidRPr="00373342">
              <w:rPr>
                <w:rFonts w:ascii="Times New Roman" w:hAnsi="Times New Roman" w:cs="Times New Roman"/>
                <w:b/>
                <w:bCs/>
                <w:sz w:val="20"/>
                <w:szCs w:val="20"/>
              </w:rPr>
              <w:t>6</w:t>
            </w:r>
          </w:p>
        </w:tc>
        <w:tc>
          <w:tcPr>
            <w:tcW w:w="2790" w:type="dxa"/>
            <w:shd w:val="clear" w:color="auto" w:fill="D0CECE" w:themeFill="background2" w:themeFillShade="E6"/>
          </w:tcPr>
          <w:p w14:paraId="31AF1667" w14:textId="77777777" w:rsidR="000A7EA3" w:rsidRPr="00373342" w:rsidRDefault="000A7EA3" w:rsidP="00373342">
            <w:pPr>
              <w:spacing w:line="276" w:lineRule="auto"/>
              <w:jc w:val="center"/>
              <w:rPr>
                <w:rFonts w:ascii="Times New Roman" w:eastAsia="Times New Roman" w:hAnsi="Times New Roman" w:cs="Times New Roman"/>
                <w:b/>
                <w:i/>
                <w:sz w:val="20"/>
                <w:szCs w:val="20"/>
              </w:rPr>
            </w:pPr>
            <w:r w:rsidRPr="00373342">
              <w:rPr>
                <w:rFonts w:ascii="Times New Roman" w:hAnsi="Times New Roman" w:cs="Times New Roman"/>
                <w:b/>
                <w:bCs/>
                <w:sz w:val="20"/>
                <w:szCs w:val="20"/>
              </w:rPr>
              <w:t>7</w:t>
            </w:r>
          </w:p>
        </w:tc>
      </w:tr>
      <w:tr w:rsidR="004800E6" w:rsidRPr="00373342" w14:paraId="3971B267" w14:textId="77777777" w:rsidTr="00373342">
        <w:trPr>
          <w:tblHeader/>
        </w:trPr>
        <w:tc>
          <w:tcPr>
            <w:tcW w:w="1440" w:type="dxa"/>
            <w:shd w:val="clear" w:color="auto" w:fill="D0CECE" w:themeFill="background2" w:themeFillShade="E6"/>
            <w:vAlign w:val="center"/>
          </w:tcPr>
          <w:p w14:paraId="54853C32" w14:textId="77777777" w:rsidR="000A7EA3" w:rsidRPr="00373342" w:rsidRDefault="000A7EA3" w:rsidP="00373342">
            <w:pPr>
              <w:spacing w:line="276" w:lineRule="auto"/>
              <w:jc w:val="center"/>
              <w:rPr>
                <w:rFonts w:ascii="Times New Roman" w:eastAsia="Times New Roman" w:hAnsi="Times New Roman" w:cs="Times New Roman"/>
                <w:b/>
                <w:bCs/>
                <w:sz w:val="20"/>
                <w:szCs w:val="20"/>
                <w:lang w:val="en-US"/>
              </w:rPr>
            </w:pPr>
            <w:r w:rsidRPr="00373342">
              <w:rPr>
                <w:rFonts w:ascii="Times New Roman" w:eastAsia="Times New Roman" w:hAnsi="Times New Roman" w:cs="Times New Roman"/>
                <w:b/>
                <w:bCs/>
                <w:sz w:val="20"/>
                <w:szCs w:val="20"/>
                <w:lang w:val="en-US"/>
              </w:rPr>
              <w:t>Neni</w:t>
            </w:r>
          </w:p>
        </w:tc>
        <w:tc>
          <w:tcPr>
            <w:tcW w:w="3960" w:type="dxa"/>
            <w:shd w:val="clear" w:color="auto" w:fill="D0CECE" w:themeFill="background2" w:themeFillShade="E6"/>
            <w:vAlign w:val="center"/>
          </w:tcPr>
          <w:p w14:paraId="16631EFC" w14:textId="77777777" w:rsidR="000A7EA3" w:rsidRPr="00373342" w:rsidRDefault="000A7EA3" w:rsidP="00373342">
            <w:pPr>
              <w:spacing w:line="276" w:lineRule="auto"/>
              <w:jc w:val="center"/>
              <w:rPr>
                <w:rFonts w:ascii="Times New Roman" w:eastAsia="Times New Roman" w:hAnsi="Times New Roman" w:cs="Times New Roman"/>
                <w:b/>
                <w:bCs/>
                <w:sz w:val="20"/>
                <w:szCs w:val="20"/>
                <w:lang w:val="en-US"/>
              </w:rPr>
            </w:pPr>
            <w:r w:rsidRPr="00373342">
              <w:rPr>
                <w:rFonts w:ascii="Times New Roman" w:eastAsia="Times New Roman" w:hAnsi="Times New Roman" w:cs="Times New Roman"/>
                <w:b/>
                <w:bCs/>
                <w:sz w:val="20"/>
                <w:szCs w:val="20"/>
                <w:lang w:val="en-US"/>
              </w:rPr>
              <w:t>Teksti</w:t>
            </w:r>
          </w:p>
        </w:tc>
        <w:tc>
          <w:tcPr>
            <w:tcW w:w="1170" w:type="dxa"/>
            <w:shd w:val="clear" w:color="auto" w:fill="D0CECE" w:themeFill="background2" w:themeFillShade="E6"/>
          </w:tcPr>
          <w:p w14:paraId="73A874B2" w14:textId="77777777" w:rsidR="000A7EA3" w:rsidRPr="00373342" w:rsidRDefault="000A7EA3" w:rsidP="00373342">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Referenca</w:t>
            </w:r>
          </w:p>
        </w:tc>
        <w:tc>
          <w:tcPr>
            <w:tcW w:w="1260" w:type="dxa"/>
            <w:shd w:val="clear" w:color="auto" w:fill="D0CECE" w:themeFill="background2" w:themeFillShade="E6"/>
            <w:vAlign w:val="center"/>
          </w:tcPr>
          <w:p w14:paraId="2091D7FD" w14:textId="77777777" w:rsidR="000A7EA3" w:rsidRPr="00373342" w:rsidRDefault="000A7EA3" w:rsidP="00373342">
            <w:pPr>
              <w:spacing w:line="276" w:lineRule="auto"/>
              <w:jc w:val="center"/>
              <w:rPr>
                <w:rFonts w:ascii="Times New Roman" w:eastAsia="Times New Roman" w:hAnsi="Times New Roman" w:cs="Times New Roman"/>
                <w:b/>
                <w:bCs/>
                <w:sz w:val="20"/>
                <w:szCs w:val="20"/>
                <w:lang w:val="en-US"/>
              </w:rPr>
            </w:pPr>
            <w:r w:rsidRPr="00373342">
              <w:rPr>
                <w:rFonts w:ascii="Times New Roman" w:eastAsia="Times New Roman" w:hAnsi="Times New Roman" w:cs="Times New Roman"/>
                <w:b/>
                <w:bCs/>
                <w:sz w:val="20"/>
                <w:szCs w:val="20"/>
                <w:lang w:val="en-US"/>
              </w:rPr>
              <w:t>Neni</w:t>
            </w:r>
          </w:p>
        </w:tc>
        <w:tc>
          <w:tcPr>
            <w:tcW w:w="3870" w:type="dxa"/>
            <w:shd w:val="clear" w:color="auto" w:fill="D0CECE" w:themeFill="background2" w:themeFillShade="E6"/>
            <w:vAlign w:val="center"/>
          </w:tcPr>
          <w:p w14:paraId="1617BA30" w14:textId="77777777" w:rsidR="000A7EA3" w:rsidRPr="00373342" w:rsidRDefault="000A7EA3" w:rsidP="00373342">
            <w:pPr>
              <w:spacing w:line="276" w:lineRule="auto"/>
              <w:jc w:val="center"/>
              <w:rPr>
                <w:rFonts w:ascii="Times New Roman" w:eastAsia="Times New Roman" w:hAnsi="Times New Roman" w:cs="Times New Roman"/>
                <w:b/>
                <w:bCs/>
                <w:sz w:val="20"/>
                <w:szCs w:val="20"/>
                <w:lang w:val="en-US"/>
              </w:rPr>
            </w:pPr>
            <w:r w:rsidRPr="00373342">
              <w:rPr>
                <w:rFonts w:ascii="Times New Roman" w:eastAsia="Times New Roman" w:hAnsi="Times New Roman" w:cs="Times New Roman"/>
                <w:b/>
                <w:bCs/>
                <w:sz w:val="20"/>
                <w:szCs w:val="20"/>
                <w:lang w:val="en-US"/>
              </w:rPr>
              <w:t>Teksti</w:t>
            </w:r>
          </w:p>
        </w:tc>
        <w:tc>
          <w:tcPr>
            <w:tcW w:w="1620" w:type="dxa"/>
            <w:shd w:val="clear" w:color="auto" w:fill="D0CECE" w:themeFill="background2" w:themeFillShade="E6"/>
            <w:vAlign w:val="center"/>
          </w:tcPr>
          <w:p w14:paraId="274E7C89" w14:textId="77777777" w:rsidR="000A7EA3" w:rsidRPr="00373342" w:rsidRDefault="000A7EA3" w:rsidP="00373342">
            <w:pPr>
              <w:spacing w:line="276" w:lineRule="auto"/>
              <w:jc w:val="center"/>
              <w:rPr>
                <w:rFonts w:ascii="Times New Roman" w:eastAsia="Times New Roman" w:hAnsi="Times New Roman" w:cs="Times New Roman"/>
                <w:b/>
                <w:bCs/>
                <w:sz w:val="20"/>
                <w:szCs w:val="20"/>
                <w:lang w:val="en-US"/>
              </w:rPr>
            </w:pPr>
            <w:r w:rsidRPr="00373342">
              <w:rPr>
                <w:rFonts w:ascii="Times New Roman" w:eastAsia="Times New Roman" w:hAnsi="Times New Roman" w:cs="Times New Roman"/>
                <w:b/>
                <w:bCs/>
                <w:sz w:val="20"/>
                <w:szCs w:val="20"/>
                <w:lang w:val="en-US"/>
              </w:rPr>
              <w:t>Përputhshmëria</w:t>
            </w:r>
          </w:p>
        </w:tc>
        <w:tc>
          <w:tcPr>
            <w:tcW w:w="2790" w:type="dxa"/>
            <w:shd w:val="clear" w:color="auto" w:fill="D0CECE" w:themeFill="background2" w:themeFillShade="E6"/>
            <w:vAlign w:val="center"/>
          </w:tcPr>
          <w:p w14:paraId="090C56FC" w14:textId="77777777" w:rsidR="000A7EA3" w:rsidRPr="00373342" w:rsidRDefault="000A7EA3" w:rsidP="00373342">
            <w:pPr>
              <w:spacing w:line="276" w:lineRule="auto"/>
              <w:jc w:val="center"/>
              <w:rPr>
                <w:rFonts w:ascii="Times New Roman" w:eastAsia="Times New Roman" w:hAnsi="Times New Roman" w:cs="Times New Roman"/>
                <w:b/>
                <w:bCs/>
                <w:sz w:val="20"/>
                <w:szCs w:val="20"/>
                <w:lang w:val="en-US"/>
              </w:rPr>
            </w:pPr>
            <w:r w:rsidRPr="00373342">
              <w:rPr>
                <w:rFonts w:ascii="Times New Roman" w:eastAsia="Times New Roman" w:hAnsi="Times New Roman" w:cs="Times New Roman"/>
                <w:b/>
                <w:bCs/>
                <w:sz w:val="20"/>
                <w:szCs w:val="20"/>
                <w:lang w:val="en-US"/>
              </w:rPr>
              <w:t>Shënime</w:t>
            </w:r>
          </w:p>
        </w:tc>
      </w:tr>
      <w:tr w:rsidR="00DB27BA" w:rsidRPr="00373342" w14:paraId="5A4E19A4" w14:textId="77777777" w:rsidTr="00373342">
        <w:tc>
          <w:tcPr>
            <w:tcW w:w="1440" w:type="dxa"/>
            <w:shd w:val="clear" w:color="auto" w:fill="FFFFFF" w:themeFill="background1"/>
          </w:tcPr>
          <w:p w14:paraId="06518521" w14:textId="77777777" w:rsidR="00DB27BA" w:rsidRPr="00373342" w:rsidRDefault="00DB27BA" w:rsidP="00373342">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Neni 1(1) (Direktiva 2016/881/BE)</w:t>
            </w:r>
            <w:r w:rsidRPr="00373342">
              <w:rPr>
                <w:rFonts w:ascii="Times New Roman" w:hAnsi="Times New Roman" w:cs="Times New Roman"/>
                <w:b/>
                <w:bCs/>
                <w:sz w:val="20"/>
                <w:szCs w:val="20"/>
              </w:rPr>
              <w:br/>
            </w:r>
            <w:r w:rsidRPr="00373342">
              <w:rPr>
                <w:rFonts w:ascii="Times New Roman" w:hAnsi="Times New Roman" w:cs="Times New Roman"/>
                <w:b/>
                <w:bCs/>
                <w:sz w:val="20"/>
                <w:szCs w:val="20"/>
              </w:rPr>
              <w:br/>
              <w:t>Neni 3, pika 9 (Direktiva 2011/16/BE)</w:t>
            </w:r>
          </w:p>
          <w:p w14:paraId="006CEC0E" w14:textId="77777777" w:rsidR="00DB27BA" w:rsidRPr="00373342" w:rsidRDefault="00DB27BA" w:rsidP="00373342">
            <w:pPr>
              <w:spacing w:line="276" w:lineRule="auto"/>
              <w:jc w:val="center"/>
              <w:rPr>
                <w:rFonts w:ascii="Times New Roman" w:hAnsi="Times New Roman" w:cs="Times New Roman"/>
                <w:b/>
                <w:bCs/>
                <w:sz w:val="20"/>
                <w:szCs w:val="20"/>
              </w:rPr>
            </w:pPr>
          </w:p>
          <w:p w14:paraId="6DA876E0" w14:textId="77777777" w:rsidR="00DB27BA" w:rsidRPr="00373342" w:rsidRDefault="00DB27BA" w:rsidP="00373342">
            <w:pPr>
              <w:spacing w:line="276" w:lineRule="auto"/>
              <w:jc w:val="center"/>
              <w:rPr>
                <w:rFonts w:ascii="Times New Roman" w:hAnsi="Times New Roman" w:cs="Times New Roman"/>
                <w:b/>
                <w:bCs/>
                <w:sz w:val="20"/>
                <w:szCs w:val="20"/>
              </w:rPr>
            </w:pPr>
          </w:p>
          <w:p w14:paraId="59D5DD60" w14:textId="72E56C81" w:rsidR="00DB27BA" w:rsidRPr="00373342" w:rsidRDefault="00DB27BA" w:rsidP="00373342">
            <w:pPr>
              <w:spacing w:line="276" w:lineRule="auto"/>
              <w:jc w:val="center"/>
              <w:rPr>
                <w:rFonts w:ascii="Times New Roman" w:hAnsi="Times New Roman" w:cs="Times New Roman"/>
                <w:b/>
                <w:bCs/>
                <w:sz w:val="20"/>
                <w:szCs w:val="20"/>
              </w:rPr>
            </w:pPr>
          </w:p>
        </w:tc>
        <w:tc>
          <w:tcPr>
            <w:tcW w:w="3960" w:type="dxa"/>
            <w:shd w:val="clear" w:color="auto" w:fill="FFFFFF" w:themeFill="background1"/>
          </w:tcPr>
          <w:p w14:paraId="720EEEB4" w14:textId="777857E3" w:rsidR="00DB27BA" w:rsidRPr="00373342" w:rsidRDefault="00DB27BA" w:rsidP="00373342">
            <w:pPr>
              <w:spacing w:line="276" w:lineRule="auto"/>
              <w:rPr>
                <w:rFonts w:ascii="Times New Roman" w:hAnsi="Times New Roman" w:cs="Times New Roman"/>
                <w:sz w:val="20"/>
                <w:szCs w:val="20"/>
              </w:rPr>
            </w:pPr>
            <w:r w:rsidRPr="00373342">
              <w:rPr>
                <w:rFonts w:ascii="Times New Roman" w:hAnsi="Times New Roman" w:cs="Times New Roman"/>
                <w:sz w:val="20"/>
                <w:szCs w:val="20"/>
              </w:rPr>
              <w:t>9. “shkëmbim automatik” do të thotë:</w:t>
            </w:r>
            <w:r w:rsidRPr="00373342">
              <w:rPr>
                <w:rFonts w:ascii="Times New Roman" w:hAnsi="Times New Roman" w:cs="Times New Roman"/>
                <w:sz w:val="20"/>
                <w:szCs w:val="20"/>
              </w:rPr>
              <w:br/>
            </w:r>
            <w:r w:rsidRPr="00373342">
              <w:rPr>
                <w:rFonts w:ascii="Times New Roman" w:hAnsi="Times New Roman" w:cs="Times New Roman"/>
                <w:sz w:val="20"/>
                <w:szCs w:val="20"/>
              </w:rPr>
              <w:br/>
              <w:t>a) për qëllimet e nenit 8(1) dhe të neneve 8a dhe 8aa, komunikimi sistematik i informacionit të paracaktuar një Shteti tjetër Anëtar, pa kërkesë paraprake, në intervale të rregullta të paracaktuara. Për qëllimet e nenit 8(1), referenca ndaj informacionit të disponueshëm lidhet me informacionin në dosjet tatimore të Shtetit Anëtar që komunikon informacionin, i cili mund të merret në përputhje me procedurat për mbledhjen dhe përpunimin e informacionit në atë Shtet Anëtar;</w:t>
            </w:r>
            <w:r w:rsidRPr="00373342">
              <w:rPr>
                <w:rFonts w:ascii="Times New Roman" w:hAnsi="Times New Roman" w:cs="Times New Roman"/>
                <w:sz w:val="20"/>
                <w:szCs w:val="20"/>
              </w:rPr>
              <w:br/>
            </w:r>
            <w:r w:rsidRPr="00373342">
              <w:rPr>
                <w:rFonts w:ascii="Times New Roman" w:hAnsi="Times New Roman" w:cs="Times New Roman"/>
                <w:sz w:val="20"/>
                <w:szCs w:val="20"/>
              </w:rPr>
              <w:br/>
              <w:t>b) për qëllimet e nenit 8(3a), komunikimi sistematik i informacionit të paracaktuar për rezidentët në Shtete të tjera Anëtare te Shteti Anëtar përkatës i rezidencës, pa kërkesë paraprake, në intervale të rregullta të paracaktuara;</w:t>
            </w:r>
            <w:r w:rsidRPr="00373342">
              <w:rPr>
                <w:rFonts w:ascii="Times New Roman" w:hAnsi="Times New Roman" w:cs="Times New Roman"/>
                <w:sz w:val="20"/>
                <w:szCs w:val="20"/>
              </w:rPr>
              <w:br/>
            </w:r>
            <w:r w:rsidRPr="00373342">
              <w:rPr>
                <w:rFonts w:ascii="Times New Roman" w:hAnsi="Times New Roman" w:cs="Times New Roman"/>
                <w:sz w:val="20"/>
                <w:szCs w:val="20"/>
              </w:rPr>
              <w:br/>
              <w:t xml:space="preserve">c) për qëllimet e dispozitave të kësaj Direktive, të ndryshme nga neni 8(1) dhe (3a) dhe nenet 8a dhe 8aa, komunikimi sistematik i informacionit të paracaktuar të parashikuar në shkronjat (a) dhe (b) të kësaj pike. Në kontekstin e neneve 8(3a), 8(7a) dhe 21(2), si dhe të nenit 25(2) dhe (3), çdo term i shkruar me shkronjë të madhe ka kuptimin që i është dhënë sipas përkufizimeve përkatëse të </w:t>
            </w:r>
            <w:r w:rsidRPr="00373342">
              <w:rPr>
                <w:rFonts w:ascii="Times New Roman" w:hAnsi="Times New Roman" w:cs="Times New Roman"/>
                <w:sz w:val="20"/>
                <w:szCs w:val="20"/>
              </w:rPr>
              <w:lastRenderedPageBreak/>
              <w:t>përcaktuara në Shtojcën I. Në kontekstin e nenit 8aa dhe Shtojcës III, çdo term i shkruar me shkronjë të madhe ka kuptimin që i është dhënë sipas përkufizimeve përkatëse të përcaktuara në Shtojcën III.</w:t>
            </w:r>
          </w:p>
          <w:p w14:paraId="41E85585" w14:textId="77777777" w:rsidR="00DB27BA" w:rsidRPr="00373342" w:rsidRDefault="00DB27BA" w:rsidP="00373342">
            <w:pPr>
              <w:spacing w:line="276" w:lineRule="auto"/>
              <w:rPr>
                <w:rFonts w:ascii="Times New Roman" w:hAnsi="Times New Roman" w:cs="Times New Roman"/>
                <w:sz w:val="20"/>
                <w:szCs w:val="20"/>
              </w:rPr>
            </w:pPr>
          </w:p>
          <w:p w14:paraId="092598F9" w14:textId="77777777" w:rsidR="00DB27BA" w:rsidRPr="00373342" w:rsidRDefault="00DB27BA" w:rsidP="00373342">
            <w:pPr>
              <w:spacing w:line="276" w:lineRule="auto"/>
              <w:rPr>
                <w:rFonts w:ascii="Times New Roman" w:hAnsi="Times New Roman" w:cs="Times New Roman"/>
                <w:sz w:val="20"/>
                <w:szCs w:val="20"/>
              </w:rPr>
            </w:pPr>
          </w:p>
          <w:p w14:paraId="026A5124" w14:textId="77777777" w:rsidR="00DB27BA" w:rsidRPr="00373342" w:rsidRDefault="00DB27BA" w:rsidP="00373342">
            <w:pPr>
              <w:spacing w:line="276" w:lineRule="auto"/>
              <w:rPr>
                <w:rFonts w:ascii="Times New Roman" w:hAnsi="Times New Roman" w:cs="Times New Roman"/>
                <w:sz w:val="20"/>
                <w:szCs w:val="20"/>
              </w:rPr>
            </w:pPr>
          </w:p>
          <w:p w14:paraId="43B78CE6" w14:textId="77777777" w:rsidR="00DB27BA" w:rsidRPr="00373342" w:rsidRDefault="00DB27BA" w:rsidP="00373342">
            <w:pPr>
              <w:spacing w:line="276" w:lineRule="auto"/>
              <w:rPr>
                <w:rFonts w:ascii="Times New Roman" w:hAnsi="Times New Roman" w:cs="Times New Roman"/>
                <w:sz w:val="20"/>
                <w:szCs w:val="20"/>
              </w:rPr>
            </w:pPr>
          </w:p>
          <w:p w14:paraId="73A51D95" w14:textId="77777777" w:rsidR="00DB27BA" w:rsidRPr="00373342" w:rsidRDefault="00DB27BA" w:rsidP="00373342">
            <w:pPr>
              <w:spacing w:line="276" w:lineRule="auto"/>
              <w:rPr>
                <w:rFonts w:ascii="Times New Roman" w:hAnsi="Times New Roman" w:cs="Times New Roman"/>
                <w:sz w:val="20"/>
                <w:szCs w:val="20"/>
              </w:rPr>
            </w:pPr>
          </w:p>
          <w:p w14:paraId="206CDFA8" w14:textId="77777777" w:rsidR="00DB27BA" w:rsidRPr="00373342" w:rsidRDefault="00DB27BA" w:rsidP="00373342">
            <w:pPr>
              <w:spacing w:line="276" w:lineRule="auto"/>
              <w:rPr>
                <w:rFonts w:ascii="Times New Roman" w:hAnsi="Times New Roman" w:cs="Times New Roman"/>
                <w:sz w:val="20"/>
                <w:szCs w:val="20"/>
              </w:rPr>
            </w:pPr>
          </w:p>
          <w:p w14:paraId="0BCCF3B2" w14:textId="77777777" w:rsidR="00DB27BA" w:rsidRPr="00373342" w:rsidRDefault="00DB27BA" w:rsidP="00373342">
            <w:pPr>
              <w:spacing w:line="276" w:lineRule="auto"/>
              <w:rPr>
                <w:rFonts w:ascii="Times New Roman" w:hAnsi="Times New Roman" w:cs="Times New Roman"/>
                <w:sz w:val="20"/>
                <w:szCs w:val="20"/>
              </w:rPr>
            </w:pPr>
          </w:p>
          <w:p w14:paraId="50ADA7F7" w14:textId="77777777" w:rsidR="00DB27BA" w:rsidRPr="00373342" w:rsidRDefault="00DB27BA" w:rsidP="00373342">
            <w:pPr>
              <w:spacing w:line="276" w:lineRule="auto"/>
              <w:rPr>
                <w:rFonts w:ascii="Times New Roman" w:hAnsi="Times New Roman" w:cs="Times New Roman"/>
                <w:sz w:val="20"/>
                <w:szCs w:val="20"/>
              </w:rPr>
            </w:pPr>
          </w:p>
          <w:p w14:paraId="7C9AA268" w14:textId="31118054" w:rsidR="00DB27BA" w:rsidRPr="00373342" w:rsidRDefault="00DB27BA" w:rsidP="00373342">
            <w:pPr>
              <w:spacing w:line="276" w:lineRule="auto"/>
              <w:rPr>
                <w:rFonts w:ascii="Times New Roman" w:hAnsi="Times New Roman" w:cs="Times New Roman"/>
                <w:sz w:val="20"/>
                <w:szCs w:val="20"/>
              </w:rPr>
            </w:pPr>
          </w:p>
        </w:tc>
        <w:tc>
          <w:tcPr>
            <w:tcW w:w="1170" w:type="dxa"/>
            <w:shd w:val="clear" w:color="auto" w:fill="FFFFFF" w:themeFill="background1"/>
          </w:tcPr>
          <w:p w14:paraId="53557D9F" w14:textId="72F2B988" w:rsidR="00DB27BA" w:rsidRPr="00373342" w:rsidRDefault="00DB27BA"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lastRenderedPageBreak/>
              <w:t>N/A</w:t>
            </w:r>
          </w:p>
        </w:tc>
        <w:tc>
          <w:tcPr>
            <w:tcW w:w="1260" w:type="dxa"/>
            <w:shd w:val="clear" w:color="auto" w:fill="FFFFFF" w:themeFill="background1"/>
          </w:tcPr>
          <w:p w14:paraId="11C110C2" w14:textId="2F7FC488" w:rsidR="00DB27BA" w:rsidRPr="00373342" w:rsidRDefault="00DB27BA"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N/A</w:t>
            </w:r>
          </w:p>
        </w:tc>
        <w:tc>
          <w:tcPr>
            <w:tcW w:w="3870" w:type="dxa"/>
            <w:shd w:val="clear" w:color="auto" w:fill="FFFFFF" w:themeFill="background1"/>
          </w:tcPr>
          <w:p w14:paraId="36ACADB5" w14:textId="53A36282" w:rsidR="00DB27BA" w:rsidRPr="00472C4C" w:rsidRDefault="00DB27BA" w:rsidP="00373342">
            <w:pPr>
              <w:spacing w:line="276" w:lineRule="auto"/>
              <w:jc w:val="center"/>
              <w:rPr>
                <w:rFonts w:ascii="Times New Roman" w:hAnsi="Times New Roman" w:cs="Times New Roman"/>
                <w:sz w:val="20"/>
                <w:szCs w:val="20"/>
              </w:rPr>
            </w:pPr>
            <w:r w:rsidRPr="00472C4C">
              <w:rPr>
                <w:rFonts w:ascii="Times New Roman" w:hAnsi="Times New Roman" w:cs="Times New Roman"/>
                <w:sz w:val="20"/>
                <w:szCs w:val="20"/>
              </w:rPr>
              <w:t>N/A</w:t>
            </w:r>
          </w:p>
        </w:tc>
        <w:tc>
          <w:tcPr>
            <w:tcW w:w="1620" w:type="dxa"/>
            <w:shd w:val="clear" w:color="auto" w:fill="FFFFFF" w:themeFill="background1"/>
          </w:tcPr>
          <w:p w14:paraId="1990BA52" w14:textId="2606706D" w:rsidR="00DB27BA" w:rsidRPr="00373342" w:rsidRDefault="002000FA"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N/A</w:t>
            </w:r>
          </w:p>
        </w:tc>
        <w:tc>
          <w:tcPr>
            <w:tcW w:w="2790" w:type="dxa"/>
            <w:shd w:val="clear" w:color="auto" w:fill="FFFFFF" w:themeFill="background1"/>
          </w:tcPr>
          <w:p w14:paraId="60488CCA" w14:textId="42A54D32" w:rsidR="00DB27BA" w:rsidRPr="00373342" w:rsidRDefault="00796046" w:rsidP="00373342">
            <w:pPr>
              <w:spacing w:line="276" w:lineRule="auto"/>
              <w:rPr>
                <w:rFonts w:ascii="Times New Roman" w:hAnsi="Times New Roman" w:cs="Times New Roman"/>
                <w:sz w:val="20"/>
                <w:szCs w:val="20"/>
              </w:rPr>
            </w:pPr>
            <w:r w:rsidRPr="00373342">
              <w:rPr>
                <w:rFonts w:ascii="Times New Roman" w:hAnsi="Times New Roman" w:cs="Times New Roman"/>
                <w:sz w:val="20"/>
                <w:szCs w:val="20"/>
              </w:rPr>
              <w:t>Megjithëse një përkufizim i posaçëm i “shkëmbimit automatik” nuk përfshihet shprehimisht në pjesën e përkufizimeve të ligjit nr. 9920/2008, koncepti është i përcaktuar juridikisht dhe funksional. Neni 3 i ligjit nr. 9920/2008 njeh marrëveshjet ndërkombëtare të ratifikuara si pjesë të legjislacionit tatimor. Shqipëria ka ratifikuar Konventën për Ndihmën e Ndërsjellë Administrative në Çështjet Tatimore dhe ka nënshkruar Marrëveshjen Shumëpalëshe të Autoriteteve Kompetente për Raportin për çdo Vend (CbC MCAA) më 11.03.2024, duke siguruar bazën ligjore për mekanizmin e shkëmbimit automatik në përputhje të plotë me Direktivën.</w:t>
            </w:r>
          </w:p>
        </w:tc>
      </w:tr>
      <w:tr w:rsidR="00A14DCE" w:rsidRPr="00373342" w14:paraId="62ECA50D" w14:textId="77777777" w:rsidTr="00373342">
        <w:trPr>
          <w:trHeight w:val="1520"/>
        </w:trPr>
        <w:tc>
          <w:tcPr>
            <w:tcW w:w="1440" w:type="dxa"/>
            <w:shd w:val="clear" w:color="auto" w:fill="FFFFFF" w:themeFill="background1"/>
          </w:tcPr>
          <w:p w14:paraId="3AF6F37E" w14:textId="77777777" w:rsidR="00A14DCE" w:rsidRPr="00373342" w:rsidRDefault="00A14DCE" w:rsidP="00373342">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Neni 1(2) (Direktiva 2016/881/BE)</w:t>
            </w:r>
            <w:r w:rsidRPr="00373342">
              <w:rPr>
                <w:rFonts w:ascii="Times New Roman" w:hAnsi="Times New Roman" w:cs="Times New Roman"/>
                <w:b/>
                <w:bCs/>
                <w:sz w:val="20"/>
                <w:szCs w:val="20"/>
              </w:rPr>
              <w:br/>
            </w:r>
            <w:r w:rsidRPr="00373342">
              <w:rPr>
                <w:rFonts w:ascii="Times New Roman" w:hAnsi="Times New Roman" w:cs="Times New Roman"/>
                <w:b/>
                <w:bCs/>
                <w:sz w:val="20"/>
                <w:szCs w:val="20"/>
              </w:rPr>
              <w:br/>
              <w:t>Kreu II, Seksioni II (Direktiva 2011/16/BE)</w:t>
            </w:r>
            <w:r w:rsidRPr="00373342">
              <w:rPr>
                <w:rFonts w:ascii="Times New Roman" w:hAnsi="Times New Roman" w:cs="Times New Roman"/>
                <w:b/>
                <w:bCs/>
                <w:sz w:val="20"/>
                <w:szCs w:val="20"/>
              </w:rPr>
              <w:br/>
            </w:r>
            <w:r w:rsidRPr="00373342">
              <w:rPr>
                <w:rFonts w:ascii="Times New Roman" w:hAnsi="Times New Roman" w:cs="Times New Roman"/>
                <w:b/>
                <w:bCs/>
                <w:sz w:val="20"/>
                <w:szCs w:val="20"/>
              </w:rPr>
              <w:br/>
              <w:t>Neni 8aa</w:t>
            </w:r>
          </w:p>
          <w:p w14:paraId="2EE80A7B" w14:textId="77777777" w:rsidR="00A14DCE" w:rsidRPr="00373342" w:rsidRDefault="00A14DCE" w:rsidP="00373342">
            <w:pPr>
              <w:spacing w:line="276" w:lineRule="auto"/>
              <w:jc w:val="center"/>
              <w:rPr>
                <w:rFonts w:ascii="Times New Roman" w:hAnsi="Times New Roman" w:cs="Times New Roman"/>
                <w:b/>
                <w:bCs/>
                <w:sz w:val="20"/>
                <w:szCs w:val="20"/>
              </w:rPr>
            </w:pPr>
          </w:p>
          <w:p w14:paraId="16E6E521" w14:textId="77777777" w:rsidR="00A14DCE" w:rsidRPr="00373342" w:rsidRDefault="00A14DCE" w:rsidP="00373342">
            <w:pPr>
              <w:spacing w:line="276" w:lineRule="auto"/>
              <w:jc w:val="center"/>
              <w:rPr>
                <w:rFonts w:ascii="Times New Roman" w:hAnsi="Times New Roman" w:cs="Times New Roman"/>
                <w:b/>
                <w:bCs/>
                <w:sz w:val="20"/>
                <w:szCs w:val="20"/>
              </w:rPr>
            </w:pPr>
          </w:p>
          <w:p w14:paraId="32F0F1AA" w14:textId="77777777" w:rsidR="00A14DCE" w:rsidRPr="00373342" w:rsidRDefault="00A14DCE" w:rsidP="00373342">
            <w:pPr>
              <w:spacing w:line="276" w:lineRule="auto"/>
              <w:jc w:val="center"/>
              <w:rPr>
                <w:rFonts w:ascii="Times New Roman" w:hAnsi="Times New Roman" w:cs="Times New Roman"/>
                <w:b/>
                <w:bCs/>
                <w:sz w:val="20"/>
                <w:szCs w:val="20"/>
              </w:rPr>
            </w:pPr>
          </w:p>
          <w:p w14:paraId="6073D5F5" w14:textId="77777777" w:rsidR="00A14DCE" w:rsidRPr="00373342" w:rsidRDefault="00A14DCE" w:rsidP="00373342">
            <w:pPr>
              <w:spacing w:line="276" w:lineRule="auto"/>
              <w:jc w:val="center"/>
              <w:rPr>
                <w:rFonts w:ascii="Times New Roman" w:hAnsi="Times New Roman" w:cs="Times New Roman"/>
                <w:b/>
                <w:bCs/>
                <w:sz w:val="20"/>
                <w:szCs w:val="20"/>
              </w:rPr>
            </w:pPr>
          </w:p>
          <w:p w14:paraId="56E3F19E" w14:textId="77777777" w:rsidR="00A14DCE" w:rsidRPr="00373342" w:rsidRDefault="00A14DCE" w:rsidP="00373342">
            <w:pPr>
              <w:spacing w:line="276" w:lineRule="auto"/>
              <w:jc w:val="center"/>
              <w:rPr>
                <w:rFonts w:ascii="Times New Roman" w:hAnsi="Times New Roman" w:cs="Times New Roman"/>
                <w:b/>
                <w:bCs/>
                <w:sz w:val="20"/>
                <w:szCs w:val="20"/>
              </w:rPr>
            </w:pPr>
          </w:p>
          <w:p w14:paraId="013A96E0" w14:textId="01B91D88" w:rsidR="00A14DCE" w:rsidRPr="00373342" w:rsidRDefault="00A14DCE" w:rsidP="00373342">
            <w:pPr>
              <w:spacing w:line="276" w:lineRule="auto"/>
              <w:jc w:val="center"/>
              <w:rPr>
                <w:rFonts w:ascii="Times New Roman" w:hAnsi="Times New Roman" w:cs="Times New Roman"/>
                <w:b/>
                <w:bCs/>
                <w:sz w:val="20"/>
                <w:szCs w:val="20"/>
              </w:rPr>
            </w:pPr>
          </w:p>
        </w:tc>
        <w:tc>
          <w:tcPr>
            <w:tcW w:w="3960" w:type="dxa"/>
            <w:shd w:val="clear" w:color="auto" w:fill="FFFFFF" w:themeFill="background1"/>
          </w:tcPr>
          <w:p w14:paraId="402CF35E" w14:textId="76733AD2" w:rsidR="00A14DCE" w:rsidRPr="00373342" w:rsidRDefault="00A14DCE" w:rsidP="00373342">
            <w:pPr>
              <w:spacing w:line="276" w:lineRule="auto"/>
              <w:rPr>
                <w:rFonts w:ascii="Times New Roman" w:hAnsi="Times New Roman" w:cs="Times New Roman"/>
                <w:sz w:val="20"/>
                <w:szCs w:val="20"/>
              </w:rPr>
            </w:pPr>
            <w:r w:rsidRPr="00373342">
              <w:rPr>
                <w:rFonts w:ascii="Times New Roman" w:hAnsi="Times New Roman" w:cs="Times New Roman"/>
                <w:sz w:val="20"/>
                <w:szCs w:val="20"/>
              </w:rPr>
              <w:t>Fusha e zbatimit dhe kushtet e shkëmbimit automatik të detyrueshëm të informacionit për raportin për çdo vend</w:t>
            </w:r>
            <w:r w:rsidRPr="00373342">
              <w:rPr>
                <w:rFonts w:ascii="Times New Roman" w:hAnsi="Times New Roman" w:cs="Times New Roman"/>
                <w:sz w:val="20"/>
                <w:szCs w:val="20"/>
              </w:rPr>
              <w:br/>
            </w:r>
            <w:r w:rsidRPr="00373342">
              <w:rPr>
                <w:rFonts w:ascii="Times New Roman" w:hAnsi="Times New Roman" w:cs="Times New Roman"/>
                <w:sz w:val="20"/>
                <w:szCs w:val="20"/>
              </w:rPr>
              <w:br/>
              <w:t>1. Çdo Shtet Anëtar merr masat e nevojshme për t’i kërkuar Entitetit mëmë përfundimtar të një Grupi shoqërie shumëkombëshe, që është rezident për qëllime tatimore në territorin e tij, ose çdo Entiteti tjetër raportues në përputhje me Seksionin II të Shtojcës III, të dorëzojë një raport për çdo vend në lidhje me Vitin e tij fiskal raportues, brenda 12 muajve nga dita e fundit e Vitit fiskal raportues të Grupit të shoqërive shumëkombëshe, në përputhje me Seksionin II të Shtojcës III.</w:t>
            </w:r>
            <w:r w:rsidRPr="00373342">
              <w:rPr>
                <w:rFonts w:ascii="Times New Roman" w:hAnsi="Times New Roman" w:cs="Times New Roman"/>
                <w:sz w:val="20"/>
                <w:szCs w:val="20"/>
              </w:rPr>
              <w:br/>
            </w:r>
            <w:r w:rsidRPr="00373342">
              <w:rPr>
                <w:rFonts w:ascii="Times New Roman" w:hAnsi="Times New Roman" w:cs="Times New Roman"/>
                <w:sz w:val="20"/>
                <w:szCs w:val="20"/>
              </w:rPr>
              <w:br/>
              <w:t xml:space="preserve">2. Autoriteti kompetent i një Shteti Anëtar ku është marrë raporti për çdo vend sipas pikës 1, </w:t>
            </w:r>
            <w:r w:rsidRPr="00373342">
              <w:rPr>
                <w:rFonts w:ascii="Times New Roman" w:hAnsi="Times New Roman" w:cs="Times New Roman"/>
                <w:sz w:val="20"/>
                <w:szCs w:val="20"/>
              </w:rPr>
              <w:lastRenderedPageBreak/>
              <w:t>nëpërmjet shkëmbimit automatik dhe brenda afatit të përcaktuar në pikën 4, ia komunikon raportin për çdo vend çdo Shteti tjetër Anëtar në të cilin, bazuar në informacionin në raportin për çdo vend, një ose më shumë Entitete përbërëse të Grupit të shoqërive shumëkombëshe të Entitetit raportues janë ose rezidentë për qëllime tatimore, ose i nënshtrohen tatimit në lidhje me biznesin e kryer nëpërmjet një selie të përhershme.</w:t>
            </w:r>
            <w:r w:rsidRPr="00373342">
              <w:rPr>
                <w:rFonts w:ascii="Times New Roman" w:hAnsi="Times New Roman" w:cs="Times New Roman"/>
                <w:sz w:val="20"/>
                <w:szCs w:val="20"/>
              </w:rPr>
              <w:br/>
            </w:r>
            <w:r w:rsidRPr="00373342">
              <w:rPr>
                <w:rFonts w:ascii="Times New Roman" w:hAnsi="Times New Roman" w:cs="Times New Roman"/>
                <w:sz w:val="20"/>
                <w:szCs w:val="20"/>
              </w:rPr>
              <w:br/>
              <w:t>3. Raporti për çdo vend përmban informacionin e mëposhtëm në lidhje me Grupin e shoqërive shumëkombëshe:</w:t>
            </w:r>
            <w:r w:rsidRPr="00373342">
              <w:rPr>
                <w:rFonts w:ascii="Times New Roman" w:hAnsi="Times New Roman" w:cs="Times New Roman"/>
                <w:sz w:val="20"/>
                <w:szCs w:val="20"/>
              </w:rPr>
              <w:br/>
            </w:r>
            <w:r w:rsidRPr="00373342">
              <w:rPr>
                <w:rFonts w:ascii="Times New Roman" w:hAnsi="Times New Roman" w:cs="Times New Roman"/>
                <w:sz w:val="20"/>
                <w:szCs w:val="20"/>
              </w:rPr>
              <w:br/>
              <w:t>a) informacion të agreguar lidhur me shumën e të ardhurave, fitimin (humbjen) përpara tatimit mbi të ardhurat, tatimin e paguar mbi të ardhurat, tatimin e përllogaritur mbi të ardhurat, kapitalin e deklaruar, fitimet e akumuluara, numrin e punonjësve dhe asetet e prekshme, përveç parasë cash ose ekuivalentëve të saj, për çdo juridiksion në të cilin operon Grupi i shoqërive shumëkombëshe;</w:t>
            </w:r>
            <w:r w:rsidRPr="00373342">
              <w:rPr>
                <w:rFonts w:ascii="Times New Roman" w:hAnsi="Times New Roman" w:cs="Times New Roman"/>
                <w:sz w:val="20"/>
                <w:szCs w:val="20"/>
              </w:rPr>
              <w:br/>
            </w:r>
            <w:r w:rsidRPr="00373342">
              <w:rPr>
                <w:rFonts w:ascii="Times New Roman" w:hAnsi="Times New Roman" w:cs="Times New Roman"/>
                <w:sz w:val="20"/>
                <w:szCs w:val="20"/>
              </w:rPr>
              <w:br/>
              <w:t xml:space="preserve">b) identifikimin e çdo Entiteti përbërës të Grupit të shoqërive shumëkombëshe, duke përcaktuar juridiksionin e rezidencës tatimore të atij Entiteti përbërës dhe, kur është i ndryshëm nga juridiksioni i rezidencës tatimore, juridiksionin sipas ligjeve të të cilit </w:t>
            </w:r>
            <w:r w:rsidRPr="00373342">
              <w:rPr>
                <w:rFonts w:ascii="Times New Roman" w:hAnsi="Times New Roman" w:cs="Times New Roman"/>
                <w:sz w:val="20"/>
                <w:szCs w:val="20"/>
              </w:rPr>
              <w:lastRenderedPageBreak/>
              <w:t>është organizuar Entiteti përbërës, si dhe natyrën e aktivitetit ose aktiviteteve kryesore të biznesit të atij Entiteti përbërës.</w:t>
            </w:r>
            <w:r w:rsidRPr="00373342">
              <w:rPr>
                <w:rFonts w:ascii="Times New Roman" w:hAnsi="Times New Roman" w:cs="Times New Roman"/>
                <w:sz w:val="20"/>
                <w:szCs w:val="20"/>
              </w:rPr>
              <w:br/>
            </w:r>
            <w:r w:rsidRPr="00373342">
              <w:rPr>
                <w:rFonts w:ascii="Times New Roman" w:hAnsi="Times New Roman" w:cs="Times New Roman"/>
                <w:sz w:val="20"/>
                <w:szCs w:val="20"/>
              </w:rPr>
              <w:br/>
              <w:t>4. Komunikimi kryhet brenda 15 muajve nga dita e fundit e Vitit fiskal të Grupit të shoqërive shumëkombëshe të cilit i referohet raporti për çdo vend. Raporti i parë për çdo vend komunikohet për Vitin fiskal të Grupit të shoqërive shumëkombëshe që fillon më ose pas datës 1 janar 2016 dhe komunikimi kryhet brenda 18 muajve nga dita e fundit e atij Viti fiskal.</w:t>
            </w:r>
          </w:p>
          <w:p w14:paraId="17812D40" w14:textId="77777777" w:rsidR="00A14DCE" w:rsidRPr="00373342" w:rsidRDefault="00A14DCE" w:rsidP="00373342">
            <w:pPr>
              <w:spacing w:line="276" w:lineRule="auto"/>
              <w:rPr>
                <w:rFonts w:ascii="Times New Roman" w:hAnsi="Times New Roman" w:cs="Times New Roman"/>
                <w:sz w:val="20"/>
                <w:szCs w:val="20"/>
              </w:rPr>
            </w:pPr>
          </w:p>
          <w:p w14:paraId="51B1AA65" w14:textId="77777777" w:rsidR="00A14DCE" w:rsidRPr="00373342" w:rsidRDefault="00A14DCE" w:rsidP="00373342">
            <w:pPr>
              <w:spacing w:line="276" w:lineRule="auto"/>
              <w:rPr>
                <w:rFonts w:ascii="Times New Roman" w:hAnsi="Times New Roman" w:cs="Times New Roman"/>
                <w:sz w:val="20"/>
                <w:szCs w:val="20"/>
              </w:rPr>
            </w:pPr>
          </w:p>
          <w:p w14:paraId="27E2BCBC" w14:textId="77777777" w:rsidR="00A14DCE" w:rsidRPr="00373342" w:rsidRDefault="00A14DCE" w:rsidP="00373342">
            <w:pPr>
              <w:spacing w:line="276" w:lineRule="auto"/>
              <w:rPr>
                <w:rFonts w:ascii="Times New Roman" w:hAnsi="Times New Roman" w:cs="Times New Roman"/>
                <w:sz w:val="20"/>
                <w:szCs w:val="20"/>
              </w:rPr>
            </w:pPr>
          </w:p>
          <w:p w14:paraId="406F3C2F" w14:textId="77777777" w:rsidR="00A14DCE" w:rsidRPr="00373342" w:rsidRDefault="00A14DCE" w:rsidP="00373342">
            <w:pPr>
              <w:spacing w:line="276" w:lineRule="auto"/>
              <w:rPr>
                <w:rFonts w:ascii="Times New Roman" w:hAnsi="Times New Roman" w:cs="Times New Roman"/>
                <w:sz w:val="20"/>
                <w:szCs w:val="20"/>
              </w:rPr>
            </w:pPr>
          </w:p>
          <w:p w14:paraId="0664A048" w14:textId="77777777" w:rsidR="00A14DCE" w:rsidRPr="00373342" w:rsidRDefault="00A14DCE" w:rsidP="00373342">
            <w:pPr>
              <w:spacing w:line="276" w:lineRule="auto"/>
              <w:rPr>
                <w:rFonts w:ascii="Times New Roman" w:hAnsi="Times New Roman" w:cs="Times New Roman"/>
                <w:sz w:val="20"/>
                <w:szCs w:val="20"/>
              </w:rPr>
            </w:pPr>
          </w:p>
          <w:p w14:paraId="5D65AF63" w14:textId="77777777" w:rsidR="00A14DCE" w:rsidRPr="00373342" w:rsidRDefault="00A14DCE" w:rsidP="00373342">
            <w:pPr>
              <w:spacing w:line="276" w:lineRule="auto"/>
              <w:rPr>
                <w:rFonts w:ascii="Times New Roman" w:hAnsi="Times New Roman" w:cs="Times New Roman"/>
                <w:sz w:val="20"/>
                <w:szCs w:val="20"/>
              </w:rPr>
            </w:pPr>
          </w:p>
          <w:p w14:paraId="210662E0" w14:textId="77777777" w:rsidR="00A14DCE" w:rsidRPr="00373342" w:rsidRDefault="00A14DCE" w:rsidP="00373342">
            <w:pPr>
              <w:spacing w:line="276" w:lineRule="auto"/>
              <w:rPr>
                <w:rFonts w:ascii="Times New Roman" w:hAnsi="Times New Roman" w:cs="Times New Roman"/>
                <w:sz w:val="20"/>
                <w:szCs w:val="20"/>
              </w:rPr>
            </w:pPr>
          </w:p>
          <w:p w14:paraId="0D0BF329" w14:textId="77777777" w:rsidR="00A14DCE" w:rsidRPr="00373342" w:rsidRDefault="00A14DCE" w:rsidP="00373342">
            <w:pPr>
              <w:spacing w:line="276" w:lineRule="auto"/>
              <w:rPr>
                <w:rFonts w:ascii="Times New Roman" w:hAnsi="Times New Roman" w:cs="Times New Roman"/>
                <w:sz w:val="20"/>
                <w:szCs w:val="20"/>
              </w:rPr>
            </w:pPr>
          </w:p>
          <w:p w14:paraId="1E7C1FD2" w14:textId="77777777" w:rsidR="00A14DCE" w:rsidRPr="00373342" w:rsidRDefault="00A14DCE" w:rsidP="00373342">
            <w:pPr>
              <w:spacing w:line="276" w:lineRule="auto"/>
              <w:rPr>
                <w:rFonts w:ascii="Times New Roman" w:hAnsi="Times New Roman" w:cs="Times New Roman"/>
                <w:sz w:val="20"/>
                <w:szCs w:val="20"/>
              </w:rPr>
            </w:pPr>
          </w:p>
          <w:p w14:paraId="1ADD9069" w14:textId="77777777" w:rsidR="00A14DCE" w:rsidRPr="00373342" w:rsidRDefault="00A14DCE" w:rsidP="00373342">
            <w:pPr>
              <w:spacing w:line="276" w:lineRule="auto"/>
              <w:rPr>
                <w:rFonts w:ascii="Times New Roman" w:hAnsi="Times New Roman" w:cs="Times New Roman"/>
                <w:sz w:val="20"/>
                <w:szCs w:val="20"/>
              </w:rPr>
            </w:pPr>
          </w:p>
          <w:p w14:paraId="40F9CCCF" w14:textId="77777777" w:rsidR="00A14DCE" w:rsidRPr="00373342" w:rsidRDefault="00A14DCE" w:rsidP="00373342">
            <w:pPr>
              <w:spacing w:line="276" w:lineRule="auto"/>
              <w:rPr>
                <w:rFonts w:ascii="Times New Roman" w:hAnsi="Times New Roman" w:cs="Times New Roman"/>
                <w:sz w:val="20"/>
                <w:szCs w:val="20"/>
              </w:rPr>
            </w:pPr>
          </w:p>
          <w:p w14:paraId="4A32F1AC" w14:textId="77777777" w:rsidR="00A14DCE" w:rsidRPr="00373342" w:rsidRDefault="00A14DCE" w:rsidP="00373342">
            <w:pPr>
              <w:spacing w:line="276" w:lineRule="auto"/>
              <w:rPr>
                <w:rFonts w:ascii="Times New Roman" w:hAnsi="Times New Roman" w:cs="Times New Roman"/>
                <w:sz w:val="20"/>
                <w:szCs w:val="20"/>
              </w:rPr>
            </w:pPr>
          </w:p>
          <w:p w14:paraId="1F6E3079" w14:textId="77777777" w:rsidR="00A14DCE" w:rsidRPr="00373342" w:rsidRDefault="00A14DCE" w:rsidP="00373342">
            <w:pPr>
              <w:spacing w:line="276" w:lineRule="auto"/>
              <w:rPr>
                <w:rFonts w:ascii="Times New Roman" w:hAnsi="Times New Roman" w:cs="Times New Roman"/>
                <w:sz w:val="20"/>
                <w:szCs w:val="20"/>
              </w:rPr>
            </w:pPr>
          </w:p>
          <w:p w14:paraId="61465564" w14:textId="77777777" w:rsidR="00A14DCE" w:rsidRPr="00373342" w:rsidRDefault="00A14DCE" w:rsidP="00373342">
            <w:pPr>
              <w:spacing w:line="276" w:lineRule="auto"/>
              <w:rPr>
                <w:rFonts w:ascii="Times New Roman" w:hAnsi="Times New Roman" w:cs="Times New Roman"/>
                <w:sz w:val="20"/>
                <w:szCs w:val="20"/>
              </w:rPr>
            </w:pPr>
          </w:p>
          <w:p w14:paraId="3FBAD13D" w14:textId="6246C973" w:rsidR="00A14DCE" w:rsidRPr="00373342" w:rsidRDefault="00A14DCE" w:rsidP="00373342">
            <w:pPr>
              <w:spacing w:line="276" w:lineRule="auto"/>
              <w:rPr>
                <w:rFonts w:ascii="Times New Roman" w:hAnsi="Times New Roman" w:cs="Times New Roman"/>
                <w:sz w:val="20"/>
                <w:szCs w:val="20"/>
              </w:rPr>
            </w:pPr>
          </w:p>
        </w:tc>
        <w:tc>
          <w:tcPr>
            <w:tcW w:w="1170" w:type="dxa"/>
            <w:shd w:val="clear" w:color="auto" w:fill="FFFFFF" w:themeFill="background1"/>
          </w:tcPr>
          <w:p w14:paraId="7CF9DE09" w14:textId="15AC0FEC" w:rsidR="00A14DCE" w:rsidRPr="00373342" w:rsidRDefault="00C214BD"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lastRenderedPageBreak/>
              <w:t>1</w:t>
            </w:r>
          </w:p>
        </w:tc>
        <w:tc>
          <w:tcPr>
            <w:tcW w:w="1260" w:type="dxa"/>
            <w:shd w:val="clear" w:color="auto" w:fill="FFFFFF" w:themeFill="background1"/>
          </w:tcPr>
          <w:p w14:paraId="6C61D585" w14:textId="77777777" w:rsidR="007F3D06" w:rsidRDefault="00DB27BA"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63/2, pika 1</w:t>
            </w:r>
            <w:r w:rsidRPr="00373342">
              <w:rPr>
                <w:rFonts w:ascii="Times New Roman" w:hAnsi="Times New Roman" w:cs="Times New Roman"/>
                <w:sz w:val="20"/>
                <w:szCs w:val="20"/>
              </w:rPr>
              <w:br/>
            </w:r>
            <w:r w:rsidRPr="00373342">
              <w:rPr>
                <w:rFonts w:ascii="Times New Roman" w:hAnsi="Times New Roman" w:cs="Times New Roman"/>
                <w:sz w:val="20"/>
                <w:szCs w:val="20"/>
              </w:rPr>
              <w:br/>
            </w:r>
          </w:p>
          <w:p w14:paraId="12B6CA1B" w14:textId="77777777" w:rsidR="007F3D06" w:rsidRDefault="007F3D06" w:rsidP="00373342">
            <w:pPr>
              <w:spacing w:line="276" w:lineRule="auto"/>
              <w:jc w:val="center"/>
              <w:rPr>
                <w:rFonts w:ascii="Times New Roman" w:hAnsi="Times New Roman" w:cs="Times New Roman"/>
                <w:sz w:val="20"/>
                <w:szCs w:val="20"/>
              </w:rPr>
            </w:pPr>
          </w:p>
          <w:p w14:paraId="47366D2C" w14:textId="77777777" w:rsidR="007F3D06" w:rsidRDefault="007F3D06" w:rsidP="00373342">
            <w:pPr>
              <w:spacing w:line="276" w:lineRule="auto"/>
              <w:jc w:val="center"/>
              <w:rPr>
                <w:rFonts w:ascii="Times New Roman" w:hAnsi="Times New Roman" w:cs="Times New Roman"/>
                <w:sz w:val="20"/>
                <w:szCs w:val="20"/>
              </w:rPr>
            </w:pPr>
          </w:p>
          <w:p w14:paraId="3DC0AB30" w14:textId="77777777" w:rsidR="007F3D06" w:rsidRDefault="007F3D06" w:rsidP="00373342">
            <w:pPr>
              <w:spacing w:line="276" w:lineRule="auto"/>
              <w:jc w:val="center"/>
              <w:rPr>
                <w:rFonts w:ascii="Times New Roman" w:hAnsi="Times New Roman" w:cs="Times New Roman"/>
                <w:sz w:val="20"/>
                <w:szCs w:val="20"/>
              </w:rPr>
            </w:pPr>
          </w:p>
          <w:p w14:paraId="3AAC15C9" w14:textId="77777777" w:rsidR="007F3D06" w:rsidRDefault="007F3D06" w:rsidP="00373342">
            <w:pPr>
              <w:spacing w:line="276" w:lineRule="auto"/>
              <w:jc w:val="center"/>
              <w:rPr>
                <w:rFonts w:ascii="Times New Roman" w:hAnsi="Times New Roman" w:cs="Times New Roman"/>
                <w:sz w:val="20"/>
                <w:szCs w:val="20"/>
              </w:rPr>
            </w:pPr>
          </w:p>
          <w:p w14:paraId="1FDE99A0" w14:textId="77777777" w:rsidR="007F3D06" w:rsidRDefault="007F3D06" w:rsidP="00373342">
            <w:pPr>
              <w:spacing w:line="276" w:lineRule="auto"/>
              <w:jc w:val="center"/>
              <w:rPr>
                <w:rFonts w:ascii="Times New Roman" w:hAnsi="Times New Roman" w:cs="Times New Roman"/>
                <w:sz w:val="20"/>
                <w:szCs w:val="20"/>
              </w:rPr>
            </w:pPr>
          </w:p>
          <w:p w14:paraId="6F698263" w14:textId="77777777" w:rsidR="007F3D06" w:rsidRDefault="007F3D06" w:rsidP="00373342">
            <w:pPr>
              <w:spacing w:line="276" w:lineRule="auto"/>
              <w:jc w:val="center"/>
              <w:rPr>
                <w:rFonts w:ascii="Times New Roman" w:hAnsi="Times New Roman" w:cs="Times New Roman"/>
                <w:sz w:val="20"/>
                <w:szCs w:val="20"/>
              </w:rPr>
            </w:pPr>
          </w:p>
          <w:p w14:paraId="711BA681" w14:textId="77777777" w:rsidR="007F3D06" w:rsidRDefault="007F3D06" w:rsidP="00373342">
            <w:pPr>
              <w:spacing w:line="276" w:lineRule="auto"/>
              <w:jc w:val="center"/>
              <w:rPr>
                <w:rFonts w:ascii="Times New Roman" w:hAnsi="Times New Roman" w:cs="Times New Roman"/>
                <w:sz w:val="20"/>
                <w:szCs w:val="20"/>
              </w:rPr>
            </w:pPr>
          </w:p>
          <w:p w14:paraId="55143078" w14:textId="77777777" w:rsidR="007F3D06" w:rsidRDefault="007F3D06" w:rsidP="00373342">
            <w:pPr>
              <w:spacing w:line="276" w:lineRule="auto"/>
              <w:jc w:val="center"/>
              <w:rPr>
                <w:rFonts w:ascii="Times New Roman" w:hAnsi="Times New Roman" w:cs="Times New Roman"/>
                <w:sz w:val="20"/>
                <w:szCs w:val="20"/>
              </w:rPr>
            </w:pPr>
          </w:p>
          <w:p w14:paraId="109F7DD0" w14:textId="77777777" w:rsidR="007F3D06" w:rsidRDefault="007F3D06" w:rsidP="00373342">
            <w:pPr>
              <w:spacing w:line="276" w:lineRule="auto"/>
              <w:jc w:val="center"/>
              <w:rPr>
                <w:rFonts w:ascii="Times New Roman" w:hAnsi="Times New Roman" w:cs="Times New Roman"/>
                <w:sz w:val="20"/>
                <w:szCs w:val="20"/>
              </w:rPr>
            </w:pPr>
          </w:p>
          <w:p w14:paraId="0F215336" w14:textId="77777777" w:rsidR="007F3D06" w:rsidRDefault="007F3D06" w:rsidP="00373342">
            <w:pPr>
              <w:spacing w:line="276" w:lineRule="auto"/>
              <w:jc w:val="center"/>
              <w:rPr>
                <w:rFonts w:ascii="Times New Roman" w:hAnsi="Times New Roman" w:cs="Times New Roman"/>
                <w:sz w:val="20"/>
                <w:szCs w:val="20"/>
              </w:rPr>
            </w:pPr>
          </w:p>
          <w:p w14:paraId="7389EDD9" w14:textId="77777777" w:rsidR="007F3D06" w:rsidRDefault="007F3D06" w:rsidP="00373342">
            <w:pPr>
              <w:spacing w:line="276" w:lineRule="auto"/>
              <w:jc w:val="center"/>
              <w:rPr>
                <w:rFonts w:ascii="Times New Roman" w:hAnsi="Times New Roman" w:cs="Times New Roman"/>
                <w:sz w:val="20"/>
                <w:szCs w:val="20"/>
              </w:rPr>
            </w:pPr>
          </w:p>
          <w:p w14:paraId="1A771292" w14:textId="77777777" w:rsidR="007F3D06" w:rsidRDefault="007F3D06" w:rsidP="00373342">
            <w:pPr>
              <w:spacing w:line="276" w:lineRule="auto"/>
              <w:jc w:val="center"/>
              <w:rPr>
                <w:rFonts w:ascii="Times New Roman" w:hAnsi="Times New Roman" w:cs="Times New Roman"/>
                <w:sz w:val="20"/>
                <w:szCs w:val="20"/>
              </w:rPr>
            </w:pPr>
          </w:p>
          <w:p w14:paraId="35B41BE7" w14:textId="77777777" w:rsidR="007F3D06" w:rsidRDefault="007F3D06" w:rsidP="00373342">
            <w:pPr>
              <w:spacing w:line="276" w:lineRule="auto"/>
              <w:jc w:val="center"/>
              <w:rPr>
                <w:rFonts w:ascii="Times New Roman" w:hAnsi="Times New Roman" w:cs="Times New Roman"/>
                <w:sz w:val="20"/>
                <w:szCs w:val="20"/>
              </w:rPr>
            </w:pPr>
          </w:p>
          <w:p w14:paraId="6CCB1518" w14:textId="77777777" w:rsidR="007F3D06" w:rsidRDefault="00DB27BA"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lastRenderedPageBreak/>
              <w:t>Neni 63/4, pika 1</w:t>
            </w:r>
            <w:r w:rsidRPr="00373342">
              <w:rPr>
                <w:rFonts w:ascii="Times New Roman" w:hAnsi="Times New Roman" w:cs="Times New Roman"/>
                <w:sz w:val="20"/>
                <w:szCs w:val="20"/>
              </w:rPr>
              <w:br/>
            </w:r>
            <w:r w:rsidRPr="00373342">
              <w:rPr>
                <w:rFonts w:ascii="Times New Roman" w:hAnsi="Times New Roman" w:cs="Times New Roman"/>
                <w:sz w:val="20"/>
                <w:szCs w:val="20"/>
              </w:rPr>
              <w:br/>
            </w:r>
          </w:p>
          <w:p w14:paraId="66D0DD20" w14:textId="77777777" w:rsidR="007F3D06" w:rsidRDefault="007F3D06" w:rsidP="00373342">
            <w:pPr>
              <w:spacing w:line="276" w:lineRule="auto"/>
              <w:jc w:val="center"/>
              <w:rPr>
                <w:rFonts w:ascii="Times New Roman" w:hAnsi="Times New Roman" w:cs="Times New Roman"/>
                <w:sz w:val="20"/>
                <w:szCs w:val="20"/>
              </w:rPr>
            </w:pPr>
          </w:p>
          <w:p w14:paraId="6070EE49" w14:textId="77777777" w:rsidR="007F3D06" w:rsidRDefault="007F3D06" w:rsidP="00373342">
            <w:pPr>
              <w:spacing w:line="276" w:lineRule="auto"/>
              <w:jc w:val="center"/>
              <w:rPr>
                <w:rFonts w:ascii="Times New Roman" w:hAnsi="Times New Roman" w:cs="Times New Roman"/>
                <w:sz w:val="20"/>
                <w:szCs w:val="20"/>
              </w:rPr>
            </w:pPr>
          </w:p>
          <w:p w14:paraId="2A0122B6" w14:textId="77777777" w:rsidR="007F3D06" w:rsidRDefault="007F3D06" w:rsidP="00373342">
            <w:pPr>
              <w:spacing w:line="276" w:lineRule="auto"/>
              <w:jc w:val="center"/>
              <w:rPr>
                <w:rFonts w:ascii="Times New Roman" w:hAnsi="Times New Roman" w:cs="Times New Roman"/>
                <w:sz w:val="20"/>
                <w:szCs w:val="20"/>
              </w:rPr>
            </w:pPr>
          </w:p>
          <w:p w14:paraId="177CF5CE" w14:textId="77777777" w:rsidR="007F3D06" w:rsidRDefault="007F3D06" w:rsidP="00373342">
            <w:pPr>
              <w:spacing w:line="276" w:lineRule="auto"/>
              <w:jc w:val="center"/>
              <w:rPr>
                <w:rFonts w:ascii="Times New Roman" w:hAnsi="Times New Roman" w:cs="Times New Roman"/>
                <w:sz w:val="20"/>
                <w:szCs w:val="20"/>
              </w:rPr>
            </w:pPr>
          </w:p>
          <w:p w14:paraId="72170D62" w14:textId="77777777" w:rsidR="007F3D06" w:rsidRDefault="007F3D06" w:rsidP="00373342">
            <w:pPr>
              <w:spacing w:line="276" w:lineRule="auto"/>
              <w:jc w:val="center"/>
              <w:rPr>
                <w:rFonts w:ascii="Times New Roman" w:hAnsi="Times New Roman" w:cs="Times New Roman"/>
                <w:sz w:val="20"/>
                <w:szCs w:val="20"/>
              </w:rPr>
            </w:pPr>
          </w:p>
          <w:p w14:paraId="58DE5B80" w14:textId="77777777" w:rsidR="007F3D06" w:rsidRDefault="007F3D06" w:rsidP="00373342">
            <w:pPr>
              <w:spacing w:line="276" w:lineRule="auto"/>
              <w:jc w:val="center"/>
              <w:rPr>
                <w:rFonts w:ascii="Times New Roman" w:hAnsi="Times New Roman" w:cs="Times New Roman"/>
                <w:sz w:val="20"/>
                <w:szCs w:val="20"/>
              </w:rPr>
            </w:pPr>
          </w:p>
          <w:p w14:paraId="0CB3EAA4" w14:textId="77777777" w:rsidR="007F3D06" w:rsidRDefault="007F3D06" w:rsidP="00373342">
            <w:pPr>
              <w:spacing w:line="276" w:lineRule="auto"/>
              <w:jc w:val="center"/>
              <w:rPr>
                <w:rFonts w:ascii="Times New Roman" w:hAnsi="Times New Roman" w:cs="Times New Roman"/>
                <w:sz w:val="20"/>
                <w:szCs w:val="20"/>
              </w:rPr>
            </w:pPr>
          </w:p>
          <w:p w14:paraId="64FFDA8C" w14:textId="77777777" w:rsidR="007F3D06" w:rsidRDefault="007F3D06" w:rsidP="00373342">
            <w:pPr>
              <w:spacing w:line="276" w:lineRule="auto"/>
              <w:jc w:val="center"/>
              <w:rPr>
                <w:rFonts w:ascii="Times New Roman" w:hAnsi="Times New Roman" w:cs="Times New Roman"/>
                <w:sz w:val="20"/>
                <w:szCs w:val="20"/>
              </w:rPr>
            </w:pPr>
          </w:p>
          <w:p w14:paraId="54E5B9DE" w14:textId="77777777" w:rsidR="007F3D06" w:rsidRDefault="007F3D06" w:rsidP="00373342">
            <w:pPr>
              <w:spacing w:line="276" w:lineRule="auto"/>
              <w:jc w:val="center"/>
              <w:rPr>
                <w:rFonts w:ascii="Times New Roman" w:hAnsi="Times New Roman" w:cs="Times New Roman"/>
                <w:sz w:val="20"/>
                <w:szCs w:val="20"/>
              </w:rPr>
            </w:pPr>
          </w:p>
          <w:p w14:paraId="1E5E5C08" w14:textId="77777777" w:rsidR="007F3D06" w:rsidRDefault="007F3D06" w:rsidP="00373342">
            <w:pPr>
              <w:spacing w:line="276" w:lineRule="auto"/>
              <w:jc w:val="center"/>
              <w:rPr>
                <w:rFonts w:ascii="Times New Roman" w:hAnsi="Times New Roman" w:cs="Times New Roman"/>
                <w:sz w:val="20"/>
                <w:szCs w:val="20"/>
              </w:rPr>
            </w:pPr>
          </w:p>
          <w:p w14:paraId="2559CAC2" w14:textId="77777777" w:rsidR="007F3D06" w:rsidRDefault="007F3D06" w:rsidP="00373342">
            <w:pPr>
              <w:spacing w:line="276" w:lineRule="auto"/>
              <w:jc w:val="center"/>
              <w:rPr>
                <w:rFonts w:ascii="Times New Roman" w:hAnsi="Times New Roman" w:cs="Times New Roman"/>
                <w:sz w:val="20"/>
                <w:szCs w:val="20"/>
              </w:rPr>
            </w:pPr>
          </w:p>
          <w:p w14:paraId="0373A854" w14:textId="77777777" w:rsidR="007F3D06" w:rsidRDefault="007F3D06" w:rsidP="00373342">
            <w:pPr>
              <w:spacing w:line="276" w:lineRule="auto"/>
              <w:jc w:val="center"/>
              <w:rPr>
                <w:rFonts w:ascii="Times New Roman" w:hAnsi="Times New Roman" w:cs="Times New Roman"/>
                <w:sz w:val="20"/>
                <w:szCs w:val="20"/>
              </w:rPr>
            </w:pPr>
          </w:p>
          <w:p w14:paraId="269648DB" w14:textId="77777777" w:rsidR="007F3D06" w:rsidRDefault="007F3D06" w:rsidP="00373342">
            <w:pPr>
              <w:spacing w:line="276" w:lineRule="auto"/>
              <w:jc w:val="center"/>
              <w:rPr>
                <w:rFonts w:ascii="Times New Roman" w:hAnsi="Times New Roman" w:cs="Times New Roman"/>
                <w:sz w:val="20"/>
                <w:szCs w:val="20"/>
              </w:rPr>
            </w:pPr>
          </w:p>
          <w:p w14:paraId="36B726BF" w14:textId="77777777" w:rsidR="007F3D06" w:rsidRDefault="007F3D06" w:rsidP="00373342">
            <w:pPr>
              <w:spacing w:line="276" w:lineRule="auto"/>
              <w:jc w:val="center"/>
              <w:rPr>
                <w:rFonts w:ascii="Times New Roman" w:hAnsi="Times New Roman" w:cs="Times New Roman"/>
                <w:sz w:val="20"/>
                <w:szCs w:val="20"/>
              </w:rPr>
            </w:pPr>
          </w:p>
          <w:p w14:paraId="28AF4578" w14:textId="77777777" w:rsidR="007F3D06" w:rsidRDefault="007F3D06" w:rsidP="00373342">
            <w:pPr>
              <w:spacing w:line="276" w:lineRule="auto"/>
              <w:jc w:val="center"/>
              <w:rPr>
                <w:rFonts w:ascii="Times New Roman" w:hAnsi="Times New Roman" w:cs="Times New Roman"/>
                <w:sz w:val="20"/>
                <w:szCs w:val="20"/>
              </w:rPr>
            </w:pPr>
          </w:p>
          <w:p w14:paraId="5663FCB5" w14:textId="77777777" w:rsidR="007F3D06" w:rsidRDefault="007F3D06" w:rsidP="00373342">
            <w:pPr>
              <w:spacing w:line="276" w:lineRule="auto"/>
              <w:jc w:val="center"/>
              <w:rPr>
                <w:rFonts w:ascii="Times New Roman" w:hAnsi="Times New Roman" w:cs="Times New Roman"/>
                <w:sz w:val="20"/>
                <w:szCs w:val="20"/>
              </w:rPr>
            </w:pPr>
          </w:p>
          <w:p w14:paraId="158737B7" w14:textId="77777777" w:rsidR="007F3D06" w:rsidRDefault="007F3D06" w:rsidP="00373342">
            <w:pPr>
              <w:spacing w:line="276" w:lineRule="auto"/>
              <w:jc w:val="center"/>
              <w:rPr>
                <w:rFonts w:ascii="Times New Roman" w:hAnsi="Times New Roman" w:cs="Times New Roman"/>
                <w:sz w:val="20"/>
                <w:szCs w:val="20"/>
              </w:rPr>
            </w:pPr>
          </w:p>
          <w:p w14:paraId="32EA263E" w14:textId="77777777" w:rsidR="007F3D06" w:rsidRDefault="007F3D06" w:rsidP="00373342">
            <w:pPr>
              <w:spacing w:line="276" w:lineRule="auto"/>
              <w:jc w:val="center"/>
              <w:rPr>
                <w:rFonts w:ascii="Times New Roman" w:hAnsi="Times New Roman" w:cs="Times New Roman"/>
                <w:sz w:val="20"/>
                <w:szCs w:val="20"/>
              </w:rPr>
            </w:pPr>
          </w:p>
          <w:p w14:paraId="6D7AAA6C" w14:textId="77777777" w:rsidR="007F3D06" w:rsidRDefault="007F3D06" w:rsidP="00373342">
            <w:pPr>
              <w:spacing w:line="276" w:lineRule="auto"/>
              <w:jc w:val="center"/>
              <w:rPr>
                <w:rFonts w:ascii="Times New Roman" w:hAnsi="Times New Roman" w:cs="Times New Roman"/>
                <w:sz w:val="20"/>
                <w:szCs w:val="20"/>
              </w:rPr>
            </w:pPr>
          </w:p>
          <w:p w14:paraId="1F81211E" w14:textId="77777777" w:rsidR="007F3D06" w:rsidRDefault="007F3D06" w:rsidP="00373342">
            <w:pPr>
              <w:spacing w:line="276" w:lineRule="auto"/>
              <w:jc w:val="center"/>
              <w:rPr>
                <w:rFonts w:ascii="Times New Roman" w:hAnsi="Times New Roman" w:cs="Times New Roman"/>
                <w:sz w:val="20"/>
                <w:szCs w:val="20"/>
              </w:rPr>
            </w:pPr>
          </w:p>
          <w:p w14:paraId="2EFC223F" w14:textId="77777777" w:rsidR="007F3D06" w:rsidRDefault="007F3D06" w:rsidP="00373342">
            <w:pPr>
              <w:spacing w:line="276" w:lineRule="auto"/>
              <w:jc w:val="center"/>
              <w:rPr>
                <w:rFonts w:ascii="Times New Roman" w:hAnsi="Times New Roman" w:cs="Times New Roman"/>
                <w:sz w:val="20"/>
                <w:szCs w:val="20"/>
              </w:rPr>
            </w:pPr>
          </w:p>
          <w:p w14:paraId="25EA00CA" w14:textId="77777777" w:rsidR="007F3D06" w:rsidRDefault="007F3D06" w:rsidP="00373342">
            <w:pPr>
              <w:spacing w:line="276" w:lineRule="auto"/>
              <w:jc w:val="center"/>
              <w:rPr>
                <w:rFonts w:ascii="Times New Roman" w:hAnsi="Times New Roman" w:cs="Times New Roman"/>
                <w:sz w:val="20"/>
                <w:szCs w:val="20"/>
              </w:rPr>
            </w:pPr>
          </w:p>
          <w:p w14:paraId="6653080B" w14:textId="77777777" w:rsidR="007F3D06" w:rsidRDefault="007F3D06" w:rsidP="00373342">
            <w:pPr>
              <w:spacing w:line="276" w:lineRule="auto"/>
              <w:jc w:val="center"/>
              <w:rPr>
                <w:rFonts w:ascii="Times New Roman" w:hAnsi="Times New Roman" w:cs="Times New Roman"/>
                <w:sz w:val="20"/>
                <w:szCs w:val="20"/>
              </w:rPr>
            </w:pPr>
          </w:p>
          <w:p w14:paraId="33756221" w14:textId="77777777" w:rsidR="007F3D06" w:rsidRDefault="007F3D06" w:rsidP="00373342">
            <w:pPr>
              <w:spacing w:line="276" w:lineRule="auto"/>
              <w:jc w:val="center"/>
              <w:rPr>
                <w:rFonts w:ascii="Times New Roman" w:hAnsi="Times New Roman" w:cs="Times New Roman"/>
                <w:sz w:val="20"/>
                <w:szCs w:val="20"/>
              </w:rPr>
            </w:pPr>
          </w:p>
          <w:p w14:paraId="420A360B" w14:textId="77777777" w:rsidR="007F3D06" w:rsidRDefault="007F3D06" w:rsidP="00373342">
            <w:pPr>
              <w:spacing w:line="276" w:lineRule="auto"/>
              <w:jc w:val="center"/>
              <w:rPr>
                <w:rFonts w:ascii="Times New Roman" w:hAnsi="Times New Roman" w:cs="Times New Roman"/>
                <w:sz w:val="20"/>
                <w:szCs w:val="20"/>
              </w:rPr>
            </w:pPr>
          </w:p>
          <w:p w14:paraId="43AC123C" w14:textId="77777777" w:rsidR="007F3D06" w:rsidRDefault="00DB27BA"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63/5</w:t>
            </w:r>
            <w:r w:rsidRPr="00373342">
              <w:rPr>
                <w:rFonts w:ascii="Times New Roman" w:hAnsi="Times New Roman" w:cs="Times New Roman"/>
                <w:sz w:val="20"/>
                <w:szCs w:val="20"/>
              </w:rPr>
              <w:br/>
            </w:r>
            <w:r w:rsidRPr="00373342">
              <w:rPr>
                <w:rFonts w:ascii="Times New Roman" w:hAnsi="Times New Roman" w:cs="Times New Roman"/>
                <w:sz w:val="20"/>
                <w:szCs w:val="20"/>
              </w:rPr>
              <w:br/>
            </w:r>
          </w:p>
          <w:p w14:paraId="485CE7A8" w14:textId="77777777" w:rsidR="007F3D06" w:rsidRDefault="007F3D06" w:rsidP="00373342">
            <w:pPr>
              <w:spacing w:line="276" w:lineRule="auto"/>
              <w:jc w:val="center"/>
              <w:rPr>
                <w:rFonts w:ascii="Times New Roman" w:hAnsi="Times New Roman" w:cs="Times New Roman"/>
                <w:sz w:val="20"/>
                <w:szCs w:val="20"/>
              </w:rPr>
            </w:pPr>
          </w:p>
          <w:p w14:paraId="5C02F955" w14:textId="77777777" w:rsidR="007F3D06" w:rsidRDefault="007F3D06" w:rsidP="00373342">
            <w:pPr>
              <w:spacing w:line="276" w:lineRule="auto"/>
              <w:jc w:val="center"/>
              <w:rPr>
                <w:rFonts w:ascii="Times New Roman" w:hAnsi="Times New Roman" w:cs="Times New Roman"/>
                <w:sz w:val="20"/>
                <w:szCs w:val="20"/>
              </w:rPr>
            </w:pPr>
          </w:p>
          <w:p w14:paraId="76CE446B" w14:textId="77777777" w:rsidR="007F3D06" w:rsidRDefault="007F3D06" w:rsidP="00373342">
            <w:pPr>
              <w:spacing w:line="276" w:lineRule="auto"/>
              <w:jc w:val="center"/>
              <w:rPr>
                <w:rFonts w:ascii="Times New Roman" w:hAnsi="Times New Roman" w:cs="Times New Roman"/>
                <w:sz w:val="20"/>
                <w:szCs w:val="20"/>
              </w:rPr>
            </w:pPr>
          </w:p>
          <w:p w14:paraId="0E9DE4B9" w14:textId="77777777" w:rsidR="007F3D06" w:rsidRDefault="007F3D06" w:rsidP="00373342">
            <w:pPr>
              <w:spacing w:line="276" w:lineRule="auto"/>
              <w:jc w:val="center"/>
              <w:rPr>
                <w:rFonts w:ascii="Times New Roman" w:hAnsi="Times New Roman" w:cs="Times New Roman"/>
                <w:sz w:val="20"/>
                <w:szCs w:val="20"/>
              </w:rPr>
            </w:pPr>
          </w:p>
          <w:p w14:paraId="222CD419" w14:textId="77777777" w:rsidR="007F3D06" w:rsidRDefault="007F3D06" w:rsidP="00373342">
            <w:pPr>
              <w:spacing w:line="276" w:lineRule="auto"/>
              <w:jc w:val="center"/>
              <w:rPr>
                <w:rFonts w:ascii="Times New Roman" w:hAnsi="Times New Roman" w:cs="Times New Roman"/>
                <w:sz w:val="20"/>
                <w:szCs w:val="20"/>
              </w:rPr>
            </w:pPr>
          </w:p>
          <w:p w14:paraId="7F1C4B4F" w14:textId="77777777" w:rsidR="007F3D06" w:rsidRDefault="007F3D06" w:rsidP="00373342">
            <w:pPr>
              <w:spacing w:line="276" w:lineRule="auto"/>
              <w:jc w:val="center"/>
              <w:rPr>
                <w:rFonts w:ascii="Times New Roman" w:hAnsi="Times New Roman" w:cs="Times New Roman"/>
                <w:sz w:val="20"/>
                <w:szCs w:val="20"/>
              </w:rPr>
            </w:pPr>
          </w:p>
          <w:p w14:paraId="49B7236B" w14:textId="77777777" w:rsidR="007F3D06" w:rsidRDefault="007F3D06" w:rsidP="00373342">
            <w:pPr>
              <w:spacing w:line="276" w:lineRule="auto"/>
              <w:jc w:val="center"/>
              <w:rPr>
                <w:rFonts w:ascii="Times New Roman" w:hAnsi="Times New Roman" w:cs="Times New Roman"/>
                <w:sz w:val="20"/>
                <w:szCs w:val="20"/>
              </w:rPr>
            </w:pPr>
          </w:p>
          <w:p w14:paraId="23FCB0D6" w14:textId="7B821D9E" w:rsidR="00DB27BA" w:rsidRPr="00373342" w:rsidRDefault="00DB27BA"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63/7, pikat 1 dhe 2</w:t>
            </w:r>
          </w:p>
          <w:p w14:paraId="3018C40E" w14:textId="77777777" w:rsidR="00DB27BA" w:rsidRPr="00373342" w:rsidRDefault="00DB27BA" w:rsidP="00373342">
            <w:pPr>
              <w:spacing w:line="276" w:lineRule="auto"/>
              <w:jc w:val="center"/>
              <w:rPr>
                <w:rFonts w:ascii="Times New Roman" w:hAnsi="Times New Roman" w:cs="Times New Roman"/>
                <w:sz w:val="20"/>
                <w:szCs w:val="20"/>
              </w:rPr>
            </w:pPr>
          </w:p>
          <w:p w14:paraId="03635748" w14:textId="77777777" w:rsidR="00DE15DE" w:rsidRPr="00373342" w:rsidRDefault="00DE15DE" w:rsidP="00373342">
            <w:pPr>
              <w:spacing w:line="276" w:lineRule="auto"/>
              <w:jc w:val="center"/>
              <w:rPr>
                <w:rFonts w:ascii="Times New Roman" w:hAnsi="Times New Roman" w:cs="Times New Roman"/>
                <w:sz w:val="20"/>
                <w:szCs w:val="20"/>
              </w:rPr>
            </w:pPr>
          </w:p>
          <w:p w14:paraId="59D1A0E0" w14:textId="77777777" w:rsidR="00DE15DE" w:rsidRPr="00373342" w:rsidRDefault="00DE15DE" w:rsidP="00373342">
            <w:pPr>
              <w:spacing w:line="276" w:lineRule="auto"/>
              <w:jc w:val="center"/>
              <w:rPr>
                <w:rFonts w:ascii="Times New Roman" w:hAnsi="Times New Roman" w:cs="Times New Roman"/>
                <w:sz w:val="20"/>
                <w:szCs w:val="20"/>
              </w:rPr>
            </w:pPr>
          </w:p>
          <w:p w14:paraId="077C2F4D" w14:textId="77777777" w:rsidR="00DE15DE" w:rsidRPr="00373342" w:rsidRDefault="00DE15DE" w:rsidP="00373342">
            <w:pPr>
              <w:spacing w:line="276" w:lineRule="auto"/>
              <w:jc w:val="center"/>
              <w:rPr>
                <w:rFonts w:ascii="Times New Roman" w:hAnsi="Times New Roman" w:cs="Times New Roman"/>
                <w:sz w:val="20"/>
                <w:szCs w:val="20"/>
              </w:rPr>
            </w:pPr>
          </w:p>
          <w:p w14:paraId="2F335AA9" w14:textId="77777777" w:rsidR="00DE15DE" w:rsidRPr="00373342" w:rsidRDefault="00DE15DE" w:rsidP="00373342">
            <w:pPr>
              <w:spacing w:line="276" w:lineRule="auto"/>
              <w:jc w:val="center"/>
              <w:rPr>
                <w:rFonts w:ascii="Times New Roman" w:hAnsi="Times New Roman" w:cs="Times New Roman"/>
                <w:sz w:val="20"/>
                <w:szCs w:val="20"/>
              </w:rPr>
            </w:pPr>
          </w:p>
          <w:p w14:paraId="41ECEC64" w14:textId="77777777" w:rsidR="00DE15DE" w:rsidRPr="00373342" w:rsidRDefault="00DE15DE" w:rsidP="00373342">
            <w:pPr>
              <w:spacing w:line="276" w:lineRule="auto"/>
              <w:jc w:val="center"/>
              <w:rPr>
                <w:rFonts w:ascii="Times New Roman" w:hAnsi="Times New Roman" w:cs="Times New Roman"/>
                <w:sz w:val="20"/>
                <w:szCs w:val="20"/>
              </w:rPr>
            </w:pPr>
          </w:p>
          <w:p w14:paraId="56DC314D" w14:textId="77777777" w:rsidR="00DE15DE" w:rsidRPr="00373342" w:rsidRDefault="00DE15DE" w:rsidP="00373342">
            <w:pPr>
              <w:spacing w:line="276" w:lineRule="auto"/>
              <w:jc w:val="center"/>
              <w:rPr>
                <w:rFonts w:ascii="Times New Roman" w:hAnsi="Times New Roman" w:cs="Times New Roman"/>
                <w:sz w:val="20"/>
                <w:szCs w:val="20"/>
              </w:rPr>
            </w:pPr>
          </w:p>
          <w:p w14:paraId="659DF827" w14:textId="77777777" w:rsidR="00DE15DE" w:rsidRPr="00373342" w:rsidRDefault="00DE15DE" w:rsidP="00373342">
            <w:pPr>
              <w:spacing w:line="276" w:lineRule="auto"/>
              <w:jc w:val="center"/>
              <w:rPr>
                <w:rFonts w:ascii="Times New Roman" w:hAnsi="Times New Roman" w:cs="Times New Roman"/>
                <w:sz w:val="20"/>
                <w:szCs w:val="20"/>
              </w:rPr>
            </w:pPr>
          </w:p>
          <w:p w14:paraId="2B23C0B7" w14:textId="77777777" w:rsidR="00DE15DE" w:rsidRPr="00373342" w:rsidRDefault="00DE15DE" w:rsidP="00373342">
            <w:pPr>
              <w:spacing w:line="276" w:lineRule="auto"/>
              <w:jc w:val="center"/>
              <w:rPr>
                <w:rFonts w:ascii="Times New Roman" w:hAnsi="Times New Roman" w:cs="Times New Roman"/>
                <w:sz w:val="20"/>
                <w:szCs w:val="20"/>
              </w:rPr>
            </w:pPr>
          </w:p>
          <w:p w14:paraId="750D5F2F" w14:textId="77777777" w:rsidR="00DE15DE" w:rsidRPr="00373342" w:rsidRDefault="00DE15DE" w:rsidP="00373342">
            <w:pPr>
              <w:spacing w:line="276" w:lineRule="auto"/>
              <w:jc w:val="center"/>
              <w:rPr>
                <w:rFonts w:ascii="Times New Roman" w:hAnsi="Times New Roman" w:cs="Times New Roman"/>
                <w:sz w:val="20"/>
                <w:szCs w:val="20"/>
              </w:rPr>
            </w:pPr>
          </w:p>
          <w:p w14:paraId="12D7C937" w14:textId="77777777" w:rsidR="00DE15DE" w:rsidRPr="00373342" w:rsidRDefault="00DE15DE" w:rsidP="00373342">
            <w:pPr>
              <w:spacing w:line="276" w:lineRule="auto"/>
              <w:jc w:val="center"/>
              <w:rPr>
                <w:rFonts w:ascii="Times New Roman" w:hAnsi="Times New Roman" w:cs="Times New Roman"/>
                <w:sz w:val="20"/>
                <w:szCs w:val="20"/>
              </w:rPr>
            </w:pPr>
          </w:p>
          <w:p w14:paraId="20AD8888" w14:textId="77777777" w:rsidR="00DE15DE" w:rsidRPr="00373342" w:rsidRDefault="00DE15DE" w:rsidP="00373342">
            <w:pPr>
              <w:spacing w:line="276" w:lineRule="auto"/>
              <w:jc w:val="center"/>
              <w:rPr>
                <w:rFonts w:ascii="Times New Roman" w:hAnsi="Times New Roman" w:cs="Times New Roman"/>
                <w:sz w:val="20"/>
                <w:szCs w:val="20"/>
              </w:rPr>
            </w:pPr>
          </w:p>
          <w:p w14:paraId="1CC73C4B" w14:textId="77777777" w:rsidR="00DE15DE" w:rsidRPr="00373342" w:rsidRDefault="00DE15DE" w:rsidP="00373342">
            <w:pPr>
              <w:spacing w:line="276" w:lineRule="auto"/>
              <w:jc w:val="center"/>
              <w:rPr>
                <w:rFonts w:ascii="Times New Roman" w:hAnsi="Times New Roman" w:cs="Times New Roman"/>
                <w:sz w:val="20"/>
                <w:szCs w:val="20"/>
              </w:rPr>
            </w:pPr>
          </w:p>
          <w:p w14:paraId="769BFB33" w14:textId="77777777" w:rsidR="00DE15DE" w:rsidRPr="00373342" w:rsidRDefault="00DE15DE" w:rsidP="00373342">
            <w:pPr>
              <w:spacing w:line="276" w:lineRule="auto"/>
              <w:jc w:val="center"/>
              <w:rPr>
                <w:rFonts w:ascii="Times New Roman" w:hAnsi="Times New Roman" w:cs="Times New Roman"/>
                <w:sz w:val="20"/>
                <w:szCs w:val="20"/>
              </w:rPr>
            </w:pPr>
          </w:p>
          <w:p w14:paraId="41261D69" w14:textId="2260CCC2" w:rsidR="00DB27BA" w:rsidRPr="00373342" w:rsidRDefault="00DB27BA" w:rsidP="00373342">
            <w:pPr>
              <w:spacing w:line="276" w:lineRule="auto"/>
              <w:jc w:val="center"/>
              <w:rPr>
                <w:rFonts w:ascii="Times New Roman" w:hAnsi="Times New Roman" w:cs="Times New Roman"/>
                <w:sz w:val="20"/>
                <w:szCs w:val="20"/>
              </w:rPr>
            </w:pPr>
          </w:p>
          <w:p w14:paraId="6E431431" w14:textId="77777777" w:rsidR="00DB27BA" w:rsidRPr="00373342" w:rsidRDefault="00DB27BA" w:rsidP="00373342">
            <w:pPr>
              <w:spacing w:line="276" w:lineRule="auto"/>
              <w:jc w:val="center"/>
              <w:rPr>
                <w:rFonts w:ascii="Times New Roman" w:hAnsi="Times New Roman" w:cs="Times New Roman"/>
                <w:sz w:val="20"/>
                <w:szCs w:val="20"/>
              </w:rPr>
            </w:pPr>
          </w:p>
          <w:p w14:paraId="0FC77EAF" w14:textId="77777777" w:rsidR="00DE15DE" w:rsidRPr="00373342" w:rsidRDefault="00DE15DE" w:rsidP="00373342">
            <w:pPr>
              <w:spacing w:line="276" w:lineRule="auto"/>
              <w:jc w:val="center"/>
              <w:rPr>
                <w:rFonts w:ascii="Times New Roman" w:hAnsi="Times New Roman" w:cs="Times New Roman"/>
                <w:sz w:val="20"/>
                <w:szCs w:val="20"/>
              </w:rPr>
            </w:pPr>
          </w:p>
          <w:p w14:paraId="6E02E024" w14:textId="77777777" w:rsidR="00DE15DE" w:rsidRPr="00373342" w:rsidRDefault="00DE15DE" w:rsidP="00373342">
            <w:pPr>
              <w:spacing w:line="276" w:lineRule="auto"/>
              <w:jc w:val="center"/>
              <w:rPr>
                <w:rFonts w:ascii="Times New Roman" w:hAnsi="Times New Roman" w:cs="Times New Roman"/>
                <w:sz w:val="20"/>
                <w:szCs w:val="20"/>
              </w:rPr>
            </w:pPr>
          </w:p>
          <w:p w14:paraId="495B0471" w14:textId="77777777" w:rsidR="00DE15DE" w:rsidRPr="00373342" w:rsidRDefault="00DE15DE" w:rsidP="00373342">
            <w:pPr>
              <w:spacing w:line="276" w:lineRule="auto"/>
              <w:jc w:val="center"/>
              <w:rPr>
                <w:rFonts w:ascii="Times New Roman" w:hAnsi="Times New Roman" w:cs="Times New Roman"/>
                <w:sz w:val="20"/>
                <w:szCs w:val="20"/>
              </w:rPr>
            </w:pPr>
          </w:p>
          <w:p w14:paraId="25829ADE" w14:textId="77777777" w:rsidR="00DE15DE" w:rsidRPr="00373342" w:rsidRDefault="00DE15DE" w:rsidP="00373342">
            <w:pPr>
              <w:spacing w:line="276" w:lineRule="auto"/>
              <w:jc w:val="center"/>
              <w:rPr>
                <w:rFonts w:ascii="Times New Roman" w:hAnsi="Times New Roman" w:cs="Times New Roman"/>
                <w:sz w:val="20"/>
                <w:szCs w:val="20"/>
              </w:rPr>
            </w:pPr>
          </w:p>
          <w:p w14:paraId="14360F43" w14:textId="77777777" w:rsidR="00DE15DE" w:rsidRPr="00373342" w:rsidRDefault="00DE15DE" w:rsidP="00373342">
            <w:pPr>
              <w:spacing w:line="276" w:lineRule="auto"/>
              <w:jc w:val="center"/>
              <w:rPr>
                <w:rFonts w:ascii="Times New Roman" w:hAnsi="Times New Roman" w:cs="Times New Roman"/>
                <w:sz w:val="20"/>
                <w:szCs w:val="20"/>
              </w:rPr>
            </w:pPr>
          </w:p>
          <w:p w14:paraId="4ED8A75E" w14:textId="77777777" w:rsidR="00DE15DE" w:rsidRPr="00373342" w:rsidRDefault="00DE15DE" w:rsidP="00373342">
            <w:pPr>
              <w:spacing w:line="276" w:lineRule="auto"/>
              <w:jc w:val="center"/>
              <w:rPr>
                <w:rFonts w:ascii="Times New Roman" w:hAnsi="Times New Roman" w:cs="Times New Roman"/>
                <w:sz w:val="20"/>
                <w:szCs w:val="20"/>
              </w:rPr>
            </w:pPr>
          </w:p>
          <w:p w14:paraId="694B9D07" w14:textId="77777777" w:rsidR="00DE15DE" w:rsidRPr="00373342" w:rsidRDefault="00DE15DE" w:rsidP="00373342">
            <w:pPr>
              <w:spacing w:line="276" w:lineRule="auto"/>
              <w:jc w:val="center"/>
              <w:rPr>
                <w:rFonts w:ascii="Times New Roman" w:hAnsi="Times New Roman" w:cs="Times New Roman"/>
                <w:sz w:val="20"/>
                <w:szCs w:val="20"/>
              </w:rPr>
            </w:pPr>
          </w:p>
          <w:p w14:paraId="22F2047F" w14:textId="77777777" w:rsidR="00DE15DE" w:rsidRPr="00373342" w:rsidRDefault="00DE15DE" w:rsidP="00373342">
            <w:pPr>
              <w:spacing w:line="276" w:lineRule="auto"/>
              <w:jc w:val="center"/>
              <w:rPr>
                <w:rFonts w:ascii="Times New Roman" w:hAnsi="Times New Roman" w:cs="Times New Roman"/>
                <w:sz w:val="20"/>
                <w:szCs w:val="20"/>
              </w:rPr>
            </w:pPr>
          </w:p>
          <w:p w14:paraId="4979B140" w14:textId="77777777" w:rsidR="00DE15DE" w:rsidRPr="00373342" w:rsidRDefault="00DE15DE" w:rsidP="00373342">
            <w:pPr>
              <w:spacing w:line="276" w:lineRule="auto"/>
              <w:jc w:val="center"/>
              <w:rPr>
                <w:rFonts w:ascii="Times New Roman" w:hAnsi="Times New Roman" w:cs="Times New Roman"/>
                <w:sz w:val="20"/>
                <w:szCs w:val="20"/>
              </w:rPr>
            </w:pPr>
          </w:p>
          <w:p w14:paraId="60B46D51" w14:textId="77777777" w:rsidR="00DE15DE" w:rsidRPr="00373342" w:rsidRDefault="00DE15DE" w:rsidP="00373342">
            <w:pPr>
              <w:spacing w:line="276" w:lineRule="auto"/>
              <w:jc w:val="center"/>
              <w:rPr>
                <w:rFonts w:ascii="Times New Roman" w:hAnsi="Times New Roman" w:cs="Times New Roman"/>
                <w:sz w:val="20"/>
                <w:szCs w:val="20"/>
              </w:rPr>
            </w:pPr>
          </w:p>
          <w:p w14:paraId="1EAA7711" w14:textId="77777777" w:rsidR="00DE15DE" w:rsidRPr="00373342" w:rsidRDefault="00DE15DE" w:rsidP="00373342">
            <w:pPr>
              <w:spacing w:line="276" w:lineRule="auto"/>
              <w:jc w:val="center"/>
              <w:rPr>
                <w:rFonts w:ascii="Times New Roman" w:hAnsi="Times New Roman" w:cs="Times New Roman"/>
                <w:sz w:val="20"/>
                <w:szCs w:val="20"/>
              </w:rPr>
            </w:pPr>
          </w:p>
          <w:p w14:paraId="6B31D986" w14:textId="77777777" w:rsidR="00DE15DE" w:rsidRPr="00373342" w:rsidRDefault="00DE15DE" w:rsidP="00373342">
            <w:pPr>
              <w:spacing w:line="276" w:lineRule="auto"/>
              <w:jc w:val="center"/>
              <w:rPr>
                <w:rFonts w:ascii="Times New Roman" w:hAnsi="Times New Roman" w:cs="Times New Roman"/>
                <w:sz w:val="20"/>
                <w:szCs w:val="20"/>
              </w:rPr>
            </w:pPr>
          </w:p>
          <w:p w14:paraId="3DA5D34C" w14:textId="77777777" w:rsidR="00DE15DE" w:rsidRPr="00373342" w:rsidRDefault="00DE15DE" w:rsidP="00373342">
            <w:pPr>
              <w:spacing w:line="276" w:lineRule="auto"/>
              <w:jc w:val="center"/>
              <w:rPr>
                <w:rFonts w:ascii="Times New Roman" w:hAnsi="Times New Roman" w:cs="Times New Roman"/>
                <w:sz w:val="20"/>
                <w:szCs w:val="20"/>
              </w:rPr>
            </w:pPr>
          </w:p>
          <w:p w14:paraId="4C476935" w14:textId="77777777" w:rsidR="00DE15DE" w:rsidRPr="00373342" w:rsidRDefault="00DE15DE" w:rsidP="00373342">
            <w:pPr>
              <w:spacing w:line="276" w:lineRule="auto"/>
              <w:jc w:val="center"/>
              <w:rPr>
                <w:rFonts w:ascii="Times New Roman" w:hAnsi="Times New Roman" w:cs="Times New Roman"/>
                <w:sz w:val="20"/>
                <w:szCs w:val="20"/>
              </w:rPr>
            </w:pPr>
          </w:p>
          <w:p w14:paraId="7DD4BDAD" w14:textId="77777777" w:rsidR="00DE15DE" w:rsidRPr="00373342" w:rsidRDefault="00DE15DE" w:rsidP="00373342">
            <w:pPr>
              <w:spacing w:line="276" w:lineRule="auto"/>
              <w:jc w:val="center"/>
              <w:rPr>
                <w:rFonts w:ascii="Times New Roman" w:hAnsi="Times New Roman" w:cs="Times New Roman"/>
                <w:sz w:val="20"/>
                <w:szCs w:val="20"/>
              </w:rPr>
            </w:pPr>
          </w:p>
          <w:p w14:paraId="1EC13929" w14:textId="77777777" w:rsidR="00DE15DE" w:rsidRPr="00373342" w:rsidRDefault="00DE15DE" w:rsidP="00373342">
            <w:pPr>
              <w:spacing w:line="276" w:lineRule="auto"/>
              <w:jc w:val="center"/>
              <w:rPr>
                <w:rFonts w:ascii="Times New Roman" w:hAnsi="Times New Roman" w:cs="Times New Roman"/>
                <w:sz w:val="20"/>
                <w:szCs w:val="20"/>
              </w:rPr>
            </w:pPr>
          </w:p>
          <w:p w14:paraId="134F4A59" w14:textId="77777777" w:rsidR="00DE15DE" w:rsidRPr="00373342" w:rsidRDefault="00DE15DE" w:rsidP="00373342">
            <w:pPr>
              <w:spacing w:line="276" w:lineRule="auto"/>
              <w:jc w:val="center"/>
              <w:rPr>
                <w:rFonts w:ascii="Times New Roman" w:hAnsi="Times New Roman" w:cs="Times New Roman"/>
                <w:sz w:val="20"/>
                <w:szCs w:val="20"/>
              </w:rPr>
            </w:pPr>
          </w:p>
          <w:p w14:paraId="3A0DF38B" w14:textId="77777777" w:rsidR="00DE15DE" w:rsidRPr="00373342" w:rsidRDefault="00DE15DE" w:rsidP="00373342">
            <w:pPr>
              <w:spacing w:line="276" w:lineRule="auto"/>
              <w:jc w:val="center"/>
              <w:rPr>
                <w:rFonts w:ascii="Times New Roman" w:hAnsi="Times New Roman" w:cs="Times New Roman"/>
                <w:sz w:val="20"/>
                <w:szCs w:val="20"/>
              </w:rPr>
            </w:pPr>
          </w:p>
          <w:p w14:paraId="24D5324B" w14:textId="77777777" w:rsidR="00DE15DE" w:rsidRPr="00373342" w:rsidRDefault="00DE15DE" w:rsidP="00373342">
            <w:pPr>
              <w:spacing w:line="276" w:lineRule="auto"/>
              <w:jc w:val="center"/>
              <w:rPr>
                <w:rFonts w:ascii="Times New Roman" w:hAnsi="Times New Roman" w:cs="Times New Roman"/>
                <w:sz w:val="20"/>
                <w:szCs w:val="20"/>
              </w:rPr>
            </w:pPr>
          </w:p>
          <w:p w14:paraId="256BFBF6" w14:textId="77777777" w:rsidR="00DE15DE" w:rsidRPr="00373342" w:rsidRDefault="00DE15DE" w:rsidP="00373342">
            <w:pPr>
              <w:spacing w:line="276" w:lineRule="auto"/>
              <w:jc w:val="center"/>
              <w:rPr>
                <w:rFonts w:ascii="Times New Roman" w:hAnsi="Times New Roman" w:cs="Times New Roman"/>
                <w:sz w:val="20"/>
                <w:szCs w:val="20"/>
              </w:rPr>
            </w:pPr>
          </w:p>
          <w:p w14:paraId="37018F01" w14:textId="77777777" w:rsidR="00DE15DE" w:rsidRPr="00373342" w:rsidRDefault="00DE15DE" w:rsidP="00373342">
            <w:pPr>
              <w:spacing w:line="276" w:lineRule="auto"/>
              <w:jc w:val="center"/>
              <w:rPr>
                <w:rFonts w:ascii="Times New Roman" w:hAnsi="Times New Roman" w:cs="Times New Roman"/>
                <w:sz w:val="20"/>
                <w:szCs w:val="20"/>
              </w:rPr>
            </w:pPr>
          </w:p>
          <w:p w14:paraId="1E6A8DD8" w14:textId="3AADC23E" w:rsidR="00DB27BA" w:rsidRPr="00373342" w:rsidRDefault="00DB27BA" w:rsidP="00373342">
            <w:pPr>
              <w:spacing w:line="276" w:lineRule="auto"/>
              <w:jc w:val="center"/>
              <w:rPr>
                <w:rFonts w:ascii="Times New Roman" w:hAnsi="Times New Roman" w:cs="Times New Roman"/>
                <w:sz w:val="20"/>
                <w:szCs w:val="20"/>
              </w:rPr>
            </w:pPr>
          </w:p>
          <w:p w14:paraId="78D05CA0" w14:textId="77777777" w:rsidR="00DB27BA" w:rsidRPr="00373342" w:rsidRDefault="00DB27BA" w:rsidP="00373342">
            <w:pPr>
              <w:spacing w:line="276" w:lineRule="auto"/>
              <w:jc w:val="center"/>
              <w:rPr>
                <w:rFonts w:ascii="Times New Roman" w:hAnsi="Times New Roman" w:cs="Times New Roman"/>
                <w:sz w:val="20"/>
                <w:szCs w:val="20"/>
              </w:rPr>
            </w:pPr>
          </w:p>
          <w:p w14:paraId="6204C14E" w14:textId="77777777" w:rsidR="00DE15DE" w:rsidRPr="00373342" w:rsidRDefault="00DE15DE" w:rsidP="00373342">
            <w:pPr>
              <w:spacing w:line="276" w:lineRule="auto"/>
              <w:jc w:val="center"/>
              <w:rPr>
                <w:rFonts w:ascii="Times New Roman" w:hAnsi="Times New Roman" w:cs="Times New Roman"/>
                <w:sz w:val="20"/>
                <w:szCs w:val="20"/>
              </w:rPr>
            </w:pPr>
          </w:p>
          <w:p w14:paraId="12B18CFC" w14:textId="77777777" w:rsidR="00DE15DE" w:rsidRPr="00373342" w:rsidRDefault="00DE15DE" w:rsidP="00373342">
            <w:pPr>
              <w:spacing w:line="276" w:lineRule="auto"/>
              <w:jc w:val="center"/>
              <w:rPr>
                <w:rFonts w:ascii="Times New Roman" w:hAnsi="Times New Roman" w:cs="Times New Roman"/>
                <w:sz w:val="20"/>
                <w:szCs w:val="20"/>
              </w:rPr>
            </w:pPr>
          </w:p>
          <w:p w14:paraId="2E5FEF68" w14:textId="77777777" w:rsidR="00DE15DE" w:rsidRPr="00373342" w:rsidRDefault="00DE15DE" w:rsidP="00373342">
            <w:pPr>
              <w:spacing w:line="276" w:lineRule="auto"/>
              <w:jc w:val="center"/>
              <w:rPr>
                <w:rFonts w:ascii="Times New Roman" w:hAnsi="Times New Roman" w:cs="Times New Roman"/>
                <w:sz w:val="20"/>
                <w:szCs w:val="20"/>
              </w:rPr>
            </w:pPr>
          </w:p>
          <w:p w14:paraId="393770C4" w14:textId="77777777" w:rsidR="00DE15DE" w:rsidRPr="00373342" w:rsidRDefault="00DE15DE" w:rsidP="00373342">
            <w:pPr>
              <w:spacing w:line="276" w:lineRule="auto"/>
              <w:jc w:val="center"/>
              <w:rPr>
                <w:rFonts w:ascii="Times New Roman" w:hAnsi="Times New Roman" w:cs="Times New Roman"/>
                <w:sz w:val="20"/>
                <w:szCs w:val="20"/>
              </w:rPr>
            </w:pPr>
          </w:p>
          <w:p w14:paraId="2485C589" w14:textId="77777777" w:rsidR="00DE15DE" w:rsidRPr="00373342" w:rsidRDefault="00DE15DE" w:rsidP="00373342">
            <w:pPr>
              <w:spacing w:line="276" w:lineRule="auto"/>
              <w:jc w:val="center"/>
              <w:rPr>
                <w:rFonts w:ascii="Times New Roman" w:hAnsi="Times New Roman" w:cs="Times New Roman"/>
                <w:sz w:val="20"/>
                <w:szCs w:val="20"/>
              </w:rPr>
            </w:pPr>
          </w:p>
          <w:p w14:paraId="54C160BD" w14:textId="77777777" w:rsidR="00DE15DE" w:rsidRPr="00373342" w:rsidRDefault="00DE15DE" w:rsidP="00373342">
            <w:pPr>
              <w:spacing w:line="276" w:lineRule="auto"/>
              <w:jc w:val="center"/>
              <w:rPr>
                <w:rFonts w:ascii="Times New Roman" w:hAnsi="Times New Roman" w:cs="Times New Roman"/>
                <w:sz w:val="20"/>
                <w:szCs w:val="20"/>
              </w:rPr>
            </w:pPr>
          </w:p>
          <w:p w14:paraId="090031C2" w14:textId="77777777" w:rsidR="00DE15DE" w:rsidRPr="00373342" w:rsidRDefault="00DE15DE" w:rsidP="00373342">
            <w:pPr>
              <w:spacing w:line="276" w:lineRule="auto"/>
              <w:jc w:val="center"/>
              <w:rPr>
                <w:rFonts w:ascii="Times New Roman" w:hAnsi="Times New Roman" w:cs="Times New Roman"/>
                <w:sz w:val="20"/>
                <w:szCs w:val="20"/>
              </w:rPr>
            </w:pPr>
          </w:p>
          <w:p w14:paraId="6F853C9B" w14:textId="77777777" w:rsidR="00DE15DE" w:rsidRPr="00373342" w:rsidRDefault="00DE15DE" w:rsidP="00373342">
            <w:pPr>
              <w:spacing w:line="276" w:lineRule="auto"/>
              <w:jc w:val="center"/>
              <w:rPr>
                <w:rFonts w:ascii="Times New Roman" w:hAnsi="Times New Roman" w:cs="Times New Roman"/>
                <w:sz w:val="20"/>
                <w:szCs w:val="20"/>
              </w:rPr>
            </w:pPr>
          </w:p>
          <w:p w14:paraId="18C7F283" w14:textId="67818982" w:rsidR="00A14DCE" w:rsidRPr="00373342" w:rsidRDefault="00A14DCE" w:rsidP="00373342">
            <w:pPr>
              <w:spacing w:line="276" w:lineRule="auto"/>
              <w:jc w:val="center"/>
              <w:rPr>
                <w:rFonts w:ascii="Times New Roman" w:hAnsi="Times New Roman" w:cs="Times New Roman"/>
                <w:sz w:val="20"/>
                <w:szCs w:val="20"/>
              </w:rPr>
            </w:pPr>
          </w:p>
        </w:tc>
        <w:tc>
          <w:tcPr>
            <w:tcW w:w="3870" w:type="dxa"/>
            <w:shd w:val="clear" w:color="auto" w:fill="FFFFFF" w:themeFill="background1"/>
          </w:tcPr>
          <w:p w14:paraId="4ED78D3C" w14:textId="77777777" w:rsidR="007F3D06" w:rsidRDefault="00DB27BA" w:rsidP="007F3D06">
            <w:pPr>
              <w:spacing w:line="276" w:lineRule="auto"/>
              <w:rPr>
                <w:rFonts w:ascii="Times New Roman" w:hAnsi="Times New Roman" w:cs="Times New Roman"/>
                <w:sz w:val="20"/>
                <w:szCs w:val="20"/>
              </w:rPr>
            </w:pPr>
            <w:r w:rsidRPr="00472C4C">
              <w:rPr>
                <w:rFonts w:ascii="Times New Roman" w:hAnsi="Times New Roman" w:cs="Times New Roman"/>
                <w:sz w:val="20"/>
                <w:szCs w:val="20"/>
              </w:rPr>
              <w:lastRenderedPageBreak/>
              <w:t>Neni 63/2</w:t>
            </w:r>
            <w:r w:rsidRPr="00472C4C">
              <w:rPr>
                <w:rFonts w:ascii="Times New Roman" w:hAnsi="Times New Roman" w:cs="Times New Roman"/>
                <w:sz w:val="20"/>
                <w:szCs w:val="20"/>
              </w:rPr>
              <w:br/>
            </w:r>
            <w:r w:rsidRPr="00472C4C">
              <w:rPr>
                <w:rFonts w:ascii="Times New Roman" w:hAnsi="Times New Roman" w:cs="Times New Roman"/>
                <w:sz w:val="20"/>
                <w:szCs w:val="20"/>
              </w:rPr>
              <w:br/>
              <w:t>Detyrimi për dorëzimin e raportit për çdo vend</w:t>
            </w:r>
            <w:r w:rsidRPr="00472C4C">
              <w:rPr>
                <w:rFonts w:ascii="Times New Roman" w:hAnsi="Times New Roman" w:cs="Times New Roman"/>
                <w:sz w:val="20"/>
                <w:szCs w:val="20"/>
              </w:rPr>
              <w:br/>
            </w:r>
            <w:r w:rsidRPr="00472C4C">
              <w:rPr>
                <w:rFonts w:ascii="Times New Roman" w:hAnsi="Times New Roman" w:cs="Times New Roman"/>
                <w:sz w:val="20"/>
                <w:szCs w:val="20"/>
              </w:rPr>
              <w:br/>
              <w:t>1. Çdo entitet mëmë përfundimtar i një grupi të shoqërive shumëkombëshe, që është rezident për qëllime tatimore në Republikën e Shqipërisë, ose çdo entitet tjetër raportues në përputhje me pikën 2, të këtij neni, paraqet një raport për çdo vend, në përputhje me kërkesat e nenit 63/4, të këtij ligji, në administratën tatimore të Republikës së Shqipërisë për vitin e tij fiskal raportues, brenda afatit të përcaktuar në nenin 63/5 të këtij ligji.</w:t>
            </w:r>
            <w:r w:rsidRPr="00472C4C">
              <w:rPr>
                <w:rFonts w:ascii="Times New Roman" w:hAnsi="Times New Roman" w:cs="Times New Roman"/>
                <w:sz w:val="20"/>
                <w:szCs w:val="20"/>
              </w:rPr>
              <w:br/>
            </w:r>
            <w:r w:rsidRPr="00472C4C">
              <w:rPr>
                <w:rFonts w:ascii="Times New Roman" w:hAnsi="Times New Roman" w:cs="Times New Roman"/>
                <w:sz w:val="20"/>
                <w:szCs w:val="20"/>
              </w:rPr>
              <w:br/>
            </w:r>
          </w:p>
          <w:p w14:paraId="49AF4D27" w14:textId="599F499A" w:rsidR="00A14DCE" w:rsidRPr="00472C4C" w:rsidRDefault="00DB27BA" w:rsidP="007F3D06">
            <w:pPr>
              <w:spacing w:line="276" w:lineRule="auto"/>
              <w:rPr>
                <w:rFonts w:ascii="Times New Roman" w:hAnsi="Times New Roman" w:cs="Times New Roman"/>
                <w:sz w:val="20"/>
                <w:szCs w:val="20"/>
              </w:rPr>
            </w:pPr>
            <w:r w:rsidRPr="00472C4C">
              <w:rPr>
                <w:rFonts w:ascii="Times New Roman" w:hAnsi="Times New Roman" w:cs="Times New Roman"/>
                <w:sz w:val="20"/>
                <w:szCs w:val="20"/>
              </w:rPr>
              <w:lastRenderedPageBreak/>
              <w:t>Neni 63/4</w:t>
            </w:r>
            <w:r w:rsidRPr="00472C4C">
              <w:rPr>
                <w:rFonts w:ascii="Times New Roman" w:hAnsi="Times New Roman" w:cs="Times New Roman"/>
                <w:sz w:val="20"/>
                <w:szCs w:val="20"/>
              </w:rPr>
              <w:br/>
            </w:r>
            <w:r w:rsidRPr="00472C4C">
              <w:rPr>
                <w:rFonts w:ascii="Times New Roman" w:hAnsi="Times New Roman" w:cs="Times New Roman"/>
                <w:sz w:val="20"/>
                <w:szCs w:val="20"/>
              </w:rPr>
              <w:br/>
              <w:t>Raporti për çdo vend</w:t>
            </w:r>
            <w:r w:rsidRPr="00472C4C">
              <w:rPr>
                <w:rFonts w:ascii="Times New Roman" w:hAnsi="Times New Roman" w:cs="Times New Roman"/>
                <w:sz w:val="20"/>
                <w:szCs w:val="20"/>
              </w:rPr>
              <w:br/>
            </w:r>
            <w:r w:rsidRPr="00472C4C">
              <w:rPr>
                <w:rFonts w:ascii="Times New Roman" w:hAnsi="Times New Roman" w:cs="Times New Roman"/>
                <w:sz w:val="20"/>
                <w:szCs w:val="20"/>
              </w:rPr>
              <w:br/>
              <w:t>1. Raporti për çdo vend në lidhje me një grup shoqërie shumëkombëshe është një raport që përmban:</w:t>
            </w:r>
            <w:r w:rsidRPr="00472C4C">
              <w:rPr>
                <w:rFonts w:ascii="Times New Roman" w:hAnsi="Times New Roman" w:cs="Times New Roman"/>
                <w:sz w:val="20"/>
                <w:szCs w:val="20"/>
              </w:rPr>
              <w:br/>
            </w:r>
            <w:r w:rsidRPr="00472C4C">
              <w:rPr>
                <w:rFonts w:ascii="Times New Roman" w:hAnsi="Times New Roman" w:cs="Times New Roman"/>
                <w:sz w:val="20"/>
                <w:szCs w:val="20"/>
              </w:rPr>
              <w:br/>
              <w:t>a) informacion lidhur me shumën e të ardhurave, fitimin (humbjen) përpara tatimit mbi të ardhurat, tatimin e paguar mbi të ardhurat, tatimin e përllogaritur mbi të ardhurat, kapitalin e deklaruar, fitimet e akumuluara, numrin e punonjësve dhe asetet e prekshme, përveç parasë cash ose ekuivalentëve të saj, për çdo juridiksion në të cilin operon grupi i shoqërive shumëkombëshe;</w:t>
            </w:r>
            <w:r w:rsidRPr="00472C4C">
              <w:rPr>
                <w:rFonts w:ascii="Times New Roman" w:hAnsi="Times New Roman" w:cs="Times New Roman"/>
                <w:sz w:val="20"/>
                <w:szCs w:val="20"/>
              </w:rPr>
              <w:br/>
            </w:r>
            <w:r w:rsidRPr="00472C4C">
              <w:rPr>
                <w:rFonts w:ascii="Times New Roman" w:hAnsi="Times New Roman" w:cs="Times New Roman"/>
                <w:sz w:val="20"/>
                <w:szCs w:val="20"/>
              </w:rPr>
              <w:br/>
              <w:t>b) një identifikim të çdo entiteti përbërës të grupit të shoqërive shumëkombëshe, që përcakton juridiksionin e rezidencës tatimore të entitetit përbërës dhe, kur është i ndryshëm nga juridiksioni i rezidencës tatimore, juridiksionin sipas ligjeve të të cilit është i organizuar entiteti përbërës dhe natyrën e aktivitetit ose aktiviteteve kryesore të biznesit të entitetit përbërës.</w:t>
            </w:r>
            <w:r w:rsidRPr="00472C4C">
              <w:rPr>
                <w:rFonts w:ascii="Times New Roman" w:hAnsi="Times New Roman" w:cs="Times New Roman"/>
                <w:sz w:val="20"/>
                <w:szCs w:val="20"/>
              </w:rPr>
              <w:br/>
            </w:r>
            <w:r w:rsidRPr="00472C4C">
              <w:rPr>
                <w:rFonts w:ascii="Times New Roman" w:hAnsi="Times New Roman" w:cs="Times New Roman"/>
                <w:sz w:val="20"/>
                <w:szCs w:val="20"/>
              </w:rPr>
              <w:br/>
              <w:t>Neni 63/5</w:t>
            </w:r>
            <w:r w:rsidRPr="00472C4C">
              <w:rPr>
                <w:rFonts w:ascii="Times New Roman" w:hAnsi="Times New Roman" w:cs="Times New Roman"/>
                <w:sz w:val="20"/>
                <w:szCs w:val="20"/>
              </w:rPr>
              <w:br/>
            </w:r>
            <w:r w:rsidRPr="00472C4C">
              <w:rPr>
                <w:rFonts w:ascii="Times New Roman" w:hAnsi="Times New Roman" w:cs="Times New Roman"/>
                <w:sz w:val="20"/>
                <w:szCs w:val="20"/>
              </w:rPr>
              <w:br/>
              <w:t>Afati për dorëzim</w:t>
            </w:r>
            <w:r w:rsidRPr="00472C4C">
              <w:rPr>
                <w:rFonts w:ascii="Times New Roman" w:hAnsi="Times New Roman" w:cs="Times New Roman"/>
                <w:sz w:val="20"/>
                <w:szCs w:val="20"/>
              </w:rPr>
              <w:br/>
            </w:r>
            <w:r w:rsidRPr="00472C4C">
              <w:rPr>
                <w:rFonts w:ascii="Times New Roman" w:hAnsi="Times New Roman" w:cs="Times New Roman"/>
                <w:sz w:val="20"/>
                <w:szCs w:val="20"/>
              </w:rPr>
              <w:lastRenderedPageBreak/>
              <w:br/>
              <w:t>Raporti për çdo vend, sipas dispozitave të këtij ligji, dorëzohet jo më vonë se 12 (dymbëdhjetë) muaj pas ditës së fundit të vitit fiskal raportues të grupit të shoqërive shumëkombëshe.</w:t>
            </w:r>
            <w:r w:rsidRPr="00472C4C">
              <w:rPr>
                <w:rFonts w:ascii="Times New Roman" w:hAnsi="Times New Roman" w:cs="Times New Roman"/>
                <w:sz w:val="20"/>
                <w:szCs w:val="20"/>
              </w:rPr>
              <w:br/>
            </w:r>
            <w:r w:rsidRPr="00472C4C">
              <w:rPr>
                <w:rFonts w:ascii="Times New Roman" w:hAnsi="Times New Roman" w:cs="Times New Roman"/>
                <w:sz w:val="20"/>
                <w:szCs w:val="20"/>
              </w:rPr>
              <w:br/>
              <w:t>Neni 63/7</w:t>
            </w:r>
            <w:r w:rsidRPr="00472C4C">
              <w:rPr>
                <w:rFonts w:ascii="Times New Roman" w:hAnsi="Times New Roman" w:cs="Times New Roman"/>
                <w:sz w:val="20"/>
                <w:szCs w:val="20"/>
              </w:rPr>
              <w:br/>
            </w:r>
            <w:r w:rsidRPr="00472C4C">
              <w:rPr>
                <w:rFonts w:ascii="Times New Roman" w:hAnsi="Times New Roman" w:cs="Times New Roman"/>
                <w:sz w:val="20"/>
                <w:szCs w:val="20"/>
              </w:rPr>
              <w:br/>
              <w:t>Shkëmbimi automatik i informacionit</w:t>
            </w:r>
            <w:r w:rsidRPr="00472C4C">
              <w:rPr>
                <w:rFonts w:ascii="Times New Roman" w:hAnsi="Times New Roman" w:cs="Times New Roman"/>
                <w:sz w:val="20"/>
                <w:szCs w:val="20"/>
              </w:rPr>
              <w:br/>
            </w:r>
            <w:r w:rsidRPr="00472C4C">
              <w:rPr>
                <w:rFonts w:ascii="Times New Roman" w:hAnsi="Times New Roman" w:cs="Times New Roman"/>
                <w:sz w:val="20"/>
                <w:szCs w:val="20"/>
              </w:rPr>
              <w:br/>
              <w:t>1. Administrata tatimore e Republikës së Shqipërisë, pasi merr raportin për çdo vend në përputhje me nenin 63/2, të këtij ligji, i komunikon këtë raport, me anë të shkëmbimit automatik, çdo juridiksioni tjetër në të cilin, në bazë të informacionit në raportin për çdo vend, 1 (një) ose më shumë entitete përbërëse të grupit të shoqërive shumëkombëshe të entitetit raportues janë ose rezidentë për qëllime tatimore, ose i nënshtrohen tatimit në lidhje me biznesin e kryer nëpërmjet një selie të përhershme.</w:t>
            </w:r>
            <w:r w:rsidRPr="00472C4C">
              <w:rPr>
                <w:rFonts w:ascii="Times New Roman" w:hAnsi="Times New Roman" w:cs="Times New Roman"/>
                <w:sz w:val="20"/>
                <w:szCs w:val="20"/>
              </w:rPr>
              <w:br/>
            </w:r>
            <w:r w:rsidRPr="00472C4C">
              <w:rPr>
                <w:rFonts w:ascii="Times New Roman" w:hAnsi="Times New Roman" w:cs="Times New Roman"/>
                <w:sz w:val="20"/>
                <w:szCs w:val="20"/>
              </w:rPr>
              <w:br/>
              <w:t>2. Komunikimi automatik i këtij raporti kryhet brenda 15 (pesëmbëdhjetë) muajve nga dita e fundit e vitit fiskal të grupit të shoqërive shumëkombëshe të cilit i referohet raporti për çdo vend.</w:t>
            </w:r>
          </w:p>
        </w:tc>
        <w:tc>
          <w:tcPr>
            <w:tcW w:w="1620" w:type="dxa"/>
            <w:shd w:val="clear" w:color="auto" w:fill="FFFFFF" w:themeFill="background1"/>
          </w:tcPr>
          <w:p w14:paraId="652FA888" w14:textId="5BBA7342" w:rsidR="00A14DCE" w:rsidRPr="00373342" w:rsidRDefault="002000FA" w:rsidP="00373342">
            <w:pPr>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E plotë</w:t>
            </w:r>
          </w:p>
        </w:tc>
        <w:tc>
          <w:tcPr>
            <w:tcW w:w="2790" w:type="dxa"/>
            <w:shd w:val="clear" w:color="auto" w:fill="FFFFFF" w:themeFill="background1"/>
          </w:tcPr>
          <w:p w14:paraId="706161AA" w14:textId="13E1B199" w:rsidR="00A14DCE" w:rsidRPr="00373342" w:rsidRDefault="00A14DCE" w:rsidP="00373342">
            <w:pPr>
              <w:spacing w:line="276" w:lineRule="auto"/>
              <w:rPr>
                <w:rFonts w:ascii="Times New Roman" w:hAnsi="Times New Roman" w:cs="Times New Roman"/>
                <w:sz w:val="20"/>
                <w:szCs w:val="20"/>
              </w:rPr>
            </w:pPr>
          </w:p>
        </w:tc>
      </w:tr>
      <w:tr w:rsidR="00A14DCE" w:rsidRPr="00373342" w14:paraId="0614F276" w14:textId="77777777" w:rsidTr="00373342">
        <w:tc>
          <w:tcPr>
            <w:tcW w:w="1440" w:type="dxa"/>
            <w:shd w:val="clear" w:color="auto" w:fill="FFFFFF" w:themeFill="background1"/>
          </w:tcPr>
          <w:p w14:paraId="4C22D717" w14:textId="77777777" w:rsidR="00A14DCE" w:rsidRPr="00373342" w:rsidRDefault="00A14DCE" w:rsidP="00373342">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lastRenderedPageBreak/>
              <w:t>Neni 1(3) (Direktiva 2016/881/BE)</w:t>
            </w:r>
            <w:r w:rsidRPr="00373342">
              <w:rPr>
                <w:rFonts w:ascii="Times New Roman" w:hAnsi="Times New Roman" w:cs="Times New Roman"/>
                <w:b/>
                <w:bCs/>
                <w:sz w:val="20"/>
                <w:szCs w:val="20"/>
              </w:rPr>
              <w:br/>
            </w:r>
            <w:r w:rsidRPr="00373342">
              <w:rPr>
                <w:rFonts w:ascii="Times New Roman" w:hAnsi="Times New Roman" w:cs="Times New Roman"/>
                <w:b/>
                <w:bCs/>
                <w:sz w:val="20"/>
                <w:szCs w:val="20"/>
              </w:rPr>
              <w:br/>
              <w:t>Neni 16, pika 6 (Direktiva 2011/16/BE)</w:t>
            </w:r>
          </w:p>
          <w:p w14:paraId="6FA26B3D" w14:textId="77777777" w:rsidR="00A14DCE" w:rsidRPr="00373342" w:rsidRDefault="00A14DCE" w:rsidP="00373342">
            <w:pPr>
              <w:spacing w:line="276" w:lineRule="auto"/>
              <w:jc w:val="center"/>
              <w:rPr>
                <w:rFonts w:ascii="Times New Roman" w:hAnsi="Times New Roman" w:cs="Times New Roman"/>
                <w:b/>
                <w:bCs/>
                <w:sz w:val="20"/>
                <w:szCs w:val="20"/>
              </w:rPr>
            </w:pPr>
          </w:p>
          <w:p w14:paraId="44F8F3DA" w14:textId="77777777" w:rsidR="00A14DCE" w:rsidRPr="00373342" w:rsidRDefault="00A14DCE" w:rsidP="00373342">
            <w:pPr>
              <w:spacing w:line="276" w:lineRule="auto"/>
              <w:jc w:val="center"/>
              <w:rPr>
                <w:rFonts w:ascii="Times New Roman" w:hAnsi="Times New Roman" w:cs="Times New Roman"/>
                <w:b/>
                <w:bCs/>
                <w:sz w:val="20"/>
                <w:szCs w:val="20"/>
              </w:rPr>
            </w:pPr>
          </w:p>
          <w:p w14:paraId="2B84CBF3" w14:textId="1DAFD33B" w:rsidR="00A14DCE" w:rsidRPr="00373342" w:rsidRDefault="00A14DCE" w:rsidP="00373342">
            <w:pPr>
              <w:spacing w:line="276" w:lineRule="auto"/>
              <w:jc w:val="center"/>
              <w:rPr>
                <w:rFonts w:ascii="Times New Roman" w:hAnsi="Times New Roman" w:cs="Times New Roman"/>
                <w:b/>
                <w:bCs/>
                <w:sz w:val="20"/>
                <w:szCs w:val="20"/>
              </w:rPr>
            </w:pPr>
          </w:p>
        </w:tc>
        <w:tc>
          <w:tcPr>
            <w:tcW w:w="3960" w:type="dxa"/>
            <w:shd w:val="clear" w:color="auto" w:fill="FFFFFF" w:themeFill="background1"/>
          </w:tcPr>
          <w:p w14:paraId="2090F628" w14:textId="44F74CAA" w:rsidR="00A14DCE" w:rsidRPr="00373342" w:rsidRDefault="00A14DCE" w:rsidP="00373342">
            <w:pPr>
              <w:spacing w:line="276" w:lineRule="auto"/>
              <w:rPr>
                <w:rFonts w:ascii="Times New Roman" w:hAnsi="Times New Roman" w:cs="Times New Roman"/>
                <w:sz w:val="20"/>
                <w:szCs w:val="20"/>
              </w:rPr>
            </w:pPr>
            <w:r w:rsidRPr="00373342">
              <w:rPr>
                <w:rFonts w:ascii="Times New Roman" w:hAnsi="Times New Roman" w:cs="Times New Roman"/>
                <w:sz w:val="20"/>
                <w:szCs w:val="20"/>
              </w:rPr>
              <w:lastRenderedPageBreak/>
              <w:t xml:space="preserve">6. Pavarësisht pikave 1 deri në 4 të këtij neni, informacioni i komunikuar ndërmjet Shteteve Anëtare sipas nenit 8aa përdoret për qëllime të vlerësimit të rreziqeve të nivelit të lartë për transferimin e çmimit dhe rreziqeve të tjera të lidhura me erozionin e bazës tatimore dhe zhvendosjen e fitimit, duke përfshirë </w:t>
            </w:r>
            <w:r w:rsidRPr="00373342">
              <w:rPr>
                <w:rFonts w:ascii="Times New Roman" w:hAnsi="Times New Roman" w:cs="Times New Roman"/>
                <w:sz w:val="20"/>
                <w:szCs w:val="20"/>
              </w:rPr>
              <w:lastRenderedPageBreak/>
              <w:t>vlerësimin e rrezikut të mosrespektimit nga anëtarët e Grupit të shoqërive shumëkombëshe të rregullave të zbatueshme për transferimin e çmimit dhe, kur është e përshtatshme, për analiza ekonomike dhe statistikore. Rregullimet e transferimit të çmimit nga autoritetet tatimore të Shtetit Anëtar marrës nuk bazohen në informacionin e shkëmbyer sipas nenit 8aa. Pavarësisht sa më sipër, nuk ndalohet përdorimi i informacionit të komunikuar ndërmjet Shteteve Anëtare sipas nenit 8aa si bazë për kryerjen e verifikimeve të mëtejshme mbi marrëveshjet e transferimit të çmimit të Grupit të shoqërive shumëkombëshe ose mbi çështje të tjera tatimore gjatë një kontrolli tatimor dhe, si rezultat, mund të bëhen rregullime të përshtatshme të të ardhurave të tatueshme të një Entiteti përbërës.</w:t>
            </w:r>
          </w:p>
        </w:tc>
        <w:tc>
          <w:tcPr>
            <w:tcW w:w="1170" w:type="dxa"/>
            <w:shd w:val="clear" w:color="auto" w:fill="FFFFFF" w:themeFill="background1"/>
          </w:tcPr>
          <w:p w14:paraId="74401DF1" w14:textId="4BDEB3F6" w:rsidR="00A14DCE" w:rsidRPr="00373342" w:rsidRDefault="00D76EDC"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lastRenderedPageBreak/>
              <w:t>1</w:t>
            </w:r>
          </w:p>
        </w:tc>
        <w:tc>
          <w:tcPr>
            <w:tcW w:w="1260" w:type="dxa"/>
            <w:shd w:val="clear" w:color="auto" w:fill="FFFFFF" w:themeFill="background1"/>
          </w:tcPr>
          <w:p w14:paraId="5AC99658" w14:textId="00A9378C" w:rsidR="00A14DCE" w:rsidRPr="00373342" w:rsidRDefault="00D23A9A"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63/6</w:t>
            </w:r>
          </w:p>
        </w:tc>
        <w:tc>
          <w:tcPr>
            <w:tcW w:w="3870" w:type="dxa"/>
            <w:shd w:val="clear" w:color="auto" w:fill="FFFFFF" w:themeFill="background1"/>
          </w:tcPr>
          <w:p w14:paraId="0299881D" w14:textId="37AA628F" w:rsidR="00A14DCE" w:rsidRPr="00472C4C" w:rsidRDefault="00D23A9A" w:rsidP="007F3D06">
            <w:pPr>
              <w:spacing w:line="276" w:lineRule="auto"/>
              <w:rPr>
                <w:rFonts w:ascii="Times New Roman" w:hAnsi="Times New Roman" w:cs="Times New Roman"/>
                <w:sz w:val="20"/>
                <w:szCs w:val="20"/>
              </w:rPr>
            </w:pPr>
            <w:r w:rsidRPr="00472C4C">
              <w:rPr>
                <w:rFonts w:ascii="Times New Roman" w:hAnsi="Times New Roman" w:cs="Times New Roman"/>
                <w:sz w:val="20"/>
                <w:szCs w:val="20"/>
              </w:rPr>
              <w:t>Përdorimi dhe konfidencialiteti i informacionit të raportit për çdo vend</w:t>
            </w:r>
            <w:r w:rsidRPr="00472C4C">
              <w:rPr>
                <w:rFonts w:ascii="Times New Roman" w:hAnsi="Times New Roman" w:cs="Times New Roman"/>
                <w:sz w:val="20"/>
                <w:szCs w:val="20"/>
              </w:rPr>
              <w:br/>
            </w:r>
            <w:r w:rsidRPr="00472C4C">
              <w:rPr>
                <w:rFonts w:ascii="Times New Roman" w:hAnsi="Times New Roman" w:cs="Times New Roman"/>
                <w:sz w:val="20"/>
                <w:szCs w:val="20"/>
              </w:rPr>
              <w:br/>
              <w:t xml:space="preserve">1. Administrata tatimore e Republikës së Shqipërisë përdor raportin për çdo vend për qëllime të vlerësimit të rreziqeve të nivelit të lartë për transferimin e çmimit dhe rreziqeve </w:t>
            </w:r>
            <w:r w:rsidRPr="00472C4C">
              <w:rPr>
                <w:rFonts w:ascii="Times New Roman" w:hAnsi="Times New Roman" w:cs="Times New Roman"/>
                <w:sz w:val="20"/>
                <w:szCs w:val="20"/>
              </w:rPr>
              <w:lastRenderedPageBreak/>
              <w:t>të tjera të lidhura me erozionin e bazës tatimore dhe zhvendosjen e fitimit në ose nga Republika e Shqipërisë, duke përfshirë vlerësimin e rrezikut të mosrespektimit nga anëtarët e grupit të shoqërive shumëkombëshe të rregullave të zbatueshme, lidhur me transferimin e çmimit dhe, kur është e përshtatshme, për analiza ekonomike dhe statistikore. Rregullimet e transferimit të çmimit nga administrata tatimore e Republikës së Shqipërisë nuk bazohen në raportin për çdo vend.</w:t>
            </w:r>
            <w:r w:rsidRPr="00472C4C">
              <w:rPr>
                <w:rFonts w:ascii="Times New Roman" w:hAnsi="Times New Roman" w:cs="Times New Roman"/>
                <w:sz w:val="20"/>
                <w:szCs w:val="20"/>
              </w:rPr>
              <w:br/>
            </w:r>
            <w:r w:rsidRPr="00472C4C">
              <w:rPr>
                <w:rFonts w:ascii="Times New Roman" w:hAnsi="Times New Roman" w:cs="Times New Roman"/>
                <w:sz w:val="20"/>
                <w:szCs w:val="20"/>
              </w:rPr>
              <w:br/>
              <w:t>2. Administrata tatimore e Republikës së Shqipërisë ruan konfidencialitetin e informacionit që përmban raporti për çdo vend, të paktën në të njëjtën masë që do të zbatohej nëse një informacion i tillë do t’i jepej sipas dispozitave të konventës shumëpalëshe mbi ndihmën e ndërsjellë administrative në çështjet tatimore.</w:t>
            </w:r>
          </w:p>
        </w:tc>
        <w:tc>
          <w:tcPr>
            <w:tcW w:w="1620" w:type="dxa"/>
            <w:shd w:val="clear" w:color="auto" w:fill="FFFFFF" w:themeFill="background1"/>
          </w:tcPr>
          <w:p w14:paraId="5707615A" w14:textId="4B9CF98A" w:rsidR="00A14DCE" w:rsidRPr="00373342" w:rsidRDefault="002000FA" w:rsidP="00373342">
            <w:pPr>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E plotë</w:t>
            </w:r>
          </w:p>
        </w:tc>
        <w:tc>
          <w:tcPr>
            <w:tcW w:w="2790" w:type="dxa"/>
            <w:shd w:val="clear" w:color="auto" w:fill="FFFFFF" w:themeFill="background1"/>
          </w:tcPr>
          <w:p w14:paraId="512EA8F7" w14:textId="546706A2" w:rsidR="00A14DCE" w:rsidRPr="00373342" w:rsidRDefault="00A14DCE" w:rsidP="00373342">
            <w:pPr>
              <w:spacing w:line="276" w:lineRule="auto"/>
              <w:rPr>
                <w:rFonts w:ascii="Times New Roman" w:hAnsi="Times New Roman" w:cs="Times New Roman"/>
                <w:sz w:val="20"/>
                <w:szCs w:val="20"/>
              </w:rPr>
            </w:pPr>
          </w:p>
        </w:tc>
      </w:tr>
      <w:tr w:rsidR="00A14DCE" w:rsidRPr="00373342" w14:paraId="0774FD62" w14:textId="77777777" w:rsidTr="00373342">
        <w:trPr>
          <w:trHeight w:val="629"/>
        </w:trPr>
        <w:tc>
          <w:tcPr>
            <w:tcW w:w="1440" w:type="dxa"/>
            <w:shd w:val="clear" w:color="auto" w:fill="FFFFFF" w:themeFill="background1"/>
          </w:tcPr>
          <w:p w14:paraId="1F713B57" w14:textId="77777777" w:rsidR="00A14DCE" w:rsidRPr="00373342" w:rsidRDefault="00A14DCE" w:rsidP="00373342">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Neni 1(4) (Direktiva 2016/881/BE)</w:t>
            </w:r>
            <w:r w:rsidRPr="00373342">
              <w:rPr>
                <w:rFonts w:ascii="Times New Roman" w:hAnsi="Times New Roman" w:cs="Times New Roman"/>
                <w:b/>
                <w:bCs/>
                <w:sz w:val="20"/>
                <w:szCs w:val="20"/>
              </w:rPr>
              <w:br/>
            </w:r>
            <w:r w:rsidRPr="00373342">
              <w:rPr>
                <w:rFonts w:ascii="Times New Roman" w:hAnsi="Times New Roman" w:cs="Times New Roman"/>
                <w:b/>
                <w:bCs/>
                <w:sz w:val="20"/>
                <w:szCs w:val="20"/>
              </w:rPr>
              <w:br/>
              <w:t>Neni 20, pika 6 (Direktiva 2011/16/BE)</w:t>
            </w:r>
          </w:p>
          <w:p w14:paraId="55FE3705" w14:textId="77777777" w:rsidR="00A14DCE" w:rsidRPr="00373342" w:rsidRDefault="00A14DCE" w:rsidP="00373342">
            <w:pPr>
              <w:spacing w:line="276" w:lineRule="auto"/>
              <w:jc w:val="center"/>
              <w:rPr>
                <w:rFonts w:ascii="Times New Roman" w:hAnsi="Times New Roman" w:cs="Times New Roman"/>
                <w:b/>
                <w:bCs/>
                <w:sz w:val="20"/>
                <w:szCs w:val="20"/>
              </w:rPr>
            </w:pPr>
          </w:p>
          <w:p w14:paraId="1491A06C" w14:textId="77777777" w:rsidR="00A14DCE" w:rsidRPr="00373342" w:rsidRDefault="00A14DCE" w:rsidP="00373342">
            <w:pPr>
              <w:spacing w:line="276" w:lineRule="auto"/>
              <w:jc w:val="center"/>
              <w:rPr>
                <w:rFonts w:ascii="Times New Roman" w:hAnsi="Times New Roman" w:cs="Times New Roman"/>
                <w:b/>
                <w:bCs/>
                <w:sz w:val="20"/>
                <w:szCs w:val="20"/>
              </w:rPr>
            </w:pPr>
          </w:p>
          <w:p w14:paraId="6CA64D77" w14:textId="31C40E66" w:rsidR="00A14DCE" w:rsidRPr="00373342" w:rsidRDefault="00A14DCE" w:rsidP="00373342">
            <w:pPr>
              <w:spacing w:line="276" w:lineRule="auto"/>
              <w:jc w:val="center"/>
              <w:rPr>
                <w:rFonts w:ascii="Times New Roman" w:hAnsi="Times New Roman" w:cs="Times New Roman"/>
                <w:b/>
                <w:bCs/>
                <w:sz w:val="20"/>
                <w:szCs w:val="20"/>
              </w:rPr>
            </w:pPr>
          </w:p>
        </w:tc>
        <w:tc>
          <w:tcPr>
            <w:tcW w:w="3960" w:type="dxa"/>
            <w:shd w:val="clear" w:color="auto" w:fill="FFFFFF" w:themeFill="background1"/>
          </w:tcPr>
          <w:p w14:paraId="42F6BBB3" w14:textId="03025652" w:rsidR="00A14DCE" w:rsidRPr="00373342" w:rsidRDefault="00A14DCE" w:rsidP="00373342">
            <w:pPr>
              <w:spacing w:line="276" w:lineRule="auto"/>
              <w:rPr>
                <w:rFonts w:ascii="Times New Roman" w:hAnsi="Times New Roman" w:cs="Times New Roman"/>
                <w:sz w:val="20"/>
                <w:szCs w:val="20"/>
              </w:rPr>
            </w:pPr>
            <w:r w:rsidRPr="00373342">
              <w:rPr>
                <w:rFonts w:ascii="Times New Roman" w:hAnsi="Times New Roman" w:cs="Times New Roman"/>
                <w:sz w:val="20"/>
                <w:szCs w:val="20"/>
              </w:rPr>
              <w:t xml:space="preserve">6. Shkëmbimi automatik i informacionit për raportin për çdo vend sipas nenit 8aa kryhet duke përdorur formularin standard të parashikuar në Tabelat 1, 2 dhe 3 të Seksionit III të Shtojcës III. Komisioni, me anë të akteve zbatuese, miraton rregullimet gjuhësore për këtë shkëmbim deri më 31 dhjetor 2016. Ato nuk i pengojnë Shtetet Anëtare të komunikojnë informacionin e përmendur në nenin 8aa në cilëndo prej gjuhëve zyrtare dhe të punës të Bashkimit. </w:t>
            </w:r>
            <w:r w:rsidRPr="00373342">
              <w:rPr>
                <w:rFonts w:ascii="Times New Roman" w:hAnsi="Times New Roman" w:cs="Times New Roman"/>
                <w:sz w:val="20"/>
                <w:szCs w:val="20"/>
              </w:rPr>
              <w:lastRenderedPageBreak/>
              <w:t>Megjithatë, këto rregullime gjuhësore mund të parashikojnë që elementet kryesore të këtij informacioni të dërgohen gjithashtu në një gjuhë tjetër zyrtare të Bashkimit. Këto akte zbatuese miratohen në përputhje me procedurën e përmendur në nenin 26(2).</w:t>
            </w:r>
          </w:p>
        </w:tc>
        <w:tc>
          <w:tcPr>
            <w:tcW w:w="1170" w:type="dxa"/>
            <w:shd w:val="clear" w:color="auto" w:fill="FFFFFF" w:themeFill="background1"/>
          </w:tcPr>
          <w:p w14:paraId="0E8BAA68" w14:textId="7EEC7E8E" w:rsidR="00A14DCE" w:rsidRPr="00373342" w:rsidRDefault="006868F9"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lastRenderedPageBreak/>
              <w:t>2</w:t>
            </w:r>
          </w:p>
        </w:tc>
        <w:tc>
          <w:tcPr>
            <w:tcW w:w="1260" w:type="dxa"/>
            <w:shd w:val="clear" w:color="auto" w:fill="FFFFFF" w:themeFill="background1"/>
          </w:tcPr>
          <w:p w14:paraId="1F150C3C" w14:textId="56015B37" w:rsidR="00A14DCE" w:rsidRPr="00373342" w:rsidRDefault="006868F9"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4</w:t>
            </w:r>
          </w:p>
        </w:tc>
        <w:tc>
          <w:tcPr>
            <w:tcW w:w="3870" w:type="dxa"/>
            <w:tcBorders>
              <w:bottom w:val="dashed" w:sz="4" w:space="0" w:color="auto"/>
            </w:tcBorders>
            <w:shd w:val="clear" w:color="auto" w:fill="FFFFFF" w:themeFill="background1"/>
          </w:tcPr>
          <w:p w14:paraId="058312F9" w14:textId="37A36537" w:rsidR="00A14DCE" w:rsidRPr="00472C4C" w:rsidRDefault="001567E6" w:rsidP="007F3D06">
            <w:pPr>
              <w:pBdr>
                <w:top w:val="nil"/>
                <w:left w:val="nil"/>
                <w:bottom w:val="nil"/>
                <w:right w:val="nil"/>
                <w:between w:val="nil"/>
              </w:pBdr>
              <w:spacing w:line="276" w:lineRule="auto"/>
              <w:rPr>
                <w:rFonts w:ascii="Times New Roman" w:hAnsi="Times New Roman" w:cs="Times New Roman"/>
                <w:sz w:val="20"/>
                <w:szCs w:val="20"/>
              </w:rPr>
            </w:pPr>
            <w:r w:rsidRPr="00472C4C">
              <w:rPr>
                <w:rFonts w:ascii="Times New Roman" w:eastAsia="Times New Roman" w:hAnsi="Times New Roman" w:cs="Times New Roman"/>
                <w:sz w:val="20"/>
                <w:szCs w:val="20"/>
                <w:lang w:eastAsia="en-IE"/>
              </w:rPr>
              <w:t>Përmbajtja dhe formati i raportit për çdo vend</w:t>
            </w:r>
            <w:r w:rsidRPr="00472C4C">
              <w:rPr>
                <w:rFonts w:ascii="Times New Roman" w:eastAsia="Times New Roman" w:hAnsi="Times New Roman" w:cs="Times New Roman"/>
                <w:sz w:val="20"/>
                <w:szCs w:val="20"/>
                <w:lang w:eastAsia="en-IE"/>
              </w:rPr>
              <w:br/>
            </w:r>
            <w:r w:rsidRPr="00472C4C">
              <w:rPr>
                <w:rFonts w:ascii="Times New Roman" w:eastAsia="Times New Roman" w:hAnsi="Times New Roman" w:cs="Times New Roman"/>
                <w:sz w:val="20"/>
                <w:szCs w:val="20"/>
                <w:lang w:eastAsia="en-IE"/>
              </w:rPr>
              <w:br/>
              <w:t>1. Në përputhje me nenin 63/4 të ligjit nr. 9920, datë 19.5.2008, “Për procedurat tatimore në Republikën e Shqipërisë”, të ndryshuar, raporti për çdo vend përmban informacionin e parashikuar në tabelat 1, 2 dhe 3 të shtojcës 1 dhe plotësimi i tyre bëhet në përputhje me përkufizimet dhe udhëzimet për secilën tabelë.</w:t>
            </w:r>
            <w:r w:rsidRPr="00472C4C">
              <w:rPr>
                <w:rFonts w:ascii="Times New Roman" w:eastAsia="Times New Roman" w:hAnsi="Times New Roman" w:cs="Times New Roman"/>
                <w:sz w:val="20"/>
                <w:szCs w:val="20"/>
                <w:lang w:eastAsia="en-IE"/>
              </w:rPr>
              <w:br/>
            </w:r>
            <w:r w:rsidRPr="00472C4C">
              <w:rPr>
                <w:rFonts w:ascii="Times New Roman" w:eastAsia="Times New Roman" w:hAnsi="Times New Roman" w:cs="Times New Roman"/>
                <w:sz w:val="20"/>
                <w:szCs w:val="20"/>
                <w:lang w:eastAsia="en-IE"/>
              </w:rPr>
              <w:lastRenderedPageBreak/>
              <w:br/>
              <w:t>2. Plotësimi i raportit për çdo vend në Shqipëri bazohet në udhëzuesin e publikuar të Organizatës për Bashkëpunim dhe Zhvillim Ekonomik për zbatimin e raportimit për çdo vend, i cili përditësohet herë pas here.</w:t>
            </w:r>
          </w:p>
        </w:tc>
        <w:tc>
          <w:tcPr>
            <w:tcW w:w="1620" w:type="dxa"/>
            <w:tcBorders>
              <w:bottom w:val="dashed" w:sz="4" w:space="0" w:color="auto"/>
            </w:tcBorders>
            <w:shd w:val="clear" w:color="auto" w:fill="FFFFFF" w:themeFill="background1"/>
          </w:tcPr>
          <w:p w14:paraId="107B7E47" w14:textId="773168A3" w:rsidR="00A14DCE" w:rsidRPr="00373342" w:rsidRDefault="002000FA" w:rsidP="00373342">
            <w:pPr>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E plotë</w:t>
            </w:r>
          </w:p>
        </w:tc>
        <w:tc>
          <w:tcPr>
            <w:tcW w:w="2790" w:type="dxa"/>
            <w:tcBorders>
              <w:bottom w:val="dashed" w:sz="4" w:space="0" w:color="auto"/>
            </w:tcBorders>
            <w:shd w:val="clear" w:color="auto" w:fill="FFFFFF" w:themeFill="background1"/>
          </w:tcPr>
          <w:p w14:paraId="6CA81686" w14:textId="0F765CB5" w:rsidR="00A14DCE" w:rsidRPr="00373342" w:rsidRDefault="00A14DCE" w:rsidP="00373342">
            <w:pPr>
              <w:spacing w:line="276" w:lineRule="auto"/>
              <w:rPr>
                <w:rFonts w:ascii="Times New Roman" w:hAnsi="Times New Roman" w:cs="Times New Roman"/>
                <w:sz w:val="20"/>
                <w:szCs w:val="20"/>
              </w:rPr>
            </w:pPr>
          </w:p>
        </w:tc>
      </w:tr>
      <w:tr w:rsidR="006868F9" w:rsidRPr="00373342" w14:paraId="0BA78BF4" w14:textId="77777777" w:rsidTr="00373342">
        <w:trPr>
          <w:trHeight w:val="836"/>
        </w:trPr>
        <w:tc>
          <w:tcPr>
            <w:tcW w:w="1440" w:type="dxa"/>
            <w:shd w:val="clear" w:color="auto" w:fill="FFFFFF" w:themeFill="background1"/>
          </w:tcPr>
          <w:p w14:paraId="79258CDE" w14:textId="77777777" w:rsidR="006868F9" w:rsidRPr="00373342" w:rsidRDefault="006868F9" w:rsidP="00373342">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Neni 1(5) (Direktiva 2016/881/BE)</w:t>
            </w:r>
            <w:r w:rsidRPr="00373342">
              <w:rPr>
                <w:rFonts w:ascii="Times New Roman" w:hAnsi="Times New Roman" w:cs="Times New Roman"/>
                <w:b/>
                <w:bCs/>
                <w:sz w:val="20"/>
                <w:szCs w:val="20"/>
              </w:rPr>
              <w:br/>
            </w:r>
            <w:r w:rsidRPr="00373342">
              <w:rPr>
                <w:rFonts w:ascii="Times New Roman" w:hAnsi="Times New Roman" w:cs="Times New Roman"/>
                <w:b/>
                <w:bCs/>
                <w:sz w:val="20"/>
                <w:szCs w:val="20"/>
              </w:rPr>
              <w:br/>
              <w:t>Neni 21, pika 6 (Direktiva 2011/16/BE)</w:t>
            </w:r>
          </w:p>
          <w:p w14:paraId="309A298B" w14:textId="77777777" w:rsidR="006868F9" w:rsidRPr="00373342" w:rsidRDefault="006868F9" w:rsidP="00373342">
            <w:pPr>
              <w:spacing w:line="276" w:lineRule="auto"/>
              <w:jc w:val="center"/>
              <w:rPr>
                <w:rFonts w:ascii="Times New Roman" w:hAnsi="Times New Roman" w:cs="Times New Roman"/>
                <w:b/>
                <w:bCs/>
                <w:sz w:val="20"/>
                <w:szCs w:val="20"/>
              </w:rPr>
            </w:pPr>
          </w:p>
          <w:p w14:paraId="25388DF1" w14:textId="77777777" w:rsidR="006868F9" w:rsidRPr="00373342" w:rsidRDefault="006868F9" w:rsidP="00373342">
            <w:pPr>
              <w:spacing w:line="276" w:lineRule="auto"/>
              <w:jc w:val="center"/>
              <w:rPr>
                <w:rFonts w:ascii="Times New Roman" w:hAnsi="Times New Roman" w:cs="Times New Roman"/>
                <w:b/>
                <w:bCs/>
                <w:sz w:val="20"/>
                <w:szCs w:val="20"/>
              </w:rPr>
            </w:pPr>
          </w:p>
          <w:p w14:paraId="2E293EE4" w14:textId="05AA253B" w:rsidR="006868F9" w:rsidRPr="00373342" w:rsidRDefault="006868F9" w:rsidP="00373342">
            <w:pPr>
              <w:spacing w:line="276" w:lineRule="auto"/>
              <w:jc w:val="center"/>
              <w:rPr>
                <w:rFonts w:ascii="Times New Roman" w:hAnsi="Times New Roman" w:cs="Times New Roman"/>
                <w:b/>
                <w:bCs/>
                <w:sz w:val="20"/>
                <w:szCs w:val="20"/>
              </w:rPr>
            </w:pPr>
          </w:p>
        </w:tc>
        <w:tc>
          <w:tcPr>
            <w:tcW w:w="3960" w:type="dxa"/>
            <w:shd w:val="clear" w:color="auto" w:fill="FFFFFF" w:themeFill="background1"/>
          </w:tcPr>
          <w:p w14:paraId="7F5E83B2" w14:textId="4B99D575" w:rsidR="006868F9" w:rsidRPr="00373342" w:rsidRDefault="006868F9" w:rsidP="00373342">
            <w:pPr>
              <w:spacing w:line="276" w:lineRule="auto"/>
              <w:rPr>
                <w:rFonts w:ascii="Times New Roman" w:hAnsi="Times New Roman" w:cs="Times New Roman"/>
                <w:sz w:val="20"/>
                <w:szCs w:val="20"/>
              </w:rPr>
            </w:pPr>
            <w:r w:rsidRPr="00373342">
              <w:rPr>
                <w:rFonts w:ascii="Times New Roman" w:hAnsi="Times New Roman" w:cs="Times New Roman"/>
                <w:sz w:val="20"/>
                <w:szCs w:val="20"/>
              </w:rPr>
              <w:t>6. Informacioni i komunikuar sipas nenit 8aa(2) sigurohet me mjete elektronike duke përdorur rrjetin CCN. Komisioni, me anë të akteve zbatuese, miraton rregullimet praktike të nevojshme për përmirësimin e rrjetit CCN. Këto akte zbatuese miratohen në përputhje me procedurën e përmendur në nenin 26(2).</w:t>
            </w:r>
          </w:p>
        </w:tc>
        <w:tc>
          <w:tcPr>
            <w:tcW w:w="1170" w:type="dxa"/>
            <w:shd w:val="clear" w:color="auto" w:fill="FFFFFF" w:themeFill="background1"/>
          </w:tcPr>
          <w:p w14:paraId="67EF3FD1" w14:textId="754F7126" w:rsidR="006868F9" w:rsidRPr="00373342" w:rsidRDefault="006868F9"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N/A</w:t>
            </w:r>
          </w:p>
        </w:tc>
        <w:tc>
          <w:tcPr>
            <w:tcW w:w="1260" w:type="dxa"/>
            <w:shd w:val="clear" w:color="auto" w:fill="FFFFFF" w:themeFill="background1"/>
          </w:tcPr>
          <w:p w14:paraId="60703461" w14:textId="37A32751" w:rsidR="006868F9" w:rsidRPr="00373342" w:rsidRDefault="006868F9"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N/A</w:t>
            </w:r>
          </w:p>
        </w:tc>
        <w:tc>
          <w:tcPr>
            <w:tcW w:w="3870" w:type="dxa"/>
            <w:tcBorders>
              <w:bottom w:val="dashed" w:sz="4" w:space="0" w:color="auto"/>
            </w:tcBorders>
            <w:shd w:val="clear" w:color="auto" w:fill="FFFFFF" w:themeFill="background1"/>
          </w:tcPr>
          <w:p w14:paraId="4B9645F4" w14:textId="092816BC" w:rsidR="006868F9" w:rsidRPr="00472C4C" w:rsidRDefault="006868F9" w:rsidP="00373342">
            <w:pPr>
              <w:spacing w:line="276" w:lineRule="auto"/>
              <w:jc w:val="center"/>
              <w:rPr>
                <w:rFonts w:ascii="Times New Roman" w:hAnsi="Times New Roman" w:cs="Times New Roman"/>
                <w:sz w:val="20"/>
                <w:szCs w:val="20"/>
              </w:rPr>
            </w:pPr>
            <w:r w:rsidRPr="00472C4C">
              <w:rPr>
                <w:rFonts w:ascii="Times New Roman" w:hAnsi="Times New Roman" w:cs="Times New Roman"/>
                <w:sz w:val="20"/>
                <w:szCs w:val="20"/>
              </w:rPr>
              <w:t>N/A</w:t>
            </w:r>
          </w:p>
        </w:tc>
        <w:tc>
          <w:tcPr>
            <w:tcW w:w="1620" w:type="dxa"/>
            <w:tcBorders>
              <w:bottom w:val="dashed" w:sz="4" w:space="0" w:color="auto"/>
            </w:tcBorders>
            <w:shd w:val="clear" w:color="auto" w:fill="FFFFFF" w:themeFill="background1"/>
          </w:tcPr>
          <w:p w14:paraId="5F067DE0" w14:textId="2D847AE6" w:rsidR="006868F9" w:rsidRPr="00373342" w:rsidRDefault="002000FA"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N/A</w:t>
            </w:r>
          </w:p>
        </w:tc>
        <w:tc>
          <w:tcPr>
            <w:tcW w:w="2790" w:type="dxa"/>
            <w:tcBorders>
              <w:bottom w:val="dashed" w:sz="4" w:space="0" w:color="auto"/>
            </w:tcBorders>
            <w:shd w:val="clear" w:color="auto" w:fill="FFFFFF" w:themeFill="background1"/>
          </w:tcPr>
          <w:p w14:paraId="1717EB38" w14:textId="75D407DA" w:rsidR="006868F9" w:rsidRPr="00373342" w:rsidRDefault="0009111A" w:rsidP="00373342">
            <w:pPr>
              <w:spacing w:line="276" w:lineRule="auto"/>
              <w:rPr>
                <w:rFonts w:ascii="Times New Roman" w:hAnsi="Times New Roman" w:cs="Times New Roman"/>
                <w:sz w:val="20"/>
                <w:szCs w:val="20"/>
              </w:rPr>
            </w:pPr>
            <w:r w:rsidRPr="00373342">
              <w:rPr>
                <w:rFonts w:ascii="Times New Roman" w:hAnsi="Times New Roman" w:cs="Times New Roman"/>
                <w:sz w:val="20"/>
                <w:szCs w:val="20"/>
              </w:rPr>
              <w:t>Nuk kërkon transpozim. Kjo dispozitë lidhet me rrjetin CCN dhe është e natyrës së teknologjisë së informacionit. Ajo do të zbatohet praktikisht pas anëtarësimit.</w:t>
            </w:r>
          </w:p>
        </w:tc>
      </w:tr>
      <w:tr w:rsidR="00FF4ED1" w:rsidRPr="00373342" w14:paraId="21F7B15B" w14:textId="77777777" w:rsidTr="00373342">
        <w:trPr>
          <w:trHeight w:val="645"/>
        </w:trPr>
        <w:tc>
          <w:tcPr>
            <w:tcW w:w="1440" w:type="dxa"/>
            <w:shd w:val="clear" w:color="auto" w:fill="FFFFFF" w:themeFill="background1"/>
          </w:tcPr>
          <w:p w14:paraId="736339A6" w14:textId="77777777" w:rsidR="00FF4ED1" w:rsidRPr="00373342" w:rsidRDefault="00FF4ED1" w:rsidP="00373342">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Neni 1(6) (Direktiva 2016/881/BE)</w:t>
            </w:r>
            <w:r w:rsidRPr="00373342">
              <w:rPr>
                <w:rFonts w:ascii="Times New Roman" w:hAnsi="Times New Roman" w:cs="Times New Roman"/>
                <w:b/>
                <w:bCs/>
                <w:sz w:val="20"/>
                <w:szCs w:val="20"/>
              </w:rPr>
              <w:br/>
            </w:r>
            <w:r w:rsidRPr="00373342">
              <w:rPr>
                <w:rFonts w:ascii="Times New Roman" w:hAnsi="Times New Roman" w:cs="Times New Roman"/>
                <w:b/>
                <w:bCs/>
                <w:sz w:val="20"/>
                <w:szCs w:val="20"/>
              </w:rPr>
              <w:br/>
              <w:t>Neni 23, pika 3 (Direktiva 2011/16/BE)</w:t>
            </w:r>
          </w:p>
          <w:p w14:paraId="40A79CDA" w14:textId="77777777" w:rsidR="00FF4ED1" w:rsidRPr="00373342" w:rsidRDefault="00FF4ED1" w:rsidP="00373342">
            <w:pPr>
              <w:spacing w:line="276" w:lineRule="auto"/>
              <w:jc w:val="center"/>
              <w:rPr>
                <w:rFonts w:ascii="Times New Roman" w:hAnsi="Times New Roman" w:cs="Times New Roman"/>
                <w:b/>
                <w:bCs/>
                <w:sz w:val="20"/>
                <w:szCs w:val="20"/>
              </w:rPr>
            </w:pPr>
          </w:p>
          <w:p w14:paraId="7939214C" w14:textId="77777777" w:rsidR="00FF4ED1" w:rsidRPr="00373342" w:rsidRDefault="00FF4ED1" w:rsidP="00373342">
            <w:pPr>
              <w:spacing w:line="276" w:lineRule="auto"/>
              <w:jc w:val="center"/>
              <w:rPr>
                <w:rFonts w:ascii="Times New Roman" w:hAnsi="Times New Roman" w:cs="Times New Roman"/>
                <w:b/>
                <w:bCs/>
                <w:sz w:val="20"/>
                <w:szCs w:val="20"/>
              </w:rPr>
            </w:pPr>
          </w:p>
          <w:p w14:paraId="35B0C37E" w14:textId="1FBF531A" w:rsidR="00FF4ED1" w:rsidRPr="00373342" w:rsidRDefault="00FF4ED1" w:rsidP="00373342">
            <w:pPr>
              <w:spacing w:line="276" w:lineRule="auto"/>
              <w:jc w:val="center"/>
              <w:rPr>
                <w:rFonts w:ascii="Times New Roman" w:hAnsi="Times New Roman" w:cs="Times New Roman"/>
                <w:b/>
                <w:bCs/>
                <w:sz w:val="20"/>
                <w:szCs w:val="20"/>
              </w:rPr>
            </w:pPr>
          </w:p>
        </w:tc>
        <w:tc>
          <w:tcPr>
            <w:tcW w:w="3960" w:type="dxa"/>
            <w:shd w:val="clear" w:color="auto" w:fill="FFFFFF" w:themeFill="background1"/>
          </w:tcPr>
          <w:p w14:paraId="594886EC" w14:textId="21288719" w:rsidR="00FF4ED1" w:rsidRPr="00373342" w:rsidRDefault="00FF4ED1" w:rsidP="00373342">
            <w:pPr>
              <w:spacing w:line="276" w:lineRule="auto"/>
              <w:rPr>
                <w:rFonts w:ascii="Times New Roman" w:hAnsi="Times New Roman" w:cs="Times New Roman"/>
                <w:sz w:val="20"/>
                <w:szCs w:val="20"/>
              </w:rPr>
            </w:pPr>
            <w:r w:rsidRPr="00373342">
              <w:rPr>
                <w:rFonts w:ascii="Times New Roman" w:hAnsi="Times New Roman" w:cs="Times New Roman"/>
                <w:sz w:val="20"/>
                <w:szCs w:val="20"/>
              </w:rPr>
              <w:t>3. Shtetet Anëtare i komunikojnë Komisionit një vlerësim vjetor të efektivitetit të shkëmbimit automatik të informacionit të përmendur në nenet 8, 8a dhe 8aa, si dhe rezultatet praktike të arritura. Komisioni, me anë të akteve zbatuese, miraton formën dhe kushtet e komunikimit për këtë vlerësim vjetor. Këto akte zbatuese miratohen në përputhje me procedurën e përmendur në nenin 26(2).</w:t>
            </w:r>
          </w:p>
        </w:tc>
        <w:tc>
          <w:tcPr>
            <w:tcW w:w="1170" w:type="dxa"/>
            <w:shd w:val="clear" w:color="auto" w:fill="FFFFFF" w:themeFill="background1"/>
          </w:tcPr>
          <w:p w14:paraId="4E6CF6E2" w14:textId="147A7917" w:rsidR="00FF4ED1" w:rsidRPr="00373342" w:rsidRDefault="00FF4ED1"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N/A</w:t>
            </w:r>
          </w:p>
        </w:tc>
        <w:tc>
          <w:tcPr>
            <w:tcW w:w="1260" w:type="dxa"/>
            <w:shd w:val="clear" w:color="auto" w:fill="FFFFFF" w:themeFill="background1"/>
          </w:tcPr>
          <w:p w14:paraId="45480C33" w14:textId="3984167C" w:rsidR="00FF4ED1" w:rsidRPr="00373342" w:rsidRDefault="00FF4ED1"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N/A</w:t>
            </w:r>
          </w:p>
        </w:tc>
        <w:tc>
          <w:tcPr>
            <w:tcW w:w="3870" w:type="dxa"/>
            <w:tcBorders>
              <w:bottom w:val="dashed" w:sz="4" w:space="0" w:color="auto"/>
            </w:tcBorders>
            <w:shd w:val="clear" w:color="auto" w:fill="FFFFFF" w:themeFill="background1"/>
          </w:tcPr>
          <w:p w14:paraId="7808E108" w14:textId="1B5F768E" w:rsidR="00FF4ED1" w:rsidRPr="00472C4C" w:rsidRDefault="00FF4ED1" w:rsidP="00373342">
            <w:pPr>
              <w:spacing w:line="276" w:lineRule="auto"/>
              <w:jc w:val="center"/>
              <w:rPr>
                <w:rFonts w:ascii="Times New Roman" w:hAnsi="Times New Roman" w:cs="Times New Roman"/>
                <w:sz w:val="20"/>
                <w:szCs w:val="20"/>
              </w:rPr>
            </w:pPr>
            <w:r w:rsidRPr="00472C4C">
              <w:rPr>
                <w:rFonts w:ascii="Times New Roman" w:hAnsi="Times New Roman" w:cs="Times New Roman"/>
                <w:sz w:val="20"/>
                <w:szCs w:val="20"/>
              </w:rPr>
              <w:t>N/A</w:t>
            </w:r>
          </w:p>
        </w:tc>
        <w:tc>
          <w:tcPr>
            <w:tcW w:w="1620" w:type="dxa"/>
            <w:tcBorders>
              <w:bottom w:val="dashed" w:sz="4" w:space="0" w:color="auto"/>
            </w:tcBorders>
            <w:shd w:val="clear" w:color="auto" w:fill="FFFFFF" w:themeFill="background1"/>
          </w:tcPr>
          <w:p w14:paraId="07ADEE50" w14:textId="5F1B2067" w:rsidR="00FF4ED1" w:rsidRPr="00373342" w:rsidRDefault="002000FA"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N/A</w:t>
            </w:r>
          </w:p>
        </w:tc>
        <w:tc>
          <w:tcPr>
            <w:tcW w:w="2790" w:type="dxa"/>
            <w:tcBorders>
              <w:bottom w:val="dashed" w:sz="4" w:space="0" w:color="auto"/>
            </w:tcBorders>
            <w:shd w:val="clear" w:color="auto" w:fill="FFFFFF" w:themeFill="background1"/>
          </w:tcPr>
          <w:p w14:paraId="369C3706" w14:textId="0280EC69" w:rsidR="00FF4ED1" w:rsidRPr="00373342" w:rsidRDefault="00682798" w:rsidP="00373342">
            <w:pPr>
              <w:spacing w:line="276" w:lineRule="auto"/>
              <w:rPr>
                <w:rFonts w:ascii="Times New Roman" w:hAnsi="Times New Roman" w:cs="Times New Roman"/>
                <w:sz w:val="20"/>
                <w:szCs w:val="20"/>
              </w:rPr>
            </w:pPr>
            <w:r w:rsidRPr="00373342">
              <w:rPr>
                <w:rFonts w:ascii="Times New Roman" w:hAnsi="Times New Roman" w:cs="Times New Roman"/>
                <w:sz w:val="20"/>
                <w:szCs w:val="20"/>
              </w:rPr>
              <w:t xml:space="preserve">Kjo dispozitë përcakton një detyrim institucional raportimi ndaj Komisionit Evropian lidhur me vlerësimin e mekanizmit të shkëmbimit automatik. Duke qenë se rregullon vetëm procedura administrative dhe operacionale të raportimit ndërmjet autoritetit kombëtar kompetent dhe institucioneve të BE-së, ajo nuk krijon të drejta ose detyrime për tatimpaguesit që kërkojnë transpozim në legjislacionin tatimor vendas </w:t>
            </w:r>
            <w:r w:rsidRPr="00373342">
              <w:rPr>
                <w:rFonts w:ascii="Times New Roman" w:hAnsi="Times New Roman" w:cs="Times New Roman"/>
                <w:sz w:val="20"/>
                <w:szCs w:val="20"/>
              </w:rPr>
              <w:lastRenderedPageBreak/>
              <w:t>parësor. Detyrimi do të përmbushet administrativisht pas anëtarësimit.</w:t>
            </w:r>
          </w:p>
        </w:tc>
      </w:tr>
      <w:tr w:rsidR="00A14DCE" w:rsidRPr="00373342" w14:paraId="3031A605" w14:textId="77777777" w:rsidTr="00373342">
        <w:tc>
          <w:tcPr>
            <w:tcW w:w="1440" w:type="dxa"/>
            <w:shd w:val="clear" w:color="auto" w:fill="FFFFFF" w:themeFill="background1"/>
          </w:tcPr>
          <w:p w14:paraId="7002BCDF" w14:textId="77777777" w:rsidR="00A14DCE" w:rsidRPr="00373342" w:rsidRDefault="00A14DCE" w:rsidP="00373342">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lastRenderedPageBreak/>
              <w:t>Neni 1(7) (Direktiva 2016/881/BE)</w:t>
            </w:r>
            <w:r w:rsidRPr="00373342">
              <w:rPr>
                <w:rFonts w:ascii="Times New Roman" w:hAnsi="Times New Roman" w:cs="Times New Roman"/>
                <w:b/>
                <w:bCs/>
                <w:sz w:val="20"/>
                <w:szCs w:val="20"/>
              </w:rPr>
              <w:br/>
            </w:r>
            <w:r w:rsidRPr="00373342">
              <w:rPr>
                <w:rFonts w:ascii="Times New Roman" w:hAnsi="Times New Roman" w:cs="Times New Roman"/>
                <w:b/>
                <w:bCs/>
                <w:sz w:val="20"/>
                <w:szCs w:val="20"/>
              </w:rPr>
              <w:br/>
              <w:t>Neni 25a (Direktiva 2011/16/BE)</w:t>
            </w:r>
          </w:p>
          <w:p w14:paraId="3414A59B" w14:textId="77777777" w:rsidR="00A14DCE" w:rsidRPr="00373342" w:rsidRDefault="00A14DCE" w:rsidP="00373342">
            <w:pPr>
              <w:spacing w:line="276" w:lineRule="auto"/>
              <w:jc w:val="center"/>
              <w:rPr>
                <w:rFonts w:ascii="Times New Roman" w:hAnsi="Times New Roman" w:cs="Times New Roman"/>
                <w:b/>
                <w:bCs/>
                <w:sz w:val="20"/>
                <w:szCs w:val="20"/>
              </w:rPr>
            </w:pPr>
          </w:p>
          <w:p w14:paraId="1722090C" w14:textId="77777777" w:rsidR="00A14DCE" w:rsidRPr="00373342" w:rsidRDefault="00A14DCE" w:rsidP="00373342">
            <w:pPr>
              <w:spacing w:line="276" w:lineRule="auto"/>
              <w:jc w:val="center"/>
              <w:rPr>
                <w:rFonts w:ascii="Times New Roman" w:hAnsi="Times New Roman" w:cs="Times New Roman"/>
                <w:b/>
                <w:bCs/>
                <w:sz w:val="20"/>
                <w:szCs w:val="20"/>
              </w:rPr>
            </w:pPr>
          </w:p>
          <w:p w14:paraId="365BB12C" w14:textId="0FC1CDC1" w:rsidR="00A14DCE" w:rsidRPr="00373342" w:rsidRDefault="00A14DCE" w:rsidP="00373342">
            <w:pPr>
              <w:spacing w:line="276" w:lineRule="auto"/>
              <w:jc w:val="center"/>
              <w:rPr>
                <w:rFonts w:ascii="Times New Roman" w:hAnsi="Times New Roman" w:cs="Times New Roman"/>
                <w:b/>
                <w:bCs/>
                <w:sz w:val="20"/>
                <w:szCs w:val="20"/>
              </w:rPr>
            </w:pPr>
          </w:p>
        </w:tc>
        <w:tc>
          <w:tcPr>
            <w:tcW w:w="3960" w:type="dxa"/>
            <w:shd w:val="clear" w:color="auto" w:fill="FFFFFF" w:themeFill="background1"/>
          </w:tcPr>
          <w:p w14:paraId="228702B1" w14:textId="77777777" w:rsidR="00A14DCE" w:rsidRPr="00373342" w:rsidRDefault="00A14DCE" w:rsidP="00373342">
            <w:pPr>
              <w:spacing w:line="276" w:lineRule="auto"/>
              <w:rPr>
                <w:rFonts w:ascii="Times New Roman" w:hAnsi="Times New Roman" w:cs="Times New Roman"/>
                <w:sz w:val="20"/>
                <w:szCs w:val="20"/>
              </w:rPr>
            </w:pPr>
            <w:r w:rsidRPr="00373342">
              <w:rPr>
                <w:rFonts w:ascii="Times New Roman" w:hAnsi="Times New Roman" w:cs="Times New Roman"/>
                <w:sz w:val="20"/>
                <w:szCs w:val="20"/>
              </w:rPr>
              <w:t>Dënimet</w:t>
            </w:r>
            <w:r w:rsidRPr="00373342">
              <w:rPr>
                <w:rFonts w:ascii="Times New Roman" w:hAnsi="Times New Roman" w:cs="Times New Roman"/>
                <w:sz w:val="20"/>
                <w:szCs w:val="20"/>
              </w:rPr>
              <w:br/>
            </w:r>
            <w:r w:rsidRPr="00373342">
              <w:rPr>
                <w:rFonts w:ascii="Times New Roman" w:hAnsi="Times New Roman" w:cs="Times New Roman"/>
                <w:sz w:val="20"/>
                <w:szCs w:val="20"/>
              </w:rPr>
              <w:br/>
              <w:t>Shtetet Anëtare përcaktojnë rregullat për dënimet e zbatueshme ndaj shkeljeve të dispozitave kombëtare të miratuara në zbatim të kësaj Direktive në lidhje me nenin 8aa dhe marrin të gjitha masat e nevojshme për të siguruar zbatimin e tyre. Dënimet e parashikuara duhet të jenë efektive, proporcionale dhe dekurajuese.</w:t>
            </w:r>
          </w:p>
          <w:p w14:paraId="307F0649" w14:textId="77777777" w:rsidR="00A14DCE" w:rsidRPr="00373342" w:rsidRDefault="00A14DCE" w:rsidP="00373342">
            <w:pPr>
              <w:spacing w:line="276" w:lineRule="auto"/>
              <w:rPr>
                <w:rFonts w:ascii="Times New Roman" w:hAnsi="Times New Roman" w:cs="Times New Roman"/>
                <w:sz w:val="20"/>
                <w:szCs w:val="20"/>
              </w:rPr>
            </w:pPr>
          </w:p>
          <w:p w14:paraId="1420EB06" w14:textId="77777777" w:rsidR="00A14DCE" w:rsidRPr="00373342" w:rsidRDefault="00A14DCE" w:rsidP="00373342">
            <w:pPr>
              <w:spacing w:line="276" w:lineRule="auto"/>
              <w:rPr>
                <w:rFonts w:ascii="Times New Roman" w:hAnsi="Times New Roman" w:cs="Times New Roman"/>
                <w:sz w:val="20"/>
                <w:szCs w:val="20"/>
              </w:rPr>
            </w:pPr>
          </w:p>
          <w:p w14:paraId="76A8B8E7" w14:textId="4DE50A1D" w:rsidR="00A14DCE" w:rsidRPr="00373342" w:rsidRDefault="00A14DCE" w:rsidP="00373342">
            <w:pPr>
              <w:spacing w:line="276" w:lineRule="auto"/>
              <w:rPr>
                <w:rFonts w:ascii="Times New Roman" w:hAnsi="Times New Roman" w:cs="Times New Roman"/>
                <w:sz w:val="20"/>
                <w:szCs w:val="20"/>
              </w:rPr>
            </w:pPr>
          </w:p>
        </w:tc>
        <w:tc>
          <w:tcPr>
            <w:tcW w:w="1170" w:type="dxa"/>
            <w:shd w:val="clear" w:color="auto" w:fill="FFFFFF" w:themeFill="background1"/>
          </w:tcPr>
          <w:p w14:paraId="41CA608B" w14:textId="3842D936" w:rsidR="00A14DCE" w:rsidRPr="00373342" w:rsidRDefault="00C214BD"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1</w:t>
            </w:r>
          </w:p>
        </w:tc>
        <w:tc>
          <w:tcPr>
            <w:tcW w:w="1260" w:type="dxa"/>
            <w:shd w:val="clear" w:color="auto" w:fill="FFFFFF" w:themeFill="background1"/>
          </w:tcPr>
          <w:p w14:paraId="0BE67A42" w14:textId="63E3E130" w:rsidR="00A14DCE" w:rsidRPr="00373342" w:rsidRDefault="00C214BD"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115/4</w:t>
            </w:r>
          </w:p>
        </w:tc>
        <w:tc>
          <w:tcPr>
            <w:tcW w:w="3870" w:type="dxa"/>
            <w:shd w:val="clear" w:color="auto" w:fill="FFFFFF" w:themeFill="background1"/>
          </w:tcPr>
          <w:p w14:paraId="23ECED93" w14:textId="0F457B31" w:rsidR="00A14DCE" w:rsidRPr="00472C4C" w:rsidRDefault="00FF4ED1" w:rsidP="0087215D">
            <w:pPr>
              <w:spacing w:line="276" w:lineRule="auto"/>
              <w:rPr>
                <w:rFonts w:ascii="Times New Roman" w:hAnsi="Times New Roman" w:cs="Times New Roman"/>
                <w:sz w:val="20"/>
                <w:szCs w:val="20"/>
              </w:rPr>
            </w:pPr>
            <w:r w:rsidRPr="00472C4C">
              <w:rPr>
                <w:rFonts w:ascii="Times New Roman" w:hAnsi="Times New Roman" w:cs="Times New Roman"/>
                <w:sz w:val="20"/>
                <w:szCs w:val="20"/>
              </w:rPr>
              <w:t>Dënime lidhur me detyrimet e raportimit për çdo vend</w:t>
            </w:r>
            <w:r w:rsidRPr="00472C4C">
              <w:rPr>
                <w:rFonts w:ascii="Times New Roman" w:hAnsi="Times New Roman" w:cs="Times New Roman"/>
                <w:sz w:val="20"/>
                <w:szCs w:val="20"/>
              </w:rPr>
              <w:br/>
            </w:r>
            <w:r w:rsidRPr="00472C4C">
              <w:rPr>
                <w:rFonts w:ascii="Times New Roman" w:hAnsi="Times New Roman" w:cs="Times New Roman"/>
                <w:sz w:val="20"/>
                <w:szCs w:val="20"/>
              </w:rPr>
              <w:br/>
              <w:t>1. Mospërmbushja e detyrimit për të dorëzuar në kohë raportimin për çdo vend, sipas dispozitave të këtij ligji, dënohet me gjobë 10 000 lekë për çdo muaj vonesë deri në 12 muaj pas afatit të përcaktuar në nenin 63/5 të këtij ligji.</w:t>
            </w:r>
            <w:r w:rsidRPr="00472C4C">
              <w:rPr>
                <w:rFonts w:ascii="Times New Roman" w:hAnsi="Times New Roman" w:cs="Times New Roman"/>
                <w:sz w:val="20"/>
                <w:szCs w:val="20"/>
              </w:rPr>
              <w:br/>
            </w:r>
            <w:r w:rsidRPr="00472C4C">
              <w:rPr>
                <w:rFonts w:ascii="Times New Roman" w:hAnsi="Times New Roman" w:cs="Times New Roman"/>
                <w:sz w:val="20"/>
                <w:szCs w:val="20"/>
              </w:rPr>
              <w:br/>
              <w:t>2. Pas afatit të përcaktuar në pikën 1 të këtij neni, për mospërmbushjen e detyrimit për paraqitjen e këtij raportimi tatimpaguesi dënohet me gjobë 200 000 lekë.</w:t>
            </w:r>
            <w:r w:rsidRPr="00472C4C">
              <w:rPr>
                <w:rFonts w:ascii="Times New Roman" w:hAnsi="Times New Roman" w:cs="Times New Roman"/>
                <w:sz w:val="20"/>
                <w:szCs w:val="20"/>
              </w:rPr>
              <w:br/>
            </w:r>
            <w:r w:rsidRPr="00472C4C">
              <w:rPr>
                <w:rFonts w:ascii="Times New Roman" w:hAnsi="Times New Roman" w:cs="Times New Roman"/>
                <w:sz w:val="20"/>
                <w:szCs w:val="20"/>
              </w:rPr>
              <w:br/>
              <w:t>3. Mospërmbushja e detyrimit për paraqitjen e saktë dhe të plotë të raportimit për çdo vend, sipas dispozitave të këtij ligji, dënohet me gjobë 50 000 lekë.</w:t>
            </w:r>
          </w:p>
        </w:tc>
        <w:tc>
          <w:tcPr>
            <w:tcW w:w="1620" w:type="dxa"/>
            <w:shd w:val="clear" w:color="auto" w:fill="FFFFFF" w:themeFill="background1"/>
          </w:tcPr>
          <w:p w14:paraId="5362F1B3" w14:textId="7A48272D" w:rsidR="00A14DCE" w:rsidRPr="00373342" w:rsidRDefault="002000FA" w:rsidP="00373342">
            <w:pPr>
              <w:spacing w:line="276" w:lineRule="auto"/>
              <w:jc w:val="center"/>
              <w:rPr>
                <w:rFonts w:ascii="Times New Roman" w:hAnsi="Times New Roman" w:cs="Times New Roman"/>
                <w:sz w:val="20"/>
                <w:szCs w:val="20"/>
              </w:rPr>
            </w:pPr>
            <w:r>
              <w:rPr>
                <w:rFonts w:ascii="Times New Roman" w:hAnsi="Times New Roman" w:cs="Times New Roman"/>
                <w:sz w:val="20"/>
                <w:szCs w:val="20"/>
              </w:rPr>
              <w:t>E plotë</w:t>
            </w:r>
          </w:p>
        </w:tc>
        <w:tc>
          <w:tcPr>
            <w:tcW w:w="2790" w:type="dxa"/>
            <w:shd w:val="clear" w:color="auto" w:fill="FFFFFF" w:themeFill="background1"/>
          </w:tcPr>
          <w:p w14:paraId="15DF3CF1" w14:textId="2198A2FA" w:rsidR="00A14DCE" w:rsidRPr="00373342" w:rsidRDefault="00A14DCE" w:rsidP="00373342">
            <w:pPr>
              <w:spacing w:line="276" w:lineRule="auto"/>
              <w:rPr>
                <w:rFonts w:ascii="Times New Roman" w:hAnsi="Times New Roman" w:cs="Times New Roman"/>
                <w:sz w:val="20"/>
                <w:szCs w:val="20"/>
              </w:rPr>
            </w:pPr>
          </w:p>
        </w:tc>
      </w:tr>
      <w:tr w:rsidR="00FF4ED1" w:rsidRPr="00373342" w14:paraId="3E1D6879" w14:textId="77777777" w:rsidTr="00373342">
        <w:trPr>
          <w:trHeight w:val="870"/>
        </w:trPr>
        <w:tc>
          <w:tcPr>
            <w:tcW w:w="1440" w:type="dxa"/>
            <w:shd w:val="clear" w:color="auto" w:fill="FFFFFF" w:themeFill="background1"/>
          </w:tcPr>
          <w:p w14:paraId="32EC475B" w14:textId="77777777" w:rsidR="00FF4ED1" w:rsidRPr="00373342" w:rsidRDefault="00FF4ED1" w:rsidP="00373342">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Neni 1(8) (Direktiva 2016/881/BE)</w:t>
            </w:r>
            <w:r w:rsidRPr="00373342">
              <w:rPr>
                <w:rFonts w:ascii="Times New Roman" w:hAnsi="Times New Roman" w:cs="Times New Roman"/>
                <w:b/>
                <w:bCs/>
                <w:sz w:val="20"/>
                <w:szCs w:val="20"/>
              </w:rPr>
              <w:br/>
            </w:r>
            <w:r w:rsidRPr="00373342">
              <w:rPr>
                <w:rFonts w:ascii="Times New Roman" w:hAnsi="Times New Roman" w:cs="Times New Roman"/>
                <w:b/>
                <w:bCs/>
                <w:sz w:val="20"/>
                <w:szCs w:val="20"/>
              </w:rPr>
              <w:br/>
              <w:t>Neni 26 (Direktiva 2011/16/BE)</w:t>
            </w:r>
          </w:p>
          <w:p w14:paraId="2D7A3C5C" w14:textId="77777777" w:rsidR="00FF4ED1" w:rsidRPr="00373342" w:rsidRDefault="00FF4ED1" w:rsidP="00373342">
            <w:pPr>
              <w:spacing w:line="276" w:lineRule="auto"/>
              <w:jc w:val="center"/>
              <w:rPr>
                <w:rFonts w:ascii="Times New Roman" w:hAnsi="Times New Roman" w:cs="Times New Roman"/>
                <w:b/>
                <w:bCs/>
                <w:sz w:val="20"/>
                <w:szCs w:val="20"/>
              </w:rPr>
            </w:pPr>
          </w:p>
          <w:p w14:paraId="456A6825" w14:textId="77777777" w:rsidR="00FF4ED1" w:rsidRPr="00373342" w:rsidRDefault="00FF4ED1" w:rsidP="00373342">
            <w:pPr>
              <w:spacing w:line="276" w:lineRule="auto"/>
              <w:jc w:val="center"/>
              <w:rPr>
                <w:rFonts w:ascii="Times New Roman" w:hAnsi="Times New Roman" w:cs="Times New Roman"/>
                <w:b/>
                <w:bCs/>
                <w:sz w:val="20"/>
                <w:szCs w:val="20"/>
              </w:rPr>
            </w:pPr>
          </w:p>
          <w:p w14:paraId="7BBAD7B1" w14:textId="1E2A1B4D" w:rsidR="00FF4ED1" w:rsidRPr="00373342" w:rsidRDefault="00FF4ED1" w:rsidP="00373342">
            <w:pPr>
              <w:spacing w:line="276" w:lineRule="auto"/>
              <w:jc w:val="center"/>
              <w:rPr>
                <w:rFonts w:ascii="Times New Roman" w:hAnsi="Times New Roman" w:cs="Times New Roman"/>
                <w:b/>
                <w:bCs/>
                <w:sz w:val="20"/>
                <w:szCs w:val="20"/>
              </w:rPr>
            </w:pPr>
          </w:p>
        </w:tc>
        <w:tc>
          <w:tcPr>
            <w:tcW w:w="3960" w:type="dxa"/>
            <w:shd w:val="clear" w:color="auto" w:fill="FFFFFF" w:themeFill="background1"/>
          </w:tcPr>
          <w:p w14:paraId="2BC80B82" w14:textId="7666760F" w:rsidR="00FF4ED1" w:rsidRPr="00373342" w:rsidRDefault="00FF4ED1" w:rsidP="00373342">
            <w:pPr>
              <w:spacing w:line="276" w:lineRule="auto"/>
              <w:rPr>
                <w:rFonts w:ascii="Times New Roman" w:hAnsi="Times New Roman" w:cs="Times New Roman"/>
                <w:sz w:val="20"/>
                <w:szCs w:val="20"/>
              </w:rPr>
            </w:pPr>
            <w:r w:rsidRPr="00373342">
              <w:rPr>
                <w:rFonts w:ascii="Times New Roman" w:hAnsi="Times New Roman" w:cs="Times New Roman"/>
                <w:sz w:val="20"/>
                <w:szCs w:val="20"/>
              </w:rPr>
              <w:t>Procedura e komitetit</w:t>
            </w:r>
            <w:r w:rsidRPr="00373342">
              <w:rPr>
                <w:rFonts w:ascii="Times New Roman" w:hAnsi="Times New Roman" w:cs="Times New Roman"/>
                <w:sz w:val="20"/>
                <w:szCs w:val="20"/>
              </w:rPr>
              <w:br/>
            </w:r>
            <w:r w:rsidRPr="00373342">
              <w:rPr>
                <w:rFonts w:ascii="Times New Roman" w:hAnsi="Times New Roman" w:cs="Times New Roman"/>
                <w:sz w:val="20"/>
                <w:szCs w:val="20"/>
              </w:rPr>
              <w:br/>
              <w:t>1. Komisioni asistohen nga Komiteti për bashkëpunimin administrativ në fushën e tatimeve. Ky komitet është komitet në kuptim të Rregullores (BE) nr. 182/2011 të Parlamentit Evropian dhe të Këshillit (*).</w:t>
            </w:r>
            <w:r w:rsidRPr="00373342">
              <w:rPr>
                <w:rFonts w:ascii="Times New Roman" w:hAnsi="Times New Roman" w:cs="Times New Roman"/>
                <w:sz w:val="20"/>
                <w:szCs w:val="20"/>
              </w:rPr>
              <w:br/>
            </w:r>
            <w:r w:rsidRPr="00373342">
              <w:rPr>
                <w:rFonts w:ascii="Times New Roman" w:hAnsi="Times New Roman" w:cs="Times New Roman"/>
                <w:sz w:val="20"/>
                <w:szCs w:val="20"/>
              </w:rPr>
              <w:br/>
              <w:t>2. Kur i referohet kësaj pike, zbatohet neni 5 i Rregullores (BE) nr. 182/2011.</w:t>
            </w:r>
          </w:p>
          <w:p w14:paraId="49F1A540" w14:textId="346E47A1" w:rsidR="00FF4ED1" w:rsidRPr="00373342" w:rsidRDefault="00FF4ED1" w:rsidP="00373342">
            <w:pPr>
              <w:spacing w:line="276" w:lineRule="auto"/>
              <w:rPr>
                <w:rFonts w:ascii="Times New Roman" w:hAnsi="Times New Roman" w:cs="Times New Roman"/>
                <w:sz w:val="20"/>
                <w:szCs w:val="20"/>
              </w:rPr>
            </w:pPr>
          </w:p>
        </w:tc>
        <w:tc>
          <w:tcPr>
            <w:tcW w:w="1170" w:type="dxa"/>
            <w:shd w:val="clear" w:color="auto" w:fill="FFFFFF" w:themeFill="background1"/>
          </w:tcPr>
          <w:p w14:paraId="565D5D25" w14:textId="5C3F9C3D" w:rsidR="00FF4ED1" w:rsidRPr="00373342" w:rsidRDefault="00FF4ED1"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lastRenderedPageBreak/>
              <w:t>N/A</w:t>
            </w:r>
          </w:p>
        </w:tc>
        <w:tc>
          <w:tcPr>
            <w:tcW w:w="1260" w:type="dxa"/>
            <w:shd w:val="clear" w:color="auto" w:fill="FFFFFF" w:themeFill="background1"/>
          </w:tcPr>
          <w:p w14:paraId="56CB2690" w14:textId="0F59AA01" w:rsidR="00FF4ED1" w:rsidRPr="00373342" w:rsidRDefault="00FF4ED1"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N/A</w:t>
            </w:r>
          </w:p>
        </w:tc>
        <w:tc>
          <w:tcPr>
            <w:tcW w:w="3870" w:type="dxa"/>
            <w:tcBorders>
              <w:bottom w:val="dashed" w:sz="4" w:space="0" w:color="auto"/>
            </w:tcBorders>
            <w:shd w:val="clear" w:color="auto" w:fill="FFFFFF" w:themeFill="background1"/>
          </w:tcPr>
          <w:p w14:paraId="4A933F26" w14:textId="7DDB93AB" w:rsidR="00FF4ED1" w:rsidRPr="00472C4C" w:rsidRDefault="00FF4ED1" w:rsidP="00373342">
            <w:pPr>
              <w:spacing w:line="276" w:lineRule="auto"/>
              <w:jc w:val="center"/>
              <w:rPr>
                <w:rFonts w:ascii="Times New Roman" w:hAnsi="Times New Roman" w:cs="Times New Roman"/>
                <w:sz w:val="20"/>
                <w:szCs w:val="20"/>
              </w:rPr>
            </w:pPr>
            <w:r w:rsidRPr="00472C4C">
              <w:rPr>
                <w:rFonts w:ascii="Times New Roman" w:hAnsi="Times New Roman" w:cs="Times New Roman"/>
                <w:sz w:val="20"/>
                <w:szCs w:val="20"/>
              </w:rPr>
              <w:t>N/A</w:t>
            </w:r>
          </w:p>
        </w:tc>
        <w:tc>
          <w:tcPr>
            <w:tcW w:w="1620" w:type="dxa"/>
            <w:tcBorders>
              <w:bottom w:val="dashed" w:sz="4" w:space="0" w:color="auto"/>
            </w:tcBorders>
            <w:shd w:val="clear" w:color="auto" w:fill="FFFFFF" w:themeFill="background1"/>
          </w:tcPr>
          <w:p w14:paraId="0DEA70AC" w14:textId="41A5A484" w:rsidR="00FF4ED1" w:rsidRPr="00373342" w:rsidRDefault="002000FA"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N/A</w:t>
            </w:r>
          </w:p>
        </w:tc>
        <w:tc>
          <w:tcPr>
            <w:tcW w:w="2790" w:type="dxa"/>
            <w:tcBorders>
              <w:bottom w:val="dashed" w:sz="4" w:space="0" w:color="auto"/>
            </w:tcBorders>
            <w:shd w:val="clear" w:color="auto" w:fill="FFFFFF" w:themeFill="background1"/>
          </w:tcPr>
          <w:p w14:paraId="75F11E1E" w14:textId="3B13EEB7" w:rsidR="00FF4ED1" w:rsidRPr="00373342" w:rsidRDefault="00682798" w:rsidP="00373342">
            <w:pPr>
              <w:spacing w:line="276" w:lineRule="auto"/>
              <w:rPr>
                <w:rFonts w:ascii="Times New Roman" w:hAnsi="Times New Roman" w:cs="Times New Roman"/>
                <w:sz w:val="20"/>
                <w:szCs w:val="20"/>
              </w:rPr>
            </w:pPr>
            <w:r w:rsidRPr="00373342">
              <w:rPr>
                <w:rFonts w:ascii="Times New Roman" w:hAnsi="Times New Roman" w:cs="Times New Roman"/>
                <w:sz w:val="20"/>
                <w:szCs w:val="20"/>
              </w:rPr>
              <w:t xml:space="preserve">Kjo dispozitë lidhet me procedurat e brendshme institucionale të Bashkimit Evropian (komitologjinë) dhe funksionimin e komiteteve në nivel të BE-së. Ajo rregullon ushtrimin e kompetencave zbatuese të Komisionit Evropian dhe, për rrjedhojë, </w:t>
            </w:r>
            <w:r w:rsidRPr="00373342">
              <w:rPr>
                <w:rFonts w:ascii="Times New Roman" w:hAnsi="Times New Roman" w:cs="Times New Roman"/>
                <w:sz w:val="20"/>
                <w:szCs w:val="20"/>
              </w:rPr>
              <w:lastRenderedPageBreak/>
              <w:t>nuk kërkon transpozim në legjislacionin vendas.</w:t>
            </w:r>
          </w:p>
        </w:tc>
      </w:tr>
      <w:tr w:rsidR="00CF01AE" w:rsidRPr="00373342" w14:paraId="345EC8AC" w14:textId="77777777" w:rsidTr="00F509FC">
        <w:tc>
          <w:tcPr>
            <w:tcW w:w="16110" w:type="dxa"/>
            <w:gridSpan w:val="7"/>
            <w:shd w:val="clear" w:color="auto" w:fill="FFFFFF" w:themeFill="background1"/>
          </w:tcPr>
          <w:p w14:paraId="7F853568" w14:textId="0B41DB24" w:rsidR="00CF01AE" w:rsidRPr="00472C4C" w:rsidRDefault="002000FA" w:rsidP="002000FA">
            <w:pPr>
              <w:widowControl w:val="0"/>
              <w:spacing w:before="120" w:line="276" w:lineRule="auto"/>
              <w:jc w:val="center"/>
              <w:rPr>
                <w:rFonts w:ascii="Times New Roman" w:hAnsi="Times New Roman" w:cs="Times New Roman"/>
                <w:sz w:val="20"/>
                <w:szCs w:val="20"/>
              </w:rPr>
            </w:pPr>
            <w:r w:rsidRPr="00472C4C">
              <w:rPr>
                <w:rFonts w:ascii="Times New Roman" w:hAnsi="Times New Roman" w:cs="Times New Roman"/>
                <w:sz w:val="20"/>
                <w:szCs w:val="20"/>
              </w:rPr>
              <w:lastRenderedPageBreak/>
              <w:t>Neni 1(9) (Direktiva 2016/881/BE)</w:t>
            </w:r>
            <w:r w:rsidRPr="00472C4C">
              <w:rPr>
                <w:rFonts w:ascii="Times New Roman" w:hAnsi="Times New Roman" w:cs="Times New Roman"/>
                <w:sz w:val="20"/>
                <w:szCs w:val="20"/>
              </w:rPr>
              <w:br/>
              <w:t>Shtohet Shtojca III, teksti i së cilës përcaktohet në Shtojcën e kësaj Direktive.</w:t>
            </w:r>
            <w:r w:rsidRPr="00472C4C">
              <w:rPr>
                <w:rFonts w:ascii="Times New Roman" w:hAnsi="Times New Roman" w:cs="Times New Roman"/>
                <w:sz w:val="20"/>
                <w:szCs w:val="20"/>
              </w:rPr>
              <w:br/>
              <w:t>Më poshtë, Shtojca III, “Rregullat e dorëzimit për Grupet e Shoqërive Shumëkombëshe” (Direktiva 2011/16/BE)</w:t>
            </w:r>
          </w:p>
        </w:tc>
      </w:tr>
      <w:tr w:rsidR="00A14DCE" w:rsidRPr="00373342" w14:paraId="77612585" w14:textId="77777777" w:rsidTr="00373342">
        <w:trPr>
          <w:trHeight w:val="1008"/>
        </w:trPr>
        <w:tc>
          <w:tcPr>
            <w:tcW w:w="1440" w:type="dxa"/>
            <w:shd w:val="clear" w:color="auto" w:fill="FFFFFF" w:themeFill="background1"/>
          </w:tcPr>
          <w:p w14:paraId="33454BEC" w14:textId="025BDB51" w:rsidR="00A14DCE" w:rsidRPr="00373342" w:rsidRDefault="00A14DCE" w:rsidP="00373342">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Shtojca III, Seksioni I, “Termat e përkufizuar”</w:t>
            </w:r>
            <w:r w:rsidRPr="00373342">
              <w:rPr>
                <w:rFonts w:ascii="Times New Roman" w:hAnsi="Times New Roman" w:cs="Times New Roman"/>
                <w:b/>
                <w:bCs/>
                <w:sz w:val="20"/>
                <w:szCs w:val="20"/>
              </w:rPr>
              <w:br/>
            </w:r>
            <w:r w:rsidRPr="00373342">
              <w:rPr>
                <w:rFonts w:ascii="Times New Roman" w:hAnsi="Times New Roman" w:cs="Times New Roman"/>
                <w:b/>
                <w:bCs/>
                <w:sz w:val="20"/>
                <w:szCs w:val="20"/>
              </w:rPr>
              <w:br/>
              <w:t>Shtojca III, Seksioni I, Pika 1</w:t>
            </w:r>
          </w:p>
        </w:tc>
        <w:tc>
          <w:tcPr>
            <w:tcW w:w="3960" w:type="dxa"/>
            <w:shd w:val="clear" w:color="auto" w:fill="FFFFFF" w:themeFill="background1"/>
          </w:tcPr>
          <w:p w14:paraId="047E639F" w14:textId="4F47E62F" w:rsidR="00A14DCE" w:rsidRPr="00373342" w:rsidRDefault="00A14DCE" w:rsidP="00373342">
            <w:pPr>
              <w:spacing w:line="276" w:lineRule="auto"/>
              <w:rPr>
                <w:rFonts w:ascii="Times New Roman" w:hAnsi="Times New Roman" w:cs="Times New Roman"/>
                <w:sz w:val="20"/>
                <w:szCs w:val="20"/>
              </w:rPr>
            </w:pPr>
            <w:r w:rsidRPr="00373342">
              <w:rPr>
                <w:rFonts w:ascii="Times New Roman" w:hAnsi="Times New Roman" w:cs="Times New Roman"/>
                <w:sz w:val="20"/>
                <w:szCs w:val="20"/>
              </w:rPr>
              <w:t>1. Termi “Grup” është një bashkësi ndërmarrjesh të lidhura nëpërmjet pronësisë ose kontrollit, në mënyrë të tillë që kërkohet të përgatiten Pasqyrat financiare të konsoliduara për qëllime të raportimit financiar sipas parimeve të zbatueshme të kontabilitetit, ose do të kërkoheshin nëse interesat e kapitalit të ndonjë prej ndërmarrjeve do të tregtoheshin në një bursë publike të letrave me vlerë.</w:t>
            </w:r>
          </w:p>
        </w:tc>
        <w:tc>
          <w:tcPr>
            <w:tcW w:w="1170" w:type="dxa"/>
            <w:shd w:val="clear" w:color="auto" w:fill="FFFFFF" w:themeFill="background1"/>
          </w:tcPr>
          <w:p w14:paraId="7FC077CA" w14:textId="7B5159BC" w:rsidR="00A14DCE" w:rsidRPr="00373342" w:rsidRDefault="00FF4ED1"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1</w:t>
            </w:r>
          </w:p>
        </w:tc>
        <w:tc>
          <w:tcPr>
            <w:tcW w:w="1260" w:type="dxa"/>
            <w:shd w:val="clear" w:color="auto" w:fill="FFFFFF" w:themeFill="background1"/>
          </w:tcPr>
          <w:p w14:paraId="15C086F5" w14:textId="1AD59CCA" w:rsidR="00A14DCE" w:rsidRPr="00373342" w:rsidRDefault="00FF4ED1"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63/1, shkronja “a”</w:t>
            </w:r>
          </w:p>
        </w:tc>
        <w:tc>
          <w:tcPr>
            <w:tcW w:w="3870" w:type="dxa"/>
            <w:shd w:val="clear" w:color="auto" w:fill="FFFFFF" w:themeFill="background1"/>
          </w:tcPr>
          <w:p w14:paraId="1606212D" w14:textId="66ABB9E4" w:rsidR="00A14DCE" w:rsidRPr="00472C4C" w:rsidRDefault="00FF4ED1" w:rsidP="00373342">
            <w:pPr>
              <w:spacing w:line="276" w:lineRule="auto"/>
              <w:rPr>
                <w:rFonts w:ascii="Times New Roman" w:hAnsi="Times New Roman" w:cs="Times New Roman"/>
                <w:sz w:val="20"/>
                <w:szCs w:val="20"/>
              </w:rPr>
            </w:pPr>
            <w:r w:rsidRPr="00472C4C">
              <w:rPr>
                <w:rFonts w:ascii="Times New Roman" w:hAnsi="Times New Roman" w:cs="Times New Roman"/>
                <w:sz w:val="20"/>
                <w:szCs w:val="20"/>
              </w:rPr>
              <w:t>a) “Grup” është një bashkësi entitetesh të lidhura nëpërmjet pronësisë ose kontrollit, në mënyrë të tillë që kërkohet të përgatiten pasqyrat financiare të konsoliduara për qëllime të raportimit financiar, sipas parimeve të zbatueshme të kontabilitetit, ose do të kërkoheshin nëse interesat e kapitalit të ndonjë prej entiteteve do të tregtoheshin në një bursë publike të letrave me vlerë;</w:t>
            </w:r>
          </w:p>
        </w:tc>
        <w:tc>
          <w:tcPr>
            <w:tcW w:w="1620" w:type="dxa"/>
            <w:shd w:val="clear" w:color="auto" w:fill="FFFFFF" w:themeFill="background1"/>
          </w:tcPr>
          <w:p w14:paraId="0433695C" w14:textId="441F78BA" w:rsidR="00A14DCE" w:rsidRPr="00373342" w:rsidRDefault="004E7617" w:rsidP="00373342">
            <w:pPr>
              <w:spacing w:line="276" w:lineRule="auto"/>
              <w:jc w:val="center"/>
              <w:rPr>
                <w:rFonts w:ascii="Times New Roman" w:hAnsi="Times New Roman" w:cs="Times New Roman"/>
                <w:sz w:val="20"/>
                <w:szCs w:val="20"/>
              </w:rPr>
            </w:pPr>
            <w:r>
              <w:rPr>
                <w:rFonts w:ascii="Times New Roman" w:hAnsi="Times New Roman" w:cs="Times New Roman"/>
                <w:sz w:val="20"/>
                <w:szCs w:val="20"/>
              </w:rPr>
              <w:t>E</w:t>
            </w:r>
            <w:r w:rsidR="002000FA">
              <w:rPr>
                <w:rFonts w:ascii="Times New Roman" w:hAnsi="Times New Roman" w:cs="Times New Roman"/>
                <w:sz w:val="20"/>
                <w:szCs w:val="20"/>
              </w:rPr>
              <w:t xml:space="preserve"> plotë</w:t>
            </w:r>
          </w:p>
        </w:tc>
        <w:tc>
          <w:tcPr>
            <w:tcW w:w="2790" w:type="dxa"/>
            <w:shd w:val="clear" w:color="auto" w:fill="FFFFFF" w:themeFill="background1"/>
          </w:tcPr>
          <w:p w14:paraId="435D8FC4" w14:textId="7E82DFD2" w:rsidR="00A14DCE" w:rsidRPr="00373342" w:rsidRDefault="00A14DCE" w:rsidP="00373342">
            <w:pPr>
              <w:spacing w:line="276" w:lineRule="auto"/>
              <w:rPr>
                <w:rFonts w:ascii="Times New Roman" w:hAnsi="Times New Roman" w:cs="Times New Roman"/>
                <w:sz w:val="20"/>
                <w:szCs w:val="20"/>
              </w:rPr>
            </w:pPr>
          </w:p>
        </w:tc>
      </w:tr>
      <w:tr w:rsidR="00A14DCE" w:rsidRPr="00373342" w14:paraId="57A66716" w14:textId="77777777" w:rsidTr="00373342">
        <w:tc>
          <w:tcPr>
            <w:tcW w:w="1440" w:type="dxa"/>
            <w:shd w:val="clear" w:color="auto" w:fill="FFFFFF" w:themeFill="background1"/>
          </w:tcPr>
          <w:p w14:paraId="64E95EEB" w14:textId="0A9645E3" w:rsidR="00A14DCE" w:rsidRPr="00373342" w:rsidRDefault="00A14DCE" w:rsidP="00373342">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Shtojca III, Seksioni I, Pika 2</w:t>
            </w:r>
          </w:p>
        </w:tc>
        <w:tc>
          <w:tcPr>
            <w:tcW w:w="3960" w:type="dxa"/>
            <w:shd w:val="clear" w:color="auto" w:fill="FFFFFF" w:themeFill="background1"/>
          </w:tcPr>
          <w:p w14:paraId="67EB4418" w14:textId="3031C5D7" w:rsidR="00A14DCE" w:rsidRPr="00373342" w:rsidRDefault="00A14DCE" w:rsidP="00373342">
            <w:pPr>
              <w:spacing w:line="276" w:lineRule="auto"/>
              <w:rPr>
                <w:rFonts w:ascii="Times New Roman" w:hAnsi="Times New Roman" w:cs="Times New Roman"/>
                <w:sz w:val="20"/>
                <w:szCs w:val="20"/>
              </w:rPr>
            </w:pPr>
            <w:r w:rsidRPr="00373342">
              <w:rPr>
                <w:rFonts w:ascii="Times New Roman" w:hAnsi="Times New Roman" w:cs="Times New Roman"/>
                <w:sz w:val="20"/>
                <w:szCs w:val="20"/>
              </w:rPr>
              <w:t>2. Termi “Ndërmarrje” nënkupton çdo formë të ushtrimit të biznesit nga çdo person i përmendur në shkronjat (b), (c) dhe (d) të nenit 3, pika 11.</w:t>
            </w:r>
          </w:p>
        </w:tc>
        <w:tc>
          <w:tcPr>
            <w:tcW w:w="1170" w:type="dxa"/>
            <w:shd w:val="clear" w:color="auto" w:fill="FFFFFF" w:themeFill="background1"/>
          </w:tcPr>
          <w:p w14:paraId="47A04E0B" w14:textId="348AA820" w:rsidR="00A14DCE" w:rsidRPr="00373342" w:rsidRDefault="00FF4ED1"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1</w:t>
            </w:r>
          </w:p>
        </w:tc>
        <w:tc>
          <w:tcPr>
            <w:tcW w:w="1260" w:type="dxa"/>
            <w:shd w:val="clear" w:color="auto" w:fill="FFFFFF" w:themeFill="background1"/>
          </w:tcPr>
          <w:p w14:paraId="6BDEE977" w14:textId="597D4383" w:rsidR="00A14DCE" w:rsidRPr="00373342" w:rsidRDefault="00FF4ED1"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5, pika 1</w:t>
            </w:r>
          </w:p>
        </w:tc>
        <w:tc>
          <w:tcPr>
            <w:tcW w:w="3870" w:type="dxa"/>
            <w:shd w:val="clear" w:color="auto" w:fill="FFFFFF" w:themeFill="background1"/>
          </w:tcPr>
          <w:p w14:paraId="61AF6287" w14:textId="5F311D4F" w:rsidR="00A14DCE" w:rsidRPr="00472C4C" w:rsidRDefault="00FF4ED1" w:rsidP="0087215D">
            <w:pPr>
              <w:spacing w:line="276" w:lineRule="auto"/>
              <w:rPr>
                <w:rFonts w:ascii="Times New Roman" w:hAnsi="Times New Roman" w:cs="Times New Roman"/>
                <w:sz w:val="20"/>
                <w:szCs w:val="20"/>
              </w:rPr>
            </w:pPr>
            <w:r w:rsidRPr="00472C4C">
              <w:rPr>
                <w:rFonts w:ascii="Times New Roman" w:hAnsi="Times New Roman" w:cs="Times New Roman"/>
                <w:sz w:val="20"/>
                <w:szCs w:val="20"/>
              </w:rPr>
              <w:t>Përkufizime</w:t>
            </w:r>
            <w:r w:rsidRPr="00472C4C">
              <w:rPr>
                <w:rFonts w:ascii="Times New Roman" w:hAnsi="Times New Roman" w:cs="Times New Roman"/>
                <w:sz w:val="20"/>
                <w:szCs w:val="20"/>
              </w:rPr>
              <w:br/>
            </w:r>
            <w:r w:rsidRPr="00472C4C">
              <w:rPr>
                <w:rFonts w:ascii="Times New Roman" w:hAnsi="Times New Roman" w:cs="Times New Roman"/>
                <w:sz w:val="20"/>
                <w:szCs w:val="20"/>
              </w:rPr>
              <w:br/>
              <w:t xml:space="preserve">1. Në këtë ligj termat e mëposhtëm kanë këto kuptime: ... m) “Entitet” është: i. çdo shoqëri ose çdo strukturë e organizatave të inkorporuara ose të painkorporuara (pavarësisht formës), me natyrë fitimprurëse ose jofitimprurëse; ii. organizatat fitimprurëse dhe jofitimprurëse; iii. çdo formë e “trust”-it të huaj ose strukturë e ngjashme; iv. çdo formë ortakërie ose çdo entitet me natyrë personale; v. çdo formë sipërmarrjeje të përbashkët; vi. çdo formë shoqërie për administrimin e kapitalit ose aseteve; vii. çdo formë shoqërie sipas Kodit </w:t>
            </w:r>
            <w:r w:rsidRPr="00472C4C">
              <w:rPr>
                <w:rFonts w:ascii="Times New Roman" w:hAnsi="Times New Roman" w:cs="Times New Roman"/>
                <w:sz w:val="20"/>
                <w:szCs w:val="20"/>
              </w:rPr>
              <w:lastRenderedPageBreak/>
              <w:t>Civil ose ligjit për shoqëritë tregtare; viii. ortakëritë pasive ose “të fjetura”;</w:t>
            </w:r>
          </w:p>
        </w:tc>
        <w:tc>
          <w:tcPr>
            <w:tcW w:w="1620" w:type="dxa"/>
            <w:shd w:val="clear" w:color="auto" w:fill="FFFFFF" w:themeFill="background1"/>
          </w:tcPr>
          <w:p w14:paraId="2063CF41" w14:textId="444C1F16" w:rsidR="00A14DCE" w:rsidRPr="00373342" w:rsidRDefault="004E7617" w:rsidP="00373342">
            <w:pPr>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E</w:t>
            </w:r>
            <w:r w:rsidR="002000FA">
              <w:rPr>
                <w:rFonts w:ascii="Times New Roman" w:hAnsi="Times New Roman" w:cs="Times New Roman"/>
                <w:sz w:val="20"/>
                <w:szCs w:val="20"/>
              </w:rPr>
              <w:t xml:space="preserve"> plotë</w:t>
            </w:r>
          </w:p>
        </w:tc>
        <w:tc>
          <w:tcPr>
            <w:tcW w:w="2790" w:type="dxa"/>
            <w:shd w:val="clear" w:color="auto" w:fill="FFFFFF" w:themeFill="background1"/>
          </w:tcPr>
          <w:p w14:paraId="3012ADE8" w14:textId="7DD18634" w:rsidR="00A14DCE" w:rsidRPr="00373342" w:rsidRDefault="00A14DCE" w:rsidP="00373342">
            <w:pPr>
              <w:spacing w:line="276" w:lineRule="auto"/>
              <w:rPr>
                <w:rFonts w:ascii="Times New Roman" w:hAnsi="Times New Roman" w:cs="Times New Roman"/>
                <w:sz w:val="20"/>
                <w:szCs w:val="20"/>
              </w:rPr>
            </w:pPr>
          </w:p>
        </w:tc>
      </w:tr>
      <w:tr w:rsidR="00A14DCE" w:rsidRPr="00373342" w14:paraId="40EF7847" w14:textId="77777777" w:rsidTr="00373342">
        <w:tc>
          <w:tcPr>
            <w:tcW w:w="1440" w:type="dxa"/>
            <w:shd w:val="clear" w:color="auto" w:fill="FFFFFF" w:themeFill="background1"/>
          </w:tcPr>
          <w:p w14:paraId="25CD8D9C" w14:textId="785243E8" w:rsidR="00A14DCE" w:rsidRPr="00373342" w:rsidRDefault="00A14DCE" w:rsidP="00373342">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Shtojca III, Seksioni I, Pika 3</w:t>
            </w:r>
          </w:p>
        </w:tc>
        <w:tc>
          <w:tcPr>
            <w:tcW w:w="3960" w:type="dxa"/>
            <w:shd w:val="clear" w:color="auto" w:fill="FFFFFF" w:themeFill="background1"/>
          </w:tcPr>
          <w:p w14:paraId="59BE729C" w14:textId="21225A58" w:rsidR="00A14DCE" w:rsidRPr="00373342" w:rsidRDefault="00A14DCE" w:rsidP="00373342">
            <w:pPr>
              <w:spacing w:line="276" w:lineRule="auto"/>
              <w:rPr>
                <w:rFonts w:ascii="Times New Roman" w:hAnsi="Times New Roman" w:cs="Times New Roman"/>
                <w:sz w:val="20"/>
                <w:szCs w:val="20"/>
              </w:rPr>
            </w:pPr>
            <w:r w:rsidRPr="00373342">
              <w:rPr>
                <w:rFonts w:ascii="Times New Roman" w:hAnsi="Times New Roman" w:cs="Times New Roman"/>
                <w:sz w:val="20"/>
                <w:szCs w:val="20"/>
              </w:rPr>
              <w:t>3. Termi “Grup shoqërie shumëkombëshe” është çdo Grup që përfshin dy ose më shumë ndërmarrje, rezidenca tatimore e të cilave është në juridiksione të ndryshme, ose përfshin një ndërmarrje që është rezidente për qëllime tatimore në një juridiksion dhe i nënshtrohet tatimit në lidhje me biznesin e kryer nëpërmjet një selie të përhershme në një juridiksion tjetër, dhe nuk është një Grup shoqërie shumëkombëshe i përjashtuar.</w:t>
            </w:r>
          </w:p>
        </w:tc>
        <w:tc>
          <w:tcPr>
            <w:tcW w:w="1170" w:type="dxa"/>
            <w:shd w:val="clear" w:color="auto" w:fill="FFFFFF" w:themeFill="background1"/>
          </w:tcPr>
          <w:p w14:paraId="7A3FBBCF" w14:textId="53964AAF" w:rsidR="00A14DCE" w:rsidRPr="00373342" w:rsidRDefault="00FF4ED1"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1</w:t>
            </w:r>
          </w:p>
        </w:tc>
        <w:tc>
          <w:tcPr>
            <w:tcW w:w="1260" w:type="dxa"/>
            <w:shd w:val="clear" w:color="auto" w:fill="FFFFFF" w:themeFill="background1"/>
          </w:tcPr>
          <w:p w14:paraId="7A14FF0A" w14:textId="61EFFC81" w:rsidR="00A14DCE" w:rsidRPr="00373342" w:rsidRDefault="00FF4ED1"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63/1, shkronja “b”</w:t>
            </w:r>
          </w:p>
        </w:tc>
        <w:tc>
          <w:tcPr>
            <w:tcW w:w="3870" w:type="dxa"/>
            <w:shd w:val="clear" w:color="auto" w:fill="FFFFFF" w:themeFill="background1"/>
          </w:tcPr>
          <w:p w14:paraId="128912CE" w14:textId="2C51549D" w:rsidR="00A14DCE" w:rsidRPr="00472C4C" w:rsidRDefault="00FF4ED1" w:rsidP="0087215D">
            <w:pPr>
              <w:spacing w:line="276" w:lineRule="auto"/>
              <w:rPr>
                <w:rFonts w:ascii="Times New Roman" w:hAnsi="Times New Roman" w:cs="Times New Roman"/>
                <w:sz w:val="20"/>
                <w:szCs w:val="20"/>
              </w:rPr>
            </w:pPr>
            <w:r w:rsidRPr="00472C4C">
              <w:rPr>
                <w:rFonts w:ascii="Times New Roman" w:hAnsi="Times New Roman" w:cs="Times New Roman"/>
                <w:sz w:val="20"/>
                <w:szCs w:val="20"/>
              </w:rPr>
              <w:t>b) “Grup shoqërie shumëkombëshe” është çdo grup që:</w:t>
            </w:r>
            <w:r w:rsidRPr="00472C4C">
              <w:rPr>
                <w:rFonts w:ascii="Times New Roman" w:hAnsi="Times New Roman" w:cs="Times New Roman"/>
                <w:sz w:val="20"/>
                <w:szCs w:val="20"/>
              </w:rPr>
              <w:br/>
            </w:r>
            <w:r w:rsidRPr="00472C4C">
              <w:rPr>
                <w:rFonts w:ascii="Times New Roman" w:hAnsi="Times New Roman" w:cs="Times New Roman"/>
                <w:sz w:val="20"/>
                <w:szCs w:val="20"/>
              </w:rPr>
              <w:br/>
              <w:t>i. përfshin dy ose më shumë entitete, rezidenca tatimore e të cilave është në juridiksione të ndryshme ose përfshin një entitet që është rezident për qëllime tatimore në një juridiksion dhe i nënshtrohet tatimit në lidhje me biznesin e kryer nëpërmjet një selie të përhershme në një juridiksion tjetër; dhe</w:t>
            </w:r>
            <w:r w:rsidRPr="00472C4C">
              <w:rPr>
                <w:rFonts w:ascii="Times New Roman" w:hAnsi="Times New Roman" w:cs="Times New Roman"/>
                <w:sz w:val="20"/>
                <w:szCs w:val="20"/>
              </w:rPr>
              <w:br/>
            </w:r>
            <w:r w:rsidRPr="00472C4C">
              <w:rPr>
                <w:rFonts w:ascii="Times New Roman" w:hAnsi="Times New Roman" w:cs="Times New Roman"/>
                <w:sz w:val="20"/>
                <w:szCs w:val="20"/>
              </w:rPr>
              <w:br/>
              <w:t>ii. nuk është një grup shoqërie shumëkombëshe i përjashtuar;</w:t>
            </w:r>
          </w:p>
        </w:tc>
        <w:tc>
          <w:tcPr>
            <w:tcW w:w="1620" w:type="dxa"/>
            <w:shd w:val="clear" w:color="auto" w:fill="FFFFFF" w:themeFill="background1"/>
          </w:tcPr>
          <w:p w14:paraId="2FA3192A" w14:textId="468083F6" w:rsidR="00A14DCE" w:rsidRPr="00373342" w:rsidRDefault="004E7617" w:rsidP="00373342">
            <w:pPr>
              <w:spacing w:line="276" w:lineRule="auto"/>
              <w:jc w:val="center"/>
              <w:rPr>
                <w:rFonts w:ascii="Times New Roman" w:hAnsi="Times New Roman" w:cs="Times New Roman"/>
                <w:sz w:val="20"/>
                <w:szCs w:val="20"/>
              </w:rPr>
            </w:pPr>
            <w:r>
              <w:rPr>
                <w:rFonts w:ascii="Times New Roman" w:hAnsi="Times New Roman" w:cs="Times New Roman"/>
                <w:sz w:val="20"/>
                <w:szCs w:val="20"/>
              </w:rPr>
              <w:t>E</w:t>
            </w:r>
            <w:r w:rsidR="002000FA">
              <w:rPr>
                <w:rFonts w:ascii="Times New Roman" w:hAnsi="Times New Roman" w:cs="Times New Roman"/>
                <w:sz w:val="20"/>
                <w:szCs w:val="20"/>
              </w:rPr>
              <w:t xml:space="preserve"> plotë</w:t>
            </w:r>
          </w:p>
        </w:tc>
        <w:tc>
          <w:tcPr>
            <w:tcW w:w="2790" w:type="dxa"/>
            <w:shd w:val="clear" w:color="auto" w:fill="FFFFFF" w:themeFill="background1"/>
          </w:tcPr>
          <w:p w14:paraId="1F09402B" w14:textId="6A167019" w:rsidR="00A14DCE" w:rsidRPr="00373342" w:rsidRDefault="00A14DCE" w:rsidP="00373342">
            <w:pPr>
              <w:spacing w:line="276" w:lineRule="auto"/>
              <w:rPr>
                <w:rFonts w:ascii="Times New Roman" w:hAnsi="Times New Roman" w:cs="Times New Roman"/>
                <w:sz w:val="20"/>
                <w:szCs w:val="20"/>
              </w:rPr>
            </w:pPr>
          </w:p>
        </w:tc>
      </w:tr>
      <w:tr w:rsidR="00A14DCE" w:rsidRPr="00373342" w14:paraId="4EC98D98" w14:textId="77777777" w:rsidTr="00373342">
        <w:tc>
          <w:tcPr>
            <w:tcW w:w="1440" w:type="dxa"/>
            <w:shd w:val="clear" w:color="auto" w:fill="FFFFFF" w:themeFill="background1"/>
          </w:tcPr>
          <w:p w14:paraId="3DE620A6" w14:textId="327DE15E" w:rsidR="00A14DCE" w:rsidRPr="00373342" w:rsidRDefault="00A14DCE" w:rsidP="00373342">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Shtojca III, Seksioni I, Pika 4</w:t>
            </w:r>
          </w:p>
        </w:tc>
        <w:tc>
          <w:tcPr>
            <w:tcW w:w="3960" w:type="dxa"/>
            <w:shd w:val="clear" w:color="auto" w:fill="FFFFFF" w:themeFill="background1"/>
          </w:tcPr>
          <w:p w14:paraId="407F4683" w14:textId="4280A7B6" w:rsidR="00A14DCE" w:rsidRPr="00373342" w:rsidRDefault="00A14DCE" w:rsidP="00373342">
            <w:pPr>
              <w:spacing w:line="276" w:lineRule="auto"/>
              <w:rPr>
                <w:rFonts w:ascii="Times New Roman" w:hAnsi="Times New Roman" w:cs="Times New Roman"/>
                <w:sz w:val="20"/>
                <w:szCs w:val="20"/>
              </w:rPr>
            </w:pPr>
            <w:r w:rsidRPr="00373342">
              <w:rPr>
                <w:rFonts w:ascii="Times New Roman" w:hAnsi="Times New Roman" w:cs="Times New Roman"/>
                <w:sz w:val="20"/>
                <w:szCs w:val="20"/>
              </w:rPr>
              <w:t>4. Termi “Grup shoqërie shumëkombëshe i përjashtuar”, në lidhje me çdo Vit fiskal të Grupit, është një Grup që ka të ardhura totale të konsoliduara të grupit më pak se 750 000 000 euro ose një shumë në monedhën vendase përafërsisht ekuivalente me 750 000 000 euro në janar 2015, gjatë Vitit fiskal menjëherë pararendës të Vitit fiskal raportues, siç pasqyrohet në Pasqyrat financiare të konsoliduara për atë Vit fiskal pararendës.</w:t>
            </w:r>
          </w:p>
        </w:tc>
        <w:tc>
          <w:tcPr>
            <w:tcW w:w="1170" w:type="dxa"/>
            <w:shd w:val="clear" w:color="auto" w:fill="FFFFFF" w:themeFill="background1"/>
          </w:tcPr>
          <w:p w14:paraId="6DC0F0FF" w14:textId="4A551ADA" w:rsidR="00A14DCE" w:rsidRPr="00373342" w:rsidRDefault="00FF4ED1"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1</w:t>
            </w:r>
          </w:p>
        </w:tc>
        <w:tc>
          <w:tcPr>
            <w:tcW w:w="1260" w:type="dxa"/>
            <w:shd w:val="clear" w:color="auto" w:fill="FFFFFF" w:themeFill="background1"/>
          </w:tcPr>
          <w:p w14:paraId="1DEA4593" w14:textId="28EE1585" w:rsidR="00A14DCE" w:rsidRPr="00373342" w:rsidRDefault="00FF4ED1"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63/1, shkronja “c”</w:t>
            </w:r>
          </w:p>
        </w:tc>
        <w:tc>
          <w:tcPr>
            <w:tcW w:w="3870" w:type="dxa"/>
            <w:shd w:val="clear" w:color="auto" w:fill="FFFFFF" w:themeFill="background1"/>
          </w:tcPr>
          <w:p w14:paraId="3F7BD146" w14:textId="12F0385A" w:rsidR="00A14DCE" w:rsidRPr="00472C4C" w:rsidRDefault="00FF4ED1" w:rsidP="00373342">
            <w:pPr>
              <w:spacing w:line="276" w:lineRule="auto"/>
              <w:rPr>
                <w:rFonts w:ascii="Times New Roman" w:hAnsi="Times New Roman" w:cs="Times New Roman"/>
                <w:sz w:val="20"/>
                <w:szCs w:val="20"/>
              </w:rPr>
            </w:pPr>
            <w:r w:rsidRPr="00472C4C">
              <w:rPr>
                <w:rFonts w:ascii="Times New Roman" w:hAnsi="Times New Roman" w:cs="Times New Roman"/>
                <w:sz w:val="20"/>
                <w:szCs w:val="20"/>
              </w:rPr>
              <w:t>c) “Grup shoqërie shumëkombëshe i përjashtuar” është një grup që ka të ardhura totale të konsoliduara të grupit më pak se 105 000 000 000 (njëqind e pesë miliardë) lekë, e cila është shuma përafërsisht ekuivalente me 750 000 000 (shtatëqind e pesëdhjetë milionë) euro në janar 2015, gjatë vitit fiskal pararendës të vitit fiskal raportues, siç pasqyrohet në pasqyrat financiare të konsoliduara për atë vit fiskal;</w:t>
            </w:r>
          </w:p>
        </w:tc>
        <w:tc>
          <w:tcPr>
            <w:tcW w:w="1620" w:type="dxa"/>
            <w:shd w:val="clear" w:color="auto" w:fill="FFFFFF" w:themeFill="background1"/>
          </w:tcPr>
          <w:p w14:paraId="0C183F1A" w14:textId="53FACF4C" w:rsidR="00A14DCE" w:rsidRPr="00373342" w:rsidRDefault="004E7617" w:rsidP="00373342">
            <w:pPr>
              <w:spacing w:line="276" w:lineRule="auto"/>
              <w:jc w:val="center"/>
              <w:rPr>
                <w:rFonts w:ascii="Times New Roman" w:hAnsi="Times New Roman" w:cs="Times New Roman"/>
                <w:sz w:val="20"/>
                <w:szCs w:val="20"/>
              </w:rPr>
            </w:pPr>
            <w:r>
              <w:rPr>
                <w:rFonts w:ascii="Times New Roman" w:hAnsi="Times New Roman" w:cs="Times New Roman"/>
                <w:sz w:val="20"/>
                <w:szCs w:val="20"/>
              </w:rPr>
              <w:t>E</w:t>
            </w:r>
            <w:r w:rsidR="002000FA">
              <w:rPr>
                <w:rFonts w:ascii="Times New Roman" w:hAnsi="Times New Roman" w:cs="Times New Roman"/>
                <w:sz w:val="20"/>
                <w:szCs w:val="20"/>
              </w:rPr>
              <w:t xml:space="preserve"> plotë</w:t>
            </w:r>
          </w:p>
        </w:tc>
        <w:tc>
          <w:tcPr>
            <w:tcW w:w="2790" w:type="dxa"/>
            <w:shd w:val="clear" w:color="auto" w:fill="FFFFFF" w:themeFill="background1"/>
          </w:tcPr>
          <w:p w14:paraId="193985AA" w14:textId="79D76EFB" w:rsidR="00A14DCE" w:rsidRPr="00373342" w:rsidRDefault="00A14DCE" w:rsidP="00373342">
            <w:pPr>
              <w:spacing w:line="276" w:lineRule="auto"/>
              <w:rPr>
                <w:rFonts w:ascii="Times New Roman" w:hAnsi="Times New Roman" w:cs="Times New Roman"/>
                <w:sz w:val="20"/>
                <w:szCs w:val="20"/>
              </w:rPr>
            </w:pPr>
          </w:p>
        </w:tc>
      </w:tr>
      <w:tr w:rsidR="00A14DCE" w:rsidRPr="00373342" w14:paraId="2685CCB7" w14:textId="77777777" w:rsidTr="00373342">
        <w:trPr>
          <w:trHeight w:val="314"/>
        </w:trPr>
        <w:tc>
          <w:tcPr>
            <w:tcW w:w="1440" w:type="dxa"/>
            <w:shd w:val="clear" w:color="auto" w:fill="FFFFFF" w:themeFill="background1"/>
          </w:tcPr>
          <w:p w14:paraId="2549DAF5" w14:textId="7B810941" w:rsidR="00A14DCE" w:rsidRPr="00373342" w:rsidRDefault="00A14DCE" w:rsidP="00373342">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Shtojca III, Seksioni I, Pika 5</w:t>
            </w:r>
          </w:p>
        </w:tc>
        <w:tc>
          <w:tcPr>
            <w:tcW w:w="3960" w:type="dxa"/>
            <w:shd w:val="clear" w:color="auto" w:fill="FFFFFF" w:themeFill="background1"/>
          </w:tcPr>
          <w:p w14:paraId="1D61C192" w14:textId="11B3E831" w:rsidR="00A14DCE" w:rsidRPr="00373342" w:rsidRDefault="00A14DCE" w:rsidP="0087215D">
            <w:pPr>
              <w:spacing w:line="276" w:lineRule="auto"/>
              <w:rPr>
                <w:rFonts w:ascii="Times New Roman" w:hAnsi="Times New Roman" w:cs="Times New Roman"/>
                <w:sz w:val="20"/>
                <w:szCs w:val="20"/>
              </w:rPr>
            </w:pPr>
            <w:r w:rsidRPr="00373342">
              <w:rPr>
                <w:rFonts w:ascii="Times New Roman" w:hAnsi="Times New Roman" w:cs="Times New Roman"/>
                <w:sz w:val="20"/>
                <w:szCs w:val="20"/>
              </w:rPr>
              <w:t>5. Termi “Entitet përbërës” është cilido nga sa vijon:</w:t>
            </w:r>
            <w:r w:rsidRPr="00373342">
              <w:rPr>
                <w:rFonts w:ascii="Times New Roman" w:hAnsi="Times New Roman" w:cs="Times New Roman"/>
                <w:sz w:val="20"/>
                <w:szCs w:val="20"/>
              </w:rPr>
              <w:br/>
            </w:r>
            <w:r w:rsidRPr="00373342">
              <w:rPr>
                <w:rFonts w:ascii="Times New Roman" w:hAnsi="Times New Roman" w:cs="Times New Roman"/>
                <w:sz w:val="20"/>
                <w:szCs w:val="20"/>
              </w:rPr>
              <w:br/>
              <w:t xml:space="preserve">a) çdo njësi e veçantë biznesi e një Grupi shoqërie shumëkombëshe që përfshihet në Pasqyrat financiare të konsoliduara të Grupit të shoqërive shumëkombëshe për qëllime të </w:t>
            </w:r>
            <w:r w:rsidRPr="00373342">
              <w:rPr>
                <w:rFonts w:ascii="Times New Roman" w:hAnsi="Times New Roman" w:cs="Times New Roman"/>
                <w:sz w:val="20"/>
                <w:szCs w:val="20"/>
              </w:rPr>
              <w:lastRenderedPageBreak/>
              <w:t>raportimit financiar, ose do të përfshihej nëse interesat e kapitalit të një njësie të tillë biznesi të një Grupi shoqërie shumëkombëshe do të tregtoheshin në një bursë publike të letrave me vlerë;</w:t>
            </w:r>
            <w:r w:rsidRPr="00373342">
              <w:rPr>
                <w:rFonts w:ascii="Times New Roman" w:hAnsi="Times New Roman" w:cs="Times New Roman"/>
                <w:sz w:val="20"/>
                <w:szCs w:val="20"/>
              </w:rPr>
              <w:br/>
            </w:r>
            <w:r w:rsidRPr="00373342">
              <w:rPr>
                <w:rFonts w:ascii="Times New Roman" w:hAnsi="Times New Roman" w:cs="Times New Roman"/>
                <w:sz w:val="20"/>
                <w:szCs w:val="20"/>
              </w:rPr>
              <w:br/>
              <w:t>b) çdo njësi e tillë biznesi që përjashtohet nga Pasqyrat financiare të konsoliduara të Grupit të shoqërive shumëkombëshe vetëm për arsye të madhësisë ose materialitetit;</w:t>
            </w:r>
            <w:r w:rsidRPr="00373342">
              <w:rPr>
                <w:rFonts w:ascii="Times New Roman" w:hAnsi="Times New Roman" w:cs="Times New Roman"/>
                <w:sz w:val="20"/>
                <w:szCs w:val="20"/>
              </w:rPr>
              <w:br/>
            </w:r>
            <w:r w:rsidRPr="00373342">
              <w:rPr>
                <w:rFonts w:ascii="Times New Roman" w:hAnsi="Times New Roman" w:cs="Times New Roman"/>
                <w:sz w:val="20"/>
                <w:szCs w:val="20"/>
              </w:rPr>
              <w:br/>
              <w:t>c) çdo seli e përhershme e çdo njësie të veçantë biznesi të Grupit të shoqërive shumëkombëshe të përfshirë në shkronjën (a) ose (b), me kusht që njësia e biznesit të përgatisë një pasqyrë financiare të veçantë për një seli të tillë të përhershme për qëllime të raportimit financiar, rregullator, tatimor ose të kontrollit të menaxhimit të brendshëm.</w:t>
            </w:r>
          </w:p>
        </w:tc>
        <w:tc>
          <w:tcPr>
            <w:tcW w:w="1170" w:type="dxa"/>
            <w:shd w:val="clear" w:color="auto" w:fill="FFFFFF" w:themeFill="background1"/>
          </w:tcPr>
          <w:p w14:paraId="4A4BCC57" w14:textId="24AB6041" w:rsidR="00A14DCE" w:rsidRPr="00373342" w:rsidRDefault="00FF4ED1"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lastRenderedPageBreak/>
              <w:t>1</w:t>
            </w:r>
          </w:p>
        </w:tc>
        <w:tc>
          <w:tcPr>
            <w:tcW w:w="1260" w:type="dxa"/>
            <w:shd w:val="clear" w:color="auto" w:fill="FFFFFF" w:themeFill="background1"/>
          </w:tcPr>
          <w:p w14:paraId="58EAF853" w14:textId="63543985" w:rsidR="00A14DCE" w:rsidRPr="00373342" w:rsidRDefault="00FF4ED1"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63/1, shkronja “ç”</w:t>
            </w:r>
          </w:p>
        </w:tc>
        <w:tc>
          <w:tcPr>
            <w:tcW w:w="3870" w:type="dxa"/>
            <w:shd w:val="clear" w:color="auto" w:fill="FFFFFF" w:themeFill="background1"/>
          </w:tcPr>
          <w:p w14:paraId="4945765F" w14:textId="3BAD1AEA" w:rsidR="00A14DCE" w:rsidRPr="00472C4C" w:rsidRDefault="00FF4ED1" w:rsidP="0087215D">
            <w:pPr>
              <w:spacing w:line="276" w:lineRule="auto"/>
              <w:rPr>
                <w:rFonts w:ascii="Times New Roman" w:hAnsi="Times New Roman" w:cs="Times New Roman"/>
                <w:sz w:val="20"/>
                <w:szCs w:val="20"/>
              </w:rPr>
            </w:pPr>
            <w:r w:rsidRPr="00472C4C">
              <w:rPr>
                <w:rFonts w:ascii="Times New Roman" w:hAnsi="Times New Roman" w:cs="Times New Roman"/>
                <w:sz w:val="20"/>
                <w:szCs w:val="20"/>
              </w:rPr>
              <w:t>ç) “Entitet përbërës” është:</w:t>
            </w:r>
            <w:r w:rsidRPr="00472C4C">
              <w:rPr>
                <w:rFonts w:ascii="Times New Roman" w:hAnsi="Times New Roman" w:cs="Times New Roman"/>
                <w:sz w:val="20"/>
                <w:szCs w:val="20"/>
              </w:rPr>
              <w:br/>
            </w:r>
            <w:r w:rsidRPr="00472C4C">
              <w:rPr>
                <w:rFonts w:ascii="Times New Roman" w:hAnsi="Times New Roman" w:cs="Times New Roman"/>
                <w:sz w:val="20"/>
                <w:szCs w:val="20"/>
              </w:rPr>
              <w:br/>
              <w:t xml:space="preserve">i. çdo njësi e veçantë biznesi e një grupi shoqërie shumëkombëshe, që përfshihet në pasqyrat financiare të konsoliduara të grupit të shoqërive shumëkombëshe për qëllime të raportimit financiar ose do të përfshihej nëse </w:t>
            </w:r>
            <w:r w:rsidRPr="00472C4C">
              <w:rPr>
                <w:rFonts w:ascii="Times New Roman" w:hAnsi="Times New Roman" w:cs="Times New Roman"/>
                <w:sz w:val="20"/>
                <w:szCs w:val="20"/>
              </w:rPr>
              <w:lastRenderedPageBreak/>
              <w:t>interesat e kapitalit të një njësie të tillë biznesi janë tregtuar në një bursë publike të letrave me vlerë;</w:t>
            </w:r>
            <w:r w:rsidRPr="00472C4C">
              <w:rPr>
                <w:rFonts w:ascii="Times New Roman" w:hAnsi="Times New Roman" w:cs="Times New Roman"/>
                <w:sz w:val="20"/>
                <w:szCs w:val="20"/>
              </w:rPr>
              <w:br/>
            </w:r>
            <w:r w:rsidRPr="00472C4C">
              <w:rPr>
                <w:rFonts w:ascii="Times New Roman" w:hAnsi="Times New Roman" w:cs="Times New Roman"/>
                <w:sz w:val="20"/>
                <w:szCs w:val="20"/>
              </w:rPr>
              <w:br/>
              <w:t>ii. çdo njësi biznesi që përjashtohet nga pasqyrat financiare të konsoliduara të grupit të shoqërive shumëkombëshe vetëm për arsye të madhësisë ose të materialitetit; dhe</w:t>
            </w:r>
            <w:r w:rsidRPr="00472C4C">
              <w:rPr>
                <w:rFonts w:ascii="Times New Roman" w:hAnsi="Times New Roman" w:cs="Times New Roman"/>
                <w:sz w:val="20"/>
                <w:szCs w:val="20"/>
              </w:rPr>
              <w:br/>
            </w:r>
            <w:r w:rsidRPr="00472C4C">
              <w:rPr>
                <w:rFonts w:ascii="Times New Roman" w:hAnsi="Times New Roman" w:cs="Times New Roman"/>
                <w:sz w:val="20"/>
                <w:szCs w:val="20"/>
              </w:rPr>
              <w:br/>
              <w:t>iii. çdo seli e përhershme e ndonjë njësie të veçantë biznesi të grupit të shoqërive shumëkombëshe të përfshirë në nënndarjet “i” ose “ii” të kësaj shkronje, me kushtin që njësia e biznesit të përgatisë një pasqyrë financiare të veçantë për një seli të tillë të përhershme për qëllime të raportimit financiar, raportimit në përputhje me legjislacionin tatimor ose të kontrollit të menaxhimit të brendshëm;</w:t>
            </w:r>
          </w:p>
        </w:tc>
        <w:tc>
          <w:tcPr>
            <w:tcW w:w="1620" w:type="dxa"/>
            <w:shd w:val="clear" w:color="auto" w:fill="FFFFFF" w:themeFill="background1"/>
          </w:tcPr>
          <w:p w14:paraId="08DAFBC6" w14:textId="1B03F78F" w:rsidR="00A14DCE" w:rsidRPr="00373342" w:rsidRDefault="004E7617" w:rsidP="00373342">
            <w:pPr>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E</w:t>
            </w:r>
            <w:r w:rsidR="002000FA">
              <w:rPr>
                <w:rFonts w:ascii="Times New Roman" w:hAnsi="Times New Roman" w:cs="Times New Roman"/>
                <w:sz w:val="20"/>
                <w:szCs w:val="20"/>
              </w:rPr>
              <w:t xml:space="preserve"> plotë</w:t>
            </w:r>
          </w:p>
        </w:tc>
        <w:tc>
          <w:tcPr>
            <w:tcW w:w="2790" w:type="dxa"/>
            <w:shd w:val="clear" w:color="auto" w:fill="FFFFFF" w:themeFill="background1"/>
          </w:tcPr>
          <w:p w14:paraId="53F98590" w14:textId="58C995B5" w:rsidR="00A14DCE" w:rsidRPr="00373342" w:rsidRDefault="00A14DCE" w:rsidP="00373342">
            <w:pPr>
              <w:spacing w:line="276" w:lineRule="auto"/>
              <w:rPr>
                <w:rFonts w:ascii="Times New Roman" w:hAnsi="Times New Roman" w:cs="Times New Roman"/>
                <w:sz w:val="20"/>
                <w:szCs w:val="20"/>
              </w:rPr>
            </w:pPr>
          </w:p>
        </w:tc>
      </w:tr>
      <w:tr w:rsidR="00A14DCE" w:rsidRPr="00373342" w14:paraId="797AE32B" w14:textId="77777777" w:rsidTr="00373342">
        <w:tc>
          <w:tcPr>
            <w:tcW w:w="1440" w:type="dxa"/>
            <w:shd w:val="clear" w:color="auto" w:fill="FFFFFF" w:themeFill="background1"/>
          </w:tcPr>
          <w:p w14:paraId="760B556E" w14:textId="15940B56" w:rsidR="00A14DCE" w:rsidRPr="00373342" w:rsidRDefault="00A14DCE" w:rsidP="00373342">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Shtojca III, Seksioni I, Pika 6</w:t>
            </w:r>
          </w:p>
        </w:tc>
        <w:tc>
          <w:tcPr>
            <w:tcW w:w="3960" w:type="dxa"/>
            <w:shd w:val="clear" w:color="auto" w:fill="FFFFFF" w:themeFill="background1"/>
          </w:tcPr>
          <w:p w14:paraId="2BD94BB5" w14:textId="134F50C9" w:rsidR="00A14DCE" w:rsidRPr="00373342" w:rsidRDefault="00A14DCE" w:rsidP="00373342">
            <w:pPr>
              <w:spacing w:line="276" w:lineRule="auto"/>
              <w:rPr>
                <w:rFonts w:ascii="Times New Roman" w:hAnsi="Times New Roman" w:cs="Times New Roman"/>
                <w:sz w:val="20"/>
                <w:szCs w:val="20"/>
              </w:rPr>
            </w:pPr>
            <w:r w:rsidRPr="00373342">
              <w:rPr>
                <w:rFonts w:ascii="Times New Roman" w:hAnsi="Times New Roman" w:cs="Times New Roman"/>
                <w:sz w:val="20"/>
                <w:szCs w:val="20"/>
              </w:rPr>
              <w:t>6. Termi “Entitet raportues” është Entiteti përbërës të cilit i kërkohet të dorëzojë një raport për çdo vend në përputhje me kërkesat e nenit 8aa(3), në juridiksionin e tij të rezidencës tatimore, në emër të Grupit të shoqërive shumëkombëshe. Entiteti raportues mund të jetë Entiteti mëmë përfundimtar, Entiteti mëmë zëvendësues ose çdo entitet i përshkruar në pikën 1 të Seksionit II.</w:t>
            </w:r>
          </w:p>
        </w:tc>
        <w:tc>
          <w:tcPr>
            <w:tcW w:w="1170" w:type="dxa"/>
            <w:shd w:val="clear" w:color="auto" w:fill="FFFFFF" w:themeFill="background1"/>
          </w:tcPr>
          <w:p w14:paraId="4A3A2436" w14:textId="27732A46" w:rsidR="00A14DCE" w:rsidRPr="00373342" w:rsidRDefault="00FF4ED1"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1</w:t>
            </w:r>
          </w:p>
        </w:tc>
        <w:tc>
          <w:tcPr>
            <w:tcW w:w="1260" w:type="dxa"/>
            <w:shd w:val="clear" w:color="auto" w:fill="FFFFFF" w:themeFill="background1"/>
          </w:tcPr>
          <w:p w14:paraId="338C1411" w14:textId="4914752B" w:rsidR="00A14DCE" w:rsidRPr="00373342" w:rsidRDefault="00FF4ED1"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63/1, shkronja “d”</w:t>
            </w:r>
          </w:p>
        </w:tc>
        <w:tc>
          <w:tcPr>
            <w:tcW w:w="3870" w:type="dxa"/>
            <w:shd w:val="clear" w:color="auto" w:fill="FFFFFF" w:themeFill="background1"/>
          </w:tcPr>
          <w:p w14:paraId="1FEAB1F6" w14:textId="40A832D4" w:rsidR="00A14DCE" w:rsidRPr="00472C4C" w:rsidRDefault="00FF4ED1" w:rsidP="00373342">
            <w:pPr>
              <w:spacing w:line="276" w:lineRule="auto"/>
              <w:rPr>
                <w:rFonts w:ascii="Times New Roman" w:hAnsi="Times New Roman" w:cs="Times New Roman"/>
                <w:sz w:val="20"/>
                <w:szCs w:val="20"/>
              </w:rPr>
            </w:pPr>
            <w:r w:rsidRPr="00472C4C">
              <w:rPr>
                <w:rFonts w:ascii="Times New Roman" w:hAnsi="Times New Roman" w:cs="Times New Roman"/>
                <w:sz w:val="20"/>
                <w:szCs w:val="20"/>
              </w:rPr>
              <w:t>d) “Entitet raportues” është entiteti përbërës, të cilit i kërkohet të paraqesë një raport për çdo vend, në përputhje me kërkesat e nenit 63/4 të këtij ligji, në juridiksionin e tij të rezidencës tatimore, në emër të grupit të shoqërive shumëkombëshe. Entiteti raportues mund të jetë entiteti mëmë përfundimtar, entiteti mëmë zëvendësues, ose çdo entitet tjetër i përshkruar në pikën 2, të nenit 63/2, të këtij ligji;</w:t>
            </w:r>
          </w:p>
        </w:tc>
        <w:tc>
          <w:tcPr>
            <w:tcW w:w="1620" w:type="dxa"/>
            <w:shd w:val="clear" w:color="auto" w:fill="FFFFFF" w:themeFill="background1"/>
          </w:tcPr>
          <w:p w14:paraId="09B9DF6C" w14:textId="76D51141" w:rsidR="00A14DCE" w:rsidRPr="00373342" w:rsidRDefault="004E7617" w:rsidP="00373342">
            <w:pPr>
              <w:spacing w:line="276" w:lineRule="auto"/>
              <w:jc w:val="center"/>
              <w:rPr>
                <w:rFonts w:ascii="Times New Roman" w:hAnsi="Times New Roman" w:cs="Times New Roman"/>
                <w:sz w:val="20"/>
                <w:szCs w:val="20"/>
              </w:rPr>
            </w:pPr>
            <w:r>
              <w:rPr>
                <w:rFonts w:ascii="Times New Roman" w:hAnsi="Times New Roman" w:cs="Times New Roman"/>
                <w:sz w:val="20"/>
                <w:szCs w:val="20"/>
              </w:rPr>
              <w:t>E</w:t>
            </w:r>
            <w:r w:rsidR="002000FA">
              <w:rPr>
                <w:rFonts w:ascii="Times New Roman" w:hAnsi="Times New Roman" w:cs="Times New Roman"/>
                <w:sz w:val="20"/>
                <w:szCs w:val="20"/>
              </w:rPr>
              <w:t xml:space="preserve"> plotë</w:t>
            </w:r>
          </w:p>
        </w:tc>
        <w:tc>
          <w:tcPr>
            <w:tcW w:w="2790" w:type="dxa"/>
            <w:shd w:val="clear" w:color="auto" w:fill="FFFFFF" w:themeFill="background1"/>
          </w:tcPr>
          <w:p w14:paraId="3ABCD66D" w14:textId="48812AC7" w:rsidR="00A14DCE" w:rsidRPr="00373342" w:rsidRDefault="00A14DCE" w:rsidP="00373342">
            <w:pPr>
              <w:spacing w:line="276" w:lineRule="auto"/>
              <w:rPr>
                <w:rFonts w:ascii="Times New Roman" w:hAnsi="Times New Roman" w:cs="Times New Roman"/>
                <w:sz w:val="20"/>
                <w:szCs w:val="20"/>
              </w:rPr>
            </w:pPr>
          </w:p>
        </w:tc>
      </w:tr>
      <w:tr w:rsidR="00A14DCE" w:rsidRPr="00373342" w14:paraId="6264A09E" w14:textId="77777777" w:rsidTr="00373342">
        <w:tc>
          <w:tcPr>
            <w:tcW w:w="1440" w:type="dxa"/>
            <w:shd w:val="clear" w:color="auto" w:fill="FFFFFF" w:themeFill="background1"/>
          </w:tcPr>
          <w:p w14:paraId="7A69E513" w14:textId="708FF1A6" w:rsidR="00A14DCE" w:rsidRPr="00373342" w:rsidRDefault="00A14DCE" w:rsidP="00373342">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Shtojca III, Seksioni I, Pika 7</w:t>
            </w:r>
          </w:p>
        </w:tc>
        <w:tc>
          <w:tcPr>
            <w:tcW w:w="3960" w:type="dxa"/>
            <w:shd w:val="clear" w:color="auto" w:fill="FFFFFF" w:themeFill="background1"/>
          </w:tcPr>
          <w:p w14:paraId="4B85FEDD" w14:textId="525E06C6" w:rsidR="00A14DCE" w:rsidRPr="00373342" w:rsidRDefault="00A14DCE" w:rsidP="0087215D">
            <w:pPr>
              <w:spacing w:line="276" w:lineRule="auto"/>
              <w:rPr>
                <w:rFonts w:ascii="Times New Roman" w:hAnsi="Times New Roman" w:cs="Times New Roman"/>
                <w:sz w:val="20"/>
                <w:szCs w:val="20"/>
              </w:rPr>
            </w:pPr>
            <w:r w:rsidRPr="00373342">
              <w:rPr>
                <w:rFonts w:ascii="Times New Roman" w:hAnsi="Times New Roman" w:cs="Times New Roman"/>
                <w:sz w:val="20"/>
                <w:szCs w:val="20"/>
              </w:rPr>
              <w:t xml:space="preserve">7. Termi “Entitet mëmë përfundimtar” është një Entitet përbërës i një Grupi shoqërie shumëkombëshe që plotëson kriteret e </w:t>
            </w:r>
            <w:r w:rsidRPr="00373342">
              <w:rPr>
                <w:rFonts w:ascii="Times New Roman" w:hAnsi="Times New Roman" w:cs="Times New Roman"/>
                <w:sz w:val="20"/>
                <w:szCs w:val="20"/>
              </w:rPr>
              <w:lastRenderedPageBreak/>
              <w:t>mëposhtme:</w:t>
            </w:r>
            <w:r w:rsidRPr="00373342">
              <w:rPr>
                <w:rFonts w:ascii="Times New Roman" w:hAnsi="Times New Roman" w:cs="Times New Roman"/>
                <w:sz w:val="20"/>
                <w:szCs w:val="20"/>
              </w:rPr>
              <w:br/>
            </w:r>
            <w:r w:rsidRPr="00373342">
              <w:rPr>
                <w:rFonts w:ascii="Times New Roman" w:hAnsi="Times New Roman" w:cs="Times New Roman"/>
                <w:sz w:val="20"/>
                <w:szCs w:val="20"/>
              </w:rPr>
              <w:br/>
              <w:t>a) zotëron drejtpërdrejt ose tërthorazi një interes të mjaftueshëm në një ose më shumë Entitete të tjera përbërëse të këtij Grupi shoqërie shumëkombëshe, në mënyrë të tillë që i kërkohet të përgatisë Pasqyra financiare të konsoliduara sipas parimeve të kontabilitetit që zbatohen përgjithësisht në juridiksionin e tij të rezidencës tatimore, ose do t’i kërkohej nëse interesat e tij të kapitalit do të tregtoheshin në një bursë publike të letrave me vlerë në juridiksionin e tij të rezidencës tatimore;</w:t>
            </w:r>
            <w:r w:rsidRPr="00373342">
              <w:rPr>
                <w:rFonts w:ascii="Times New Roman" w:hAnsi="Times New Roman" w:cs="Times New Roman"/>
                <w:sz w:val="20"/>
                <w:szCs w:val="20"/>
              </w:rPr>
              <w:br/>
            </w:r>
            <w:r w:rsidRPr="00373342">
              <w:rPr>
                <w:rFonts w:ascii="Times New Roman" w:hAnsi="Times New Roman" w:cs="Times New Roman"/>
                <w:sz w:val="20"/>
                <w:szCs w:val="20"/>
              </w:rPr>
              <w:br/>
              <w:t>b) nuk ka asnjë Entitet tjetër përbërës të këtij Grupi shoqërie shumëkombëshe që zotëron drejtpërdrejt ose tërthorazi një interes të përshkruar në shkronjën (a) në Entitetin përbërës të përmendur më parë.</w:t>
            </w:r>
          </w:p>
        </w:tc>
        <w:tc>
          <w:tcPr>
            <w:tcW w:w="1170" w:type="dxa"/>
            <w:shd w:val="clear" w:color="auto" w:fill="FFFFFF" w:themeFill="background1"/>
          </w:tcPr>
          <w:p w14:paraId="6E8F52F4" w14:textId="57F3079F" w:rsidR="00A14DCE" w:rsidRPr="00373342" w:rsidRDefault="00483C2B"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lastRenderedPageBreak/>
              <w:t>1</w:t>
            </w:r>
          </w:p>
        </w:tc>
        <w:tc>
          <w:tcPr>
            <w:tcW w:w="1260" w:type="dxa"/>
            <w:shd w:val="clear" w:color="auto" w:fill="FFFFFF" w:themeFill="background1"/>
          </w:tcPr>
          <w:p w14:paraId="0B6E3F59" w14:textId="41A02668" w:rsidR="00A14DCE" w:rsidRPr="00373342" w:rsidRDefault="00483C2B"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63/1, shkronja “dh”</w:t>
            </w:r>
          </w:p>
        </w:tc>
        <w:tc>
          <w:tcPr>
            <w:tcW w:w="3870" w:type="dxa"/>
            <w:shd w:val="clear" w:color="auto" w:fill="FFFFFF" w:themeFill="background1"/>
          </w:tcPr>
          <w:p w14:paraId="1F80F19B" w14:textId="7378568E" w:rsidR="00A14DCE" w:rsidRPr="00472C4C" w:rsidRDefault="00483C2B" w:rsidP="0087215D">
            <w:pPr>
              <w:spacing w:line="276" w:lineRule="auto"/>
              <w:rPr>
                <w:rFonts w:ascii="Times New Roman" w:hAnsi="Times New Roman" w:cs="Times New Roman"/>
                <w:sz w:val="20"/>
                <w:szCs w:val="20"/>
              </w:rPr>
            </w:pPr>
            <w:r w:rsidRPr="00472C4C">
              <w:rPr>
                <w:rFonts w:ascii="Times New Roman" w:hAnsi="Times New Roman" w:cs="Times New Roman"/>
                <w:sz w:val="20"/>
                <w:szCs w:val="20"/>
              </w:rPr>
              <w:t xml:space="preserve">dh) “Entitet mëmë përfundimtar” është një entitet përbërës i një grupi shoqërie shumëkombëshe, që plotëson kriteret e </w:t>
            </w:r>
            <w:r w:rsidRPr="00472C4C">
              <w:rPr>
                <w:rFonts w:ascii="Times New Roman" w:hAnsi="Times New Roman" w:cs="Times New Roman"/>
                <w:sz w:val="20"/>
                <w:szCs w:val="20"/>
              </w:rPr>
              <w:lastRenderedPageBreak/>
              <w:t>mëposhtme:</w:t>
            </w:r>
            <w:r w:rsidRPr="00472C4C">
              <w:rPr>
                <w:rFonts w:ascii="Times New Roman" w:hAnsi="Times New Roman" w:cs="Times New Roman"/>
                <w:sz w:val="20"/>
                <w:szCs w:val="20"/>
              </w:rPr>
              <w:br/>
            </w:r>
            <w:r w:rsidRPr="00472C4C">
              <w:rPr>
                <w:rFonts w:ascii="Times New Roman" w:hAnsi="Times New Roman" w:cs="Times New Roman"/>
                <w:sz w:val="20"/>
                <w:szCs w:val="20"/>
              </w:rPr>
              <w:br/>
              <w:t>i. zotëron në mënyrë të drejtpërdrejtë ose jo të drejtpërdrejtë një interes të mjaftueshëm në një ose më shumë entitete të tjera përbërëse të një grupi shoqërie shumëkombëshe, në mënyrë të tillë që i kërkohet të përgatisë pasqyrat financiare të konsoliduara sipas parimeve të kontabilitetit, që zbatohen përgjithësisht në juridiksionin e tij të rezidencës tatimore, ose nëse interesat e tij të kapitalit janë tregtuar në një bursë publike të letrave me vlerë në juridiksionin e tij të rezidencës tatimore; dhe</w:t>
            </w:r>
            <w:r w:rsidRPr="00472C4C">
              <w:rPr>
                <w:rFonts w:ascii="Times New Roman" w:hAnsi="Times New Roman" w:cs="Times New Roman"/>
                <w:sz w:val="20"/>
                <w:szCs w:val="20"/>
              </w:rPr>
              <w:br/>
            </w:r>
            <w:r w:rsidRPr="00472C4C">
              <w:rPr>
                <w:rFonts w:ascii="Times New Roman" w:hAnsi="Times New Roman" w:cs="Times New Roman"/>
                <w:sz w:val="20"/>
                <w:szCs w:val="20"/>
              </w:rPr>
              <w:br/>
              <w:t>ii. nuk ka asnjë entitet tjetër përbërës të grupit të shoqërive shumëkombëshe, që zotëron në mënyrë të drejtpërdrejtë ose jo të drejtpërdrejtë një interes si ai i përshkruar në nënndarjen “i” të kësaj shkronje;</w:t>
            </w:r>
          </w:p>
        </w:tc>
        <w:tc>
          <w:tcPr>
            <w:tcW w:w="1620" w:type="dxa"/>
            <w:shd w:val="clear" w:color="auto" w:fill="FFFFFF" w:themeFill="background1"/>
          </w:tcPr>
          <w:p w14:paraId="30C18A98" w14:textId="1AD02E23" w:rsidR="00A14DCE" w:rsidRPr="00373342" w:rsidRDefault="004E7617" w:rsidP="00373342">
            <w:pPr>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E</w:t>
            </w:r>
            <w:r w:rsidR="002000FA">
              <w:rPr>
                <w:rFonts w:ascii="Times New Roman" w:hAnsi="Times New Roman" w:cs="Times New Roman"/>
                <w:sz w:val="20"/>
                <w:szCs w:val="20"/>
              </w:rPr>
              <w:t xml:space="preserve"> plotë</w:t>
            </w:r>
          </w:p>
        </w:tc>
        <w:tc>
          <w:tcPr>
            <w:tcW w:w="2790" w:type="dxa"/>
            <w:shd w:val="clear" w:color="auto" w:fill="FFFFFF" w:themeFill="background1"/>
          </w:tcPr>
          <w:p w14:paraId="0BEEC768" w14:textId="1E52EEF5" w:rsidR="00A14DCE" w:rsidRPr="00373342" w:rsidRDefault="00A14DCE" w:rsidP="00373342">
            <w:pPr>
              <w:spacing w:line="276" w:lineRule="auto"/>
              <w:rPr>
                <w:rFonts w:ascii="Times New Roman" w:hAnsi="Times New Roman" w:cs="Times New Roman"/>
                <w:sz w:val="20"/>
                <w:szCs w:val="20"/>
              </w:rPr>
            </w:pPr>
          </w:p>
        </w:tc>
      </w:tr>
      <w:tr w:rsidR="00A14DCE" w:rsidRPr="00373342" w14:paraId="6935E593" w14:textId="77777777" w:rsidTr="00373342">
        <w:tc>
          <w:tcPr>
            <w:tcW w:w="1440" w:type="dxa"/>
            <w:shd w:val="clear" w:color="auto" w:fill="FFFFFF" w:themeFill="background1"/>
          </w:tcPr>
          <w:p w14:paraId="4972C44F" w14:textId="3ED5E82F" w:rsidR="00A14DCE" w:rsidRPr="00373342" w:rsidRDefault="00A14DCE" w:rsidP="00373342">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Shtojca III, Seksioni I, Pika 8</w:t>
            </w:r>
          </w:p>
        </w:tc>
        <w:tc>
          <w:tcPr>
            <w:tcW w:w="3960" w:type="dxa"/>
            <w:shd w:val="clear" w:color="auto" w:fill="FFFFFF" w:themeFill="background1"/>
          </w:tcPr>
          <w:p w14:paraId="52E1EEA7" w14:textId="05088DEB" w:rsidR="00A14DCE" w:rsidRPr="00373342" w:rsidRDefault="00A14DCE" w:rsidP="00373342">
            <w:pPr>
              <w:spacing w:line="276" w:lineRule="auto"/>
              <w:rPr>
                <w:rFonts w:ascii="Times New Roman" w:hAnsi="Times New Roman" w:cs="Times New Roman"/>
                <w:sz w:val="20"/>
                <w:szCs w:val="20"/>
              </w:rPr>
            </w:pPr>
            <w:r w:rsidRPr="00373342">
              <w:rPr>
                <w:rFonts w:ascii="Times New Roman" w:hAnsi="Times New Roman" w:cs="Times New Roman"/>
                <w:sz w:val="20"/>
                <w:szCs w:val="20"/>
              </w:rPr>
              <w:t>8. Termi “Entitet mëmë zëvendësues” është një Entitet përbërës i Grupit të shoqërive shumëkombëshe që është caktuar nga ky Grup i shoqërive shumëkombëshe si zëvendësuesi i vetëm i Entitetit mëmë përfundimtar, për të dorëzuar raportin për çdo vend në juridiksionin e rezidencës tatimore të atij Entiteti përbërës, në emër të këtij Grupi të shoqërive shumëkombëshe, kur zbatohet një ose më shumë nga kushtet e përcaktuara në shkronjën (b) të paragrafit të parë të pikës 1 të Seksionit II.</w:t>
            </w:r>
          </w:p>
        </w:tc>
        <w:tc>
          <w:tcPr>
            <w:tcW w:w="1170" w:type="dxa"/>
            <w:shd w:val="clear" w:color="auto" w:fill="FFFFFF" w:themeFill="background1"/>
          </w:tcPr>
          <w:p w14:paraId="408D6259" w14:textId="34F406E6" w:rsidR="00A14DCE" w:rsidRPr="00373342" w:rsidRDefault="00F650C0"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1</w:t>
            </w:r>
          </w:p>
        </w:tc>
        <w:tc>
          <w:tcPr>
            <w:tcW w:w="1260" w:type="dxa"/>
            <w:shd w:val="clear" w:color="auto" w:fill="FFFFFF" w:themeFill="background1"/>
          </w:tcPr>
          <w:p w14:paraId="0B02B678" w14:textId="2FACC1A5" w:rsidR="00A14DCE" w:rsidRPr="00373342" w:rsidRDefault="00F650C0"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63/1, shkronja “g”</w:t>
            </w:r>
          </w:p>
        </w:tc>
        <w:tc>
          <w:tcPr>
            <w:tcW w:w="3870" w:type="dxa"/>
            <w:shd w:val="clear" w:color="auto" w:fill="FFFFFF" w:themeFill="background1"/>
          </w:tcPr>
          <w:p w14:paraId="021ECDAC" w14:textId="0C582D95" w:rsidR="00A14DCE" w:rsidRPr="00472C4C" w:rsidRDefault="00F650C0" w:rsidP="00373342">
            <w:pPr>
              <w:spacing w:line="276" w:lineRule="auto"/>
              <w:rPr>
                <w:rFonts w:ascii="Times New Roman" w:hAnsi="Times New Roman" w:cs="Times New Roman"/>
                <w:sz w:val="20"/>
                <w:szCs w:val="20"/>
              </w:rPr>
            </w:pPr>
            <w:r w:rsidRPr="00472C4C">
              <w:rPr>
                <w:rFonts w:ascii="Times New Roman" w:hAnsi="Times New Roman" w:cs="Times New Roman"/>
                <w:sz w:val="20"/>
                <w:szCs w:val="20"/>
              </w:rPr>
              <w:t>g) “Entitet mëmë zëvendësues” është 1 (një) entitet përbërës i grupit të shoqërive shumëkombëshe që është caktuar nga ky grup i shoqërive shumëkombëshe si i vetmi zëvendësues për entitetin mëmë përfundimtar, për të paraqitur raportin për çdo vend në juridiksionin e rezidencës tatimore të atij entiteti përbërës, në emër të këtij grupi të shoqërive shumëkombëshe, kur zbatohet 1 (një) ose më shumë nga kushtet e përcaktuara në pikën 2, të nenit 63/2, të këtij ligji;</w:t>
            </w:r>
          </w:p>
        </w:tc>
        <w:tc>
          <w:tcPr>
            <w:tcW w:w="1620" w:type="dxa"/>
            <w:shd w:val="clear" w:color="auto" w:fill="FFFFFF" w:themeFill="background1"/>
          </w:tcPr>
          <w:p w14:paraId="72C4FC2C" w14:textId="2E7034A2" w:rsidR="00A14DCE" w:rsidRPr="00373342" w:rsidRDefault="004E7617" w:rsidP="00373342">
            <w:pPr>
              <w:spacing w:line="276" w:lineRule="auto"/>
              <w:jc w:val="center"/>
              <w:rPr>
                <w:rFonts w:ascii="Times New Roman" w:hAnsi="Times New Roman" w:cs="Times New Roman"/>
                <w:sz w:val="20"/>
                <w:szCs w:val="20"/>
              </w:rPr>
            </w:pPr>
            <w:r>
              <w:rPr>
                <w:rFonts w:ascii="Times New Roman" w:hAnsi="Times New Roman" w:cs="Times New Roman"/>
                <w:sz w:val="20"/>
                <w:szCs w:val="20"/>
              </w:rPr>
              <w:t>E</w:t>
            </w:r>
            <w:r w:rsidR="002000FA">
              <w:rPr>
                <w:rFonts w:ascii="Times New Roman" w:hAnsi="Times New Roman" w:cs="Times New Roman"/>
                <w:sz w:val="20"/>
                <w:szCs w:val="20"/>
              </w:rPr>
              <w:t xml:space="preserve"> plotë</w:t>
            </w:r>
          </w:p>
        </w:tc>
        <w:tc>
          <w:tcPr>
            <w:tcW w:w="2790" w:type="dxa"/>
            <w:shd w:val="clear" w:color="auto" w:fill="FFFFFF" w:themeFill="background1"/>
          </w:tcPr>
          <w:p w14:paraId="0A0B2923" w14:textId="6EA5FE99" w:rsidR="00A14DCE" w:rsidRPr="00373342" w:rsidRDefault="00A14DCE" w:rsidP="00373342">
            <w:pPr>
              <w:spacing w:line="276" w:lineRule="auto"/>
              <w:rPr>
                <w:rFonts w:ascii="Times New Roman" w:hAnsi="Times New Roman" w:cs="Times New Roman"/>
                <w:sz w:val="20"/>
                <w:szCs w:val="20"/>
              </w:rPr>
            </w:pPr>
          </w:p>
        </w:tc>
      </w:tr>
      <w:tr w:rsidR="00A14DCE" w:rsidRPr="00373342" w14:paraId="0B2DCB6D" w14:textId="77777777" w:rsidTr="00373342">
        <w:tc>
          <w:tcPr>
            <w:tcW w:w="1440" w:type="dxa"/>
            <w:shd w:val="clear" w:color="auto" w:fill="FFFFFF" w:themeFill="background1"/>
          </w:tcPr>
          <w:p w14:paraId="53B52BA4" w14:textId="30FC5409" w:rsidR="00A14DCE" w:rsidRPr="00373342" w:rsidRDefault="00A14DCE" w:rsidP="00373342">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lastRenderedPageBreak/>
              <w:t>Shtojca III, Seksioni I, Pika 9</w:t>
            </w:r>
          </w:p>
        </w:tc>
        <w:tc>
          <w:tcPr>
            <w:tcW w:w="3960" w:type="dxa"/>
            <w:shd w:val="clear" w:color="auto" w:fill="FFFFFF" w:themeFill="background1"/>
          </w:tcPr>
          <w:p w14:paraId="68581A5A" w14:textId="667A22FB" w:rsidR="00A14DCE" w:rsidRPr="00373342" w:rsidRDefault="00A14DCE" w:rsidP="00373342">
            <w:pPr>
              <w:spacing w:line="276" w:lineRule="auto"/>
              <w:rPr>
                <w:rFonts w:ascii="Times New Roman" w:hAnsi="Times New Roman" w:cs="Times New Roman"/>
                <w:sz w:val="20"/>
                <w:szCs w:val="20"/>
              </w:rPr>
            </w:pPr>
            <w:r w:rsidRPr="00373342">
              <w:rPr>
                <w:rFonts w:ascii="Times New Roman" w:hAnsi="Times New Roman" w:cs="Times New Roman"/>
                <w:sz w:val="20"/>
                <w:szCs w:val="20"/>
              </w:rPr>
              <w:t>9. Termi “Vit fiskal” është një periudhë kontabël vjetore për të cilën Entiteti mëmë përfundimtar i Grupit të shoqërive shumëkombëshe përgatit pasqyrat e tij financiare.</w:t>
            </w:r>
          </w:p>
        </w:tc>
        <w:tc>
          <w:tcPr>
            <w:tcW w:w="1170" w:type="dxa"/>
            <w:shd w:val="clear" w:color="auto" w:fill="FFFFFF" w:themeFill="background1"/>
          </w:tcPr>
          <w:p w14:paraId="16F7DE7E" w14:textId="7DF37A56" w:rsidR="00A14DCE" w:rsidRPr="00373342" w:rsidRDefault="00D46723"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1</w:t>
            </w:r>
          </w:p>
        </w:tc>
        <w:tc>
          <w:tcPr>
            <w:tcW w:w="1260" w:type="dxa"/>
            <w:shd w:val="clear" w:color="auto" w:fill="FFFFFF" w:themeFill="background1"/>
          </w:tcPr>
          <w:p w14:paraId="3E1F3B8D" w14:textId="55F9794F" w:rsidR="00A14DCE" w:rsidRPr="00373342" w:rsidRDefault="00F650C0"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63/1, shkronja “e”</w:t>
            </w:r>
          </w:p>
        </w:tc>
        <w:tc>
          <w:tcPr>
            <w:tcW w:w="3870" w:type="dxa"/>
            <w:shd w:val="clear" w:color="auto" w:fill="FFFFFF" w:themeFill="background1"/>
          </w:tcPr>
          <w:p w14:paraId="4F3C5767" w14:textId="262CFCC1" w:rsidR="00A14DCE" w:rsidRPr="00472C4C" w:rsidRDefault="00D46723" w:rsidP="00373342">
            <w:pPr>
              <w:spacing w:line="276" w:lineRule="auto"/>
              <w:rPr>
                <w:rFonts w:ascii="Times New Roman" w:hAnsi="Times New Roman" w:cs="Times New Roman"/>
                <w:sz w:val="20"/>
                <w:szCs w:val="20"/>
              </w:rPr>
            </w:pPr>
            <w:r w:rsidRPr="00472C4C">
              <w:rPr>
                <w:rFonts w:ascii="Times New Roman" w:hAnsi="Times New Roman" w:cs="Times New Roman"/>
                <w:sz w:val="20"/>
                <w:szCs w:val="20"/>
              </w:rPr>
              <w:t>e) “Vit fiskal” është një periudhë kontabël vjetore për të cilën entiteti mëmë përfundimtar i grupit të shoqërive shumëkombëshe përgatit pasqyrat e tij financiare;</w:t>
            </w:r>
          </w:p>
        </w:tc>
        <w:tc>
          <w:tcPr>
            <w:tcW w:w="1620" w:type="dxa"/>
            <w:shd w:val="clear" w:color="auto" w:fill="FFFFFF" w:themeFill="background1"/>
          </w:tcPr>
          <w:p w14:paraId="58F1F9AF" w14:textId="1311A9C7" w:rsidR="00A14DCE" w:rsidRPr="00373342" w:rsidRDefault="004E7617" w:rsidP="00373342">
            <w:pPr>
              <w:spacing w:line="276" w:lineRule="auto"/>
              <w:jc w:val="center"/>
              <w:rPr>
                <w:rFonts w:ascii="Times New Roman" w:hAnsi="Times New Roman" w:cs="Times New Roman"/>
                <w:sz w:val="20"/>
                <w:szCs w:val="20"/>
              </w:rPr>
            </w:pPr>
            <w:r>
              <w:rPr>
                <w:rFonts w:ascii="Times New Roman" w:hAnsi="Times New Roman" w:cs="Times New Roman"/>
                <w:sz w:val="20"/>
                <w:szCs w:val="20"/>
              </w:rPr>
              <w:t>E</w:t>
            </w:r>
            <w:r w:rsidR="002000FA">
              <w:rPr>
                <w:rFonts w:ascii="Times New Roman" w:hAnsi="Times New Roman" w:cs="Times New Roman"/>
                <w:sz w:val="20"/>
                <w:szCs w:val="20"/>
              </w:rPr>
              <w:t xml:space="preserve"> plotë</w:t>
            </w:r>
          </w:p>
        </w:tc>
        <w:tc>
          <w:tcPr>
            <w:tcW w:w="2790" w:type="dxa"/>
            <w:shd w:val="clear" w:color="auto" w:fill="FFFFFF" w:themeFill="background1"/>
          </w:tcPr>
          <w:p w14:paraId="5604A4A9" w14:textId="71252C5D" w:rsidR="00A14DCE" w:rsidRPr="00373342" w:rsidRDefault="00A14DCE" w:rsidP="00373342">
            <w:pPr>
              <w:spacing w:line="276" w:lineRule="auto"/>
              <w:rPr>
                <w:rFonts w:ascii="Times New Roman" w:hAnsi="Times New Roman" w:cs="Times New Roman"/>
                <w:sz w:val="20"/>
                <w:szCs w:val="20"/>
              </w:rPr>
            </w:pPr>
          </w:p>
        </w:tc>
      </w:tr>
      <w:tr w:rsidR="00A14DCE" w:rsidRPr="00373342" w14:paraId="3C784292" w14:textId="77777777" w:rsidTr="00373342">
        <w:trPr>
          <w:trHeight w:val="1106"/>
        </w:trPr>
        <w:tc>
          <w:tcPr>
            <w:tcW w:w="1440" w:type="dxa"/>
            <w:shd w:val="clear" w:color="auto" w:fill="FFFFFF" w:themeFill="background1"/>
          </w:tcPr>
          <w:p w14:paraId="76E1DAE1" w14:textId="09785CAF" w:rsidR="00A14DCE" w:rsidRPr="00373342" w:rsidRDefault="00A14DCE" w:rsidP="00373342">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Shtojca III, Seksioni I, Pika 10</w:t>
            </w:r>
          </w:p>
        </w:tc>
        <w:tc>
          <w:tcPr>
            <w:tcW w:w="3960" w:type="dxa"/>
            <w:shd w:val="clear" w:color="auto" w:fill="FFFFFF" w:themeFill="background1"/>
          </w:tcPr>
          <w:p w14:paraId="5196D21D" w14:textId="723F37B9" w:rsidR="00A14DCE" w:rsidRPr="00373342" w:rsidRDefault="00A14DCE" w:rsidP="00373342">
            <w:pPr>
              <w:spacing w:line="276" w:lineRule="auto"/>
              <w:rPr>
                <w:rFonts w:ascii="Times New Roman" w:hAnsi="Times New Roman" w:cs="Times New Roman"/>
                <w:sz w:val="20"/>
                <w:szCs w:val="20"/>
              </w:rPr>
            </w:pPr>
            <w:r w:rsidRPr="00373342">
              <w:rPr>
                <w:rFonts w:ascii="Times New Roman" w:hAnsi="Times New Roman" w:cs="Times New Roman"/>
                <w:sz w:val="20"/>
                <w:szCs w:val="20"/>
              </w:rPr>
              <w:t>10. Termi “Vit fiskal raportues” është ai Vit fiskal, rezultatet financiare dhe operacionale të të cilit pasqyrohen në raportin për çdo vend të përmendur në nenin 8aa(3).</w:t>
            </w:r>
          </w:p>
        </w:tc>
        <w:tc>
          <w:tcPr>
            <w:tcW w:w="1170" w:type="dxa"/>
            <w:shd w:val="clear" w:color="auto" w:fill="FFFFFF" w:themeFill="background1"/>
          </w:tcPr>
          <w:p w14:paraId="22077D6D" w14:textId="41776A58" w:rsidR="00A14DCE" w:rsidRPr="00373342" w:rsidRDefault="00AB13C5"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1</w:t>
            </w:r>
          </w:p>
        </w:tc>
        <w:tc>
          <w:tcPr>
            <w:tcW w:w="1260" w:type="dxa"/>
            <w:tcBorders>
              <w:bottom w:val="dashed" w:sz="4" w:space="0" w:color="auto"/>
            </w:tcBorders>
            <w:shd w:val="clear" w:color="auto" w:fill="FFFFFF" w:themeFill="background1"/>
          </w:tcPr>
          <w:p w14:paraId="14637EBD" w14:textId="650A238F" w:rsidR="00A14DCE" w:rsidRPr="00373342" w:rsidRDefault="00AB13C5"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63/1, shkronja “ë”</w:t>
            </w:r>
          </w:p>
        </w:tc>
        <w:tc>
          <w:tcPr>
            <w:tcW w:w="3870" w:type="dxa"/>
            <w:tcBorders>
              <w:bottom w:val="dashed" w:sz="4" w:space="0" w:color="auto"/>
            </w:tcBorders>
            <w:shd w:val="clear" w:color="auto" w:fill="FFFFFF" w:themeFill="background1"/>
          </w:tcPr>
          <w:p w14:paraId="4801DEB8" w14:textId="0B2FFA4E" w:rsidR="00A14DCE" w:rsidRPr="00472C4C" w:rsidRDefault="00AB13C5" w:rsidP="00373342">
            <w:pPr>
              <w:spacing w:line="276" w:lineRule="auto"/>
              <w:rPr>
                <w:rFonts w:ascii="Times New Roman" w:hAnsi="Times New Roman" w:cs="Times New Roman"/>
                <w:sz w:val="20"/>
                <w:szCs w:val="20"/>
              </w:rPr>
            </w:pPr>
            <w:r w:rsidRPr="00472C4C">
              <w:rPr>
                <w:rFonts w:ascii="Times New Roman" w:hAnsi="Times New Roman" w:cs="Times New Roman"/>
                <w:sz w:val="20"/>
                <w:szCs w:val="20"/>
              </w:rPr>
              <w:t>ë) “Vit fiskal raportues” është ai vit fiskal, rezultatet financiare dhe operacionale të të cilit pasqyrohen në raportin për çdo vend të përcaktuar në nenin 63/4 të këtij ligji;</w:t>
            </w:r>
          </w:p>
        </w:tc>
        <w:tc>
          <w:tcPr>
            <w:tcW w:w="1620" w:type="dxa"/>
            <w:tcBorders>
              <w:bottom w:val="dashed" w:sz="4" w:space="0" w:color="auto"/>
            </w:tcBorders>
            <w:shd w:val="clear" w:color="auto" w:fill="FFFFFF" w:themeFill="background1"/>
          </w:tcPr>
          <w:p w14:paraId="0ACA0C51" w14:textId="63EBEE81" w:rsidR="00A14DCE" w:rsidRPr="00373342" w:rsidRDefault="004E7617" w:rsidP="00373342">
            <w:pPr>
              <w:spacing w:line="276" w:lineRule="auto"/>
              <w:jc w:val="center"/>
              <w:rPr>
                <w:rFonts w:ascii="Times New Roman" w:hAnsi="Times New Roman" w:cs="Times New Roman"/>
                <w:sz w:val="20"/>
                <w:szCs w:val="20"/>
              </w:rPr>
            </w:pPr>
            <w:r>
              <w:rPr>
                <w:rFonts w:ascii="Times New Roman" w:hAnsi="Times New Roman" w:cs="Times New Roman"/>
                <w:sz w:val="20"/>
                <w:szCs w:val="20"/>
              </w:rPr>
              <w:t>E</w:t>
            </w:r>
            <w:r w:rsidR="002000FA">
              <w:rPr>
                <w:rFonts w:ascii="Times New Roman" w:hAnsi="Times New Roman" w:cs="Times New Roman"/>
                <w:sz w:val="20"/>
                <w:szCs w:val="20"/>
              </w:rPr>
              <w:t xml:space="preserve"> plotë</w:t>
            </w:r>
          </w:p>
        </w:tc>
        <w:tc>
          <w:tcPr>
            <w:tcW w:w="2790" w:type="dxa"/>
            <w:tcBorders>
              <w:bottom w:val="dashed" w:sz="4" w:space="0" w:color="auto"/>
            </w:tcBorders>
            <w:shd w:val="clear" w:color="auto" w:fill="FFFFFF" w:themeFill="background1"/>
          </w:tcPr>
          <w:p w14:paraId="0447403E" w14:textId="3A23E47F" w:rsidR="00A14DCE" w:rsidRPr="00373342" w:rsidRDefault="00A14DCE" w:rsidP="00373342">
            <w:pPr>
              <w:spacing w:line="276" w:lineRule="auto"/>
              <w:rPr>
                <w:rFonts w:ascii="Times New Roman" w:hAnsi="Times New Roman" w:cs="Times New Roman"/>
                <w:sz w:val="20"/>
                <w:szCs w:val="20"/>
              </w:rPr>
            </w:pPr>
          </w:p>
        </w:tc>
      </w:tr>
      <w:tr w:rsidR="00A14DCE" w:rsidRPr="00373342" w14:paraId="56E909E7" w14:textId="77777777" w:rsidTr="00373342">
        <w:tc>
          <w:tcPr>
            <w:tcW w:w="1440" w:type="dxa"/>
            <w:shd w:val="clear" w:color="auto" w:fill="FFFFFF" w:themeFill="background1"/>
          </w:tcPr>
          <w:p w14:paraId="6C9EAFC8" w14:textId="53067D28" w:rsidR="00A14DCE" w:rsidRPr="00373342" w:rsidRDefault="00A14DCE" w:rsidP="00373342">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Shtojca III, Seksioni I, Pika 11</w:t>
            </w:r>
          </w:p>
        </w:tc>
        <w:tc>
          <w:tcPr>
            <w:tcW w:w="3960" w:type="dxa"/>
            <w:shd w:val="clear" w:color="auto" w:fill="FFFFFF" w:themeFill="background1"/>
          </w:tcPr>
          <w:p w14:paraId="1ECA7635" w14:textId="19AF2781" w:rsidR="00A14DCE" w:rsidRPr="00373342" w:rsidRDefault="00A14DCE" w:rsidP="00373342">
            <w:pPr>
              <w:spacing w:line="276" w:lineRule="auto"/>
              <w:rPr>
                <w:rFonts w:ascii="Times New Roman" w:hAnsi="Times New Roman" w:cs="Times New Roman"/>
                <w:sz w:val="20"/>
                <w:szCs w:val="20"/>
              </w:rPr>
            </w:pPr>
            <w:r w:rsidRPr="00373342">
              <w:rPr>
                <w:rFonts w:ascii="Times New Roman" w:hAnsi="Times New Roman" w:cs="Times New Roman"/>
                <w:sz w:val="20"/>
                <w:szCs w:val="20"/>
              </w:rPr>
              <w:t>11. Termi “Marrëveshje kualifikuese e autoriteteve kompetente” është një marrëveshje ndërmjet përfaqësuesve të autorizuar të një Shteti Anëtar të BE-së dhe një juridiksioni jo të Bashkimit, që janë palë në një Marrëveshje ndërkombëtare dhe që kërkon shkëmbimin automatik të raporteve për çdo vend ndërmjet juridiksioneve palë.</w:t>
            </w:r>
          </w:p>
        </w:tc>
        <w:tc>
          <w:tcPr>
            <w:tcW w:w="1170" w:type="dxa"/>
            <w:shd w:val="clear" w:color="auto" w:fill="FFFFFF" w:themeFill="background1"/>
          </w:tcPr>
          <w:p w14:paraId="58258E1E" w14:textId="69EC148E" w:rsidR="00A14DCE" w:rsidRPr="00373342" w:rsidRDefault="00AB13C5"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1</w:t>
            </w:r>
          </w:p>
        </w:tc>
        <w:tc>
          <w:tcPr>
            <w:tcW w:w="1260" w:type="dxa"/>
            <w:shd w:val="clear" w:color="auto" w:fill="FFFFFF" w:themeFill="background1"/>
          </w:tcPr>
          <w:p w14:paraId="33C9FDF3" w14:textId="7B01B093" w:rsidR="00A14DCE" w:rsidRPr="00373342" w:rsidRDefault="00AB13C5" w:rsidP="00373342">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63/1, shkronja “gj”</w:t>
            </w:r>
          </w:p>
        </w:tc>
        <w:tc>
          <w:tcPr>
            <w:tcW w:w="3870" w:type="dxa"/>
            <w:shd w:val="clear" w:color="auto" w:fill="FFFFFF" w:themeFill="background1"/>
          </w:tcPr>
          <w:p w14:paraId="67202014" w14:textId="7CC8D77F" w:rsidR="00A14DCE" w:rsidRPr="00472C4C" w:rsidRDefault="00AB13C5" w:rsidP="00373342">
            <w:pPr>
              <w:spacing w:line="276" w:lineRule="auto"/>
              <w:rPr>
                <w:rFonts w:ascii="Times New Roman" w:hAnsi="Times New Roman" w:cs="Times New Roman"/>
                <w:sz w:val="20"/>
                <w:szCs w:val="20"/>
              </w:rPr>
            </w:pPr>
            <w:r w:rsidRPr="00472C4C">
              <w:rPr>
                <w:rFonts w:ascii="Times New Roman" w:hAnsi="Times New Roman" w:cs="Times New Roman"/>
                <w:sz w:val="20"/>
                <w:szCs w:val="20"/>
              </w:rPr>
              <w:t>gj) “Marrëveshje kualifikuese e autoriteteve kompetente” është një marrëveshje ndërmjet përfaqësuesve të autorizuar të Republikës së Shqipërisë dhe një juridiksioni jo të Bashkimit Evropian, që janë palë në një marrëveshje ndërkombëtare dhe që kërkon shkëmbimin automatik të raporteve për çdo vend ndërmjet juridiksioneve palë;</w:t>
            </w:r>
          </w:p>
        </w:tc>
        <w:tc>
          <w:tcPr>
            <w:tcW w:w="1620" w:type="dxa"/>
            <w:shd w:val="clear" w:color="auto" w:fill="FFFFFF" w:themeFill="background1"/>
          </w:tcPr>
          <w:p w14:paraId="567B8012" w14:textId="720ABA46" w:rsidR="00A14DCE" w:rsidRPr="00373342" w:rsidRDefault="004E7617" w:rsidP="00373342">
            <w:pPr>
              <w:spacing w:line="276" w:lineRule="auto"/>
              <w:jc w:val="center"/>
              <w:rPr>
                <w:rFonts w:ascii="Times New Roman" w:hAnsi="Times New Roman" w:cs="Times New Roman"/>
                <w:sz w:val="20"/>
                <w:szCs w:val="20"/>
              </w:rPr>
            </w:pPr>
            <w:r>
              <w:rPr>
                <w:rFonts w:ascii="Times New Roman" w:hAnsi="Times New Roman" w:cs="Times New Roman"/>
                <w:sz w:val="20"/>
                <w:szCs w:val="20"/>
              </w:rPr>
              <w:t>E</w:t>
            </w:r>
            <w:r w:rsidR="002000FA">
              <w:rPr>
                <w:rFonts w:ascii="Times New Roman" w:hAnsi="Times New Roman" w:cs="Times New Roman"/>
                <w:sz w:val="20"/>
                <w:szCs w:val="20"/>
              </w:rPr>
              <w:t xml:space="preserve"> plotë</w:t>
            </w:r>
          </w:p>
        </w:tc>
        <w:tc>
          <w:tcPr>
            <w:tcW w:w="2790" w:type="dxa"/>
            <w:shd w:val="clear" w:color="auto" w:fill="FFFFFF" w:themeFill="background1"/>
          </w:tcPr>
          <w:p w14:paraId="5AED2674" w14:textId="0E01A798" w:rsidR="00A14DCE" w:rsidRPr="00373342" w:rsidRDefault="00A14DCE" w:rsidP="00373342">
            <w:pPr>
              <w:spacing w:line="276" w:lineRule="auto"/>
              <w:rPr>
                <w:rFonts w:ascii="Times New Roman" w:hAnsi="Times New Roman" w:cs="Times New Roman"/>
                <w:sz w:val="20"/>
                <w:szCs w:val="20"/>
              </w:rPr>
            </w:pPr>
          </w:p>
        </w:tc>
      </w:tr>
      <w:tr w:rsidR="004E7617" w:rsidRPr="00373342" w14:paraId="7BEBED7B" w14:textId="77777777" w:rsidTr="00373342">
        <w:tc>
          <w:tcPr>
            <w:tcW w:w="1440" w:type="dxa"/>
            <w:shd w:val="clear" w:color="auto" w:fill="FFFFFF" w:themeFill="background1"/>
          </w:tcPr>
          <w:p w14:paraId="452DD3FC" w14:textId="13D0D202" w:rsidR="004E7617" w:rsidRPr="00373342" w:rsidRDefault="004E7617" w:rsidP="004E7617">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Shtojca III, Seksioni I, Pika 12</w:t>
            </w:r>
          </w:p>
        </w:tc>
        <w:tc>
          <w:tcPr>
            <w:tcW w:w="3960" w:type="dxa"/>
            <w:shd w:val="clear" w:color="auto" w:fill="FFFFFF" w:themeFill="background1"/>
          </w:tcPr>
          <w:p w14:paraId="0A2A4810" w14:textId="1EBFDB22" w:rsidR="004E7617" w:rsidRPr="00373342" w:rsidRDefault="004E7617" w:rsidP="004E7617">
            <w:pPr>
              <w:spacing w:line="276" w:lineRule="auto"/>
              <w:rPr>
                <w:rFonts w:ascii="Times New Roman" w:hAnsi="Times New Roman" w:cs="Times New Roman"/>
                <w:sz w:val="20"/>
                <w:szCs w:val="20"/>
              </w:rPr>
            </w:pPr>
            <w:r w:rsidRPr="00373342">
              <w:rPr>
                <w:rFonts w:ascii="Times New Roman" w:hAnsi="Times New Roman" w:cs="Times New Roman"/>
                <w:sz w:val="20"/>
                <w:szCs w:val="20"/>
              </w:rPr>
              <w:t>12. Termi “Marrëveshje ndërkombëtare” është Konventa Shumëpalëshe për Ndihmën e Ndërsjellë Administrative në Çështjet Tatimore, çdo konventë tatimore dypalëshe ose shumëpalëshe, ose çdo marrëveshje për shkëmbimin e informacionit tatimor në të cilën Shteti Anëtar është palë dhe që, sipas kushteve të saj, siguron autoritetin ligjor për shkëmbimin e informacionit tatimor ndërmjet juridiksioneve, duke përfshirë shkëmbimin automatik të këtij informacioni.</w:t>
            </w:r>
          </w:p>
        </w:tc>
        <w:tc>
          <w:tcPr>
            <w:tcW w:w="1170" w:type="dxa"/>
            <w:shd w:val="clear" w:color="auto" w:fill="FFFFFF" w:themeFill="background1"/>
          </w:tcPr>
          <w:p w14:paraId="131B354E" w14:textId="664A23EB"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1</w:t>
            </w:r>
          </w:p>
        </w:tc>
        <w:tc>
          <w:tcPr>
            <w:tcW w:w="1260" w:type="dxa"/>
            <w:shd w:val="clear" w:color="auto" w:fill="FFFFFF" w:themeFill="background1"/>
          </w:tcPr>
          <w:p w14:paraId="15D89A40" w14:textId="49C6AF91"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3</w:t>
            </w:r>
          </w:p>
        </w:tc>
        <w:tc>
          <w:tcPr>
            <w:tcW w:w="3870" w:type="dxa"/>
            <w:shd w:val="clear" w:color="auto" w:fill="FFFFFF" w:themeFill="background1"/>
          </w:tcPr>
          <w:p w14:paraId="40FFD3D5" w14:textId="77777777" w:rsidR="004E7617" w:rsidRPr="00472C4C" w:rsidRDefault="004E7617" w:rsidP="004E7617">
            <w:pPr>
              <w:spacing w:line="276" w:lineRule="auto"/>
              <w:rPr>
                <w:rFonts w:ascii="Times New Roman" w:hAnsi="Times New Roman" w:cs="Times New Roman"/>
                <w:sz w:val="20"/>
                <w:szCs w:val="20"/>
              </w:rPr>
            </w:pPr>
            <w:r w:rsidRPr="00472C4C">
              <w:rPr>
                <w:rFonts w:ascii="Times New Roman" w:hAnsi="Times New Roman" w:cs="Times New Roman"/>
                <w:sz w:val="20"/>
                <w:szCs w:val="20"/>
              </w:rPr>
              <w:t>Legjislacioni tatimor</w:t>
            </w:r>
            <w:r w:rsidRPr="00472C4C">
              <w:rPr>
                <w:rFonts w:ascii="Times New Roman" w:hAnsi="Times New Roman" w:cs="Times New Roman"/>
                <w:sz w:val="20"/>
                <w:szCs w:val="20"/>
              </w:rPr>
              <w:br/>
            </w:r>
            <w:r w:rsidRPr="00472C4C">
              <w:rPr>
                <w:rFonts w:ascii="Times New Roman" w:hAnsi="Times New Roman" w:cs="Times New Roman"/>
                <w:sz w:val="20"/>
                <w:szCs w:val="20"/>
              </w:rPr>
              <w:br/>
              <w:t>Legjislacioni tatimor përbëhet nga: a) marrëveshjet ndërkombëtare, të ratifikuara nga Kuvendi; b) ligjet tatimore; c) aktet nënligjore, të miratuara në mbështetje të ligjeve tatimore.</w:t>
            </w:r>
          </w:p>
          <w:p w14:paraId="316E7356" w14:textId="77777777" w:rsidR="004E7617" w:rsidRPr="00472C4C" w:rsidRDefault="004E7617" w:rsidP="004E7617">
            <w:pPr>
              <w:spacing w:line="276" w:lineRule="auto"/>
              <w:rPr>
                <w:rFonts w:ascii="Times New Roman" w:hAnsi="Times New Roman" w:cs="Times New Roman"/>
                <w:sz w:val="20"/>
                <w:szCs w:val="20"/>
              </w:rPr>
            </w:pPr>
          </w:p>
          <w:p w14:paraId="31A24378" w14:textId="754B85BA" w:rsidR="004E7617" w:rsidRPr="00472C4C" w:rsidRDefault="004E7617" w:rsidP="004E7617">
            <w:pPr>
              <w:spacing w:line="276" w:lineRule="auto"/>
              <w:rPr>
                <w:rFonts w:ascii="Times New Roman" w:hAnsi="Times New Roman" w:cs="Times New Roman"/>
                <w:sz w:val="20"/>
                <w:szCs w:val="20"/>
              </w:rPr>
            </w:pPr>
          </w:p>
        </w:tc>
        <w:tc>
          <w:tcPr>
            <w:tcW w:w="1620" w:type="dxa"/>
            <w:shd w:val="clear" w:color="auto" w:fill="FFFFFF" w:themeFill="background1"/>
          </w:tcPr>
          <w:p w14:paraId="3903319B" w14:textId="502B9E7B" w:rsidR="004E7617" w:rsidRPr="00373342" w:rsidRDefault="004E7617" w:rsidP="004E7617">
            <w:pPr>
              <w:spacing w:line="276" w:lineRule="auto"/>
              <w:jc w:val="center"/>
              <w:rPr>
                <w:rFonts w:ascii="Times New Roman" w:hAnsi="Times New Roman" w:cs="Times New Roman"/>
                <w:sz w:val="20"/>
                <w:szCs w:val="20"/>
              </w:rPr>
            </w:pPr>
            <w:r>
              <w:rPr>
                <w:rFonts w:ascii="Times New Roman" w:hAnsi="Times New Roman" w:cs="Times New Roman"/>
                <w:sz w:val="20"/>
                <w:szCs w:val="20"/>
              </w:rPr>
              <w:t>E plotë</w:t>
            </w:r>
          </w:p>
        </w:tc>
        <w:tc>
          <w:tcPr>
            <w:tcW w:w="2790" w:type="dxa"/>
            <w:shd w:val="clear" w:color="auto" w:fill="FFFFFF" w:themeFill="background1"/>
          </w:tcPr>
          <w:p w14:paraId="4A92C712" w14:textId="70872252" w:rsidR="004E7617" w:rsidRPr="00373342" w:rsidRDefault="004E7617" w:rsidP="004E7617">
            <w:pPr>
              <w:spacing w:line="276" w:lineRule="auto"/>
              <w:rPr>
                <w:rFonts w:ascii="Times New Roman" w:hAnsi="Times New Roman" w:cs="Times New Roman"/>
                <w:sz w:val="20"/>
                <w:szCs w:val="20"/>
              </w:rPr>
            </w:pPr>
          </w:p>
        </w:tc>
      </w:tr>
      <w:tr w:rsidR="004E7617" w:rsidRPr="00373342" w14:paraId="657E72DF" w14:textId="77777777" w:rsidTr="00373342">
        <w:tc>
          <w:tcPr>
            <w:tcW w:w="1440" w:type="dxa"/>
            <w:shd w:val="clear" w:color="auto" w:fill="FFFFFF" w:themeFill="background1"/>
          </w:tcPr>
          <w:p w14:paraId="25026FC3" w14:textId="2D2B2167" w:rsidR="004E7617" w:rsidRPr="00373342" w:rsidRDefault="004E7617" w:rsidP="004E7617">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Shtojca III, Seksioni I, Pika 13</w:t>
            </w:r>
          </w:p>
        </w:tc>
        <w:tc>
          <w:tcPr>
            <w:tcW w:w="3960" w:type="dxa"/>
            <w:shd w:val="clear" w:color="auto" w:fill="FFFFFF" w:themeFill="background1"/>
          </w:tcPr>
          <w:p w14:paraId="69864ADA" w14:textId="2AAE2DED" w:rsidR="004E7617" w:rsidRPr="00373342" w:rsidRDefault="004E7617" w:rsidP="004E7617">
            <w:pPr>
              <w:spacing w:line="276" w:lineRule="auto"/>
              <w:rPr>
                <w:rFonts w:ascii="Times New Roman" w:hAnsi="Times New Roman" w:cs="Times New Roman"/>
                <w:sz w:val="20"/>
                <w:szCs w:val="20"/>
              </w:rPr>
            </w:pPr>
            <w:r w:rsidRPr="00373342">
              <w:rPr>
                <w:rFonts w:ascii="Times New Roman" w:hAnsi="Times New Roman" w:cs="Times New Roman"/>
                <w:sz w:val="20"/>
                <w:szCs w:val="20"/>
              </w:rPr>
              <w:t xml:space="preserve">13. Termi “Pasqyra financiare të konsoliduara” janë pasqyrat financiare të një Grupi shoqërie shumëkombëshe në të cilat </w:t>
            </w:r>
            <w:r w:rsidRPr="00373342">
              <w:rPr>
                <w:rFonts w:ascii="Times New Roman" w:hAnsi="Times New Roman" w:cs="Times New Roman"/>
                <w:sz w:val="20"/>
                <w:szCs w:val="20"/>
              </w:rPr>
              <w:lastRenderedPageBreak/>
              <w:t>aktivet, pasivet, të ardhurat, shpenzimet dhe flukset e mjeteve monetare të Entitetit mëmë përfundimtar dhe të Entiteteve përbërëse paraqiten si ato të një entiteti të vetëm ekonomik.</w:t>
            </w:r>
          </w:p>
        </w:tc>
        <w:tc>
          <w:tcPr>
            <w:tcW w:w="1170" w:type="dxa"/>
            <w:shd w:val="clear" w:color="auto" w:fill="FFFFFF" w:themeFill="background1"/>
          </w:tcPr>
          <w:p w14:paraId="5FF2842E" w14:textId="5497F872"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lastRenderedPageBreak/>
              <w:t>1</w:t>
            </w:r>
          </w:p>
        </w:tc>
        <w:tc>
          <w:tcPr>
            <w:tcW w:w="1260" w:type="dxa"/>
            <w:shd w:val="clear" w:color="auto" w:fill="FFFFFF" w:themeFill="background1"/>
          </w:tcPr>
          <w:p w14:paraId="75C5C3A1" w14:textId="0A42D0FB"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63/1, shkronja “f”</w:t>
            </w:r>
          </w:p>
        </w:tc>
        <w:tc>
          <w:tcPr>
            <w:tcW w:w="3870" w:type="dxa"/>
            <w:shd w:val="clear" w:color="auto" w:fill="FFFFFF" w:themeFill="background1"/>
          </w:tcPr>
          <w:p w14:paraId="3EEEFF69" w14:textId="15D29A00" w:rsidR="004E7617" w:rsidRPr="00472C4C" w:rsidRDefault="004E7617" w:rsidP="004E7617">
            <w:pPr>
              <w:spacing w:line="276" w:lineRule="auto"/>
              <w:rPr>
                <w:rFonts w:ascii="Times New Roman" w:hAnsi="Times New Roman" w:cs="Times New Roman"/>
                <w:sz w:val="20"/>
                <w:szCs w:val="20"/>
              </w:rPr>
            </w:pPr>
            <w:r w:rsidRPr="00472C4C">
              <w:rPr>
                <w:rFonts w:ascii="Times New Roman" w:hAnsi="Times New Roman" w:cs="Times New Roman"/>
                <w:sz w:val="20"/>
                <w:szCs w:val="20"/>
              </w:rPr>
              <w:t xml:space="preserve">f) “Pasqyra financiare të konsoliduara” janë pasqyrat financiare të një grupi shoqërie shumëkombëshe në të cilën aktivet, pasivet, </w:t>
            </w:r>
            <w:r w:rsidRPr="00472C4C">
              <w:rPr>
                <w:rFonts w:ascii="Times New Roman" w:hAnsi="Times New Roman" w:cs="Times New Roman"/>
                <w:sz w:val="20"/>
                <w:szCs w:val="20"/>
              </w:rPr>
              <w:lastRenderedPageBreak/>
              <w:t>të ardhurat, shpenzimet dhe flukset e mjeteve monetare të entitetit mëmë përfundimtar dhe të entiteteve përbërëse paraqiten si ato të një entiteti të vetëm.</w:t>
            </w:r>
          </w:p>
        </w:tc>
        <w:tc>
          <w:tcPr>
            <w:tcW w:w="1620" w:type="dxa"/>
            <w:shd w:val="clear" w:color="auto" w:fill="FFFFFF" w:themeFill="background1"/>
          </w:tcPr>
          <w:p w14:paraId="71C925CD" w14:textId="23AE29DC" w:rsidR="004E7617" w:rsidRPr="00373342" w:rsidRDefault="004E7617" w:rsidP="004E7617">
            <w:pPr>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E plotë</w:t>
            </w:r>
          </w:p>
        </w:tc>
        <w:tc>
          <w:tcPr>
            <w:tcW w:w="2790" w:type="dxa"/>
            <w:shd w:val="clear" w:color="auto" w:fill="FFFFFF" w:themeFill="background1"/>
          </w:tcPr>
          <w:p w14:paraId="4CBC0E53" w14:textId="0B3C9529" w:rsidR="004E7617" w:rsidRPr="00373342" w:rsidRDefault="004E7617" w:rsidP="004E7617">
            <w:pPr>
              <w:spacing w:line="276" w:lineRule="auto"/>
              <w:rPr>
                <w:rFonts w:ascii="Times New Roman" w:hAnsi="Times New Roman" w:cs="Times New Roman"/>
                <w:sz w:val="20"/>
                <w:szCs w:val="20"/>
              </w:rPr>
            </w:pPr>
          </w:p>
        </w:tc>
      </w:tr>
      <w:tr w:rsidR="004E7617" w:rsidRPr="00373342" w14:paraId="19F26191" w14:textId="77777777" w:rsidTr="00373342">
        <w:tc>
          <w:tcPr>
            <w:tcW w:w="1440" w:type="dxa"/>
            <w:shd w:val="clear" w:color="auto" w:fill="FFFFFF" w:themeFill="background1"/>
          </w:tcPr>
          <w:p w14:paraId="521C7EA8" w14:textId="1F90701C" w:rsidR="004E7617" w:rsidRPr="00373342" w:rsidRDefault="004E7617" w:rsidP="004E7617">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Shtojca III, Seksioni I, Pika 14</w:t>
            </w:r>
          </w:p>
        </w:tc>
        <w:tc>
          <w:tcPr>
            <w:tcW w:w="3960" w:type="dxa"/>
            <w:shd w:val="clear" w:color="auto" w:fill="FFFFFF" w:themeFill="background1"/>
          </w:tcPr>
          <w:p w14:paraId="2A33E00E" w14:textId="0867FAE5" w:rsidR="004E7617" w:rsidRPr="00373342" w:rsidRDefault="004E7617" w:rsidP="004E7617">
            <w:pPr>
              <w:spacing w:line="276" w:lineRule="auto"/>
              <w:rPr>
                <w:rFonts w:ascii="Times New Roman" w:hAnsi="Times New Roman" w:cs="Times New Roman"/>
                <w:sz w:val="20"/>
                <w:szCs w:val="20"/>
              </w:rPr>
            </w:pPr>
            <w:r w:rsidRPr="00373342">
              <w:rPr>
                <w:rFonts w:ascii="Times New Roman" w:hAnsi="Times New Roman" w:cs="Times New Roman"/>
                <w:sz w:val="20"/>
                <w:szCs w:val="20"/>
              </w:rPr>
              <w:t>14. Termi “Dështim sistemik” në lidhje me një juridiksion do të thotë që ose një juridiksion ka një Marrëveshje kualifikuese të autoriteteve kompetente në fuqi me një Shtet Anëtar, por ka pezulluar shkëmbimin automatik për arsye të tjera nga ato që janë në përputhje me kushtet e asaj Marrëveshjeje, ose që një juridiksion vazhdimisht ka dështuar t’i ofrojë automatikisht një Shteti Anëtar raportet për çdo vend, në zotërim të tij, të Grupeve të shoqërive shumëkombëshe që kanë Entitete përbërëse në atë Shtet Anëtar.</w:t>
            </w:r>
          </w:p>
        </w:tc>
        <w:tc>
          <w:tcPr>
            <w:tcW w:w="1170" w:type="dxa"/>
            <w:shd w:val="clear" w:color="auto" w:fill="FFFFFF" w:themeFill="background1"/>
          </w:tcPr>
          <w:p w14:paraId="23273794" w14:textId="0A86C230"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1</w:t>
            </w:r>
          </w:p>
        </w:tc>
        <w:tc>
          <w:tcPr>
            <w:tcW w:w="1260" w:type="dxa"/>
            <w:shd w:val="clear" w:color="auto" w:fill="FFFFFF" w:themeFill="background1"/>
          </w:tcPr>
          <w:p w14:paraId="328BEEF9" w14:textId="496D52BA"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63/1, shkronja “h”</w:t>
            </w:r>
          </w:p>
        </w:tc>
        <w:tc>
          <w:tcPr>
            <w:tcW w:w="3870" w:type="dxa"/>
            <w:shd w:val="clear" w:color="auto" w:fill="FFFFFF" w:themeFill="background1"/>
          </w:tcPr>
          <w:p w14:paraId="3D5BA7DD" w14:textId="2E3A9435" w:rsidR="004E7617" w:rsidRPr="00472C4C" w:rsidRDefault="004E7617" w:rsidP="004E7617">
            <w:pPr>
              <w:spacing w:line="276" w:lineRule="auto"/>
              <w:rPr>
                <w:rFonts w:ascii="Times New Roman" w:hAnsi="Times New Roman" w:cs="Times New Roman"/>
                <w:sz w:val="20"/>
                <w:szCs w:val="20"/>
              </w:rPr>
            </w:pPr>
            <w:r w:rsidRPr="00472C4C">
              <w:rPr>
                <w:rFonts w:ascii="Times New Roman" w:hAnsi="Times New Roman" w:cs="Times New Roman"/>
                <w:sz w:val="20"/>
                <w:szCs w:val="20"/>
              </w:rPr>
              <w:t>h) “Dështim sistemik” në lidhje me një juridiksion do të thotë që ose një juridiksion ka një marrëveshje kualifikuese të autoriteteve kompetente në fuqi me Republikën e Shqipërisë, por ka pezulluar shkëmbimin automatik për arsye të tjera nga ato që janë në përputhje me kushtet e asaj marrëveshjeje, ose që një juridiksion vazhdimisht ka dështuar t’i ofrojë automatikisht Republikës së Shqipërisë raporte për çdo vend, në zotërim të tij, të grupeve të shoqërive shumëkombëshe që kanë entitete përbërëse në Republikën e Shqipërisë.</w:t>
            </w:r>
          </w:p>
        </w:tc>
        <w:tc>
          <w:tcPr>
            <w:tcW w:w="1620" w:type="dxa"/>
            <w:shd w:val="clear" w:color="auto" w:fill="FFFFFF" w:themeFill="background1"/>
          </w:tcPr>
          <w:p w14:paraId="0043A839" w14:textId="74B32136" w:rsidR="004E7617" w:rsidRPr="00373342" w:rsidRDefault="004E7617" w:rsidP="004E7617">
            <w:pPr>
              <w:spacing w:line="276" w:lineRule="auto"/>
              <w:jc w:val="center"/>
              <w:rPr>
                <w:rFonts w:ascii="Times New Roman" w:hAnsi="Times New Roman" w:cs="Times New Roman"/>
                <w:sz w:val="20"/>
                <w:szCs w:val="20"/>
              </w:rPr>
            </w:pPr>
            <w:r>
              <w:rPr>
                <w:rFonts w:ascii="Times New Roman" w:hAnsi="Times New Roman" w:cs="Times New Roman"/>
                <w:sz w:val="20"/>
                <w:szCs w:val="20"/>
              </w:rPr>
              <w:t>E plotë</w:t>
            </w:r>
          </w:p>
        </w:tc>
        <w:tc>
          <w:tcPr>
            <w:tcW w:w="2790" w:type="dxa"/>
            <w:shd w:val="clear" w:color="auto" w:fill="FFFFFF" w:themeFill="background1"/>
          </w:tcPr>
          <w:p w14:paraId="3E994B81" w14:textId="7392CED2" w:rsidR="004E7617" w:rsidRPr="00373342" w:rsidRDefault="004E7617" w:rsidP="004E7617">
            <w:pPr>
              <w:spacing w:line="276" w:lineRule="auto"/>
              <w:rPr>
                <w:rFonts w:ascii="Times New Roman" w:hAnsi="Times New Roman" w:cs="Times New Roman"/>
                <w:sz w:val="20"/>
                <w:szCs w:val="20"/>
              </w:rPr>
            </w:pPr>
          </w:p>
        </w:tc>
      </w:tr>
      <w:tr w:rsidR="004E7617" w:rsidRPr="00373342" w14:paraId="0F802EE6" w14:textId="77777777" w:rsidTr="00373342">
        <w:trPr>
          <w:trHeight w:val="746"/>
        </w:trPr>
        <w:tc>
          <w:tcPr>
            <w:tcW w:w="1440" w:type="dxa"/>
            <w:shd w:val="clear" w:color="auto" w:fill="FFFFFF" w:themeFill="background1"/>
          </w:tcPr>
          <w:p w14:paraId="0295C767" w14:textId="2F10BAEC" w:rsidR="004E7617" w:rsidRPr="00373342" w:rsidRDefault="004E7617" w:rsidP="004E7617">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Shtojca III, Seksioni II, “Kërkesat e përgjithshme të raportimit”</w:t>
            </w:r>
            <w:r w:rsidRPr="00373342">
              <w:rPr>
                <w:rFonts w:ascii="Times New Roman" w:hAnsi="Times New Roman" w:cs="Times New Roman"/>
                <w:b/>
                <w:bCs/>
                <w:sz w:val="20"/>
                <w:szCs w:val="20"/>
              </w:rPr>
              <w:br/>
            </w:r>
            <w:r w:rsidRPr="00373342">
              <w:rPr>
                <w:rFonts w:ascii="Times New Roman" w:hAnsi="Times New Roman" w:cs="Times New Roman"/>
                <w:b/>
                <w:bCs/>
                <w:sz w:val="20"/>
                <w:szCs w:val="20"/>
              </w:rPr>
              <w:br/>
              <w:t>Shtojca III, Seksioni II, Pika 1</w:t>
            </w:r>
          </w:p>
        </w:tc>
        <w:tc>
          <w:tcPr>
            <w:tcW w:w="3960" w:type="dxa"/>
            <w:shd w:val="clear" w:color="auto" w:fill="FFFFFF" w:themeFill="background1"/>
          </w:tcPr>
          <w:p w14:paraId="470F7815" w14:textId="528AC295" w:rsidR="004E7617" w:rsidRPr="00373342" w:rsidRDefault="004E7617" w:rsidP="0087215D">
            <w:pPr>
              <w:spacing w:line="276" w:lineRule="auto"/>
              <w:rPr>
                <w:rFonts w:ascii="Times New Roman" w:hAnsi="Times New Roman" w:cs="Times New Roman"/>
                <w:sz w:val="20"/>
                <w:szCs w:val="20"/>
              </w:rPr>
            </w:pPr>
            <w:r w:rsidRPr="00373342">
              <w:rPr>
                <w:rFonts w:ascii="Times New Roman" w:hAnsi="Times New Roman" w:cs="Times New Roman"/>
                <w:sz w:val="20"/>
                <w:szCs w:val="20"/>
              </w:rPr>
              <w:t>1. Një Entitet përbërës rezident në një Shtet Anëtar, i cili nuk është Entiteti mëmë përfundimtar i një Grupi shoqërie shumëkombëshe, dorëzon një raport për çdo vend në lidhje me Vitin fiskal raportues të një Grupi shoqërie shumëkombëshe, pjesë e të cilit është si Entitet përbërës, nëse plotësohen kriteret e mëposhtme:</w:t>
            </w:r>
            <w:r w:rsidRPr="00373342">
              <w:rPr>
                <w:rFonts w:ascii="Times New Roman" w:hAnsi="Times New Roman" w:cs="Times New Roman"/>
                <w:sz w:val="20"/>
                <w:szCs w:val="20"/>
              </w:rPr>
              <w:br/>
            </w:r>
            <w:r w:rsidRPr="00373342">
              <w:rPr>
                <w:rFonts w:ascii="Times New Roman" w:hAnsi="Times New Roman" w:cs="Times New Roman"/>
                <w:sz w:val="20"/>
                <w:szCs w:val="20"/>
              </w:rPr>
              <w:br/>
              <w:t>a) entiteti është rezident për qëllime tatimore në një Shtet Anëtar;</w:t>
            </w:r>
            <w:r w:rsidRPr="00373342">
              <w:rPr>
                <w:rFonts w:ascii="Times New Roman" w:hAnsi="Times New Roman" w:cs="Times New Roman"/>
                <w:sz w:val="20"/>
                <w:szCs w:val="20"/>
              </w:rPr>
              <w:br/>
            </w:r>
            <w:r w:rsidRPr="00373342">
              <w:rPr>
                <w:rFonts w:ascii="Times New Roman" w:hAnsi="Times New Roman" w:cs="Times New Roman"/>
                <w:sz w:val="20"/>
                <w:szCs w:val="20"/>
              </w:rPr>
              <w:br/>
              <w:t>b) zbatohet një nga kushtet e mëposhtme:</w:t>
            </w:r>
            <w:r w:rsidRPr="00373342">
              <w:rPr>
                <w:rFonts w:ascii="Times New Roman" w:hAnsi="Times New Roman" w:cs="Times New Roman"/>
                <w:sz w:val="20"/>
                <w:szCs w:val="20"/>
              </w:rPr>
              <w:br/>
            </w:r>
            <w:r w:rsidRPr="00373342">
              <w:rPr>
                <w:rFonts w:ascii="Times New Roman" w:hAnsi="Times New Roman" w:cs="Times New Roman"/>
                <w:sz w:val="20"/>
                <w:szCs w:val="20"/>
              </w:rPr>
              <w:lastRenderedPageBreak/>
              <w:br/>
              <w:t>i) Entiteti mëmë përfundimtar i Grupit të shoqërive shumëkombëshe nuk është i detyruar të dorëzojë një raport për çdo vend në juridiksionin e tij të rezidencës tatimore;</w:t>
            </w:r>
            <w:r w:rsidRPr="00373342">
              <w:rPr>
                <w:rFonts w:ascii="Times New Roman" w:hAnsi="Times New Roman" w:cs="Times New Roman"/>
                <w:sz w:val="20"/>
                <w:szCs w:val="20"/>
              </w:rPr>
              <w:br/>
            </w:r>
            <w:r w:rsidRPr="00373342">
              <w:rPr>
                <w:rFonts w:ascii="Times New Roman" w:hAnsi="Times New Roman" w:cs="Times New Roman"/>
                <w:sz w:val="20"/>
                <w:szCs w:val="20"/>
              </w:rPr>
              <w:br/>
              <w:t>ii) juridiksioni në të cilin Entiteti mëmë përfundimtar është rezident për qëllime tatimore ka një Marrëveshje ndërkombëtare në fuqi, në të cilën Shteti Anëtar është palë, por nuk ka një Marrëveshje kualifikuese të autoriteteve kompetente në fuqi, në të cilën Shteti Anëtar është palë, brenda afatit të përcaktuar në nenin 8aa(1) për dorëzimin e raportit për çdo vend për Vitin fiskal raportues;</w:t>
            </w:r>
            <w:r w:rsidRPr="00373342">
              <w:rPr>
                <w:rFonts w:ascii="Times New Roman" w:hAnsi="Times New Roman" w:cs="Times New Roman"/>
                <w:sz w:val="20"/>
                <w:szCs w:val="20"/>
              </w:rPr>
              <w:br/>
            </w:r>
            <w:r w:rsidRPr="00373342">
              <w:rPr>
                <w:rFonts w:ascii="Times New Roman" w:hAnsi="Times New Roman" w:cs="Times New Roman"/>
                <w:sz w:val="20"/>
                <w:szCs w:val="20"/>
              </w:rPr>
              <w:br/>
              <w:t>iii) ka pasur një Dështim sistemik të juridiksionit të rezidencës tatimore të Entitetit mëmë përfundimtar, i cili i është njoftuar nga Shteti Anëtar Entitetit përbërës rezident për qëllime tatimore në Shtetin Anëtar.</w:t>
            </w:r>
            <w:r w:rsidRPr="00373342">
              <w:rPr>
                <w:rFonts w:ascii="Times New Roman" w:hAnsi="Times New Roman" w:cs="Times New Roman"/>
                <w:sz w:val="20"/>
                <w:szCs w:val="20"/>
              </w:rPr>
              <w:br/>
            </w:r>
            <w:r w:rsidRPr="00373342">
              <w:rPr>
                <w:rFonts w:ascii="Times New Roman" w:hAnsi="Times New Roman" w:cs="Times New Roman"/>
                <w:sz w:val="20"/>
                <w:szCs w:val="20"/>
              </w:rPr>
              <w:br/>
              <w:t xml:space="preserve">Pa cenuar detyrimin e Entitetit mëmë përfundimtar të përmendur në nenin 8aa(1), ose të Entitetit mëmë zëvendësues të tij, për të dorëzuar raportin e parë për çdo vend për Vitin fiskal të Grupit të shoqërive shumëkombëshe që fillon më ose pas datës 1 janar 2016, Shtetet Anëtare mund të vendosin që detyrimi për Entitetet përbërëse i përcaktuar në pikën 1 të këtij Seksioni të </w:t>
            </w:r>
            <w:r w:rsidRPr="00373342">
              <w:rPr>
                <w:rFonts w:ascii="Times New Roman" w:hAnsi="Times New Roman" w:cs="Times New Roman"/>
                <w:sz w:val="20"/>
                <w:szCs w:val="20"/>
              </w:rPr>
              <w:lastRenderedPageBreak/>
              <w:t>zbatohet për raportet për çdo vend në lidhje me Vitet fiskale raportuese që fillojnë më ose pas datës 1 janar 2017.</w:t>
            </w:r>
            <w:r w:rsidRPr="00373342">
              <w:rPr>
                <w:rFonts w:ascii="Times New Roman" w:hAnsi="Times New Roman" w:cs="Times New Roman"/>
                <w:sz w:val="20"/>
                <w:szCs w:val="20"/>
              </w:rPr>
              <w:br/>
            </w:r>
            <w:r w:rsidRPr="00373342">
              <w:rPr>
                <w:rFonts w:ascii="Times New Roman" w:hAnsi="Times New Roman" w:cs="Times New Roman"/>
                <w:sz w:val="20"/>
                <w:szCs w:val="20"/>
              </w:rPr>
              <w:br/>
              <w:t>Një Entitet përbërës rezident në një Shtet Anëtar, siç përcaktohet në paragrafin e parë të kësaj pike, i kërkon Entitetit të tij mëmë përfundimtar t’i sigurojë të gjithë informacionin e kërkuar për t’i mundësuar përmbushjen e detyrimeve të tij për të dorëzuar një raport për çdo vend, në përputhje me nenin 8aa(3). Nëse, pavarësisht kësaj, Entiteti përbërës nuk ka marrë ose siguruar të gjithë informacionin e kërkuar për raportimin e Grupit të shoqërive shumëkombëshe, ky Entitet përbërës dorëzon një raport për çdo vend që përmban të gjithë informacionin në zotërim të tij, të marrë ose të siguruar, dhe njofton Shtetin Anëtar të rezidencës së tij se Entiteti mëmë përfundimtar ka refuzuar të vërë në dispozicion informacionin e nevojshëm. Kjo nuk cenon të drejtën e Shtetit Anëtar përkatës për të zbatuar dënimet e parashikuara në legjislacionin e tij kombëtar dhe ky Shtet Anëtar informon të gjitha Shtetet Anëtare për këtë refuzim.</w:t>
            </w:r>
            <w:r w:rsidRPr="00373342">
              <w:rPr>
                <w:rFonts w:ascii="Times New Roman" w:hAnsi="Times New Roman" w:cs="Times New Roman"/>
                <w:sz w:val="20"/>
                <w:szCs w:val="20"/>
              </w:rPr>
              <w:br/>
            </w:r>
            <w:r w:rsidRPr="00373342">
              <w:rPr>
                <w:rFonts w:ascii="Times New Roman" w:hAnsi="Times New Roman" w:cs="Times New Roman"/>
                <w:sz w:val="20"/>
                <w:szCs w:val="20"/>
              </w:rPr>
              <w:br/>
              <w:t xml:space="preserve">Kur ka më shumë se një Entitet përbërës të të njëjtit Grup shoqërie shumëkombëshe që janë rezidentë për qëllime tatimore në Bashkim dhe zbatohet një ose më shumë nga kushtet e përcaktuara në shkronjën (b) të paragrafit të </w:t>
            </w:r>
            <w:r w:rsidRPr="00373342">
              <w:rPr>
                <w:rFonts w:ascii="Times New Roman" w:hAnsi="Times New Roman" w:cs="Times New Roman"/>
                <w:sz w:val="20"/>
                <w:szCs w:val="20"/>
              </w:rPr>
              <w:lastRenderedPageBreak/>
              <w:t>parë, Grupi i shoqërive shumëkombëshe mund të caktojë një nga këto Entitete përbërëse për të dorëzuar raportin për çdo vend në përputhje me kërkesat e nenit 8aa(3), për çdo Vit fiskal raportues, brenda afatit të përcaktuar në nenin 8aa(1), dhe për të njoftuar Shtetin Anëtar se dorëzimi synon të përmbushë detyrimin e dorëzimit për të gjitha Entitetet përbërëse të këtij Grupi të shoqërive shumëkombëshe që janë rezidente për qëllime tatimore në Bashkim. Ky Shtet Anëtar, sipas nenit 8aa(2), ia komunikon raportin për çdo vend të marrë çdo Shteti tjetër Anëtar në të cilin, bazuar në informacionin në raportin për çdo vend, një ose më shumë Entitete përbërëse të Grupit të shoqërive shumëkombëshe të Entitetit raportues janë ose rezidentë për qëllime tatimore, ose i nënshtrohen tatimit në lidhje me biznesin e kryer nëpërmjet një selie të përhershme.</w:t>
            </w:r>
            <w:r w:rsidRPr="00373342">
              <w:rPr>
                <w:rFonts w:ascii="Times New Roman" w:hAnsi="Times New Roman" w:cs="Times New Roman"/>
                <w:sz w:val="20"/>
                <w:szCs w:val="20"/>
              </w:rPr>
              <w:br/>
            </w:r>
            <w:r w:rsidRPr="00373342">
              <w:rPr>
                <w:rFonts w:ascii="Times New Roman" w:hAnsi="Times New Roman" w:cs="Times New Roman"/>
                <w:sz w:val="20"/>
                <w:szCs w:val="20"/>
              </w:rPr>
              <w:br/>
              <w:t xml:space="preserve">Kur një Entitet përbërës nuk mund të marrë ose të sigurojë të gjithë informacionin e kërkuar për të dorëzuar një raport për çdo vend, në përputhje me nenin 8aa(3), ky Entitet përbërës nuk kualifikohet për t’u caktuar si Entitet raportues për Grupin e shoqërive shumëkombëshe në përputhje me paragrafin e katërt të kësaj pike. Ky rregull nuk cenon detyrimin e Entitetit përbërës për të njoftuar Shtetin Anëtar të rezidencës së tij se Entiteti </w:t>
            </w:r>
            <w:r w:rsidRPr="00373342">
              <w:rPr>
                <w:rFonts w:ascii="Times New Roman" w:hAnsi="Times New Roman" w:cs="Times New Roman"/>
                <w:sz w:val="20"/>
                <w:szCs w:val="20"/>
              </w:rPr>
              <w:lastRenderedPageBreak/>
              <w:t>mëmë përfundimtar ka refuzuar të vërë në dispozicion informacionin e nevojshëm.</w:t>
            </w:r>
          </w:p>
        </w:tc>
        <w:tc>
          <w:tcPr>
            <w:tcW w:w="1170" w:type="dxa"/>
            <w:shd w:val="clear" w:color="auto" w:fill="FFFFFF" w:themeFill="background1"/>
          </w:tcPr>
          <w:p w14:paraId="377EAA47" w14:textId="3198FF8F"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lastRenderedPageBreak/>
              <w:t>1</w:t>
            </w:r>
          </w:p>
        </w:tc>
        <w:tc>
          <w:tcPr>
            <w:tcW w:w="1260" w:type="dxa"/>
            <w:shd w:val="clear" w:color="auto" w:fill="FFFFFF" w:themeFill="background1"/>
          </w:tcPr>
          <w:p w14:paraId="11573ED0" w14:textId="5DF5966F"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63/2, pikat 2, 3, 4, 5</w:t>
            </w:r>
          </w:p>
        </w:tc>
        <w:tc>
          <w:tcPr>
            <w:tcW w:w="3870" w:type="dxa"/>
            <w:shd w:val="clear" w:color="auto" w:fill="FFFFFF" w:themeFill="background1"/>
          </w:tcPr>
          <w:p w14:paraId="398D6331" w14:textId="77777777" w:rsidR="004E7617" w:rsidRPr="00472C4C" w:rsidRDefault="004E7617" w:rsidP="004E7617">
            <w:pPr>
              <w:spacing w:line="276" w:lineRule="auto"/>
              <w:rPr>
                <w:rFonts w:ascii="Times New Roman" w:hAnsi="Times New Roman" w:cs="Times New Roman"/>
                <w:sz w:val="20"/>
                <w:szCs w:val="20"/>
              </w:rPr>
            </w:pPr>
            <w:r w:rsidRPr="00472C4C">
              <w:rPr>
                <w:rFonts w:ascii="Times New Roman" w:hAnsi="Times New Roman" w:cs="Times New Roman"/>
                <w:sz w:val="20"/>
                <w:szCs w:val="20"/>
              </w:rPr>
              <w:t>2. Një entitet përbërës rezident në Republikën e Shqipërisë, i cili nuk është entiteti mëmë përfundimtar i një grupi të shoqërive shumëkombëshe, dorëzon një raport për çdo vend me të gjithë informacionin në zotërim të tij, nëse plotësohet 1 (një) nga kushtet e mëposhtme:</w:t>
            </w:r>
            <w:r w:rsidRPr="00472C4C">
              <w:rPr>
                <w:rFonts w:ascii="Times New Roman" w:hAnsi="Times New Roman" w:cs="Times New Roman"/>
                <w:sz w:val="20"/>
                <w:szCs w:val="20"/>
              </w:rPr>
              <w:br/>
            </w:r>
            <w:r w:rsidRPr="00472C4C">
              <w:rPr>
                <w:rFonts w:ascii="Times New Roman" w:hAnsi="Times New Roman" w:cs="Times New Roman"/>
                <w:sz w:val="20"/>
                <w:szCs w:val="20"/>
              </w:rPr>
              <w:br/>
              <w:t>a) entiteti mëmë përfundimtar i grupit të shoqërive shumëkombëshe nuk është i detyruar të dorëzojë një raport për çdo vend në juridiksionin e tij të rezidencës tatimore;</w:t>
            </w:r>
            <w:r w:rsidRPr="00472C4C">
              <w:rPr>
                <w:rFonts w:ascii="Times New Roman" w:hAnsi="Times New Roman" w:cs="Times New Roman"/>
                <w:sz w:val="20"/>
                <w:szCs w:val="20"/>
              </w:rPr>
              <w:br/>
            </w:r>
            <w:r w:rsidRPr="00472C4C">
              <w:rPr>
                <w:rFonts w:ascii="Times New Roman" w:hAnsi="Times New Roman" w:cs="Times New Roman"/>
                <w:sz w:val="20"/>
                <w:szCs w:val="20"/>
              </w:rPr>
              <w:br/>
            </w:r>
            <w:r w:rsidRPr="00472C4C">
              <w:rPr>
                <w:rFonts w:ascii="Times New Roman" w:hAnsi="Times New Roman" w:cs="Times New Roman"/>
                <w:sz w:val="20"/>
                <w:szCs w:val="20"/>
              </w:rPr>
              <w:lastRenderedPageBreak/>
              <w:t>b) juridiksioni në të cilin entiteti mëmë përfundimtar është rezident ka një marrëveshje ndërkombëtare të vlefshme në të cilën Republika e Shqipërisë është palë, por nuk ka një marrëveshje kualifikuese të autoriteteve kompetente në fuqi brenda afatit të përcaktuar për dorëzimin e raportit për vitin fiskal raportues;</w:t>
            </w:r>
            <w:r w:rsidRPr="00472C4C">
              <w:rPr>
                <w:rFonts w:ascii="Times New Roman" w:hAnsi="Times New Roman" w:cs="Times New Roman"/>
                <w:sz w:val="20"/>
                <w:szCs w:val="20"/>
              </w:rPr>
              <w:br/>
            </w:r>
            <w:r w:rsidRPr="00472C4C">
              <w:rPr>
                <w:rFonts w:ascii="Times New Roman" w:hAnsi="Times New Roman" w:cs="Times New Roman"/>
                <w:sz w:val="20"/>
                <w:szCs w:val="20"/>
              </w:rPr>
              <w:br/>
              <w:t>c) ka pasur një dështim sistemik të juridiksionit të rezidencës tatimore të entitetit mëmë përfundimtar, i cili i është njoftuar entitetit përbërës nga administrata tatimore.</w:t>
            </w:r>
            <w:r w:rsidRPr="00472C4C">
              <w:rPr>
                <w:rFonts w:ascii="Times New Roman" w:hAnsi="Times New Roman" w:cs="Times New Roman"/>
                <w:sz w:val="20"/>
                <w:szCs w:val="20"/>
              </w:rPr>
              <w:br/>
            </w:r>
            <w:r w:rsidRPr="00472C4C">
              <w:rPr>
                <w:rFonts w:ascii="Times New Roman" w:hAnsi="Times New Roman" w:cs="Times New Roman"/>
                <w:sz w:val="20"/>
                <w:szCs w:val="20"/>
              </w:rPr>
              <w:br/>
              <w:t>3. Në rastet e përcaktuara në pikën 2, të këtij neni, entiteti përbërës i kërkon entitetit të tij mëmë përfundimtar t’i sigurojë të gjithë informacionin e kërkuar për t’i mundësuar përmbushjen e detyrimeve. Nëse, pavarësisht kësaj, entiteti përbërës nuk ka marrë të gjithë informacionin e kërkuar, ai dorëzon një raport për çdo vend me të gjithë informacionin në zotërim të tij dhe njofton administratën tatimore të Republikës së Shqipërisë se entiteti mëmë përfundimtar ka refuzuar të vërë në dispozicion informacionin e nevojshëm.</w:t>
            </w:r>
            <w:r w:rsidRPr="00472C4C">
              <w:rPr>
                <w:rFonts w:ascii="Times New Roman" w:hAnsi="Times New Roman" w:cs="Times New Roman"/>
                <w:sz w:val="20"/>
                <w:szCs w:val="20"/>
              </w:rPr>
              <w:br/>
            </w:r>
            <w:r w:rsidRPr="00472C4C">
              <w:rPr>
                <w:rFonts w:ascii="Times New Roman" w:hAnsi="Times New Roman" w:cs="Times New Roman"/>
                <w:sz w:val="20"/>
                <w:szCs w:val="20"/>
              </w:rPr>
              <w:br/>
              <w:t xml:space="preserve">4. Kur ka më shumë se 1 (një) entitet përbërës të të njëjtit grup të shoqërive shumëkombëshe që janë rezidentë për qëllime tatimore në Republikën e Shqipërisë </w:t>
            </w:r>
            <w:r w:rsidRPr="00472C4C">
              <w:rPr>
                <w:rFonts w:ascii="Times New Roman" w:hAnsi="Times New Roman" w:cs="Times New Roman"/>
                <w:sz w:val="20"/>
                <w:szCs w:val="20"/>
              </w:rPr>
              <w:lastRenderedPageBreak/>
              <w:t>dhe zbatohet 1 (një) ose më shumë nga kushtet e përcaktuara në pikën 2, të këtij neni, grupi i shoqërive shumëkombëshe mund të caktojë 1 (një) prej këtyre entiteteve përbërëse për të dorëzuar raportin për çdo vend në administratën tatimore të Republikës së Shqipërisë dhe të njoftojë administratën tatimore të Republikës së Shqipërisë se ky dorëzim synon të përmbushë detyrimin e dorëzimit për të gjitha entitetet përbërëse të këtij grupi të shoqërive shumëkombëshe që janë rezidente për qëllime tatimore në Bashkimin Evropian.</w:t>
            </w:r>
            <w:r w:rsidRPr="00472C4C">
              <w:rPr>
                <w:rFonts w:ascii="Times New Roman" w:hAnsi="Times New Roman" w:cs="Times New Roman"/>
                <w:sz w:val="20"/>
                <w:szCs w:val="20"/>
              </w:rPr>
              <w:br/>
            </w:r>
            <w:r w:rsidRPr="00472C4C">
              <w:rPr>
                <w:rFonts w:ascii="Times New Roman" w:hAnsi="Times New Roman" w:cs="Times New Roman"/>
                <w:sz w:val="20"/>
                <w:szCs w:val="20"/>
              </w:rPr>
              <w:br/>
              <w:t>5. Kur një entitet përbërës nuk mund të marrë apo të sigurojë të gjithë informacionin e kërkuar për të dorëzuar një raport për çdo vend, në përputhje me nenin 63/4, ky entitet përbërës nuk kualifikohet për t’u caktuar si Entitet Raportues për grupin e shoqërive shumëkombëshe, në përputhje me pikën 4, të këtij neni. Ky rregull nuk cenon detyrimin e entitetit përbërës për të njoftuar administratën tatimore të Republikës së Shqipërisë se entiteti mëmë përfundimtar ka refuzuar të vërë në dispozicion informacionin e nevojshëm.</w:t>
            </w:r>
          </w:p>
          <w:p w14:paraId="0023219A" w14:textId="77777777" w:rsidR="004E7617" w:rsidRPr="00472C4C" w:rsidRDefault="004E7617" w:rsidP="004E7617">
            <w:pPr>
              <w:spacing w:line="276" w:lineRule="auto"/>
              <w:rPr>
                <w:rFonts w:ascii="Times New Roman" w:hAnsi="Times New Roman" w:cs="Times New Roman"/>
                <w:sz w:val="20"/>
                <w:szCs w:val="20"/>
              </w:rPr>
            </w:pPr>
          </w:p>
          <w:p w14:paraId="5ECCB968" w14:textId="77777777" w:rsidR="004E7617" w:rsidRPr="00472C4C" w:rsidRDefault="004E7617" w:rsidP="004E7617">
            <w:pPr>
              <w:spacing w:line="276" w:lineRule="auto"/>
              <w:rPr>
                <w:rFonts w:ascii="Times New Roman" w:hAnsi="Times New Roman" w:cs="Times New Roman"/>
                <w:sz w:val="20"/>
                <w:szCs w:val="20"/>
              </w:rPr>
            </w:pPr>
          </w:p>
          <w:p w14:paraId="6EF1A7EB" w14:textId="77777777" w:rsidR="004E7617" w:rsidRPr="00472C4C" w:rsidRDefault="004E7617" w:rsidP="004E7617">
            <w:pPr>
              <w:spacing w:line="276" w:lineRule="auto"/>
              <w:rPr>
                <w:rFonts w:ascii="Times New Roman" w:hAnsi="Times New Roman" w:cs="Times New Roman"/>
                <w:sz w:val="20"/>
                <w:szCs w:val="20"/>
              </w:rPr>
            </w:pPr>
          </w:p>
          <w:p w14:paraId="47C3C221" w14:textId="77777777" w:rsidR="004E7617" w:rsidRPr="00472C4C" w:rsidRDefault="004E7617" w:rsidP="004E7617">
            <w:pPr>
              <w:spacing w:line="276" w:lineRule="auto"/>
              <w:rPr>
                <w:rFonts w:ascii="Times New Roman" w:hAnsi="Times New Roman" w:cs="Times New Roman"/>
                <w:sz w:val="20"/>
                <w:szCs w:val="20"/>
              </w:rPr>
            </w:pPr>
          </w:p>
          <w:p w14:paraId="3BFB4B39" w14:textId="77777777" w:rsidR="004E7617" w:rsidRPr="00472C4C" w:rsidRDefault="004E7617" w:rsidP="004E7617">
            <w:pPr>
              <w:spacing w:line="276" w:lineRule="auto"/>
              <w:rPr>
                <w:rFonts w:ascii="Times New Roman" w:hAnsi="Times New Roman" w:cs="Times New Roman"/>
                <w:sz w:val="20"/>
                <w:szCs w:val="20"/>
              </w:rPr>
            </w:pPr>
          </w:p>
          <w:p w14:paraId="32819E61" w14:textId="77777777" w:rsidR="004E7617" w:rsidRPr="00472C4C" w:rsidRDefault="004E7617" w:rsidP="004E7617">
            <w:pPr>
              <w:spacing w:line="276" w:lineRule="auto"/>
              <w:rPr>
                <w:rFonts w:ascii="Times New Roman" w:hAnsi="Times New Roman" w:cs="Times New Roman"/>
                <w:sz w:val="20"/>
                <w:szCs w:val="20"/>
              </w:rPr>
            </w:pPr>
          </w:p>
          <w:p w14:paraId="31A5AC75" w14:textId="77777777" w:rsidR="004E7617" w:rsidRPr="00472C4C" w:rsidRDefault="004E7617" w:rsidP="004E7617">
            <w:pPr>
              <w:spacing w:line="276" w:lineRule="auto"/>
              <w:rPr>
                <w:rFonts w:ascii="Times New Roman" w:hAnsi="Times New Roman" w:cs="Times New Roman"/>
                <w:sz w:val="20"/>
                <w:szCs w:val="20"/>
              </w:rPr>
            </w:pPr>
          </w:p>
          <w:p w14:paraId="3BD5C757" w14:textId="77777777" w:rsidR="004E7617" w:rsidRPr="00472C4C" w:rsidRDefault="004E7617" w:rsidP="004E7617">
            <w:pPr>
              <w:spacing w:line="276" w:lineRule="auto"/>
              <w:rPr>
                <w:rFonts w:ascii="Times New Roman" w:hAnsi="Times New Roman" w:cs="Times New Roman"/>
                <w:sz w:val="20"/>
                <w:szCs w:val="20"/>
              </w:rPr>
            </w:pPr>
          </w:p>
          <w:p w14:paraId="134D2F59" w14:textId="77777777" w:rsidR="004E7617" w:rsidRPr="00472C4C" w:rsidRDefault="004E7617" w:rsidP="004E7617">
            <w:pPr>
              <w:spacing w:line="276" w:lineRule="auto"/>
              <w:rPr>
                <w:rFonts w:ascii="Times New Roman" w:hAnsi="Times New Roman" w:cs="Times New Roman"/>
                <w:sz w:val="20"/>
                <w:szCs w:val="20"/>
              </w:rPr>
            </w:pPr>
          </w:p>
          <w:p w14:paraId="131E1B89" w14:textId="77777777" w:rsidR="004E7617" w:rsidRPr="00472C4C" w:rsidRDefault="004E7617" w:rsidP="004E7617">
            <w:pPr>
              <w:spacing w:line="276" w:lineRule="auto"/>
              <w:rPr>
                <w:rFonts w:ascii="Times New Roman" w:hAnsi="Times New Roman" w:cs="Times New Roman"/>
                <w:sz w:val="20"/>
                <w:szCs w:val="20"/>
              </w:rPr>
            </w:pPr>
          </w:p>
          <w:p w14:paraId="05132513" w14:textId="77777777" w:rsidR="004E7617" w:rsidRPr="00472C4C" w:rsidRDefault="004E7617" w:rsidP="004E7617">
            <w:pPr>
              <w:spacing w:line="276" w:lineRule="auto"/>
              <w:rPr>
                <w:rFonts w:ascii="Times New Roman" w:hAnsi="Times New Roman" w:cs="Times New Roman"/>
                <w:sz w:val="20"/>
                <w:szCs w:val="20"/>
              </w:rPr>
            </w:pPr>
          </w:p>
          <w:p w14:paraId="5B115CF2" w14:textId="4A81F642" w:rsidR="004E7617" w:rsidRPr="00472C4C" w:rsidRDefault="004E7617" w:rsidP="004E7617">
            <w:pPr>
              <w:spacing w:line="276" w:lineRule="auto"/>
              <w:rPr>
                <w:rFonts w:ascii="Times New Roman" w:hAnsi="Times New Roman" w:cs="Times New Roman"/>
                <w:sz w:val="20"/>
                <w:szCs w:val="20"/>
              </w:rPr>
            </w:pPr>
          </w:p>
        </w:tc>
        <w:tc>
          <w:tcPr>
            <w:tcW w:w="1620" w:type="dxa"/>
            <w:shd w:val="clear" w:color="auto" w:fill="FFFFFF" w:themeFill="background1"/>
          </w:tcPr>
          <w:p w14:paraId="44279046" w14:textId="25C9BB96" w:rsidR="004E7617" w:rsidRPr="00373342" w:rsidRDefault="004E7617" w:rsidP="004E7617">
            <w:pPr>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E plotë</w:t>
            </w:r>
          </w:p>
        </w:tc>
        <w:tc>
          <w:tcPr>
            <w:tcW w:w="2790" w:type="dxa"/>
            <w:shd w:val="clear" w:color="auto" w:fill="FFFFFF" w:themeFill="background1"/>
          </w:tcPr>
          <w:p w14:paraId="3CD69789" w14:textId="6215414D" w:rsidR="004E7617" w:rsidRPr="00373342" w:rsidRDefault="004E7617" w:rsidP="004E7617">
            <w:pPr>
              <w:spacing w:line="276" w:lineRule="auto"/>
              <w:rPr>
                <w:rFonts w:ascii="Times New Roman" w:hAnsi="Times New Roman" w:cs="Times New Roman"/>
                <w:sz w:val="20"/>
                <w:szCs w:val="20"/>
              </w:rPr>
            </w:pPr>
          </w:p>
        </w:tc>
      </w:tr>
      <w:tr w:rsidR="004E7617" w:rsidRPr="00373342" w14:paraId="6CADFD45" w14:textId="77777777" w:rsidTr="00373342">
        <w:tc>
          <w:tcPr>
            <w:tcW w:w="1440" w:type="dxa"/>
            <w:shd w:val="clear" w:color="auto" w:fill="FFFFFF" w:themeFill="background1"/>
          </w:tcPr>
          <w:p w14:paraId="4393F603" w14:textId="1D6E70D6" w:rsidR="004E7617" w:rsidRPr="00373342" w:rsidRDefault="004E7617" w:rsidP="004E7617">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lastRenderedPageBreak/>
              <w:t>Shtojca III, Seksioni II, Pika 2</w:t>
            </w:r>
          </w:p>
        </w:tc>
        <w:tc>
          <w:tcPr>
            <w:tcW w:w="3960" w:type="dxa"/>
            <w:shd w:val="clear" w:color="auto" w:fill="FFFFFF" w:themeFill="background1"/>
          </w:tcPr>
          <w:p w14:paraId="51952F2A" w14:textId="77777777" w:rsidR="004E7617" w:rsidRPr="00373342" w:rsidRDefault="004E7617" w:rsidP="004E7617">
            <w:pPr>
              <w:spacing w:line="276" w:lineRule="auto"/>
              <w:rPr>
                <w:rFonts w:ascii="Times New Roman" w:hAnsi="Times New Roman" w:cs="Times New Roman"/>
                <w:sz w:val="20"/>
                <w:szCs w:val="20"/>
              </w:rPr>
            </w:pPr>
            <w:r w:rsidRPr="00373342">
              <w:rPr>
                <w:rFonts w:ascii="Times New Roman" w:hAnsi="Times New Roman" w:cs="Times New Roman"/>
                <w:sz w:val="20"/>
                <w:szCs w:val="20"/>
              </w:rPr>
              <w:t>2. Si përjashtim nga pika 1, kur zbatohet një ose më shumë nga kushtet e përcaktuara në shkronjën (b) të paragrafit të parë të pikës 1, një entitet i përshkruar në pikën 1 nuk është i detyruar të dorëzojë një raport për çdo vend në lidhje me çdo Vit fiskal raportues, nëse Grupi i shoqërive shumëkombëshe, pjesë e të cilit është si Entitet përbërës, ka vënë në dispozicion një raport për çdo vend në përputhje me nenin 8aa(3) për atë Vit fiskal, nëpërmjet një Entiteti mëmë zëvendësues që e dorëzon raportin për çdo vend pranë autoritetit tatimor të juridiksionit të tij të rezidencës tatimore në ose përpara datës së përcaktuar në nenin 8aa(1) dhe që, në rast se Entiteti mëmë zëvendësues është rezident për qëllime tatimore në një juridiksion jashtë Bashkimit, plotëson kushtet e mëposhtme:</w:t>
            </w:r>
            <w:r w:rsidRPr="00373342">
              <w:rPr>
                <w:rFonts w:ascii="Times New Roman" w:hAnsi="Times New Roman" w:cs="Times New Roman"/>
                <w:sz w:val="20"/>
                <w:szCs w:val="20"/>
              </w:rPr>
              <w:br/>
            </w:r>
            <w:r w:rsidRPr="00373342">
              <w:rPr>
                <w:rFonts w:ascii="Times New Roman" w:hAnsi="Times New Roman" w:cs="Times New Roman"/>
                <w:sz w:val="20"/>
                <w:szCs w:val="20"/>
              </w:rPr>
              <w:br/>
              <w:t>a) juridiksioni i rezidencës tatimore të Entitetit mëmë zëvendësues kërkon dorëzimin e raporteve për çdo vend në përputhje me kërkesat e nenit 8aa(3);</w:t>
            </w:r>
            <w:r w:rsidRPr="00373342">
              <w:rPr>
                <w:rFonts w:ascii="Times New Roman" w:hAnsi="Times New Roman" w:cs="Times New Roman"/>
                <w:sz w:val="20"/>
                <w:szCs w:val="20"/>
              </w:rPr>
              <w:br/>
            </w:r>
            <w:r w:rsidRPr="00373342">
              <w:rPr>
                <w:rFonts w:ascii="Times New Roman" w:hAnsi="Times New Roman" w:cs="Times New Roman"/>
                <w:sz w:val="20"/>
                <w:szCs w:val="20"/>
              </w:rPr>
              <w:br/>
              <w:t xml:space="preserve">b) juridiksioni i rezidencës tatimore të Entitetit mëmë zëvendësues ka një Marrëveshje kualifikuese të autoriteteve kompetente në fuqi, në të cilën Shteti Anëtar është palë, brenda afatit të përcaktuar në nenin 8aa(1) për </w:t>
            </w:r>
            <w:r w:rsidRPr="00373342">
              <w:rPr>
                <w:rFonts w:ascii="Times New Roman" w:hAnsi="Times New Roman" w:cs="Times New Roman"/>
                <w:sz w:val="20"/>
                <w:szCs w:val="20"/>
              </w:rPr>
              <w:lastRenderedPageBreak/>
              <w:t>dorëzimin e raportit për çdo vend për Vitin fiskal raportues;</w:t>
            </w:r>
            <w:r w:rsidRPr="00373342">
              <w:rPr>
                <w:rFonts w:ascii="Times New Roman" w:hAnsi="Times New Roman" w:cs="Times New Roman"/>
                <w:sz w:val="20"/>
                <w:szCs w:val="20"/>
              </w:rPr>
              <w:br/>
            </w:r>
            <w:r w:rsidRPr="00373342">
              <w:rPr>
                <w:rFonts w:ascii="Times New Roman" w:hAnsi="Times New Roman" w:cs="Times New Roman"/>
                <w:sz w:val="20"/>
                <w:szCs w:val="20"/>
              </w:rPr>
              <w:br/>
              <w:t>c) juridiksioni i rezidencës tatimore të Entitetit mëmë zëvendësues nuk e ka njoftuar Shtetin Anëtar për një Dështim sistemik;</w:t>
            </w:r>
            <w:r w:rsidRPr="00373342">
              <w:rPr>
                <w:rFonts w:ascii="Times New Roman" w:hAnsi="Times New Roman" w:cs="Times New Roman"/>
                <w:sz w:val="20"/>
                <w:szCs w:val="20"/>
              </w:rPr>
              <w:br/>
            </w:r>
            <w:r w:rsidRPr="00373342">
              <w:rPr>
                <w:rFonts w:ascii="Times New Roman" w:hAnsi="Times New Roman" w:cs="Times New Roman"/>
                <w:sz w:val="20"/>
                <w:szCs w:val="20"/>
              </w:rPr>
              <w:br/>
              <w:t>d) juridiksioni i rezidencës tatimore të Entitetit mëmë zëvendësues është njoftuar, jo më vonë se dita e fundit e Vitit fiskal raportues të këtij Grupi të shoqërive shumëkombëshe, nga Entiteti përbërës rezident për qëllime tatimore në juridiksionin e tij, se ai është Entiteti mëmë zëvendësues;</w:t>
            </w:r>
            <w:r w:rsidRPr="00373342">
              <w:rPr>
                <w:rFonts w:ascii="Times New Roman" w:hAnsi="Times New Roman" w:cs="Times New Roman"/>
                <w:sz w:val="20"/>
                <w:szCs w:val="20"/>
              </w:rPr>
              <w:br/>
            </w:r>
            <w:r w:rsidRPr="00373342">
              <w:rPr>
                <w:rFonts w:ascii="Times New Roman" w:hAnsi="Times New Roman" w:cs="Times New Roman"/>
                <w:sz w:val="20"/>
                <w:szCs w:val="20"/>
              </w:rPr>
              <w:br/>
              <w:t>e) i është dhënë njoftim Shtetit Anëtar në përputhje me pikën 4.</w:t>
            </w:r>
          </w:p>
          <w:p w14:paraId="633F4DF9" w14:textId="77777777" w:rsidR="004E7617" w:rsidRPr="00373342" w:rsidRDefault="004E7617" w:rsidP="004E7617">
            <w:pPr>
              <w:spacing w:line="276" w:lineRule="auto"/>
              <w:rPr>
                <w:rFonts w:ascii="Times New Roman" w:hAnsi="Times New Roman" w:cs="Times New Roman"/>
                <w:sz w:val="20"/>
                <w:szCs w:val="20"/>
              </w:rPr>
            </w:pPr>
          </w:p>
          <w:p w14:paraId="0E9F42FE" w14:textId="77777777" w:rsidR="004E7617" w:rsidRPr="00373342" w:rsidRDefault="004E7617" w:rsidP="004E7617">
            <w:pPr>
              <w:spacing w:line="276" w:lineRule="auto"/>
              <w:rPr>
                <w:rFonts w:ascii="Times New Roman" w:hAnsi="Times New Roman" w:cs="Times New Roman"/>
                <w:sz w:val="20"/>
                <w:szCs w:val="20"/>
              </w:rPr>
            </w:pPr>
          </w:p>
          <w:p w14:paraId="0ED9D594" w14:textId="77777777" w:rsidR="004E7617" w:rsidRPr="00373342" w:rsidRDefault="004E7617" w:rsidP="004E7617">
            <w:pPr>
              <w:spacing w:line="276" w:lineRule="auto"/>
              <w:rPr>
                <w:rFonts w:ascii="Times New Roman" w:hAnsi="Times New Roman" w:cs="Times New Roman"/>
                <w:sz w:val="20"/>
                <w:szCs w:val="20"/>
              </w:rPr>
            </w:pPr>
          </w:p>
          <w:p w14:paraId="55E3574C" w14:textId="77777777" w:rsidR="004E7617" w:rsidRPr="00373342" w:rsidRDefault="004E7617" w:rsidP="004E7617">
            <w:pPr>
              <w:spacing w:line="276" w:lineRule="auto"/>
              <w:rPr>
                <w:rFonts w:ascii="Times New Roman" w:hAnsi="Times New Roman" w:cs="Times New Roman"/>
                <w:sz w:val="20"/>
                <w:szCs w:val="20"/>
              </w:rPr>
            </w:pPr>
          </w:p>
          <w:p w14:paraId="0D98D1DC" w14:textId="77777777" w:rsidR="004E7617" w:rsidRPr="00373342" w:rsidRDefault="004E7617" w:rsidP="004E7617">
            <w:pPr>
              <w:spacing w:line="276" w:lineRule="auto"/>
              <w:rPr>
                <w:rFonts w:ascii="Times New Roman" w:hAnsi="Times New Roman" w:cs="Times New Roman"/>
                <w:sz w:val="20"/>
                <w:szCs w:val="20"/>
              </w:rPr>
            </w:pPr>
          </w:p>
          <w:p w14:paraId="3AB790D5" w14:textId="77777777" w:rsidR="004E7617" w:rsidRPr="00373342" w:rsidRDefault="004E7617" w:rsidP="004E7617">
            <w:pPr>
              <w:spacing w:line="276" w:lineRule="auto"/>
              <w:rPr>
                <w:rFonts w:ascii="Times New Roman" w:hAnsi="Times New Roman" w:cs="Times New Roman"/>
                <w:sz w:val="20"/>
                <w:szCs w:val="20"/>
              </w:rPr>
            </w:pPr>
          </w:p>
          <w:p w14:paraId="2F3BFFCA" w14:textId="77777777" w:rsidR="004E7617" w:rsidRPr="00373342" w:rsidRDefault="004E7617" w:rsidP="004E7617">
            <w:pPr>
              <w:spacing w:line="276" w:lineRule="auto"/>
              <w:rPr>
                <w:rFonts w:ascii="Times New Roman" w:hAnsi="Times New Roman" w:cs="Times New Roman"/>
                <w:sz w:val="20"/>
                <w:szCs w:val="20"/>
              </w:rPr>
            </w:pPr>
          </w:p>
          <w:p w14:paraId="2BD0BC01" w14:textId="77777777" w:rsidR="004E7617" w:rsidRPr="00373342" w:rsidRDefault="004E7617" w:rsidP="004E7617">
            <w:pPr>
              <w:spacing w:line="276" w:lineRule="auto"/>
              <w:rPr>
                <w:rFonts w:ascii="Times New Roman" w:hAnsi="Times New Roman" w:cs="Times New Roman"/>
                <w:sz w:val="20"/>
                <w:szCs w:val="20"/>
              </w:rPr>
            </w:pPr>
          </w:p>
          <w:p w14:paraId="01C9411E" w14:textId="77777777" w:rsidR="004E7617" w:rsidRPr="00373342" w:rsidRDefault="004E7617" w:rsidP="004E7617">
            <w:pPr>
              <w:spacing w:line="276" w:lineRule="auto"/>
              <w:rPr>
                <w:rFonts w:ascii="Times New Roman" w:hAnsi="Times New Roman" w:cs="Times New Roman"/>
                <w:sz w:val="20"/>
                <w:szCs w:val="20"/>
              </w:rPr>
            </w:pPr>
          </w:p>
          <w:p w14:paraId="20D3CBB4" w14:textId="77777777" w:rsidR="004E7617" w:rsidRPr="00373342" w:rsidRDefault="004E7617" w:rsidP="004E7617">
            <w:pPr>
              <w:spacing w:line="276" w:lineRule="auto"/>
              <w:rPr>
                <w:rFonts w:ascii="Times New Roman" w:hAnsi="Times New Roman" w:cs="Times New Roman"/>
                <w:sz w:val="20"/>
                <w:szCs w:val="20"/>
              </w:rPr>
            </w:pPr>
          </w:p>
          <w:p w14:paraId="783A8DE2" w14:textId="77777777" w:rsidR="004E7617" w:rsidRPr="00373342" w:rsidRDefault="004E7617" w:rsidP="004E7617">
            <w:pPr>
              <w:spacing w:line="276" w:lineRule="auto"/>
              <w:rPr>
                <w:rFonts w:ascii="Times New Roman" w:hAnsi="Times New Roman" w:cs="Times New Roman"/>
                <w:sz w:val="20"/>
                <w:szCs w:val="20"/>
              </w:rPr>
            </w:pPr>
          </w:p>
          <w:p w14:paraId="7962119B" w14:textId="77777777" w:rsidR="004E7617" w:rsidRPr="00373342" w:rsidRDefault="004E7617" w:rsidP="004E7617">
            <w:pPr>
              <w:spacing w:line="276" w:lineRule="auto"/>
              <w:rPr>
                <w:rFonts w:ascii="Times New Roman" w:hAnsi="Times New Roman" w:cs="Times New Roman"/>
                <w:sz w:val="20"/>
                <w:szCs w:val="20"/>
              </w:rPr>
            </w:pPr>
          </w:p>
          <w:p w14:paraId="424A66E9" w14:textId="77777777" w:rsidR="004E7617" w:rsidRPr="00373342" w:rsidRDefault="004E7617" w:rsidP="004E7617">
            <w:pPr>
              <w:spacing w:line="276" w:lineRule="auto"/>
              <w:rPr>
                <w:rFonts w:ascii="Times New Roman" w:hAnsi="Times New Roman" w:cs="Times New Roman"/>
                <w:sz w:val="20"/>
                <w:szCs w:val="20"/>
              </w:rPr>
            </w:pPr>
          </w:p>
          <w:p w14:paraId="3B5ADF5F" w14:textId="77777777" w:rsidR="004E7617" w:rsidRPr="00373342" w:rsidRDefault="004E7617" w:rsidP="004E7617">
            <w:pPr>
              <w:spacing w:line="276" w:lineRule="auto"/>
              <w:rPr>
                <w:rFonts w:ascii="Times New Roman" w:hAnsi="Times New Roman" w:cs="Times New Roman"/>
                <w:sz w:val="20"/>
                <w:szCs w:val="20"/>
              </w:rPr>
            </w:pPr>
          </w:p>
          <w:p w14:paraId="1E519D5F" w14:textId="28381A7A" w:rsidR="004E7617" w:rsidRPr="00373342" w:rsidRDefault="004E7617" w:rsidP="004E7617">
            <w:pPr>
              <w:spacing w:line="276" w:lineRule="auto"/>
              <w:rPr>
                <w:rFonts w:ascii="Times New Roman" w:hAnsi="Times New Roman" w:cs="Times New Roman"/>
                <w:sz w:val="20"/>
                <w:szCs w:val="20"/>
              </w:rPr>
            </w:pPr>
          </w:p>
        </w:tc>
        <w:tc>
          <w:tcPr>
            <w:tcW w:w="1170" w:type="dxa"/>
            <w:shd w:val="clear" w:color="auto" w:fill="FFFFFF" w:themeFill="background1"/>
          </w:tcPr>
          <w:p w14:paraId="3C0EF58B" w14:textId="06525B4C"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lastRenderedPageBreak/>
              <w:t>1</w:t>
            </w:r>
          </w:p>
        </w:tc>
        <w:tc>
          <w:tcPr>
            <w:tcW w:w="1260" w:type="dxa"/>
            <w:shd w:val="clear" w:color="auto" w:fill="FFFFFF" w:themeFill="background1"/>
          </w:tcPr>
          <w:p w14:paraId="24EE9988" w14:textId="0D0B51EB"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63/2, pika 6</w:t>
            </w:r>
          </w:p>
        </w:tc>
        <w:tc>
          <w:tcPr>
            <w:tcW w:w="3870" w:type="dxa"/>
            <w:shd w:val="clear" w:color="auto" w:fill="FFFFFF" w:themeFill="background1"/>
          </w:tcPr>
          <w:p w14:paraId="0B763903" w14:textId="77777777" w:rsidR="004E7617" w:rsidRPr="00472C4C" w:rsidRDefault="004E7617" w:rsidP="004E7617">
            <w:pPr>
              <w:spacing w:line="276" w:lineRule="auto"/>
              <w:rPr>
                <w:rFonts w:ascii="Times New Roman" w:hAnsi="Times New Roman" w:cs="Times New Roman"/>
                <w:sz w:val="20"/>
                <w:szCs w:val="20"/>
              </w:rPr>
            </w:pPr>
            <w:r w:rsidRPr="00472C4C">
              <w:rPr>
                <w:rFonts w:ascii="Times New Roman" w:hAnsi="Times New Roman" w:cs="Times New Roman"/>
                <w:sz w:val="20"/>
                <w:szCs w:val="20"/>
              </w:rPr>
              <w:t>6. Si përjashtim nga pika 2, e këtij neni, një entitet përbërës nuk është i detyruar të dorëzojë raportin për çdo vend nëse grupi i shoqërive shumëkombëshe ka vënë në dispozicion një raport të tillë përmes një entiteti mëmë zëvendësues, i cili e dorëzon raportin në autoritetin tatimor të juridiksionit të tij të rezidencës tatimore jo më vonë se afati i përcaktuar në nenin 63/5, të këtij ligji, dhe nëse plotësohen të gjitha kushtet e mëposhtme:</w:t>
            </w:r>
            <w:r w:rsidRPr="00472C4C">
              <w:rPr>
                <w:rFonts w:ascii="Times New Roman" w:hAnsi="Times New Roman" w:cs="Times New Roman"/>
                <w:sz w:val="20"/>
                <w:szCs w:val="20"/>
              </w:rPr>
              <w:br/>
            </w:r>
            <w:r w:rsidRPr="00472C4C">
              <w:rPr>
                <w:rFonts w:ascii="Times New Roman" w:hAnsi="Times New Roman" w:cs="Times New Roman"/>
                <w:sz w:val="20"/>
                <w:szCs w:val="20"/>
              </w:rPr>
              <w:br/>
              <w:t>a) juridiksioni i rezidencës tatimore të entitetit mëmë zëvendësues kërkon dorëzimin e raporteve për çdo vend në përputhje me kërkesat e nenit 63/4, të këtij ligji;</w:t>
            </w:r>
            <w:r w:rsidRPr="00472C4C">
              <w:rPr>
                <w:rFonts w:ascii="Times New Roman" w:hAnsi="Times New Roman" w:cs="Times New Roman"/>
                <w:sz w:val="20"/>
                <w:szCs w:val="20"/>
              </w:rPr>
              <w:br/>
            </w:r>
            <w:r w:rsidRPr="00472C4C">
              <w:rPr>
                <w:rFonts w:ascii="Times New Roman" w:hAnsi="Times New Roman" w:cs="Times New Roman"/>
                <w:sz w:val="20"/>
                <w:szCs w:val="20"/>
              </w:rPr>
              <w:br/>
              <w:t>b) juridiksioni i rezidencës tatimore të entitetit mëmë zëvendësues ka një marrëveshje kualifikuese të autoriteteve kompetente në fuqi me Republikën e Shqipërisë brenda afatit të specifikuar për dorëzimin e raportit për çdo vend për vitin fiskal raportues;</w:t>
            </w:r>
            <w:r w:rsidRPr="00472C4C">
              <w:rPr>
                <w:rFonts w:ascii="Times New Roman" w:hAnsi="Times New Roman" w:cs="Times New Roman"/>
                <w:sz w:val="20"/>
                <w:szCs w:val="20"/>
              </w:rPr>
              <w:br/>
            </w:r>
            <w:r w:rsidRPr="00472C4C">
              <w:rPr>
                <w:rFonts w:ascii="Times New Roman" w:hAnsi="Times New Roman" w:cs="Times New Roman"/>
                <w:sz w:val="20"/>
                <w:szCs w:val="20"/>
              </w:rPr>
              <w:br/>
              <w:t xml:space="preserve">c) juridiksioni i rezidencës tatimore të entitetit mëmë zëvendësues nuk ka njoftuar Republikën e Shqipërisë për një dështim </w:t>
            </w:r>
            <w:r w:rsidRPr="00472C4C">
              <w:rPr>
                <w:rFonts w:ascii="Times New Roman" w:hAnsi="Times New Roman" w:cs="Times New Roman"/>
                <w:sz w:val="20"/>
                <w:szCs w:val="20"/>
              </w:rPr>
              <w:lastRenderedPageBreak/>
              <w:t>sistemik;</w:t>
            </w:r>
            <w:r w:rsidRPr="00472C4C">
              <w:rPr>
                <w:rFonts w:ascii="Times New Roman" w:hAnsi="Times New Roman" w:cs="Times New Roman"/>
                <w:sz w:val="20"/>
                <w:szCs w:val="20"/>
              </w:rPr>
              <w:br/>
            </w:r>
            <w:r w:rsidRPr="00472C4C">
              <w:rPr>
                <w:rFonts w:ascii="Times New Roman" w:hAnsi="Times New Roman" w:cs="Times New Roman"/>
                <w:sz w:val="20"/>
                <w:szCs w:val="20"/>
              </w:rPr>
              <w:br/>
              <w:t>ç) juridiksioni i rezidencës tatimore të entitetit mëmë zëvendësues është njoftuar, jo më vonë se dita e fundit e vitit fiskal raportues të këtij grupi të shoqërive shumëkombëshe, nga entiteti përbërës rezident për qëllime tatimore në juridiksionin e tij, se ai është entiteti mëmë zëvendësues;</w:t>
            </w:r>
            <w:r w:rsidRPr="00472C4C">
              <w:rPr>
                <w:rFonts w:ascii="Times New Roman" w:hAnsi="Times New Roman" w:cs="Times New Roman"/>
                <w:sz w:val="20"/>
                <w:szCs w:val="20"/>
              </w:rPr>
              <w:br/>
            </w:r>
            <w:r w:rsidRPr="00472C4C">
              <w:rPr>
                <w:rFonts w:ascii="Times New Roman" w:hAnsi="Times New Roman" w:cs="Times New Roman"/>
                <w:sz w:val="20"/>
                <w:szCs w:val="20"/>
              </w:rPr>
              <w:br/>
              <w:t>d) i është dhënë njoftim administratës tatimore të Republikës së Shqipërisë në përputhje me nenin 63/3, të këtij ligji.</w:t>
            </w:r>
          </w:p>
          <w:p w14:paraId="5175E395" w14:textId="77777777" w:rsidR="004E7617" w:rsidRPr="00472C4C" w:rsidRDefault="004E7617" w:rsidP="004E7617">
            <w:pPr>
              <w:spacing w:line="276" w:lineRule="auto"/>
              <w:rPr>
                <w:rFonts w:ascii="Times New Roman" w:hAnsi="Times New Roman" w:cs="Times New Roman"/>
                <w:sz w:val="20"/>
                <w:szCs w:val="20"/>
              </w:rPr>
            </w:pPr>
          </w:p>
          <w:p w14:paraId="32A8AD83" w14:textId="77777777" w:rsidR="004E7617" w:rsidRPr="00472C4C" w:rsidRDefault="004E7617" w:rsidP="004E7617">
            <w:pPr>
              <w:spacing w:line="276" w:lineRule="auto"/>
              <w:rPr>
                <w:rFonts w:ascii="Times New Roman" w:hAnsi="Times New Roman" w:cs="Times New Roman"/>
                <w:sz w:val="20"/>
                <w:szCs w:val="20"/>
              </w:rPr>
            </w:pPr>
          </w:p>
          <w:p w14:paraId="0C154107" w14:textId="77777777" w:rsidR="004E7617" w:rsidRPr="00472C4C" w:rsidRDefault="004E7617" w:rsidP="004E7617">
            <w:pPr>
              <w:spacing w:line="276" w:lineRule="auto"/>
              <w:rPr>
                <w:rFonts w:ascii="Times New Roman" w:hAnsi="Times New Roman" w:cs="Times New Roman"/>
                <w:sz w:val="20"/>
                <w:szCs w:val="20"/>
              </w:rPr>
            </w:pPr>
          </w:p>
          <w:p w14:paraId="266C5321" w14:textId="77777777" w:rsidR="004E7617" w:rsidRPr="00472C4C" w:rsidRDefault="004E7617" w:rsidP="004E7617">
            <w:pPr>
              <w:spacing w:line="276" w:lineRule="auto"/>
              <w:rPr>
                <w:rFonts w:ascii="Times New Roman" w:hAnsi="Times New Roman" w:cs="Times New Roman"/>
                <w:sz w:val="20"/>
                <w:szCs w:val="20"/>
              </w:rPr>
            </w:pPr>
          </w:p>
          <w:p w14:paraId="24BDEB90" w14:textId="77777777" w:rsidR="004E7617" w:rsidRPr="00472C4C" w:rsidRDefault="004E7617" w:rsidP="004E7617">
            <w:pPr>
              <w:spacing w:line="276" w:lineRule="auto"/>
              <w:rPr>
                <w:rFonts w:ascii="Times New Roman" w:hAnsi="Times New Roman" w:cs="Times New Roman"/>
                <w:sz w:val="20"/>
                <w:szCs w:val="20"/>
              </w:rPr>
            </w:pPr>
          </w:p>
          <w:p w14:paraId="2502AD3C" w14:textId="77777777" w:rsidR="004E7617" w:rsidRPr="00472C4C" w:rsidRDefault="004E7617" w:rsidP="004E7617">
            <w:pPr>
              <w:spacing w:line="276" w:lineRule="auto"/>
              <w:rPr>
                <w:rFonts w:ascii="Times New Roman" w:hAnsi="Times New Roman" w:cs="Times New Roman"/>
                <w:sz w:val="20"/>
                <w:szCs w:val="20"/>
              </w:rPr>
            </w:pPr>
          </w:p>
          <w:p w14:paraId="72BC99EE" w14:textId="77777777" w:rsidR="004E7617" w:rsidRPr="00472C4C" w:rsidRDefault="004E7617" w:rsidP="004E7617">
            <w:pPr>
              <w:spacing w:line="276" w:lineRule="auto"/>
              <w:rPr>
                <w:rFonts w:ascii="Times New Roman" w:hAnsi="Times New Roman" w:cs="Times New Roman"/>
                <w:sz w:val="20"/>
                <w:szCs w:val="20"/>
              </w:rPr>
            </w:pPr>
          </w:p>
          <w:p w14:paraId="486A3612" w14:textId="77777777" w:rsidR="004E7617" w:rsidRPr="00472C4C" w:rsidRDefault="004E7617" w:rsidP="004E7617">
            <w:pPr>
              <w:spacing w:line="276" w:lineRule="auto"/>
              <w:rPr>
                <w:rFonts w:ascii="Times New Roman" w:hAnsi="Times New Roman" w:cs="Times New Roman"/>
                <w:sz w:val="20"/>
                <w:szCs w:val="20"/>
              </w:rPr>
            </w:pPr>
          </w:p>
          <w:p w14:paraId="2DA93F0F" w14:textId="77777777" w:rsidR="004E7617" w:rsidRPr="00472C4C" w:rsidRDefault="004E7617" w:rsidP="004E7617">
            <w:pPr>
              <w:spacing w:line="276" w:lineRule="auto"/>
              <w:rPr>
                <w:rFonts w:ascii="Times New Roman" w:hAnsi="Times New Roman" w:cs="Times New Roman"/>
                <w:sz w:val="20"/>
                <w:szCs w:val="20"/>
              </w:rPr>
            </w:pPr>
          </w:p>
          <w:p w14:paraId="7084CD8C" w14:textId="50E4F937" w:rsidR="004E7617" w:rsidRPr="00472C4C" w:rsidRDefault="004E7617" w:rsidP="004E7617">
            <w:pPr>
              <w:spacing w:line="276" w:lineRule="auto"/>
              <w:rPr>
                <w:rFonts w:ascii="Times New Roman" w:hAnsi="Times New Roman" w:cs="Times New Roman"/>
                <w:sz w:val="20"/>
                <w:szCs w:val="20"/>
              </w:rPr>
            </w:pPr>
          </w:p>
        </w:tc>
        <w:tc>
          <w:tcPr>
            <w:tcW w:w="1620" w:type="dxa"/>
            <w:shd w:val="clear" w:color="auto" w:fill="FFFFFF" w:themeFill="background1"/>
          </w:tcPr>
          <w:p w14:paraId="31CE5737" w14:textId="3CD11ABE" w:rsidR="004E7617" w:rsidRPr="00373342" w:rsidRDefault="004E7617" w:rsidP="004E7617">
            <w:pPr>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E plotë</w:t>
            </w:r>
          </w:p>
        </w:tc>
        <w:tc>
          <w:tcPr>
            <w:tcW w:w="2790" w:type="dxa"/>
            <w:shd w:val="clear" w:color="auto" w:fill="FFFFFF" w:themeFill="background1"/>
          </w:tcPr>
          <w:p w14:paraId="53F4AD6C" w14:textId="64772048" w:rsidR="004E7617" w:rsidRPr="00373342" w:rsidRDefault="004E7617" w:rsidP="004E7617">
            <w:pPr>
              <w:spacing w:line="276" w:lineRule="auto"/>
              <w:rPr>
                <w:rFonts w:ascii="Times New Roman" w:hAnsi="Times New Roman" w:cs="Times New Roman"/>
                <w:sz w:val="20"/>
                <w:szCs w:val="20"/>
              </w:rPr>
            </w:pPr>
          </w:p>
        </w:tc>
      </w:tr>
      <w:tr w:rsidR="004E7617" w:rsidRPr="00373342" w14:paraId="3B809B23" w14:textId="77777777" w:rsidTr="00373342">
        <w:tc>
          <w:tcPr>
            <w:tcW w:w="1440" w:type="dxa"/>
            <w:shd w:val="clear" w:color="auto" w:fill="FFFFFF" w:themeFill="background1"/>
          </w:tcPr>
          <w:p w14:paraId="39180BF5" w14:textId="5C925DC0" w:rsidR="004E7617" w:rsidRPr="00373342" w:rsidRDefault="004E7617" w:rsidP="004E7617">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lastRenderedPageBreak/>
              <w:t>Shtojca III, Seksioni II, Pika 3</w:t>
            </w:r>
          </w:p>
        </w:tc>
        <w:tc>
          <w:tcPr>
            <w:tcW w:w="3960" w:type="dxa"/>
            <w:shd w:val="clear" w:color="auto" w:fill="FFFFFF" w:themeFill="background1"/>
          </w:tcPr>
          <w:p w14:paraId="6A8F9323" w14:textId="49AE8B46" w:rsidR="004E7617" w:rsidRPr="00373342" w:rsidRDefault="004E7617" w:rsidP="004E7617">
            <w:pPr>
              <w:spacing w:line="276" w:lineRule="auto"/>
              <w:rPr>
                <w:rFonts w:ascii="Times New Roman" w:hAnsi="Times New Roman" w:cs="Times New Roman"/>
                <w:sz w:val="20"/>
                <w:szCs w:val="20"/>
              </w:rPr>
            </w:pPr>
            <w:r w:rsidRPr="00373342">
              <w:rPr>
                <w:rFonts w:ascii="Times New Roman" w:hAnsi="Times New Roman" w:cs="Times New Roman"/>
                <w:sz w:val="20"/>
                <w:szCs w:val="20"/>
              </w:rPr>
              <w:t>3. Shtetet Anëtare kërkojnë që çdo Entitet përbërës i një Grupi shoqërie shumëkombëshe, që është rezident për qëllime tatimore në atë Shtet Anëtar, të njoftojë Shtetin Anëtar nëse është Entiteti mëmë përfundimtar, Entiteti mëmë zëvendësues ose Entiteti përbërës i caktuar sipas pikës 1, jo më vonë se dita e fundit e Vitit fiskal raportues të këtij Grupi shoqërie shumëkombëshe. Shtetet Anëtare mund ta zgjasin këtë afat deri në ditën e fundit për dorëzimin e deklaratës tatimore të atij Entiteti përbërës për vitin fiskal pararendës.</w:t>
            </w:r>
          </w:p>
        </w:tc>
        <w:tc>
          <w:tcPr>
            <w:tcW w:w="1170" w:type="dxa"/>
            <w:shd w:val="clear" w:color="auto" w:fill="FFFFFF" w:themeFill="background1"/>
          </w:tcPr>
          <w:p w14:paraId="315619AA" w14:textId="77777777"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1</w:t>
            </w:r>
            <w:r w:rsidRPr="00373342">
              <w:rPr>
                <w:rFonts w:ascii="Times New Roman" w:hAnsi="Times New Roman" w:cs="Times New Roman"/>
                <w:sz w:val="20"/>
                <w:szCs w:val="20"/>
              </w:rPr>
              <w:br/>
            </w:r>
            <w:r w:rsidRPr="00373342">
              <w:rPr>
                <w:rFonts w:ascii="Times New Roman" w:hAnsi="Times New Roman" w:cs="Times New Roman"/>
                <w:sz w:val="20"/>
                <w:szCs w:val="20"/>
              </w:rPr>
              <w:br/>
            </w:r>
            <w:r w:rsidRPr="00373342">
              <w:rPr>
                <w:rFonts w:ascii="Times New Roman" w:hAnsi="Times New Roman" w:cs="Times New Roman"/>
                <w:sz w:val="20"/>
                <w:szCs w:val="20"/>
              </w:rPr>
              <w:br/>
            </w:r>
            <w:r w:rsidRPr="00373342">
              <w:rPr>
                <w:rFonts w:ascii="Times New Roman" w:hAnsi="Times New Roman" w:cs="Times New Roman"/>
                <w:sz w:val="20"/>
                <w:szCs w:val="20"/>
              </w:rPr>
              <w:br/>
            </w:r>
            <w:r w:rsidRPr="00373342">
              <w:rPr>
                <w:rFonts w:ascii="Times New Roman" w:hAnsi="Times New Roman" w:cs="Times New Roman"/>
                <w:sz w:val="20"/>
                <w:szCs w:val="20"/>
              </w:rPr>
              <w:br/>
            </w:r>
            <w:r w:rsidRPr="00373342">
              <w:rPr>
                <w:rFonts w:ascii="Times New Roman" w:hAnsi="Times New Roman" w:cs="Times New Roman"/>
                <w:sz w:val="20"/>
                <w:szCs w:val="20"/>
              </w:rPr>
              <w:br/>
            </w:r>
          </w:p>
          <w:p w14:paraId="1B98F0F5" w14:textId="77777777" w:rsidR="004E7617" w:rsidRPr="00373342" w:rsidRDefault="004E7617" w:rsidP="004E7617">
            <w:pPr>
              <w:spacing w:line="276" w:lineRule="auto"/>
              <w:jc w:val="center"/>
              <w:rPr>
                <w:rFonts w:ascii="Times New Roman" w:hAnsi="Times New Roman" w:cs="Times New Roman"/>
                <w:sz w:val="20"/>
                <w:szCs w:val="20"/>
              </w:rPr>
            </w:pPr>
          </w:p>
          <w:p w14:paraId="76554F61" w14:textId="77777777" w:rsidR="004E7617" w:rsidRPr="00373342" w:rsidRDefault="004E7617" w:rsidP="004E7617">
            <w:pPr>
              <w:spacing w:line="276" w:lineRule="auto"/>
              <w:jc w:val="center"/>
              <w:rPr>
                <w:rFonts w:ascii="Times New Roman" w:hAnsi="Times New Roman" w:cs="Times New Roman"/>
                <w:sz w:val="20"/>
                <w:szCs w:val="20"/>
              </w:rPr>
            </w:pPr>
          </w:p>
          <w:p w14:paraId="5CFC8CAA" w14:textId="77777777" w:rsidR="004E7617" w:rsidRPr="00373342" w:rsidRDefault="004E7617" w:rsidP="004E7617">
            <w:pPr>
              <w:spacing w:line="276" w:lineRule="auto"/>
              <w:jc w:val="center"/>
              <w:rPr>
                <w:rFonts w:ascii="Times New Roman" w:hAnsi="Times New Roman" w:cs="Times New Roman"/>
                <w:sz w:val="20"/>
                <w:szCs w:val="20"/>
              </w:rPr>
            </w:pPr>
          </w:p>
          <w:p w14:paraId="15074FBA" w14:textId="77777777" w:rsidR="004E7617" w:rsidRPr="00373342" w:rsidRDefault="004E7617" w:rsidP="004E7617">
            <w:pPr>
              <w:spacing w:line="276" w:lineRule="auto"/>
              <w:jc w:val="center"/>
              <w:rPr>
                <w:rFonts w:ascii="Times New Roman" w:hAnsi="Times New Roman" w:cs="Times New Roman"/>
                <w:sz w:val="20"/>
                <w:szCs w:val="20"/>
              </w:rPr>
            </w:pPr>
          </w:p>
          <w:p w14:paraId="597157BA" w14:textId="77777777" w:rsidR="004E7617" w:rsidRPr="00373342" w:rsidRDefault="004E7617" w:rsidP="004E7617">
            <w:pPr>
              <w:spacing w:line="276" w:lineRule="auto"/>
              <w:jc w:val="center"/>
              <w:rPr>
                <w:rFonts w:ascii="Times New Roman" w:hAnsi="Times New Roman" w:cs="Times New Roman"/>
                <w:sz w:val="20"/>
                <w:szCs w:val="20"/>
              </w:rPr>
            </w:pPr>
          </w:p>
          <w:p w14:paraId="554B29AB" w14:textId="77777777" w:rsidR="004E7617" w:rsidRPr="00373342" w:rsidRDefault="004E7617" w:rsidP="004E7617">
            <w:pPr>
              <w:spacing w:line="276" w:lineRule="auto"/>
              <w:jc w:val="center"/>
              <w:rPr>
                <w:rFonts w:ascii="Times New Roman" w:hAnsi="Times New Roman" w:cs="Times New Roman"/>
                <w:sz w:val="20"/>
                <w:szCs w:val="20"/>
              </w:rPr>
            </w:pPr>
          </w:p>
          <w:p w14:paraId="2E106F1B" w14:textId="77777777" w:rsidR="004E7617" w:rsidRPr="00373342" w:rsidRDefault="004E7617" w:rsidP="004E7617">
            <w:pPr>
              <w:spacing w:line="276" w:lineRule="auto"/>
              <w:jc w:val="center"/>
              <w:rPr>
                <w:rFonts w:ascii="Times New Roman" w:hAnsi="Times New Roman" w:cs="Times New Roman"/>
                <w:sz w:val="20"/>
                <w:szCs w:val="20"/>
              </w:rPr>
            </w:pPr>
          </w:p>
          <w:p w14:paraId="210C9D74" w14:textId="70A2BBED"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2</w:t>
            </w:r>
          </w:p>
        </w:tc>
        <w:tc>
          <w:tcPr>
            <w:tcW w:w="1260" w:type="dxa"/>
            <w:shd w:val="clear" w:color="auto" w:fill="FFFFFF" w:themeFill="background1"/>
          </w:tcPr>
          <w:p w14:paraId="5313EF3E" w14:textId="77777777" w:rsidR="005F2084"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63/3, shkronja “a”</w:t>
            </w:r>
            <w:r w:rsidRPr="00373342">
              <w:rPr>
                <w:rFonts w:ascii="Times New Roman" w:hAnsi="Times New Roman" w:cs="Times New Roman"/>
                <w:sz w:val="20"/>
                <w:szCs w:val="20"/>
              </w:rPr>
              <w:br/>
            </w:r>
            <w:r w:rsidRPr="00373342">
              <w:rPr>
                <w:rFonts w:ascii="Times New Roman" w:hAnsi="Times New Roman" w:cs="Times New Roman"/>
                <w:sz w:val="20"/>
                <w:szCs w:val="20"/>
              </w:rPr>
              <w:br/>
            </w:r>
          </w:p>
          <w:p w14:paraId="7F24561E" w14:textId="77777777" w:rsidR="005F2084" w:rsidRDefault="005F2084" w:rsidP="004E7617">
            <w:pPr>
              <w:spacing w:line="276" w:lineRule="auto"/>
              <w:jc w:val="center"/>
              <w:rPr>
                <w:rFonts w:ascii="Times New Roman" w:hAnsi="Times New Roman" w:cs="Times New Roman"/>
                <w:sz w:val="20"/>
                <w:szCs w:val="20"/>
              </w:rPr>
            </w:pPr>
          </w:p>
          <w:p w14:paraId="58B61280" w14:textId="77777777" w:rsidR="005F2084" w:rsidRDefault="005F2084" w:rsidP="004E7617">
            <w:pPr>
              <w:spacing w:line="276" w:lineRule="auto"/>
              <w:jc w:val="center"/>
              <w:rPr>
                <w:rFonts w:ascii="Times New Roman" w:hAnsi="Times New Roman" w:cs="Times New Roman"/>
                <w:sz w:val="20"/>
                <w:szCs w:val="20"/>
              </w:rPr>
            </w:pPr>
          </w:p>
          <w:p w14:paraId="3A07E44D" w14:textId="77777777" w:rsidR="005F2084" w:rsidRDefault="005F2084" w:rsidP="004E7617">
            <w:pPr>
              <w:spacing w:line="276" w:lineRule="auto"/>
              <w:jc w:val="center"/>
              <w:rPr>
                <w:rFonts w:ascii="Times New Roman" w:hAnsi="Times New Roman" w:cs="Times New Roman"/>
                <w:sz w:val="20"/>
                <w:szCs w:val="20"/>
              </w:rPr>
            </w:pPr>
          </w:p>
          <w:p w14:paraId="0EECF302" w14:textId="77777777" w:rsidR="005F2084" w:rsidRDefault="005F2084" w:rsidP="004E7617">
            <w:pPr>
              <w:spacing w:line="276" w:lineRule="auto"/>
              <w:jc w:val="center"/>
              <w:rPr>
                <w:rFonts w:ascii="Times New Roman" w:hAnsi="Times New Roman" w:cs="Times New Roman"/>
                <w:sz w:val="20"/>
                <w:szCs w:val="20"/>
              </w:rPr>
            </w:pPr>
          </w:p>
          <w:p w14:paraId="5289F8B0" w14:textId="77777777" w:rsidR="005F2084" w:rsidRDefault="005F2084" w:rsidP="004E7617">
            <w:pPr>
              <w:spacing w:line="276" w:lineRule="auto"/>
              <w:jc w:val="center"/>
              <w:rPr>
                <w:rFonts w:ascii="Times New Roman" w:hAnsi="Times New Roman" w:cs="Times New Roman"/>
                <w:sz w:val="20"/>
                <w:szCs w:val="20"/>
              </w:rPr>
            </w:pPr>
          </w:p>
          <w:p w14:paraId="00F246F0" w14:textId="77777777" w:rsidR="005F2084" w:rsidRDefault="005F2084" w:rsidP="004E7617">
            <w:pPr>
              <w:spacing w:line="276" w:lineRule="auto"/>
              <w:jc w:val="center"/>
              <w:rPr>
                <w:rFonts w:ascii="Times New Roman" w:hAnsi="Times New Roman" w:cs="Times New Roman"/>
                <w:sz w:val="20"/>
                <w:szCs w:val="20"/>
              </w:rPr>
            </w:pPr>
          </w:p>
          <w:p w14:paraId="0B671E64" w14:textId="77777777" w:rsidR="005F2084" w:rsidRDefault="005F2084" w:rsidP="004E7617">
            <w:pPr>
              <w:spacing w:line="276" w:lineRule="auto"/>
              <w:jc w:val="center"/>
              <w:rPr>
                <w:rFonts w:ascii="Times New Roman" w:hAnsi="Times New Roman" w:cs="Times New Roman"/>
                <w:sz w:val="20"/>
                <w:szCs w:val="20"/>
              </w:rPr>
            </w:pPr>
          </w:p>
          <w:p w14:paraId="07E08B0C" w14:textId="77777777" w:rsidR="005F2084" w:rsidRDefault="005F2084" w:rsidP="004E7617">
            <w:pPr>
              <w:spacing w:line="276" w:lineRule="auto"/>
              <w:jc w:val="center"/>
              <w:rPr>
                <w:rFonts w:ascii="Times New Roman" w:hAnsi="Times New Roman" w:cs="Times New Roman"/>
                <w:sz w:val="20"/>
                <w:szCs w:val="20"/>
              </w:rPr>
            </w:pPr>
          </w:p>
          <w:p w14:paraId="3F03C2C3" w14:textId="77777777" w:rsidR="005F2084" w:rsidRDefault="005F2084" w:rsidP="004E7617">
            <w:pPr>
              <w:spacing w:line="276" w:lineRule="auto"/>
              <w:jc w:val="center"/>
              <w:rPr>
                <w:rFonts w:ascii="Times New Roman" w:hAnsi="Times New Roman" w:cs="Times New Roman"/>
                <w:sz w:val="20"/>
                <w:szCs w:val="20"/>
              </w:rPr>
            </w:pPr>
          </w:p>
          <w:p w14:paraId="778D45FC" w14:textId="77777777" w:rsidR="005F2084" w:rsidRDefault="005F2084" w:rsidP="004E7617">
            <w:pPr>
              <w:spacing w:line="276" w:lineRule="auto"/>
              <w:jc w:val="center"/>
              <w:rPr>
                <w:rFonts w:ascii="Times New Roman" w:hAnsi="Times New Roman" w:cs="Times New Roman"/>
                <w:sz w:val="20"/>
                <w:szCs w:val="20"/>
              </w:rPr>
            </w:pPr>
          </w:p>
          <w:p w14:paraId="60B57ACF" w14:textId="4677A8A3"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6, pika 1</w:t>
            </w:r>
          </w:p>
          <w:p w14:paraId="6F647EBF" w14:textId="77777777" w:rsidR="004E7617" w:rsidRPr="00373342" w:rsidRDefault="004E7617" w:rsidP="004E7617">
            <w:pPr>
              <w:spacing w:line="276" w:lineRule="auto"/>
              <w:jc w:val="center"/>
              <w:rPr>
                <w:rFonts w:ascii="Times New Roman" w:hAnsi="Times New Roman" w:cs="Times New Roman"/>
                <w:sz w:val="20"/>
                <w:szCs w:val="20"/>
              </w:rPr>
            </w:pPr>
          </w:p>
          <w:p w14:paraId="4E817258" w14:textId="77777777" w:rsidR="004E7617" w:rsidRPr="00373342" w:rsidRDefault="004E7617" w:rsidP="004E7617">
            <w:pPr>
              <w:spacing w:line="276" w:lineRule="auto"/>
              <w:jc w:val="center"/>
              <w:rPr>
                <w:rFonts w:ascii="Times New Roman" w:hAnsi="Times New Roman" w:cs="Times New Roman"/>
                <w:sz w:val="20"/>
                <w:szCs w:val="20"/>
              </w:rPr>
            </w:pPr>
          </w:p>
          <w:p w14:paraId="162AC233" w14:textId="77777777" w:rsidR="004E7617" w:rsidRPr="00373342" w:rsidRDefault="004E7617" w:rsidP="004E7617">
            <w:pPr>
              <w:spacing w:line="276" w:lineRule="auto"/>
              <w:jc w:val="center"/>
              <w:rPr>
                <w:rFonts w:ascii="Times New Roman" w:hAnsi="Times New Roman" w:cs="Times New Roman"/>
                <w:sz w:val="20"/>
                <w:szCs w:val="20"/>
              </w:rPr>
            </w:pPr>
          </w:p>
          <w:p w14:paraId="2D4D4209" w14:textId="77777777" w:rsidR="004E7617" w:rsidRPr="00373342" w:rsidRDefault="004E7617" w:rsidP="004E7617">
            <w:pPr>
              <w:spacing w:line="276" w:lineRule="auto"/>
              <w:jc w:val="center"/>
              <w:rPr>
                <w:rFonts w:ascii="Times New Roman" w:hAnsi="Times New Roman" w:cs="Times New Roman"/>
                <w:sz w:val="20"/>
                <w:szCs w:val="20"/>
              </w:rPr>
            </w:pPr>
          </w:p>
          <w:p w14:paraId="641D291F" w14:textId="77777777" w:rsidR="004E7617" w:rsidRPr="00373342" w:rsidRDefault="004E7617" w:rsidP="004E7617">
            <w:pPr>
              <w:spacing w:line="276" w:lineRule="auto"/>
              <w:jc w:val="center"/>
              <w:rPr>
                <w:rFonts w:ascii="Times New Roman" w:hAnsi="Times New Roman" w:cs="Times New Roman"/>
                <w:sz w:val="20"/>
                <w:szCs w:val="20"/>
              </w:rPr>
            </w:pPr>
          </w:p>
          <w:p w14:paraId="42859A2F" w14:textId="77777777" w:rsidR="004E7617" w:rsidRPr="00373342" w:rsidRDefault="004E7617" w:rsidP="004E7617">
            <w:pPr>
              <w:spacing w:line="276" w:lineRule="auto"/>
              <w:jc w:val="center"/>
              <w:rPr>
                <w:rFonts w:ascii="Times New Roman" w:hAnsi="Times New Roman" w:cs="Times New Roman"/>
                <w:sz w:val="20"/>
                <w:szCs w:val="20"/>
              </w:rPr>
            </w:pPr>
          </w:p>
          <w:p w14:paraId="2A6C0E93" w14:textId="77777777" w:rsidR="004E7617" w:rsidRPr="00373342" w:rsidRDefault="004E7617" w:rsidP="004E7617">
            <w:pPr>
              <w:spacing w:line="276" w:lineRule="auto"/>
              <w:jc w:val="center"/>
              <w:rPr>
                <w:rFonts w:ascii="Times New Roman" w:hAnsi="Times New Roman" w:cs="Times New Roman"/>
                <w:sz w:val="20"/>
                <w:szCs w:val="20"/>
              </w:rPr>
            </w:pPr>
          </w:p>
          <w:p w14:paraId="2B0A1A8F" w14:textId="77777777" w:rsidR="004E7617" w:rsidRPr="00373342" w:rsidRDefault="004E7617" w:rsidP="004E7617">
            <w:pPr>
              <w:spacing w:line="276" w:lineRule="auto"/>
              <w:jc w:val="center"/>
              <w:rPr>
                <w:rFonts w:ascii="Times New Roman" w:hAnsi="Times New Roman" w:cs="Times New Roman"/>
                <w:sz w:val="20"/>
                <w:szCs w:val="20"/>
              </w:rPr>
            </w:pPr>
          </w:p>
          <w:p w14:paraId="32075A8A" w14:textId="77777777" w:rsidR="004E7617" w:rsidRPr="00373342" w:rsidRDefault="004E7617" w:rsidP="004E7617">
            <w:pPr>
              <w:spacing w:line="276" w:lineRule="auto"/>
              <w:jc w:val="center"/>
              <w:rPr>
                <w:rFonts w:ascii="Times New Roman" w:hAnsi="Times New Roman" w:cs="Times New Roman"/>
                <w:sz w:val="20"/>
                <w:szCs w:val="20"/>
              </w:rPr>
            </w:pPr>
          </w:p>
          <w:p w14:paraId="4BBE95D6" w14:textId="77777777" w:rsidR="004E7617" w:rsidRPr="00373342" w:rsidRDefault="004E7617" w:rsidP="004E7617">
            <w:pPr>
              <w:spacing w:line="276" w:lineRule="auto"/>
              <w:jc w:val="center"/>
              <w:rPr>
                <w:rFonts w:ascii="Times New Roman" w:hAnsi="Times New Roman" w:cs="Times New Roman"/>
                <w:sz w:val="20"/>
                <w:szCs w:val="20"/>
              </w:rPr>
            </w:pPr>
          </w:p>
          <w:p w14:paraId="7C7C077D" w14:textId="77777777" w:rsidR="004E7617" w:rsidRPr="00373342" w:rsidRDefault="004E7617" w:rsidP="004E7617">
            <w:pPr>
              <w:spacing w:line="276" w:lineRule="auto"/>
              <w:jc w:val="center"/>
              <w:rPr>
                <w:rFonts w:ascii="Times New Roman" w:hAnsi="Times New Roman" w:cs="Times New Roman"/>
                <w:sz w:val="20"/>
                <w:szCs w:val="20"/>
              </w:rPr>
            </w:pPr>
          </w:p>
          <w:p w14:paraId="0C4D2C78" w14:textId="77777777" w:rsidR="004E7617" w:rsidRPr="00373342" w:rsidRDefault="004E7617" w:rsidP="004E7617">
            <w:pPr>
              <w:spacing w:line="276" w:lineRule="auto"/>
              <w:jc w:val="center"/>
              <w:rPr>
                <w:rFonts w:ascii="Times New Roman" w:hAnsi="Times New Roman" w:cs="Times New Roman"/>
                <w:sz w:val="20"/>
                <w:szCs w:val="20"/>
              </w:rPr>
            </w:pPr>
          </w:p>
          <w:p w14:paraId="79680187" w14:textId="77777777" w:rsidR="004E7617" w:rsidRPr="00373342" w:rsidRDefault="004E7617" w:rsidP="004E7617">
            <w:pPr>
              <w:spacing w:line="276" w:lineRule="auto"/>
              <w:jc w:val="center"/>
              <w:rPr>
                <w:rFonts w:ascii="Times New Roman" w:hAnsi="Times New Roman" w:cs="Times New Roman"/>
                <w:sz w:val="20"/>
                <w:szCs w:val="20"/>
              </w:rPr>
            </w:pPr>
          </w:p>
          <w:p w14:paraId="3CF7B5BD" w14:textId="77777777" w:rsidR="004E7617" w:rsidRPr="00373342" w:rsidRDefault="004E7617" w:rsidP="004E7617">
            <w:pPr>
              <w:spacing w:line="276" w:lineRule="auto"/>
              <w:jc w:val="center"/>
              <w:rPr>
                <w:rFonts w:ascii="Times New Roman" w:hAnsi="Times New Roman" w:cs="Times New Roman"/>
                <w:sz w:val="20"/>
                <w:szCs w:val="20"/>
              </w:rPr>
            </w:pPr>
          </w:p>
          <w:p w14:paraId="7C0128A7" w14:textId="599B65E9" w:rsidR="004E7617" w:rsidRPr="00373342" w:rsidRDefault="004E7617" w:rsidP="004E7617">
            <w:pPr>
              <w:spacing w:line="276" w:lineRule="auto"/>
              <w:jc w:val="center"/>
              <w:rPr>
                <w:rFonts w:ascii="Times New Roman" w:hAnsi="Times New Roman" w:cs="Times New Roman"/>
                <w:sz w:val="20"/>
                <w:szCs w:val="20"/>
              </w:rPr>
            </w:pPr>
          </w:p>
        </w:tc>
        <w:tc>
          <w:tcPr>
            <w:tcW w:w="3870" w:type="dxa"/>
            <w:shd w:val="clear" w:color="auto" w:fill="FFFFFF" w:themeFill="background1"/>
          </w:tcPr>
          <w:p w14:paraId="7F2BC304" w14:textId="77777777" w:rsidR="004E7617" w:rsidRPr="00472C4C" w:rsidRDefault="004E7617" w:rsidP="004E7617">
            <w:pPr>
              <w:spacing w:line="276" w:lineRule="auto"/>
              <w:rPr>
                <w:rFonts w:ascii="Times New Roman" w:hAnsi="Times New Roman" w:cs="Times New Roman"/>
                <w:sz w:val="20"/>
                <w:szCs w:val="20"/>
              </w:rPr>
            </w:pPr>
            <w:r w:rsidRPr="00472C4C">
              <w:rPr>
                <w:rFonts w:ascii="Times New Roman" w:hAnsi="Times New Roman" w:cs="Times New Roman"/>
                <w:sz w:val="20"/>
                <w:szCs w:val="20"/>
              </w:rPr>
              <w:t>Njoftimi</w:t>
            </w:r>
            <w:r w:rsidRPr="00472C4C">
              <w:rPr>
                <w:rFonts w:ascii="Times New Roman" w:hAnsi="Times New Roman" w:cs="Times New Roman"/>
                <w:sz w:val="20"/>
                <w:szCs w:val="20"/>
              </w:rPr>
              <w:br/>
            </w:r>
            <w:r w:rsidRPr="00472C4C">
              <w:rPr>
                <w:rFonts w:ascii="Times New Roman" w:hAnsi="Times New Roman" w:cs="Times New Roman"/>
                <w:sz w:val="20"/>
                <w:szCs w:val="20"/>
              </w:rPr>
              <w:br/>
              <w:t>Çdo entitet përbërës, që është rezident për qëllime tatimore në Shqipëri, duhet të njoftojë administratën tatimore jo më vonë se dita e fundit e vitit fiskal raportues të grupit të shoqërive shumëkombëshe:</w:t>
            </w:r>
            <w:r w:rsidRPr="00472C4C">
              <w:rPr>
                <w:rFonts w:ascii="Times New Roman" w:hAnsi="Times New Roman" w:cs="Times New Roman"/>
                <w:sz w:val="20"/>
                <w:szCs w:val="20"/>
              </w:rPr>
              <w:br/>
            </w:r>
            <w:r w:rsidRPr="00472C4C">
              <w:rPr>
                <w:rFonts w:ascii="Times New Roman" w:hAnsi="Times New Roman" w:cs="Times New Roman"/>
                <w:sz w:val="20"/>
                <w:szCs w:val="20"/>
              </w:rPr>
              <w:br/>
              <w:t>a) nëse është entiteti mëmë përfundimtar i grupit të shoqërive shumëkombëshe, entiteti mëmë zëvendësues ose entiteti përbërës i caktuar, në përputhje me pikën 4, të nenit 63/2, të këtij ligji;</w:t>
            </w:r>
            <w:r w:rsidRPr="00472C4C">
              <w:rPr>
                <w:rFonts w:ascii="Times New Roman" w:hAnsi="Times New Roman" w:cs="Times New Roman"/>
                <w:sz w:val="20"/>
                <w:szCs w:val="20"/>
              </w:rPr>
              <w:br/>
            </w:r>
            <w:r w:rsidRPr="00472C4C">
              <w:rPr>
                <w:rFonts w:ascii="Times New Roman" w:hAnsi="Times New Roman" w:cs="Times New Roman"/>
                <w:sz w:val="20"/>
                <w:szCs w:val="20"/>
              </w:rPr>
              <w:br/>
              <w:t>Afati i njoftimit</w:t>
            </w:r>
            <w:r w:rsidRPr="00472C4C">
              <w:rPr>
                <w:rFonts w:ascii="Times New Roman" w:hAnsi="Times New Roman" w:cs="Times New Roman"/>
                <w:sz w:val="20"/>
                <w:szCs w:val="20"/>
              </w:rPr>
              <w:br/>
            </w:r>
            <w:r w:rsidRPr="00472C4C">
              <w:rPr>
                <w:rFonts w:ascii="Times New Roman" w:hAnsi="Times New Roman" w:cs="Times New Roman"/>
                <w:sz w:val="20"/>
                <w:szCs w:val="20"/>
              </w:rPr>
              <w:br/>
              <w:t>1. Sipas nenit 63/3 të ligjit nr. 9920, datë 19.5.2008, “Për procedurat tatimore në Republikën e Shqipërisë”, të ndryshuar, njoftimi bëhet për të gjitha entitetet përbërëse rezidente tatimore të një grupi shoqërie shumëkombëshe, sipas kuptimit të nenit 63/1 të ligjit, jo më vonë se dita e fundit e vitit fiskal, në përputhje me kërkesat e raportimit. Përcaktimi i “vitit fiskal për qëllime raportimi” varet nga detyrimet e raportimit të grupit të shoqërive shumëkombëshe dhe, rrjedhimisht, të entitetit mëmë përfundimtar. Kjo dispozitë ka përparësi ndaj kërkesave të raportimit të entiteteve përbërëse individuale.</w:t>
            </w:r>
          </w:p>
          <w:p w14:paraId="4CE56E08" w14:textId="77777777" w:rsidR="004E7617" w:rsidRPr="00472C4C" w:rsidRDefault="004E7617" w:rsidP="004E7617">
            <w:pPr>
              <w:spacing w:line="276" w:lineRule="auto"/>
              <w:rPr>
                <w:rFonts w:ascii="Times New Roman" w:hAnsi="Times New Roman" w:cs="Times New Roman"/>
                <w:sz w:val="20"/>
                <w:szCs w:val="20"/>
              </w:rPr>
            </w:pPr>
          </w:p>
          <w:p w14:paraId="18BB133B" w14:textId="77777777" w:rsidR="004E7617" w:rsidRPr="00472C4C" w:rsidRDefault="004E7617" w:rsidP="004E7617">
            <w:pPr>
              <w:spacing w:line="276" w:lineRule="auto"/>
              <w:rPr>
                <w:rFonts w:ascii="Times New Roman" w:hAnsi="Times New Roman" w:cs="Times New Roman"/>
                <w:sz w:val="20"/>
                <w:szCs w:val="20"/>
              </w:rPr>
            </w:pPr>
          </w:p>
          <w:p w14:paraId="5BDD8E9B" w14:textId="77777777" w:rsidR="004E7617" w:rsidRPr="00472C4C" w:rsidRDefault="004E7617" w:rsidP="004E7617">
            <w:pPr>
              <w:spacing w:line="276" w:lineRule="auto"/>
              <w:rPr>
                <w:rFonts w:ascii="Times New Roman" w:hAnsi="Times New Roman" w:cs="Times New Roman"/>
                <w:sz w:val="20"/>
                <w:szCs w:val="20"/>
              </w:rPr>
            </w:pPr>
          </w:p>
          <w:p w14:paraId="3179122F" w14:textId="77777777" w:rsidR="004E7617" w:rsidRPr="00472C4C" w:rsidRDefault="004E7617" w:rsidP="004E7617">
            <w:pPr>
              <w:spacing w:line="276" w:lineRule="auto"/>
              <w:rPr>
                <w:rFonts w:ascii="Times New Roman" w:hAnsi="Times New Roman" w:cs="Times New Roman"/>
                <w:sz w:val="20"/>
                <w:szCs w:val="20"/>
              </w:rPr>
            </w:pPr>
          </w:p>
          <w:p w14:paraId="317DBEEA" w14:textId="77777777" w:rsidR="004E7617" w:rsidRPr="00472C4C" w:rsidRDefault="004E7617" w:rsidP="004E7617">
            <w:pPr>
              <w:spacing w:line="276" w:lineRule="auto"/>
              <w:rPr>
                <w:rFonts w:ascii="Times New Roman" w:hAnsi="Times New Roman" w:cs="Times New Roman"/>
                <w:sz w:val="20"/>
                <w:szCs w:val="20"/>
              </w:rPr>
            </w:pPr>
          </w:p>
          <w:p w14:paraId="09CD77F7" w14:textId="77777777" w:rsidR="004E7617" w:rsidRPr="00472C4C" w:rsidRDefault="004E7617" w:rsidP="004E7617">
            <w:pPr>
              <w:spacing w:line="276" w:lineRule="auto"/>
              <w:rPr>
                <w:rFonts w:ascii="Times New Roman" w:hAnsi="Times New Roman" w:cs="Times New Roman"/>
                <w:sz w:val="20"/>
                <w:szCs w:val="20"/>
              </w:rPr>
            </w:pPr>
          </w:p>
          <w:p w14:paraId="4E86B0E4" w14:textId="77777777" w:rsidR="004E7617" w:rsidRPr="00472C4C" w:rsidRDefault="004E7617" w:rsidP="004E7617">
            <w:pPr>
              <w:spacing w:line="276" w:lineRule="auto"/>
              <w:rPr>
                <w:rFonts w:ascii="Times New Roman" w:hAnsi="Times New Roman" w:cs="Times New Roman"/>
                <w:sz w:val="20"/>
                <w:szCs w:val="20"/>
              </w:rPr>
            </w:pPr>
          </w:p>
          <w:p w14:paraId="6328CB58" w14:textId="77777777" w:rsidR="004E7617" w:rsidRPr="00472C4C" w:rsidRDefault="004E7617" w:rsidP="004E7617">
            <w:pPr>
              <w:spacing w:line="276" w:lineRule="auto"/>
              <w:rPr>
                <w:rFonts w:ascii="Times New Roman" w:hAnsi="Times New Roman" w:cs="Times New Roman"/>
                <w:sz w:val="20"/>
                <w:szCs w:val="20"/>
              </w:rPr>
            </w:pPr>
          </w:p>
          <w:p w14:paraId="6C6A92F4" w14:textId="3E1C6A5A" w:rsidR="004E7617" w:rsidRPr="00472C4C" w:rsidRDefault="004E7617" w:rsidP="004E7617">
            <w:pPr>
              <w:spacing w:line="276" w:lineRule="auto"/>
              <w:rPr>
                <w:rFonts w:ascii="Times New Roman" w:hAnsi="Times New Roman" w:cs="Times New Roman"/>
                <w:sz w:val="20"/>
                <w:szCs w:val="20"/>
              </w:rPr>
            </w:pPr>
          </w:p>
          <w:p w14:paraId="45CF55D3" w14:textId="77777777" w:rsidR="004E7617" w:rsidRPr="00472C4C" w:rsidRDefault="004E7617" w:rsidP="004E7617">
            <w:pPr>
              <w:spacing w:line="276" w:lineRule="auto"/>
              <w:rPr>
                <w:rFonts w:ascii="Times New Roman" w:hAnsi="Times New Roman" w:cs="Times New Roman"/>
                <w:sz w:val="20"/>
                <w:szCs w:val="20"/>
              </w:rPr>
            </w:pPr>
          </w:p>
          <w:p w14:paraId="538193BD" w14:textId="739D274A" w:rsidR="004E7617" w:rsidRPr="00472C4C" w:rsidRDefault="004E7617" w:rsidP="004E7617">
            <w:pPr>
              <w:spacing w:line="276" w:lineRule="auto"/>
              <w:rPr>
                <w:rFonts w:ascii="Times New Roman" w:hAnsi="Times New Roman" w:cs="Times New Roman"/>
                <w:sz w:val="20"/>
                <w:szCs w:val="20"/>
              </w:rPr>
            </w:pPr>
          </w:p>
        </w:tc>
        <w:tc>
          <w:tcPr>
            <w:tcW w:w="1620" w:type="dxa"/>
            <w:shd w:val="clear" w:color="auto" w:fill="FFFFFF" w:themeFill="background1"/>
          </w:tcPr>
          <w:p w14:paraId="2D0DAA47" w14:textId="045D1FB1" w:rsidR="004E7617" w:rsidRPr="00373342" w:rsidRDefault="004E7617" w:rsidP="004E7617">
            <w:pPr>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E plotë</w:t>
            </w:r>
          </w:p>
        </w:tc>
        <w:tc>
          <w:tcPr>
            <w:tcW w:w="2790" w:type="dxa"/>
            <w:shd w:val="clear" w:color="auto" w:fill="FFFFFF" w:themeFill="background1"/>
          </w:tcPr>
          <w:p w14:paraId="004A3FDC" w14:textId="29937A44" w:rsidR="004E7617" w:rsidRPr="00373342" w:rsidRDefault="004E7617" w:rsidP="004E7617">
            <w:pPr>
              <w:spacing w:line="276" w:lineRule="auto"/>
              <w:rPr>
                <w:rFonts w:ascii="Times New Roman" w:hAnsi="Times New Roman" w:cs="Times New Roman"/>
                <w:sz w:val="20"/>
                <w:szCs w:val="20"/>
              </w:rPr>
            </w:pPr>
          </w:p>
        </w:tc>
      </w:tr>
      <w:tr w:rsidR="004E7617" w:rsidRPr="00373342" w14:paraId="3802C899" w14:textId="77777777" w:rsidTr="00373342">
        <w:tc>
          <w:tcPr>
            <w:tcW w:w="1440" w:type="dxa"/>
            <w:shd w:val="clear" w:color="auto" w:fill="FFFFFF" w:themeFill="background1"/>
          </w:tcPr>
          <w:p w14:paraId="4FCC5ABE" w14:textId="70EB49F3" w:rsidR="004E7617" w:rsidRPr="00373342" w:rsidRDefault="004E7617" w:rsidP="004E7617">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Shtojca III, Seksioni II, Pika 4</w:t>
            </w:r>
          </w:p>
        </w:tc>
        <w:tc>
          <w:tcPr>
            <w:tcW w:w="3960" w:type="dxa"/>
            <w:shd w:val="clear" w:color="auto" w:fill="FFFFFF" w:themeFill="background1"/>
          </w:tcPr>
          <w:p w14:paraId="6DC208C2" w14:textId="5715C2AD" w:rsidR="004E7617" w:rsidRPr="00373342" w:rsidRDefault="004E7617" w:rsidP="004E7617">
            <w:pPr>
              <w:spacing w:line="276" w:lineRule="auto"/>
              <w:rPr>
                <w:rFonts w:ascii="Times New Roman" w:hAnsi="Times New Roman" w:cs="Times New Roman"/>
                <w:sz w:val="20"/>
                <w:szCs w:val="20"/>
              </w:rPr>
            </w:pPr>
            <w:r w:rsidRPr="00373342">
              <w:rPr>
                <w:rFonts w:ascii="Times New Roman" w:hAnsi="Times New Roman" w:cs="Times New Roman"/>
                <w:sz w:val="20"/>
                <w:szCs w:val="20"/>
              </w:rPr>
              <w:t>4. Shtetet Anëtare kërkojnë që, kur një Entitet përbërës i një Grupi shoqërie shumëkombëshe, që është rezident për qëllime tatimore në atë Shtet Anëtar, nuk është as Entiteti mëmë përfundimtar, as Entiteti mëmë zëvendësues dhe as Entiteti përbërës i caktuar sipas pikës 1, ai t’i njoftojë Shtetit Anëtar identitetin dhe rezidencën tatimore të Entitetit raportues, jo më vonë se dita e fundit e Vitit fiskal raportues të këtij Grupi shoqërie shumëkombëshe. Shtetet Anëtare mund ta zgjasin këtë afat deri në ditën e fundit për dorëzimin e deklaratës tatimore të atij Entiteti përbërës për vitin fiskal pararendës.</w:t>
            </w:r>
          </w:p>
        </w:tc>
        <w:tc>
          <w:tcPr>
            <w:tcW w:w="1170" w:type="dxa"/>
            <w:shd w:val="clear" w:color="auto" w:fill="FFFFFF" w:themeFill="background1"/>
          </w:tcPr>
          <w:p w14:paraId="4CC2CDDA" w14:textId="77777777"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1</w:t>
            </w:r>
            <w:r w:rsidRPr="00373342">
              <w:rPr>
                <w:rFonts w:ascii="Times New Roman" w:hAnsi="Times New Roman" w:cs="Times New Roman"/>
                <w:sz w:val="20"/>
                <w:szCs w:val="20"/>
              </w:rPr>
              <w:br/>
            </w:r>
            <w:r w:rsidRPr="00373342">
              <w:rPr>
                <w:rFonts w:ascii="Times New Roman" w:hAnsi="Times New Roman" w:cs="Times New Roman"/>
                <w:sz w:val="20"/>
                <w:szCs w:val="20"/>
              </w:rPr>
              <w:br/>
            </w:r>
            <w:r w:rsidRPr="00373342">
              <w:rPr>
                <w:rFonts w:ascii="Times New Roman" w:hAnsi="Times New Roman" w:cs="Times New Roman"/>
                <w:sz w:val="20"/>
                <w:szCs w:val="20"/>
              </w:rPr>
              <w:br/>
            </w:r>
            <w:r w:rsidRPr="00373342">
              <w:rPr>
                <w:rFonts w:ascii="Times New Roman" w:hAnsi="Times New Roman" w:cs="Times New Roman"/>
                <w:sz w:val="20"/>
                <w:szCs w:val="20"/>
              </w:rPr>
              <w:br/>
            </w:r>
            <w:r w:rsidRPr="00373342">
              <w:rPr>
                <w:rFonts w:ascii="Times New Roman" w:hAnsi="Times New Roman" w:cs="Times New Roman"/>
                <w:sz w:val="20"/>
                <w:szCs w:val="20"/>
              </w:rPr>
              <w:br/>
            </w:r>
            <w:r w:rsidRPr="00373342">
              <w:rPr>
                <w:rFonts w:ascii="Times New Roman" w:hAnsi="Times New Roman" w:cs="Times New Roman"/>
                <w:sz w:val="20"/>
                <w:szCs w:val="20"/>
              </w:rPr>
              <w:br/>
            </w:r>
          </w:p>
          <w:p w14:paraId="45F1ED52" w14:textId="77777777" w:rsidR="004E7617" w:rsidRPr="00373342" w:rsidRDefault="004E7617" w:rsidP="004E7617">
            <w:pPr>
              <w:spacing w:line="276" w:lineRule="auto"/>
              <w:jc w:val="center"/>
              <w:rPr>
                <w:rFonts w:ascii="Times New Roman" w:hAnsi="Times New Roman" w:cs="Times New Roman"/>
                <w:sz w:val="20"/>
                <w:szCs w:val="20"/>
              </w:rPr>
            </w:pPr>
          </w:p>
          <w:p w14:paraId="0847FF75" w14:textId="77777777" w:rsidR="004E7617" w:rsidRPr="00373342" w:rsidRDefault="004E7617" w:rsidP="004E7617">
            <w:pPr>
              <w:spacing w:line="276" w:lineRule="auto"/>
              <w:jc w:val="center"/>
              <w:rPr>
                <w:rFonts w:ascii="Times New Roman" w:hAnsi="Times New Roman" w:cs="Times New Roman"/>
                <w:sz w:val="20"/>
                <w:szCs w:val="20"/>
              </w:rPr>
            </w:pPr>
          </w:p>
          <w:p w14:paraId="5B1610B7" w14:textId="77777777" w:rsidR="004E7617" w:rsidRPr="00373342" w:rsidRDefault="004E7617" w:rsidP="004E7617">
            <w:pPr>
              <w:spacing w:line="276" w:lineRule="auto"/>
              <w:jc w:val="center"/>
              <w:rPr>
                <w:rFonts w:ascii="Times New Roman" w:hAnsi="Times New Roman" w:cs="Times New Roman"/>
                <w:sz w:val="20"/>
                <w:szCs w:val="20"/>
              </w:rPr>
            </w:pPr>
          </w:p>
          <w:p w14:paraId="346BB4FE" w14:textId="77777777" w:rsidR="004E7617" w:rsidRPr="00373342" w:rsidRDefault="004E7617" w:rsidP="004E7617">
            <w:pPr>
              <w:spacing w:line="276" w:lineRule="auto"/>
              <w:jc w:val="center"/>
              <w:rPr>
                <w:rFonts w:ascii="Times New Roman" w:hAnsi="Times New Roman" w:cs="Times New Roman"/>
                <w:sz w:val="20"/>
                <w:szCs w:val="20"/>
              </w:rPr>
            </w:pPr>
          </w:p>
          <w:p w14:paraId="02001463" w14:textId="77777777" w:rsidR="004E7617" w:rsidRPr="00373342" w:rsidRDefault="004E7617" w:rsidP="004E7617">
            <w:pPr>
              <w:spacing w:line="276" w:lineRule="auto"/>
              <w:jc w:val="center"/>
              <w:rPr>
                <w:rFonts w:ascii="Times New Roman" w:hAnsi="Times New Roman" w:cs="Times New Roman"/>
                <w:sz w:val="20"/>
                <w:szCs w:val="20"/>
              </w:rPr>
            </w:pPr>
          </w:p>
          <w:p w14:paraId="15D28A8A" w14:textId="77777777" w:rsidR="004E7617" w:rsidRPr="00373342" w:rsidRDefault="004E7617" w:rsidP="004E7617">
            <w:pPr>
              <w:spacing w:line="276" w:lineRule="auto"/>
              <w:jc w:val="center"/>
              <w:rPr>
                <w:rFonts w:ascii="Times New Roman" w:hAnsi="Times New Roman" w:cs="Times New Roman"/>
                <w:sz w:val="20"/>
                <w:szCs w:val="20"/>
              </w:rPr>
            </w:pPr>
          </w:p>
          <w:p w14:paraId="760844BE" w14:textId="77777777" w:rsidR="004E7617" w:rsidRPr="00373342" w:rsidRDefault="004E7617" w:rsidP="004E7617">
            <w:pPr>
              <w:spacing w:line="276" w:lineRule="auto"/>
              <w:jc w:val="center"/>
              <w:rPr>
                <w:rFonts w:ascii="Times New Roman" w:hAnsi="Times New Roman" w:cs="Times New Roman"/>
                <w:sz w:val="20"/>
                <w:szCs w:val="20"/>
              </w:rPr>
            </w:pPr>
          </w:p>
          <w:p w14:paraId="216F5708" w14:textId="77777777" w:rsidR="004E7617" w:rsidRPr="00373342" w:rsidRDefault="004E7617" w:rsidP="004E7617">
            <w:pPr>
              <w:spacing w:line="276" w:lineRule="auto"/>
              <w:jc w:val="center"/>
              <w:rPr>
                <w:rFonts w:ascii="Times New Roman" w:hAnsi="Times New Roman" w:cs="Times New Roman"/>
                <w:sz w:val="20"/>
                <w:szCs w:val="20"/>
              </w:rPr>
            </w:pPr>
          </w:p>
          <w:p w14:paraId="47D6DD3B" w14:textId="79DEA207"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2</w:t>
            </w:r>
          </w:p>
        </w:tc>
        <w:tc>
          <w:tcPr>
            <w:tcW w:w="1260" w:type="dxa"/>
            <w:shd w:val="clear" w:color="auto" w:fill="FFFFFF" w:themeFill="background1"/>
          </w:tcPr>
          <w:p w14:paraId="403355D6" w14:textId="77777777" w:rsidR="002A0368"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63/3, shkronja “b”</w:t>
            </w:r>
            <w:r w:rsidRPr="00373342">
              <w:rPr>
                <w:rFonts w:ascii="Times New Roman" w:hAnsi="Times New Roman" w:cs="Times New Roman"/>
                <w:sz w:val="20"/>
                <w:szCs w:val="20"/>
              </w:rPr>
              <w:br/>
            </w:r>
            <w:r w:rsidRPr="00373342">
              <w:rPr>
                <w:rFonts w:ascii="Times New Roman" w:hAnsi="Times New Roman" w:cs="Times New Roman"/>
                <w:sz w:val="20"/>
                <w:szCs w:val="20"/>
              </w:rPr>
              <w:br/>
            </w:r>
          </w:p>
          <w:p w14:paraId="5B3AA645" w14:textId="77777777" w:rsidR="002A0368" w:rsidRDefault="002A0368" w:rsidP="004E7617">
            <w:pPr>
              <w:spacing w:line="276" w:lineRule="auto"/>
              <w:jc w:val="center"/>
              <w:rPr>
                <w:rFonts w:ascii="Times New Roman" w:hAnsi="Times New Roman" w:cs="Times New Roman"/>
                <w:sz w:val="20"/>
                <w:szCs w:val="20"/>
              </w:rPr>
            </w:pPr>
          </w:p>
          <w:p w14:paraId="2CF44955" w14:textId="77777777" w:rsidR="002A0368" w:rsidRDefault="002A0368" w:rsidP="004E7617">
            <w:pPr>
              <w:spacing w:line="276" w:lineRule="auto"/>
              <w:jc w:val="center"/>
              <w:rPr>
                <w:rFonts w:ascii="Times New Roman" w:hAnsi="Times New Roman" w:cs="Times New Roman"/>
                <w:sz w:val="20"/>
                <w:szCs w:val="20"/>
              </w:rPr>
            </w:pPr>
          </w:p>
          <w:p w14:paraId="59ACD312" w14:textId="77777777" w:rsidR="002A0368" w:rsidRDefault="002A0368" w:rsidP="004E7617">
            <w:pPr>
              <w:spacing w:line="276" w:lineRule="auto"/>
              <w:jc w:val="center"/>
              <w:rPr>
                <w:rFonts w:ascii="Times New Roman" w:hAnsi="Times New Roman" w:cs="Times New Roman"/>
                <w:sz w:val="20"/>
                <w:szCs w:val="20"/>
              </w:rPr>
            </w:pPr>
          </w:p>
          <w:p w14:paraId="2D2714B8" w14:textId="77777777" w:rsidR="002A0368" w:rsidRDefault="002A0368" w:rsidP="004E7617">
            <w:pPr>
              <w:spacing w:line="276" w:lineRule="auto"/>
              <w:jc w:val="center"/>
              <w:rPr>
                <w:rFonts w:ascii="Times New Roman" w:hAnsi="Times New Roman" w:cs="Times New Roman"/>
                <w:sz w:val="20"/>
                <w:szCs w:val="20"/>
              </w:rPr>
            </w:pPr>
          </w:p>
          <w:p w14:paraId="327EF92E" w14:textId="77777777" w:rsidR="002A0368" w:rsidRDefault="002A0368" w:rsidP="004E7617">
            <w:pPr>
              <w:spacing w:line="276" w:lineRule="auto"/>
              <w:jc w:val="center"/>
              <w:rPr>
                <w:rFonts w:ascii="Times New Roman" w:hAnsi="Times New Roman" w:cs="Times New Roman"/>
                <w:sz w:val="20"/>
                <w:szCs w:val="20"/>
              </w:rPr>
            </w:pPr>
          </w:p>
          <w:p w14:paraId="05D56A44" w14:textId="77777777" w:rsidR="002A0368" w:rsidRDefault="002A0368" w:rsidP="004E7617">
            <w:pPr>
              <w:spacing w:line="276" w:lineRule="auto"/>
              <w:jc w:val="center"/>
              <w:rPr>
                <w:rFonts w:ascii="Times New Roman" w:hAnsi="Times New Roman" w:cs="Times New Roman"/>
                <w:sz w:val="20"/>
                <w:szCs w:val="20"/>
              </w:rPr>
            </w:pPr>
          </w:p>
          <w:p w14:paraId="13003986" w14:textId="77777777" w:rsidR="002A0368" w:rsidRDefault="002A0368" w:rsidP="004E7617">
            <w:pPr>
              <w:spacing w:line="276" w:lineRule="auto"/>
              <w:jc w:val="center"/>
              <w:rPr>
                <w:rFonts w:ascii="Times New Roman" w:hAnsi="Times New Roman" w:cs="Times New Roman"/>
                <w:sz w:val="20"/>
                <w:szCs w:val="20"/>
              </w:rPr>
            </w:pPr>
          </w:p>
          <w:p w14:paraId="6FB97B87" w14:textId="77777777" w:rsidR="002A0368" w:rsidRDefault="002A0368" w:rsidP="004E7617">
            <w:pPr>
              <w:spacing w:line="276" w:lineRule="auto"/>
              <w:jc w:val="center"/>
              <w:rPr>
                <w:rFonts w:ascii="Times New Roman" w:hAnsi="Times New Roman" w:cs="Times New Roman"/>
                <w:sz w:val="20"/>
                <w:szCs w:val="20"/>
              </w:rPr>
            </w:pPr>
          </w:p>
          <w:p w14:paraId="51E849CE" w14:textId="77777777" w:rsidR="002A0368" w:rsidRDefault="002A0368" w:rsidP="004E7617">
            <w:pPr>
              <w:spacing w:line="276" w:lineRule="auto"/>
              <w:jc w:val="center"/>
              <w:rPr>
                <w:rFonts w:ascii="Times New Roman" w:hAnsi="Times New Roman" w:cs="Times New Roman"/>
                <w:sz w:val="20"/>
                <w:szCs w:val="20"/>
              </w:rPr>
            </w:pPr>
          </w:p>
          <w:p w14:paraId="3E4DE89C" w14:textId="77777777" w:rsidR="002A0368" w:rsidRDefault="002A0368" w:rsidP="004E7617">
            <w:pPr>
              <w:spacing w:line="276" w:lineRule="auto"/>
              <w:jc w:val="center"/>
              <w:rPr>
                <w:rFonts w:ascii="Times New Roman" w:hAnsi="Times New Roman" w:cs="Times New Roman"/>
                <w:sz w:val="20"/>
                <w:szCs w:val="20"/>
              </w:rPr>
            </w:pPr>
          </w:p>
          <w:p w14:paraId="61277870" w14:textId="77777777" w:rsidR="002A0368" w:rsidRDefault="002A0368" w:rsidP="004E7617">
            <w:pPr>
              <w:spacing w:line="276" w:lineRule="auto"/>
              <w:jc w:val="center"/>
              <w:rPr>
                <w:rFonts w:ascii="Times New Roman" w:hAnsi="Times New Roman" w:cs="Times New Roman"/>
                <w:sz w:val="20"/>
                <w:szCs w:val="20"/>
              </w:rPr>
            </w:pPr>
          </w:p>
          <w:p w14:paraId="2353421E" w14:textId="4DE18E93"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5</w:t>
            </w:r>
          </w:p>
          <w:p w14:paraId="7129C1AC" w14:textId="77777777" w:rsidR="004E7617" w:rsidRPr="00373342" w:rsidRDefault="004E7617" w:rsidP="004E7617">
            <w:pPr>
              <w:spacing w:line="276" w:lineRule="auto"/>
              <w:jc w:val="center"/>
              <w:rPr>
                <w:rFonts w:ascii="Times New Roman" w:hAnsi="Times New Roman" w:cs="Times New Roman"/>
                <w:sz w:val="20"/>
                <w:szCs w:val="20"/>
              </w:rPr>
            </w:pPr>
          </w:p>
          <w:p w14:paraId="63CD20CB" w14:textId="77777777" w:rsidR="004E7617" w:rsidRPr="00373342" w:rsidRDefault="004E7617" w:rsidP="004E7617">
            <w:pPr>
              <w:spacing w:line="276" w:lineRule="auto"/>
              <w:jc w:val="center"/>
              <w:rPr>
                <w:rFonts w:ascii="Times New Roman" w:hAnsi="Times New Roman" w:cs="Times New Roman"/>
                <w:sz w:val="20"/>
                <w:szCs w:val="20"/>
              </w:rPr>
            </w:pPr>
          </w:p>
          <w:p w14:paraId="13379820" w14:textId="77777777" w:rsidR="004E7617" w:rsidRPr="00373342" w:rsidRDefault="004E7617" w:rsidP="004E7617">
            <w:pPr>
              <w:spacing w:line="276" w:lineRule="auto"/>
              <w:jc w:val="center"/>
              <w:rPr>
                <w:rFonts w:ascii="Times New Roman" w:hAnsi="Times New Roman" w:cs="Times New Roman"/>
                <w:sz w:val="20"/>
                <w:szCs w:val="20"/>
              </w:rPr>
            </w:pPr>
          </w:p>
          <w:p w14:paraId="11FC1F71" w14:textId="77777777" w:rsidR="004E7617" w:rsidRPr="00373342" w:rsidRDefault="004E7617" w:rsidP="004E7617">
            <w:pPr>
              <w:spacing w:line="276" w:lineRule="auto"/>
              <w:jc w:val="center"/>
              <w:rPr>
                <w:rFonts w:ascii="Times New Roman" w:hAnsi="Times New Roman" w:cs="Times New Roman"/>
                <w:sz w:val="20"/>
                <w:szCs w:val="20"/>
              </w:rPr>
            </w:pPr>
          </w:p>
          <w:p w14:paraId="3E15DA39" w14:textId="77777777" w:rsidR="004E7617" w:rsidRPr="00373342" w:rsidRDefault="004E7617" w:rsidP="004E7617">
            <w:pPr>
              <w:spacing w:line="276" w:lineRule="auto"/>
              <w:jc w:val="center"/>
              <w:rPr>
                <w:rFonts w:ascii="Times New Roman" w:hAnsi="Times New Roman" w:cs="Times New Roman"/>
                <w:sz w:val="20"/>
                <w:szCs w:val="20"/>
              </w:rPr>
            </w:pPr>
          </w:p>
          <w:p w14:paraId="265AA4B7" w14:textId="77777777" w:rsidR="004E7617" w:rsidRPr="00373342" w:rsidRDefault="004E7617" w:rsidP="004E7617">
            <w:pPr>
              <w:spacing w:line="276" w:lineRule="auto"/>
              <w:jc w:val="center"/>
              <w:rPr>
                <w:rFonts w:ascii="Times New Roman" w:hAnsi="Times New Roman" w:cs="Times New Roman"/>
                <w:sz w:val="20"/>
                <w:szCs w:val="20"/>
              </w:rPr>
            </w:pPr>
          </w:p>
          <w:p w14:paraId="5280A575" w14:textId="77777777" w:rsidR="004E7617" w:rsidRPr="00373342" w:rsidRDefault="004E7617" w:rsidP="004E7617">
            <w:pPr>
              <w:spacing w:line="276" w:lineRule="auto"/>
              <w:jc w:val="center"/>
              <w:rPr>
                <w:rFonts w:ascii="Times New Roman" w:hAnsi="Times New Roman" w:cs="Times New Roman"/>
                <w:sz w:val="20"/>
                <w:szCs w:val="20"/>
              </w:rPr>
            </w:pPr>
          </w:p>
          <w:p w14:paraId="5667C746" w14:textId="77777777" w:rsidR="004E7617" w:rsidRPr="00373342" w:rsidRDefault="004E7617" w:rsidP="004E7617">
            <w:pPr>
              <w:spacing w:line="276" w:lineRule="auto"/>
              <w:jc w:val="center"/>
              <w:rPr>
                <w:rFonts w:ascii="Times New Roman" w:hAnsi="Times New Roman" w:cs="Times New Roman"/>
                <w:sz w:val="20"/>
                <w:szCs w:val="20"/>
              </w:rPr>
            </w:pPr>
          </w:p>
          <w:p w14:paraId="597470A2" w14:textId="77777777" w:rsidR="004E7617" w:rsidRPr="00373342" w:rsidRDefault="004E7617" w:rsidP="004E7617">
            <w:pPr>
              <w:spacing w:line="276" w:lineRule="auto"/>
              <w:jc w:val="center"/>
              <w:rPr>
                <w:rFonts w:ascii="Times New Roman" w:hAnsi="Times New Roman" w:cs="Times New Roman"/>
                <w:sz w:val="20"/>
                <w:szCs w:val="20"/>
              </w:rPr>
            </w:pPr>
          </w:p>
          <w:p w14:paraId="3D352B56" w14:textId="77777777" w:rsidR="004E7617" w:rsidRPr="00373342" w:rsidRDefault="004E7617" w:rsidP="004E7617">
            <w:pPr>
              <w:spacing w:line="276" w:lineRule="auto"/>
              <w:jc w:val="center"/>
              <w:rPr>
                <w:rFonts w:ascii="Times New Roman" w:hAnsi="Times New Roman" w:cs="Times New Roman"/>
                <w:sz w:val="20"/>
                <w:szCs w:val="20"/>
              </w:rPr>
            </w:pPr>
          </w:p>
          <w:p w14:paraId="28B371C9" w14:textId="77777777" w:rsidR="004E7617" w:rsidRPr="00373342" w:rsidRDefault="004E7617" w:rsidP="004E7617">
            <w:pPr>
              <w:spacing w:line="276" w:lineRule="auto"/>
              <w:jc w:val="center"/>
              <w:rPr>
                <w:rFonts w:ascii="Times New Roman" w:hAnsi="Times New Roman" w:cs="Times New Roman"/>
                <w:sz w:val="20"/>
                <w:szCs w:val="20"/>
              </w:rPr>
            </w:pPr>
          </w:p>
          <w:p w14:paraId="1907594E" w14:textId="77777777" w:rsidR="004E7617" w:rsidRPr="00373342" w:rsidRDefault="004E7617" w:rsidP="004E7617">
            <w:pPr>
              <w:spacing w:line="276" w:lineRule="auto"/>
              <w:jc w:val="center"/>
              <w:rPr>
                <w:rFonts w:ascii="Times New Roman" w:hAnsi="Times New Roman" w:cs="Times New Roman"/>
                <w:sz w:val="20"/>
                <w:szCs w:val="20"/>
              </w:rPr>
            </w:pPr>
          </w:p>
          <w:p w14:paraId="18F209DC" w14:textId="49F9B584" w:rsidR="004E7617" w:rsidRPr="00373342" w:rsidRDefault="004E7617" w:rsidP="004E7617">
            <w:pPr>
              <w:spacing w:line="276" w:lineRule="auto"/>
              <w:jc w:val="center"/>
              <w:rPr>
                <w:rFonts w:ascii="Times New Roman" w:hAnsi="Times New Roman" w:cs="Times New Roman"/>
                <w:sz w:val="20"/>
                <w:szCs w:val="20"/>
              </w:rPr>
            </w:pPr>
          </w:p>
        </w:tc>
        <w:tc>
          <w:tcPr>
            <w:tcW w:w="3870" w:type="dxa"/>
            <w:shd w:val="clear" w:color="auto" w:fill="FFFFFF" w:themeFill="background1"/>
          </w:tcPr>
          <w:p w14:paraId="48A2F44F" w14:textId="77777777" w:rsidR="004E7617" w:rsidRPr="00472C4C" w:rsidRDefault="004E7617" w:rsidP="004E7617">
            <w:pPr>
              <w:pBdr>
                <w:top w:val="nil"/>
                <w:left w:val="nil"/>
                <w:bottom w:val="nil"/>
                <w:right w:val="nil"/>
                <w:between w:val="nil"/>
              </w:pBdr>
              <w:spacing w:line="276" w:lineRule="auto"/>
              <w:rPr>
                <w:rFonts w:ascii="Times New Roman" w:hAnsi="Times New Roman" w:cs="Times New Roman"/>
                <w:sz w:val="20"/>
                <w:szCs w:val="20"/>
              </w:rPr>
            </w:pPr>
            <w:r w:rsidRPr="00472C4C">
              <w:rPr>
                <w:rFonts w:ascii="Times New Roman" w:hAnsi="Times New Roman" w:cs="Times New Roman"/>
                <w:sz w:val="20"/>
                <w:szCs w:val="20"/>
              </w:rPr>
              <w:lastRenderedPageBreak/>
              <w:t>Njoftimi</w:t>
            </w:r>
            <w:r w:rsidRPr="00472C4C">
              <w:rPr>
                <w:rFonts w:ascii="Times New Roman" w:hAnsi="Times New Roman" w:cs="Times New Roman"/>
                <w:sz w:val="20"/>
                <w:szCs w:val="20"/>
              </w:rPr>
              <w:br/>
            </w:r>
            <w:r w:rsidRPr="00472C4C">
              <w:rPr>
                <w:rFonts w:ascii="Times New Roman" w:hAnsi="Times New Roman" w:cs="Times New Roman"/>
                <w:sz w:val="20"/>
                <w:szCs w:val="20"/>
              </w:rPr>
              <w:br/>
              <w:t>Çdo entitet përbërës, që është rezident për qëllime tatimore në Shqipëri, duhet të njoftojë administratën tatimore jo më vonë se dita e fundit e vitit fiskal raportues të grupit të shoqërive shumëkombëshe: ...</w:t>
            </w:r>
            <w:r w:rsidRPr="00472C4C">
              <w:rPr>
                <w:rFonts w:ascii="Times New Roman" w:hAnsi="Times New Roman" w:cs="Times New Roman"/>
                <w:sz w:val="20"/>
                <w:szCs w:val="20"/>
              </w:rPr>
              <w:br/>
            </w:r>
            <w:r w:rsidRPr="00472C4C">
              <w:rPr>
                <w:rFonts w:ascii="Times New Roman" w:hAnsi="Times New Roman" w:cs="Times New Roman"/>
                <w:sz w:val="20"/>
                <w:szCs w:val="20"/>
              </w:rPr>
              <w:br/>
              <w:t>b) kur entiteti përbërës nuk është as entiteti mëmë përfundimtar i grupit të shoqërive shumëkombëshe, as entiteti mëmë zëvendësues dhe as entiteti përbërës i caktuar, të dhënat identifikuese dhe rezidencën tatimore të entitetit raportues.</w:t>
            </w:r>
            <w:r w:rsidRPr="00472C4C">
              <w:rPr>
                <w:rFonts w:ascii="Times New Roman" w:hAnsi="Times New Roman" w:cs="Times New Roman"/>
                <w:sz w:val="20"/>
                <w:szCs w:val="20"/>
              </w:rPr>
              <w:br/>
            </w:r>
            <w:r w:rsidRPr="00472C4C">
              <w:rPr>
                <w:rFonts w:ascii="Times New Roman" w:hAnsi="Times New Roman" w:cs="Times New Roman"/>
                <w:sz w:val="20"/>
                <w:szCs w:val="20"/>
              </w:rPr>
              <w:br/>
              <w:t>Njoftimet</w:t>
            </w:r>
            <w:r w:rsidRPr="00472C4C">
              <w:rPr>
                <w:rFonts w:ascii="Times New Roman" w:hAnsi="Times New Roman" w:cs="Times New Roman"/>
                <w:sz w:val="20"/>
                <w:szCs w:val="20"/>
              </w:rPr>
              <w:br/>
            </w:r>
            <w:r w:rsidRPr="00472C4C">
              <w:rPr>
                <w:rFonts w:ascii="Times New Roman" w:hAnsi="Times New Roman" w:cs="Times New Roman"/>
                <w:sz w:val="20"/>
                <w:szCs w:val="20"/>
              </w:rPr>
              <w:br/>
              <w:t xml:space="preserve">Detyrimi i njoftimit lidhur me raportimin për çdo vend, duke iu referuar nenit 63/3 të ligjit nr. 9920, datë 19.5.2008, “Për procedurat tatimore në Republikën e Shqipërisë”, të ndryshuar, zbatohet për të gjitha entitetet përbërëse të një grupi shoqërie </w:t>
            </w:r>
            <w:r w:rsidRPr="00472C4C">
              <w:rPr>
                <w:rFonts w:ascii="Times New Roman" w:hAnsi="Times New Roman" w:cs="Times New Roman"/>
                <w:sz w:val="20"/>
                <w:szCs w:val="20"/>
              </w:rPr>
              <w:lastRenderedPageBreak/>
              <w:t>shumëkombëshe që janë rezidente tatimore në Shqipëri, sipas kuptimit të dhënë në nenin 63/1 të këtij ligji. Pavarësisht nëse vepron si entitet mëmë përfundimtar ose ndryshe, entiteti informon administratën tatimore për të dhënat e entitetit raportues, nëpërmjet informacionit specifik të parashikuar në shtojcën 2.</w:t>
            </w:r>
          </w:p>
          <w:p w14:paraId="004ED84D" w14:textId="77777777" w:rsidR="004E7617" w:rsidRPr="00472C4C" w:rsidRDefault="004E7617" w:rsidP="004E7617">
            <w:pPr>
              <w:pBdr>
                <w:top w:val="nil"/>
                <w:left w:val="nil"/>
                <w:bottom w:val="nil"/>
                <w:right w:val="nil"/>
                <w:between w:val="nil"/>
              </w:pBdr>
              <w:spacing w:before="120" w:line="276" w:lineRule="auto"/>
              <w:rPr>
                <w:rFonts w:ascii="Times New Roman" w:hAnsi="Times New Roman" w:cs="Times New Roman"/>
                <w:sz w:val="20"/>
                <w:szCs w:val="20"/>
              </w:rPr>
            </w:pPr>
          </w:p>
          <w:p w14:paraId="62C28EBD" w14:textId="77777777" w:rsidR="004E7617" w:rsidRPr="00472C4C" w:rsidRDefault="004E7617" w:rsidP="004E7617">
            <w:pPr>
              <w:pBdr>
                <w:top w:val="nil"/>
                <w:left w:val="nil"/>
                <w:bottom w:val="nil"/>
                <w:right w:val="nil"/>
                <w:between w:val="nil"/>
              </w:pBdr>
              <w:spacing w:before="120" w:line="276" w:lineRule="auto"/>
              <w:rPr>
                <w:rFonts w:ascii="Times New Roman" w:eastAsia="Times New Roman" w:hAnsi="Times New Roman" w:cs="Times New Roman"/>
                <w:sz w:val="20"/>
                <w:szCs w:val="20"/>
                <w:lang w:eastAsia="en-IE"/>
              </w:rPr>
            </w:pPr>
          </w:p>
          <w:p w14:paraId="39114DAF" w14:textId="77777777" w:rsidR="004E7617" w:rsidRPr="00472C4C" w:rsidRDefault="004E7617" w:rsidP="004E7617">
            <w:pPr>
              <w:pBdr>
                <w:top w:val="nil"/>
                <w:left w:val="nil"/>
                <w:bottom w:val="nil"/>
                <w:right w:val="nil"/>
                <w:between w:val="nil"/>
              </w:pBdr>
              <w:spacing w:line="276" w:lineRule="auto"/>
              <w:rPr>
                <w:rFonts w:ascii="Times New Roman" w:eastAsia="Times New Roman" w:hAnsi="Times New Roman" w:cs="Times New Roman"/>
                <w:sz w:val="20"/>
                <w:szCs w:val="20"/>
                <w:lang w:eastAsia="en-IE"/>
              </w:rPr>
            </w:pPr>
          </w:p>
          <w:p w14:paraId="1398F652" w14:textId="77777777" w:rsidR="004E7617" w:rsidRPr="00472C4C" w:rsidRDefault="004E7617" w:rsidP="004E7617">
            <w:pPr>
              <w:pBdr>
                <w:top w:val="nil"/>
                <w:left w:val="nil"/>
                <w:bottom w:val="nil"/>
                <w:right w:val="nil"/>
                <w:between w:val="nil"/>
              </w:pBdr>
              <w:spacing w:line="276" w:lineRule="auto"/>
              <w:rPr>
                <w:rFonts w:ascii="Times New Roman" w:eastAsia="Times New Roman" w:hAnsi="Times New Roman" w:cs="Times New Roman"/>
                <w:sz w:val="20"/>
                <w:szCs w:val="20"/>
                <w:lang w:eastAsia="en-IE"/>
              </w:rPr>
            </w:pPr>
          </w:p>
          <w:p w14:paraId="0558BB65" w14:textId="77777777" w:rsidR="004E7617" w:rsidRPr="00472C4C" w:rsidRDefault="004E7617" w:rsidP="004E7617">
            <w:pPr>
              <w:pBdr>
                <w:top w:val="nil"/>
                <w:left w:val="nil"/>
                <w:bottom w:val="nil"/>
                <w:right w:val="nil"/>
                <w:between w:val="nil"/>
              </w:pBdr>
              <w:spacing w:line="276" w:lineRule="auto"/>
              <w:rPr>
                <w:rFonts w:ascii="Times New Roman" w:eastAsia="Times New Roman" w:hAnsi="Times New Roman" w:cs="Times New Roman"/>
                <w:sz w:val="20"/>
                <w:szCs w:val="20"/>
                <w:lang w:eastAsia="en-IE"/>
              </w:rPr>
            </w:pPr>
          </w:p>
          <w:p w14:paraId="4E1B6666" w14:textId="77777777" w:rsidR="004E7617" w:rsidRPr="00472C4C" w:rsidRDefault="004E7617" w:rsidP="004E7617">
            <w:pPr>
              <w:pBdr>
                <w:top w:val="nil"/>
                <w:left w:val="nil"/>
                <w:bottom w:val="nil"/>
                <w:right w:val="nil"/>
                <w:between w:val="nil"/>
              </w:pBdr>
              <w:spacing w:line="276" w:lineRule="auto"/>
              <w:rPr>
                <w:rFonts w:ascii="Times New Roman" w:eastAsia="Times New Roman" w:hAnsi="Times New Roman" w:cs="Times New Roman"/>
                <w:sz w:val="20"/>
                <w:szCs w:val="20"/>
                <w:lang w:eastAsia="en-IE"/>
              </w:rPr>
            </w:pPr>
          </w:p>
          <w:p w14:paraId="2D3D170D" w14:textId="3819BAAE" w:rsidR="004E7617" w:rsidRPr="00472C4C" w:rsidRDefault="004E7617" w:rsidP="004E7617">
            <w:pPr>
              <w:pBdr>
                <w:top w:val="nil"/>
                <w:left w:val="nil"/>
                <w:bottom w:val="nil"/>
                <w:right w:val="nil"/>
                <w:between w:val="nil"/>
              </w:pBdr>
              <w:spacing w:line="276" w:lineRule="auto"/>
              <w:rPr>
                <w:rFonts w:ascii="Times New Roman" w:eastAsia="Times New Roman" w:hAnsi="Times New Roman" w:cs="Times New Roman"/>
                <w:sz w:val="20"/>
                <w:szCs w:val="20"/>
                <w:lang w:eastAsia="en-IE"/>
              </w:rPr>
            </w:pPr>
          </w:p>
          <w:p w14:paraId="1BAA1FD9" w14:textId="7B9F8B2E" w:rsidR="004E7617" w:rsidRPr="00472C4C" w:rsidRDefault="004E7617" w:rsidP="004E7617">
            <w:pPr>
              <w:pBdr>
                <w:top w:val="nil"/>
                <w:left w:val="nil"/>
                <w:bottom w:val="nil"/>
                <w:right w:val="nil"/>
                <w:between w:val="nil"/>
              </w:pBdr>
              <w:spacing w:before="120" w:line="276" w:lineRule="auto"/>
              <w:rPr>
                <w:rFonts w:ascii="Times New Roman" w:eastAsia="Times New Roman" w:hAnsi="Times New Roman" w:cs="Times New Roman"/>
                <w:sz w:val="20"/>
                <w:szCs w:val="20"/>
                <w:lang w:eastAsia="en-IE"/>
              </w:rPr>
            </w:pPr>
          </w:p>
          <w:p w14:paraId="18710634" w14:textId="68947E4E" w:rsidR="004E7617" w:rsidRPr="00472C4C" w:rsidRDefault="004E7617" w:rsidP="004E7617">
            <w:pPr>
              <w:spacing w:line="276" w:lineRule="auto"/>
              <w:rPr>
                <w:rFonts w:ascii="Times New Roman" w:hAnsi="Times New Roman" w:cs="Times New Roman"/>
                <w:sz w:val="20"/>
                <w:szCs w:val="20"/>
              </w:rPr>
            </w:pPr>
          </w:p>
        </w:tc>
        <w:tc>
          <w:tcPr>
            <w:tcW w:w="1620" w:type="dxa"/>
            <w:shd w:val="clear" w:color="auto" w:fill="FFFFFF" w:themeFill="background1"/>
          </w:tcPr>
          <w:p w14:paraId="4307C518" w14:textId="74702AD5" w:rsidR="004E7617" w:rsidRPr="00373342" w:rsidRDefault="004E7617" w:rsidP="004E7617">
            <w:pPr>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E plotë</w:t>
            </w:r>
          </w:p>
        </w:tc>
        <w:tc>
          <w:tcPr>
            <w:tcW w:w="2790" w:type="dxa"/>
            <w:shd w:val="clear" w:color="auto" w:fill="FFFFFF" w:themeFill="background1"/>
          </w:tcPr>
          <w:p w14:paraId="1C20F925" w14:textId="19C654D4" w:rsidR="004E7617" w:rsidRPr="00373342" w:rsidRDefault="004E7617" w:rsidP="004E7617">
            <w:pPr>
              <w:spacing w:line="276" w:lineRule="auto"/>
              <w:rPr>
                <w:rFonts w:ascii="Times New Roman" w:hAnsi="Times New Roman" w:cs="Times New Roman"/>
                <w:sz w:val="20"/>
                <w:szCs w:val="20"/>
              </w:rPr>
            </w:pPr>
          </w:p>
        </w:tc>
      </w:tr>
      <w:tr w:rsidR="004E7617" w:rsidRPr="00373342" w14:paraId="3566F36B" w14:textId="77777777" w:rsidTr="00373342">
        <w:tc>
          <w:tcPr>
            <w:tcW w:w="1440" w:type="dxa"/>
            <w:shd w:val="clear" w:color="auto" w:fill="FFFFFF" w:themeFill="background1"/>
          </w:tcPr>
          <w:p w14:paraId="5DD66C59" w14:textId="45FE4AFE" w:rsidR="004E7617" w:rsidRPr="00373342" w:rsidRDefault="004E7617" w:rsidP="004E7617">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Shtojca III, Seksioni II, Pika 5</w:t>
            </w:r>
          </w:p>
        </w:tc>
        <w:tc>
          <w:tcPr>
            <w:tcW w:w="3960" w:type="dxa"/>
            <w:shd w:val="clear" w:color="auto" w:fill="FFFFFF" w:themeFill="background1"/>
          </w:tcPr>
          <w:p w14:paraId="06077936" w14:textId="39C4AE7E" w:rsidR="004E7617" w:rsidRPr="00373342" w:rsidRDefault="004E7617" w:rsidP="004E7617">
            <w:pPr>
              <w:spacing w:line="276" w:lineRule="auto"/>
              <w:rPr>
                <w:rFonts w:ascii="Times New Roman" w:hAnsi="Times New Roman" w:cs="Times New Roman"/>
                <w:sz w:val="20"/>
                <w:szCs w:val="20"/>
              </w:rPr>
            </w:pPr>
            <w:r w:rsidRPr="00373342">
              <w:rPr>
                <w:rFonts w:ascii="Times New Roman" w:hAnsi="Times New Roman" w:cs="Times New Roman"/>
                <w:sz w:val="20"/>
                <w:szCs w:val="20"/>
              </w:rPr>
              <w:t>5. Raporti për çdo vend specifikon monedhën e shumave të përmendura në atë raport.</w:t>
            </w:r>
          </w:p>
        </w:tc>
        <w:tc>
          <w:tcPr>
            <w:tcW w:w="1170" w:type="dxa"/>
            <w:shd w:val="clear" w:color="auto" w:fill="FFFFFF" w:themeFill="background1"/>
          </w:tcPr>
          <w:p w14:paraId="67C1CF27" w14:textId="61F93249"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2</w:t>
            </w:r>
          </w:p>
        </w:tc>
        <w:tc>
          <w:tcPr>
            <w:tcW w:w="1260" w:type="dxa"/>
            <w:shd w:val="clear" w:color="auto" w:fill="FFFFFF" w:themeFill="background1"/>
          </w:tcPr>
          <w:p w14:paraId="1134F066" w14:textId="54A6F089"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3, pika 4</w:t>
            </w:r>
          </w:p>
        </w:tc>
        <w:tc>
          <w:tcPr>
            <w:tcW w:w="3870" w:type="dxa"/>
            <w:shd w:val="clear" w:color="auto" w:fill="FFFFFF" w:themeFill="background1"/>
          </w:tcPr>
          <w:p w14:paraId="5FF5B60B" w14:textId="77341EDB" w:rsidR="004E7617" w:rsidRPr="00472C4C" w:rsidRDefault="004E7617" w:rsidP="004E7617">
            <w:pPr>
              <w:pBdr>
                <w:top w:val="nil"/>
                <w:left w:val="nil"/>
                <w:bottom w:val="nil"/>
                <w:right w:val="nil"/>
                <w:between w:val="nil"/>
              </w:pBdr>
              <w:spacing w:line="276" w:lineRule="auto"/>
              <w:rPr>
                <w:rFonts w:ascii="Times New Roman" w:eastAsia="Times New Roman" w:hAnsi="Times New Roman" w:cs="Times New Roman"/>
                <w:sz w:val="20"/>
                <w:szCs w:val="20"/>
                <w:lang w:eastAsia="en-IE"/>
              </w:rPr>
            </w:pPr>
            <w:r w:rsidRPr="00472C4C">
              <w:rPr>
                <w:rFonts w:ascii="Times New Roman" w:eastAsia="Times New Roman" w:hAnsi="Times New Roman" w:cs="Times New Roman"/>
                <w:sz w:val="20"/>
                <w:szCs w:val="20"/>
                <w:lang w:eastAsia="en-IE"/>
              </w:rPr>
              <w:t>4. ... Nëse pasqyrat financiare statutore përdoren si bazë për raportimin, të gjitha shumat konvertohen në monedhën funksionale të deklaruar të entitetit raportues me kursin mesatar të këmbimit për vitin, të deklaruar në Tabelën 3, “Informacion shtesë”, të Shtojcës 1.</w:t>
            </w:r>
            <w:r w:rsidRPr="00472C4C">
              <w:rPr>
                <w:rFonts w:ascii="Times New Roman" w:eastAsia="Times New Roman" w:hAnsi="Times New Roman" w:cs="Times New Roman"/>
                <w:sz w:val="20"/>
                <w:szCs w:val="20"/>
                <w:lang w:eastAsia="en-IE"/>
              </w:rPr>
              <w:br/>
            </w:r>
            <w:r w:rsidRPr="00472C4C">
              <w:rPr>
                <w:rFonts w:ascii="Times New Roman" w:eastAsia="Times New Roman" w:hAnsi="Times New Roman" w:cs="Times New Roman"/>
                <w:sz w:val="20"/>
                <w:szCs w:val="20"/>
                <w:lang w:eastAsia="en-IE"/>
              </w:rPr>
              <w:br/>
              <w:t>Shtojca 1</w:t>
            </w:r>
            <w:r w:rsidRPr="00472C4C">
              <w:rPr>
                <w:rFonts w:ascii="Times New Roman" w:eastAsia="Times New Roman" w:hAnsi="Times New Roman" w:cs="Times New Roman"/>
                <w:sz w:val="20"/>
                <w:szCs w:val="20"/>
                <w:lang w:eastAsia="en-IE"/>
              </w:rPr>
              <w:br/>
            </w:r>
            <w:r w:rsidRPr="00472C4C">
              <w:rPr>
                <w:rFonts w:ascii="Times New Roman" w:eastAsia="Times New Roman" w:hAnsi="Times New Roman" w:cs="Times New Roman"/>
                <w:sz w:val="20"/>
                <w:szCs w:val="20"/>
                <w:lang w:eastAsia="en-IE"/>
              </w:rPr>
              <w:br/>
              <w:t xml:space="preserve">Tabela 1. Pasqyra e shpërndarjes së të ardhurave, tatimeve dhe aktiviteteve të </w:t>
            </w:r>
            <w:r w:rsidRPr="00472C4C">
              <w:rPr>
                <w:rFonts w:ascii="Times New Roman" w:eastAsia="Times New Roman" w:hAnsi="Times New Roman" w:cs="Times New Roman"/>
                <w:sz w:val="20"/>
                <w:szCs w:val="20"/>
                <w:lang w:eastAsia="en-IE"/>
              </w:rPr>
              <w:lastRenderedPageBreak/>
              <w:t>biznesit sipas juridiksionit tatimor ® “Monedha e përdorur:”</w:t>
            </w:r>
          </w:p>
          <w:p w14:paraId="7055B955" w14:textId="77777777" w:rsidR="004E7617" w:rsidRPr="00472C4C" w:rsidRDefault="004E7617" w:rsidP="004E7617">
            <w:pPr>
              <w:pBdr>
                <w:top w:val="nil"/>
                <w:left w:val="nil"/>
                <w:bottom w:val="nil"/>
                <w:right w:val="nil"/>
                <w:between w:val="nil"/>
              </w:pBdr>
              <w:spacing w:before="120" w:line="276" w:lineRule="auto"/>
              <w:rPr>
                <w:rFonts w:ascii="Times New Roman" w:eastAsia="Times New Roman" w:hAnsi="Times New Roman" w:cs="Times New Roman"/>
                <w:sz w:val="20"/>
                <w:szCs w:val="20"/>
                <w:lang w:eastAsia="en-IE"/>
              </w:rPr>
            </w:pPr>
          </w:p>
          <w:p w14:paraId="23B3DCF4" w14:textId="77777777" w:rsidR="004E7617" w:rsidRPr="00472C4C" w:rsidRDefault="004E7617" w:rsidP="004E7617">
            <w:pPr>
              <w:pBdr>
                <w:top w:val="nil"/>
                <w:left w:val="nil"/>
                <w:bottom w:val="nil"/>
                <w:right w:val="nil"/>
                <w:between w:val="nil"/>
              </w:pBdr>
              <w:spacing w:before="120" w:line="276" w:lineRule="auto"/>
              <w:rPr>
                <w:rFonts w:ascii="Times New Roman" w:eastAsia="Times New Roman" w:hAnsi="Times New Roman" w:cs="Times New Roman"/>
                <w:sz w:val="20"/>
                <w:szCs w:val="20"/>
                <w:lang w:eastAsia="en-IE"/>
              </w:rPr>
            </w:pPr>
          </w:p>
          <w:p w14:paraId="6CA5DB39" w14:textId="77777777" w:rsidR="004E7617" w:rsidRPr="00472C4C" w:rsidRDefault="004E7617" w:rsidP="004E7617">
            <w:pPr>
              <w:pBdr>
                <w:top w:val="nil"/>
                <w:left w:val="nil"/>
                <w:bottom w:val="nil"/>
                <w:right w:val="nil"/>
                <w:between w:val="nil"/>
              </w:pBdr>
              <w:spacing w:before="120" w:line="276" w:lineRule="auto"/>
              <w:rPr>
                <w:rFonts w:ascii="Times New Roman" w:eastAsia="Times New Roman" w:hAnsi="Times New Roman" w:cs="Times New Roman"/>
                <w:sz w:val="20"/>
                <w:szCs w:val="20"/>
                <w:lang w:eastAsia="en-IE"/>
              </w:rPr>
            </w:pPr>
          </w:p>
          <w:p w14:paraId="36F73BBE" w14:textId="2B00A780" w:rsidR="004E7617" w:rsidRPr="00472C4C" w:rsidRDefault="004E7617" w:rsidP="004E7617">
            <w:pPr>
              <w:spacing w:line="276" w:lineRule="auto"/>
              <w:rPr>
                <w:rFonts w:ascii="Times New Roman" w:hAnsi="Times New Roman" w:cs="Times New Roman"/>
                <w:sz w:val="20"/>
                <w:szCs w:val="20"/>
              </w:rPr>
            </w:pPr>
          </w:p>
        </w:tc>
        <w:tc>
          <w:tcPr>
            <w:tcW w:w="1620" w:type="dxa"/>
            <w:shd w:val="clear" w:color="auto" w:fill="FFFFFF" w:themeFill="background1"/>
          </w:tcPr>
          <w:p w14:paraId="45BBB4D3" w14:textId="7791D322" w:rsidR="004E7617" w:rsidRPr="00373342" w:rsidRDefault="004E7617" w:rsidP="004E7617">
            <w:pPr>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E plotë</w:t>
            </w:r>
          </w:p>
        </w:tc>
        <w:tc>
          <w:tcPr>
            <w:tcW w:w="2790" w:type="dxa"/>
            <w:shd w:val="clear" w:color="auto" w:fill="FFFFFF" w:themeFill="background1"/>
          </w:tcPr>
          <w:p w14:paraId="4D14E376" w14:textId="68B0FF7D" w:rsidR="004E7617" w:rsidRPr="00373342" w:rsidRDefault="004E7617" w:rsidP="004E7617">
            <w:pPr>
              <w:spacing w:line="276" w:lineRule="auto"/>
              <w:rPr>
                <w:rFonts w:ascii="Times New Roman" w:hAnsi="Times New Roman" w:cs="Times New Roman"/>
                <w:sz w:val="20"/>
                <w:szCs w:val="20"/>
              </w:rPr>
            </w:pPr>
          </w:p>
        </w:tc>
      </w:tr>
      <w:tr w:rsidR="004E7617" w:rsidRPr="00373342" w14:paraId="2448669E" w14:textId="77777777" w:rsidTr="00373342">
        <w:tc>
          <w:tcPr>
            <w:tcW w:w="1440" w:type="dxa"/>
            <w:shd w:val="clear" w:color="auto" w:fill="FFFFFF" w:themeFill="background1"/>
          </w:tcPr>
          <w:p w14:paraId="0CC65DCC" w14:textId="7D28A33F" w:rsidR="004E7617" w:rsidRPr="00373342" w:rsidRDefault="004E7617" w:rsidP="004E7617">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Shtojca III, Seksioni III, “Raporti për çdo vend”</w:t>
            </w:r>
            <w:r w:rsidRPr="00373342">
              <w:rPr>
                <w:rFonts w:ascii="Times New Roman" w:hAnsi="Times New Roman" w:cs="Times New Roman"/>
                <w:b/>
                <w:bCs/>
                <w:sz w:val="20"/>
                <w:szCs w:val="20"/>
              </w:rPr>
              <w:br/>
            </w:r>
            <w:r w:rsidRPr="00373342">
              <w:rPr>
                <w:rFonts w:ascii="Times New Roman" w:hAnsi="Times New Roman" w:cs="Times New Roman"/>
                <w:b/>
                <w:bCs/>
                <w:sz w:val="20"/>
                <w:szCs w:val="20"/>
              </w:rPr>
              <w:br/>
              <w:t>Pika A</w:t>
            </w:r>
          </w:p>
          <w:p w14:paraId="310916E7" w14:textId="77777777" w:rsidR="004E7617" w:rsidRPr="00373342" w:rsidRDefault="004E7617" w:rsidP="004E7617">
            <w:pPr>
              <w:spacing w:line="276" w:lineRule="auto"/>
              <w:jc w:val="center"/>
              <w:rPr>
                <w:rFonts w:ascii="Times New Roman" w:hAnsi="Times New Roman" w:cs="Times New Roman"/>
                <w:b/>
                <w:bCs/>
                <w:sz w:val="20"/>
                <w:szCs w:val="20"/>
              </w:rPr>
            </w:pPr>
          </w:p>
          <w:p w14:paraId="44C073CF" w14:textId="77777777" w:rsidR="004E7617" w:rsidRPr="00373342" w:rsidRDefault="004E7617" w:rsidP="004E7617">
            <w:pPr>
              <w:spacing w:line="276" w:lineRule="auto"/>
              <w:jc w:val="center"/>
              <w:rPr>
                <w:rFonts w:ascii="Times New Roman" w:hAnsi="Times New Roman" w:cs="Times New Roman"/>
                <w:b/>
                <w:bCs/>
                <w:sz w:val="20"/>
                <w:szCs w:val="20"/>
              </w:rPr>
            </w:pPr>
          </w:p>
          <w:p w14:paraId="499529A3" w14:textId="2627A883" w:rsidR="004E7617" w:rsidRPr="00373342" w:rsidRDefault="004E7617" w:rsidP="004E7617">
            <w:pPr>
              <w:spacing w:line="276" w:lineRule="auto"/>
              <w:jc w:val="center"/>
              <w:rPr>
                <w:rFonts w:ascii="Times New Roman" w:hAnsi="Times New Roman" w:cs="Times New Roman"/>
                <w:b/>
                <w:bCs/>
                <w:sz w:val="20"/>
                <w:szCs w:val="20"/>
              </w:rPr>
            </w:pPr>
          </w:p>
        </w:tc>
        <w:tc>
          <w:tcPr>
            <w:tcW w:w="3960" w:type="dxa"/>
            <w:shd w:val="clear" w:color="auto" w:fill="FFFFFF" w:themeFill="background1"/>
          </w:tcPr>
          <w:p w14:paraId="72C937FD" w14:textId="77777777" w:rsidR="004E7617" w:rsidRPr="00373342" w:rsidRDefault="004E7617" w:rsidP="004E7617">
            <w:pPr>
              <w:spacing w:line="276" w:lineRule="auto"/>
              <w:rPr>
                <w:rFonts w:ascii="Times New Roman" w:hAnsi="Times New Roman" w:cs="Times New Roman"/>
                <w:sz w:val="20"/>
                <w:szCs w:val="20"/>
              </w:rPr>
            </w:pPr>
            <w:r w:rsidRPr="00373342">
              <w:rPr>
                <w:rFonts w:ascii="Times New Roman" w:hAnsi="Times New Roman" w:cs="Times New Roman"/>
                <w:sz w:val="20"/>
                <w:szCs w:val="20"/>
              </w:rPr>
              <w:t>A. Modeli i raportit për çdo vend</w:t>
            </w:r>
            <w:r w:rsidRPr="00373342">
              <w:rPr>
                <w:rFonts w:ascii="Times New Roman" w:hAnsi="Times New Roman" w:cs="Times New Roman"/>
                <w:sz w:val="20"/>
                <w:szCs w:val="20"/>
              </w:rPr>
              <w:br/>
            </w:r>
            <w:r w:rsidRPr="00373342">
              <w:rPr>
                <w:rFonts w:ascii="Times New Roman" w:hAnsi="Times New Roman" w:cs="Times New Roman"/>
                <w:sz w:val="20"/>
                <w:szCs w:val="20"/>
              </w:rPr>
              <w:br/>
              <w:t>Tabela 1. Pasqyra e shpërndarjes së të ardhurave, tatimeve dhe aktiviteteve të biznesit sipas juridiksionit tatimor</w:t>
            </w:r>
            <w:r w:rsidRPr="00373342">
              <w:rPr>
                <w:rFonts w:ascii="Times New Roman" w:hAnsi="Times New Roman" w:cs="Times New Roman"/>
                <w:sz w:val="20"/>
                <w:szCs w:val="20"/>
              </w:rPr>
              <w:br/>
            </w:r>
            <w:r w:rsidRPr="00373342">
              <w:rPr>
                <w:rFonts w:ascii="Times New Roman" w:hAnsi="Times New Roman" w:cs="Times New Roman"/>
                <w:sz w:val="20"/>
                <w:szCs w:val="20"/>
              </w:rPr>
              <w:br/>
              <w:t>Tabela 2. Lista e të gjitha Entiteteve përbërëse të Grupit të shoqërive shumëkombëshe të përfshira në çdo agregim sipas juridiksionit tatimor</w:t>
            </w:r>
            <w:r w:rsidRPr="00373342">
              <w:rPr>
                <w:rFonts w:ascii="Times New Roman" w:hAnsi="Times New Roman" w:cs="Times New Roman"/>
                <w:sz w:val="20"/>
                <w:szCs w:val="20"/>
              </w:rPr>
              <w:br/>
            </w:r>
            <w:r w:rsidRPr="00373342">
              <w:rPr>
                <w:rFonts w:ascii="Times New Roman" w:hAnsi="Times New Roman" w:cs="Times New Roman"/>
                <w:sz w:val="20"/>
                <w:szCs w:val="20"/>
              </w:rPr>
              <w:br/>
              <w:t>Tabela 3. Informacion shtesë</w:t>
            </w:r>
          </w:p>
          <w:p w14:paraId="2C75D6BA" w14:textId="77777777" w:rsidR="004E7617" w:rsidRPr="00373342" w:rsidRDefault="004E7617" w:rsidP="004E7617">
            <w:pPr>
              <w:spacing w:line="276" w:lineRule="auto"/>
              <w:rPr>
                <w:rFonts w:ascii="Times New Roman" w:hAnsi="Times New Roman" w:cs="Times New Roman"/>
                <w:sz w:val="20"/>
                <w:szCs w:val="20"/>
              </w:rPr>
            </w:pPr>
          </w:p>
          <w:p w14:paraId="3FBB741D" w14:textId="77777777" w:rsidR="004E7617" w:rsidRPr="00373342" w:rsidRDefault="004E7617" w:rsidP="004E7617">
            <w:pPr>
              <w:spacing w:line="276" w:lineRule="auto"/>
              <w:rPr>
                <w:rFonts w:ascii="Times New Roman" w:hAnsi="Times New Roman" w:cs="Times New Roman"/>
                <w:sz w:val="20"/>
                <w:szCs w:val="20"/>
              </w:rPr>
            </w:pPr>
          </w:p>
          <w:p w14:paraId="15624E82" w14:textId="77777777" w:rsidR="004E7617" w:rsidRPr="00373342" w:rsidRDefault="004E7617" w:rsidP="004E7617">
            <w:pPr>
              <w:spacing w:line="276" w:lineRule="auto"/>
              <w:rPr>
                <w:rFonts w:ascii="Times New Roman" w:hAnsi="Times New Roman" w:cs="Times New Roman"/>
                <w:sz w:val="20"/>
                <w:szCs w:val="20"/>
              </w:rPr>
            </w:pPr>
          </w:p>
          <w:p w14:paraId="776AA01F" w14:textId="77777777" w:rsidR="004E7617" w:rsidRPr="00373342" w:rsidRDefault="004E7617" w:rsidP="004E7617">
            <w:pPr>
              <w:spacing w:line="276" w:lineRule="auto"/>
              <w:rPr>
                <w:rFonts w:ascii="Times New Roman" w:hAnsi="Times New Roman" w:cs="Times New Roman"/>
                <w:sz w:val="20"/>
                <w:szCs w:val="20"/>
              </w:rPr>
            </w:pPr>
          </w:p>
          <w:p w14:paraId="508DCFBA" w14:textId="77777777" w:rsidR="004E7617" w:rsidRPr="00373342" w:rsidRDefault="004E7617" w:rsidP="004E7617">
            <w:pPr>
              <w:spacing w:line="276" w:lineRule="auto"/>
              <w:rPr>
                <w:rFonts w:ascii="Times New Roman" w:hAnsi="Times New Roman" w:cs="Times New Roman"/>
                <w:sz w:val="20"/>
                <w:szCs w:val="20"/>
              </w:rPr>
            </w:pPr>
          </w:p>
          <w:p w14:paraId="6B67062F" w14:textId="77777777" w:rsidR="004E7617" w:rsidRPr="00373342" w:rsidRDefault="004E7617" w:rsidP="004E7617">
            <w:pPr>
              <w:spacing w:line="276" w:lineRule="auto"/>
              <w:rPr>
                <w:rFonts w:ascii="Times New Roman" w:hAnsi="Times New Roman" w:cs="Times New Roman"/>
                <w:sz w:val="20"/>
                <w:szCs w:val="20"/>
              </w:rPr>
            </w:pPr>
          </w:p>
          <w:p w14:paraId="6A651D53" w14:textId="77777777" w:rsidR="004E7617" w:rsidRPr="00373342" w:rsidRDefault="004E7617" w:rsidP="004E7617">
            <w:pPr>
              <w:spacing w:line="276" w:lineRule="auto"/>
              <w:rPr>
                <w:rFonts w:ascii="Times New Roman" w:hAnsi="Times New Roman" w:cs="Times New Roman"/>
                <w:sz w:val="20"/>
                <w:szCs w:val="20"/>
              </w:rPr>
            </w:pPr>
          </w:p>
          <w:p w14:paraId="4422FADA" w14:textId="77777777" w:rsidR="004E7617" w:rsidRPr="00373342" w:rsidRDefault="004E7617" w:rsidP="004E7617">
            <w:pPr>
              <w:spacing w:line="276" w:lineRule="auto"/>
              <w:rPr>
                <w:rFonts w:ascii="Times New Roman" w:hAnsi="Times New Roman" w:cs="Times New Roman"/>
                <w:sz w:val="20"/>
                <w:szCs w:val="20"/>
              </w:rPr>
            </w:pPr>
          </w:p>
          <w:p w14:paraId="7A6B1CEA" w14:textId="0CFE6726" w:rsidR="004E7617" w:rsidRPr="00373342" w:rsidRDefault="004E7617" w:rsidP="004E7617">
            <w:pPr>
              <w:spacing w:line="276" w:lineRule="auto"/>
              <w:rPr>
                <w:rFonts w:ascii="Times New Roman" w:hAnsi="Times New Roman" w:cs="Times New Roman"/>
                <w:sz w:val="20"/>
                <w:szCs w:val="20"/>
              </w:rPr>
            </w:pPr>
          </w:p>
        </w:tc>
        <w:tc>
          <w:tcPr>
            <w:tcW w:w="1170" w:type="dxa"/>
            <w:shd w:val="clear" w:color="auto" w:fill="FFFFFF" w:themeFill="background1"/>
          </w:tcPr>
          <w:p w14:paraId="7A4140E1" w14:textId="445289CF"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2</w:t>
            </w:r>
          </w:p>
        </w:tc>
        <w:tc>
          <w:tcPr>
            <w:tcW w:w="1260" w:type="dxa"/>
            <w:shd w:val="clear" w:color="auto" w:fill="FFFFFF" w:themeFill="background1"/>
          </w:tcPr>
          <w:p w14:paraId="3462EBF4" w14:textId="2A1C4143"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4</w:t>
            </w:r>
          </w:p>
        </w:tc>
        <w:tc>
          <w:tcPr>
            <w:tcW w:w="3870" w:type="dxa"/>
            <w:shd w:val="clear" w:color="auto" w:fill="FFFFFF" w:themeFill="background1"/>
          </w:tcPr>
          <w:p w14:paraId="43DD4729" w14:textId="77777777" w:rsidR="004E7617" w:rsidRPr="00472C4C" w:rsidRDefault="004E7617" w:rsidP="004E7617">
            <w:pPr>
              <w:pBdr>
                <w:top w:val="nil"/>
                <w:left w:val="nil"/>
                <w:bottom w:val="nil"/>
                <w:right w:val="nil"/>
                <w:between w:val="nil"/>
              </w:pBdr>
              <w:spacing w:line="276" w:lineRule="auto"/>
              <w:rPr>
                <w:rFonts w:ascii="Times New Roman" w:eastAsia="Times New Roman" w:hAnsi="Times New Roman" w:cs="Times New Roman"/>
                <w:sz w:val="20"/>
                <w:szCs w:val="20"/>
                <w:lang w:eastAsia="en-IE"/>
              </w:rPr>
            </w:pPr>
            <w:r w:rsidRPr="00472C4C">
              <w:rPr>
                <w:rFonts w:ascii="Times New Roman" w:eastAsia="Times New Roman" w:hAnsi="Times New Roman" w:cs="Times New Roman"/>
                <w:sz w:val="20"/>
                <w:szCs w:val="20"/>
                <w:lang w:eastAsia="en-IE"/>
              </w:rPr>
              <w:t>Përmbajtja dhe formati i raportit për çdo vend</w:t>
            </w:r>
            <w:r w:rsidRPr="00472C4C">
              <w:rPr>
                <w:rFonts w:ascii="Times New Roman" w:eastAsia="Times New Roman" w:hAnsi="Times New Roman" w:cs="Times New Roman"/>
                <w:sz w:val="20"/>
                <w:szCs w:val="20"/>
                <w:lang w:eastAsia="en-IE"/>
              </w:rPr>
              <w:br/>
            </w:r>
            <w:r w:rsidRPr="00472C4C">
              <w:rPr>
                <w:rFonts w:ascii="Times New Roman" w:eastAsia="Times New Roman" w:hAnsi="Times New Roman" w:cs="Times New Roman"/>
                <w:sz w:val="20"/>
                <w:szCs w:val="20"/>
                <w:lang w:eastAsia="en-IE"/>
              </w:rPr>
              <w:br/>
              <w:t>1. Në përputhje me nenin 63/4 të ligjit nr. 9920, datë 19.5.2008, “Për procedurat tatimore në Republikën e Shqipërisë”, të ndryshuar, raporti për çdo vend përmban informacionin e parashikuar në tabelat 1, 2 dhe 3 të shtojcës 1 dhe plotësimi i tyre bëhet në përputhje me përkufizimet dhe udhëzuesin për secilën tabelë.</w:t>
            </w:r>
            <w:r w:rsidRPr="00472C4C">
              <w:rPr>
                <w:rFonts w:ascii="Times New Roman" w:eastAsia="Times New Roman" w:hAnsi="Times New Roman" w:cs="Times New Roman"/>
                <w:sz w:val="20"/>
                <w:szCs w:val="20"/>
                <w:lang w:eastAsia="en-IE"/>
              </w:rPr>
              <w:br/>
              <w:t>2. Plotësimi i raportit për çdo vend në Shqipëri bazohet në udhëzuesin e publikuar të Organizatës për Bashkëpunim dhe Zhvillim Ekonomik për zbatimin e raportimit për çdo vend, i cili përditësohet herë pas here.</w:t>
            </w:r>
            <w:r w:rsidRPr="00472C4C">
              <w:rPr>
                <w:rFonts w:ascii="Times New Roman" w:eastAsia="Times New Roman" w:hAnsi="Times New Roman" w:cs="Times New Roman"/>
                <w:sz w:val="20"/>
                <w:szCs w:val="20"/>
                <w:lang w:eastAsia="en-IE"/>
              </w:rPr>
              <w:br/>
            </w:r>
            <w:r w:rsidRPr="00472C4C">
              <w:rPr>
                <w:rFonts w:ascii="Times New Roman" w:eastAsia="Times New Roman" w:hAnsi="Times New Roman" w:cs="Times New Roman"/>
                <w:sz w:val="20"/>
                <w:szCs w:val="20"/>
                <w:lang w:eastAsia="en-IE"/>
              </w:rPr>
              <w:br/>
              <w:t>Shtojca 1</w:t>
            </w:r>
            <w:r w:rsidRPr="00472C4C">
              <w:rPr>
                <w:rFonts w:ascii="Times New Roman" w:eastAsia="Times New Roman" w:hAnsi="Times New Roman" w:cs="Times New Roman"/>
                <w:sz w:val="20"/>
                <w:szCs w:val="20"/>
                <w:lang w:eastAsia="en-IE"/>
              </w:rPr>
              <w:br/>
              <w:t>Përmbajtja dhe formati i raportit për çdo vend</w:t>
            </w:r>
            <w:r w:rsidRPr="00472C4C">
              <w:rPr>
                <w:rFonts w:ascii="Times New Roman" w:eastAsia="Times New Roman" w:hAnsi="Times New Roman" w:cs="Times New Roman"/>
                <w:sz w:val="20"/>
                <w:szCs w:val="20"/>
                <w:lang w:eastAsia="en-IE"/>
              </w:rPr>
              <w:br/>
              <w:t>Tabela 1. Pasqyra e shpërndarjes së të ardhurave, tatimeve dhe aktiviteteve të biznesit sipas juridiksionit tatimor</w:t>
            </w:r>
            <w:r w:rsidRPr="00472C4C">
              <w:rPr>
                <w:rFonts w:ascii="Times New Roman" w:eastAsia="Times New Roman" w:hAnsi="Times New Roman" w:cs="Times New Roman"/>
                <w:sz w:val="20"/>
                <w:szCs w:val="20"/>
                <w:lang w:eastAsia="en-IE"/>
              </w:rPr>
              <w:br/>
            </w:r>
            <w:r w:rsidRPr="00472C4C">
              <w:rPr>
                <w:rFonts w:ascii="Times New Roman" w:eastAsia="Times New Roman" w:hAnsi="Times New Roman" w:cs="Times New Roman"/>
                <w:sz w:val="20"/>
                <w:szCs w:val="20"/>
                <w:lang w:eastAsia="en-IE"/>
              </w:rPr>
              <w:lastRenderedPageBreak/>
              <w:t>Tabela 2. Lista e të gjitha entiteteve përbërëse të grupit të shoqërive shumëkombëshe të përfshira në çdo agregim sipas juridiksionit tatimor</w:t>
            </w:r>
            <w:r w:rsidRPr="00472C4C">
              <w:rPr>
                <w:rFonts w:ascii="Times New Roman" w:eastAsia="Times New Roman" w:hAnsi="Times New Roman" w:cs="Times New Roman"/>
                <w:sz w:val="20"/>
                <w:szCs w:val="20"/>
                <w:lang w:eastAsia="en-IE"/>
              </w:rPr>
              <w:br/>
              <w:t>Tabela 3. Informacion shtesë</w:t>
            </w:r>
          </w:p>
          <w:p w14:paraId="1AFFD9B2" w14:textId="5E8C5C2B" w:rsidR="004E7617" w:rsidRPr="00472C4C" w:rsidRDefault="004E7617" w:rsidP="004E7617">
            <w:pPr>
              <w:pBdr>
                <w:top w:val="nil"/>
                <w:left w:val="nil"/>
                <w:bottom w:val="nil"/>
                <w:right w:val="nil"/>
                <w:between w:val="nil"/>
              </w:pBdr>
              <w:spacing w:before="120" w:line="276" w:lineRule="auto"/>
              <w:rPr>
                <w:rFonts w:ascii="Times New Roman" w:eastAsia="Times New Roman" w:hAnsi="Times New Roman" w:cs="Times New Roman"/>
                <w:sz w:val="20"/>
                <w:szCs w:val="20"/>
                <w:lang w:eastAsia="en-IE"/>
              </w:rPr>
            </w:pPr>
          </w:p>
          <w:p w14:paraId="644F476C" w14:textId="77777777" w:rsidR="004E7617" w:rsidRPr="00472C4C" w:rsidRDefault="004E7617" w:rsidP="004E7617">
            <w:pPr>
              <w:pBdr>
                <w:top w:val="nil"/>
                <w:left w:val="nil"/>
                <w:bottom w:val="nil"/>
                <w:right w:val="nil"/>
                <w:between w:val="nil"/>
              </w:pBdr>
              <w:spacing w:before="120" w:line="276" w:lineRule="auto"/>
              <w:rPr>
                <w:rFonts w:ascii="Times New Roman" w:eastAsia="Times New Roman" w:hAnsi="Times New Roman" w:cs="Times New Roman"/>
                <w:sz w:val="20"/>
                <w:szCs w:val="20"/>
                <w:lang w:eastAsia="en-IE"/>
              </w:rPr>
            </w:pPr>
          </w:p>
          <w:p w14:paraId="5073D832" w14:textId="77777777" w:rsidR="004E7617" w:rsidRPr="00472C4C" w:rsidRDefault="004E7617" w:rsidP="004E7617">
            <w:pPr>
              <w:pBdr>
                <w:top w:val="nil"/>
                <w:left w:val="nil"/>
                <w:bottom w:val="nil"/>
                <w:right w:val="nil"/>
                <w:between w:val="nil"/>
              </w:pBdr>
              <w:spacing w:before="120" w:line="276" w:lineRule="auto"/>
              <w:rPr>
                <w:rFonts w:ascii="Times New Roman" w:eastAsia="Times New Roman" w:hAnsi="Times New Roman" w:cs="Times New Roman"/>
                <w:sz w:val="20"/>
                <w:szCs w:val="20"/>
                <w:lang w:eastAsia="en-IE"/>
              </w:rPr>
            </w:pPr>
          </w:p>
          <w:p w14:paraId="0739C777" w14:textId="77777777" w:rsidR="004E7617" w:rsidRPr="00472C4C" w:rsidRDefault="004E7617" w:rsidP="004E7617">
            <w:pPr>
              <w:pBdr>
                <w:top w:val="nil"/>
                <w:left w:val="nil"/>
                <w:bottom w:val="nil"/>
                <w:right w:val="nil"/>
                <w:between w:val="nil"/>
              </w:pBdr>
              <w:spacing w:before="120" w:line="276" w:lineRule="auto"/>
              <w:rPr>
                <w:rFonts w:ascii="Times New Roman" w:eastAsia="Times New Roman" w:hAnsi="Times New Roman" w:cs="Times New Roman"/>
                <w:sz w:val="20"/>
                <w:szCs w:val="20"/>
                <w:lang w:eastAsia="en-IE"/>
              </w:rPr>
            </w:pPr>
          </w:p>
          <w:p w14:paraId="4EA5D6C7" w14:textId="77777777" w:rsidR="004E7617" w:rsidRPr="00472C4C" w:rsidRDefault="004E7617" w:rsidP="004E7617">
            <w:pPr>
              <w:pBdr>
                <w:top w:val="nil"/>
                <w:left w:val="nil"/>
                <w:bottom w:val="nil"/>
                <w:right w:val="nil"/>
                <w:between w:val="nil"/>
              </w:pBdr>
              <w:spacing w:before="120" w:line="276" w:lineRule="auto"/>
              <w:rPr>
                <w:rFonts w:ascii="Times New Roman" w:eastAsia="Times New Roman" w:hAnsi="Times New Roman" w:cs="Times New Roman"/>
                <w:sz w:val="20"/>
                <w:szCs w:val="20"/>
                <w:lang w:eastAsia="en-IE"/>
              </w:rPr>
            </w:pPr>
          </w:p>
          <w:p w14:paraId="746896AB" w14:textId="39391949" w:rsidR="004E7617" w:rsidRPr="00472C4C" w:rsidRDefault="004E7617" w:rsidP="004E7617">
            <w:pPr>
              <w:pBdr>
                <w:top w:val="nil"/>
                <w:left w:val="nil"/>
                <w:bottom w:val="nil"/>
                <w:right w:val="nil"/>
                <w:between w:val="nil"/>
              </w:pBdr>
              <w:spacing w:before="120" w:line="276" w:lineRule="auto"/>
              <w:rPr>
                <w:rFonts w:ascii="Times New Roman" w:eastAsia="Times New Roman" w:hAnsi="Times New Roman" w:cs="Times New Roman"/>
                <w:sz w:val="20"/>
                <w:szCs w:val="20"/>
                <w:lang w:eastAsia="en-IE"/>
              </w:rPr>
            </w:pPr>
          </w:p>
          <w:p w14:paraId="5202BEFD" w14:textId="29A65C82" w:rsidR="004E7617" w:rsidRPr="00472C4C" w:rsidRDefault="004E7617" w:rsidP="004E7617">
            <w:pPr>
              <w:spacing w:line="276" w:lineRule="auto"/>
              <w:rPr>
                <w:rFonts w:ascii="Times New Roman" w:hAnsi="Times New Roman" w:cs="Times New Roman"/>
                <w:sz w:val="20"/>
                <w:szCs w:val="20"/>
              </w:rPr>
            </w:pPr>
          </w:p>
        </w:tc>
        <w:tc>
          <w:tcPr>
            <w:tcW w:w="1620" w:type="dxa"/>
            <w:shd w:val="clear" w:color="auto" w:fill="FFFFFF" w:themeFill="background1"/>
          </w:tcPr>
          <w:p w14:paraId="4E65D776" w14:textId="32551FCC" w:rsidR="004E7617" w:rsidRPr="00373342" w:rsidRDefault="004E7617" w:rsidP="004E7617">
            <w:pPr>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E plotë</w:t>
            </w:r>
          </w:p>
        </w:tc>
        <w:tc>
          <w:tcPr>
            <w:tcW w:w="2790" w:type="dxa"/>
            <w:shd w:val="clear" w:color="auto" w:fill="FFFFFF" w:themeFill="background1"/>
          </w:tcPr>
          <w:p w14:paraId="3407A4C2" w14:textId="69463A45" w:rsidR="004E7617" w:rsidRPr="00373342" w:rsidRDefault="004E7617" w:rsidP="004E7617">
            <w:pPr>
              <w:spacing w:line="276" w:lineRule="auto"/>
              <w:rPr>
                <w:rFonts w:ascii="Times New Roman" w:hAnsi="Times New Roman" w:cs="Times New Roman"/>
                <w:sz w:val="20"/>
                <w:szCs w:val="20"/>
              </w:rPr>
            </w:pPr>
          </w:p>
        </w:tc>
      </w:tr>
      <w:tr w:rsidR="004E7617" w:rsidRPr="00373342" w14:paraId="7F5DE8C8" w14:textId="77777777" w:rsidTr="00373342">
        <w:tc>
          <w:tcPr>
            <w:tcW w:w="1440" w:type="dxa"/>
            <w:shd w:val="clear" w:color="auto" w:fill="FFFFFF" w:themeFill="background1"/>
          </w:tcPr>
          <w:p w14:paraId="2E29053A" w14:textId="231A7E93" w:rsidR="004E7617" w:rsidRPr="00373342" w:rsidRDefault="004E7617" w:rsidP="004E7617">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t>Shtojca III, Seksioni III, Pika B</w:t>
            </w:r>
          </w:p>
        </w:tc>
        <w:tc>
          <w:tcPr>
            <w:tcW w:w="3960" w:type="dxa"/>
            <w:shd w:val="clear" w:color="auto" w:fill="FFFFFF" w:themeFill="background1"/>
          </w:tcPr>
          <w:p w14:paraId="3205A996" w14:textId="77777777" w:rsidR="004E7617" w:rsidRPr="00373342" w:rsidRDefault="004E7617" w:rsidP="004E7617">
            <w:pPr>
              <w:spacing w:line="276" w:lineRule="auto"/>
              <w:rPr>
                <w:rFonts w:ascii="Times New Roman" w:hAnsi="Times New Roman" w:cs="Times New Roman"/>
                <w:sz w:val="20"/>
                <w:szCs w:val="20"/>
              </w:rPr>
            </w:pPr>
            <w:r w:rsidRPr="00373342">
              <w:rPr>
                <w:rFonts w:ascii="Times New Roman" w:hAnsi="Times New Roman" w:cs="Times New Roman"/>
                <w:sz w:val="20"/>
                <w:szCs w:val="20"/>
              </w:rPr>
              <w:t>B. Udhëzime të përgjithshme për plotësimin e raportit për çdo vend</w:t>
            </w:r>
            <w:r w:rsidRPr="00373342">
              <w:rPr>
                <w:rFonts w:ascii="Times New Roman" w:hAnsi="Times New Roman" w:cs="Times New Roman"/>
                <w:sz w:val="20"/>
                <w:szCs w:val="20"/>
              </w:rPr>
              <w:br/>
            </w:r>
            <w:r w:rsidRPr="00373342">
              <w:rPr>
                <w:rFonts w:ascii="Times New Roman" w:hAnsi="Times New Roman" w:cs="Times New Roman"/>
                <w:sz w:val="20"/>
                <w:szCs w:val="20"/>
              </w:rPr>
              <w:br/>
              <w:t>1. Qëllimi</w:t>
            </w:r>
            <w:r w:rsidRPr="00373342">
              <w:rPr>
                <w:rFonts w:ascii="Times New Roman" w:hAnsi="Times New Roman" w:cs="Times New Roman"/>
                <w:sz w:val="20"/>
                <w:szCs w:val="20"/>
              </w:rPr>
              <w:br/>
            </w:r>
            <w:r w:rsidRPr="00373342">
              <w:rPr>
                <w:rFonts w:ascii="Times New Roman" w:hAnsi="Times New Roman" w:cs="Times New Roman"/>
                <w:sz w:val="20"/>
                <w:szCs w:val="20"/>
              </w:rPr>
              <w:br/>
              <w:t>Modeli përdoret për raportimin e shpërndarjes së të ardhurave, tatimeve dhe aktiviteteve të biznesit të një Grupi shoqërie shumëkombëshe, sipas çdo juridiksioni tatimor.</w:t>
            </w:r>
            <w:r w:rsidRPr="00373342">
              <w:rPr>
                <w:rFonts w:ascii="Times New Roman" w:hAnsi="Times New Roman" w:cs="Times New Roman"/>
                <w:sz w:val="20"/>
                <w:szCs w:val="20"/>
              </w:rPr>
              <w:br/>
            </w:r>
            <w:r w:rsidRPr="00373342">
              <w:rPr>
                <w:rFonts w:ascii="Times New Roman" w:hAnsi="Times New Roman" w:cs="Times New Roman"/>
                <w:sz w:val="20"/>
                <w:szCs w:val="20"/>
              </w:rPr>
              <w:br/>
              <w:t>2. Trajtimi i degëve dhe selive të përhershme</w:t>
            </w:r>
            <w:r w:rsidRPr="00373342">
              <w:rPr>
                <w:rFonts w:ascii="Times New Roman" w:hAnsi="Times New Roman" w:cs="Times New Roman"/>
                <w:sz w:val="20"/>
                <w:szCs w:val="20"/>
              </w:rPr>
              <w:br/>
            </w:r>
            <w:r w:rsidRPr="00373342">
              <w:rPr>
                <w:rFonts w:ascii="Times New Roman" w:hAnsi="Times New Roman" w:cs="Times New Roman"/>
                <w:sz w:val="20"/>
                <w:szCs w:val="20"/>
              </w:rPr>
              <w:br/>
              <w:t xml:space="preserve">Të dhënat e selisë së përhershme raportohen duke iu referuar juridiksionit tatimor në të cilin ajo ndodhet dhe jo juridiksionit tatimor të rezidencës së njësisë së biznesit pjesë e së </w:t>
            </w:r>
            <w:r w:rsidRPr="00373342">
              <w:rPr>
                <w:rFonts w:ascii="Times New Roman" w:hAnsi="Times New Roman" w:cs="Times New Roman"/>
                <w:sz w:val="20"/>
                <w:szCs w:val="20"/>
              </w:rPr>
              <w:lastRenderedPageBreak/>
              <w:t>cilës është selia e përhershme. Raportimi për juridiksionin tatimor të rezidencës së njësisë së biznesit, pjesë e së cilës është selia e përhershme, përjashton të dhënat financiare që lidhen me selinë e përhershme.</w:t>
            </w:r>
            <w:r w:rsidRPr="00373342">
              <w:rPr>
                <w:rFonts w:ascii="Times New Roman" w:hAnsi="Times New Roman" w:cs="Times New Roman"/>
                <w:sz w:val="20"/>
                <w:szCs w:val="20"/>
              </w:rPr>
              <w:br/>
            </w:r>
            <w:r w:rsidRPr="00373342">
              <w:rPr>
                <w:rFonts w:ascii="Times New Roman" w:hAnsi="Times New Roman" w:cs="Times New Roman"/>
                <w:sz w:val="20"/>
                <w:szCs w:val="20"/>
              </w:rPr>
              <w:br/>
              <w:t>3. Periudha e mbuluar nga modeli vjetor</w:t>
            </w:r>
            <w:r w:rsidRPr="00373342">
              <w:rPr>
                <w:rFonts w:ascii="Times New Roman" w:hAnsi="Times New Roman" w:cs="Times New Roman"/>
                <w:sz w:val="20"/>
                <w:szCs w:val="20"/>
              </w:rPr>
              <w:br/>
            </w:r>
            <w:r w:rsidRPr="00373342">
              <w:rPr>
                <w:rFonts w:ascii="Times New Roman" w:hAnsi="Times New Roman" w:cs="Times New Roman"/>
                <w:sz w:val="20"/>
                <w:szCs w:val="20"/>
              </w:rPr>
              <w:br/>
              <w:t>Modeli mbulon Vitin fiskal të Grupit raportues të shoqërive shumëkombëshe. Për Entitetet përbërëse, sipas zgjedhjes së Grupit raportues të shoqërive shumëkombëshe, modeli pasqyron në mënyrë të qëndrueshme njërin nga informacionet e mëposhtme:</w:t>
            </w:r>
            <w:r w:rsidRPr="00373342">
              <w:rPr>
                <w:rFonts w:ascii="Times New Roman" w:hAnsi="Times New Roman" w:cs="Times New Roman"/>
                <w:sz w:val="20"/>
                <w:szCs w:val="20"/>
              </w:rPr>
              <w:br/>
            </w:r>
            <w:r w:rsidRPr="00373342">
              <w:rPr>
                <w:rFonts w:ascii="Times New Roman" w:hAnsi="Times New Roman" w:cs="Times New Roman"/>
                <w:sz w:val="20"/>
                <w:szCs w:val="20"/>
              </w:rPr>
              <w:br/>
              <w:t>a) informacionin për Vitin fiskal të Entiteteve përbërëse përkatëse që përfundon në të njëjtën datë me Vitin fiskal të Grupit raportues të shoqërive shumëkombëshe ose që përfundon brenda periudhës 12-mujore që i paraprin kësaj date;</w:t>
            </w:r>
            <w:r w:rsidRPr="00373342">
              <w:rPr>
                <w:rFonts w:ascii="Times New Roman" w:hAnsi="Times New Roman" w:cs="Times New Roman"/>
                <w:sz w:val="20"/>
                <w:szCs w:val="20"/>
              </w:rPr>
              <w:br/>
            </w:r>
            <w:r w:rsidRPr="00373342">
              <w:rPr>
                <w:rFonts w:ascii="Times New Roman" w:hAnsi="Times New Roman" w:cs="Times New Roman"/>
                <w:sz w:val="20"/>
                <w:szCs w:val="20"/>
              </w:rPr>
              <w:br/>
              <w:t>b) informacionin për të gjitha Entitetet përbërëse përkatëse të raportuara për Vitin fiskal të Grupit raportues të shoqërive shumëkombëshe.</w:t>
            </w:r>
            <w:r w:rsidRPr="00373342">
              <w:rPr>
                <w:rFonts w:ascii="Times New Roman" w:hAnsi="Times New Roman" w:cs="Times New Roman"/>
                <w:sz w:val="20"/>
                <w:szCs w:val="20"/>
              </w:rPr>
              <w:br/>
            </w:r>
            <w:r w:rsidRPr="00373342">
              <w:rPr>
                <w:rFonts w:ascii="Times New Roman" w:hAnsi="Times New Roman" w:cs="Times New Roman"/>
                <w:sz w:val="20"/>
                <w:szCs w:val="20"/>
              </w:rPr>
              <w:br/>
              <w:t>4. Burimi i të dhënave</w:t>
            </w:r>
            <w:r w:rsidRPr="00373342">
              <w:rPr>
                <w:rFonts w:ascii="Times New Roman" w:hAnsi="Times New Roman" w:cs="Times New Roman"/>
                <w:sz w:val="20"/>
                <w:szCs w:val="20"/>
              </w:rPr>
              <w:br/>
            </w:r>
            <w:r w:rsidRPr="00373342">
              <w:rPr>
                <w:rFonts w:ascii="Times New Roman" w:hAnsi="Times New Roman" w:cs="Times New Roman"/>
                <w:sz w:val="20"/>
                <w:szCs w:val="20"/>
              </w:rPr>
              <w:br/>
              <w:t xml:space="preserve">Grupi raportues i shoqërive shumëkombëshe përdor në mënyrë të qëndrueshme të njëjtat burime të dhënash nga viti në vit gjatë </w:t>
            </w:r>
            <w:r w:rsidRPr="00373342">
              <w:rPr>
                <w:rFonts w:ascii="Times New Roman" w:hAnsi="Times New Roman" w:cs="Times New Roman"/>
                <w:sz w:val="20"/>
                <w:szCs w:val="20"/>
              </w:rPr>
              <w:lastRenderedPageBreak/>
              <w:t>plotësimit të modelit. Grupi raportues i shoqërive shumëkombëshe mund të zgjedhë të përdorë të dhëna nga paketat e tij të raportimit të konsolidimit, nga pasqyrat financiare statutore të veçanta të entiteteve, pasqyrat financiare rregullatore ose llogaritë e menaxhimit të brendshëm. Nuk është e nevojshme që raportimi i të ardhurave, fitimit dhe tatimit në model të rakordohet me Pasqyrat financiare të konsoliduara. Nëse pasqyrat financiare statutore përdoren si bazë për raportimin, të gjitha shumat konvertohen në monedhën funksionale të deklaruar të Grupit raportues të shoqërive shumëkombëshe me kursin mesatar të këmbimit për vitin, të deklaruar në seksionin “Informacion shtesë” të modelit. Megjithatë, nuk kërkohet të bëhen rregullime për dallimet në parimet e kontabilitetit të zbatuara nga një juridiksion tatimor në tjetrin.</w:t>
            </w:r>
            <w:r w:rsidRPr="00373342">
              <w:rPr>
                <w:rFonts w:ascii="Times New Roman" w:hAnsi="Times New Roman" w:cs="Times New Roman"/>
                <w:sz w:val="20"/>
                <w:szCs w:val="20"/>
              </w:rPr>
              <w:br/>
            </w:r>
            <w:r w:rsidRPr="00373342">
              <w:rPr>
                <w:rFonts w:ascii="Times New Roman" w:hAnsi="Times New Roman" w:cs="Times New Roman"/>
                <w:sz w:val="20"/>
                <w:szCs w:val="20"/>
              </w:rPr>
              <w:br/>
              <w:t>Grupi raportues i shoqërive shumëkombëshe jep një përshkrim të shkurtër të burimeve të të dhënave të përdorura për përgatitjen e modelit në seksionin “Informacion shtesë” të modelit. Nëse burimi i të dhënave ndryshon nga një vit në tjetrin, Grupi raportues i shoqërive shumëkombëshe shpjegon arsyet e ndryshimit dhe pasojat e tij në seksionin “Informacion shtesë” të modelit.</w:t>
            </w:r>
          </w:p>
          <w:p w14:paraId="1E47A64D" w14:textId="77777777" w:rsidR="004E7617" w:rsidRPr="00373342" w:rsidRDefault="004E7617" w:rsidP="004E7617">
            <w:pPr>
              <w:spacing w:line="276" w:lineRule="auto"/>
              <w:rPr>
                <w:rFonts w:ascii="Times New Roman" w:hAnsi="Times New Roman" w:cs="Times New Roman"/>
                <w:sz w:val="20"/>
                <w:szCs w:val="20"/>
              </w:rPr>
            </w:pPr>
          </w:p>
          <w:p w14:paraId="3DC3A466" w14:textId="77777777" w:rsidR="004E7617" w:rsidRPr="00373342" w:rsidRDefault="004E7617" w:rsidP="004E7617">
            <w:pPr>
              <w:spacing w:line="276" w:lineRule="auto"/>
              <w:rPr>
                <w:rFonts w:ascii="Times New Roman" w:hAnsi="Times New Roman" w:cs="Times New Roman"/>
                <w:sz w:val="20"/>
                <w:szCs w:val="20"/>
              </w:rPr>
            </w:pPr>
          </w:p>
          <w:p w14:paraId="1586C163" w14:textId="77777777" w:rsidR="004E7617" w:rsidRPr="00373342" w:rsidRDefault="004E7617" w:rsidP="004E7617">
            <w:pPr>
              <w:spacing w:line="276" w:lineRule="auto"/>
              <w:rPr>
                <w:rFonts w:ascii="Times New Roman" w:hAnsi="Times New Roman" w:cs="Times New Roman"/>
                <w:sz w:val="20"/>
                <w:szCs w:val="20"/>
              </w:rPr>
            </w:pPr>
          </w:p>
          <w:p w14:paraId="6DB5AEC1" w14:textId="77777777" w:rsidR="004E7617" w:rsidRPr="00373342" w:rsidRDefault="004E7617" w:rsidP="004E7617">
            <w:pPr>
              <w:spacing w:line="276" w:lineRule="auto"/>
              <w:rPr>
                <w:rFonts w:ascii="Times New Roman" w:hAnsi="Times New Roman" w:cs="Times New Roman"/>
                <w:sz w:val="20"/>
                <w:szCs w:val="20"/>
              </w:rPr>
            </w:pPr>
          </w:p>
          <w:p w14:paraId="6DFE205D" w14:textId="0539C48E" w:rsidR="004E7617" w:rsidRPr="00373342" w:rsidRDefault="004E7617" w:rsidP="004E7617">
            <w:pPr>
              <w:spacing w:line="276" w:lineRule="auto"/>
              <w:rPr>
                <w:rFonts w:ascii="Times New Roman" w:hAnsi="Times New Roman" w:cs="Times New Roman"/>
                <w:sz w:val="20"/>
                <w:szCs w:val="20"/>
              </w:rPr>
            </w:pPr>
          </w:p>
          <w:p w14:paraId="492C9289" w14:textId="77777777" w:rsidR="004E7617" w:rsidRPr="00373342" w:rsidRDefault="004E7617" w:rsidP="004E7617">
            <w:pPr>
              <w:spacing w:line="276" w:lineRule="auto"/>
              <w:rPr>
                <w:rFonts w:ascii="Times New Roman" w:hAnsi="Times New Roman" w:cs="Times New Roman"/>
                <w:sz w:val="20"/>
                <w:szCs w:val="20"/>
              </w:rPr>
            </w:pPr>
          </w:p>
          <w:p w14:paraId="4DFE6A42" w14:textId="77777777" w:rsidR="004E7617" w:rsidRPr="00373342" w:rsidRDefault="004E7617" w:rsidP="004E7617">
            <w:pPr>
              <w:spacing w:line="276" w:lineRule="auto"/>
              <w:rPr>
                <w:rFonts w:ascii="Times New Roman" w:hAnsi="Times New Roman" w:cs="Times New Roman"/>
                <w:sz w:val="20"/>
                <w:szCs w:val="20"/>
              </w:rPr>
            </w:pPr>
          </w:p>
          <w:p w14:paraId="343F53AC" w14:textId="77777777" w:rsidR="004E7617" w:rsidRPr="00373342" w:rsidRDefault="004E7617" w:rsidP="004E7617">
            <w:pPr>
              <w:spacing w:line="276" w:lineRule="auto"/>
              <w:rPr>
                <w:rFonts w:ascii="Times New Roman" w:hAnsi="Times New Roman" w:cs="Times New Roman"/>
                <w:sz w:val="20"/>
                <w:szCs w:val="20"/>
              </w:rPr>
            </w:pPr>
          </w:p>
          <w:p w14:paraId="7C79C453" w14:textId="77777777" w:rsidR="004E7617" w:rsidRPr="00373342" w:rsidRDefault="004E7617" w:rsidP="004E7617">
            <w:pPr>
              <w:spacing w:line="276" w:lineRule="auto"/>
              <w:rPr>
                <w:rFonts w:ascii="Times New Roman" w:hAnsi="Times New Roman" w:cs="Times New Roman"/>
                <w:sz w:val="20"/>
                <w:szCs w:val="20"/>
              </w:rPr>
            </w:pPr>
          </w:p>
          <w:p w14:paraId="666D91FF" w14:textId="77777777" w:rsidR="004E7617" w:rsidRPr="00373342" w:rsidRDefault="004E7617" w:rsidP="004E7617">
            <w:pPr>
              <w:spacing w:line="276" w:lineRule="auto"/>
              <w:rPr>
                <w:rFonts w:ascii="Times New Roman" w:hAnsi="Times New Roman" w:cs="Times New Roman"/>
                <w:sz w:val="20"/>
                <w:szCs w:val="20"/>
              </w:rPr>
            </w:pPr>
          </w:p>
          <w:p w14:paraId="1486C891" w14:textId="77777777" w:rsidR="004E7617" w:rsidRPr="00373342" w:rsidRDefault="004E7617" w:rsidP="004E7617">
            <w:pPr>
              <w:spacing w:line="276" w:lineRule="auto"/>
              <w:rPr>
                <w:rFonts w:ascii="Times New Roman" w:hAnsi="Times New Roman" w:cs="Times New Roman"/>
                <w:sz w:val="20"/>
                <w:szCs w:val="20"/>
              </w:rPr>
            </w:pPr>
          </w:p>
          <w:p w14:paraId="11C92FDB" w14:textId="77777777" w:rsidR="004E7617" w:rsidRPr="00373342" w:rsidRDefault="004E7617" w:rsidP="004E7617">
            <w:pPr>
              <w:spacing w:line="276" w:lineRule="auto"/>
              <w:rPr>
                <w:rFonts w:ascii="Times New Roman" w:hAnsi="Times New Roman" w:cs="Times New Roman"/>
                <w:sz w:val="20"/>
                <w:szCs w:val="20"/>
              </w:rPr>
            </w:pPr>
          </w:p>
          <w:p w14:paraId="6E3D9B7B" w14:textId="77777777" w:rsidR="004E7617" w:rsidRPr="00373342" w:rsidRDefault="004E7617" w:rsidP="004E7617">
            <w:pPr>
              <w:spacing w:line="276" w:lineRule="auto"/>
              <w:rPr>
                <w:rFonts w:ascii="Times New Roman" w:hAnsi="Times New Roman" w:cs="Times New Roman"/>
                <w:sz w:val="20"/>
                <w:szCs w:val="20"/>
              </w:rPr>
            </w:pPr>
          </w:p>
          <w:p w14:paraId="4C829CFE" w14:textId="77777777" w:rsidR="004E7617" w:rsidRPr="00373342" w:rsidRDefault="004E7617" w:rsidP="004E7617">
            <w:pPr>
              <w:spacing w:line="276" w:lineRule="auto"/>
              <w:rPr>
                <w:rFonts w:ascii="Times New Roman" w:hAnsi="Times New Roman" w:cs="Times New Roman"/>
                <w:sz w:val="20"/>
                <w:szCs w:val="20"/>
              </w:rPr>
            </w:pPr>
          </w:p>
          <w:p w14:paraId="49CD97E9" w14:textId="77777777" w:rsidR="004E7617" w:rsidRPr="00373342" w:rsidRDefault="004E7617" w:rsidP="004E7617">
            <w:pPr>
              <w:spacing w:line="276" w:lineRule="auto"/>
              <w:rPr>
                <w:rFonts w:ascii="Times New Roman" w:hAnsi="Times New Roman" w:cs="Times New Roman"/>
                <w:sz w:val="20"/>
                <w:szCs w:val="20"/>
              </w:rPr>
            </w:pPr>
          </w:p>
          <w:p w14:paraId="6F49A51A" w14:textId="77777777" w:rsidR="004E7617" w:rsidRPr="00373342" w:rsidRDefault="004E7617" w:rsidP="004E7617">
            <w:pPr>
              <w:spacing w:line="276" w:lineRule="auto"/>
              <w:rPr>
                <w:rFonts w:ascii="Times New Roman" w:hAnsi="Times New Roman" w:cs="Times New Roman"/>
                <w:sz w:val="20"/>
                <w:szCs w:val="20"/>
              </w:rPr>
            </w:pPr>
          </w:p>
          <w:p w14:paraId="774FC004" w14:textId="77777777" w:rsidR="004E7617" w:rsidRPr="00373342" w:rsidRDefault="004E7617" w:rsidP="004E7617">
            <w:pPr>
              <w:spacing w:line="276" w:lineRule="auto"/>
              <w:rPr>
                <w:rFonts w:ascii="Times New Roman" w:hAnsi="Times New Roman" w:cs="Times New Roman"/>
                <w:sz w:val="20"/>
                <w:szCs w:val="20"/>
              </w:rPr>
            </w:pPr>
          </w:p>
          <w:p w14:paraId="4986571C" w14:textId="77777777" w:rsidR="004E7617" w:rsidRPr="00373342" w:rsidRDefault="004E7617" w:rsidP="004E7617">
            <w:pPr>
              <w:spacing w:line="276" w:lineRule="auto"/>
              <w:rPr>
                <w:rFonts w:ascii="Times New Roman" w:hAnsi="Times New Roman" w:cs="Times New Roman"/>
                <w:sz w:val="20"/>
                <w:szCs w:val="20"/>
              </w:rPr>
            </w:pPr>
          </w:p>
          <w:p w14:paraId="41C8982D" w14:textId="77777777" w:rsidR="004E7617" w:rsidRPr="00373342" w:rsidRDefault="004E7617" w:rsidP="004E7617">
            <w:pPr>
              <w:spacing w:line="276" w:lineRule="auto"/>
              <w:rPr>
                <w:rFonts w:ascii="Times New Roman" w:hAnsi="Times New Roman" w:cs="Times New Roman"/>
                <w:sz w:val="20"/>
                <w:szCs w:val="20"/>
              </w:rPr>
            </w:pPr>
          </w:p>
          <w:p w14:paraId="4782C95E" w14:textId="77777777" w:rsidR="004E7617" w:rsidRPr="00373342" w:rsidRDefault="004E7617" w:rsidP="004E7617">
            <w:pPr>
              <w:spacing w:line="276" w:lineRule="auto"/>
              <w:rPr>
                <w:rFonts w:ascii="Times New Roman" w:hAnsi="Times New Roman" w:cs="Times New Roman"/>
                <w:sz w:val="20"/>
                <w:szCs w:val="20"/>
              </w:rPr>
            </w:pPr>
          </w:p>
          <w:p w14:paraId="7F73FEE0" w14:textId="77777777" w:rsidR="004E7617" w:rsidRPr="00373342" w:rsidRDefault="004E7617" w:rsidP="004E7617">
            <w:pPr>
              <w:spacing w:line="276" w:lineRule="auto"/>
              <w:rPr>
                <w:rFonts w:ascii="Times New Roman" w:hAnsi="Times New Roman" w:cs="Times New Roman"/>
                <w:sz w:val="20"/>
                <w:szCs w:val="20"/>
              </w:rPr>
            </w:pPr>
          </w:p>
          <w:p w14:paraId="2005CE83" w14:textId="77777777" w:rsidR="004E7617" w:rsidRPr="00373342" w:rsidRDefault="004E7617" w:rsidP="004E7617">
            <w:pPr>
              <w:spacing w:line="276" w:lineRule="auto"/>
              <w:rPr>
                <w:rFonts w:ascii="Times New Roman" w:hAnsi="Times New Roman" w:cs="Times New Roman"/>
                <w:sz w:val="20"/>
                <w:szCs w:val="20"/>
              </w:rPr>
            </w:pPr>
          </w:p>
          <w:p w14:paraId="19D04A3D" w14:textId="77777777" w:rsidR="004E7617" w:rsidRPr="00373342" w:rsidRDefault="004E7617" w:rsidP="004E7617">
            <w:pPr>
              <w:spacing w:line="276" w:lineRule="auto"/>
              <w:rPr>
                <w:rFonts w:ascii="Times New Roman" w:hAnsi="Times New Roman" w:cs="Times New Roman"/>
                <w:sz w:val="20"/>
                <w:szCs w:val="20"/>
              </w:rPr>
            </w:pPr>
          </w:p>
          <w:p w14:paraId="66BCC70C" w14:textId="79BBAA49" w:rsidR="004E7617" w:rsidRPr="00373342" w:rsidRDefault="004E7617" w:rsidP="004E7617">
            <w:pPr>
              <w:spacing w:line="276" w:lineRule="auto"/>
              <w:rPr>
                <w:rFonts w:ascii="Times New Roman" w:hAnsi="Times New Roman" w:cs="Times New Roman"/>
                <w:sz w:val="20"/>
                <w:szCs w:val="20"/>
              </w:rPr>
            </w:pPr>
          </w:p>
          <w:p w14:paraId="732CFCBC" w14:textId="77777777" w:rsidR="004E7617" w:rsidRPr="00373342" w:rsidRDefault="004E7617" w:rsidP="004E7617">
            <w:pPr>
              <w:spacing w:line="276" w:lineRule="auto"/>
              <w:rPr>
                <w:rFonts w:ascii="Times New Roman" w:hAnsi="Times New Roman" w:cs="Times New Roman"/>
                <w:sz w:val="20"/>
                <w:szCs w:val="20"/>
              </w:rPr>
            </w:pPr>
          </w:p>
          <w:p w14:paraId="1FE8AF49" w14:textId="77777777" w:rsidR="004E7617" w:rsidRPr="00373342" w:rsidRDefault="004E7617" w:rsidP="004E7617">
            <w:pPr>
              <w:spacing w:line="276" w:lineRule="auto"/>
              <w:rPr>
                <w:rFonts w:ascii="Times New Roman" w:hAnsi="Times New Roman" w:cs="Times New Roman"/>
                <w:sz w:val="20"/>
                <w:szCs w:val="20"/>
              </w:rPr>
            </w:pPr>
          </w:p>
          <w:p w14:paraId="76BA4521" w14:textId="11BA8D3E" w:rsidR="004E7617" w:rsidRPr="00373342" w:rsidRDefault="004E7617" w:rsidP="004E7617">
            <w:pPr>
              <w:spacing w:line="276" w:lineRule="auto"/>
              <w:rPr>
                <w:rFonts w:ascii="Times New Roman" w:hAnsi="Times New Roman" w:cs="Times New Roman"/>
                <w:sz w:val="20"/>
                <w:szCs w:val="20"/>
              </w:rPr>
            </w:pPr>
          </w:p>
        </w:tc>
        <w:tc>
          <w:tcPr>
            <w:tcW w:w="1170" w:type="dxa"/>
            <w:shd w:val="clear" w:color="auto" w:fill="FFFFFF" w:themeFill="background1"/>
          </w:tcPr>
          <w:p w14:paraId="62FAF2A1" w14:textId="165ECA2A"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lastRenderedPageBreak/>
              <w:t>2</w:t>
            </w:r>
          </w:p>
        </w:tc>
        <w:tc>
          <w:tcPr>
            <w:tcW w:w="1260" w:type="dxa"/>
            <w:shd w:val="clear" w:color="auto" w:fill="FFFFFF" w:themeFill="background1"/>
          </w:tcPr>
          <w:p w14:paraId="503AFD34" w14:textId="330E3B75"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Neni 3</w:t>
            </w:r>
          </w:p>
        </w:tc>
        <w:tc>
          <w:tcPr>
            <w:tcW w:w="3870" w:type="dxa"/>
            <w:shd w:val="clear" w:color="auto" w:fill="FFFFFF" w:themeFill="background1"/>
          </w:tcPr>
          <w:p w14:paraId="4E0EB6BA" w14:textId="77777777" w:rsidR="004E7617" w:rsidRPr="00472C4C" w:rsidRDefault="004E7617" w:rsidP="004E7617">
            <w:pPr>
              <w:pBdr>
                <w:top w:val="nil"/>
                <w:left w:val="nil"/>
                <w:bottom w:val="nil"/>
                <w:right w:val="nil"/>
                <w:between w:val="nil"/>
              </w:pBdr>
              <w:spacing w:line="276" w:lineRule="auto"/>
              <w:rPr>
                <w:rFonts w:ascii="Times New Roman" w:eastAsia="Times New Roman" w:hAnsi="Times New Roman" w:cs="Times New Roman"/>
                <w:sz w:val="20"/>
                <w:szCs w:val="20"/>
                <w:lang w:eastAsia="en-IE"/>
              </w:rPr>
            </w:pPr>
            <w:r w:rsidRPr="00472C4C">
              <w:rPr>
                <w:rFonts w:ascii="Times New Roman" w:eastAsia="Times New Roman" w:hAnsi="Times New Roman" w:cs="Times New Roman"/>
                <w:sz w:val="20"/>
                <w:szCs w:val="20"/>
                <w:lang w:eastAsia="en-IE"/>
              </w:rPr>
              <w:t>Informacion i përgjithshëm për plotësimin e raportit për çdo vend</w:t>
            </w:r>
            <w:r w:rsidRPr="00472C4C">
              <w:rPr>
                <w:rFonts w:ascii="Times New Roman" w:eastAsia="Times New Roman" w:hAnsi="Times New Roman" w:cs="Times New Roman"/>
                <w:sz w:val="20"/>
                <w:szCs w:val="20"/>
                <w:lang w:eastAsia="en-IE"/>
              </w:rPr>
              <w:br/>
            </w:r>
            <w:r w:rsidRPr="00472C4C">
              <w:rPr>
                <w:rFonts w:ascii="Times New Roman" w:eastAsia="Times New Roman" w:hAnsi="Times New Roman" w:cs="Times New Roman"/>
                <w:sz w:val="20"/>
                <w:szCs w:val="20"/>
                <w:lang w:eastAsia="en-IE"/>
              </w:rPr>
              <w:br/>
              <w:t>1. Informacioni i përgjithshëm sipas këtij neni shërben për plotësimin e një raporti për çdo vend, në përputhje me nenin 63/4 të ligjit nr. 9920, datë 19.5.2008, “Për procedurat tatimore në Republikën e Shqipërisë”, të ndryshuar.</w:t>
            </w:r>
            <w:r w:rsidRPr="00472C4C">
              <w:rPr>
                <w:rFonts w:ascii="Times New Roman" w:eastAsia="Times New Roman" w:hAnsi="Times New Roman" w:cs="Times New Roman"/>
                <w:sz w:val="20"/>
                <w:szCs w:val="20"/>
                <w:lang w:eastAsia="en-IE"/>
              </w:rPr>
              <w:br/>
              <w:t xml:space="preserve">2. Të dhënat e selisë së përhershme raportohen duke iu referuar juridiksionit tatimor në të cilin ajo ndodhet dhe jo juridiksionit tatimor të rezidencës së njësisë së biznesit pjesë e së cilës është selia e përhershme. Raportimi për juridiksionin tatimor të rezidencës së njësisë së biznesit, pjesë e së cilës është selia e përhershme, </w:t>
            </w:r>
            <w:r w:rsidRPr="00472C4C">
              <w:rPr>
                <w:rFonts w:ascii="Times New Roman" w:eastAsia="Times New Roman" w:hAnsi="Times New Roman" w:cs="Times New Roman"/>
                <w:sz w:val="20"/>
                <w:szCs w:val="20"/>
                <w:lang w:eastAsia="en-IE"/>
              </w:rPr>
              <w:lastRenderedPageBreak/>
              <w:t>përjashton të dhënat financiare që lidhen me selinë e përhershme.</w:t>
            </w:r>
            <w:r w:rsidRPr="00472C4C">
              <w:rPr>
                <w:rFonts w:ascii="Times New Roman" w:eastAsia="Times New Roman" w:hAnsi="Times New Roman" w:cs="Times New Roman"/>
                <w:sz w:val="20"/>
                <w:szCs w:val="20"/>
                <w:lang w:eastAsia="en-IE"/>
              </w:rPr>
              <w:br/>
              <w:t>3. Të dhënat e raportuara në tabelat përkatëse mbulojnë vitin fiskal të entitetit raportues. Për entitetet përbërëse, sipas zgjedhjes së entitetit raportues, tabelat pasqyrojnë në mënyrë të qëndrueshme: a) informacionin për vitin fiskal të entiteteve përbërëse përkatëse, që përfundon në të njëjtën datë me vitin fiskal të entitetit raportues ose përfundon brenda periudhës 12-mujore që i paraprin kësaj date; ose b) informacionin për të gjitha entitetet përbërëse përkatëse të raportuara për vitin fiskal të entitetit raportues.</w:t>
            </w:r>
            <w:r w:rsidRPr="00472C4C">
              <w:rPr>
                <w:rFonts w:ascii="Times New Roman" w:eastAsia="Times New Roman" w:hAnsi="Times New Roman" w:cs="Times New Roman"/>
                <w:sz w:val="20"/>
                <w:szCs w:val="20"/>
                <w:lang w:eastAsia="en-IE"/>
              </w:rPr>
              <w:br/>
              <w:t xml:space="preserve">4. Entiteti raportues përdor në mënyrë të qëndrueshme të njëjtat burime të dhënash nga viti në vit gjatë plotësimit të tabelës përkatëse. Entiteti raportues mund të zgjedhë të përdorë të dhëna nga paketat e tij të raportimit të konsolidimit, nga pasqyrat financiare statutore të veçanta të entiteteve, pasqyrat financiare rregullatore ose llogaritë e menaxhimit të brendshëm. Nuk është e nevojshme që raportimi i të ardhurave, fitimit dhe tatimit në tabelë të rakordohet me pasqyrat financiare të konsoliduara. Nëse pasqyrat financiare statutore përdoren si bazë për raportimin, të gjitha shumat konvertohen në monedhën funksionale të deklaruar të entitetit raportues, me kursin mesatar të këmbimit për vitin, të deklaruar në Tabelën </w:t>
            </w:r>
            <w:r w:rsidRPr="00472C4C">
              <w:rPr>
                <w:rFonts w:ascii="Times New Roman" w:eastAsia="Times New Roman" w:hAnsi="Times New Roman" w:cs="Times New Roman"/>
                <w:sz w:val="20"/>
                <w:szCs w:val="20"/>
                <w:lang w:eastAsia="en-IE"/>
              </w:rPr>
              <w:lastRenderedPageBreak/>
              <w:t>3, “Informacion shtesë”, të Shtojcës 1. Në këtë tabelë, entiteti raportues jep një përshkrim të shkurtër të burimeve të të dhënave të përdorura për përgatitjen e tabelës përkatëse. Nuk kërkohet të bëhen rregullime për dallimet në parimet e kontabilitetit të zbatuara nga një juridiksion tatimor në tjetrin. Nëse burimi i të dhënave ndryshon nga një vit në tjetrin, entiteti raportues shpjegon arsyet e ndryshimit dhe pasojat e tij në Tabelën 3, “Informacion shtesë”, të Shtojcës 1.</w:t>
            </w:r>
          </w:p>
          <w:p w14:paraId="2584E739" w14:textId="23BDD78B" w:rsidR="004E7617" w:rsidRPr="00472C4C" w:rsidRDefault="004E7617" w:rsidP="004E7617">
            <w:pPr>
              <w:pBdr>
                <w:top w:val="nil"/>
                <w:left w:val="nil"/>
                <w:bottom w:val="nil"/>
                <w:right w:val="nil"/>
                <w:between w:val="nil"/>
              </w:pBdr>
              <w:spacing w:before="120" w:line="276" w:lineRule="auto"/>
              <w:rPr>
                <w:rFonts w:ascii="Times New Roman" w:eastAsia="Times New Roman" w:hAnsi="Times New Roman" w:cs="Times New Roman"/>
                <w:sz w:val="20"/>
                <w:szCs w:val="20"/>
                <w:lang w:eastAsia="en-IE"/>
              </w:rPr>
            </w:pPr>
          </w:p>
          <w:p w14:paraId="76A72D87" w14:textId="77777777" w:rsidR="004E7617" w:rsidRPr="00472C4C" w:rsidRDefault="004E7617" w:rsidP="004E7617">
            <w:pPr>
              <w:pBdr>
                <w:top w:val="nil"/>
                <w:left w:val="nil"/>
                <w:bottom w:val="nil"/>
                <w:right w:val="nil"/>
                <w:between w:val="nil"/>
              </w:pBdr>
              <w:spacing w:before="120" w:line="276" w:lineRule="auto"/>
              <w:rPr>
                <w:rFonts w:ascii="Times New Roman" w:eastAsia="Times New Roman" w:hAnsi="Times New Roman" w:cs="Times New Roman"/>
                <w:sz w:val="20"/>
                <w:szCs w:val="20"/>
                <w:lang w:eastAsia="en-IE"/>
              </w:rPr>
            </w:pPr>
          </w:p>
          <w:p w14:paraId="068A7A40" w14:textId="77777777" w:rsidR="004E7617" w:rsidRPr="00472C4C" w:rsidRDefault="004E7617" w:rsidP="004E7617">
            <w:pPr>
              <w:pBdr>
                <w:top w:val="nil"/>
                <w:left w:val="nil"/>
                <w:bottom w:val="nil"/>
                <w:right w:val="nil"/>
                <w:between w:val="nil"/>
              </w:pBdr>
              <w:spacing w:before="120" w:line="276" w:lineRule="auto"/>
              <w:rPr>
                <w:rFonts w:ascii="Times New Roman" w:eastAsia="Times New Roman" w:hAnsi="Times New Roman" w:cs="Times New Roman"/>
                <w:sz w:val="20"/>
                <w:szCs w:val="20"/>
                <w:lang w:val="en-US" w:eastAsia="en-IE"/>
              </w:rPr>
            </w:pPr>
          </w:p>
          <w:p w14:paraId="02109141" w14:textId="5D366C28" w:rsidR="004E7617" w:rsidRPr="00472C4C" w:rsidRDefault="004E7617" w:rsidP="004E7617">
            <w:pPr>
              <w:spacing w:before="120" w:line="276" w:lineRule="auto"/>
              <w:rPr>
                <w:rFonts w:ascii="Times New Roman" w:hAnsi="Times New Roman" w:cs="Times New Roman"/>
                <w:sz w:val="20"/>
                <w:szCs w:val="20"/>
              </w:rPr>
            </w:pPr>
          </w:p>
        </w:tc>
        <w:tc>
          <w:tcPr>
            <w:tcW w:w="1620" w:type="dxa"/>
            <w:shd w:val="clear" w:color="auto" w:fill="FFFFFF" w:themeFill="background1"/>
          </w:tcPr>
          <w:p w14:paraId="50A12A87" w14:textId="5A8BE3A9" w:rsidR="004E7617" w:rsidRPr="00373342" w:rsidRDefault="004E7617" w:rsidP="004E7617">
            <w:pPr>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E plotë</w:t>
            </w:r>
          </w:p>
        </w:tc>
        <w:tc>
          <w:tcPr>
            <w:tcW w:w="2790" w:type="dxa"/>
            <w:shd w:val="clear" w:color="auto" w:fill="FFFFFF" w:themeFill="background1"/>
          </w:tcPr>
          <w:p w14:paraId="51E95490" w14:textId="77777777" w:rsidR="004E7617" w:rsidRPr="00373342" w:rsidRDefault="004E7617" w:rsidP="004E7617">
            <w:pPr>
              <w:spacing w:line="276" w:lineRule="auto"/>
              <w:rPr>
                <w:rFonts w:ascii="Times New Roman" w:hAnsi="Times New Roman" w:cs="Times New Roman"/>
                <w:sz w:val="20"/>
                <w:szCs w:val="20"/>
              </w:rPr>
            </w:pPr>
          </w:p>
        </w:tc>
      </w:tr>
      <w:tr w:rsidR="004E7617" w:rsidRPr="00373342" w14:paraId="4ABB623F" w14:textId="77777777" w:rsidTr="00373342">
        <w:tc>
          <w:tcPr>
            <w:tcW w:w="1440" w:type="dxa"/>
            <w:shd w:val="clear" w:color="auto" w:fill="FFFFFF" w:themeFill="background1"/>
          </w:tcPr>
          <w:p w14:paraId="50B84401" w14:textId="54CDE2DF" w:rsidR="004E7617" w:rsidRPr="00373342" w:rsidRDefault="004E7617" w:rsidP="004E7617">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lastRenderedPageBreak/>
              <w:t>Shtojca III, Seksioni III, Pika C, Nënndarja 1</w:t>
            </w:r>
          </w:p>
        </w:tc>
        <w:tc>
          <w:tcPr>
            <w:tcW w:w="3960" w:type="dxa"/>
            <w:shd w:val="clear" w:color="auto" w:fill="FFFFFF" w:themeFill="background1"/>
          </w:tcPr>
          <w:p w14:paraId="4815C43D" w14:textId="6D9C9ED4" w:rsidR="004E7617" w:rsidRPr="00373342" w:rsidRDefault="004E7617" w:rsidP="004E7617">
            <w:pPr>
              <w:spacing w:line="276" w:lineRule="auto"/>
              <w:rPr>
                <w:rFonts w:ascii="Times New Roman" w:hAnsi="Times New Roman" w:cs="Times New Roman"/>
                <w:sz w:val="20"/>
                <w:szCs w:val="20"/>
              </w:rPr>
            </w:pPr>
            <w:r w:rsidRPr="00373342">
              <w:rPr>
                <w:rFonts w:ascii="Times New Roman" w:hAnsi="Times New Roman" w:cs="Times New Roman"/>
                <w:sz w:val="20"/>
                <w:szCs w:val="20"/>
              </w:rPr>
              <w:t>C. Udhëzime specifike për plotësimin e raportit për çdo vend</w:t>
            </w:r>
            <w:r w:rsidRPr="00373342">
              <w:rPr>
                <w:rFonts w:ascii="Times New Roman" w:hAnsi="Times New Roman" w:cs="Times New Roman"/>
                <w:sz w:val="20"/>
                <w:szCs w:val="20"/>
              </w:rPr>
              <w:br/>
            </w:r>
            <w:r w:rsidRPr="00373342">
              <w:rPr>
                <w:rFonts w:ascii="Times New Roman" w:hAnsi="Times New Roman" w:cs="Times New Roman"/>
                <w:sz w:val="20"/>
                <w:szCs w:val="20"/>
              </w:rPr>
              <w:br/>
              <w:t>1. Pasqyra e shpërndarjes së të ardhurave, tatimeve dhe aktiviteteve të biznesit sipas juridiksionit tatimor (Tabela 1)</w:t>
            </w:r>
            <w:r w:rsidRPr="00373342">
              <w:rPr>
                <w:rFonts w:ascii="Times New Roman" w:hAnsi="Times New Roman" w:cs="Times New Roman"/>
                <w:sz w:val="20"/>
                <w:szCs w:val="20"/>
              </w:rPr>
              <w:br/>
            </w:r>
            <w:r w:rsidRPr="00373342">
              <w:rPr>
                <w:rFonts w:ascii="Times New Roman" w:hAnsi="Times New Roman" w:cs="Times New Roman"/>
                <w:sz w:val="20"/>
                <w:szCs w:val="20"/>
              </w:rPr>
              <w:br/>
            </w:r>
            <w:r w:rsidRPr="00373342">
              <w:rPr>
                <w:rFonts w:ascii="Times New Roman" w:hAnsi="Times New Roman" w:cs="Times New Roman"/>
                <w:sz w:val="20"/>
                <w:szCs w:val="20"/>
              </w:rPr>
              <w:lastRenderedPageBreak/>
              <w:t>1.1. Juridiksioni tatimor</w:t>
            </w:r>
            <w:r w:rsidRPr="00373342">
              <w:rPr>
                <w:rFonts w:ascii="Times New Roman" w:hAnsi="Times New Roman" w:cs="Times New Roman"/>
                <w:sz w:val="20"/>
                <w:szCs w:val="20"/>
              </w:rPr>
              <w:br/>
            </w:r>
            <w:r w:rsidRPr="00373342">
              <w:rPr>
                <w:rFonts w:ascii="Times New Roman" w:hAnsi="Times New Roman" w:cs="Times New Roman"/>
                <w:sz w:val="20"/>
                <w:szCs w:val="20"/>
              </w:rPr>
              <w:br/>
              <w:t>Në kolonën e parë të modelit, Grupi raportues i shoqërive shumëkombëshe rendit të gjitha juridiksionet tatimore në të cilat Entitetet përbërëse të Grupit të shoqërive shumëkombëshe janë rezidente për qëllime tatimore. Juridiksion tatimor përkufizohet një shtet, si dhe një juridiksion joshtetëror që ka autonomi fiskale. Për të gjitha Entitetet përbërëse të Grupit të shoqërive shumëkombëshe që, sipas vlerësimit të Grupit raportues të shoqërive shumëkombëshe, nuk janë rezidente për qëllime tatimore në asnjë juridiksion tatimor, përfshihet një rresht i veçantë. Kur një Entitet përbërës është rezident në më shumë se një juridiksion tatimor, zbatohet rregulli përcaktues i marrëveshjes tatimore të zbatueshme për të përcaktuar juridiksionin tatimor të rezidencës. Kur nuk ekziston një marrëveshje tatimore e zbatueshme, Entiteti përbërës raportohet në juridiksionin tatimor të vendit të menaxhimit efektiv të Entitetit përbërës. Vendi i menaxhimit efektiv përcaktohet sipas standardeve të dakordësuara ndërkombëtarisht.</w:t>
            </w:r>
            <w:r w:rsidRPr="00373342">
              <w:rPr>
                <w:rFonts w:ascii="Times New Roman" w:hAnsi="Times New Roman" w:cs="Times New Roman"/>
                <w:sz w:val="20"/>
                <w:szCs w:val="20"/>
              </w:rPr>
              <w:br/>
            </w:r>
            <w:r w:rsidRPr="00373342">
              <w:rPr>
                <w:rFonts w:ascii="Times New Roman" w:hAnsi="Times New Roman" w:cs="Times New Roman"/>
                <w:sz w:val="20"/>
                <w:szCs w:val="20"/>
              </w:rPr>
              <w:br/>
              <w:t>1.2. Të ardhurat</w:t>
            </w:r>
            <w:r w:rsidRPr="00373342">
              <w:rPr>
                <w:rFonts w:ascii="Times New Roman" w:hAnsi="Times New Roman" w:cs="Times New Roman"/>
                <w:sz w:val="20"/>
                <w:szCs w:val="20"/>
              </w:rPr>
              <w:br/>
            </w:r>
            <w:r w:rsidRPr="00373342">
              <w:rPr>
                <w:rFonts w:ascii="Times New Roman" w:hAnsi="Times New Roman" w:cs="Times New Roman"/>
                <w:sz w:val="20"/>
                <w:szCs w:val="20"/>
              </w:rPr>
              <w:br/>
              <w:t xml:space="preserve">Në tri kolonat e modelit nën titullin “Të ardhurat”, Grupi raportues i shoqërive </w:t>
            </w:r>
            <w:r w:rsidRPr="00373342">
              <w:rPr>
                <w:rFonts w:ascii="Times New Roman" w:hAnsi="Times New Roman" w:cs="Times New Roman"/>
                <w:sz w:val="20"/>
                <w:szCs w:val="20"/>
              </w:rPr>
              <w:lastRenderedPageBreak/>
              <w:t>shumëkombëshe raporton informacionin e mëposhtëm:</w:t>
            </w:r>
            <w:r w:rsidRPr="00373342">
              <w:rPr>
                <w:rFonts w:ascii="Times New Roman" w:hAnsi="Times New Roman" w:cs="Times New Roman"/>
                <w:sz w:val="20"/>
                <w:szCs w:val="20"/>
              </w:rPr>
              <w:br/>
            </w:r>
            <w:r w:rsidRPr="00373342">
              <w:rPr>
                <w:rFonts w:ascii="Times New Roman" w:hAnsi="Times New Roman" w:cs="Times New Roman"/>
                <w:sz w:val="20"/>
                <w:szCs w:val="20"/>
              </w:rPr>
              <w:br/>
              <w:t>a) shumën e të ardhurave të të gjitha Entiteteve përbërëse të Grupit të shoqërive shumëkombëshe në juridiksionin tatimor përkatës, të krijuara nga transaksionet me ndërmarrje të lidhura;</w:t>
            </w:r>
            <w:r w:rsidRPr="00373342">
              <w:rPr>
                <w:rFonts w:ascii="Times New Roman" w:hAnsi="Times New Roman" w:cs="Times New Roman"/>
                <w:sz w:val="20"/>
                <w:szCs w:val="20"/>
              </w:rPr>
              <w:br/>
            </w:r>
            <w:r w:rsidRPr="00373342">
              <w:rPr>
                <w:rFonts w:ascii="Times New Roman" w:hAnsi="Times New Roman" w:cs="Times New Roman"/>
                <w:sz w:val="20"/>
                <w:szCs w:val="20"/>
              </w:rPr>
              <w:br/>
              <w:t>b) shumën e të ardhurave të të gjitha Entiteteve përbërëse të Grupit të shoqërive shumëkombëshe në juridiksionin tatimor përkatës, të krijuara nga transaksionet me palë të pavarura;</w:t>
            </w:r>
            <w:r w:rsidRPr="00373342">
              <w:rPr>
                <w:rFonts w:ascii="Times New Roman" w:hAnsi="Times New Roman" w:cs="Times New Roman"/>
                <w:sz w:val="20"/>
                <w:szCs w:val="20"/>
              </w:rPr>
              <w:br/>
            </w:r>
            <w:r w:rsidRPr="00373342">
              <w:rPr>
                <w:rFonts w:ascii="Times New Roman" w:hAnsi="Times New Roman" w:cs="Times New Roman"/>
                <w:sz w:val="20"/>
                <w:szCs w:val="20"/>
              </w:rPr>
              <w:br/>
              <w:t>c) totalin e shumave të përmendura në shkronjat (a) dhe (b). Të ardhurat përfshijnë të ardhurat nga shitja e inventarit dhe pasurive, shërbimet, honoraret, interesat, primet dhe çdo shumë tjetër.</w:t>
            </w:r>
            <w:r w:rsidRPr="00373342">
              <w:rPr>
                <w:rFonts w:ascii="Times New Roman" w:hAnsi="Times New Roman" w:cs="Times New Roman"/>
                <w:sz w:val="20"/>
                <w:szCs w:val="20"/>
              </w:rPr>
              <w:br/>
            </w:r>
            <w:r w:rsidRPr="00373342">
              <w:rPr>
                <w:rFonts w:ascii="Times New Roman" w:hAnsi="Times New Roman" w:cs="Times New Roman"/>
                <w:sz w:val="20"/>
                <w:szCs w:val="20"/>
              </w:rPr>
              <w:br/>
              <w:t>Të ardhurat përjashtojnë pagesat e marra nga Entitete të tjera përbërëse që trajtohen si dividendë në juridiksionin tatimor të paguesit.</w:t>
            </w:r>
            <w:r w:rsidRPr="00373342">
              <w:rPr>
                <w:rFonts w:ascii="Times New Roman" w:hAnsi="Times New Roman" w:cs="Times New Roman"/>
                <w:sz w:val="20"/>
                <w:szCs w:val="20"/>
              </w:rPr>
              <w:br/>
            </w:r>
            <w:r w:rsidRPr="00373342">
              <w:rPr>
                <w:rFonts w:ascii="Times New Roman" w:hAnsi="Times New Roman" w:cs="Times New Roman"/>
                <w:sz w:val="20"/>
                <w:szCs w:val="20"/>
              </w:rPr>
              <w:br/>
              <w:t>1.3. Fitimi (humbja) përpara tatimit mbi të ardhurat</w:t>
            </w:r>
            <w:r w:rsidRPr="00373342">
              <w:rPr>
                <w:rFonts w:ascii="Times New Roman" w:hAnsi="Times New Roman" w:cs="Times New Roman"/>
                <w:sz w:val="20"/>
                <w:szCs w:val="20"/>
              </w:rPr>
              <w:br/>
            </w:r>
            <w:r w:rsidRPr="00373342">
              <w:rPr>
                <w:rFonts w:ascii="Times New Roman" w:hAnsi="Times New Roman" w:cs="Times New Roman"/>
                <w:sz w:val="20"/>
                <w:szCs w:val="20"/>
              </w:rPr>
              <w:br/>
              <w:t xml:space="preserve">Në kolonën e pestë të modelit, Grupi raportues i shoqërive shumëkombëshe raporton shumën e fitimit (humbjes) përpara tatimit mbi të ardhurat për të gjitha Entitetet përbërëse </w:t>
            </w:r>
            <w:r w:rsidRPr="00373342">
              <w:rPr>
                <w:rFonts w:ascii="Times New Roman" w:hAnsi="Times New Roman" w:cs="Times New Roman"/>
                <w:sz w:val="20"/>
                <w:szCs w:val="20"/>
              </w:rPr>
              <w:lastRenderedPageBreak/>
              <w:t>rezidente për qëllime tatimore në juridiksionin tatimor përkatës. Fitimi (humbja) përpara tatimit mbi të ardhurat përfshin të gjitha zërat e jashtëzakonshëm të të ardhurave dhe shpenzimeve.</w:t>
            </w:r>
            <w:r w:rsidRPr="00373342">
              <w:rPr>
                <w:rFonts w:ascii="Times New Roman" w:hAnsi="Times New Roman" w:cs="Times New Roman"/>
                <w:sz w:val="20"/>
                <w:szCs w:val="20"/>
              </w:rPr>
              <w:br/>
            </w:r>
            <w:r w:rsidRPr="00373342">
              <w:rPr>
                <w:rFonts w:ascii="Times New Roman" w:hAnsi="Times New Roman" w:cs="Times New Roman"/>
                <w:sz w:val="20"/>
                <w:szCs w:val="20"/>
              </w:rPr>
              <w:br/>
              <w:t>1.4. Tatimi mbi të ardhurat i paguar (mbi bazë cash)</w:t>
            </w:r>
            <w:r w:rsidRPr="00373342">
              <w:rPr>
                <w:rFonts w:ascii="Times New Roman" w:hAnsi="Times New Roman" w:cs="Times New Roman"/>
                <w:sz w:val="20"/>
                <w:szCs w:val="20"/>
              </w:rPr>
              <w:br/>
            </w:r>
            <w:r w:rsidRPr="00373342">
              <w:rPr>
                <w:rFonts w:ascii="Times New Roman" w:hAnsi="Times New Roman" w:cs="Times New Roman"/>
                <w:sz w:val="20"/>
                <w:szCs w:val="20"/>
              </w:rPr>
              <w:br/>
              <w:t>Në kolonën e gjashtë të modelit, Grupi raportues i shoqërive shumëkombëshe raporton shumën totale të tatimit mbi të ardhurat të paguar efektivisht gjatë Vitit fiskal përkatës nga të gjitha Entitetet përbërëse rezidente për qëllime tatimore në juridiksionin tatimor përkatës. Tatimet e paguara përfshijnë tatimet e paguara cash nga Entiteti përbërës në juridiksionin tatimor të rezidencës dhe në të gjitha juridiksionet e tjera tatimore. Tatimet e paguara përfshijnë tatimet e mbajtura në burim të paguara nga entitete të tjera (ndërmarrje të lidhura dhe ndërmarrje të pavarura) në lidhje me pagesat ndaj Entitetit përbërës. Kështu, nëse shoqëria A, rezidente në juridiksionin tatimor A, përfiton interes në juridiksionin tatimor B, tatimi i mbajtur në burim në juridiksionin tatimor B raportohet nga shoqëria A.</w:t>
            </w:r>
            <w:r w:rsidRPr="00373342">
              <w:rPr>
                <w:rFonts w:ascii="Times New Roman" w:hAnsi="Times New Roman" w:cs="Times New Roman"/>
                <w:sz w:val="20"/>
                <w:szCs w:val="20"/>
              </w:rPr>
              <w:br/>
            </w:r>
            <w:r w:rsidRPr="00373342">
              <w:rPr>
                <w:rFonts w:ascii="Times New Roman" w:hAnsi="Times New Roman" w:cs="Times New Roman"/>
                <w:sz w:val="20"/>
                <w:szCs w:val="20"/>
              </w:rPr>
              <w:br/>
              <w:t>1.5. Tatimi mbi të ardhurat i përllogaritur (viti aktual)</w:t>
            </w:r>
            <w:r w:rsidRPr="00373342">
              <w:rPr>
                <w:rFonts w:ascii="Times New Roman" w:hAnsi="Times New Roman" w:cs="Times New Roman"/>
                <w:sz w:val="20"/>
                <w:szCs w:val="20"/>
              </w:rPr>
              <w:br/>
            </w:r>
            <w:r w:rsidRPr="00373342">
              <w:rPr>
                <w:rFonts w:ascii="Times New Roman" w:hAnsi="Times New Roman" w:cs="Times New Roman"/>
                <w:sz w:val="20"/>
                <w:szCs w:val="20"/>
              </w:rPr>
              <w:br/>
            </w:r>
            <w:r w:rsidRPr="00373342">
              <w:rPr>
                <w:rFonts w:ascii="Times New Roman" w:hAnsi="Times New Roman" w:cs="Times New Roman"/>
                <w:sz w:val="20"/>
                <w:szCs w:val="20"/>
              </w:rPr>
              <w:lastRenderedPageBreak/>
              <w:t>Në kolonën e shtatë të modelit, Grupi raportues i shoqërive shumëkombëshe raporton shumën e shpenzimit aktual tatimor të përllogaritur, të regjistruar mbi fitimet ose humbjet e tatueshme të vitit të raportimit, për të gjitha Entitetet përbërëse rezidente për qëllime tatimore në juridiksionin tatimor përkatës. Shpenzimi aktual tatimor pasqyron vetëm operacionet e vitit aktual dhe nuk përfshin tatimet e shtyra ose provigjionet për detyrime tatimore të pasigurta.</w:t>
            </w:r>
            <w:r w:rsidRPr="00373342">
              <w:rPr>
                <w:rFonts w:ascii="Times New Roman" w:hAnsi="Times New Roman" w:cs="Times New Roman"/>
                <w:sz w:val="20"/>
                <w:szCs w:val="20"/>
              </w:rPr>
              <w:br/>
            </w:r>
            <w:r w:rsidRPr="00373342">
              <w:rPr>
                <w:rFonts w:ascii="Times New Roman" w:hAnsi="Times New Roman" w:cs="Times New Roman"/>
                <w:sz w:val="20"/>
                <w:szCs w:val="20"/>
              </w:rPr>
              <w:br/>
              <w:t>1.6. Kapitali i deklaruar</w:t>
            </w:r>
            <w:r w:rsidRPr="00373342">
              <w:rPr>
                <w:rFonts w:ascii="Times New Roman" w:hAnsi="Times New Roman" w:cs="Times New Roman"/>
                <w:sz w:val="20"/>
                <w:szCs w:val="20"/>
              </w:rPr>
              <w:br/>
            </w:r>
            <w:r w:rsidRPr="00373342">
              <w:rPr>
                <w:rFonts w:ascii="Times New Roman" w:hAnsi="Times New Roman" w:cs="Times New Roman"/>
                <w:sz w:val="20"/>
                <w:szCs w:val="20"/>
              </w:rPr>
              <w:br/>
              <w:t>Në kolonën e tetë të modelit, Grupi raportues i shoqërive shumëkombëshe raporton shumën e kapitalit të deklaruar të të gjitha Entiteteve përbërëse rezidente për qëllime tatimore në juridiksionin tatimor përkatës. Për selitë e përhershme, kapitali i deklaruar raportohet nga entiteti juridik, seli e përhershme e të cilit është, përveç rasteve kur në juridiksionin tatimor të selisë së përhershme ekziston një kërkesë e përcaktuar për kapital për qëllime rregullatore.</w:t>
            </w:r>
            <w:r w:rsidRPr="00373342">
              <w:rPr>
                <w:rFonts w:ascii="Times New Roman" w:hAnsi="Times New Roman" w:cs="Times New Roman"/>
                <w:sz w:val="20"/>
                <w:szCs w:val="20"/>
              </w:rPr>
              <w:br/>
            </w:r>
            <w:r w:rsidRPr="00373342">
              <w:rPr>
                <w:rFonts w:ascii="Times New Roman" w:hAnsi="Times New Roman" w:cs="Times New Roman"/>
                <w:sz w:val="20"/>
                <w:szCs w:val="20"/>
              </w:rPr>
              <w:br/>
              <w:t>1.7. Fitimet e akumuluara</w:t>
            </w:r>
            <w:r w:rsidRPr="00373342">
              <w:rPr>
                <w:rFonts w:ascii="Times New Roman" w:hAnsi="Times New Roman" w:cs="Times New Roman"/>
                <w:sz w:val="20"/>
                <w:szCs w:val="20"/>
              </w:rPr>
              <w:br/>
            </w:r>
            <w:r w:rsidRPr="00373342">
              <w:rPr>
                <w:rFonts w:ascii="Times New Roman" w:hAnsi="Times New Roman" w:cs="Times New Roman"/>
                <w:sz w:val="20"/>
                <w:szCs w:val="20"/>
              </w:rPr>
              <w:br/>
              <w:t xml:space="preserve">Në kolonën e nëntë të modelit, Grupi raportues i shoqërive shumëkombëshe raporton shumën e fitimeve totale të akumuluara të të gjitha Entiteteve përbërëse </w:t>
            </w:r>
            <w:r w:rsidRPr="00373342">
              <w:rPr>
                <w:rFonts w:ascii="Times New Roman" w:hAnsi="Times New Roman" w:cs="Times New Roman"/>
                <w:sz w:val="20"/>
                <w:szCs w:val="20"/>
              </w:rPr>
              <w:lastRenderedPageBreak/>
              <w:t>rezidente për qëllime tatimore në juridiksionin tatimor përkatës në fund të vitit. Për selitë e përhershme, fitimet e akumuluara raportohen nga entiteti juridik, seli e përhershme e të cilit është.</w:t>
            </w:r>
            <w:r w:rsidRPr="00373342">
              <w:rPr>
                <w:rFonts w:ascii="Times New Roman" w:hAnsi="Times New Roman" w:cs="Times New Roman"/>
                <w:sz w:val="20"/>
                <w:szCs w:val="20"/>
              </w:rPr>
              <w:br/>
            </w:r>
            <w:r w:rsidRPr="00373342">
              <w:rPr>
                <w:rFonts w:ascii="Times New Roman" w:hAnsi="Times New Roman" w:cs="Times New Roman"/>
                <w:sz w:val="20"/>
                <w:szCs w:val="20"/>
              </w:rPr>
              <w:br/>
              <w:t>1.8. Numri i punonjësve</w:t>
            </w:r>
            <w:r w:rsidRPr="00373342">
              <w:rPr>
                <w:rFonts w:ascii="Times New Roman" w:hAnsi="Times New Roman" w:cs="Times New Roman"/>
                <w:sz w:val="20"/>
                <w:szCs w:val="20"/>
              </w:rPr>
              <w:br/>
            </w:r>
            <w:r w:rsidRPr="00373342">
              <w:rPr>
                <w:rFonts w:ascii="Times New Roman" w:hAnsi="Times New Roman" w:cs="Times New Roman"/>
                <w:sz w:val="20"/>
                <w:szCs w:val="20"/>
              </w:rPr>
              <w:br/>
              <w:t>Në kolonën e dhjetë të modelit, Grupi raportues i shoqërive shumëkombëshe raporton numrin total të punonjësve, mbi bazën e ekuivalentit me kohë të plotë (FTE), të të gjitha Entiteteve përbërëse rezidente për qëllime tatimore në juridiksionin tatimor përkatës. Numri i punonjësve mund të raportohet në fund të vitit, mbi bazën e niveleve mesatare të punësimit për vitin, ose mbi çdo bazë tjetër të zbatuar në mënyrë të qëndrueshme në të gjitha juridiksionet tatimore dhe nga viti në vit. Për këtë qëllim, kontraktorët e pavarur që marrin pjesë në aktivitetet e zakonshme operative të Entitetit përbërës mund të raportohen si punonjës. Lejohet rrumbullakimi ose përafrimi i arsyeshëm i numrit të punonjësve, me kusht që ky rrumbullakim ose përafrim të mos shtrembërojë në mënyrë materiale shpërndarjen relative të punonjësve ndërmjet juridiksioneve të ndryshme tatimore. Zbatohen qasje të qëndrueshme nga viti në vit dhe ndërmjet entiteteve.</w:t>
            </w:r>
            <w:r w:rsidRPr="00373342">
              <w:rPr>
                <w:rFonts w:ascii="Times New Roman" w:hAnsi="Times New Roman" w:cs="Times New Roman"/>
                <w:sz w:val="20"/>
                <w:szCs w:val="20"/>
              </w:rPr>
              <w:br/>
            </w:r>
            <w:r w:rsidRPr="00373342">
              <w:rPr>
                <w:rFonts w:ascii="Times New Roman" w:hAnsi="Times New Roman" w:cs="Times New Roman"/>
                <w:sz w:val="20"/>
                <w:szCs w:val="20"/>
              </w:rPr>
              <w:br/>
            </w:r>
            <w:r w:rsidRPr="00373342">
              <w:rPr>
                <w:rFonts w:ascii="Times New Roman" w:hAnsi="Times New Roman" w:cs="Times New Roman"/>
                <w:sz w:val="20"/>
                <w:szCs w:val="20"/>
              </w:rPr>
              <w:lastRenderedPageBreak/>
              <w:t>1.9. Asetet e prekshme, përveç parasë cash dhe ekuivalentëve të saj</w:t>
            </w:r>
            <w:r w:rsidRPr="00373342">
              <w:rPr>
                <w:rFonts w:ascii="Times New Roman" w:hAnsi="Times New Roman" w:cs="Times New Roman"/>
                <w:sz w:val="20"/>
                <w:szCs w:val="20"/>
              </w:rPr>
              <w:br/>
            </w:r>
            <w:r w:rsidRPr="00373342">
              <w:rPr>
                <w:rFonts w:ascii="Times New Roman" w:hAnsi="Times New Roman" w:cs="Times New Roman"/>
                <w:sz w:val="20"/>
                <w:szCs w:val="20"/>
              </w:rPr>
              <w:br/>
              <w:t>Në kolonën e njëmbëdhjetë të modelit, Grupi raportues i shoqërive shumëkombëshe raporton shumën e vlerave kontabël neto të aseteve të prekshme të të gjitha Entiteteve përbërëse rezidente për qëllime tatimore në juridiksionin tatimor përkatës. Për selitë e përhershme, asetet raportohen duke iu referuar juridiksionit tatimor në të cilin ndodhet selia e përhershme. Për këtë qëllim, asetet e prekshme nuk përfshijnë paranë cash ose ekuivalentët e saj, aktivet jo-materiale ose aktivet financiare.</w:t>
            </w:r>
          </w:p>
        </w:tc>
        <w:tc>
          <w:tcPr>
            <w:tcW w:w="1170" w:type="dxa"/>
            <w:shd w:val="clear" w:color="auto" w:fill="FFFFFF" w:themeFill="background1"/>
          </w:tcPr>
          <w:p w14:paraId="061624E4" w14:textId="7F3E2DE5"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lastRenderedPageBreak/>
              <w:t>2</w:t>
            </w:r>
          </w:p>
        </w:tc>
        <w:tc>
          <w:tcPr>
            <w:tcW w:w="1260" w:type="dxa"/>
            <w:shd w:val="clear" w:color="auto" w:fill="FFFFFF" w:themeFill="background1"/>
          </w:tcPr>
          <w:p w14:paraId="1A91F24E" w14:textId="2B9604A5"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Shtojca 1</w:t>
            </w:r>
          </w:p>
        </w:tc>
        <w:tc>
          <w:tcPr>
            <w:tcW w:w="3870" w:type="dxa"/>
            <w:shd w:val="clear" w:color="auto" w:fill="FFFFFF" w:themeFill="background1"/>
          </w:tcPr>
          <w:p w14:paraId="2E46C25B" w14:textId="77777777" w:rsidR="002A0368" w:rsidRDefault="004E7617" w:rsidP="004E7617">
            <w:pPr>
              <w:pBdr>
                <w:top w:val="nil"/>
                <w:left w:val="nil"/>
                <w:bottom w:val="nil"/>
                <w:right w:val="nil"/>
                <w:between w:val="nil"/>
              </w:pBdr>
              <w:spacing w:line="276" w:lineRule="auto"/>
              <w:rPr>
                <w:rFonts w:ascii="Times New Roman" w:eastAsia="Times New Roman" w:hAnsi="Times New Roman" w:cs="Times New Roman"/>
                <w:sz w:val="20"/>
                <w:szCs w:val="20"/>
                <w:lang w:eastAsia="en-IE"/>
              </w:rPr>
            </w:pPr>
            <w:r w:rsidRPr="00472C4C">
              <w:rPr>
                <w:rFonts w:ascii="Times New Roman" w:eastAsia="Times New Roman" w:hAnsi="Times New Roman" w:cs="Times New Roman"/>
                <w:sz w:val="20"/>
                <w:szCs w:val="20"/>
                <w:lang w:eastAsia="en-IE"/>
              </w:rPr>
              <w:t>Përmbajtja dhe formati i raportit për çdo vend</w:t>
            </w:r>
          </w:p>
          <w:p w14:paraId="31A8969E" w14:textId="63E3A76C" w:rsidR="002A0368" w:rsidRDefault="004E7617" w:rsidP="004E7617">
            <w:pPr>
              <w:pBdr>
                <w:top w:val="nil"/>
                <w:left w:val="nil"/>
                <w:bottom w:val="nil"/>
                <w:right w:val="nil"/>
                <w:between w:val="nil"/>
              </w:pBdr>
              <w:spacing w:line="276" w:lineRule="auto"/>
              <w:rPr>
                <w:rFonts w:ascii="Times New Roman" w:eastAsia="Times New Roman" w:hAnsi="Times New Roman" w:cs="Times New Roman"/>
                <w:sz w:val="20"/>
                <w:szCs w:val="20"/>
                <w:lang w:eastAsia="en-IE"/>
              </w:rPr>
            </w:pPr>
            <w:r w:rsidRPr="00472C4C">
              <w:rPr>
                <w:rFonts w:ascii="Times New Roman" w:eastAsia="Times New Roman" w:hAnsi="Times New Roman" w:cs="Times New Roman"/>
                <w:sz w:val="20"/>
                <w:szCs w:val="20"/>
                <w:lang w:eastAsia="en-IE"/>
              </w:rPr>
              <w:br/>
              <w:t xml:space="preserve">Tabela 1. Pasqyra e </w:t>
            </w:r>
            <w:r w:rsidR="000215A2" w:rsidRPr="000215A2">
              <w:rPr>
                <w:rFonts w:ascii="Times New Roman" w:eastAsia="Times New Roman" w:hAnsi="Times New Roman" w:cs="Times New Roman"/>
                <w:sz w:val="20"/>
                <w:szCs w:val="20"/>
                <w:lang w:eastAsia="en-IE"/>
              </w:rPr>
              <w:t>alokimit</w:t>
            </w:r>
            <w:r w:rsidR="000215A2">
              <w:rPr>
                <w:rFonts w:ascii="Times New Roman" w:eastAsia="Times New Roman" w:hAnsi="Times New Roman" w:cs="Times New Roman"/>
                <w:sz w:val="20"/>
                <w:szCs w:val="20"/>
                <w:lang w:eastAsia="en-IE"/>
              </w:rPr>
              <w:t xml:space="preserve"> t</w:t>
            </w:r>
            <w:r w:rsidRPr="00472C4C">
              <w:rPr>
                <w:rFonts w:ascii="Times New Roman" w:eastAsia="Times New Roman" w:hAnsi="Times New Roman" w:cs="Times New Roman"/>
                <w:sz w:val="20"/>
                <w:szCs w:val="20"/>
                <w:lang w:eastAsia="en-IE"/>
              </w:rPr>
              <w:t>ë të ardhurave, tatimeve dhe aktiviteteve të biznesit sipas juridiksionit tatimor</w:t>
            </w:r>
            <w:r w:rsidRPr="00472C4C">
              <w:rPr>
                <w:rFonts w:ascii="Times New Roman" w:eastAsia="Times New Roman" w:hAnsi="Times New Roman" w:cs="Times New Roman"/>
                <w:sz w:val="20"/>
                <w:szCs w:val="20"/>
                <w:lang w:eastAsia="en-IE"/>
              </w:rPr>
              <w:br/>
            </w:r>
          </w:p>
          <w:p w14:paraId="5D2129A6" w14:textId="6B9AEDFB" w:rsidR="004E7617" w:rsidRPr="00472C4C" w:rsidRDefault="004E7617" w:rsidP="004E7617">
            <w:pPr>
              <w:pBdr>
                <w:top w:val="nil"/>
                <w:left w:val="nil"/>
                <w:bottom w:val="nil"/>
                <w:right w:val="nil"/>
                <w:between w:val="nil"/>
              </w:pBdr>
              <w:spacing w:line="276" w:lineRule="auto"/>
              <w:rPr>
                <w:rFonts w:ascii="Times New Roman" w:eastAsia="Times New Roman" w:hAnsi="Times New Roman" w:cs="Times New Roman"/>
                <w:sz w:val="20"/>
                <w:szCs w:val="20"/>
                <w:lang w:eastAsia="en-IE"/>
              </w:rPr>
            </w:pPr>
            <w:r w:rsidRPr="00472C4C">
              <w:rPr>
                <w:rFonts w:ascii="Times New Roman" w:eastAsia="Times New Roman" w:hAnsi="Times New Roman" w:cs="Times New Roman"/>
                <w:sz w:val="20"/>
                <w:szCs w:val="20"/>
                <w:lang w:eastAsia="en-IE"/>
              </w:rPr>
              <w:lastRenderedPageBreak/>
              <w:t>Udhëzues për përgatitjen e Tabelës 1</w:t>
            </w:r>
            <w:r w:rsidRPr="00472C4C">
              <w:rPr>
                <w:rFonts w:ascii="Times New Roman" w:eastAsia="Times New Roman" w:hAnsi="Times New Roman" w:cs="Times New Roman"/>
                <w:sz w:val="20"/>
                <w:szCs w:val="20"/>
                <w:lang w:eastAsia="en-IE"/>
              </w:rPr>
              <w:br/>
            </w:r>
            <w:r w:rsidRPr="00472C4C">
              <w:rPr>
                <w:rFonts w:ascii="Times New Roman" w:eastAsia="Times New Roman" w:hAnsi="Times New Roman" w:cs="Times New Roman"/>
                <w:sz w:val="20"/>
                <w:szCs w:val="20"/>
                <w:lang w:eastAsia="en-IE"/>
              </w:rPr>
              <w:br/>
              <w:t>Juridiksioni tatimor. Në kolonën e parë të tabelës, entiteti raportues rendit të gjitha juridiksionet tatimore në të cilat entitetet përbërëse të grupit të shoqërive shumëkombëshe janë rezidente për qëllime tatimore. Juridiksion tatimor është shteti, si dhe një juridiksion joshtetëror që ka autonomi fiskale. Për të gjitha entitetet përbërëse të grupit të shoqërive shumëkombëshe që, sipas vlerësimit të entitetit raportues, nuk janë rezidente për qëllime tatimore në asnjë juridiksion tatimor, duhet të përfshihet një rresht i veçantë. Kur një entitet përbërës është rezident në më shumë se një juridiksion tatimor, zbatohet rregulli përcaktues i marrëveshjes tatimore të zbatueshme për të përcaktuar juridiksionin tatimor të rezidencës. Kur nuk ekziston një marrëveshje tatimore e zbatueshme, entiteti përbërës raportohet në juridiksionin tatimor të vendit të menaxhimit efektiv të entitetit përbërës. Vendi i menaxhimit efektiv përcaktohet në përputhje me dispozitat e nenit 4 të Modelit të Konventës Tatimore të Organizatës për Bashkëpunim dhe Zhvillim Ekonomik dhe komentarin e tij.</w:t>
            </w:r>
            <w:r w:rsidRPr="00472C4C">
              <w:rPr>
                <w:rFonts w:ascii="Times New Roman" w:eastAsia="Times New Roman" w:hAnsi="Times New Roman" w:cs="Times New Roman"/>
                <w:sz w:val="20"/>
                <w:szCs w:val="20"/>
                <w:lang w:eastAsia="en-IE"/>
              </w:rPr>
              <w:br/>
            </w:r>
            <w:r w:rsidRPr="00472C4C">
              <w:rPr>
                <w:rFonts w:ascii="Times New Roman" w:eastAsia="Times New Roman" w:hAnsi="Times New Roman" w:cs="Times New Roman"/>
                <w:sz w:val="20"/>
                <w:szCs w:val="20"/>
                <w:lang w:eastAsia="en-IE"/>
              </w:rPr>
              <w:br/>
              <w:t xml:space="preserve">Të ardhurat. Në tri kolonat e tabelës nën titullin “Të ardhurat”, entiteti raportues raporton informacionin e mëposhtëm: (i) </w:t>
            </w:r>
            <w:r w:rsidRPr="00472C4C">
              <w:rPr>
                <w:rFonts w:ascii="Times New Roman" w:eastAsia="Times New Roman" w:hAnsi="Times New Roman" w:cs="Times New Roman"/>
                <w:sz w:val="20"/>
                <w:szCs w:val="20"/>
                <w:lang w:eastAsia="en-IE"/>
              </w:rPr>
              <w:lastRenderedPageBreak/>
              <w:t>shumën e të ardhurave të të gjitha entiteteve përbërëse të grupit të shoqërive shumëkombëshe në juridiksionin tatimor përkatës, të krijuara nga transaksionet me palë të lidhura; (ii) shumën e të ardhurave të të gjitha entiteteve përbërëse të grupit të shoqërive shumëkombëshe në juridiksionin tatimor përkatës, të krijuara nga transaksionet me palë të pavarura; dhe (iii) totalin e (i) dhe (ii). Të ardhurat përfshijnë të ardhurat nga shitja e inventarit dhe pasurive, shërbimet, honoraret, interesat, primet dhe çdo shumë tjetër. Të ardhurat përjashtojnë pagesat e marra nga entitete të tjera përbërëse që trajtohen si dividendë në juridiksionin tatimor të paguesit.</w:t>
            </w:r>
            <w:r w:rsidRPr="00472C4C">
              <w:rPr>
                <w:rFonts w:ascii="Times New Roman" w:eastAsia="Times New Roman" w:hAnsi="Times New Roman" w:cs="Times New Roman"/>
                <w:sz w:val="20"/>
                <w:szCs w:val="20"/>
                <w:lang w:eastAsia="en-IE"/>
              </w:rPr>
              <w:br/>
            </w:r>
            <w:r w:rsidRPr="00472C4C">
              <w:rPr>
                <w:rFonts w:ascii="Times New Roman" w:eastAsia="Times New Roman" w:hAnsi="Times New Roman" w:cs="Times New Roman"/>
                <w:sz w:val="20"/>
                <w:szCs w:val="20"/>
                <w:lang w:eastAsia="en-IE"/>
              </w:rPr>
              <w:br/>
              <w:t>Fitimi (humbja) përpara tatimit mbi të ardhurat. Në kolonën e pestë të tabelës, entiteti raportues raporton shumën e fitimit (humbjes) përpara tatimit mbi të ardhurat për të gjitha entitetet përbërëse rezidente për qëllime tatimore në juridiksionin tatimor përkatës. Fitimi (humbja) përpara tatimit mbi të ardhurat përfshin të gjitha zërat e jashtëzakonshëm të të ardhurave dhe shpenzimeve.</w:t>
            </w:r>
            <w:r w:rsidRPr="00472C4C">
              <w:rPr>
                <w:rFonts w:ascii="Times New Roman" w:eastAsia="Times New Roman" w:hAnsi="Times New Roman" w:cs="Times New Roman"/>
                <w:sz w:val="20"/>
                <w:szCs w:val="20"/>
                <w:lang w:eastAsia="en-IE"/>
              </w:rPr>
              <w:br/>
            </w:r>
            <w:r w:rsidRPr="00472C4C">
              <w:rPr>
                <w:rFonts w:ascii="Times New Roman" w:eastAsia="Times New Roman" w:hAnsi="Times New Roman" w:cs="Times New Roman"/>
                <w:sz w:val="20"/>
                <w:szCs w:val="20"/>
                <w:lang w:eastAsia="en-IE"/>
              </w:rPr>
              <w:br/>
              <w:t xml:space="preserve">Tatimi mbi të ardhurat i paguar (mbi bazë cash). Në kolonën e gjashtë të tabelës, entiteti raportues raporton shumën totale të tatimit mbi të ardhurat të paguar efektivisht </w:t>
            </w:r>
            <w:r w:rsidRPr="00472C4C">
              <w:rPr>
                <w:rFonts w:ascii="Times New Roman" w:eastAsia="Times New Roman" w:hAnsi="Times New Roman" w:cs="Times New Roman"/>
                <w:sz w:val="20"/>
                <w:szCs w:val="20"/>
                <w:lang w:eastAsia="en-IE"/>
              </w:rPr>
              <w:lastRenderedPageBreak/>
              <w:t>gjatë vitit fiskal përkatës nga të gjitha entitetet përbërëse rezidente për qëllime tatimore në juridiksionin tatimor përkatës. Tatimet e paguara përfshijnë tatimet e paguara cash nga entiteti përbërës në juridiksionin tatimor të rezidencës dhe në të gjitha juridiksionet e tjera tatimore. Tatimet e paguara përfshijnë tatimet e mbajtura në burim të paguara nga entitete të tjera (palë të lidhura dhe palë të pavarura) në lidhje me pagesat ndaj entitetit përbërës. Kështu, nëse shoqëria A, rezidente në juridiksionin tatimor A, përfiton interes në juridiksionin tatimor B, tatimi i mbajtur në burim në juridiksionin tatimor B raportohet nga shoqëria A.</w:t>
            </w:r>
            <w:r w:rsidRPr="00472C4C">
              <w:rPr>
                <w:rFonts w:ascii="Times New Roman" w:eastAsia="Times New Roman" w:hAnsi="Times New Roman" w:cs="Times New Roman"/>
                <w:sz w:val="20"/>
                <w:szCs w:val="20"/>
                <w:lang w:eastAsia="en-IE"/>
              </w:rPr>
              <w:br/>
            </w:r>
            <w:r w:rsidRPr="00472C4C">
              <w:rPr>
                <w:rFonts w:ascii="Times New Roman" w:eastAsia="Times New Roman" w:hAnsi="Times New Roman" w:cs="Times New Roman"/>
                <w:sz w:val="20"/>
                <w:szCs w:val="20"/>
                <w:lang w:eastAsia="en-IE"/>
              </w:rPr>
              <w:br/>
              <w:t>Tatimi mbi të ardhurat i përllogaritur (viti aktual). Në kolonën e shtatë të tabelës, entiteti raportues raporton shumën e shpenzimit aktual tatimor të përllogaritur, të regjistruar mbi fitimet ose humbjet e tatueshme të vitit të raportimit, për të gjitha entitetet përbërëse rezidente për qëllime tatimore në juridiksionin tatimor përkatës. Shpenzimi aktual tatimor pasqyron vetëm operacionet e vitit aktual dhe nuk përfshin tatimet e shtyra ose provigjionet për detyrime tatimore të pasigurta.</w:t>
            </w:r>
            <w:r w:rsidRPr="00472C4C">
              <w:rPr>
                <w:rFonts w:ascii="Times New Roman" w:eastAsia="Times New Roman" w:hAnsi="Times New Roman" w:cs="Times New Roman"/>
                <w:sz w:val="20"/>
                <w:szCs w:val="20"/>
                <w:lang w:eastAsia="en-IE"/>
              </w:rPr>
              <w:br/>
            </w:r>
            <w:r w:rsidRPr="00472C4C">
              <w:rPr>
                <w:rFonts w:ascii="Times New Roman" w:eastAsia="Times New Roman" w:hAnsi="Times New Roman" w:cs="Times New Roman"/>
                <w:sz w:val="20"/>
                <w:szCs w:val="20"/>
                <w:lang w:eastAsia="en-IE"/>
              </w:rPr>
              <w:br/>
              <w:t xml:space="preserve">Kapitali i deklaruar. Në kolonën e tetë të tabelës, entiteti raportues raporton shumën e kapitalit të deklaruar të të gjitha entiteteve </w:t>
            </w:r>
            <w:r w:rsidRPr="00472C4C">
              <w:rPr>
                <w:rFonts w:ascii="Times New Roman" w:eastAsia="Times New Roman" w:hAnsi="Times New Roman" w:cs="Times New Roman"/>
                <w:sz w:val="20"/>
                <w:szCs w:val="20"/>
                <w:lang w:eastAsia="en-IE"/>
              </w:rPr>
              <w:lastRenderedPageBreak/>
              <w:t>përbërëse rezidente për qëllime tatimore në juridiksionin tatimor përkatës. Për selitë e përhershme, kapitali i deklaruar raportohet nga entiteti i selisë së përhershme, përveç rasteve kur në juridiksionin tatimor të selisë së përhershme ekziston një kërkesë e përcaktuar për kapital për qëllime rregullatore.</w:t>
            </w:r>
            <w:r w:rsidRPr="00472C4C">
              <w:rPr>
                <w:rFonts w:ascii="Times New Roman" w:eastAsia="Times New Roman" w:hAnsi="Times New Roman" w:cs="Times New Roman"/>
                <w:sz w:val="20"/>
                <w:szCs w:val="20"/>
                <w:lang w:eastAsia="en-IE"/>
              </w:rPr>
              <w:br/>
            </w:r>
            <w:r w:rsidRPr="00472C4C">
              <w:rPr>
                <w:rFonts w:ascii="Times New Roman" w:eastAsia="Times New Roman" w:hAnsi="Times New Roman" w:cs="Times New Roman"/>
                <w:sz w:val="20"/>
                <w:szCs w:val="20"/>
                <w:lang w:eastAsia="en-IE"/>
              </w:rPr>
              <w:br/>
              <w:t>Fitimet e akumuluara. Në kolonën e nëntë të tabelës, entiteti raportues raporton shumën e fitimeve totale të akumuluara të të gjitha entiteteve përbërëse rezidente për qëllime tatimore në juridiksionin tatimor përkatës në fund të vitit. Për selitë e përhershme, fitimet e akumuluara raportohen nga entiteti i selisë së përhershme.</w:t>
            </w:r>
            <w:r w:rsidRPr="00472C4C">
              <w:rPr>
                <w:rFonts w:ascii="Times New Roman" w:eastAsia="Times New Roman" w:hAnsi="Times New Roman" w:cs="Times New Roman"/>
                <w:sz w:val="20"/>
                <w:szCs w:val="20"/>
                <w:lang w:eastAsia="en-IE"/>
              </w:rPr>
              <w:br/>
            </w:r>
            <w:r w:rsidRPr="00472C4C">
              <w:rPr>
                <w:rFonts w:ascii="Times New Roman" w:eastAsia="Times New Roman" w:hAnsi="Times New Roman" w:cs="Times New Roman"/>
                <w:sz w:val="20"/>
                <w:szCs w:val="20"/>
                <w:lang w:eastAsia="en-IE"/>
              </w:rPr>
              <w:br/>
              <w:t xml:space="preserve">Numri i punonjësve. Në kolonën e dhjetë të tabelës, entiteti raportues raporton numrin total të punonjësve mbi bazën e ekuivalentit me kohë të plotë të të gjitha entiteteve përbërëse rezidente për qëllime tatimore në juridiksionin tatimor përkatës. Numri i punonjësve mund të raportohet në fund të vitit, mbi bazën e niveleve mesatare të punësimit për vitin, ose mbi çdo bazë tjetër të zbatuar në mënyrë të qëndrueshme në të gjitha juridiksionet tatimore dhe nga viti në vit. Për këtë qëllim, kontraktorët e pavarur që marrin pjesë në aktivitetet e zakonshme operative të entitetit përbërës mund të </w:t>
            </w:r>
            <w:r w:rsidRPr="00472C4C">
              <w:rPr>
                <w:rFonts w:ascii="Times New Roman" w:eastAsia="Times New Roman" w:hAnsi="Times New Roman" w:cs="Times New Roman"/>
                <w:sz w:val="20"/>
                <w:szCs w:val="20"/>
                <w:lang w:eastAsia="en-IE"/>
              </w:rPr>
              <w:lastRenderedPageBreak/>
              <w:t>raportohen si punonjës. Lejohet rrumbullakimi ose përafrimi i arsyeshëm i numrit të punonjësve, me kusht që ky rrumbullakim ose përafrim të mos shtrembërojë në mënyrë materiale shpërndarjen relative të punonjësve ndërmjet juridiksioneve të ndryshme tatimore. Zbatohen qasje të qëndrueshme nga viti në vit dhe ndërmjet entiteteve.</w:t>
            </w:r>
            <w:r w:rsidRPr="00472C4C">
              <w:rPr>
                <w:rFonts w:ascii="Times New Roman" w:eastAsia="Times New Roman" w:hAnsi="Times New Roman" w:cs="Times New Roman"/>
                <w:sz w:val="20"/>
                <w:szCs w:val="20"/>
                <w:lang w:eastAsia="en-IE"/>
              </w:rPr>
              <w:br/>
            </w:r>
            <w:r w:rsidRPr="00472C4C">
              <w:rPr>
                <w:rFonts w:ascii="Times New Roman" w:eastAsia="Times New Roman" w:hAnsi="Times New Roman" w:cs="Times New Roman"/>
                <w:sz w:val="20"/>
                <w:szCs w:val="20"/>
                <w:lang w:eastAsia="en-IE"/>
              </w:rPr>
              <w:br/>
              <w:t>Asetet e prekshme, përveç parasë cash dhe ekuivalentëve të saj. Në kolonën e njëmbëdhjetë të tabelës, entiteti raportues raporton shumën e vlerave kontabël neto të aseteve të prekshme të të gjitha entiteteve përbërëse rezidente për qëllime tatimore në juridiksionin tatimor përkatës. Për selitë e përhershme, asetet raportohen duke iu referuar juridiksionit tatimor në të cilin ndodhet selia e përhershme. Për këtë qëllim, asetet e prekshme nuk përfshijnë paranë cash ose ekuivalentët e saj, aktivet jo-materiale ose aktivet financiare.</w:t>
            </w:r>
          </w:p>
          <w:p w14:paraId="6C096C01" w14:textId="54FFACEE" w:rsidR="004E7617" w:rsidRPr="00472C4C" w:rsidRDefault="004E7617" w:rsidP="004E7617">
            <w:pPr>
              <w:spacing w:line="276" w:lineRule="auto"/>
              <w:rPr>
                <w:rFonts w:ascii="Times New Roman" w:hAnsi="Times New Roman" w:cs="Times New Roman"/>
                <w:sz w:val="20"/>
                <w:szCs w:val="20"/>
              </w:rPr>
            </w:pPr>
          </w:p>
        </w:tc>
        <w:tc>
          <w:tcPr>
            <w:tcW w:w="1620" w:type="dxa"/>
            <w:shd w:val="clear" w:color="auto" w:fill="FFFFFF" w:themeFill="background1"/>
          </w:tcPr>
          <w:p w14:paraId="4081621E" w14:textId="5418546E" w:rsidR="004E7617" w:rsidRPr="00373342" w:rsidRDefault="004E7617" w:rsidP="004E7617">
            <w:pPr>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E plotë</w:t>
            </w:r>
          </w:p>
        </w:tc>
        <w:tc>
          <w:tcPr>
            <w:tcW w:w="2790" w:type="dxa"/>
            <w:shd w:val="clear" w:color="auto" w:fill="FFFFFF" w:themeFill="background1"/>
          </w:tcPr>
          <w:p w14:paraId="3E9DE733" w14:textId="77777777" w:rsidR="004E7617" w:rsidRPr="00373342" w:rsidRDefault="004E7617" w:rsidP="004E7617">
            <w:pPr>
              <w:spacing w:line="276" w:lineRule="auto"/>
              <w:rPr>
                <w:rFonts w:ascii="Times New Roman" w:hAnsi="Times New Roman" w:cs="Times New Roman"/>
                <w:sz w:val="20"/>
                <w:szCs w:val="20"/>
              </w:rPr>
            </w:pPr>
          </w:p>
        </w:tc>
      </w:tr>
      <w:tr w:rsidR="004E7617" w:rsidRPr="00373342" w14:paraId="080411C0" w14:textId="77777777" w:rsidTr="00373342">
        <w:tc>
          <w:tcPr>
            <w:tcW w:w="1440" w:type="dxa"/>
            <w:shd w:val="clear" w:color="auto" w:fill="FFFFFF" w:themeFill="background1"/>
          </w:tcPr>
          <w:p w14:paraId="11B4F91C" w14:textId="70113969" w:rsidR="004E7617" w:rsidRPr="00373342" w:rsidRDefault="004E7617" w:rsidP="004E7617">
            <w:pPr>
              <w:spacing w:line="276" w:lineRule="auto"/>
              <w:jc w:val="center"/>
              <w:rPr>
                <w:rFonts w:ascii="Times New Roman" w:hAnsi="Times New Roman" w:cs="Times New Roman"/>
                <w:b/>
                <w:bCs/>
                <w:sz w:val="20"/>
                <w:szCs w:val="20"/>
              </w:rPr>
            </w:pPr>
            <w:r w:rsidRPr="00373342">
              <w:rPr>
                <w:rFonts w:ascii="Times New Roman" w:hAnsi="Times New Roman" w:cs="Times New Roman"/>
                <w:b/>
                <w:bCs/>
                <w:sz w:val="20"/>
                <w:szCs w:val="20"/>
              </w:rPr>
              <w:lastRenderedPageBreak/>
              <w:t>Shtojca III, Seksioni III, Pika C, Nënndarja 2</w:t>
            </w:r>
          </w:p>
        </w:tc>
        <w:tc>
          <w:tcPr>
            <w:tcW w:w="3960" w:type="dxa"/>
            <w:shd w:val="clear" w:color="auto" w:fill="FFFFFF" w:themeFill="background1"/>
          </w:tcPr>
          <w:p w14:paraId="3D7E417F" w14:textId="77777777" w:rsidR="004E7617" w:rsidRPr="00373342" w:rsidRDefault="004E7617" w:rsidP="004E7617">
            <w:pPr>
              <w:spacing w:line="276" w:lineRule="auto"/>
              <w:rPr>
                <w:rFonts w:ascii="Times New Roman" w:hAnsi="Times New Roman" w:cs="Times New Roman"/>
                <w:sz w:val="20"/>
                <w:szCs w:val="20"/>
              </w:rPr>
            </w:pPr>
            <w:r w:rsidRPr="00373342">
              <w:rPr>
                <w:rFonts w:ascii="Times New Roman" w:hAnsi="Times New Roman" w:cs="Times New Roman"/>
                <w:sz w:val="20"/>
                <w:szCs w:val="20"/>
              </w:rPr>
              <w:t>2. Lista e të gjitha Entiteteve përbërëse të Grupit të shoqërive shumëkombëshe të përfshira në çdo agregim sipas juridiksionit tatimor (Tabela 2)</w:t>
            </w:r>
            <w:r w:rsidRPr="00373342">
              <w:rPr>
                <w:rFonts w:ascii="Times New Roman" w:hAnsi="Times New Roman" w:cs="Times New Roman"/>
                <w:sz w:val="20"/>
                <w:szCs w:val="20"/>
              </w:rPr>
              <w:br/>
            </w:r>
            <w:r w:rsidRPr="00373342">
              <w:rPr>
                <w:rFonts w:ascii="Times New Roman" w:hAnsi="Times New Roman" w:cs="Times New Roman"/>
                <w:sz w:val="20"/>
                <w:szCs w:val="20"/>
              </w:rPr>
              <w:br/>
              <w:t>2.1. Entitetet përbërëse rezidente në juridiksionin tatimor</w:t>
            </w:r>
            <w:r w:rsidRPr="00373342">
              <w:rPr>
                <w:rFonts w:ascii="Times New Roman" w:hAnsi="Times New Roman" w:cs="Times New Roman"/>
                <w:sz w:val="20"/>
                <w:szCs w:val="20"/>
              </w:rPr>
              <w:br/>
            </w:r>
            <w:r w:rsidRPr="00373342">
              <w:rPr>
                <w:rFonts w:ascii="Times New Roman" w:hAnsi="Times New Roman" w:cs="Times New Roman"/>
                <w:sz w:val="20"/>
                <w:szCs w:val="20"/>
              </w:rPr>
              <w:br/>
              <w:t xml:space="preserve">Grupi raportues i shoqërive shumëkombëshe rendit, sipas çdo juridiksioni tatimor dhe sipas emrit të entitetit juridik, të gjitha Entitetet përbërëse të Grupit të shoqërive shumëkombëshe që janë rezidente për qëllime tatimore në juridiksionin tatimor përkatës. Megjithatë, siç përcaktohet në pikën 2 të udhëzimeve të përgjithshme lidhur me selitë e përhershme, selia e përhershme renditet duke </w:t>
            </w:r>
            <w:r w:rsidRPr="00373342">
              <w:rPr>
                <w:rFonts w:ascii="Times New Roman" w:hAnsi="Times New Roman" w:cs="Times New Roman"/>
                <w:sz w:val="20"/>
                <w:szCs w:val="20"/>
              </w:rPr>
              <w:lastRenderedPageBreak/>
              <w:t>iu referuar juridiksionit tatimor në të cilin ndodhet. Shënohet entiteti juridik, seli e përhershme e të cilit është.</w:t>
            </w:r>
            <w:r w:rsidRPr="00373342">
              <w:rPr>
                <w:rFonts w:ascii="Times New Roman" w:hAnsi="Times New Roman" w:cs="Times New Roman"/>
                <w:sz w:val="20"/>
                <w:szCs w:val="20"/>
              </w:rPr>
              <w:br/>
            </w:r>
            <w:r w:rsidRPr="00373342">
              <w:rPr>
                <w:rFonts w:ascii="Times New Roman" w:hAnsi="Times New Roman" w:cs="Times New Roman"/>
                <w:sz w:val="20"/>
                <w:szCs w:val="20"/>
              </w:rPr>
              <w:br/>
              <w:t>2.2. Juridiksioni tatimor i organizimit ose inkorporimit, nëse është i ndryshëm nga juridiksioni tatimor i rezidencës</w:t>
            </w:r>
            <w:r w:rsidRPr="00373342">
              <w:rPr>
                <w:rFonts w:ascii="Times New Roman" w:hAnsi="Times New Roman" w:cs="Times New Roman"/>
                <w:sz w:val="20"/>
                <w:szCs w:val="20"/>
              </w:rPr>
              <w:br/>
            </w:r>
            <w:r w:rsidRPr="00373342">
              <w:rPr>
                <w:rFonts w:ascii="Times New Roman" w:hAnsi="Times New Roman" w:cs="Times New Roman"/>
                <w:sz w:val="20"/>
                <w:szCs w:val="20"/>
              </w:rPr>
              <w:br/>
              <w:t>Grupi raportues i shoqërive shumëkombëshe raporton emrin e juridiksionit tatimor sipas ligjeve të të cilit është organizuar ose inkorporuar Entiteti përbërës i Grupit të shoqërive shumëkombëshe, nëse ai është i ndryshëm nga juridiksioni tatimor i rezidencës.</w:t>
            </w:r>
            <w:r w:rsidRPr="00373342">
              <w:rPr>
                <w:rFonts w:ascii="Times New Roman" w:hAnsi="Times New Roman" w:cs="Times New Roman"/>
                <w:sz w:val="20"/>
                <w:szCs w:val="20"/>
              </w:rPr>
              <w:br/>
            </w:r>
            <w:r w:rsidRPr="00373342">
              <w:rPr>
                <w:rFonts w:ascii="Times New Roman" w:hAnsi="Times New Roman" w:cs="Times New Roman"/>
                <w:sz w:val="20"/>
                <w:szCs w:val="20"/>
              </w:rPr>
              <w:br/>
              <w:t>2.3. Aktiviteti/aktivitetet kryesore të biznesit</w:t>
            </w:r>
            <w:r w:rsidRPr="00373342">
              <w:rPr>
                <w:rFonts w:ascii="Times New Roman" w:hAnsi="Times New Roman" w:cs="Times New Roman"/>
                <w:sz w:val="20"/>
                <w:szCs w:val="20"/>
              </w:rPr>
              <w:br/>
            </w:r>
            <w:r w:rsidRPr="00373342">
              <w:rPr>
                <w:rFonts w:ascii="Times New Roman" w:hAnsi="Times New Roman" w:cs="Times New Roman"/>
                <w:sz w:val="20"/>
                <w:szCs w:val="20"/>
              </w:rPr>
              <w:br/>
              <w:t>Grupi raportues i shoqërive shumëkombëshe përcakton natyrën e aktivitetit ose aktiviteteve kryesore të biznesit të ushtruara nga Entiteti përbërës në juridiksionin tatimor përkatës, duke shënuar një ose më shumë nga kutitë përkatëse.</w:t>
            </w:r>
          </w:p>
          <w:p w14:paraId="2FA37383" w14:textId="77777777" w:rsidR="004E7617" w:rsidRPr="00373342" w:rsidRDefault="004E7617" w:rsidP="004E7617">
            <w:pPr>
              <w:spacing w:line="276" w:lineRule="auto"/>
              <w:rPr>
                <w:rFonts w:ascii="Times New Roman" w:hAnsi="Times New Roman" w:cs="Times New Roman"/>
                <w:sz w:val="20"/>
                <w:szCs w:val="20"/>
              </w:rPr>
            </w:pPr>
          </w:p>
          <w:p w14:paraId="2C934248" w14:textId="77777777" w:rsidR="004E7617" w:rsidRPr="00373342" w:rsidRDefault="004E7617" w:rsidP="004E7617">
            <w:pPr>
              <w:spacing w:line="276" w:lineRule="auto"/>
              <w:rPr>
                <w:rFonts w:ascii="Times New Roman" w:hAnsi="Times New Roman" w:cs="Times New Roman"/>
                <w:sz w:val="20"/>
                <w:szCs w:val="20"/>
              </w:rPr>
            </w:pPr>
          </w:p>
          <w:p w14:paraId="286287E5" w14:textId="77777777" w:rsidR="004E7617" w:rsidRPr="00373342" w:rsidRDefault="004E7617" w:rsidP="004E7617">
            <w:pPr>
              <w:spacing w:line="276" w:lineRule="auto"/>
              <w:rPr>
                <w:rFonts w:ascii="Times New Roman" w:hAnsi="Times New Roman" w:cs="Times New Roman"/>
                <w:sz w:val="20"/>
                <w:szCs w:val="20"/>
              </w:rPr>
            </w:pPr>
          </w:p>
          <w:p w14:paraId="67041775" w14:textId="77777777" w:rsidR="004E7617" w:rsidRPr="00373342" w:rsidRDefault="004E7617" w:rsidP="004E7617">
            <w:pPr>
              <w:spacing w:line="276" w:lineRule="auto"/>
              <w:rPr>
                <w:rFonts w:ascii="Times New Roman" w:hAnsi="Times New Roman" w:cs="Times New Roman"/>
                <w:sz w:val="20"/>
                <w:szCs w:val="20"/>
              </w:rPr>
            </w:pPr>
          </w:p>
          <w:p w14:paraId="2304D758" w14:textId="77777777" w:rsidR="004E7617" w:rsidRPr="00373342" w:rsidRDefault="004E7617" w:rsidP="004E7617">
            <w:pPr>
              <w:spacing w:line="276" w:lineRule="auto"/>
              <w:rPr>
                <w:rFonts w:ascii="Times New Roman" w:hAnsi="Times New Roman" w:cs="Times New Roman"/>
                <w:sz w:val="20"/>
                <w:szCs w:val="20"/>
              </w:rPr>
            </w:pPr>
          </w:p>
          <w:p w14:paraId="0BC61DC5" w14:textId="77777777" w:rsidR="004E7617" w:rsidRPr="00373342" w:rsidRDefault="004E7617" w:rsidP="004E7617">
            <w:pPr>
              <w:spacing w:line="276" w:lineRule="auto"/>
              <w:rPr>
                <w:rFonts w:ascii="Times New Roman" w:hAnsi="Times New Roman" w:cs="Times New Roman"/>
                <w:sz w:val="20"/>
                <w:szCs w:val="20"/>
              </w:rPr>
            </w:pPr>
          </w:p>
          <w:p w14:paraId="4A70B707" w14:textId="77777777" w:rsidR="004E7617" w:rsidRPr="00373342" w:rsidRDefault="004E7617" w:rsidP="004E7617">
            <w:pPr>
              <w:spacing w:line="276" w:lineRule="auto"/>
              <w:rPr>
                <w:rFonts w:ascii="Times New Roman" w:hAnsi="Times New Roman" w:cs="Times New Roman"/>
                <w:sz w:val="20"/>
                <w:szCs w:val="20"/>
              </w:rPr>
            </w:pPr>
          </w:p>
          <w:p w14:paraId="612A64AD" w14:textId="77777777" w:rsidR="004E7617" w:rsidRPr="00373342" w:rsidRDefault="004E7617" w:rsidP="004E7617">
            <w:pPr>
              <w:spacing w:line="276" w:lineRule="auto"/>
              <w:rPr>
                <w:rFonts w:ascii="Times New Roman" w:hAnsi="Times New Roman" w:cs="Times New Roman"/>
                <w:sz w:val="20"/>
                <w:szCs w:val="20"/>
              </w:rPr>
            </w:pPr>
          </w:p>
          <w:p w14:paraId="32653896" w14:textId="77777777" w:rsidR="004E7617" w:rsidRPr="00373342" w:rsidRDefault="004E7617" w:rsidP="004E7617">
            <w:pPr>
              <w:spacing w:line="276" w:lineRule="auto"/>
              <w:rPr>
                <w:rFonts w:ascii="Times New Roman" w:hAnsi="Times New Roman" w:cs="Times New Roman"/>
                <w:sz w:val="20"/>
                <w:szCs w:val="20"/>
              </w:rPr>
            </w:pPr>
          </w:p>
          <w:p w14:paraId="70389001" w14:textId="77777777" w:rsidR="004E7617" w:rsidRPr="00373342" w:rsidRDefault="004E7617" w:rsidP="004E7617">
            <w:pPr>
              <w:spacing w:line="276" w:lineRule="auto"/>
              <w:rPr>
                <w:rFonts w:ascii="Times New Roman" w:hAnsi="Times New Roman" w:cs="Times New Roman"/>
                <w:sz w:val="20"/>
                <w:szCs w:val="20"/>
              </w:rPr>
            </w:pPr>
          </w:p>
          <w:p w14:paraId="44F97B70" w14:textId="77777777" w:rsidR="004E7617" w:rsidRPr="00373342" w:rsidRDefault="004E7617" w:rsidP="004E7617">
            <w:pPr>
              <w:spacing w:line="276" w:lineRule="auto"/>
              <w:rPr>
                <w:rFonts w:ascii="Times New Roman" w:hAnsi="Times New Roman" w:cs="Times New Roman"/>
                <w:sz w:val="20"/>
                <w:szCs w:val="20"/>
              </w:rPr>
            </w:pPr>
          </w:p>
          <w:p w14:paraId="320141F1" w14:textId="77777777" w:rsidR="004E7617" w:rsidRPr="00373342" w:rsidRDefault="004E7617" w:rsidP="004E7617">
            <w:pPr>
              <w:spacing w:line="276" w:lineRule="auto"/>
              <w:rPr>
                <w:rFonts w:ascii="Times New Roman" w:hAnsi="Times New Roman" w:cs="Times New Roman"/>
                <w:sz w:val="20"/>
                <w:szCs w:val="20"/>
              </w:rPr>
            </w:pPr>
          </w:p>
          <w:p w14:paraId="754B949D" w14:textId="77777777" w:rsidR="004E7617" w:rsidRPr="00373342" w:rsidRDefault="004E7617" w:rsidP="004E7617">
            <w:pPr>
              <w:spacing w:line="276" w:lineRule="auto"/>
              <w:rPr>
                <w:rFonts w:ascii="Times New Roman" w:hAnsi="Times New Roman" w:cs="Times New Roman"/>
                <w:sz w:val="20"/>
                <w:szCs w:val="20"/>
              </w:rPr>
            </w:pPr>
          </w:p>
          <w:p w14:paraId="6F91319C" w14:textId="77777777" w:rsidR="004E7617" w:rsidRPr="00373342" w:rsidRDefault="004E7617" w:rsidP="004E7617">
            <w:pPr>
              <w:spacing w:line="276" w:lineRule="auto"/>
              <w:rPr>
                <w:rFonts w:ascii="Times New Roman" w:hAnsi="Times New Roman" w:cs="Times New Roman"/>
                <w:sz w:val="20"/>
                <w:szCs w:val="20"/>
              </w:rPr>
            </w:pPr>
          </w:p>
          <w:p w14:paraId="66C56210" w14:textId="30292123" w:rsidR="004E7617" w:rsidRPr="00373342" w:rsidRDefault="004E7617" w:rsidP="004E7617">
            <w:pPr>
              <w:spacing w:line="276" w:lineRule="auto"/>
              <w:rPr>
                <w:rFonts w:ascii="Times New Roman" w:hAnsi="Times New Roman" w:cs="Times New Roman"/>
                <w:sz w:val="20"/>
                <w:szCs w:val="20"/>
              </w:rPr>
            </w:pPr>
          </w:p>
        </w:tc>
        <w:tc>
          <w:tcPr>
            <w:tcW w:w="1170" w:type="dxa"/>
            <w:shd w:val="clear" w:color="auto" w:fill="FFFFFF" w:themeFill="background1"/>
          </w:tcPr>
          <w:p w14:paraId="3D4FF72C" w14:textId="4E592688"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lastRenderedPageBreak/>
              <w:t>2</w:t>
            </w:r>
          </w:p>
        </w:tc>
        <w:tc>
          <w:tcPr>
            <w:tcW w:w="1260" w:type="dxa"/>
            <w:shd w:val="clear" w:color="auto" w:fill="FFFFFF" w:themeFill="background1"/>
          </w:tcPr>
          <w:p w14:paraId="3FCA3A63" w14:textId="4FD5BA7D" w:rsidR="004E7617" w:rsidRPr="00373342" w:rsidRDefault="004E7617" w:rsidP="004E7617">
            <w:pPr>
              <w:spacing w:line="276" w:lineRule="auto"/>
              <w:jc w:val="center"/>
              <w:rPr>
                <w:rFonts w:ascii="Times New Roman" w:hAnsi="Times New Roman" w:cs="Times New Roman"/>
                <w:sz w:val="20"/>
                <w:szCs w:val="20"/>
              </w:rPr>
            </w:pPr>
            <w:r w:rsidRPr="00373342">
              <w:rPr>
                <w:rFonts w:ascii="Times New Roman" w:hAnsi="Times New Roman" w:cs="Times New Roman"/>
                <w:sz w:val="20"/>
                <w:szCs w:val="20"/>
              </w:rPr>
              <w:t>Shtojca 1</w:t>
            </w:r>
          </w:p>
        </w:tc>
        <w:tc>
          <w:tcPr>
            <w:tcW w:w="3870" w:type="dxa"/>
            <w:shd w:val="clear" w:color="auto" w:fill="FFFFFF" w:themeFill="background1"/>
          </w:tcPr>
          <w:p w14:paraId="1F519611" w14:textId="77777777" w:rsidR="00472C4C" w:rsidRDefault="004E7617" w:rsidP="004E7617">
            <w:pPr>
              <w:pBdr>
                <w:top w:val="nil"/>
                <w:left w:val="nil"/>
                <w:bottom w:val="nil"/>
                <w:right w:val="nil"/>
                <w:between w:val="nil"/>
              </w:pBdr>
              <w:spacing w:line="276" w:lineRule="auto"/>
              <w:rPr>
                <w:rFonts w:ascii="Times New Roman" w:eastAsia="Times New Roman" w:hAnsi="Times New Roman" w:cs="Times New Roman"/>
                <w:sz w:val="20"/>
                <w:szCs w:val="20"/>
                <w:lang w:eastAsia="en-IE"/>
              </w:rPr>
            </w:pPr>
            <w:r w:rsidRPr="00472C4C">
              <w:rPr>
                <w:rFonts w:ascii="Times New Roman" w:eastAsia="Times New Roman" w:hAnsi="Times New Roman" w:cs="Times New Roman"/>
                <w:sz w:val="20"/>
                <w:szCs w:val="20"/>
                <w:lang w:eastAsia="en-IE"/>
              </w:rPr>
              <w:t>Përmbajtja dhe formati i raportit për çdo vend</w:t>
            </w:r>
          </w:p>
          <w:p w14:paraId="6F5DC6C5" w14:textId="77777777" w:rsidR="00472C4C" w:rsidRDefault="004E7617" w:rsidP="004E7617">
            <w:pPr>
              <w:pBdr>
                <w:top w:val="nil"/>
                <w:left w:val="nil"/>
                <w:bottom w:val="nil"/>
                <w:right w:val="nil"/>
                <w:between w:val="nil"/>
              </w:pBdr>
              <w:spacing w:line="276" w:lineRule="auto"/>
              <w:rPr>
                <w:rFonts w:ascii="Times New Roman" w:eastAsia="Times New Roman" w:hAnsi="Times New Roman" w:cs="Times New Roman"/>
                <w:sz w:val="20"/>
                <w:szCs w:val="20"/>
                <w:lang w:eastAsia="en-IE"/>
              </w:rPr>
            </w:pPr>
            <w:r w:rsidRPr="00472C4C">
              <w:rPr>
                <w:rFonts w:ascii="Times New Roman" w:eastAsia="Times New Roman" w:hAnsi="Times New Roman" w:cs="Times New Roman"/>
                <w:sz w:val="20"/>
                <w:szCs w:val="20"/>
                <w:lang w:eastAsia="en-IE"/>
              </w:rPr>
              <w:br/>
              <w:t>Tabela 2. Lista e të gjitha entiteteve përbërëse të grupit të shoqërive shumëkombëshe të përfshira në çdo agregim sipas juridiksionit tatimor</w:t>
            </w:r>
          </w:p>
          <w:p w14:paraId="4C2EB4EA" w14:textId="2018AF2B" w:rsidR="004E7617" w:rsidRPr="00472C4C" w:rsidRDefault="004E7617" w:rsidP="00A6346D">
            <w:pPr>
              <w:pBdr>
                <w:top w:val="nil"/>
                <w:left w:val="nil"/>
                <w:bottom w:val="nil"/>
                <w:right w:val="nil"/>
                <w:between w:val="nil"/>
              </w:pBdr>
              <w:spacing w:line="276" w:lineRule="auto"/>
              <w:rPr>
                <w:rFonts w:ascii="Times New Roman" w:hAnsi="Times New Roman" w:cs="Times New Roman"/>
                <w:sz w:val="20"/>
                <w:szCs w:val="20"/>
              </w:rPr>
            </w:pPr>
            <w:r w:rsidRPr="00472C4C">
              <w:rPr>
                <w:rFonts w:ascii="Times New Roman" w:eastAsia="Times New Roman" w:hAnsi="Times New Roman" w:cs="Times New Roman"/>
                <w:sz w:val="20"/>
                <w:szCs w:val="20"/>
                <w:lang w:eastAsia="en-IE"/>
              </w:rPr>
              <w:br/>
              <w:t>Udhëzues për përgatitjen e Tabelës 2</w:t>
            </w:r>
            <w:r w:rsidRPr="00472C4C">
              <w:rPr>
                <w:rFonts w:ascii="Times New Roman" w:eastAsia="Times New Roman" w:hAnsi="Times New Roman" w:cs="Times New Roman"/>
                <w:sz w:val="20"/>
                <w:szCs w:val="20"/>
                <w:lang w:eastAsia="en-IE"/>
              </w:rPr>
              <w:br/>
            </w:r>
            <w:r w:rsidRPr="00472C4C">
              <w:rPr>
                <w:rFonts w:ascii="Times New Roman" w:eastAsia="Times New Roman" w:hAnsi="Times New Roman" w:cs="Times New Roman"/>
                <w:sz w:val="20"/>
                <w:szCs w:val="20"/>
                <w:lang w:eastAsia="en-IE"/>
              </w:rPr>
              <w:br/>
              <w:t xml:space="preserve">Entitetet përbërëse rezidente në juridiksionin tatimor. Entiteti raportues rendit, sipas çdo juridiksioni tatimor dhe sipas emrit të entitetit, të gjitha entitetet përbërëse të grupit të shoqërive shumëkombëshe që janë rezidente për qëllime tatimore në juridiksionin tatimor përkatës. Siç </w:t>
            </w:r>
            <w:r w:rsidRPr="00472C4C">
              <w:rPr>
                <w:rFonts w:ascii="Times New Roman" w:eastAsia="Times New Roman" w:hAnsi="Times New Roman" w:cs="Times New Roman"/>
                <w:sz w:val="20"/>
                <w:szCs w:val="20"/>
                <w:lang w:eastAsia="en-IE"/>
              </w:rPr>
              <w:lastRenderedPageBreak/>
              <w:t>përcaktohet më sipër lidhur me selitë e përhershme, selia e përhershme duhet të renditet duke iu referuar juridiksionit tatimor në të cilin ndodhet. Shënohet entiteti, seli e përhershme e të cilit është (p.sh., nëse një grup shoqërie shumëkombëshe përfshin një entitet përbërës, “XYZ Corp”, i cili është rezident në juridiksionin tatimor A dhe ka një seli të përhershme në juridiksionin tatimor B, Tabela 2 përfshin përshkrimin “XYZ Corp” për entitetin përbërës në juridiksionin tatimor A dhe përshkrimin “XYZ Corp juridiksioni tatimor A SP” për selinë e përhershme në juridiksionin tatimor B).</w:t>
            </w:r>
            <w:r w:rsidRPr="00472C4C">
              <w:rPr>
                <w:rFonts w:ascii="Times New Roman" w:eastAsia="Times New Roman" w:hAnsi="Times New Roman" w:cs="Times New Roman"/>
                <w:sz w:val="20"/>
                <w:szCs w:val="20"/>
                <w:lang w:eastAsia="en-IE"/>
              </w:rPr>
              <w:br/>
            </w:r>
            <w:r w:rsidRPr="00472C4C">
              <w:rPr>
                <w:rFonts w:ascii="Times New Roman" w:eastAsia="Times New Roman" w:hAnsi="Times New Roman" w:cs="Times New Roman"/>
                <w:sz w:val="20"/>
                <w:szCs w:val="20"/>
                <w:lang w:eastAsia="en-IE"/>
              </w:rPr>
              <w:br/>
              <w:t>Juridiksioni tatimor i organizimit ose inkorporimit, nëse është i ndryshëm nga juridiksioni tatimor i rezidencës. Entiteti raportues raporton emrin e juridiksionit tatimor sipas ligjeve të të cilit është organizuar ose inkorporuar entiteti përbërës i grupit të shoqërive shumëkombëshe, nëse ai është i ndryshëm nga juridiksioni tatimor i rezidencës.</w:t>
            </w:r>
            <w:r w:rsidRPr="00472C4C">
              <w:rPr>
                <w:rFonts w:ascii="Times New Roman" w:eastAsia="Times New Roman" w:hAnsi="Times New Roman" w:cs="Times New Roman"/>
                <w:sz w:val="20"/>
                <w:szCs w:val="20"/>
                <w:lang w:eastAsia="en-IE"/>
              </w:rPr>
              <w:br/>
            </w:r>
            <w:r w:rsidRPr="00472C4C">
              <w:rPr>
                <w:rFonts w:ascii="Times New Roman" w:eastAsia="Times New Roman" w:hAnsi="Times New Roman" w:cs="Times New Roman"/>
                <w:sz w:val="20"/>
                <w:szCs w:val="20"/>
                <w:lang w:eastAsia="en-IE"/>
              </w:rPr>
              <w:br/>
              <w:t xml:space="preserve">Aktiviteti/aktivitetet kryesore të biznesit. Entiteti raportues përcakton natyrën e aktivitetit ose aktiviteteve kryesore të biznesit të ushtruara nga entiteti përbërës në juridiksionin tatimor përkatës, duke zgjedhur një ose më shumë nga aktivitetet përkatëse të parashikuara në listën e mëposhtme. Nëse </w:t>
            </w:r>
            <w:r w:rsidRPr="00472C4C">
              <w:rPr>
                <w:rFonts w:ascii="Times New Roman" w:eastAsia="Times New Roman" w:hAnsi="Times New Roman" w:cs="Times New Roman"/>
                <w:sz w:val="20"/>
                <w:szCs w:val="20"/>
                <w:lang w:eastAsia="en-IE"/>
              </w:rPr>
              <w:lastRenderedPageBreak/>
              <w:t>zgjidhet “tjetër”, entiteti raportues specifikon natyrën e aktivitetit të ushtruar nga entiteti përbërës në tabelën përkatëse “Informacion shtesë”. Për çdo entitet përbërës mund të zgjidhet më shumë se një aktivitet biznesi, sipas rastit.</w:t>
            </w:r>
          </w:p>
        </w:tc>
        <w:tc>
          <w:tcPr>
            <w:tcW w:w="1620" w:type="dxa"/>
            <w:shd w:val="clear" w:color="auto" w:fill="FFFFFF" w:themeFill="background1"/>
          </w:tcPr>
          <w:p w14:paraId="36DF63C1" w14:textId="1A3AE163" w:rsidR="004E7617" w:rsidRPr="00373342" w:rsidRDefault="004E7617" w:rsidP="004E7617">
            <w:pPr>
              <w:spacing w:line="276" w:lineRule="auto"/>
              <w:jc w:val="center"/>
              <w:rPr>
                <w:rFonts w:ascii="Times New Roman" w:hAnsi="Times New Roman" w:cs="Times New Roman"/>
                <w:sz w:val="20"/>
                <w:szCs w:val="20"/>
              </w:rPr>
            </w:pPr>
            <w:r>
              <w:rPr>
                <w:rFonts w:ascii="Times New Roman" w:hAnsi="Times New Roman" w:cs="Times New Roman"/>
                <w:sz w:val="20"/>
                <w:szCs w:val="20"/>
              </w:rPr>
              <w:lastRenderedPageBreak/>
              <w:t>E plotë</w:t>
            </w:r>
          </w:p>
        </w:tc>
        <w:tc>
          <w:tcPr>
            <w:tcW w:w="2790" w:type="dxa"/>
            <w:shd w:val="clear" w:color="auto" w:fill="FFFFFF" w:themeFill="background1"/>
          </w:tcPr>
          <w:p w14:paraId="3302A86C" w14:textId="77777777" w:rsidR="004E7617" w:rsidRPr="00373342" w:rsidRDefault="004E7617" w:rsidP="004E7617">
            <w:pPr>
              <w:spacing w:line="276" w:lineRule="auto"/>
              <w:rPr>
                <w:rFonts w:ascii="Times New Roman" w:hAnsi="Times New Roman" w:cs="Times New Roman"/>
                <w:sz w:val="20"/>
                <w:szCs w:val="20"/>
              </w:rPr>
            </w:pPr>
          </w:p>
        </w:tc>
      </w:tr>
    </w:tbl>
    <w:p w14:paraId="08958176" w14:textId="77777777" w:rsidR="00922FEB" w:rsidRPr="00373342" w:rsidRDefault="00922FEB" w:rsidP="00373342">
      <w:pPr>
        <w:spacing w:after="200" w:line="276" w:lineRule="auto"/>
        <w:rPr>
          <w:rFonts w:ascii="Times New Roman" w:eastAsia="Calibri" w:hAnsi="Times New Roman" w:cs="Times New Roman"/>
          <w:kern w:val="0"/>
          <w:sz w:val="20"/>
          <w:szCs w:val="20"/>
          <w14:ligatures w14:val="none"/>
        </w:rPr>
      </w:pPr>
    </w:p>
    <w:p w14:paraId="6A9438F9" w14:textId="77777777" w:rsidR="009A20F7" w:rsidRPr="00373342" w:rsidRDefault="009A20F7" w:rsidP="00373342">
      <w:pPr>
        <w:spacing w:line="276" w:lineRule="auto"/>
        <w:rPr>
          <w:rFonts w:ascii="Times New Roman" w:hAnsi="Times New Roman" w:cs="Times New Roman"/>
          <w:sz w:val="20"/>
          <w:szCs w:val="20"/>
        </w:rPr>
      </w:pPr>
    </w:p>
    <w:sectPr w:rsidR="009A20F7" w:rsidRPr="00373342" w:rsidSect="003F6C69">
      <w:footerReference w:type="default" r:id="rId8"/>
      <w:pgSz w:w="16838" w:h="11906" w:orient="landscape"/>
      <w:pgMar w:top="1701" w:right="1418" w:bottom="113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395D6" w14:textId="77777777" w:rsidR="007D55A5" w:rsidRDefault="007D55A5" w:rsidP="00922FEB">
      <w:pPr>
        <w:spacing w:after="0" w:line="240" w:lineRule="auto"/>
      </w:pPr>
      <w:r>
        <w:separator/>
      </w:r>
    </w:p>
  </w:endnote>
  <w:endnote w:type="continuationSeparator" w:id="0">
    <w:p w14:paraId="4431CC76" w14:textId="77777777" w:rsidR="007D55A5" w:rsidRDefault="007D55A5" w:rsidP="00922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29D97" w14:textId="77777777" w:rsidR="00DE4307" w:rsidRDefault="00DE4307">
    <w:pPr>
      <w:pStyle w:val="Footer"/>
    </w:pPr>
    <w:r>
      <w:fldChar w:fldCharType="begin"/>
    </w:r>
    <w:r>
      <w:instrText>PAGE   \* MERGEFORMAT</w:instrText>
    </w:r>
    <w:r>
      <w:fldChar w:fldCharType="separate"/>
    </w:r>
    <w:r>
      <w:rPr>
        <w:lang w:val="sq-A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51355" w14:textId="77777777" w:rsidR="007D55A5" w:rsidRDefault="007D55A5" w:rsidP="00922FEB">
      <w:pPr>
        <w:spacing w:after="0" w:line="240" w:lineRule="auto"/>
      </w:pPr>
      <w:r>
        <w:separator/>
      </w:r>
    </w:p>
  </w:footnote>
  <w:footnote w:type="continuationSeparator" w:id="0">
    <w:p w14:paraId="4F1AD811" w14:textId="77777777" w:rsidR="007D55A5" w:rsidRDefault="007D55A5" w:rsidP="00922F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539E"/>
    <w:multiLevelType w:val="multilevel"/>
    <w:tmpl w:val="5C6C1474"/>
    <w:lvl w:ilvl="0">
      <w:start w:val="1"/>
      <w:numFmt w:val="decimal"/>
      <w:lvlText w:val="%1."/>
      <w:lvlJc w:val="left"/>
      <w:pPr>
        <w:tabs>
          <w:tab w:val="num" w:pos="-1890"/>
        </w:tabs>
        <w:ind w:left="-189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450"/>
        </w:tabs>
        <w:ind w:left="-450" w:hanging="360"/>
      </w:pPr>
    </w:lvl>
    <w:lvl w:ilvl="3" w:tentative="1">
      <w:start w:val="1"/>
      <w:numFmt w:val="decimal"/>
      <w:lvlText w:val="%4."/>
      <w:lvlJc w:val="left"/>
      <w:pPr>
        <w:tabs>
          <w:tab w:val="num" w:pos="270"/>
        </w:tabs>
        <w:ind w:left="270" w:hanging="360"/>
      </w:pPr>
    </w:lvl>
    <w:lvl w:ilvl="4" w:tentative="1">
      <w:start w:val="1"/>
      <w:numFmt w:val="decimal"/>
      <w:lvlText w:val="%5."/>
      <w:lvlJc w:val="left"/>
      <w:pPr>
        <w:tabs>
          <w:tab w:val="num" w:pos="990"/>
        </w:tabs>
        <w:ind w:left="990" w:hanging="360"/>
      </w:pPr>
    </w:lvl>
    <w:lvl w:ilvl="5" w:tentative="1">
      <w:start w:val="1"/>
      <w:numFmt w:val="decimal"/>
      <w:lvlText w:val="%6."/>
      <w:lvlJc w:val="left"/>
      <w:pPr>
        <w:tabs>
          <w:tab w:val="num" w:pos="1710"/>
        </w:tabs>
        <w:ind w:left="1710" w:hanging="360"/>
      </w:pPr>
    </w:lvl>
    <w:lvl w:ilvl="6" w:tentative="1">
      <w:start w:val="1"/>
      <w:numFmt w:val="decimal"/>
      <w:lvlText w:val="%7."/>
      <w:lvlJc w:val="left"/>
      <w:pPr>
        <w:tabs>
          <w:tab w:val="num" w:pos="2430"/>
        </w:tabs>
        <w:ind w:left="2430" w:hanging="360"/>
      </w:pPr>
    </w:lvl>
    <w:lvl w:ilvl="7" w:tentative="1">
      <w:start w:val="1"/>
      <w:numFmt w:val="decimal"/>
      <w:lvlText w:val="%8."/>
      <w:lvlJc w:val="left"/>
      <w:pPr>
        <w:tabs>
          <w:tab w:val="num" w:pos="3150"/>
        </w:tabs>
        <w:ind w:left="3150" w:hanging="360"/>
      </w:pPr>
    </w:lvl>
    <w:lvl w:ilvl="8" w:tentative="1">
      <w:start w:val="1"/>
      <w:numFmt w:val="decimal"/>
      <w:lvlText w:val="%9."/>
      <w:lvlJc w:val="left"/>
      <w:pPr>
        <w:tabs>
          <w:tab w:val="num" w:pos="3870"/>
        </w:tabs>
        <w:ind w:left="3870" w:hanging="360"/>
      </w:pPr>
    </w:lvl>
  </w:abstractNum>
  <w:abstractNum w:abstractNumId="1" w15:restartNumberingAfterBreak="0">
    <w:nsid w:val="03C42432"/>
    <w:multiLevelType w:val="multilevel"/>
    <w:tmpl w:val="8F124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939A4"/>
    <w:multiLevelType w:val="multilevel"/>
    <w:tmpl w:val="2FF8C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FD7D64"/>
    <w:multiLevelType w:val="multilevel"/>
    <w:tmpl w:val="4CB2D5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930D0D"/>
    <w:multiLevelType w:val="multilevel"/>
    <w:tmpl w:val="9A7C2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6F0438"/>
    <w:multiLevelType w:val="hybridMultilevel"/>
    <w:tmpl w:val="B198CBEE"/>
    <w:lvl w:ilvl="0" w:tplc="F378FC1A">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B783047"/>
    <w:multiLevelType w:val="multilevel"/>
    <w:tmpl w:val="B1A80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745F9D"/>
    <w:multiLevelType w:val="multilevel"/>
    <w:tmpl w:val="C2C0B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254DF1"/>
    <w:multiLevelType w:val="hybridMultilevel"/>
    <w:tmpl w:val="A8987C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063B28"/>
    <w:multiLevelType w:val="multilevel"/>
    <w:tmpl w:val="606A5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7F50BF"/>
    <w:multiLevelType w:val="multilevel"/>
    <w:tmpl w:val="F05A6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2A6068"/>
    <w:multiLevelType w:val="hybridMultilevel"/>
    <w:tmpl w:val="85602242"/>
    <w:lvl w:ilvl="0" w:tplc="A824DE76">
      <w:start w:val="1"/>
      <w:numFmt w:val="lowerLetter"/>
      <w:lvlText w:val="%1)"/>
      <w:lvlJc w:val="left"/>
      <w:pPr>
        <w:ind w:left="720" w:hanging="360"/>
      </w:pPr>
      <w:rPr>
        <w:rFonts w:ascii="Garamond" w:eastAsia="Calibri" w:hAnsi="Garamond" w:cs="Calibri" w:hint="default"/>
        <w:b w:val="0"/>
        <w:bCs w:val="0"/>
        <w:i w:val="0"/>
        <w:iCs w:val="0"/>
        <w:spacing w:val="0"/>
        <w:w w:val="100"/>
        <w:sz w:val="24"/>
        <w:szCs w:val="24"/>
        <w:lang w:val="sq-AL"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BD5332"/>
    <w:multiLevelType w:val="multilevel"/>
    <w:tmpl w:val="DE9CBE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E42C85"/>
    <w:multiLevelType w:val="hybridMultilevel"/>
    <w:tmpl w:val="1CA2D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F284A6F"/>
    <w:multiLevelType w:val="multilevel"/>
    <w:tmpl w:val="7BB65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000840"/>
    <w:multiLevelType w:val="multilevel"/>
    <w:tmpl w:val="836A2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F66133"/>
    <w:multiLevelType w:val="hybridMultilevel"/>
    <w:tmpl w:val="1CA2D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2AE70D1"/>
    <w:multiLevelType w:val="multilevel"/>
    <w:tmpl w:val="97F2B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4A2636"/>
    <w:multiLevelType w:val="multilevel"/>
    <w:tmpl w:val="37CC1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9B5AB1"/>
    <w:multiLevelType w:val="multilevel"/>
    <w:tmpl w:val="2910D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617CAF"/>
    <w:multiLevelType w:val="hybridMultilevel"/>
    <w:tmpl w:val="06D80CF4"/>
    <w:lvl w:ilvl="0" w:tplc="418E6214">
      <w:start w:val="1"/>
      <w:numFmt w:val="lowerLetter"/>
      <w:lvlText w:val="%1)"/>
      <w:lvlJc w:val="left"/>
      <w:pPr>
        <w:ind w:left="706" w:hanging="360"/>
      </w:pPr>
      <w:rPr>
        <w:rFonts w:hint="default"/>
        <w:b/>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1" w15:restartNumberingAfterBreak="0">
    <w:nsid w:val="4395618C"/>
    <w:multiLevelType w:val="hybridMultilevel"/>
    <w:tmpl w:val="B9D260FE"/>
    <w:lvl w:ilvl="0" w:tplc="56520BD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9B434F"/>
    <w:multiLevelType w:val="multilevel"/>
    <w:tmpl w:val="04382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977CEA"/>
    <w:multiLevelType w:val="hybridMultilevel"/>
    <w:tmpl w:val="CF22D7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C8F56EC"/>
    <w:multiLevelType w:val="hybridMultilevel"/>
    <w:tmpl w:val="58F64422"/>
    <w:lvl w:ilvl="0" w:tplc="61F08FA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1020666"/>
    <w:multiLevelType w:val="hybridMultilevel"/>
    <w:tmpl w:val="2F6EF6E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60E62B60"/>
    <w:multiLevelType w:val="multilevel"/>
    <w:tmpl w:val="65FE2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1653B4F"/>
    <w:multiLevelType w:val="hybridMultilevel"/>
    <w:tmpl w:val="3124981C"/>
    <w:lvl w:ilvl="0" w:tplc="A824DE76">
      <w:start w:val="1"/>
      <w:numFmt w:val="lowerLetter"/>
      <w:lvlText w:val="%1)"/>
      <w:lvlJc w:val="left"/>
      <w:pPr>
        <w:ind w:left="720" w:hanging="360"/>
      </w:pPr>
      <w:rPr>
        <w:rFonts w:ascii="Garamond" w:eastAsia="Calibri" w:hAnsi="Garamond" w:cs="Calibri" w:hint="default"/>
        <w:b w:val="0"/>
        <w:bCs w:val="0"/>
        <w:i w:val="0"/>
        <w:iCs w:val="0"/>
        <w:spacing w:val="0"/>
        <w:w w:val="100"/>
        <w:sz w:val="24"/>
        <w:szCs w:val="24"/>
        <w:lang w:val="sq-AL"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2B313D"/>
    <w:multiLevelType w:val="multilevel"/>
    <w:tmpl w:val="6F6AD1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E075587"/>
    <w:multiLevelType w:val="multilevel"/>
    <w:tmpl w:val="BDE22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E5D22A2"/>
    <w:multiLevelType w:val="multilevel"/>
    <w:tmpl w:val="CC567A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0D31BE1"/>
    <w:multiLevelType w:val="multilevel"/>
    <w:tmpl w:val="9E8613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31826BA"/>
    <w:multiLevelType w:val="multilevel"/>
    <w:tmpl w:val="6D0824D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565708A"/>
    <w:multiLevelType w:val="hybridMultilevel"/>
    <w:tmpl w:val="26803F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8AA60D6"/>
    <w:multiLevelType w:val="hybridMultilevel"/>
    <w:tmpl w:val="1CA2D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BDF61FC"/>
    <w:multiLevelType w:val="multilevel"/>
    <w:tmpl w:val="93D02E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C5E03A1"/>
    <w:multiLevelType w:val="hybridMultilevel"/>
    <w:tmpl w:val="C3A07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541597"/>
    <w:multiLevelType w:val="hybridMultilevel"/>
    <w:tmpl w:val="26CCC568"/>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16cid:durableId="1981497690">
    <w:abstractNumId w:val="36"/>
  </w:num>
  <w:num w:numId="2" w16cid:durableId="1860583054">
    <w:abstractNumId w:val="24"/>
  </w:num>
  <w:num w:numId="3" w16cid:durableId="1602294492">
    <w:abstractNumId w:val="7"/>
  </w:num>
  <w:num w:numId="4" w16cid:durableId="1052847577">
    <w:abstractNumId w:val="17"/>
  </w:num>
  <w:num w:numId="5" w16cid:durableId="550921988">
    <w:abstractNumId w:val="30"/>
  </w:num>
  <w:num w:numId="6" w16cid:durableId="338431182">
    <w:abstractNumId w:val="32"/>
  </w:num>
  <w:num w:numId="7" w16cid:durableId="873464738">
    <w:abstractNumId w:val="26"/>
  </w:num>
  <w:num w:numId="8" w16cid:durableId="547572520">
    <w:abstractNumId w:val="4"/>
  </w:num>
  <w:num w:numId="9" w16cid:durableId="499151591">
    <w:abstractNumId w:val="28"/>
  </w:num>
  <w:num w:numId="10" w16cid:durableId="876242233">
    <w:abstractNumId w:val="18"/>
  </w:num>
  <w:num w:numId="11" w16cid:durableId="1063480494">
    <w:abstractNumId w:val="1"/>
  </w:num>
  <w:num w:numId="12" w16cid:durableId="1086000284">
    <w:abstractNumId w:val="15"/>
  </w:num>
  <w:num w:numId="13" w16cid:durableId="450167041">
    <w:abstractNumId w:val="6"/>
  </w:num>
  <w:num w:numId="14" w16cid:durableId="1550653507">
    <w:abstractNumId w:val="35"/>
  </w:num>
  <w:num w:numId="15" w16cid:durableId="58478160">
    <w:abstractNumId w:val="10"/>
  </w:num>
  <w:num w:numId="16" w16cid:durableId="984241825">
    <w:abstractNumId w:val="2"/>
  </w:num>
  <w:num w:numId="17" w16cid:durableId="1971200296">
    <w:abstractNumId w:val="12"/>
  </w:num>
  <w:num w:numId="18" w16cid:durableId="590285238">
    <w:abstractNumId w:val="31"/>
  </w:num>
  <w:num w:numId="19" w16cid:durableId="957175495">
    <w:abstractNumId w:val="14"/>
  </w:num>
  <w:num w:numId="20" w16cid:durableId="1422607634">
    <w:abstractNumId w:val="22"/>
  </w:num>
  <w:num w:numId="21" w16cid:durableId="1849517999">
    <w:abstractNumId w:val="29"/>
  </w:num>
  <w:num w:numId="22" w16cid:durableId="1546330243">
    <w:abstractNumId w:val="0"/>
  </w:num>
  <w:num w:numId="23" w16cid:durableId="678652795">
    <w:abstractNumId w:val="21"/>
  </w:num>
  <w:num w:numId="24" w16cid:durableId="1200701331">
    <w:abstractNumId w:val="20"/>
  </w:num>
  <w:num w:numId="25" w16cid:durableId="425346304">
    <w:abstractNumId w:val="11"/>
  </w:num>
  <w:num w:numId="26" w16cid:durableId="530799726">
    <w:abstractNumId w:val="27"/>
  </w:num>
  <w:num w:numId="27" w16cid:durableId="1645574352">
    <w:abstractNumId w:val="9"/>
  </w:num>
  <w:num w:numId="28" w16cid:durableId="1200750949">
    <w:abstractNumId w:val="19"/>
  </w:num>
  <w:num w:numId="29" w16cid:durableId="2124033098">
    <w:abstractNumId w:val="3"/>
  </w:num>
  <w:num w:numId="30" w16cid:durableId="1085538650">
    <w:abstractNumId w:val="37"/>
  </w:num>
  <w:num w:numId="31" w16cid:durableId="892153379">
    <w:abstractNumId w:val="34"/>
  </w:num>
  <w:num w:numId="32" w16cid:durableId="1285892251">
    <w:abstractNumId w:val="25"/>
  </w:num>
  <w:num w:numId="33" w16cid:durableId="866722985">
    <w:abstractNumId w:val="16"/>
  </w:num>
  <w:num w:numId="34" w16cid:durableId="788743037">
    <w:abstractNumId w:val="13"/>
  </w:num>
  <w:num w:numId="35" w16cid:durableId="1981568672">
    <w:abstractNumId w:val="5"/>
  </w:num>
  <w:num w:numId="36" w16cid:durableId="552426885">
    <w:abstractNumId w:val="33"/>
  </w:num>
  <w:num w:numId="37" w16cid:durableId="1946617559">
    <w:abstractNumId w:val="8"/>
  </w:num>
  <w:num w:numId="38" w16cid:durableId="1249848000">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7FB"/>
    <w:rsid w:val="00000057"/>
    <w:rsid w:val="00005A3B"/>
    <w:rsid w:val="0000689B"/>
    <w:rsid w:val="00007369"/>
    <w:rsid w:val="00010225"/>
    <w:rsid w:val="00011EE4"/>
    <w:rsid w:val="00012DCF"/>
    <w:rsid w:val="000144FB"/>
    <w:rsid w:val="00014E30"/>
    <w:rsid w:val="00015086"/>
    <w:rsid w:val="000162DD"/>
    <w:rsid w:val="00016C4D"/>
    <w:rsid w:val="00020AE3"/>
    <w:rsid w:val="000215A2"/>
    <w:rsid w:val="000217CE"/>
    <w:rsid w:val="000232C4"/>
    <w:rsid w:val="000262F8"/>
    <w:rsid w:val="00033801"/>
    <w:rsid w:val="000339C8"/>
    <w:rsid w:val="00034129"/>
    <w:rsid w:val="00037DD4"/>
    <w:rsid w:val="00040001"/>
    <w:rsid w:val="000407CE"/>
    <w:rsid w:val="00043EDD"/>
    <w:rsid w:val="000454A7"/>
    <w:rsid w:val="00050FA2"/>
    <w:rsid w:val="00051C4D"/>
    <w:rsid w:val="00052607"/>
    <w:rsid w:val="00052664"/>
    <w:rsid w:val="00053923"/>
    <w:rsid w:val="0005525A"/>
    <w:rsid w:val="00062524"/>
    <w:rsid w:val="00063976"/>
    <w:rsid w:val="00065705"/>
    <w:rsid w:val="00066421"/>
    <w:rsid w:val="00071E11"/>
    <w:rsid w:val="00072956"/>
    <w:rsid w:val="00073546"/>
    <w:rsid w:val="00075318"/>
    <w:rsid w:val="00076B31"/>
    <w:rsid w:val="00076CB5"/>
    <w:rsid w:val="000772E6"/>
    <w:rsid w:val="00081BC1"/>
    <w:rsid w:val="00082EBC"/>
    <w:rsid w:val="000834F7"/>
    <w:rsid w:val="00084FCE"/>
    <w:rsid w:val="0009111A"/>
    <w:rsid w:val="00092CAE"/>
    <w:rsid w:val="00093110"/>
    <w:rsid w:val="00093395"/>
    <w:rsid w:val="00095ECC"/>
    <w:rsid w:val="000A0B25"/>
    <w:rsid w:val="000A26EF"/>
    <w:rsid w:val="000A38FB"/>
    <w:rsid w:val="000A7EA3"/>
    <w:rsid w:val="000B014A"/>
    <w:rsid w:val="000B04B8"/>
    <w:rsid w:val="000B05B4"/>
    <w:rsid w:val="000B08D5"/>
    <w:rsid w:val="000B1124"/>
    <w:rsid w:val="000B162F"/>
    <w:rsid w:val="000B19C0"/>
    <w:rsid w:val="000B19FC"/>
    <w:rsid w:val="000B1C00"/>
    <w:rsid w:val="000B3788"/>
    <w:rsid w:val="000B4CF9"/>
    <w:rsid w:val="000B6420"/>
    <w:rsid w:val="000B745C"/>
    <w:rsid w:val="000C09CF"/>
    <w:rsid w:val="000C227B"/>
    <w:rsid w:val="000C4327"/>
    <w:rsid w:val="000C4C00"/>
    <w:rsid w:val="000C6E77"/>
    <w:rsid w:val="000D0E76"/>
    <w:rsid w:val="000D10AC"/>
    <w:rsid w:val="000D124C"/>
    <w:rsid w:val="000D24B2"/>
    <w:rsid w:val="000D4026"/>
    <w:rsid w:val="000D4CD0"/>
    <w:rsid w:val="000D6E38"/>
    <w:rsid w:val="000D77FB"/>
    <w:rsid w:val="000D7CA4"/>
    <w:rsid w:val="000D7DCD"/>
    <w:rsid w:val="000E0147"/>
    <w:rsid w:val="000E1010"/>
    <w:rsid w:val="000E22DA"/>
    <w:rsid w:val="000E2BC3"/>
    <w:rsid w:val="000E4DE0"/>
    <w:rsid w:val="000E5AC4"/>
    <w:rsid w:val="000E668E"/>
    <w:rsid w:val="000F6376"/>
    <w:rsid w:val="000F65BB"/>
    <w:rsid w:val="001024E6"/>
    <w:rsid w:val="00104F1A"/>
    <w:rsid w:val="00106912"/>
    <w:rsid w:val="0010735E"/>
    <w:rsid w:val="00110CFD"/>
    <w:rsid w:val="001123ED"/>
    <w:rsid w:val="001165F9"/>
    <w:rsid w:val="00116FFD"/>
    <w:rsid w:val="00117E2C"/>
    <w:rsid w:val="00117EE3"/>
    <w:rsid w:val="001207DE"/>
    <w:rsid w:val="00121010"/>
    <w:rsid w:val="00121FA0"/>
    <w:rsid w:val="001252D3"/>
    <w:rsid w:val="00130099"/>
    <w:rsid w:val="00131772"/>
    <w:rsid w:val="00131E3A"/>
    <w:rsid w:val="0013214C"/>
    <w:rsid w:val="00132E80"/>
    <w:rsid w:val="00136591"/>
    <w:rsid w:val="00142AF5"/>
    <w:rsid w:val="00142DB7"/>
    <w:rsid w:val="00143FC5"/>
    <w:rsid w:val="001479C7"/>
    <w:rsid w:val="00147A54"/>
    <w:rsid w:val="001520C0"/>
    <w:rsid w:val="0015253E"/>
    <w:rsid w:val="0015399E"/>
    <w:rsid w:val="00153CCC"/>
    <w:rsid w:val="001552C4"/>
    <w:rsid w:val="0015599D"/>
    <w:rsid w:val="001567E6"/>
    <w:rsid w:val="00160121"/>
    <w:rsid w:val="001619E7"/>
    <w:rsid w:val="00164173"/>
    <w:rsid w:val="00170836"/>
    <w:rsid w:val="00170AC4"/>
    <w:rsid w:val="001775D3"/>
    <w:rsid w:val="00181540"/>
    <w:rsid w:val="00181ED4"/>
    <w:rsid w:val="001846F4"/>
    <w:rsid w:val="00185FF3"/>
    <w:rsid w:val="001878F0"/>
    <w:rsid w:val="00190654"/>
    <w:rsid w:val="00191384"/>
    <w:rsid w:val="00193FB3"/>
    <w:rsid w:val="0019465F"/>
    <w:rsid w:val="001A054E"/>
    <w:rsid w:val="001A1CC0"/>
    <w:rsid w:val="001A1F8E"/>
    <w:rsid w:val="001A223E"/>
    <w:rsid w:val="001A240D"/>
    <w:rsid w:val="001A2679"/>
    <w:rsid w:val="001A3468"/>
    <w:rsid w:val="001A5C92"/>
    <w:rsid w:val="001A77C4"/>
    <w:rsid w:val="001B46A8"/>
    <w:rsid w:val="001B4AFB"/>
    <w:rsid w:val="001B4DA3"/>
    <w:rsid w:val="001B4F3F"/>
    <w:rsid w:val="001C0E41"/>
    <w:rsid w:val="001C2405"/>
    <w:rsid w:val="001D1266"/>
    <w:rsid w:val="001D180F"/>
    <w:rsid w:val="001D20DE"/>
    <w:rsid w:val="001D413A"/>
    <w:rsid w:val="001D53E5"/>
    <w:rsid w:val="001D652C"/>
    <w:rsid w:val="001D75F8"/>
    <w:rsid w:val="001E074F"/>
    <w:rsid w:val="001E2141"/>
    <w:rsid w:val="001E566F"/>
    <w:rsid w:val="001E61B3"/>
    <w:rsid w:val="001E659E"/>
    <w:rsid w:val="001F0328"/>
    <w:rsid w:val="001F0349"/>
    <w:rsid w:val="001F06F1"/>
    <w:rsid w:val="001F0710"/>
    <w:rsid w:val="001F1D9E"/>
    <w:rsid w:val="001F23F6"/>
    <w:rsid w:val="001F2CB3"/>
    <w:rsid w:val="001F3413"/>
    <w:rsid w:val="001F37EF"/>
    <w:rsid w:val="001F3E2D"/>
    <w:rsid w:val="001F4E54"/>
    <w:rsid w:val="001F6E50"/>
    <w:rsid w:val="001F7BBC"/>
    <w:rsid w:val="002000FA"/>
    <w:rsid w:val="00200996"/>
    <w:rsid w:val="00200AA9"/>
    <w:rsid w:val="00205702"/>
    <w:rsid w:val="00206694"/>
    <w:rsid w:val="00207023"/>
    <w:rsid w:val="00207E2E"/>
    <w:rsid w:val="00210A71"/>
    <w:rsid w:val="002121F5"/>
    <w:rsid w:val="00212234"/>
    <w:rsid w:val="00213785"/>
    <w:rsid w:val="00213D78"/>
    <w:rsid w:val="00216CB5"/>
    <w:rsid w:val="00216CB8"/>
    <w:rsid w:val="00217FFD"/>
    <w:rsid w:val="00223907"/>
    <w:rsid w:val="00224312"/>
    <w:rsid w:val="0022560A"/>
    <w:rsid w:val="00225CD8"/>
    <w:rsid w:val="00226856"/>
    <w:rsid w:val="00226B07"/>
    <w:rsid w:val="002311D8"/>
    <w:rsid w:val="0023159E"/>
    <w:rsid w:val="00237085"/>
    <w:rsid w:val="0023798A"/>
    <w:rsid w:val="00241058"/>
    <w:rsid w:val="00241DAE"/>
    <w:rsid w:val="00242D3A"/>
    <w:rsid w:val="0024344B"/>
    <w:rsid w:val="00243A1A"/>
    <w:rsid w:val="00245F58"/>
    <w:rsid w:val="00246626"/>
    <w:rsid w:val="002469E2"/>
    <w:rsid w:val="0024728F"/>
    <w:rsid w:val="00247573"/>
    <w:rsid w:val="00250974"/>
    <w:rsid w:val="00250B34"/>
    <w:rsid w:val="00253DF0"/>
    <w:rsid w:val="0025729E"/>
    <w:rsid w:val="00260632"/>
    <w:rsid w:val="00261EE3"/>
    <w:rsid w:val="00262E99"/>
    <w:rsid w:val="002652D5"/>
    <w:rsid w:val="00265C53"/>
    <w:rsid w:val="002675D8"/>
    <w:rsid w:val="00271F5B"/>
    <w:rsid w:val="00273323"/>
    <w:rsid w:val="00277A1C"/>
    <w:rsid w:val="00282FA2"/>
    <w:rsid w:val="002848BB"/>
    <w:rsid w:val="00284A79"/>
    <w:rsid w:val="00284F43"/>
    <w:rsid w:val="00287B86"/>
    <w:rsid w:val="0029152E"/>
    <w:rsid w:val="00296C98"/>
    <w:rsid w:val="00296DA6"/>
    <w:rsid w:val="002973DE"/>
    <w:rsid w:val="002A0368"/>
    <w:rsid w:val="002A2076"/>
    <w:rsid w:val="002A2DF8"/>
    <w:rsid w:val="002A39A8"/>
    <w:rsid w:val="002A4318"/>
    <w:rsid w:val="002A7846"/>
    <w:rsid w:val="002B02E4"/>
    <w:rsid w:val="002B2DC8"/>
    <w:rsid w:val="002B3D21"/>
    <w:rsid w:val="002B436A"/>
    <w:rsid w:val="002B44A1"/>
    <w:rsid w:val="002B4BAE"/>
    <w:rsid w:val="002B731D"/>
    <w:rsid w:val="002C0F45"/>
    <w:rsid w:val="002C1FF8"/>
    <w:rsid w:val="002C6E4F"/>
    <w:rsid w:val="002C733F"/>
    <w:rsid w:val="002C7A1A"/>
    <w:rsid w:val="002D0742"/>
    <w:rsid w:val="002D2221"/>
    <w:rsid w:val="002D524B"/>
    <w:rsid w:val="002D574D"/>
    <w:rsid w:val="002D5E2F"/>
    <w:rsid w:val="002E0754"/>
    <w:rsid w:val="002E6018"/>
    <w:rsid w:val="002E6526"/>
    <w:rsid w:val="002E7C57"/>
    <w:rsid w:val="002F0C4F"/>
    <w:rsid w:val="002F2CDD"/>
    <w:rsid w:val="002F3179"/>
    <w:rsid w:val="002F54E2"/>
    <w:rsid w:val="002F76DE"/>
    <w:rsid w:val="003000E2"/>
    <w:rsid w:val="00301958"/>
    <w:rsid w:val="00303ED4"/>
    <w:rsid w:val="0030526E"/>
    <w:rsid w:val="00307E91"/>
    <w:rsid w:val="00310B3D"/>
    <w:rsid w:val="00310E3E"/>
    <w:rsid w:val="0031114B"/>
    <w:rsid w:val="003116B5"/>
    <w:rsid w:val="00314563"/>
    <w:rsid w:val="0031566F"/>
    <w:rsid w:val="00317005"/>
    <w:rsid w:val="00321E7A"/>
    <w:rsid w:val="00322C4F"/>
    <w:rsid w:val="0032667A"/>
    <w:rsid w:val="0033103B"/>
    <w:rsid w:val="00332366"/>
    <w:rsid w:val="003326AC"/>
    <w:rsid w:val="00335C48"/>
    <w:rsid w:val="00343E0B"/>
    <w:rsid w:val="00344587"/>
    <w:rsid w:val="00345085"/>
    <w:rsid w:val="0035145A"/>
    <w:rsid w:val="003518E4"/>
    <w:rsid w:val="003541B4"/>
    <w:rsid w:val="00354D6C"/>
    <w:rsid w:val="00355640"/>
    <w:rsid w:val="00355BA9"/>
    <w:rsid w:val="0035796F"/>
    <w:rsid w:val="00357D61"/>
    <w:rsid w:val="003618CB"/>
    <w:rsid w:val="00364559"/>
    <w:rsid w:val="003719E3"/>
    <w:rsid w:val="003727B9"/>
    <w:rsid w:val="0037327C"/>
    <w:rsid w:val="00373342"/>
    <w:rsid w:val="00374572"/>
    <w:rsid w:val="00376C0B"/>
    <w:rsid w:val="00377ED9"/>
    <w:rsid w:val="00381019"/>
    <w:rsid w:val="00381F37"/>
    <w:rsid w:val="00385856"/>
    <w:rsid w:val="00390C8B"/>
    <w:rsid w:val="00391383"/>
    <w:rsid w:val="003927EB"/>
    <w:rsid w:val="00394B11"/>
    <w:rsid w:val="00395E2E"/>
    <w:rsid w:val="00397CE9"/>
    <w:rsid w:val="003A15F8"/>
    <w:rsid w:val="003A75B8"/>
    <w:rsid w:val="003B191B"/>
    <w:rsid w:val="003B1989"/>
    <w:rsid w:val="003B7C4A"/>
    <w:rsid w:val="003C1E87"/>
    <w:rsid w:val="003C2EAB"/>
    <w:rsid w:val="003C3926"/>
    <w:rsid w:val="003C4AC6"/>
    <w:rsid w:val="003C5E07"/>
    <w:rsid w:val="003C63BE"/>
    <w:rsid w:val="003C79E1"/>
    <w:rsid w:val="003D4694"/>
    <w:rsid w:val="003E2711"/>
    <w:rsid w:val="003F034F"/>
    <w:rsid w:val="003F12A2"/>
    <w:rsid w:val="003F5FBC"/>
    <w:rsid w:val="003F6872"/>
    <w:rsid w:val="003F6AC5"/>
    <w:rsid w:val="003F6C69"/>
    <w:rsid w:val="003F6D11"/>
    <w:rsid w:val="004003B3"/>
    <w:rsid w:val="00400C6E"/>
    <w:rsid w:val="004020E6"/>
    <w:rsid w:val="0040246D"/>
    <w:rsid w:val="004024D0"/>
    <w:rsid w:val="00405A74"/>
    <w:rsid w:val="00405CEE"/>
    <w:rsid w:val="00410A88"/>
    <w:rsid w:val="00411D36"/>
    <w:rsid w:val="00414810"/>
    <w:rsid w:val="00415BDC"/>
    <w:rsid w:val="004164B2"/>
    <w:rsid w:val="00416E2E"/>
    <w:rsid w:val="0042021B"/>
    <w:rsid w:val="004224EA"/>
    <w:rsid w:val="00423BCD"/>
    <w:rsid w:val="00426296"/>
    <w:rsid w:val="00427624"/>
    <w:rsid w:val="00427E4C"/>
    <w:rsid w:val="00427EE2"/>
    <w:rsid w:val="004307F1"/>
    <w:rsid w:val="00430E72"/>
    <w:rsid w:val="00431132"/>
    <w:rsid w:val="004315DF"/>
    <w:rsid w:val="00431F7F"/>
    <w:rsid w:val="0043228D"/>
    <w:rsid w:val="00433DB0"/>
    <w:rsid w:val="00435F85"/>
    <w:rsid w:val="00442B8C"/>
    <w:rsid w:val="004457A1"/>
    <w:rsid w:val="004466F7"/>
    <w:rsid w:val="0044685A"/>
    <w:rsid w:val="00450C23"/>
    <w:rsid w:val="00451218"/>
    <w:rsid w:val="00451313"/>
    <w:rsid w:val="00452ABB"/>
    <w:rsid w:val="004570E7"/>
    <w:rsid w:val="0045796F"/>
    <w:rsid w:val="00461A41"/>
    <w:rsid w:val="004627BA"/>
    <w:rsid w:val="00463860"/>
    <w:rsid w:val="00463D26"/>
    <w:rsid w:val="004668BA"/>
    <w:rsid w:val="00466E9C"/>
    <w:rsid w:val="00467D9F"/>
    <w:rsid w:val="0047211B"/>
    <w:rsid w:val="00472C4C"/>
    <w:rsid w:val="00472C5C"/>
    <w:rsid w:val="004745E6"/>
    <w:rsid w:val="004766D7"/>
    <w:rsid w:val="004800E6"/>
    <w:rsid w:val="004812F5"/>
    <w:rsid w:val="004816E5"/>
    <w:rsid w:val="004833A3"/>
    <w:rsid w:val="00483C2B"/>
    <w:rsid w:val="004850CB"/>
    <w:rsid w:val="00487509"/>
    <w:rsid w:val="00490561"/>
    <w:rsid w:val="00497724"/>
    <w:rsid w:val="004A05E1"/>
    <w:rsid w:val="004A28C5"/>
    <w:rsid w:val="004A36CD"/>
    <w:rsid w:val="004A4B29"/>
    <w:rsid w:val="004B7E97"/>
    <w:rsid w:val="004B7F04"/>
    <w:rsid w:val="004C2CAA"/>
    <w:rsid w:val="004C2EE7"/>
    <w:rsid w:val="004C562A"/>
    <w:rsid w:val="004C6B79"/>
    <w:rsid w:val="004C7575"/>
    <w:rsid w:val="004D0576"/>
    <w:rsid w:val="004D097F"/>
    <w:rsid w:val="004D0AA3"/>
    <w:rsid w:val="004D36D7"/>
    <w:rsid w:val="004D3792"/>
    <w:rsid w:val="004D4A5A"/>
    <w:rsid w:val="004D68BD"/>
    <w:rsid w:val="004E18C2"/>
    <w:rsid w:val="004E2956"/>
    <w:rsid w:val="004E30E5"/>
    <w:rsid w:val="004E4138"/>
    <w:rsid w:val="004E4A21"/>
    <w:rsid w:val="004E7617"/>
    <w:rsid w:val="004E794F"/>
    <w:rsid w:val="004F0084"/>
    <w:rsid w:val="004F0109"/>
    <w:rsid w:val="004F21C8"/>
    <w:rsid w:val="004F2266"/>
    <w:rsid w:val="004F27D1"/>
    <w:rsid w:val="004F5B78"/>
    <w:rsid w:val="004F619A"/>
    <w:rsid w:val="005002A2"/>
    <w:rsid w:val="005007CA"/>
    <w:rsid w:val="0050266C"/>
    <w:rsid w:val="00502F25"/>
    <w:rsid w:val="0050494E"/>
    <w:rsid w:val="0050578D"/>
    <w:rsid w:val="005058BB"/>
    <w:rsid w:val="00506391"/>
    <w:rsid w:val="00507EDE"/>
    <w:rsid w:val="00510974"/>
    <w:rsid w:val="00510FD6"/>
    <w:rsid w:val="00516E8B"/>
    <w:rsid w:val="005207CC"/>
    <w:rsid w:val="005222ED"/>
    <w:rsid w:val="00522B6A"/>
    <w:rsid w:val="005239F9"/>
    <w:rsid w:val="00523BD5"/>
    <w:rsid w:val="00530DA8"/>
    <w:rsid w:val="00531765"/>
    <w:rsid w:val="0053251D"/>
    <w:rsid w:val="00532AF2"/>
    <w:rsid w:val="00532F36"/>
    <w:rsid w:val="00536BD1"/>
    <w:rsid w:val="005409AC"/>
    <w:rsid w:val="00542046"/>
    <w:rsid w:val="00542B90"/>
    <w:rsid w:val="00543815"/>
    <w:rsid w:val="00544726"/>
    <w:rsid w:val="00545293"/>
    <w:rsid w:val="005468A3"/>
    <w:rsid w:val="00551C28"/>
    <w:rsid w:val="00551F02"/>
    <w:rsid w:val="00552019"/>
    <w:rsid w:val="005538A0"/>
    <w:rsid w:val="005552F9"/>
    <w:rsid w:val="00555B0E"/>
    <w:rsid w:val="00560211"/>
    <w:rsid w:val="00561970"/>
    <w:rsid w:val="00561B0D"/>
    <w:rsid w:val="00562EF5"/>
    <w:rsid w:val="00563351"/>
    <w:rsid w:val="0056371B"/>
    <w:rsid w:val="0056390B"/>
    <w:rsid w:val="00571DF2"/>
    <w:rsid w:val="005721F0"/>
    <w:rsid w:val="00572F65"/>
    <w:rsid w:val="005739CF"/>
    <w:rsid w:val="005740C8"/>
    <w:rsid w:val="0057488D"/>
    <w:rsid w:val="00576D50"/>
    <w:rsid w:val="0058092D"/>
    <w:rsid w:val="00581189"/>
    <w:rsid w:val="005832D3"/>
    <w:rsid w:val="0058564D"/>
    <w:rsid w:val="00585BBD"/>
    <w:rsid w:val="005901B5"/>
    <w:rsid w:val="005921EC"/>
    <w:rsid w:val="0059538D"/>
    <w:rsid w:val="00597935"/>
    <w:rsid w:val="005A356D"/>
    <w:rsid w:val="005A39DE"/>
    <w:rsid w:val="005A3A0B"/>
    <w:rsid w:val="005A5037"/>
    <w:rsid w:val="005C2C12"/>
    <w:rsid w:val="005C4041"/>
    <w:rsid w:val="005C5446"/>
    <w:rsid w:val="005C5778"/>
    <w:rsid w:val="005C5CD3"/>
    <w:rsid w:val="005D2CA7"/>
    <w:rsid w:val="005D4084"/>
    <w:rsid w:val="005D6115"/>
    <w:rsid w:val="005D7747"/>
    <w:rsid w:val="005E10BC"/>
    <w:rsid w:val="005E1AB9"/>
    <w:rsid w:val="005E2186"/>
    <w:rsid w:val="005E3F20"/>
    <w:rsid w:val="005E4369"/>
    <w:rsid w:val="005E5A6E"/>
    <w:rsid w:val="005E5DCC"/>
    <w:rsid w:val="005E5EB3"/>
    <w:rsid w:val="005E65A8"/>
    <w:rsid w:val="005E6AA8"/>
    <w:rsid w:val="005E7475"/>
    <w:rsid w:val="005E77A8"/>
    <w:rsid w:val="005F1B9C"/>
    <w:rsid w:val="005F2084"/>
    <w:rsid w:val="005F3980"/>
    <w:rsid w:val="005F434C"/>
    <w:rsid w:val="005F57EB"/>
    <w:rsid w:val="005F632F"/>
    <w:rsid w:val="0061684B"/>
    <w:rsid w:val="00617362"/>
    <w:rsid w:val="006206B0"/>
    <w:rsid w:val="00623590"/>
    <w:rsid w:val="00627580"/>
    <w:rsid w:val="0063030D"/>
    <w:rsid w:val="006310DD"/>
    <w:rsid w:val="00631AD7"/>
    <w:rsid w:val="00632923"/>
    <w:rsid w:val="00632C0C"/>
    <w:rsid w:val="00633F4C"/>
    <w:rsid w:val="00635147"/>
    <w:rsid w:val="0064231D"/>
    <w:rsid w:val="006444CD"/>
    <w:rsid w:val="00651851"/>
    <w:rsid w:val="006527D4"/>
    <w:rsid w:val="006553AC"/>
    <w:rsid w:val="00657867"/>
    <w:rsid w:val="0066027E"/>
    <w:rsid w:val="006618B9"/>
    <w:rsid w:val="006618BF"/>
    <w:rsid w:val="00666B47"/>
    <w:rsid w:val="00667315"/>
    <w:rsid w:val="00667B68"/>
    <w:rsid w:val="006704A0"/>
    <w:rsid w:val="006713D2"/>
    <w:rsid w:val="00672C4E"/>
    <w:rsid w:val="006741D4"/>
    <w:rsid w:val="00676111"/>
    <w:rsid w:val="0067730A"/>
    <w:rsid w:val="006774B8"/>
    <w:rsid w:val="00677FCF"/>
    <w:rsid w:val="00680B57"/>
    <w:rsid w:val="00682798"/>
    <w:rsid w:val="00686366"/>
    <w:rsid w:val="006868F9"/>
    <w:rsid w:val="006869D6"/>
    <w:rsid w:val="00686D03"/>
    <w:rsid w:val="00687390"/>
    <w:rsid w:val="0069188E"/>
    <w:rsid w:val="006945B7"/>
    <w:rsid w:val="006946B2"/>
    <w:rsid w:val="00695317"/>
    <w:rsid w:val="006953D8"/>
    <w:rsid w:val="00696BF5"/>
    <w:rsid w:val="00697445"/>
    <w:rsid w:val="006A09C7"/>
    <w:rsid w:val="006A2D4D"/>
    <w:rsid w:val="006A6393"/>
    <w:rsid w:val="006B0408"/>
    <w:rsid w:val="006B0D0A"/>
    <w:rsid w:val="006B10F5"/>
    <w:rsid w:val="006B1CB5"/>
    <w:rsid w:val="006B3D8B"/>
    <w:rsid w:val="006B4A44"/>
    <w:rsid w:val="006B7ABD"/>
    <w:rsid w:val="006C1477"/>
    <w:rsid w:val="006C1BCA"/>
    <w:rsid w:val="006C3B28"/>
    <w:rsid w:val="006C71FA"/>
    <w:rsid w:val="006C7B60"/>
    <w:rsid w:val="006D3153"/>
    <w:rsid w:val="006D3723"/>
    <w:rsid w:val="006D4E4B"/>
    <w:rsid w:val="006D6C3F"/>
    <w:rsid w:val="006E2BD6"/>
    <w:rsid w:val="006E700E"/>
    <w:rsid w:val="006E7F7A"/>
    <w:rsid w:val="006E7FA1"/>
    <w:rsid w:val="006F0A14"/>
    <w:rsid w:val="006F2527"/>
    <w:rsid w:val="006F2F12"/>
    <w:rsid w:val="006F3346"/>
    <w:rsid w:val="007006CF"/>
    <w:rsid w:val="00700F75"/>
    <w:rsid w:val="007024F1"/>
    <w:rsid w:val="007045CF"/>
    <w:rsid w:val="00705280"/>
    <w:rsid w:val="00706107"/>
    <w:rsid w:val="00712BAC"/>
    <w:rsid w:val="007143C5"/>
    <w:rsid w:val="00714B51"/>
    <w:rsid w:val="007155A5"/>
    <w:rsid w:val="007174A8"/>
    <w:rsid w:val="00717DF3"/>
    <w:rsid w:val="00720B64"/>
    <w:rsid w:val="0072295D"/>
    <w:rsid w:val="00723BB2"/>
    <w:rsid w:val="00724305"/>
    <w:rsid w:val="007251FA"/>
    <w:rsid w:val="007277B4"/>
    <w:rsid w:val="00727E25"/>
    <w:rsid w:val="0073224A"/>
    <w:rsid w:val="00732339"/>
    <w:rsid w:val="00733763"/>
    <w:rsid w:val="00735941"/>
    <w:rsid w:val="0073683B"/>
    <w:rsid w:val="00737852"/>
    <w:rsid w:val="007379C6"/>
    <w:rsid w:val="00745147"/>
    <w:rsid w:val="007462E6"/>
    <w:rsid w:val="00746656"/>
    <w:rsid w:val="00746F5E"/>
    <w:rsid w:val="00747AA9"/>
    <w:rsid w:val="00750165"/>
    <w:rsid w:val="007514BA"/>
    <w:rsid w:val="00754C90"/>
    <w:rsid w:val="00754F6C"/>
    <w:rsid w:val="007556BD"/>
    <w:rsid w:val="00757BFC"/>
    <w:rsid w:val="00760A37"/>
    <w:rsid w:val="00761548"/>
    <w:rsid w:val="0076644B"/>
    <w:rsid w:val="0076650E"/>
    <w:rsid w:val="00766567"/>
    <w:rsid w:val="007668CC"/>
    <w:rsid w:val="00771E5F"/>
    <w:rsid w:val="00772B51"/>
    <w:rsid w:val="007731D9"/>
    <w:rsid w:val="007732FC"/>
    <w:rsid w:val="00773BD1"/>
    <w:rsid w:val="007743FD"/>
    <w:rsid w:val="00775A2D"/>
    <w:rsid w:val="0077781B"/>
    <w:rsid w:val="007801CF"/>
    <w:rsid w:val="007803B4"/>
    <w:rsid w:val="00781ED7"/>
    <w:rsid w:val="00782040"/>
    <w:rsid w:val="00784C8D"/>
    <w:rsid w:val="007854B2"/>
    <w:rsid w:val="00785B7A"/>
    <w:rsid w:val="0079167E"/>
    <w:rsid w:val="0079221C"/>
    <w:rsid w:val="007942FB"/>
    <w:rsid w:val="00796046"/>
    <w:rsid w:val="007A0867"/>
    <w:rsid w:val="007A1CE1"/>
    <w:rsid w:val="007A24BB"/>
    <w:rsid w:val="007A64BB"/>
    <w:rsid w:val="007B00C7"/>
    <w:rsid w:val="007B20BB"/>
    <w:rsid w:val="007C025E"/>
    <w:rsid w:val="007C217F"/>
    <w:rsid w:val="007C23D6"/>
    <w:rsid w:val="007C3F0C"/>
    <w:rsid w:val="007C5223"/>
    <w:rsid w:val="007D0DD4"/>
    <w:rsid w:val="007D1E05"/>
    <w:rsid w:val="007D4BED"/>
    <w:rsid w:val="007D55A5"/>
    <w:rsid w:val="007D6215"/>
    <w:rsid w:val="007D6CB1"/>
    <w:rsid w:val="007E12A2"/>
    <w:rsid w:val="007E26C9"/>
    <w:rsid w:val="007E346B"/>
    <w:rsid w:val="007E36A4"/>
    <w:rsid w:val="007E431F"/>
    <w:rsid w:val="007E488D"/>
    <w:rsid w:val="007E61A8"/>
    <w:rsid w:val="007F0768"/>
    <w:rsid w:val="007F3107"/>
    <w:rsid w:val="007F323E"/>
    <w:rsid w:val="007F3D06"/>
    <w:rsid w:val="007F58A5"/>
    <w:rsid w:val="007F5D33"/>
    <w:rsid w:val="007F7434"/>
    <w:rsid w:val="008018C3"/>
    <w:rsid w:val="008049CC"/>
    <w:rsid w:val="0080541B"/>
    <w:rsid w:val="00806FBA"/>
    <w:rsid w:val="0081253B"/>
    <w:rsid w:val="008163A9"/>
    <w:rsid w:val="00816A49"/>
    <w:rsid w:val="0083019F"/>
    <w:rsid w:val="00835CD6"/>
    <w:rsid w:val="008363D3"/>
    <w:rsid w:val="008407FC"/>
    <w:rsid w:val="00840BC8"/>
    <w:rsid w:val="00842673"/>
    <w:rsid w:val="0084519E"/>
    <w:rsid w:val="0085013E"/>
    <w:rsid w:val="00854007"/>
    <w:rsid w:val="0085501A"/>
    <w:rsid w:val="00855820"/>
    <w:rsid w:val="00855B0A"/>
    <w:rsid w:val="00856CCB"/>
    <w:rsid w:val="00857138"/>
    <w:rsid w:val="00861003"/>
    <w:rsid w:val="00865C4F"/>
    <w:rsid w:val="0087215D"/>
    <w:rsid w:val="008721E0"/>
    <w:rsid w:val="008737D6"/>
    <w:rsid w:val="00873B84"/>
    <w:rsid w:val="00874BD7"/>
    <w:rsid w:val="00877F3F"/>
    <w:rsid w:val="00880C14"/>
    <w:rsid w:val="008829C8"/>
    <w:rsid w:val="00883E0C"/>
    <w:rsid w:val="00886049"/>
    <w:rsid w:val="00886459"/>
    <w:rsid w:val="008876A4"/>
    <w:rsid w:val="0089224E"/>
    <w:rsid w:val="0089379B"/>
    <w:rsid w:val="008965F7"/>
    <w:rsid w:val="008966C7"/>
    <w:rsid w:val="00897C48"/>
    <w:rsid w:val="008A3696"/>
    <w:rsid w:val="008A5926"/>
    <w:rsid w:val="008B055C"/>
    <w:rsid w:val="008B1883"/>
    <w:rsid w:val="008B39B5"/>
    <w:rsid w:val="008B6E7F"/>
    <w:rsid w:val="008C06D1"/>
    <w:rsid w:val="008C0855"/>
    <w:rsid w:val="008C246E"/>
    <w:rsid w:val="008C6992"/>
    <w:rsid w:val="008C7CE9"/>
    <w:rsid w:val="008C7F16"/>
    <w:rsid w:val="008D1D90"/>
    <w:rsid w:val="008D5CE4"/>
    <w:rsid w:val="008D5DD4"/>
    <w:rsid w:val="008D7275"/>
    <w:rsid w:val="008E267F"/>
    <w:rsid w:val="008E33EF"/>
    <w:rsid w:val="008E382D"/>
    <w:rsid w:val="008E5E6C"/>
    <w:rsid w:val="008E6DCA"/>
    <w:rsid w:val="008F1916"/>
    <w:rsid w:val="008F4984"/>
    <w:rsid w:val="008F63DA"/>
    <w:rsid w:val="008F7464"/>
    <w:rsid w:val="008F7A0F"/>
    <w:rsid w:val="00900733"/>
    <w:rsid w:val="0090345E"/>
    <w:rsid w:val="00903483"/>
    <w:rsid w:val="00904E5C"/>
    <w:rsid w:val="009116FC"/>
    <w:rsid w:val="00911DEC"/>
    <w:rsid w:val="0091266E"/>
    <w:rsid w:val="00914927"/>
    <w:rsid w:val="00916618"/>
    <w:rsid w:val="00917182"/>
    <w:rsid w:val="00917711"/>
    <w:rsid w:val="00922845"/>
    <w:rsid w:val="00922FEB"/>
    <w:rsid w:val="00924A23"/>
    <w:rsid w:val="0093106A"/>
    <w:rsid w:val="009344EA"/>
    <w:rsid w:val="00937073"/>
    <w:rsid w:val="0093777F"/>
    <w:rsid w:val="00940570"/>
    <w:rsid w:val="0094102D"/>
    <w:rsid w:val="0094134A"/>
    <w:rsid w:val="009434DD"/>
    <w:rsid w:val="00943DF9"/>
    <w:rsid w:val="009444D3"/>
    <w:rsid w:val="00946891"/>
    <w:rsid w:val="00950BE7"/>
    <w:rsid w:val="0095143E"/>
    <w:rsid w:val="00954EFF"/>
    <w:rsid w:val="00956D2D"/>
    <w:rsid w:val="00957686"/>
    <w:rsid w:val="00961CE2"/>
    <w:rsid w:val="00965766"/>
    <w:rsid w:val="009669F8"/>
    <w:rsid w:val="00970E8B"/>
    <w:rsid w:val="00973DF3"/>
    <w:rsid w:val="009740A1"/>
    <w:rsid w:val="009747EE"/>
    <w:rsid w:val="00974D15"/>
    <w:rsid w:val="00975C1F"/>
    <w:rsid w:val="009770D2"/>
    <w:rsid w:val="009810AF"/>
    <w:rsid w:val="0098283E"/>
    <w:rsid w:val="009837C8"/>
    <w:rsid w:val="00984279"/>
    <w:rsid w:val="00984729"/>
    <w:rsid w:val="009847E0"/>
    <w:rsid w:val="009930BD"/>
    <w:rsid w:val="00994686"/>
    <w:rsid w:val="00996667"/>
    <w:rsid w:val="009A05BF"/>
    <w:rsid w:val="009A0775"/>
    <w:rsid w:val="009A0A04"/>
    <w:rsid w:val="009A20F7"/>
    <w:rsid w:val="009A36B5"/>
    <w:rsid w:val="009B2315"/>
    <w:rsid w:val="009B598D"/>
    <w:rsid w:val="009B5B77"/>
    <w:rsid w:val="009B5FCD"/>
    <w:rsid w:val="009C4544"/>
    <w:rsid w:val="009C4AB8"/>
    <w:rsid w:val="009C6155"/>
    <w:rsid w:val="009C71E4"/>
    <w:rsid w:val="009D0B38"/>
    <w:rsid w:val="009D14DE"/>
    <w:rsid w:val="009D1EF5"/>
    <w:rsid w:val="009D26C0"/>
    <w:rsid w:val="009D64A3"/>
    <w:rsid w:val="009D77C4"/>
    <w:rsid w:val="009D7DC2"/>
    <w:rsid w:val="009E08DD"/>
    <w:rsid w:val="009E1B37"/>
    <w:rsid w:val="009E29DA"/>
    <w:rsid w:val="009E31BB"/>
    <w:rsid w:val="009E3540"/>
    <w:rsid w:val="009E4A2F"/>
    <w:rsid w:val="009E59EB"/>
    <w:rsid w:val="009E6537"/>
    <w:rsid w:val="009E6BD3"/>
    <w:rsid w:val="009F014F"/>
    <w:rsid w:val="009F018B"/>
    <w:rsid w:val="009F0E45"/>
    <w:rsid w:val="009F1656"/>
    <w:rsid w:val="009F3100"/>
    <w:rsid w:val="009F4771"/>
    <w:rsid w:val="009F5C5F"/>
    <w:rsid w:val="00A064CC"/>
    <w:rsid w:val="00A106AB"/>
    <w:rsid w:val="00A10ABB"/>
    <w:rsid w:val="00A11922"/>
    <w:rsid w:val="00A12F75"/>
    <w:rsid w:val="00A14DCE"/>
    <w:rsid w:val="00A16A12"/>
    <w:rsid w:val="00A2254C"/>
    <w:rsid w:val="00A225CF"/>
    <w:rsid w:val="00A22CD6"/>
    <w:rsid w:val="00A23131"/>
    <w:rsid w:val="00A231BF"/>
    <w:rsid w:val="00A23CE3"/>
    <w:rsid w:val="00A25D4A"/>
    <w:rsid w:val="00A26FC2"/>
    <w:rsid w:val="00A30726"/>
    <w:rsid w:val="00A30E18"/>
    <w:rsid w:val="00A3267C"/>
    <w:rsid w:val="00A33869"/>
    <w:rsid w:val="00A34557"/>
    <w:rsid w:val="00A345DE"/>
    <w:rsid w:val="00A35510"/>
    <w:rsid w:val="00A37A00"/>
    <w:rsid w:val="00A37F5A"/>
    <w:rsid w:val="00A43694"/>
    <w:rsid w:val="00A43EA9"/>
    <w:rsid w:val="00A560AE"/>
    <w:rsid w:val="00A61AEB"/>
    <w:rsid w:val="00A625F8"/>
    <w:rsid w:val="00A6346D"/>
    <w:rsid w:val="00A63DC4"/>
    <w:rsid w:val="00A64D34"/>
    <w:rsid w:val="00A6621B"/>
    <w:rsid w:val="00A67CBB"/>
    <w:rsid w:val="00A73275"/>
    <w:rsid w:val="00A7349B"/>
    <w:rsid w:val="00A74F50"/>
    <w:rsid w:val="00A7637A"/>
    <w:rsid w:val="00A77234"/>
    <w:rsid w:val="00A7784E"/>
    <w:rsid w:val="00A800FD"/>
    <w:rsid w:val="00A835CB"/>
    <w:rsid w:val="00A83A47"/>
    <w:rsid w:val="00A83CEF"/>
    <w:rsid w:val="00A83F37"/>
    <w:rsid w:val="00A8449D"/>
    <w:rsid w:val="00A8765C"/>
    <w:rsid w:val="00A92C73"/>
    <w:rsid w:val="00A93747"/>
    <w:rsid w:val="00A937E1"/>
    <w:rsid w:val="00A94210"/>
    <w:rsid w:val="00A94DD7"/>
    <w:rsid w:val="00A958A7"/>
    <w:rsid w:val="00A96A0F"/>
    <w:rsid w:val="00A96B7A"/>
    <w:rsid w:val="00A96FAA"/>
    <w:rsid w:val="00A97901"/>
    <w:rsid w:val="00AA1B31"/>
    <w:rsid w:val="00AA27B6"/>
    <w:rsid w:val="00AA2A3A"/>
    <w:rsid w:val="00AA30E5"/>
    <w:rsid w:val="00AA5E57"/>
    <w:rsid w:val="00AA68CF"/>
    <w:rsid w:val="00AB0BE6"/>
    <w:rsid w:val="00AB13C5"/>
    <w:rsid w:val="00AB296B"/>
    <w:rsid w:val="00AB346B"/>
    <w:rsid w:val="00AB3686"/>
    <w:rsid w:val="00AB3D8B"/>
    <w:rsid w:val="00AB4267"/>
    <w:rsid w:val="00AB4788"/>
    <w:rsid w:val="00AC3A97"/>
    <w:rsid w:val="00AC3D7C"/>
    <w:rsid w:val="00AC3DAE"/>
    <w:rsid w:val="00AC4CF3"/>
    <w:rsid w:val="00AC5675"/>
    <w:rsid w:val="00AC59BE"/>
    <w:rsid w:val="00AD0ED0"/>
    <w:rsid w:val="00AD20CF"/>
    <w:rsid w:val="00AD415D"/>
    <w:rsid w:val="00AD5918"/>
    <w:rsid w:val="00AD5C20"/>
    <w:rsid w:val="00AD6055"/>
    <w:rsid w:val="00AD7342"/>
    <w:rsid w:val="00AD7C53"/>
    <w:rsid w:val="00AD7D49"/>
    <w:rsid w:val="00AE3E8F"/>
    <w:rsid w:val="00AE6392"/>
    <w:rsid w:val="00AF0520"/>
    <w:rsid w:val="00AF1AA4"/>
    <w:rsid w:val="00AF1DCF"/>
    <w:rsid w:val="00AF2598"/>
    <w:rsid w:val="00AF3271"/>
    <w:rsid w:val="00AF7139"/>
    <w:rsid w:val="00B00528"/>
    <w:rsid w:val="00B00C75"/>
    <w:rsid w:val="00B014FC"/>
    <w:rsid w:val="00B03A2F"/>
    <w:rsid w:val="00B058FC"/>
    <w:rsid w:val="00B06966"/>
    <w:rsid w:val="00B06D81"/>
    <w:rsid w:val="00B114DB"/>
    <w:rsid w:val="00B1416C"/>
    <w:rsid w:val="00B148E8"/>
    <w:rsid w:val="00B14E9E"/>
    <w:rsid w:val="00B15547"/>
    <w:rsid w:val="00B15D22"/>
    <w:rsid w:val="00B1652A"/>
    <w:rsid w:val="00B16F37"/>
    <w:rsid w:val="00B17414"/>
    <w:rsid w:val="00B20BA0"/>
    <w:rsid w:val="00B21590"/>
    <w:rsid w:val="00B217D8"/>
    <w:rsid w:val="00B21860"/>
    <w:rsid w:val="00B25191"/>
    <w:rsid w:val="00B255FB"/>
    <w:rsid w:val="00B259CE"/>
    <w:rsid w:val="00B306D3"/>
    <w:rsid w:val="00B3479E"/>
    <w:rsid w:val="00B34E9A"/>
    <w:rsid w:val="00B353DE"/>
    <w:rsid w:val="00B37A16"/>
    <w:rsid w:val="00B37AA1"/>
    <w:rsid w:val="00B41C59"/>
    <w:rsid w:val="00B503DF"/>
    <w:rsid w:val="00B5275C"/>
    <w:rsid w:val="00B53024"/>
    <w:rsid w:val="00B5370F"/>
    <w:rsid w:val="00B5378A"/>
    <w:rsid w:val="00B5571C"/>
    <w:rsid w:val="00B62BCC"/>
    <w:rsid w:val="00B63161"/>
    <w:rsid w:val="00B6607B"/>
    <w:rsid w:val="00B66BBC"/>
    <w:rsid w:val="00B6709E"/>
    <w:rsid w:val="00B70DBE"/>
    <w:rsid w:val="00B70F31"/>
    <w:rsid w:val="00B72C75"/>
    <w:rsid w:val="00B751F6"/>
    <w:rsid w:val="00B76DBB"/>
    <w:rsid w:val="00B81C86"/>
    <w:rsid w:val="00B843C9"/>
    <w:rsid w:val="00B86E6B"/>
    <w:rsid w:val="00B909DA"/>
    <w:rsid w:val="00B9639C"/>
    <w:rsid w:val="00B96DD0"/>
    <w:rsid w:val="00B974EC"/>
    <w:rsid w:val="00B97D75"/>
    <w:rsid w:val="00BA2393"/>
    <w:rsid w:val="00BA5456"/>
    <w:rsid w:val="00BA5747"/>
    <w:rsid w:val="00BA5C1A"/>
    <w:rsid w:val="00BA64D2"/>
    <w:rsid w:val="00BA7CDB"/>
    <w:rsid w:val="00BB2ED5"/>
    <w:rsid w:val="00BB3856"/>
    <w:rsid w:val="00BB6160"/>
    <w:rsid w:val="00BB667F"/>
    <w:rsid w:val="00BC19CB"/>
    <w:rsid w:val="00BC3517"/>
    <w:rsid w:val="00BC391D"/>
    <w:rsid w:val="00BD1B8F"/>
    <w:rsid w:val="00BD21AA"/>
    <w:rsid w:val="00BD2F2C"/>
    <w:rsid w:val="00BD3625"/>
    <w:rsid w:val="00BD5E49"/>
    <w:rsid w:val="00BD7236"/>
    <w:rsid w:val="00BD724E"/>
    <w:rsid w:val="00BD799E"/>
    <w:rsid w:val="00BE071C"/>
    <w:rsid w:val="00BE2ADC"/>
    <w:rsid w:val="00BE44C9"/>
    <w:rsid w:val="00BE7055"/>
    <w:rsid w:val="00BE7725"/>
    <w:rsid w:val="00BF173E"/>
    <w:rsid w:val="00BF18F7"/>
    <w:rsid w:val="00BF5434"/>
    <w:rsid w:val="00BF5500"/>
    <w:rsid w:val="00BF71E3"/>
    <w:rsid w:val="00BF76F8"/>
    <w:rsid w:val="00C0015B"/>
    <w:rsid w:val="00C03B02"/>
    <w:rsid w:val="00C03CB1"/>
    <w:rsid w:val="00C04EE6"/>
    <w:rsid w:val="00C04FDF"/>
    <w:rsid w:val="00C0516B"/>
    <w:rsid w:val="00C07717"/>
    <w:rsid w:val="00C11ACA"/>
    <w:rsid w:val="00C11D39"/>
    <w:rsid w:val="00C129C3"/>
    <w:rsid w:val="00C12A6D"/>
    <w:rsid w:val="00C155F2"/>
    <w:rsid w:val="00C15898"/>
    <w:rsid w:val="00C17F6C"/>
    <w:rsid w:val="00C214BD"/>
    <w:rsid w:val="00C218D9"/>
    <w:rsid w:val="00C22FBD"/>
    <w:rsid w:val="00C234FD"/>
    <w:rsid w:val="00C23FE6"/>
    <w:rsid w:val="00C2407B"/>
    <w:rsid w:val="00C25149"/>
    <w:rsid w:val="00C26D19"/>
    <w:rsid w:val="00C32352"/>
    <w:rsid w:val="00C32C1D"/>
    <w:rsid w:val="00C34A80"/>
    <w:rsid w:val="00C355B7"/>
    <w:rsid w:val="00C36264"/>
    <w:rsid w:val="00C378C4"/>
    <w:rsid w:val="00C40CF3"/>
    <w:rsid w:val="00C413BD"/>
    <w:rsid w:val="00C41562"/>
    <w:rsid w:val="00C42DA2"/>
    <w:rsid w:val="00C45CE8"/>
    <w:rsid w:val="00C46499"/>
    <w:rsid w:val="00C52639"/>
    <w:rsid w:val="00C52BF2"/>
    <w:rsid w:val="00C539E0"/>
    <w:rsid w:val="00C54DF6"/>
    <w:rsid w:val="00C55D8D"/>
    <w:rsid w:val="00C5639C"/>
    <w:rsid w:val="00C56FC9"/>
    <w:rsid w:val="00C57D85"/>
    <w:rsid w:val="00C60795"/>
    <w:rsid w:val="00C60A86"/>
    <w:rsid w:val="00C63F93"/>
    <w:rsid w:val="00C64C7A"/>
    <w:rsid w:val="00C66519"/>
    <w:rsid w:val="00C668F5"/>
    <w:rsid w:val="00C714C9"/>
    <w:rsid w:val="00C744FD"/>
    <w:rsid w:val="00C74F21"/>
    <w:rsid w:val="00C80400"/>
    <w:rsid w:val="00C815F0"/>
    <w:rsid w:val="00C82DD3"/>
    <w:rsid w:val="00C85409"/>
    <w:rsid w:val="00C86A4A"/>
    <w:rsid w:val="00C913FB"/>
    <w:rsid w:val="00C931DF"/>
    <w:rsid w:val="00C93E05"/>
    <w:rsid w:val="00C9465F"/>
    <w:rsid w:val="00C947F4"/>
    <w:rsid w:val="00CA00ED"/>
    <w:rsid w:val="00CA04A6"/>
    <w:rsid w:val="00CA069C"/>
    <w:rsid w:val="00CA1C4C"/>
    <w:rsid w:val="00CA7034"/>
    <w:rsid w:val="00CA76DC"/>
    <w:rsid w:val="00CB0400"/>
    <w:rsid w:val="00CB29A8"/>
    <w:rsid w:val="00CB3249"/>
    <w:rsid w:val="00CB6827"/>
    <w:rsid w:val="00CB7E55"/>
    <w:rsid w:val="00CC0BDE"/>
    <w:rsid w:val="00CC146E"/>
    <w:rsid w:val="00CC19A6"/>
    <w:rsid w:val="00CC4EF1"/>
    <w:rsid w:val="00CC583E"/>
    <w:rsid w:val="00CD074A"/>
    <w:rsid w:val="00CD0902"/>
    <w:rsid w:val="00CD260C"/>
    <w:rsid w:val="00CD3FEC"/>
    <w:rsid w:val="00CD42B9"/>
    <w:rsid w:val="00CD6E0B"/>
    <w:rsid w:val="00CE100C"/>
    <w:rsid w:val="00CE1D02"/>
    <w:rsid w:val="00CE33FC"/>
    <w:rsid w:val="00CE37E5"/>
    <w:rsid w:val="00CE58C1"/>
    <w:rsid w:val="00CE590A"/>
    <w:rsid w:val="00CE707E"/>
    <w:rsid w:val="00CF01AE"/>
    <w:rsid w:val="00CF0234"/>
    <w:rsid w:val="00CF13FA"/>
    <w:rsid w:val="00CF267F"/>
    <w:rsid w:val="00CF3FF9"/>
    <w:rsid w:val="00CF56A0"/>
    <w:rsid w:val="00D00AE0"/>
    <w:rsid w:val="00D0274A"/>
    <w:rsid w:val="00D02FE0"/>
    <w:rsid w:val="00D07823"/>
    <w:rsid w:val="00D1104B"/>
    <w:rsid w:val="00D1305A"/>
    <w:rsid w:val="00D15D65"/>
    <w:rsid w:val="00D17890"/>
    <w:rsid w:val="00D20F86"/>
    <w:rsid w:val="00D22328"/>
    <w:rsid w:val="00D2293B"/>
    <w:rsid w:val="00D229CF"/>
    <w:rsid w:val="00D23A9A"/>
    <w:rsid w:val="00D24454"/>
    <w:rsid w:val="00D2460E"/>
    <w:rsid w:val="00D24EC1"/>
    <w:rsid w:val="00D27C06"/>
    <w:rsid w:val="00D31A4B"/>
    <w:rsid w:val="00D35B3D"/>
    <w:rsid w:val="00D36817"/>
    <w:rsid w:val="00D41BE4"/>
    <w:rsid w:val="00D429B0"/>
    <w:rsid w:val="00D43E43"/>
    <w:rsid w:val="00D44638"/>
    <w:rsid w:val="00D44CBE"/>
    <w:rsid w:val="00D46723"/>
    <w:rsid w:val="00D46B89"/>
    <w:rsid w:val="00D47DA4"/>
    <w:rsid w:val="00D47FB4"/>
    <w:rsid w:val="00D50C6D"/>
    <w:rsid w:val="00D5103B"/>
    <w:rsid w:val="00D5354C"/>
    <w:rsid w:val="00D53DDC"/>
    <w:rsid w:val="00D567C3"/>
    <w:rsid w:val="00D578C0"/>
    <w:rsid w:val="00D61709"/>
    <w:rsid w:val="00D61973"/>
    <w:rsid w:val="00D621BD"/>
    <w:rsid w:val="00D622C1"/>
    <w:rsid w:val="00D62947"/>
    <w:rsid w:val="00D63898"/>
    <w:rsid w:val="00D64B2B"/>
    <w:rsid w:val="00D6605E"/>
    <w:rsid w:val="00D70A2A"/>
    <w:rsid w:val="00D73C6B"/>
    <w:rsid w:val="00D7499B"/>
    <w:rsid w:val="00D76C5B"/>
    <w:rsid w:val="00D76EDC"/>
    <w:rsid w:val="00D77309"/>
    <w:rsid w:val="00D779F7"/>
    <w:rsid w:val="00D82EC3"/>
    <w:rsid w:val="00D838DF"/>
    <w:rsid w:val="00D83F54"/>
    <w:rsid w:val="00D860AE"/>
    <w:rsid w:val="00D860C5"/>
    <w:rsid w:val="00D87421"/>
    <w:rsid w:val="00D878EF"/>
    <w:rsid w:val="00D935EE"/>
    <w:rsid w:val="00D93BF8"/>
    <w:rsid w:val="00D94863"/>
    <w:rsid w:val="00D96282"/>
    <w:rsid w:val="00D967D9"/>
    <w:rsid w:val="00DA047A"/>
    <w:rsid w:val="00DA1EAC"/>
    <w:rsid w:val="00DA36BF"/>
    <w:rsid w:val="00DA6234"/>
    <w:rsid w:val="00DB0BB8"/>
    <w:rsid w:val="00DB11D8"/>
    <w:rsid w:val="00DB27BA"/>
    <w:rsid w:val="00DB377A"/>
    <w:rsid w:val="00DB3F82"/>
    <w:rsid w:val="00DB7D40"/>
    <w:rsid w:val="00DC015E"/>
    <w:rsid w:val="00DC032B"/>
    <w:rsid w:val="00DC046E"/>
    <w:rsid w:val="00DC1794"/>
    <w:rsid w:val="00DC1EF3"/>
    <w:rsid w:val="00DC43ED"/>
    <w:rsid w:val="00DC724F"/>
    <w:rsid w:val="00DC73C3"/>
    <w:rsid w:val="00DD0AE0"/>
    <w:rsid w:val="00DD0E9B"/>
    <w:rsid w:val="00DD2910"/>
    <w:rsid w:val="00DD36A7"/>
    <w:rsid w:val="00DD3DDA"/>
    <w:rsid w:val="00DD48A5"/>
    <w:rsid w:val="00DD54E0"/>
    <w:rsid w:val="00DD56CF"/>
    <w:rsid w:val="00DE0020"/>
    <w:rsid w:val="00DE15DE"/>
    <w:rsid w:val="00DE359B"/>
    <w:rsid w:val="00DE4307"/>
    <w:rsid w:val="00DE4DCE"/>
    <w:rsid w:val="00DE5293"/>
    <w:rsid w:val="00DE5E3F"/>
    <w:rsid w:val="00DE6956"/>
    <w:rsid w:val="00DE6DB7"/>
    <w:rsid w:val="00DF38DF"/>
    <w:rsid w:val="00DF42C2"/>
    <w:rsid w:val="00DF520A"/>
    <w:rsid w:val="00DF55CE"/>
    <w:rsid w:val="00DF7D7B"/>
    <w:rsid w:val="00E0142F"/>
    <w:rsid w:val="00E0229B"/>
    <w:rsid w:val="00E02B12"/>
    <w:rsid w:val="00E0351F"/>
    <w:rsid w:val="00E036DD"/>
    <w:rsid w:val="00E03F3B"/>
    <w:rsid w:val="00E04699"/>
    <w:rsid w:val="00E04ED5"/>
    <w:rsid w:val="00E05C83"/>
    <w:rsid w:val="00E11BB6"/>
    <w:rsid w:val="00E16CE2"/>
    <w:rsid w:val="00E17299"/>
    <w:rsid w:val="00E1761C"/>
    <w:rsid w:val="00E17D54"/>
    <w:rsid w:val="00E17EDB"/>
    <w:rsid w:val="00E2219D"/>
    <w:rsid w:val="00E249FA"/>
    <w:rsid w:val="00E260AB"/>
    <w:rsid w:val="00E27D40"/>
    <w:rsid w:val="00E30FE3"/>
    <w:rsid w:val="00E316B8"/>
    <w:rsid w:val="00E319BC"/>
    <w:rsid w:val="00E37B3A"/>
    <w:rsid w:val="00E407BC"/>
    <w:rsid w:val="00E4179D"/>
    <w:rsid w:val="00E43433"/>
    <w:rsid w:val="00E43EC9"/>
    <w:rsid w:val="00E44329"/>
    <w:rsid w:val="00E519B9"/>
    <w:rsid w:val="00E52C84"/>
    <w:rsid w:val="00E540A1"/>
    <w:rsid w:val="00E55097"/>
    <w:rsid w:val="00E55E51"/>
    <w:rsid w:val="00E56D09"/>
    <w:rsid w:val="00E571EA"/>
    <w:rsid w:val="00E6089F"/>
    <w:rsid w:val="00E609B5"/>
    <w:rsid w:val="00E60B27"/>
    <w:rsid w:val="00E669C9"/>
    <w:rsid w:val="00E706E1"/>
    <w:rsid w:val="00E70785"/>
    <w:rsid w:val="00E73758"/>
    <w:rsid w:val="00E737A2"/>
    <w:rsid w:val="00E77C9A"/>
    <w:rsid w:val="00E80D7B"/>
    <w:rsid w:val="00E83899"/>
    <w:rsid w:val="00E8462D"/>
    <w:rsid w:val="00E85EF4"/>
    <w:rsid w:val="00E87546"/>
    <w:rsid w:val="00E9084B"/>
    <w:rsid w:val="00E94699"/>
    <w:rsid w:val="00E94787"/>
    <w:rsid w:val="00E95C28"/>
    <w:rsid w:val="00E96B23"/>
    <w:rsid w:val="00E97721"/>
    <w:rsid w:val="00EA1070"/>
    <w:rsid w:val="00EA5226"/>
    <w:rsid w:val="00EB212D"/>
    <w:rsid w:val="00EB6F08"/>
    <w:rsid w:val="00EB7E72"/>
    <w:rsid w:val="00EC1598"/>
    <w:rsid w:val="00EC2839"/>
    <w:rsid w:val="00EC31A3"/>
    <w:rsid w:val="00EC3FD8"/>
    <w:rsid w:val="00EC44D5"/>
    <w:rsid w:val="00EC4736"/>
    <w:rsid w:val="00EC4D26"/>
    <w:rsid w:val="00EC5EDE"/>
    <w:rsid w:val="00EC6441"/>
    <w:rsid w:val="00EC6AD9"/>
    <w:rsid w:val="00EC7F6D"/>
    <w:rsid w:val="00ED0068"/>
    <w:rsid w:val="00ED401F"/>
    <w:rsid w:val="00ED4F81"/>
    <w:rsid w:val="00ED6B26"/>
    <w:rsid w:val="00EE0155"/>
    <w:rsid w:val="00EE03E7"/>
    <w:rsid w:val="00EE2D80"/>
    <w:rsid w:val="00EE46E6"/>
    <w:rsid w:val="00EE5EC7"/>
    <w:rsid w:val="00EE66CC"/>
    <w:rsid w:val="00EE73EA"/>
    <w:rsid w:val="00EF06F3"/>
    <w:rsid w:val="00EF207C"/>
    <w:rsid w:val="00EF287B"/>
    <w:rsid w:val="00EF3595"/>
    <w:rsid w:val="00EF4510"/>
    <w:rsid w:val="00EF5C3B"/>
    <w:rsid w:val="00F00CFD"/>
    <w:rsid w:val="00F024B2"/>
    <w:rsid w:val="00F0311E"/>
    <w:rsid w:val="00F04225"/>
    <w:rsid w:val="00F04572"/>
    <w:rsid w:val="00F04D6F"/>
    <w:rsid w:val="00F053A7"/>
    <w:rsid w:val="00F1031A"/>
    <w:rsid w:val="00F103E1"/>
    <w:rsid w:val="00F11F99"/>
    <w:rsid w:val="00F12455"/>
    <w:rsid w:val="00F1494A"/>
    <w:rsid w:val="00F20184"/>
    <w:rsid w:val="00F20FBB"/>
    <w:rsid w:val="00F237E5"/>
    <w:rsid w:val="00F24589"/>
    <w:rsid w:val="00F248C7"/>
    <w:rsid w:val="00F24B93"/>
    <w:rsid w:val="00F25125"/>
    <w:rsid w:val="00F2583A"/>
    <w:rsid w:val="00F320F0"/>
    <w:rsid w:val="00F323A1"/>
    <w:rsid w:val="00F349AE"/>
    <w:rsid w:val="00F3528E"/>
    <w:rsid w:val="00F4007B"/>
    <w:rsid w:val="00F45146"/>
    <w:rsid w:val="00F45D2D"/>
    <w:rsid w:val="00F45F25"/>
    <w:rsid w:val="00F52149"/>
    <w:rsid w:val="00F524A8"/>
    <w:rsid w:val="00F52F64"/>
    <w:rsid w:val="00F53646"/>
    <w:rsid w:val="00F53F41"/>
    <w:rsid w:val="00F55E83"/>
    <w:rsid w:val="00F56CA3"/>
    <w:rsid w:val="00F57752"/>
    <w:rsid w:val="00F62481"/>
    <w:rsid w:val="00F650C0"/>
    <w:rsid w:val="00F6515B"/>
    <w:rsid w:val="00F714DD"/>
    <w:rsid w:val="00F722F6"/>
    <w:rsid w:val="00F72A00"/>
    <w:rsid w:val="00F74417"/>
    <w:rsid w:val="00F74957"/>
    <w:rsid w:val="00F7498C"/>
    <w:rsid w:val="00F7518D"/>
    <w:rsid w:val="00F82473"/>
    <w:rsid w:val="00F84C5D"/>
    <w:rsid w:val="00F85F25"/>
    <w:rsid w:val="00F8782A"/>
    <w:rsid w:val="00F91685"/>
    <w:rsid w:val="00F9184B"/>
    <w:rsid w:val="00F92438"/>
    <w:rsid w:val="00F9523D"/>
    <w:rsid w:val="00F97F40"/>
    <w:rsid w:val="00FA2795"/>
    <w:rsid w:val="00FA34C6"/>
    <w:rsid w:val="00FA42AC"/>
    <w:rsid w:val="00FA7216"/>
    <w:rsid w:val="00FB42CE"/>
    <w:rsid w:val="00FB6B00"/>
    <w:rsid w:val="00FB71AF"/>
    <w:rsid w:val="00FB7673"/>
    <w:rsid w:val="00FB79B6"/>
    <w:rsid w:val="00FC0916"/>
    <w:rsid w:val="00FC0B94"/>
    <w:rsid w:val="00FC0DD2"/>
    <w:rsid w:val="00FC2BF7"/>
    <w:rsid w:val="00FC5D1C"/>
    <w:rsid w:val="00FC6541"/>
    <w:rsid w:val="00FD35D0"/>
    <w:rsid w:val="00FD3AB0"/>
    <w:rsid w:val="00FD6B7D"/>
    <w:rsid w:val="00FD6E3E"/>
    <w:rsid w:val="00FD7517"/>
    <w:rsid w:val="00FD7858"/>
    <w:rsid w:val="00FD7FFC"/>
    <w:rsid w:val="00FE0A2A"/>
    <w:rsid w:val="00FE0E41"/>
    <w:rsid w:val="00FE4A52"/>
    <w:rsid w:val="00FE4BBC"/>
    <w:rsid w:val="00FE74CD"/>
    <w:rsid w:val="00FE7A0A"/>
    <w:rsid w:val="00FF2543"/>
    <w:rsid w:val="00FF2EAC"/>
    <w:rsid w:val="00FF4ED1"/>
    <w:rsid w:val="00FF5297"/>
    <w:rsid w:val="00FF76FD"/>
    <w:rsid w:val="00FF7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A89C6"/>
  <w15:chartTrackingRefBased/>
  <w15:docId w15:val="{B52E403B-F9E8-4713-A1EB-095CC8C76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3FC"/>
  </w:style>
  <w:style w:type="paragraph" w:styleId="Heading1">
    <w:name w:val="heading 1"/>
    <w:basedOn w:val="Normal"/>
    <w:next w:val="Normal"/>
    <w:link w:val="Heading1Char"/>
    <w:uiPriority w:val="9"/>
    <w:qFormat/>
    <w:rsid w:val="009D64A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42D3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519B9"/>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2FEB"/>
    <w:pPr>
      <w:spacing w:after="0" w:line="240" w:lineRule="auto"/>
    </w:pPr>
    <w:rPr>
      <w:kern w:val="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922FEB"/>
    <w:rPr>
      <w:color w:val="0000FF"/>
      <w:u w:val="single"/>
    </w:rPr>
  </w:style>
  <w:style w:type="character" w:customStyle="1" w:styleId="FollowedHyperlink1">
    <w:name w:val="FollowedHyperlink1"/>
    <w:basedOn w:val="DefaultParagraphFont"/>
    <w:uiPriority w:val="99"/>
    <w:semiHidden/>
    <w:unhideWhenUsed/>
    <w:rsid w:val="00922FEB"/>
    <w:rPr>
      <w:color w:val="800080"/>
      <w:u w:val="single"/>
    </w:rPr>
  </w:style>
  <w:style w:type="paragraph" w:styleId="FootnoteText">
    <w:name w:val="footnote text"/>
    <w:basedOn w:val="Normal"/>
    <w:link w:val="FootnoteTextChar"/>
    <w:uiPriority w:val="99"/>
    <w:semiHidden/>
    <w:unhideWhenUsed/>
    <w:rsid w:val="00922FEB"/>
    <w:pPr>
      <w:spacing w:after="0" w:line="240" w:lineRule="auto"/>
    </w:pPr>
    <w:rPr>
      <w:kern w:val="0"/>
      <w:sz w:val="20"/>
      <w:szCs w:val="20"/>
      <w:lang w:val="ro-RO"/>
      <w14:ligatures w14:val="none"/>
    </w:rPr>
  </w:style>
  <w:style w:type="character" w:customStyle="1" w:styleId="FootnoteTextChar">
    <w:name w:val="Footnote Text Char"/>
    <w:basedOn w:val="DefaultParagraphFont"/>
    <w:link w:val="FootnoteText"/>
    <w:uiPriority w:val="99"/>
    <w:semiHidden/>
    <w:rsid w:val="00922FEB"/>
    <w:rPr>
      <w:kern w:val="0"/>
      <w:sz w:val="20"/>
      <w:szCs w:val="20"/>
      <w:lang w:val="ro-RO"/>
      <w14:ligatures w14:val="none"/>
    </w:rPr>
  </w:style>
  <w:style w:type="character" w:styleId="FootnoteReference">
    <w:name w:val="footnote reference"/>
    <w:basedOn w:val="DefaultParagraphFont"/>
    <w:uiPriority w:val="99"/>
    <w:semiHidden/>
    <w:unhideWhenUsed/>
    <w:rsid w:val="00922FEB"/>
    <w:rPr>
      <w:vertAlign w:val="superscript"/>
    </w:rPr>
  </w:style>
  <w:style w:type="paragraph" w:styleId="ListParagraph">
    <w:name w:val="List Paragraph"/>
    <w:basedOn w:val="Normal"/>
    <w:uiPriority w:val="34"/>
    <w:qFormat/>
    <w:rsid w:val="00922FEB"/>
    <w:pPr>
      <w:spacing w:after="200" w:line="276" w:lineRule="auto"/>
      <w:ind w:left="720"/>
      <w:contextualSpacing/>
    </w:pPr>
    <w:rPr>
      <w:kern w:val="0"/>
      <w:lang w:val="ro-RO"/>
      <w14:ligatures w14:val="none"/>
    </w:rPr>
  </w:style>
  <w:style w:type="paragraph" w:styleId="NormalWeb">
    <w:name w:val="Normal (Web)"/>
    <w:basedOn w:val="Normal"/>
    <w:uiPriority w:val="99"/>
    <w:unhideWhenUsed/>
    <w:rsid w:val="00922FEB"/>
    <w:pPr>
      <w:spacing w:after="200" w:line="276" w:lineRule="auto"/>
    </w:pPr>
    <w:rPr>
      <w:rFonts w:ascii="Times New Roman" w:hAnsi="Times New Roman" w:cs="Times New Roman"/>
      <w:kern w:val="0"/>
      <w:sz w:val="24"/>
      <w:szCs w:val="24"/>
      <w:lang w:val="ro-RO"/>
      <w14:ligatures w14:val="none"/>
    </w:rPr>
  </w:style>
  <w:style w:type="character" w:customStyle="1" w:styleId="apple-converted-space">
    <w:name w:val="apple-converted-space"/>
    <w:basedOn w:val="DefaultParagraphFont"/>
    <w:rsid w:val="00922FEB"/>
  </w:style>
  <w:style w:type="character" w:styleId="PageNumber">
    <w:name w:val="page number"/>
    <w:basedOn w:val="DefaultParagraphFont"/>
    <w:rsid w:val="00922FEB"/>
  </w:style>
  <w:style w:type="character" w:customStyle="1" w:styleId="docblue">
    <w:name w:val="doc_blue"/>
    <w:basedOn w:val="DefaultParagraphFont"/>
    <w:rsid w:val="00922FEB"/>
  </w:style>
  <w:style w:type="character" w:customStyle="1" w:styleId="docbody">
    <w:name w:val="doc_body"/>
    <w:basedOn w:val="DefaultParagraphFont"/>
    <w:rsid w:val="00922FEB"/>
  </w:style>
  <w:style w:type="character" w:customStyle="1" w:styleId="docred">
    <w:name w:val="doc_red"/>
    <w:basedOn w:val="DefaultParagraphFont"/>
    <w:rsid w:val="00922FEB"/>
  </w:style>
  <w:style w:type="character" w:styleId="CommentReference">
    <w:name w:val="annotation reference"/>
    <w:basedOn w:val="DefaultParagraphFont"/>
    <w:uiPriority w:val="99"/>
    <w:semiHidden/>
    <w:unhideWhenUsed/>
    <w:rsid w:val="00922FEB"/>
    <w:rPr>
      <w:sz w:val="16"/>
      <w:szCs w:val="16"/>
    </w:rPr>
  </w:style>
  <w:style w:type="paragraph" w:styleId="CommentText">
    <w:name w:val="annotation text"/>
    <w:basedOn w:val="Normal"/>
    <w:link w:val="CommentTextChar"/>
    <w:uiPriority w:val="99"/>
    <w:semiHidden/>
    <w:unhideWhenUsed/>
    <w:rsid w:val="00922FEB"/>
    <w:pPr>
      <w:spacing w:after="200" w:line="240" w:lineRule="auto"/>
    </w:pPr>
    <w:rPr>
      <w:kern w:val="0"/>
      <w:sz w:val="20"/>
      <w:szCs w:val="20"/>
      <w:lang w:val="ro-RO"/>
      <w14:ligatures w14:val="none"/>
    </w:rPr>
  </w:style>
  <w:style w:type="character" w:customStyle="1" w:styleId="CommentTextChar">
    <w:name w:val="Comment Text Char"/>
    <w:basedOn w:val="DefaultParagraphFont"/>
    <w:link w:val="CommentText"/>
    <w:uiPriority w:val="99"/>
    <w:semiHidden/>
    <w:rsid w:val="00922FEB"/>
    <w:rPr>
      <w:kern w:val="0"/>
      <w:sz w:val="20"/>
      <w:szCs w:val="20"/>
      <w:lang w:val="ro-RO"/>
      <w14:ligatures w14:val="none"/>
    </w:rPr>
  </w:style>
  <w:style w:type="paragraph" w:styleId="CommentSubject">
    <w:name w:val="annotation subject"/>
    <w:basedOn w:val="CommentText"/>
    <w:next w:val="CommentText"/>
    <w:link w:val="CommentSubjectChar"/>
    <w:uiPriority w:val="99"/>
    <w:semiHidden/>
    <w:unhideWhenUsed/>
    <w:rsid w:val="00922FEB"/>
    <w:rPr>
      <w:b/>
      <w:bCs/>
    </w:rPr>
  </w:style>
  <w:style w:type="character" w:customStyle="1" w:styleId="CommentSubjectChar">
    <w:name w:val="Comment Subject Char"/>
    <w:basedOn w:val="CommentTextChar"/>
    <w:link w:val="CommentSubject"/>
    <w:uiPriority w:val="99"/>
    <w:semiHidden/>
    <w:rsid w:val="00922FEB"/>
    <w:rPr>
      <w:b/>
      <w:bCs/>
      <w:kern w:val="0"/>
      <w:sz w:val="20"/>
      <w:szCs w:val="20"/>
      <w:lang w:val="ro-RO"/>
      <w14:ligatures w14:val="none"/>
    </w:rPr>
  </w:style>
  <w:style w:type="paragraph" w:styleId="BalloonText">
    <w:name w:val="Balloon Text"/>
    <w:basedOn w:val="Normal"/>
    <w:link w:val="BalloonTextChar"/>
    <w:uiPriority w:val="99"/>
    <w:semiHidden/>
    <w:unhideWhenUsed/>
    <w:rsid w:val="00922FEB"/>
    <w:pPr>
      <w:spacing w:after="0" w:line="240" w:lineRule="auto"/>
    </w:pPr>
    <w:rPr>
      <w:rFonts w:ascii="Tahoma" w:hAnsi="Tahoma" w:cs="Tahoma"/>
      <w:kern w:val="0"/>
      <w:sz w:val="16"/>
      <w:szCs w:val="16"/>
      <w:lang w:val="ro-RO"/>
      <w14:ligatures w14:val="none"/>
    </w:rPr>
  </w:style>
  <w:style w:type="character" w:customStyle="1" w:styleId="BalloonTextChar">
    <w:name w:val="Balloon Text Char"/>
    <w:basedOn w:val="DefaultParagraphFont"/>
    <w:link w:val="BalloonText"/>
    <w:uiPriority w:val="99"/>
    <w:semiHidden/>
    <w:rsid w:val="00922FEB"/>
    <w:rPr>
      <w:rFonts w:ascii="Tahoma" w:hAnsi="Tahoma" w:cs="Tahoma"/>
      <w:kern w:val="0"/>
      <w:sz w:val="16"/>
      <w:szCs w:val="16"/>
      <w:lang w:val="ro-RO"/>
      <w14:ligatures w14:val="none"/>
    </w:rPr>
  </w:style>
  <w:style w:type="character" w:styleId="Strong">
    <w:name w:val="Strong"/>
    <w:basedOn w:val="DefaultParagraphFont"/>
    <w:uiPriority w:val="22"/>
    <w:qFormat/>
    <w:rsid w:val="00922FEB"/>
    <w:rPr>
      <w:b/>
      <w:bCs/>
    </w:rPr>
  </w:style>
  <w:style w:type="character" w:customStyle="1" w:styleId="docheader">
    <w:name w:val="doc_header"/>
    <w:basedOn w:val="DefaultParagraphFont"/>
    <w:rsid w:val="00922FEB"/>
  </w:style>
  <w:style w:type="paragraph" w:customStyle="1" w:styleId="ColorfulList-Accent11">
    <w:name w:val="Colorful List - Accent 11"/>
    <w:basedOn w:val="Normal"/>
    <w:uiPriority w:val="34"/>
    <w:qFormat/>
    <w:rsid w:val="00922FEB"/>
    <w:pPr>
      <w:spacing w:after="200" w:line="276" w:lineRule="auto"/>
      <w:ind w:left="720"/>
      <w:contextualSpacing/>
    </w:pPr>
    <w:rPr>
      <w:rFonts w:ascii="Calibri" w:eastAsia="Calibri" w:hAnsi="Calibri" w:cs="Times New Roman"/>
      <w:kern w:val="0"/>
      <w14:ligatures w14:val="none"/>
    </w:rPr>
  </w:style>
  <w:style w:type="character" w:customStyle="1" w:styleId="hps">
    <w:name w:val="hps"/>
    <w:rsid w:val="00922FEB"/>
  </w:style>
  <w:style w:type="paragraph" w:customStyle="1" w:styleId="MediumGrid1-Accent21">
    <w:name w:val="Medium Grid 1 - Accent 21"/>
    <w:basedOn w:val="Normal"/>
    <w:uiPriority w:val="34"/>
    <w:qFormat/>
    <w:rsid w:val="00922FEB"/>
    <w:pPr>
      <w:ind w:left="720"/>
      <w:contextualSpacing/>
    </w:pPr>
    <w:rPr>
      <w:rFonts w:ascii="Times New Roman" w:eastAsia="Calibri" w:hAnsi="Times New Roman" w:cs="Times New Roman"/>
      <w:color w:val="000000"/>
      <w:kern w:val="0"/>
      <w:sz w:val="24"/>
      <w14:ligatures w14:val="none"/>
    </w:rPr>
  </w:style>
  <w:style w:type="character" w:styleId="UnresolvedMention">
    <w:name w:val="Unresolved Mention"/>
    <w:basedOn w:val="DefaultParagraphFont"/>
    <w:uiPriority w:val="99"/>
    <w:semiHidden/>
    <w:unhideWhenUsed/>
    <w:rsid w:val="00922FEB"/>
    <w:rPr>
      <w:color w:val="605E5C"/>
      <w:shd w:val="clear" w:color="auto" w:fill="E1DFDD"/>
    </w:rPr>
  </w:style>
  <w:style w:type="character" w:styleId="Hyperlink">
    <w:name w:val="Hyperlink"/>
    <w:basedOn w:val="DefaultParagraphFont"/>
    <w:uiPriority w:val="99"/>
    <w:unhideWhenUsed/>
    <w:rsid w:val="00922FEB"/>
    <w:rPr>
      <w:color w:val="0563C1" w:themeColor="hyperlink"/>
      <w:u w:val="single"/>
    </w:rPr>
  </w:style>
  <w:style w:type="character" w:styleId="FollowedHyperlink">
    <w:name w:val="FollowedHyperlink"/>
    <w:basedOn w:val="DefaultParagraphFont"/>
    <w:uiPriority w:val="99"/>
    <w:semiHidden/>
    <w:unhideWhenUsed/>
    <w:rsid w:val="00922FEB"/>
    <w:rPr>
      <w:color w:val="954F72" w:themeColor="followedHyperlink"/>
      <w:u w:val="single"/>
    </w:rPr>
  </w:style>
  <w:style w:type="paragraph" w:styleId="BodyText">
    <w:name w:val="Body Text"/>
    <w:basedOn w:val="Normal"/>
    <w:link w:val="BodyTextChar"/>
    <w:uiPriority w:val="1"/>
    <w:qFormat/>
    <w:rsid w:val="00996667"/>
    <w:pPr>
      <w:widowControl w:val="0"/>
      <w:autoSpaceDE w:val="0"/>
      <w:autoSpaceDN w:val="0"/>
      <w:spacing w:after="0" w:line="240" w:lineRule="auto"/>
      <w:ind w:left="744" w:hanging="361"/>
      <w:jc w:val="both"/>
    </w:pPr>
    <w:rPr>
      <w:rFonts w:ascii="Calibri" w:eastAsia="Calibri" w:hAnsi="Calibri" w:cs="Calibri"/>
      <w:kern w:val="0"/>
      <w:sz w:val="24"/>
      <w:szCs w:val="24"/>
      <w:lang w:val="sq-AL"/>
      <w14:ligatures w14:val="none"/>
    </w:rPr>
  </w:style>
  <w:style w:type="character" w:customStyle="1" w:styleId="BodyTextChar">
    <w:name w:val="Body Text Char"/>
    <w:basedOn w:val="DefaultParagraphFont"/>
    <w:link w:val="BodyText"/>
    <w:uiPriority w:val="1"/>
    <w:rsid w:val="00996667"/>
    <w:rPr>
      <w:rFonts w:ascii="Calibri" w:eastAsia="Calibri" w:hAnsi="Calibri" w:cs="Calibri"/>
      <w:kern w:val="0"/>
      <w:sz w:val="24"/>
      <w:szCs w:val="24"/>
      <w:lang w:val="sq-AL"/>
      <w14:ligatures w14:val="none"/>
    </w:rPr>
  </w:style>
  <w:style w:type="character" w:styleId="Emphasis">
    <w:name w:val="Emphasis"/>
    <w:basedOn w:val="DefaultParagraphFont"/>
    <w:uiPriority w:val="20"/>
    <w:qFormat/>
    <w:rsid w:val="001024E6"/>
    <w:rPr>
      <w:i/>
      <w:iCs/>
    </w:rPr>
  </w:style>
  <w:style w:type="character" w:customStyle="1" w:styleId="Heading3Char">
    <w:name w:val="Heading 3 Char"/>
    <w:basedOn w:val="DefaultParagraphFont"/>
    <w:link w:val="Heading3"/>
    <w:uiPriority w:val="9"/>
    <w:rsid w:val="00E519B9"/>
    <w:rPr>
      <w:rFonts w:ascii="Times New Roman" w:eastAsia="Times New Roman" w:hAnsi="Times New Roman" w:cs="Times New Roman"/>
      <w:b/>
      <w:bCs/>
      <w:kern w:val="0"/>
      <w:sz w:val="27"/>
      <w:szCs w:val="27"/>
      <w14:ligatures w14:val="none"/>
    </w:rPr>
  </w:style>
  <w:style w:type="character" w:customStyle="1" w:styleId="Heading1Char">
    <w:name w:val="Heading 1 Char"/>
    <w:basedOn w:val="DefaultParagraphFont"/>
    <w:link w:val="Heading1"/>
    <w:uiPriority w:val="9"/>
    <w:rsid w:val="009D64A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D64A3"/>
    <w:pPr>
      <w:outlineLvl w:val="9"/>
    </w:pPr>
    <w:rPr>
      <w:kern w:val="0"/>
      <w14:ligatures w14:val="none"/>
    </w:rPr>
  </w:style>
  <w:style w:type="paragraph" w:styleId="TOC3">
    <w:name w:val="toc 3"/>
    <w:basedOn w:val="Normal"/>
    <w:next w:val="Normal"/>
    <w:autoRedefine/>
    <w:uiPriority w:val="39"/>
    <w:unhideWhenUsed/>
    <w:rsid w:val="009D64A3"/>
    <w:pPr>
      <w:spacing w:after="100"/>
      <w:ind w:left="440"/>
    </w:pPr>
  </w:style>
  <w:style w:type="character" w:customStyle="1" w:styleId="Heading2Char">
    <w:name w:val="Heading 2 Char"/>
    <w:basedOn w:val="DefaultParagraphFont"/>
    <w:link w:val="Heading2"/>
    <w:uiPriority w:val="9"/>
    <w:rsid w:val="00242D3A"/>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415BDC"/>
    <w:pPr>
      <w:spacing w:after="100"/>
    </w:pPr>
  </w:style>
  <w:style w:type="paragraph" w:styleId="TOC2">
    <w:name w:val="toc 2"/>
    <w:basedOn w:val="Normal"/>
    <w:next w:val="Normal"/>
    <w:autoRedefine/>
    <w:uiPriority w:val="39"/>
    <w:unhideWhenUsed/>
    <w:rsid w:val="00415BDC"/>
    <w:pPr>
      <w:spacing w:after="100"/>
      <w:ind w:left="220"/>
    </w:pPr>
  </w:style>
  <w:style w:type="paragraph" w:styleId="TOC4">
    <w:name w:val="toc 4"/>
    <w:basedOn w:val="Normal"/>
    <w:next w:val="Normal"/>
    <w:autoRedefine/>
    <w:uiPriority w:val="39"/>
    <w:unhideWhenUsed/>
    <w:rsid w:val="00415BDC"/>
    <w:pPr>
      <w:spacing w:after="100"/>
      <w:ind w:left="660"/>
    </w:pPr>
    <w:rPr>
      <w:rFonts w:eastAsiaTheme="minorEastAsia"/>
      <w:kern w:val="0"/>
      <w14:ligatures w14:val="none"/>
    </w:rPr>
  </w:style>
  <w:style w:type="paragraph" w:styleId="TOC5">
    <w:name w:val="toc 5"/>
    <w:basedOn w:val="Normal"/>
    <w:next w:val="Normal"/>
    <w:autoRedefine/>
    <w:uiPriority w:val="39"/>
    <w:unhideWhenUsed/>
    <w:rsid w:val="00415BDC"/>
    <w:pPr>
      <w:spacing w:after="100"/>
      <w:ind w:left="880"/>
    </w:pPr>
    <w:rPr>
      <w:rFonts w:eastAsiaTheme="minorEastAsia"/>
      <w:kern w:val="0"/>
      <w14:ligatures w14:val="none"/>
    </w:rPr>
  </w:style>
  <w:style w:type="paragraph" w:styleId="TOC6">
    <w:name w:val="toc 6"/>
    <w:basedOn w:val="Normal"/>
    <w:next w:val="Normal"/>
    <w:autoRedefine/>
    <w:uiPriority w:val="39"/>
    <w:unhideWhenUsed/>
    <w:rsid w:val="00415BDC"/>
    <w:pPr>
      <w:spacing w:after="100"/>
      <w:ind w:left="1100"/>
    </w:pPr>
    <w:rPr>
      <w:rFonts w:eastAsiaTheme="minorEastAsia"/>
      <w:kern w:val="0"/>
      <w14:ligatures w14:val="none"/>
    </w:rPr>
  </w:style>
  <w:style w:type="paragraph" w:styleId="TOC7">
    <w:name w:val="toc 7"/>
    <w:basedOn w:val="Normal"/>
    <w:next w:val="Normal"/>
    <w:autoRedefine/>
    <w:uiPriority w:val="39"/>
    <w:unhideWhenUsed/>
    <w:rsid w:val="00415BDC"/>
    <w:pPr>
      <w:spacing w:after="100"/>
      <w:ind w:left="1320"/>
    </w:pPr>
    <w:rPr>
      <w:rFonts w:eastAsiaTheme="minorEastAsia"/>
      <w:kern w:val="0"/>
      <w14:ligatures w14:val="none"/>
    </w:rPr>
  </w:style>
  <w:style w:type="paragraph" w:styleId="TOC8">
    <w:name w:val="toc 8"/>
    <w:basedOn w:val="Normal"/>
    <w:next w:val="Normal"/>
    <w:autoRedefine/>
    <w:uiPriority w:val="39"/>
    <w:unhideWhenUsed/>
    <w:rsid w:val="00415BDC"/>
    <w:pPr>
      <w:spacing w:after="100"/>
      <w:ind w:left="1540"/>
    </w:pPr>
    <w:rPr>
      <w:rFonts w:eastAsiaTheme="minorEastAsia"/>
      <w:kern w:val="0"/>
      <w14:ligatures w14:val="none"/>
    </w:rPr>
  </w:style>
  <w:style w:type="paragraph" w:styleId="TOC9">
    <w:name w:val="toc 9"/>
    <w:basedOn w:val="Normal"/>
    <w:next w:val="Normal"/>
    <w:autoRedefine/>
    <w:uiPriority w:val="39"/>
    <w:unhideWhenUsed/>
    <w:rsid w:val="00415BDC"/>
    <w:pPr>
      <w:spacing w:after="100"/>
      <w:ind w:left="1760"/>
    </w:pPr>
    <w:rPr>
      <w:rFonts w:eastAsiaTheme="minorEastAsia"/>
      <w:kern w:val="0"/>
      <w14:ligatures w14:val="none"/>
    </w:rPr>
  </w:style>
  <w:style w:type="paragraph" w:styleId="Header">
    <w:name w:val="header"/>
    <w:basedOn w:val="Normal"/>
    <w:link w:val="HeaderChar"/>
    <w:uiPriority w:val="99"/>
    <w:unhideWhenUsed/>
    <w:rsid w:val="00A106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6AB"/>
  </w:style>
  <w:style w:type="paragraph" w:styleId="Footer">
    <w:name w:val="footer"/>
    <w:basedOn w:val="Normal"/>
    <w:link w:val="FooterChar"/>
    <w:uiPriority w:val="99"/>
    <w:unhideWhenUsed/>
    <w:rsid w:val="00A106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6AB"/>
  </w:style>
  <w:style w:type="paragraph" w:styleId="Revision">
    <w:name w:val="Revision"/>
    <w:hidden/>
    <w:uiPriority w:val="99"/>
    <w:semiHidden/>
    <w:rsid w:val="00E16CE2"/>
    <w:pPr>
      <w:spacing w:after="0" w:line="240" w:lineRule="auto"/>
    </w:pPr>
  </w:style>
  <w:style w:type="character" w:customStyle="1" w:styleId="citation-7073">
    <w:name w:val="citation-7073"/>
    <w:basedOn w:val="DefaultParagraphFont"/>
    <w:rsid w:val="008049CC"/>
  </w:style>
  <w:style w:type="character" w:customStyle="1" w:styleId="citation-7071">
    <w:name w:val="citation-7071"/>
    <w:basedOn w:val="DefaultParagraphFont"/>
    <w:rsid w:val="008049CC"/>
  </w:style>
  <w:style w:type="character" w:customStyle="1" w:styleId="citation-7070">
    <w:name w:val="citation-7070"/>
    <w:basedOn w:val="DefaultParagraphFont"/>
    <w:rsid w:val="008049CC"/>
  </w:style>
  <w:style w:type="character" w:customStyle="1" w:styleId="citation-7069">
    <w:name w:val="citation-7069"/>
    <w:basedOn w:val="DefaultParagraphFont"/>
    <w:rsid w:val="008049CC"/>
  </w:style>
  <w:style w:type="character" w:customStyle="1" w:styleId="citation-7068">
    <w:name w:val="citation-7068"/>
    <w:basedOn w:val="DefaultParagraphFont"/>
    <w:rsid w:val="008049CC"/>
  </w:style>
  <w:style w:type="character" w:customStyle="1" w:styleId="citation-7066">
    <w:name w:val="citation-7066"/>
    <w:basedOn w:val="DefaultParagraphFont"/>
    <w:rsid w:val="008049CC"/>
  </w:style>
  <w:style w:type="character" w:customStyle="1" w:styleId="citation-7064">
    <w:name w:val="citation-7064"/>
    <w:basedOn w:val="DefaultParagraphFont"/>
    <w:rsid w:val="008049CC"/>
  </w:style>
  <w:style w:type="character" w:customStyle="1" w:styleId="citation-7063">
    <w:name w:val="citation-7063"/>
    <w:basedOn w:val="DefaultParagraphFont"/>
    <w:rsid w:val="008049CC"/>
  </w:style>
  <w:style w:type="character" w:customStyle="1" w:styleId="citation-7060">
    <w:name w:val="citation-7060"/>
    <w:basedOn w:val="DefaultParagraphFont"/>
    <w:rsid w:val="008049CC"/>
  </w:style>
  <w:style w:type="character" w:customStyle="1" w:styleId="citation-7058">
    <w:name w:val="citation-7058"/>
    <w:basedOn w:val="DefaultParagraphFont"/>
    <w:rsid w:val="008049CC"/>
  </w:style>
  <w:style w:type="character" w:customStyle="1" w:styleId="citation-7056">
    <w:name w:val="citation-7056"/>
    <w:basedOn w:val="DefaultParagraphFont"/>
    <w:rsid w:val="008049CC"/>
  </w:style>
  <w:style w:type="character" w:customStyle="1" w:styleId="citation-7054">
    <w:name w:val="citation-7054"/>
    <w:basedOn w:val="DefaultParagraphFont"/>
    <w:rsid w:val="008049CC"/>
  </w:style>
  <w:style w:type="character" w:customStyle="1" w:styleId="citation-7052">
    <w:name w:val="citation-7052"/>
    <w:basedOn w:val="DefaultParagraphFont"/>
    <w:rsid w:val="008049CC"/>
  </w:style>
  <w:style w:type="character" w:customStyle="1" w:styleId="citation-7050">
    <w:name w:val="citation-7050"/>
    <w:basedOn w:val="DefaultParagraphFont"/>
    <w:rsid w:val="008049CC"/>
  </w:style>
  <w:style w:type="character" w:customStyle="1" w:styleId="citation-7048">
    <w:name w:val="citation-7048"/>
    <w:basedOn w:val="DefaultParagraphFont"/>
    <w:rsid w:val="008049CC"/>
  </w:style>
  <w:style w:type="character" w:customStyle="1" w:styleId="citation-7046">
    <w:name w:val="citation-7046"/>
    <w:basedOn w:val="DefaultParagraphFont"/>
    <w:rsid w:val="008049CC"/>
  </w:style>
  <w:style w:type="character" w:customStyle="1" w:styleId="citation-7045">
    <w:name w:val="citation-7045"/>
    <w:basedOn w:val="DefaultParagraphFont"/>
    <w:rsid w:val="008049CC"/>
  </w:style>
  <w:style w:type="character" w:customStyle="1" w:styleId="citation-7043">
    <w:name w:val="citation-7043"/>
    <w:basedOn w:val="DefaultParagraphFont"/>
    <w:rsid w:val="008049CC"/>
  </w:style>
  <w:style w:type="character" w:customStyle="1" w:styleId="citation-7041">
    <w:name w:val="citation-7041"/>
    <w:basedOn w:val="DefaultParagraphFont"/>
    <w:rsid w:val="008049CC"/>
  </w:style>
  <w:style w:type="character" w:customStyle="1" w:styleId="citation-7039">
    <w:name w:val="citation-7039"/>
    <w:basedOn w:val="DefaultParagraphFont"/>
    <w:rsid w:val="008049CC"/>
  </w:style>
  <w:style w:type="character" w:customStyle="1" w:styleId="citation-7037">
    <w:name w:val="citation-7037"/>
    <w:basedOn w:val="DefaultParagraphFont"/>
    <w:rsid w:val="008049CC"/>
  </w:style>
  <w:style w:type="character" w:customStyle="1" w:styleId="citation-7036">
    <w:name w:val="citation-7036"/>
    <w:basedOn w:val="DefaultParagraphFont"/>
    <w:rsid w:val="008049CC"/>
  </w:style>
  <w:style w:type="character" w:customStyle="1" w:styleId="citation-7035">
    <w:name w:val="citation-7035"/>
    <w:basedOn w:val="DefaultParagraphFont"/>
    <w:rsid w:val="008049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80504">
      <w:bodyDiv w:val="1"/>
      <w:marLeft w:val="0"/>
      <w:marRight w:val="0"/>
      <w:marTop w:val="0"/>
      <w:marBottom w:val="0"/>
      <w:divBdr>
        <w:top w:val="none" w:sz="0" w:space="0" w:color="auto"/>
        <w:left w:val="none" w:sz="0" w:space="0" w:color="auto"/>
        <w:bottom w:val="none" w:sz="0" w:space="0" w:color="auto"/>
        <w:right w:val="none" w:sz="0" w:space="0" w:color="auto"/>
      </w:divBdr>
    </w:div>
    <w:div w:id="69619284">
      <w:bodyDiv w:val="1"/>
      <w:marLeft w:val="0"/>
      <w:marRight w:val="0"/>
      <w:marTop w:val="0"/>
      <w:marBottom w:val="0"/>
      <w:divBdr>
        <w:top w:val="none" w:sz="0" w:space="0" w:color="auto"/>
        <w:left w:val="none" w:sz="0" w:space="0" w:color="auto"/>
        <w:bottom w:val="none" w:sz="0" w:space="0" w:color="auto"/>
        <w:right w:val="none" w:sz="0" w:space="0" w:color="auto"/>
      </w:divBdr>
    </w:div>
    <w:div w:id="95175758">
      <w:bodyDiv w:val="1"/>
      <w:marLeft w:val="0"/>
      <w:marRight w:val="0"/>
      <w:marTop w:val="0"/>
      <w:marBottom w:val="0"/>
      <w:divBdr>
        <w:top w:val="none" w:sz="0" w:space="0" w:color="auto"/>
        <w:left w:val="none" w:sz="0" w:space="0" w:color="auto"/>
        <w:bottom w:val="none" w:sz="0" w:space="0" w:color="auto"/>
        <w:right w:val="none" w:sz="0" w:space="0" w:color="auto"/>
      </w:divBdr>
    </w:div>
    <w:div w:id="113450903">
      <w:bodyDiv w:val="1"/>
      <w:marLeft w:val="0"/>
      <w:marRight w:val="0"/>
      <w:marTop w:val="0"/>
      <w:marBottom w:val="0"/>
      <w:divBdr>
        <w:top w:val="none" w:sz="0" w:space="0" w:color="auto"/>
        <w:left w:val="none" w:sz="0" w:space="0" w:color="auto"/>
        <w:bottom w:val="none" w:sz="0" w:space="0" w:color="auto"/>
        <w:right w:val="none" w:sz="0" w:space="0" w:color="auto"/>
      </w:divBdr>
    </w:div>
    <w:div w:id="114913414">
      <w:bodyDiv w:val="1"/>
      <w:marLeft w:val="0"/>
      <w:marRight w:val="0"/>
      <w:marTop w:val="0"/>
      <w:marBottom w:val="0"/>
      <w:divBdr>
        <w:top w:val="none" w:sz="0" w:space="0" w:color="auto"/>
        <w:left w:val="none" w:sz="0" w:space="0" w:color="auto"/>
        <w:bottom w:val="none" w:sz="0" w:space="0" w:color="auto"/>
        <w:right w:val="none" w:sz="0" w:space="0" w:color="auto"/>
      </w:divBdr>
    </w:div>
    <w:div w:id="146748648">
      <w:bodyDiv w:val="1"/>
      <w:marLeft w:val="0"/>
      <w:marRight w:val="0"/>
      <w:marTop w:val="0"/>
      <w:marBottom w:val="0"/>
      <w:divBdr>
        <w:top w:val="none" w:sz="0" w:space="0" w:color="auto"/>
        <w:left w:val="none" w:sz="0" w:space="0" w:color="auto"/>
        <w:bottom w:val="none" w:sz="0" w:space="0" w:color="auto"/>
        <w:right w:val="none" w:sz="0" w:space="0" w:color="auto"/>
      </w:divBdr>
    </w:div>
    <w:div w:id="155149104">
      <w:bodyDiv w:val="1"/>
      <w:marLeft w:val="0"/>
      <w:marRight w:val="0"/>
      <w:marTop w:val="0"/>
      <w:marBottom w:val="0"/>
      <w:divBdr>
        <w:top w:val="none" w:sz="0" w:space="0" w:color="auto"/>
        <w:left w:val="none" w:sz="0" w:space="0" w:color="auto"/>
        <w:bottom w:val="none" w:sz="0" w:space="0" w:color="auto"/>
        <w:right w:val="none" w:sz="0" w:space="0" w:color="auto"/>
      </w:divBdr>
    </w:div>
    <w:div w:id="194972149">
      <w:bodyDiv w:val="1"/>
      <w:marLeft w:val="0"/>
      <w:marRight w:val="0"/>
      <w:marTop w:val="0"/>
      <w:marBottom w:val="0"/>
      <w:divBdr>
        <w:top w:val="none" w:sz="0" w:space="0" w:color="auto"/>
        <w:left w:val="none" w:sz="0" w:space="0" w:color="auto"/>
        <w:bottom w:val="none" w:sz="0" w:space="0" w:color="auto"/>
        <w:right w:val="none" w:sz="0" w:space="0" w:color="auto"/>
      </w:divBdr>
    </w:div>
    <w:div w:id="207491911">
      <w:bodyDiv w:val="1"/>
      <w:marLeft w:val="0"/>
      <w:marRight w:val="0"/>
      <w:marTop w:val="0"/>
      <w:marBottom w:val="0"/>
      <w:divBdr>
        <w:top w:val="none" w:sz="0" w:space="0" w:color="auto"/>
        <w:left w:val="none" w:sz="0" w:space="0" w:color="auto"/>
        <w:bottom w:val="none" w:sz="0" w:space="0" w:color="auto"/>
        <w:right w:val="none" w:sz="0" w:space="0" w:color="auto"/>
      </w:divBdr>
    </w:div>
    <w:div w:id="235287955">
      <w:bodyDiv w:val="1"/>
      <w:marLeft w:val="0"/>
      <w:marRight w:val="0"/>
      <w:marTop w:val="0"/>
      <w:marBottom w:val="0"/>
      <w:divBdr>
        <w:top w:val="none" w:sz="0" w:space="0" w:color="auto"/>
        <w:left w:val="none" w:sz="0" w:space="0" w:color="auto"/>
        <w:bottom w:val="none" w:sz="0" w:space="0" w:color="auto"/>
        <w:right w:val="none" w:sz="0" w:space="0" w:color="auto"/>
      </w:divBdr>
    </w:div>
    <w:div w:id="339358952">
      <w:bodyDiv w:val="1"/>
      <w:marLeft w:val="0"/>
      <w:marRight w:val="0"/>
      <w:marTop w:val="0"/>
      <w:marBottom w:val="0"/>
      <w:divBdr>
        <w:top w:val="none" w:sz="0" w:space="0" w:color="auto"/>
        <w:left w:val="none" w:sz="0" w:space="0" w:color="auto"/>
        <w:bottom w:val="none" w:sz="0" w:space="0" w:color="auto"/>
        <w:right w:val="none" w:sz="0" w:space="0" w:color="auto"/>
      </w:divBdr>
    </w:div>
    <w:div w:id="347684202">
      <w:bodyDiv w:val="1"/>
      <w:marLeft w:val="0"/>
      <w:marRight w:val="0"/>
      <w:marTop w:val="0"/>
      <w:marBottom w:val="0"/>
      <w:divBdr>
        <w:top w:val="none" w:sz="0" w:space="0" w:color="auto"/>
        <w:left w:val="none" w:sz="0" w:space="0" w:color="auto"/>
        <w:bottom w:val="none" w:sz="0" w:space="0" w:color="auto"/>
        <w:right w:val="none" w:sz="0" w:space="0" w:color="auto"/>
      </w:divBdr>
    </w:div>
    <w:div w:id="382291549">
      <w:bodyDiv w:val="1"/>
      <w:marLeft w:val="0"/>
      <w:marRight w:val="0"/>
      <w:marTop w:val="0"/>
      <w:marBottom w:val="0"/>
      <w:divBdr>
        <w:top w:val="none" w:sz="0" w:space="0" w:color="auto"/>
        <w:left w:val="none" w:sz="0" w:space="0" w:color="auto"/>
        <w:bottom w:val="none" w:sz="0" w:space="0" w:color="auto"/>
        <w:right w:val="none" w:sz="0" w:space="0" w:color="auto"/>
      </w:divBdr>
    </w:div>
    <w:div w:id="407964562">
      <w:bodyDiv w:val="1"/>
      <w:marLeft w:val="0"/>
      <w:marRight w:val="0"/>
      <w:marTop w:val="0"/>
      <w:marBottom w:val="0"/>
      <w:divBdr>
        <w:top w:val="none" w:sz="0" w:space="0" w:color="auto"/>
        <w:left w:val="none" w:sz="0" w:space="0" w:color="auto"/>
        <w:bottom w:val="none" w:sz="0" w:space="0" w:color="auto"/>
        <w:right w:val="none" w:sz="0" w:space="0" w:color="auto"/>
      </w:divBdr>
      <w:divsChild>
        <w:div w:id="887766585">
          <w:marLeft w:val="0"/>
          <w:marRight w:val="0"/>
          <w:marTop w:val="0"/>
          <w:marBottom w:val="0"/>
          <w:divBdr>
            <w:top w:val="none" w:sz="0" w:space="0" w:color="auto"/>
            <w:left w:val="none" w:sz="0" w:space="0" w:color="auto"/>
            <w:bottom w:val="none" w:sz="0" w:space="0" w:color="auto"/>
            <w:right w:val="none" w:sz="0" w:space="0" w:color="auto"/>
          </w:divBdr>
          <w:divsChild>
            <w:div w:id="549146384">
              <w:marLeft w:val="0"/>
              <w:marRight w:val="0"/>
              <w:marTop w:val="0"/>
              <w:marBottom w:val="0"/>
              <w:divBdr>
                <w:top w:val="none" w:sz="0" w:space="0" w:color="auto"/>
                <w:left w:val="none" w:sz="0" w:space="0" w:color="auto"/>
                <w:bottom w:val="none" w:sz="0" w:space="0" w:color="auto"/>
                <w:right w:val="none" w:sz="0" w:space="0" w:color="auto"/>
              </w:divBdr>
              <w:divsChild>
                <w:div w:id="2000036163">
                  <w:marLeft w:val="0"/>
                  <w:marRight w:val="0"/>
                  <w:marTop w:val="0"/>
                  <w:marBottom w:val="0"/>
                  <w:divBdr>
                    <w:top w:val="none" w:sz="0" w:space="0" w:color="auto"/>
                    <w:left w:val="none" w:sz="0" w:space="0" w:color="auto"/>
                    <w:bottom w:val="none" w:sz="0" w:space="0" w:color="auto"/>
                    <w:right w:val="none" w:sz="0" w:space="0" w:color="auto"/>
                  </w:divBdr>
                  <w:divsChild>
                    <w:div w:id="900017271">
                      <w:marLeft w:val="0"/>
                      <w:marRight w:val="0"/>
                      <w:marTop w:val="0"/>
                      <w:marBottom w:val="0"/>
                      <w:divBdr>
                        <w:top w:val="none" w:sz="0" w:space="0" w:color="auto"/>
                        <w:left w:val="none" w:sz="0" w:space="0" w:color="auto"/>
                        <w:bottom w:val="none" w:sz="0" w:space="0" w:color="auto"/>
                        <w:right w:val="none" w:sz="0" w:space="0" w:color="auto"/>
                      </w:divBdr>
                      <w:divsChild>
                        <w:div w:id="703751487">
                          <w:marLeft w:val="0"/>
                          <w:marRight w:val="0"/>
                          <w:marTop w:val="0"/>
                          <w:marBottom w:val="0"/>
                          <w:divBdr>
                            <w:top w:val="none" w:sz="0" w:space="0" w:color="auto"/>
                            <w:left w:val="none" w:sz="0" w:space="0" w:color="auto"/>
                            <w:bottom w:val="none" w:sz="0" w:space="0" w:color="auto"/>
                            <w:right w:val="none" w:sz="0" w:space="0" w:color="auto"/>
                          </w:divBdr>
                          <w:divsChild>
                            <w:div w:id="75886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0822376">
      <w:bodyDiv w:val="1"/>
      <w:marLeft w:val="0"/>
      <w:marRight w:val="0"/>
      <w:marTop w:val="0"/>
      <w:marBottom w:val="0"/>
      <w:divBdr>
        <w:top w:val="none" w:sz="0" w:space="0" w:color="auto"/>
        <w:left w:val="none" w:sz="0" w:space="0" w:color="auto"/>
        <w:bottom w:val="none" w:sz="0" w:space="0" w:color="auto"/>
        <w:right w:val="none" w:sz="0" w:space="0" w:color="auto"/>
      </w:divBdr>
    </w:div>
    <w:div w:id="496269949">
      <w:bodyDiv w:val="1"/>
      <w:marLeft w:val="0"/>
      <w:marRight w:val="0"/>
      <w:marTop w:val="0"/>
      <w:marBottom w:val="0"/>
      <w:divBdr>
        <w:top w:val="none" w:sz="0" w:space="0" w:color="auto"/>
        <w:left w:val="none" w:sz="0" w:space="0" w:color="auto"/>
        <w:bottom w:val="none" w:sz="0" w:space="0" w:color="auto"/>
        <w:right w:val="none" w:sz="0" w:space="0" w:color="auto"/>
      </w:divBdr>
    </w:div>
    <w:div w:id="499928394">
      <w:bodyDiv w:val="1"/>
      <w:marLeft w:val="0"/>
      <w:marRight w:val="0"/>
      <w:marTop w:val="0"/>
      <w:marBottom w:val="0"/>
      <w:divBdr>
        <w:top w:val="none" w:sz="0" w:space="0" w:color="auto"/>
        <w:left w:val="none" w:sz="0" w:space="0" w:color="auto"/>
        <w:bottom w:val="none" w:sz="0" w:space="0" w:color="auto"/>
        <w:right w:val="none" w:sz="0" w:space="0" w:color="auto"/>
      </w:divBdr>
    </w:div>
    <w:div w:id="518545862">
      <w:bodyDiv w:val="1"/>
      <w:marLeft w:val="0"/>
      <w:marRight w:val="0"/>
      <w:marTop w:val="0"/>
      <w:marBottom w:val="0"/>
      <w:divBdr>
        <w:top w:val="none" w:sz="0" w:space="0" w:color="auto"/>
        <w:left w:val="none" w:sz="0" w:space="0" w:color="auto"/>
        <w:bottom w:val="none" w:sz="0" w:space="0" w:color="auto"/>
        <w:right w:val="none" w:sz="0" w:space="0" w:color="auto"/>
      </w:divBdr>
    </w:div>
    <w:div w:id="529226030">
      <w:bodyDiv w:val="1"/>
      <w:marLeft w:val="0"/>
      <w:marRight w:val="0"/>
      <w:marTop w:val="0"/>
      <w:marBottom w:val="0"/>
      <w:divBdr>
        <w:top w:val="none" w:sz="0" w:space="0" w:color="auto"/>
        <w:left w:val="none" w:sz="0" w:space="0" w:color="auto"/>
        <w:bottom w:val="none" w:sz="0" w:space="0" w:color="auto"/>
        <w:right w:val="none" w:sz="0" w:space="0" w:color="auto"/>
      </w:divBdr>
    </w:div>
    <w:div w:id="543761449">
      <w:bodyDiv w:val="1"/>
      <w:marLeft w:val="0"/>
      <w:marRight w:val="0"/>
      <w:marTop w:val="0"/>
      <w:marBottom w:val="0"/>
      <w:divBdr>
        <w:top w:val="none" w:sz="0" w:space="0" w:color="auto"/>
        <w:left w:val="none" w:sz="0" w:space="0" w:color="auto"/>
        <w:bottom w:val="none" w:sz="0" w:space="0" w:color="auto"/>
        <w:right w:val="none" w:sz="0" w:space="0" w:color="auto"/>
      </w:divBdr>
    </w:div>
    <w:div w:id="553078111">
      <w:bodyDiv w:val="1"/>
      <w:marLeft w:val="0"/>
      <w:marRight w:val="0"/>
      <w:marTop w:val="0"/>
      <w:marBottom w:val="0"/>
      <w:divBdr>
        <w:top w:val="none" w:sz="0" w:space="0" w:color="auto"/>
        <w:left w:val="none" w:sz="0" w:space="0" w:color="auto"/>
        <w:bottom w:val="none" w:sz="0" w:space="0" w:color="auto"/>
        <w:right w:val="none" w:sz="0" w:space="0" w:color="auto"/>
      </w:divBdr>
      <w:divsChild>
        <w:div w:id="1117944171">
          <w:marLeft w:val="0"/>
          <w:marRight w:val="0"/>
          <w:marTop w:val="0"/>
          <w:marBottom w:val="0"/>
          <w:divBdr>
            <w:top w:val="none" w:sz="0" w:space="0" w:color="auto"/>
            <w:left w:val="none" w:sz="0" w:space="0" w:color="auto"/>
            <w:bottom w:val="none" w:sz="0" w:space="0" w:color="auto"/>
            <w:right w:val="none" w:sz="0" w:space="0" w:color="auto"/>
          </w:divBdr>
          <w:divsChild>
            <w:div w:id="1278870376">
              <w:marLeft w:val="0"/>
              <w:marRight w:val="0"/>
              <w:marTop w:val="0"/>
              <w:marBottom w:val="0"/>
              <w:divBdr>
                <w:top w:val="none" w:sz="0" w:space="0" w:color="auto"/>
                <w:left w:val="none" w:sz="0" w:space="0" w:color="auto"/>
                <w:bottom w:val="none" w:sz="0" w:space="0" w:color="auto"/>
                <w:right w:val="none" w:sz="0" w:space="0" w:color="auto"/>
              </w:divBdr>
              <w:divsChild>
                <w:div w:id="222720717">
                  <w:marLeft w:val="0"/>
                  <w:marRight w:val="0"/>
                  <w:marTop w:val="0"/>
                  <w:marBottom w:val="0"/>
                  <w:divBdr>
                    <w:top w:val="none" w:sz="0" w:space="0" w:color="auto"/>
                    <w:left w:val="none" w:sz="0" w:space="0" w:color="auto"/>
                    <w:bottom w:val="none" w:sz="0" w:space="0" w:color="auto"/>
                    <w:right w:val="none" w:sz="0" w:space="0" w:color="auto"/>
                  </w:divBdr>
                  <w:divsChild>
                    <w:div w:id="673190547">
                      <w:marLeft w:val="0"/>
                      <w:marRight w:val="0"/>
                      <w:marTop w:val="0"/>
                      <w:marBottom w:val="0"/>
                      <w:divBdr>
                        <w:top w:val="none" w:sz="0" w:space="0" w:color="auto"/>
                        <w:left w:val="none" w:sz="0" w:space="0" w:color="auto"/>
                        <w:bottom w:val="none" w:sz="0" w:space="0" w:color="auto"/>
                        <w:right w:val="none" w:sz="0" w:space="0" w:color="auto"/>
                      </w:divBdr>
                      <w:divsChild>
                        <w:div w:id="291641113">
                          <w:marLeft w:val="0"/>
                          <w:marRight w:val="0"/>
                          <w:marTop w:val="0"/>
                          <w:marBottom w:val="0"/>
                          <w:divBdr>
                            <w:top w:val="none" w:sz="0" w:space="0" w:color="auto"/>
                            <w:left w:val="none" w:sz="0" w:space="0" w:color="auto"/>
                            <w:bottom w:val="none" w:sz="0" w:space="0" w:color="auto"/>
                            <w:right w:val="none" w:sz="0" w:space="0" w:color="auto"/>
                          </w:divBdr>
                          <w:divsChild>
                            <w:div w:id="172009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7107624">
      <w:bodyDiv w:val="1"/>
      <w:marLeft w:val="0"/>
      <w:marRight w:val="0"/>
      <w:marTop w:val="0"/>
      <w:marBottom w:val="0"/>
      <w:divBdr>
        <w:top w:val="none" w:sz="0" w:space="0" w:color="auto"/>
        <w:left w:val="none" w:sz="0" w:space="0" w:color="auto"/>
        <w:bottom w:val="none" w:sz="0" w:space="0" w:color="auto"/>
        <w:right w:val="none" w:sz="0" w:space="0" w:color="auto"/>
      </w:divBdr>
    </w:div>
    <w:div w:id="715273510">
      <w:bodyDiv w:val="1"/>
      <w:marLeft w:val="0"/>
      <w:marRight w:val="0"/>
      <w:marTop w:val="0"/>
      <w:marBottom w:val="0"/>
      <w:divBdr>
        <w:top w:val="none" w:sz="0" w:space="0" w:color="auto"/>
        <w:left w:val="none" w:sz="0" w:space="0" w:color="auto"/>
        <w:bottom w:val="none" w:sz="0" w:space="0" w:color="auto"/>
        <w:right w:val="none" w:sz="0" w:space="0" w:color="auto"/>
      </w:divBdr>
    </w:div>
    <w:div w:id="733892786">
      <w:bodyDiv w:val="1"/>
      <w:marLeft w:val="0"/>
      <w:marRight w:val="0"/>
      <w:marTop w:val="0"/>
      <w:marBottom w:val="0"/>
      <w:divBdr>
        <w:top w:val="none" w:sz="0" w:space="0" w:color="auto"/>
        <w:left w:val="none" w:sz="0" w:space="0" w:color="auto"/>
        <w:bottom w:val="none" w:sz="0" w:space="0" w:color="auto"/>
        <w:right w:val="none" w:sz="0" w:space="0" w:color="auto"/>
      </w:divBdr>
    </w:div>
    <w:div w:id="803501540">
      <w:bodyDiv w:val="1"/>
      <w:marLeft w:val="0"/>
      <w:marRight w:val="0"/>
      <w:marTop w:val="0"/>
      <w:marBottom w:val="0"/>
      <w:divBdr>
        <w:top w:val="none" w:sz="0" w:space="0" w:color="auto"/>
        <w:left w:val="none" w:sz="0" w:space="0" w:color="auto"/>
        <w:bottom w:val="none" w:sz="0" w:space="0" w:color="auto"/>
        <w:right w:val="none" w:sz="0" w:space="0" w:color="auto"/>
      </w:divBdr>
    </w:div>
    <w:div w:id="828062506">
      <w:bodyDiv w:val="1"/>
      <w:marLeft w:val="0"/>
      <w:marRight w:val="0"/>
      <w:marTop w:val="0"/>
      <w:marBottom w:val="0"/>
      <w:divBdr>
        <w:top w:val="none" w:sz="0" w:space="0" w:color="auto"/>
        <w:left w:val="none" w:sz="0" w:space="0" w:color="auto"/>
        <w:bottom w:val="none" w:sz="0" w:space="0" w:color="auto"/>
        <w:right w:val="none" w:sz="0" w:space="0" w:color="auto"/>
      </w:divBdr>
    </w:div>
    <w:div w:id="830098522">
      <w:bodyDiv w:val="1"/>
      <w:marLeft w:val="0"/>
      <w:marRight w:val="0"/>
      <w:marTop w:val="0"/>
      <w:marBottom w:val="0"/>
      <w:divBdr>
        <w:top w:val="none" w:sz="0" w:space="0" w:color="auto"/>
        <w:left w:val="none" w:sz="0" w:space="0" w:color="auto"/>
        <w:bottom w:val="none" w:sz="0" w:space="0" w:color="auto"/>
        <w:right w:val="none" w:sz="0" w:space="0" w:color="auto"/>
      </w:divBdr>
    </w:div>
    <w:div w:id="898327597">
      <w:bodyDiv w:val="1"/>
      <w:marLeft w:val="0"/>
      <w:marRight w:val="0"/>
      <w:marTop w:val="0"/>
      <w:marBottom w:val="0"/>
      <w:divBdr>
        <w:top w:val="none" w:sz="0" w:space="0" w:color="auto"/>
        <w:left w:val="none" w:sz="0" w:space="0" w:color="auto"/>
        <w:bottom w:val="none" w:sz="0" w:space="0" w:color="auto"/>
        <w:right w:val="none" w:sz="0" w:space="0" w:color="auto"/>
      </w:divBdr>
    </w:div>
    <w:div w:id="921182885">
      <w:bodyDiv w:val="1"/>
      <w:marLeft w:val="0"/>
      <w:marRight w:val="0"/>
      <w:marTop w:val="0"/>
      <w:marBottom w:val="0"/>
      <w:divBdr>
        <w:top w:val="none" w:sz="0" w:space="0" w:color="auto"/>
        <w:left w:val="none" w:sz="0" w:space="0" w:color="auto"/>
        <w:bottom w:val="none" w:sz="0" w:space="0" w:color="auto"/>
        <w:right w:val="none" w:sz="0" w:space="0" w:color="auto"/>
      </w:divBdr>
    </w:div>
    <w:div w:id="993531264">
      <w:bodyDiv w:val="1"/>
      <w:marLeft w:val="0"/>
      <w:marRight w:val="0"/>
      <w:marTop w:val="0"/>
      <w:marBottom w:val="0"/>
      <w:divBdr>
        <w:top w:val="none" w:sz="0" w:space="0" w:color="auto"/>
        <w:left w:val="none" w:sz="0" w:space="0" w:color="auto"/>
        <w:bottom w:val="none" w:sz="0" w:space="0" w:color="auto"/>
        <w:right w:val="none" w:sz="0" w:space="0" w:color="auto"/>
      </w:divBdr>
    </w:div>
    <w:div w:id="1095440216">
      <w:bodyDiv w:val="1"/>
      <w:marLeft w:val="0"/>
      <w:marRight w:val="0"/>
      <w:marTop w:val="0"/>
      <w:marBottom w:val="0"/>
      <w:divBdr>
        <w:top w:val="none" w:sz="0" w:space="0" w:color="auto"/>
        <w:left w:val="none" w:sz="0" w:space="0" w:color="auto"/>
        <w:bottom w:val="none" w:sz="0" w:space="0" w:color="auto"/>
        <w:right w:val="none" w:sz="0" w:space="0" w:color="auto"/>
      </w:divBdr>
    </w:div>
    <w:div w:id="1140222321">
      <w:bodyDiv w:val="1"/>
      <w:marLeft w:val="0"/>
      <w:marRight w:val="0"/>
      <w:marTop w:val="0"/>
      <w:marBottom w:val="0"/>
      <w:divBdr>
        <w:top w:val="none" w:sz="0" w:space="0" w:color="auto"/>
        <w:left w:val="none" w:sz="0" w:space="0" w:color="auto"/>
        <w:bottom w:val="none" w:sz="0" w:space="0" w:color="auto"/>
        <w:right w:val="none" w:sz="0" w:space="0" w:color="auto"/>
      </w:divBdr>
    </w:div>
    <w:div w:id="1161002815">
      <w:bodyDiv w:val="1"/>
      <w:marLeft w:val="0"/>
      <w:marRight w:val="0"/>
      <w:marTop w:val="0"/>
      <w:marBottom w:val="0"/>
      <w:divBdr>
        <w:top w:val="none" w:sz="0" w:space="0" w:color="auto"/>
        <w:left w:val="none" w:sz="0" w:space="0" w:color="auto"/>
        <w:bottom w:val="none" w:sz="0" w:space="0" w:color="auto"/>
        <w:right w:val="none" w:sz="0" w:space="0" w:color="auto"/>
      </w:divBdr>
    </w:div>
    <w:div w:id="1187059755">
      <w:bodyDiv w:val="1"/>
      <w:marLeft w:val="0"/>
      <w:marRight w:val="0"/>
      <w:marTop w:val="0"/>
      <w:marBottom w:val="0"/>
      <w:divBdr>
        <w:top w:val="none" w:sz="0" w:space="0" w:color="auto"/>
        <w:left w:val="none" w:sz="0" w:space="0" w:color="auto"/>
        <w:bottom w:val="none" w:sz="0" w:space="0" w:color="auto"/>
        <w:right w:val="none" w:sz="0" w:space="0" w:color="auto"/>
      </w:divBdr>
    </w:div>
    <w:div w:id="1241671191">
      <w:bodyDiv w:val="1"/>
      <w:marLeft w:val="0"/>
      <w:marRight w:val="0"/>
      <w:marTop w:val="0"/>
      <w:marBottom w:val="0"/>
      <w:divBdr>
        <w:top w:val="none" w:sz="0" w:space="0" w:color="auto"/>
        <w:left w:val="none" w:sz="0" w:space="0" w:color="auto"/>
        <w:bottom w:val="none" w:sz="0" w:space="0" w:color="auto"/>
        <w:right w:val="none" w:sz="0" w:space="0" w:color="auto"/>
      </w:divBdr>
    </w:div>
    <w:div w:id="1242134830">
      <w:bodyDiv w:val="1"/>
      <w:marLeft w:val="0"/>
      <w:marRight w:val="0"/>
      <w:marTop w:val="0"/>
      <w:marBottom w:val="0"/>
      <w:divBdr>
        <w:top w:val="none" w:sz="0" w:space="0" w:color="auto"/>
        <w:left w:val="none" w:sz="0" w:space="0" w:color="auto"/>
        <w:bottom w:val="none" w:sz="0" w:space="0" w:color="auto"/>
        <w:right w:val="none" w:sz="0" w:space="0" w:color="auto"/>
      </w:divBdr>
    </w:div>
    <w:div w:id="1291284667">
      <w:bodyDiv w:val="1"/>
      <w:marLeft w:val="0"/>
      <w:marRight w:val="0"/>
      <w:marTop w:val="0"/>
      <w:marBottom w:val="0"/>
      <w:divBdr>
        <w:top w:val="none" w:sz="0" w:space="0" w:color="auto"/>
        <w:left w:val="none" w:sz="0" w:space="0" w:color="auto"/>
        <w:bottom w:val="none" w:sz="0" w:space="0" w:color="auto"/>
        <w:right w:val="none" w:sz="0" w:space="0" w:color="auto"/>
      </w:divBdr>
    </w:div>
    <w:div w:id="1306543237">
      <w:bodyDiv w:val="1"/>
      <w:marLeft w:val="0"/>
      <w:marRight w:val="0"/>
      <w:marTop w:val="0"/>
      <w:marBottom w:val="0"/>
      <w:divBdr>
        <w:top w:val="none" w:sz="0" w:space="0" w:color="auto"/>
        <w:left w:val="none" w:sz="0" w:space="0" w:color="auto"/>
        <w:bottom w:val="none" w:sz="0" w:space="0" w:color="auto"/>
        <w:right w:val="none" w:sz="0" w:space="0" w:color="auto"/>
      </w:divBdr>
    </w:div>
    <w:div w:id="1314067334">
      <w:bodyDiv w:val="1"/>
      <w:marLeft w:val="0"/>
      <w:marRight w:val="0"/>
      <w:marTop w:val="0"/>
      <w:marBottom w:val="0"/>
      <w:divBdr>
        <w:top w:val="none" w:sz="0" w:space="0" w:color="auto"/>
        <w:left w:val="none" w:sz="0" w:space="0" w:color="auto"/>
        <w:bottom w:val="none" w:sz="0" w:space="0" w:color="auto"/>
        <w:right w:val="none" w:sz="0" w:space="0" w:color="auto"/>
      </w:divBdr>
    </w:div>
    <w:div w:id="1345480193">
      <w:bodyDiv w:val="1"/>
      <w:marLeft w:val="0"/>
      <w:marRight w:val="0"/>
      <w:marTop w:val="0"/>
      <w:marBottom w:val="0"/>
      <w:divBdr>
        <w:top w:val="none" w:sz="0" w:space="0" w:color="auto"/>
        <w:left w:val="none" w:sz="0" w:space="0" w:color="auto"/>
        <w:bottom w:val="none" w:sz="0" w:space="0" w:color="auto"/>
        <w:right w:val="none" w:sz="0" w:space="0" w:color="auto"/>
      </w:divBdr>
    </w:div>
    <w:div w:id="1350178023">
      <w:bodyDiv w:val="1"/>
      <w:marLeft w:val="0"/>
      <w:marRight w:val="0"/>
      <w:marTop w:val="0"/>
      <w:marBottom w:val="0"/>
      <w:divBdr>
        <w:top w:val="none" w:sz="0" w:space="0" w:color="auto"/>
        <w:left w:val="none" w:sz="0" w:space="0" w:color="auto"/>
        <w:bottom w:val="none" w:sz="0" w:space="0" w:color="auto"/>
        <w:right w:val="none" w:sz="0" w:space="0" w:color="auto"/>
      </w:divBdr>
    </w:div>
    <w:div w:id="1353609104">
      <w:bodyDiv w:val="1"/>
      <w:marLeft w:val="0"/>
      <w:marRight w:val="0"/>
      <w:marTop w:val="0"/>
      <w:marBottom w:val="0"/>
      <w:divBdr>
        <w:top w:val="none" w:sz="0" w:space="0" w:color="auto"/>
        <w:left w:val="none" w:sz="0" w:space="0" w:color="auto"/>
        <w:bottom w:val="none" w:sz="0" w:space="0" w:color="auto"/>
        <w:right w:val="none" w:sz="0" w:space="0" w:color="auto"/>
      </w:divBdr>
    </w:div>
    <w:div w:id="1412003045">
      <w:bodyDiv w:val="1"/>
      <w:marLeft w:val="0"/>
      <w:marRight w:val="0"/>
      <w:marTop w:val="0"/>
      <w:marBottom w:val="0"/>
      <w:divBdr>
        <w:top w:val="none" w:sz="0" w:space="0" w:color="auto"/>
        <w:left w:val="none" w:sz="0" w:space="0" w:color="auto"/>
        <w:bottom w:val="none" w:sz="0" w:space="0" w:color="auto"/>
        <w:right w:val="none" w:sz="0" w:space="0" w:color="auto"/>
      </w:divBdr>
    </w:div>
    <w:div w:id="1412658986">
      <w:bodyDiv w:val="1"/>
      <w:marLeft w:val="0"/>
      <w:marRight w:val="0"/>
      <w:marTop w:val="0"/>
      <w:marBottom w:val="0"/>
      <w:divBdr>
        <w:top w:val="none" w:sz="0" w:space="0" w:color="auto"/>
        <w:left w:val="none" w:sz="0" w:space="0" w:color="auto"/>
        <w:bottom w:val="none" w:sz="0" w:space="0" w:color="auto"/>
        <w:right w:val="none" w:sz="0" w:space="0" w:color="auto"/>
      </w:divBdr>
    </w:div>
    <w:div w:id="1447651809">
      <w:bodyDiv w:val="1"/>
      <w:marLeft w:val="0"/>
      <w:marRight w:val="0"/>
      <w:marTop w:val="0"/>
      <w:marBottom w:val="0"/>
      <w:divBdr>
        <w:top w:val="none" w:sz="0" w:space="0" w:color="auto"/>
        <w:left w:val="none" w:sz="0" w:space="0" w:color="auto"/>
        <w:bottom w:val="none" w:sz="0" w:space="0" w:color="auto"/>
        <w:right w:val="none" w:sz="0" w:space="0" w:color="auto"/>
      </w:divBdr>
    </w:div>
    <w:div w:id="1480731536">
      <w:bodyDiv w:val="1"/>
      <w:marLeft w:val="0"/>
      <w:marRight w:val="0"/>
      <w:marTop w:val="0"/>
      <w:marBottom w:val="0"/>
      <w:divBdr>
        <w:top w:val="none" w:sz="0" w:space="0" w:color="auto"/>
        <w:left w:val="none" w:sz="0" w:space="0" w:color="auto"/>
        <w:bottom w:val="none" w:sz="0" w:space="0" w:color="auto"/>
        <w:right w:val="none" w:sz="0" w:space="0" w:color="auto"/>
      </w:divBdr>
    </w:div>
    <w:div w:id="1509906064">
      <w:bodyDiv w:val="1"/>
      <w:marLeft w:val="0"/>
      <w:marRight w:val="0"/>
      <w:marTop w:val="0"/>
      <w:marBottom w:val="0"/>
      <w:divBdr>
        <w:top w:val="none" w:sz="0" w:space="0" w:color="auto"/>
        <w:left w:val="none" w:sz="0" w:space="0" w:color="auto"/>
        <w:bottom w:val="none" w:sz="0" w:space="0" w:color="auto"/>
        <w:right w:val="none" w:sz="0" w:space="0" w:color="auto"/>
      </w:divBdr>
    </w:div>
    <w:div w:id="1517159890">
      <w:bodyDiv w:val="1"/>
      <w:marLeft w:val="0"/>
      <w:marRight w:val="0"/>
      <w:marTop w:val="0"/>
      <w:marBottom w:val="0"/>
      <w:divBdr>
        <w:top w:val="none" w:sz="0" w:space="0" w:color="auto"/>
        <w:left w:val="none" w:sz="0" w:space="0" w:color="auto"/>
        <w:bottom w:val="none" w:sz="0" w:space="0" w:color="auto"/>
        <w:right w:val="none" w:sz="0" w:space="0" w:color="auto"/>
      </w:divBdr>
    </w:div>
    <w:div w:id="1556309237">
      <w:bodyDiv w:val="1"/>
      <w:marLeft w:val="0"/>
      <w:marRight w:val="0"/>
      <w:marTop w:val="0"/>
      <w:marBottom w:val="0"/>
      <w:divBdr>
        <w:top w:val="none" w:sz="0" w:space="0" w:color="auto"/>
        <w:left w:val="none" w:sz="0" w:space="0" w:color="auto"/>
        <w:bottom w:val="none" w:sz="0" w:space="0" w:color="auto"/>
        <w:right w:val="none" w:sz="0" w:space="0" w:color="auto"/>
      </w:divBdr>
    </w:div>
    <w:div w:id="1572350277">
      <w:bodyDiv w:val="1"/>
      <w:marLeft w:val="0"/>
      <w:marRight w:val="0"/>
      <w:marTop w:val="0"/>
      <w:marBottom w:val="0"/>
      <w:divBdr>
        <w:top w:val="none" w:sz="0" w:space="0" w:color="auto"/>
        <w:left w:val="none" w:sz="0" w:space="0" w:color="auto"/>
        <w:bottom w:val="none" w:sz="0" w:space="0" w:color="auto"/>
        <w:right w:val="none" w:sz="0" w:space="0" w:color="auto"/>
      </w:divBdr>
    </w:div>
    <w:div w:id="1619413588">
      <w:bodyDiv w:val="1"/>
      <w:marLeft w:val="0"/>
      <w:marRight w:val="0"/>
      <w:marTop w:val="0"/>
      <w:marBottom w:val="0"/>
      <w:divBdr>
        <w:top w:val="none" w:sz="0" w:space="0" w:color="auto"/>
        <w:left w:val="none" w:sz="0" w:space="0" w:color="auto"/>
        <w:bottom w:val="none" w:sz="0" w:space="0" w:color="auto"/>
        <w:right w:val="none" w:sz="0" w:space="0" w:color="auto"/>
      </w:divBdr>
    </w:div>
    <w:div w:id="1655260305">
      <w:bodyDiv w:val="1"/>
      <w:marLeft w:val="0"/>
      <w:marRight w:val="0"/>
      <w:marTop w:val="0"/>
      <w:marBottom w:val="0"/>
      <w:divBdr>
        <w:top w:val="none" w:sz="0" w:space="0" w:color="auto"/>
        <w:left w:val="none" w:sz="0" w:space="0" w:color="auto"/>
        <w:bottom w:val="none" w:sz="0" w:space="0" w:color="auto"/>
        <w:right w:val="none" w:sz="0" w:space="0" w:color="auto"/>
      </w:divBdr>
    </w:div>
    <w:div w:id="1687557172">
      <w:bodyDiv w:val="1"/>
      <w:marLeft w:val="0"/>
      <w:marRight w:val="0"/>
      <w:marTop w:val="0"/>
      <w:marBottom w:val="0"/>
      <w:divBdr>
        <w:top w:val="none" w:sz="0" w:space="0" w:color="auto"/>
        <w:left w:val="none" w:sz="0" w:space="0" w:color="auto"/>
        <w:bottom w:val="none" w:sz="0" w:space="0" w:color="auto"/>
        <w:right w:val="none" w:sz="0" w:space="0" w:color="auto"/>
      </w:divBdr>
    </w:div>
    <w:div w:id="1698117709">
      <w:bodyDiv w:val="1"/>
      <w:marLeft w:val="0"/>
      <w:marRight w:val="0"/>
      <w:marTop w:val="0"/>
      <w:marBottom w:val="0"/>
      <w:divBdr>
        <w:top w:val="none" w:sz="0" w:space="0" w:color="auto"/>
        <w:left w:val="none" w:sz="0" w:space="0" w:color="auto"/>
        <w:bottom w:val="none" w:sz="0" w:space="0" w:color="auto"/>
        <w:right w:val="none" w:sz="0" w:space="0" w:color="auto"/>
      </w:divBdr>
    </w:div>
    <w:div w:id="1703242801">
      <w:bodyDiv w:val="1"/>
      <w:marLeft w:val="0"/>
      <w:marRight w:val="0"/>
      <w:marTop w:val="0"/>
      <w:marBottom w:val="0"/>
      <w:divBdr>
        <w:top w:val="none" w:sz="0" w:space="0" w:color="auto"/>
        <w:left w:val="none" w:sz="0" w:space="0" w:color="auto"/>
        <w:bottom w:val="none" w:sz="0" w:space="0" w:color="auto"/>
        <w:right w:val="none" w:sz="0" w:space="0" w:color="auto"/>
      </w:divBdr>
    </w:div>
    <w:div w:id="1739815359">
      <w:bodyDiv w:val="1"/>
      <w:marLeft w:val="0"/>
      <w:marRight w:val="0"/>
      <w:marTop w:val="0"/>
      <w:marBottom w:val="0"/>
      <w:divBdr>
        <w:top w:val="none" w:sz="0" w:space="0" w:color="auto"/>
        <w:left w:val="none" w:sz="0" w:space="0" w:color="auto"/>
        <w:bottom w:val="none" w:sz="0" w:space="0" w:color="auto"/>
        <w:right w:val="none" w:sz="0" w:space="0" w:color="auto"/>
      </w:divBdr>
    </w:div>
    <w:div w:id="1757826530">
      <w:bodyDiv w:val="1"/>
      <w:marLeft w:val="0"/>
      <w:marRight w:val="0"/>
      <w:marTop w:val="0"/>
      <w:marBottom w:val="0"/>
      <w:divBdr>
        <w:top w:val="none" w:sz="0" w:space="0" w:color="auto"/>
        <w:left w:val="none" w:sz="0" w:space="0" w:color="auto"/>
        <w:bottom w:val="none" w:sz="0" w:space="0" w:color="auto"/>
        <w:right w:val="none" w:sz="0" w:space="0" w:color="auto"/>
      </w:divBdr>
    </w:div>
    <w:div w:id="1777212049">
      <w:bodyDiv w:val="1"/>
      <w:marLeft w:val="0"/>
      <w:marRight w:val="0"/>
      <w:marTop w:val="0"/>
      <w:marBottom w:val="0"/>
      <w:divBdr>
        <w:top w:val="none" w:sz="0" w:space="0" w:color="auto"/>
        <w:left w:val="none" w:sz="0" w:space="0" w:color="auto"/>
        <w:bottom w:val="none" w:sz="0" w:space="0" w:color="auto"/>
        <w:right w:val="none" w:sz="0" w:space="0" w:color="auto"/>
      </w:divBdr>
    </w:div>
    <w:div w:id="1778520623">
      <w:bodyDiv w:val="1"/>
      <w:marLeft w:val="0"/>
      <w:marRight w:val="0"/>
      <w:marTop w:val="0"/>
      <w:marBottom w:val="0"/>
      <w:divBdr>
        <w:top w:val="none" w:sz="0" w:space="0" w:color="auto"/>
        <w:left w:val="none" w:sz="0" w:space="0" w:color="auto"/>
        <w:bottom w:val="none" w:sz="0" w:space="0" w:color="auto"/>
        <w:right w:val="none" w:sz="0" w:space="0" w:color="auto"/>
      </w:divBdr>
    </w:div>
    <w:div w:id="1812282802">
      <w:bodyDiv w:val="1"/>
      <w:marLeft w:val="0"/>
      <w:marRight w:val="0"/>
      <w:marTop w:val="0"/>
      <w:marBottom w:val="0"/>
      <w:divBdr>
        <w:top w:val="none" w:sz="0" w:space="0" w:color="auto"/>
        <w:left w:val="none" w:sz="0" w:space="0" w:color="auto"/>
        <w:bottom w:val="none" w:sz="0" w:space="0" w:color="auto"/>
        <w:right w:val="none" w:sz="0" w:space="0" w:color="auto"/>
      </w:divBdr>
    </w:div>
    <w:div w:id="1825507785">
      <w:bodyDiv w:val="1"/>
      <w:marLeft w:val="0"/>
      <w:marRight w:val="0"/>
      <w:marTop w:val="0"/>
      <w:marBottom w:val="0"/>
      <w:divBdr>
        <w:top w:val="none" w:sz="0" w:space="0" w:color="auto"/>
        <w:left w:val="none" w:sz="0" w:space="0" w:color="auto"/>
        <w:bottom w:val="none" w:sz="0" w:space="0" w:color="auto"/>
        <w:right w:val="none" w:sz="0" w:space="0" w:color="auto"/>
      </w:divBdr>
    </w:div>
    <w:div w:id="1832520206">
      <w:bodyDiv w:val="1"/>
      <w:marLeft w:val="0"/>
      <w:marRight w:val="0"/>
      <w:marTop w:val="0"/>
      <w:marBottom w:val="0"/>
      <w:divBdr>
        <w:top w:val="none" w:sz="0" w:space="0" w:color="auto"/>
        <w:left w:val="none" w:sz="0" w:space="0" w:color="auto"/>
        <w:bottom w:val="none" w:sz="0" w:space="0" w:color="auto"/>
        <w:right w:val="none" w:sz="0" w:space="0" w:color="auto"/>
      </w:divBdr>
    </w:div>
    <w:div w:id="1837921704">
      <w:bodyDiv w:val="1"/>
      <w:marLeft w:val="0"/>
      <w:marRight w:val="0"/>
      <w:marTop w:val="0"/>
      <w:marBottom w:val="0"/>
      <w:divBdr>
        <w:top w:val="none" w:sz="0" w:space="0" w:color="auto"/>
        <w:left w:val="none" w:sz="0" w:space="0" w:color="auto"/>
        <w:bottom w:val="none" w:sz="0" w:space="0" w:color="auto"/>
        <w:right w:val="none" w:sz="0" w:space="0" w:color="auto"/>
      </w:divBdr>
    </w:div>
    <w:div w:id="1842042979">
      <w:bodyDiv w:val="1"/>
      <w:marLeft w:val="0"/>
      <w:marRight w:val="0"/>
      <w:marTop w:val="0"/>
      <w:marBottom w:val="0"/>
      <w:divBdr>
        <w:top w:val="none" w:sz="0" w:space="0" w:color="auto"/>
        <w:left w:val="none" w:sz="0" w:space="0" w:color="auto"/>
        <w:bottom w:val="none" w:sz="0" w:space="0" w:color="auto"/>
        <w:right w:val="none" w:sz="0" w:space="0" w:color="auto"/>
      </w:divBdr>
    </w:div>
    <w:div w:id="1851486084">
      <w:bodyDiv w:val="1"/>
      <w:marLeft w:val="0"/>
      <w:marRight w:val="0"/>
      <w:marTop w:val="0"/>
      <w:marBottom w:val="0"/>
      <w:divBdr>
        <w:top w:val="none" w:sz="0" w:space="0" w:color="auto"/>
        <w:left w:val="none" w:sz="0" w:space="0" w:color="auto"/>
        <w:bottom w:val="none" w:sz="0" w:space="0" w:color="auto"/>
        <w:right w:val="none" w:sz="0" w:space="0" w:color="auto"/>
      </w:divBdr>
    </w:div>
    <w:div w:id="1858230227">
      <w:bodyDiv w:val="1"/>
      <w:marLeft w:val="0"/>
      <w:marRight w:val="0"/>
      <w:marTop w:val="0"/>
      <w:marBottom w:val="0"/>
      <w:divBdr>
        <w:top w:val="none" w:sz="0" w:space="0" w:color="auto"/>
        <w:left w:val="none" w:sz="0" w:space="0" w:color="auto"/>
        <w:bottom w:val="none" w:sz="0" w:space="0" w:color="auto"/>
        <w:right w:val="none" w:sz="0" w:space="0" w:color="auto"/>
      </w:divBdr>
    </w:div>
    <w:div w:id="1868981347">
      <w:bodyDiv w:val="1"/>
      <w:marLeft w:val="0"/>
      <w:marRight w:val="0"/>
      <w:marTop w:val="0"/>
      <w:marBottom w:val="0"/>
      <w:divBdr>
        <w:top w:val="none" w:sz="0" w:space="0" w:color="auto"/>
        <w:left w:val="none" w:sz="0" w:space="0" w:color="auto"/>
        <w:bottom w:val="none" w:sz="0" w:space="0" w:color="auto"/>
        <w:right w:val="none" w:sz="0" w:space="0" w:color="auto"/>
      </w:divBdr>
    </w:div>
    <w:div w:id="1881821959">
      <w:bodyDiv w:val="1"/>
      <w:marLeft w:val="0"/>
      <w:marRight w:val="0"/>
      <w:marTop w:val="0"/>
      <w:marBottom w:val="0"/>
      <w:divBdr>
        <w:top w:val="none" w:sz="0" w:space="0" w:color="auto"/>
        <w:left w:val="none" w:sz="0" w:space="0" w:color="auto"/>
        <w:bottom w:val="none" w:sz="0" w:space="0" w:color="auto"/>
        <w:right w:val="none" w:sz="0" w:space="0" w:color="auto"/>
      </w:divBdr>
    </w:div>
    <w:div w:id="1900827316">
      <w:bodyDiv w:val="1"/>
      <w:marLeft w:val="0"/>
      <w:marRight w:val="0"/>
      <w:marTop w:val="0"/>
      <w:marBottom w:val="0"/>
      <w:divBdr>
        <w:top w:val="none" w:sz="0" w:space="0" w:color="auto"/>
        <w:left w:val="none" w:sz="0" w:space="0" w:color="auto"/>
        <w:bottom w:val="none" w:sz="0" w:space="0" w:color="auto"/>
        <w:right w:val="none" w:sz="0" w:space="0" w:color="auto"/>
      </w:divBdr>
    </w:div>
    <w:div w:id="1914008204">
      <w:bodyDiv w:val="1"/>
      <w:marLeft w:val="0"/>
      <w:marRight w:val="0"/>
      <w:marTop w:val="0"/>
      <w:marBottom w:val="0"/>
      <w:divBdr>
        <w:top w:val="none" w:sz="0" w:space="0" w:color="auto"/>
        <w:left w:val="none" w:sz="0" w:space="0" w:color="auto"/>
        <w:bottom w:val="none" w:sz="0" w:space="0" w:color="auto"/>
        <w:right w:val="none" w:sz="0" w:space="0" w:color="auto"/>
      </w:divBdr>
    </w:div>
    <w:div w:id="1916086223">
      <w:bodyDiv w:val="1"/>
      <w:marLeft w:val="0"/>
      <w:marRight w:val="0"/>
      <w:marTop w:val="0"/>
      <w:marBottom w:val="0"/>
      <w:divBdr>
        <w:top w:val="none" w:sz="0" w:space="0" w:color="auto"/>
        <w:left w:val="none" w:sz="0" w:space="0" w:color="auto"/>
        <w:bottom w:val="none" w:sz="0" w:space="0" w:color="auto"/>
        <w:right w:val="none" w:sz="0" w:space="0" w:color="auto"/>
      </w:divBdr>
    </w:div>
    <w:div w:id="1924025236">
      <w:bodyDiv w:val="1"/>
      <w:marLeft w:val="0"/>
      <w:marRight w:val="0"/>
      <w:marTop w:val="0"/>
      <w:marBottom w:val="0"/>
      <w:divBdr>
        <w:top w:val="none" w:sz="0" w:space="0" w:color="auto"/>
        <w:left w:val="none" w:sz="0" w:space="0" w:color="auto"/>
        <w:bottom w:val="none" w:sz="0" w:space="0" w:color="auto"/>
        <w:right w:val="none" w:sz="0" w:space="0" w:color="auto"/>
      </w:divBdr>
    </w:div>
    <w:div w:id="2070808028">
      <w:bodyDiv w:val="1"/>
      <w:marLeft w:val="0"/>
      <w:marRight w:val="0"/>
      <w:marTop w:val="0"/>
      <w:marBottom w:val="0"/>
      <w:divBdr>
        <w:top w:val="none" w:sz="0" w:space="0" w:color="auto"/>
        <w:left w:val="none" w:sz="0" w:space="0" w:color="auto"/>
        <w:bottom w:val="none" w:sz="0" w:space="0" w:color="auto"/>
        <w:right w:val="none" w:sz="0" w:space="0" w:color="auto"/>
      </w:divBdr>
    </w:div>
    <w:div w:id="2072341542">
      <w:bodyDiv w:val="1"/>
      <w:marLeft w:val="0"/>
      <w:marRight w:val="0"/>
      <w:marTop w:val="0"/>
      <w:marBottom w:val="0"/>
      <w:divBdr>
        <w:top w:val="none" w:sz="0" w:space="0" w:color="auto"/>
        <w:left w:val="none" w:sz="0" w:space="0" w:color="auto"/>
        <w:bottom w:val="none" w:sz="0" w:space="0" w:color="auto"/>
        <w:right w:val="none" w:sz="0" w:space="0" w:color="auto"/>
      </w:divBdr>
    </w:div>
    <w:div w:id="2092578841">
      <w:bodyDiv w:val="1"/>
      <w:marLeft w:val="0"/>
      <w:marRight w:val="0"/>
      <w:marTop w:val="0"/>
      <w:marBottom w:val="0"/>
      <w:divBdr>
        <w:top w:val="none" w:sz="0" w:space="0" w:color="auto"/>
        <w:left w:val="none" w:sz="0" w:space="0" w:color="auto"/>
        <w:bottom w:val="none" w:sz="0" w:space="0" w:color="auto"/>
        <w:right w:val="none" w:sz="0" w:space="0" w:color="auto"/>
      </w:divBdr>
    </w:div>
    <w:div w:id="2131120093">
      <w:bodyDiv w:val="1"/>
      <w:marLeft w:val="0"/>
      <w:marRight w:val="0"/>
      <w:marTop w:val="0"/>
      <w:marBottom w:val="0"/>
      <w:divBdr>
        <w:top w:val="none" w:sz="0" w:space="0" w:color="auto"/>
        <w:left w:val="none" w:sz="0" w:space="0" w:color="auto"/>
        <w:bottom w:val="none" w:sz="0" w:space="0" w:color="auto"/>
        <w:right w:val="none" w:sz="0" w:space="0" w:color="auto"/>
      </w:divBdr>
    </w:div>
    <w:div w:id="213918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506BA-AB28-47AE-89A3-2E2DB9F80FEC}">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3772</TotalTime>
  <Pages>36</Pages>
  <Words>9758</Words>
  <Characters>55625</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WBG</Company>
  <LinksUpToDate>false</LinksUpToDate>
  <CharactersWithSpaces>65253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Platon</dc:creator>
  <cp:keywords/>
  <dc:description/>
  <cp:lastModifiedBy>Author</cp:lastModifiedBy>
  <cp:revision>2047</cp:revision>
  <cp:lastPrinted>2026-06-12T11:07:00Z</cp:lastPrinted>
  <dcterms:created xsi:type="dcterms:W3CDTF">2025-12-13T13:52:00Z</dcterms:created>
  <dcterms:modified xsi:type="dcterms:W3CDTF">2026-09-23T12:56:00Z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a1561bfa-01f4-4376-956c-0e4dc0b2bec2</vt:lpwstr>
  </property>
</Properties>
</file>