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DB7BF" w14:textId="77777777" w:rsidR="00902467" w:rsidRPr="007A1206" w:rsidRDefault="00902467" w:rsidP="002C19D9">
      <w:pPr>
        <w:pStyle w:val="Heading2"/>
        <w:jc w:val="center"/>
        <w:rPr>
          <w:rFonts w:ascii="Times New Roman" w:hAnsi="Times New Roman"/>
          <w:i w:val="0"/>
          <w:iCs/>
          <w:sz w:val="28"/>
          <w:szCs w:val="28"/>
          <w:lang w:val="sq-AL"/>
        </w:rPr>
      </w:pPr>
    </w:p>
    <w:p w14:paraId="6A1FDD1F" w14:textId="77F51403" w:rsidR="008675CA" w:rsidRPr="007A1206" w:rsidRDefault="00D61801" w:rsidP="002C19D9">
      <w:pPr>
        <w:pStyle w:val="Heading2"/>
        <w:jc w:val="center"/>
        <w:rPr>
          <w:rFonts w:ascii="Times New Roman" w:hAnsi="Times New Roman"/>
          <w:i w:val="0"/>
          <w:iCs/>
          <w:sz w:val="28"/>
          <w:szCs w:val="28"/>
          <w:lang w:val="sq-AL"/>
        </w:rPr>
      </w:pPr>
      <w:r w:rsidRPr="007A1206">
        <w:rPr>
          <w:rFonts w:ascii="Times New Roman" w:hAnsi="Times New Roman"/>
          <w:i w:val="0"/>
          <w:iCs/>
          <w:sz w:val="28"/>
          <w:szCs w:val="28"/>
          <w:lang w:val="sq-AL"/>
        </w:rPr>
        <w:t xml:space="preserve">DOKUMENTI </w:t>
      </w:r>
      <w:r w:rsidR="00E54C97" w:rsidRPr="007A1206">
        <w:rPr>
          <w:rFonts w:ascii="Times New Roman" w:hAnsi="Times New Roman"/>
          <w:i w:val="0"/>
          <w:iCs/>
          <w:sz w:val="28"/>
          <w:szCs w:val="28"/>
          <w:lang w:val="sq-AL"/>
        </w:rPr>
        <w:t>KONSULTATIV</w:t>
      </w:r>
    </w:p>
    <w:p w14:paraId="747EF8DB" w14:textId="77777777" w:rsidR="007817F3" w:rsidRPr="007A1206" w:rsidRDefault="007817F3" w:rsidP="00836EE0">
      <w:pPr>
        <w:jc w:val="center"/>
        <w:rPr>
          <w:rFonts w:ascii="Times New Roman" w:hAnsi="Times New Roman"/>
          <w:sz w:val="28"/>
          <w:szCs w:val="28"/>
          <w:lang w:val="sq-AL"/>
        </w:rPr>
      </w:pPr>
    </w:p>
    <w:p w14:paraId="3B775BC9" w14:textId="6D090D7A" w:rsidR="00836EE0" w:rsidRPr="007A1206" w:rsidRDefault="00026DDC" w:rsidP="00836EE0">
      <w:pPr>
        <w:pStyle w:val="NoSpacing"/>
        <w:jc w:val="center"/>
        <w:rPr>
          <w:rFonts w:ascii="Times New Roman" w:hAnsi="Times New Roman"/>
          <w:b/>
          <w:sz w:val="28"/>
          <w:szCs w:val="28"/>
        </w:rPr>
      </w:pPr>
      <w:r w:rsidRPr="007A1206">
        <w:rPr>
          <w:rFonts w:ascii="Times New Roman" w:hAnsi="Times New Roman"/>
          <w:b/>
          <w:sz w:val="28"/>
          <w:szCs w:val="28"/>
        </w:rPr>
        <w:t>Për projektligjin</w:t>
      </w:r>
    </w:p>
    <w:p w14:paraId="147E2A7C" w14:textId="77777777" w:rsidR="00836EE0" w:rsidRPr="007A1206" w:rsidRDefault="00836EE0" w:rsidP="00836EE0">
      <w:pPr>
        <w:pStyle w:val="NoSpacing"/>
        <w:jc w:val="center"/>
        <w:rPr>
          <w:rFonts w:ascii="Times New Roman" w:hAnsi="Times New Roman"/>
          <w:b/>
          <w:sz w:val="28"/>
          <w:szCs w:val="28"/>
        </w:rPr>
      </w:pPr>
    </w:p>
    <w:p w14:paraId="751CCA8D" w14:textId="78B5D568" w:rsidR="00026DDC" w:rsidRPr="007A1206" w:rsidRDefault="00A920C8" w:rsidP="00836EE0">
      <w:pPr>
        <w:pStyle w:val="NoSpacing"/>
        <w:jc w:val="center"/>
        <w:rPr>
          <w:rFonts w:ascii="Times New Roman" w:hAnsi="Times New Roman"/>
          <w:b/>
          <w:sz w:val="28"/>
          <w:szCs w:val="28"/>
        </w:rPr>
      </w:pPr>
      <w:r w:rsidRPr="007A1206">
        <w:rPr>
          <w:rFonts w:ascii="Times New Roman" w:hAnsi="Times New Roman"/>
          <w:b/>
          <w:sz w:val="28"/>
          <w:szCs w:val="28"/>
        </w:rPr>
        <w:t>“</w:t>
      </w:r>
      <w:r w:rsidRPr="007A1206">
        <w:rPr>
          <w:rFonts w:ascii="Times New Roman" w:hAnsi="Times New Roman"/>
          <w:b/>
          <w:sz w:val="28"/>
          <w:szCs w:val="28"/>
        </w:rPr>
        <w:t>Për tregtimin e produkteve të ndërtimit</w:t>
      </w:r>
      <w:r w:rsidR="00026DDC" w:rsidRPr="007A1206">
        <w:rPr>
          <w:rFonts w:ascii="Times New Roman" w:hAnsi="Times New Roman"/>
          <w:b/>
          <w:sz w:val="28"/>
          <w:szCs w:val="28"/>
        </w:rPr>
        <w:t>”</w:t>
      </w:r>
    </w:p>
    <w:p w14:paraId="679FD58F" w14:textId="345C8597" w:rsidR="00163AAF" w:rsidRPr="007A1206" w:rsidRDefault="00163AAF" w:rsidP="002C19D9">
      <w:pPr>
        <w:pStyle w:val="NoSpacing"/>
        <w:jc w:val="both"/>
        <w:rPr>
          <w:rFonts w:ascii="Times New Roman" w:hAnsi="Times New Roman"/>
          <w:b/>
          <w:bCs/>
          <w:sz w:val="28"/>
          <w:szCs w:val="28"/>
        </w:rPr>
      </w:pPr>
    </w:p>
    <w:p w14:paraId="364F00E7" w14:textId="77777777" w:rsidR="009C2E02" w:rsidRPr="007A1206" w:rsidRDefault="009C2E02" w:rsidP="002C19D9">
      <w:pPr>
        <w:pStyle w:val="BodyText"/>
        <w:rPr>
          <w:rFonts w:ascii="Times New Roman" w:hAnsi="Times New Roman"/>
          <w:b/>
          <w:sz w:val="28"/>
          <w:szCs w:val="28"/>
          <w:highlight w:val="yellow"/>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7A1206" w14:paraId="3BF55563" w14:textId="77777777" w:rsidTr="00957E1F">
        <w:tc>
          <w:tcPr>
            <w:tcW w:w="9212" w:type="dxa"/>
          </w:tcPr>
          <w:p w14:paraId="310C5FA8" w14:textId="243EE1B5" w:rsidR="001E4573" w:rsidRPr="007A1206" w:rsidRDefault="00B87EE9" w:rsidP="002C19D9">
            <w:pPr>
              <w:pStyle w:val="NoSpacing"/>
              <w:jc w:val="both"/>
              <w:rPr>
                <w:rFonts w:ascii="Times New Roman" w:hAnsi="Times New Roman"/>
                <w:b/>
                <w:sz w:val="28"/>
                <w:szCs w:val="28"/>
              </w:rPr>
            </w:pPr>
            <w:r w:rsidRPr="007A1206">
              <w:rPr>
                <w:rFonts w:ascii="Times New Roman" w:hAnsi="Times New Roman"/>
                <w:sz w:val="28"/>
                <w:szCs w:val="28"/>
              </w:rPr>
              <w:t xml:space="preserve">Ministria e </w:t>
            </w:r>
            <w:r w:rsidR="008F0DBA" w:rsidRPr="007A1206">
              <w:rPr>
                <w:rFonts w:ascii="Times New Roman" w:hAnsi="Times New Roman"/>
                <w:sz w:val="28"/>
                <w:szCs w:val="28"/>
              </w:rPr>
              <w:t>Infrastrukturës</w:t>
            </w:r>
            <w:r w:rsidR="00647695" w:rsidRPr="007A1206">
              <w:rPr>
                <w:rFonts w:ascii="Times New Roman" w:hAnsi="Times New Roman"/>
                <w:sz w:val="28"/>
                <w:szCs w:val="28"/>
              </w:rPr>
              <w:t xml:space="preserve"> dhe Energjisë</w:t>
            </w:r>
            <w:r w:rsidRPr="007A1206">
              <w:rPr>
                <w:rFonts w:ascii="Times New Roman" w:hAnsi="Times New Roman"/>
                <w:sz w:val="28"/>
                <w:szCs w:val="28"/>
              </w:rPr>
              <w:t xml:space="preserve">, në kuadër të procesit të konsultimit </w:t>
            </w:r>
            <w:r w:rsidR="00A05359" w:rsidRPr="007A1206">
              <w:rPr>
                <w:rFonts w:ascii="Times New Roman" w:hAnsi="Times New Roman"/>
                <w:sz w:val="28"/>
                <w:szCs w:val="28"/>
              </w:rPr>
              <w:t>të projekt</w:t>
            </w:r>
            <w:r w:rsidR="00993D87" w:rsidRPr="007A1206">
              <w:rPr>
                <w:rFonts w:ascii="Times New Roman" w:hAnsi="Times New Roman"/>
                <w:sz w:val="28"/>
                <w:szCs w:val="28"/>
              </w:rPr>
              <w:t>ligji</w:t>
            </w:r>
            <w:r w:rsidR="00DA3BF8" w:rsidRPr="007A1206">
              <w:rPr>
                <w:rFonts w:ascii="Times New Roman" w:hAnsi="Times New Roman"/>
                <w:sz w:val="28"/>
                <w:szCs w:val="28"/>
              </w:rPr>
              <w:t xml:space="preserve"> </w:t>
            </w:r>
            <w:r w:rsidR="00836EE0" w:rsidRPr="007A1206">
              <w:rPr>
                <w:rFonts w:ascii="Times New Roman" w:hAnsi="Times New Roman"/>
                <w:sz w:val="28"/>
                <w:szCs w:val="28"/>
              </w:rPr>
              <w:t>“</w:t>
            </w:r>
            <w:r w:rsidR="00A920C8" w:rsidRPr="007A1206">
              <w:rPr>
                <w:rFonts w:ascii="Times New Roman" w:eastAsia="MS Mincho" w:hAnsi="Times New Roman"/>
                <w:sz w:val="28"/>
                <w:szCs w:val="28"/>
                <w:lang w:eastAsia="en-GB"/>
              </w:rPr>
              <w:t>Për tregtimin e produkteve të ndërtimit</w:t>
            </w:r>
            <w:r w:rsidR="00836EE0" w:rsidRPr="007A1206">
              <w:rPr>
                <w:rFonts w:ascii="Times New Roman" w:eastAsia="MS Mincho" w:hAnsi="Times New Roman"/>
                <w:sz w:val="28"/>
                <w:szCs w:val="28"/>
                <w:lang w:eastAsia="en-GB"/>
              </w:rPr>
              <w:t>”</w:t>
            </w:r>
            <w:r w:rsidR="00BB479B" w:rsidRPr="007A1206">
              <w:rPr>
                <w:rFonts w:ascii="Times New Roman" w:hAnsi="Times New Roman"/>
                <w:i/>
                <w:iCs/>
                <w:sz w:val="28"/>
                <w:szCs w:val="28"/>
              </w:rPr>
              <w:t>,</w:t>
            </w:r>
            <w:r w:rsidR="00BB479B" w:rsidRPr="007A1206">
              <w:rPr>
                <w:rFonts w:ascii="Times New Roman" w:hAnsi="Times New Roman"/>
                <w:b/>
                <w:i/>
                <w:iCs/>
                <w:sz w:val="28"/>
                <w:szCs w:val="28"/>
              </w:rPr>
              <w:t xml:space="preserve"> </w:t>
            </w:r>
            <w:r w:rsidRPr="007A1206">
              <w:rPr>
                <w:rFonts w:ascii="Times New Roman" w:hAnsi="Times New Roman"/>
                <w:sz w:val="28"/>
                <w:szCs w:val="28"/>
              </w:rPr>
              <w:t xml:space="preserve">mirëpret sugjerimet nga qytetarët, </w:t>
            </w:r>
            <w:r w:rsidR="00A73EFE" w:rsidRPr="007A1206">
              <w:rPr>
                <w:rFonts w:ascii="Times New Roman" w:hAnsi="Times New Roman"/>
                <w:sz w:val="28"/>
                <w:szCs w:val="28"/>
              </w:rPr>
              <w:t xml:space="preserve">ekspertë të fushës, </w:t>
            </w:r>
            <w:r w:rsidR="00B0093C" w:rsidRPr="007A1206">
              <w:rPr>
                <w:rFonts w:ascii="Times New Roman" w:hAnsi="Times New Roman"/>
                <w:sz w:val="28"/>
                <w:szCs w:val="28"/>
              </w:rPr>
              <w:t xml:space="preserve">nga </w:t>
            </w:r>
            <w:r w:rsidR="00A73EFE" w:rsidRPr="007A1206">
              <w:rPr>
                <w:rFonts w:ascii="Times New Roman" w:hAnsi="Times New Roman"/>
                <w:sz w:val="28"/>
                <w:szCs w:val="28"/>
              </w:rPr>
              <w:t xml:space="preserve">të gjitha </w:t>
            </w:r>
            <w:r w:rsidR="00B0093C" w:rsidRPr="007A1206">
              <w:rPr>
                <w:rFonts w:ascii="Times New Roman" w:hAnsi="Times New Roman"/>
                <w:sz w:val="28"/>
                <w:szCs w:val="28"/>
              </w:rPr>
              <w:t>instituc</w:t>
            </w:r>
            <w:r w:rsidR="00A05359" w:rsidRPr="007A1206">
              <w:rPr>
                <w:rFonts w:ascii="Times New Roman" w:hAnsi="Times New Roman"/>
                <w:sz w:val="28"/>
                <w:szCs w:val="28"/>
              </w:rPr>
              <w:t>ionet dhe subjektet e</w:t>
            </w:r>
            <w:r w:rsidR="00092682" w:rsidRPr="007A1206">
              <w:rPr>
                <w:rFonts w:ascii="Times New Roman" w:hAnsi="Times New Roman"/>
                <w:sz w:val="28"/>
                <w:szCs w:val="28"/>
              </w:rPr>
              <w:t xml:space="preserve"> interesuara</w:t>
            </w:r>
            <w:r w:rsidRPr="007A1206">
              <w:rPr>
                <w:rFonts w:ascii="Times New Roman" w:hAnsi="Times New Roman"/>
                <w:sz w:val="28"/>
                <w:szCs w:val="28"/>
              </w:rPr>
              <w:t xml:space="preserve">, </w:t>
            </w:r>
            <w:r w:rsidR="002310D5" w:rsidRPr="007A1206">
              <w:rPr>
                <w:rFonts w:ascii="Times New Roman" w:hAnsi="Times New Roman"/>
                <w:bCs/>
                <w:iCs/>
                <w:sz w:val="28"/>
                <w:szCs w:val="28"/>
                <w:lang w:bidi="en-US"/>
              </w:rPr>
              <w:t xml:space="preserve">organizata </w:t>
            </w:r>
            <w:r w:rsidR="00A05359" w:rsidRPr="007A1206">
              <w:rPr>
                <w:rFonts w:ascii="Times New Roman" w:hAnsi="Times New Roman"/>
                <w:bCs/>
                <w:iCs/>
                <w:sz w:val="28"/>
                <w:szCs w:val="28"/>
                <w:lang w:bidi="en-US"/>
              </w:rPr>
              <w:t xml:space="preserve">jofitimprurëse, shoqëria civile, </w:t>
            </w:r>
            <w:r w:rsidR="00FC3DD2" w:rsidRPr="007A1206">
              <w:rPr>
                <w:rFonts w:ascii="Times New Roman" w:hAnsi="Times New Roman"/>
                <w:bCs/>
                <w:iCs/>
                <w:sz w:val="28"/>
                <w:szCs w:val="28"/>
                <w:lang w:bidi="en-US"/>
              </w:rPr>
              <w:t xml:space="preserve">të drejtat ose </w:t>
            </w:r>
            <w:r w:rsidR="00A05359" w:rsidRPr="007A1206">
              <w:rPr>
                <w:rFonts w:ascii="Times New Roman" w:hAnsi="Times New Roman"/>
                <w:bCs/>
                <w:iCs/>
                <w:sz w:val="28"/>
                <w:szCs w:val="28"/>
                <w:lang w:bidi="en-US"/>
              </w:rPr>
              <w:t>objekti i veprimtarisë të</w:t>
            </w:r>
            <w:r w:rsidR="00FC3DD2" w:rsidRPr="007A1206">
              <w:rPr>
                <w:rFonts w:ascii="Times New Roman" w:hAnsi="Times New Roman"/>
                <w:bCs/>
                <w:iCs/>
                <w:sz w:val="28"/>
                <w:szCs w:val="28"/>
                <w:lang w:bidi="en-US"/>
              </w:rPr>
              <w:t xml:space="preserve"> t</w:t>
            </w:r>
            <w:r w:rsidR="00A05359" w:rsidRPr="007A1206">
              <w:rPr>
                <w:rFonts w:ascii="Times New Roman" w:hAnsi="Times New Roman"/>
                <w:bCs/>
                <w:iCs/>
                <w:sz w:val="28"/>
                <w:szCs w:val="28"/>
                <w:lang w:bidi="en-US"/>
              </w:rPr>
              <w:t>ë cil</w:t>
            </w:r>
            <w:r w:rsidR="00FC3DD2" w:rsidRPr="007A1206">
              <w:rPr>
                <w:rFonts w:ascii="Times New Roman" w:hAnsi="Times New Roman"/>
                <w:bCs/>
                <w:iCs/>
                <w:sz w:val="28"/>
                <w:szCs w:val="28"/>
                <w:lang w:bidi="en-US"/>
              </w:rPr>
              <w:t>a</w:t>
            </w:r>
            <w:r w:rsidR="00A05359" w:rsidRPr="007A1206">
              <w:rPr>
                <w:rFonts w:ascii="Times New Roman" w:hAnsi="Times New Roman"/>
                <w:bCs/>
                <w:iCs/>
                <w:sz w:val="28"/>
                <w:szCs w:val="28"/>
                <w:lang w:bidi="en-US"/>
              </w:rPr>
              <w:t xml:space="preserve">ve </w:t>
            </w:r>
            <w:r w:rsidR="00FC3DD2" w:rsidRPr="007A1206">
              <w:rPr>
                <w:rFonts w:ascii="Times New Roman" w:hAnsi="Times New Roman"/>
                <w:bCs/>
                <w:iCs/>
                <w:sz w:val="28"/>
                <w:szCs w:val="28"/>
                <w:lang w:bidi="en-US"/>
              </w:rPr>
              <w:t xml:space="preserve">ka të bëjë apo ndikohet në mënyrë të drejtpërdrejtë </w:t>
            </w:r>
            <w:r w:rsidR="002726E3" w:rsidRPr="007A1206">
              <w:rPr>
                <w:rFonts w:ascii="Times New Roman" w:hAnsi="Times New Roman"/>
                <w:bCs/>
                <w:iCs/>
                <w:sz w:val="28"/>
                <w:szCs w:val="28"/>
                <w:lang w:bidi="en-US"/>
              </w:rPr>
              <w:t xml:space="preserve">ose jo </w:t>
            </w:r>
            <w:r w:rsidR="00FC3DD2" w:rsidRPr="007A1206">
              <w:rPr>
                <w:rFonts w:ascii="Times New Roman" w:hAnsi="Times New Roman"/>
                <w:bCs/>
                <w:iCs/>
                <w:sz w:val="28"/>
                <w:szCs w:val="28"/>
                <w:lang w:bidi="en-US"/>
              </w:rPr>
              <w:t xml:space="preserve">nga </w:t>
            </w:r>
            <w:r w:rsidR="001077A7" w:rsidRPr="007A1206">
              <w:rPr>
                <w:rFonts w:ascii="Times New Roman" w:hAnsi="Times New Roman"/>
                <w:bCs/>
                <w:iCs/>
                <w:sz w:val="28"/>
                <w:szCs w:val="28"/>
                <w:lang w:bidi="en-US"/>
              </w:rPr>
              <w:t xml:space="preserve">përcaktimet e kësaj nisme ligjore. </w:t>
            </w:r>
          </w:p>
          <w:p w14:paraId="107036DC" w14:textId="7604C18D" w:rsidR="00163AAF" w:rsidRPr="007A1206" w:rsidRDefault="00163AAF" w:rsidP="002C19D9">
            <w:pPr>
              <w:pStyle w:val="NoSpacing"/>
              <w:jc w:val="both"/>
              <w:rPr>
                <w:rFonts w:ascii="Times New Roman" w:hAnsi="Times New Roman"/>
                <w:b/>
                <w:sz w:val="28"/>
                <w:szCs w:val="28"/>
              </w:rPr>
            </w:pPr>
          </w:p>
        </w:tc>
      </w:tr>
    </w:tbl>
    <w:p w14:paraId="4DD98B09" w14:textId="77777777" w:rsidR="008675CA" w:rsidRPr="007A1206" w:rsidRDefault="008675CA" w:rsidP="002C19D9">
      <w:pPr>
        <w:pStyle w:val="BodyText"/>
        <w:jc w:val="both"/>
        <w:rPr>
          <w:rFonts w:ascii="Times New Roman" w:hAnsi="Times New Roman"/>
          <w:sz w:val="28"/>
          <w:szCs w:val="28"/>
          <w:highlight w:val="yellow"/>
          <w:lang w:val="sq-AL"/>
        </w:rPr>
      </w:pPr>
    </w:p>
    <w:p w14:paraId="2DB7AA78" w14:textId="77777777" w:rsidR="008675CA" w:rsidRPr="007A1206" w:rsidRDefault="00E54C97" w:rsidP="002C19D9">
      <w:pPr>
        <w:pStyle w:val="BodyText"/>
        <w:jc w:val="both"/>
        <w:rPr>
          <w:rFonts w:ascii="Times New Roman" w:hAnsi="Times New Roman"/>
          <w:b/>
          <w:sz w:val="28"/>
          <w:szCs w:val="28"/>
          <w:lang w:val="sq-AL"/>
        </w:rPr>
      </w:pPr>
      <w:r w:rsidRPr="007A1206">
        <w:rPr>
          <w:rFonts w:ascii="Times New Roman" w:hAnsi="Times New Roman"/>
          <w:b/>
          <w:sz w:val="28"/>
          <w:szCs w:val="28"/>
          <w:lang w:val="sq-AL"/>
        </w:rPr>
        <w:t>Kohëzgjatja e konsultimeve</w:t>
      </w:r>
      <w:r w:rsidR="008675CA" w:rsidRPr="007A1206">
        <w:rPr>
          <w:rFonts w:ascii="Times New Roman" w:hAnsi="Times New Roman"/>
          <w:b/>
          <w:sz w:val="28"/>
          <w:szCs w:val="28"/>
          <w:lang w:val="sq-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7A1206" w14:paraId="0A95A18B" w14:textId="77777777" w:rsidTr="00957E1F">
        <w:tc>
          <w:tcPr>
            <w:tcW w:w="9212" w:type="dxa"/>
          </w:tcPr>
          <w:p w14:paraId="5863E002" w14:textId="4E6C5003" w:rsidR="001E4573" w:rsidRPr="007A1206" w:rsidRDefault="00B0093C" w:rsidP="002C19D9">
            <w:pPr>
              <w:pStyle w:val="BodyText"/>
              <w:jc w:val="both"/>
              <w:rPr>
                <w:rFonts w:ascii="Times New Roman" w:hAnsi="Times New Roman"/>
                <w:sz w:val="28"/>
                <w:szCs w:val="28"/>
                <w:lang w:val="sq-AL"/>
              </w:rPr>
            </w:pPr>
            <w:r w:rsidRPr="007A1206">
              <w:rPr>
                <w:rFonts w:ascii="Times New Roman" w:hAnsi="Times New Roman"/>
                <w:sz w:val="28"/>
                <w:szCs w:val="28"/>
                <w:lang w:val="sq-AL"/>
              </w:rPr>
              <w:t>Konsultimet në portalin e Regjistrit Elektronik: 20 ditë pune</w:t>
            </w:r>
            <w:r w:rsidR="007765B7" w:rsidRPr="007A1206">
              <w:rPr>
                <w:rFonts w:ascii="Times New Roman" w:hAnsi="Times New Roman"/>
                <w:sz w:val="28"/>
                <w:szCs w:val="28"/>
                <w:lang w:val="sq-AL"/>
              </w:rPr>
              <w:t xml:space="preserve">, duke filluar nga </w:t>
            </w:r>
            <w:r w:rsidR="001077A7" w:rsidRPr="007A1206">
              <w:rPr>
                <w:rFonts w:ascii="Times New Roman" w:hAnsi="Times New Roman"/>
                <w:sz w:val="28"/>
                <w:szCs w:val="28"/>
                <w:lang w:val="sq-AL"/>
              </w:rPr>
              <w:t xml:space="preserve">data </w:t>
            </w:r>
            <w:r w:rsidR="00A920C8" w:rsidRPr="007A1206">
              <w:rPr>
                <w:rFonts w:ascii="Times New Roman" w:hAnsi="Times New Roman"/>
                <w:sz w:val="28"/>
                <w:szCs w:val="28"/>
                <w:lang w:val="sq-AL"/>
              </w:rPr>
              <w:t>1 Tetor</w:t>
            </w:r>
            <w:r w:rsidR="00CF6D16" w:rsidRPr="007A1206">
              <w:rPr>
                <w:rFonts w:ascii="Times New Roman" w:hAnsi="Times New Roman"/>
                <w:bCs/>
                <w:sz w:val="28"/>
                <w:szCs w:val="28"/>
                <w:lang w:val="sq-AL"/>
              </w:rPr>
              <w:t xml:space="preserve"> </w:t>
            </w:r>
            <w:r w:rsidR="004978EE" w:rsidRPr="007A1206">
              <w:rPr>
                <w:rFonts w:ascii="Times New Roman" w:hAnsi="Times New Roman"/>
                <w:bCs/>
                <w:sz w:val="28"/>
                <w:szCs w:val="28"/>
                <w:lang w:val="sq-AL"/>
              </w:rPr>
              <w:t>202</w:t>
            </w:r>
            <w:r w:rsidR="00E5310E" w:rsidRPr="007A1206">
              <w:rPr>
                <w:rFonts w:ascii="Times New Roman" w:hAnsi="Times New Roman"/>
                <w:bCs/>
                <w:sz w:val="28"/>
                <w:szCs w:val="28"/>
                <w:lang w:val="sq-AL"/>
              </w:rPr>
              <w:t>6</w:t>
            </w:r>
            <w:r w:rsidR="004978EE" w:rsidRPr="007A1206">
              <w:rPr>
                <w:rFonts w:ascii="Times New Roman" w:hAnsi="Times New Roman"/>
                <w:bCs/>
                <w:sz w:val="28"/>
                <w:szCs w:val="28"/>
                <w:lang w:val="sq-AL"/>
              </w:rPr>
              <w:t>.</w:t>
            </w:r>
          </w:p>
        </w:tc>
      </w:tr>
    </w:tbl>
    <w:p w14:paraId="29630BCB" w14:textId="77777777" w:rsidR="008675CA" w:rsidRPr="007A1206" w:rsidRDefault="008675CA" w:rsidP="002C19D9">
      <w:pPr>
        <w:pStyle w:val="BodyText"/>
        <w:jc w:val="both"/>
        <w:rPr>
          <w:rFonts w:ascii="Times New Roman" w:hAnsi="Times New Roman"/>
          <w:sz w:val="28"/>
          <w:szCs w:val="28"/>
          <w:lang w:val="sq-AL"/>
        </w:rPr>
      </w:pPr>
    </w:p>
    <w:p w14:paraId="57C82A5C" w14:textId="77777777" w:rsidR="008675CA" w:rsidRPr="007A1206" w:rsidRDefault="00E54C97" w:rsidP="002C19D9">
      <w:pPr>
        <w:pStyle w:val="BodyText"/>
        <w:jc w:val="both"/>
        <w:rPr>
          <w:rFonts w:ascii="Times New Roman" w:hAnsi="Times New Roman"/>
          <w:b/>
          <w:sz w:val="28"/>
          <w:szCs w:val="28"/>
          <w:lang w:val="sq-AL"/>
        </w:rPr>
      </w:pPr>
      <w:r w:rsidRPr="007A1206">
        <w:rPr>
          <w:rFonts w:ascii="Times New Roman" w:hAnsi="Times New Roman"/>
          <w:b/>
          <w:sz w:val="28"/>
          <w:szCs w:val="28"/>
          <w:lang w:val="sq-AL"/>
        </w:rPr>
        <w:t>Si të përgjigjeni: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7A1206" w14:paraId="0FF81B91" w14:textId="77777777" w:rsidTr="00957E1F">
        <w:tc>
          <w:tcPr>
            <w:tcW w:w="9212" w:type="dxa"/>
          </w:tcPr>
          <w:p w14:paraId="3A57C8B9" w14:textId="77777777" w:rsidR="00433F2F" w:rsidRPr="007A1206" w:rsidRDefault="00B0093C" w:rsidP="002C19D9">
            <w:pPr>
              <w:pStyle w:val="BodyText"/>
              <w:jc w:val="both"/>
              <w:rPr>
                <w:rFonts w:ascii="Times New Roman" w:hAnsi="Times New Roman"/>
                <w:sz w:val="28"/>
                <w:szCs w:val="28"/>
                <w:lang w:val="sq-AL"/>
              </w:rPr>
            </w:pPr>
            <w:r w:rsidRPr="007A1206">
              <w:rPr>
                <w:rFonts w:ascii="Times New Roman" w:hAnsi="Times New Roman"/>
                <w:sz w:val="28"/>
                <w:szCs w:val="28"/>
                <w:lang w:val="sq-AL"/>
              </w:rPr>
              <w:t>Kontributet që në kuadër të procesit të konsultimit dhe përmirësimit të përmbajtjes së projektligjit, do të përcillen nga institucionet e interesuara nëpërmjet postës elektronik</w:t>
            </w:r>
            <w:r w:rsidR="007B4AD9" w:rsidRPr="007A1206">
              <w:rPr>
                <w:rFonts w:ascii="Times New Roman" w:hAnsi="Times New Roman"/>
                <w:sz w:val="28"/>
                <w:szCs w:val="28"/>
                <w:lang w:val="sq-AL"/>
              </w:rPr>
              <w:t>e</w:t>
            </w:r>
            <w:r w:rsidRPr="007A1206">
              <w:rPr>
                <w:rFonts w:ascii="Times New Roman" w:hAnsi="Times New Roman"/>
                <w:sz w:val="28"/>
                <w:szCs w:val="28"/>
                <w:lang w:val="sq-AL"/>
              </w:rPr>
              <w:t xml:space="preserve"> drejtuar Ministrisë së </w:t>
            </w:r>
            <w:r w:rsidR="00647695" w:rsidRPr="007A1206">
              <w:rPr>
                <w:rFonts w:ascii="Times New Roman" w:hAnsi="Times New Roman"/>
                <w:sz w:val="28"/>
                <w:szCs w:val="28"/>
                <w:lang w:val="sq-AL"/>
              </w:rPr>
              <w:t>Infrastrukturës dhe Energjisë</w:t>
            </w:r>
            <w:r w:rsidRPr="007A1206">
              <w:rPr>
                <w:rFonts w:ascii="Times New Roman" w:hAnsi="Times New Roman"/>
                <w:sz w:val="28"/>
                <w:szCs w:val="28"/>
                <w:lang w:val="sq-AL"/>
              </w:rPr>
              <w:t>, me anë të</w:t>
            </w:r>
            <w:r w:rsidR="00433F2F" w:rsidRPr="007A1206">
              <w:rPr>
                <w:rFonts w:ascii="Times New Roman" w:hAnsi="Times New Roman"/>
                <w:sz w:val="28"/>
                <w:szCs w:val="28"/>
                <w:lang w:val="sq-AL"/>
              </w:rPr>
              <w:t>:</w:t>
            </w:r>
          </w:p>
          <w:p w14:paraId="488B5A78" w14:textId="1438D0E0" w:rsidR="00433F2F" w:rsidRPr="007A1206" w:rsidRDefault="00383D55">
            <w:pPr>
              <w:pStyle w:val="BodyText"/>
              <w:numPr>
                <w:ilvl w:val="0"/>
                <w:numId w:val="1"/>
              </w:numPr>
              <w:tabs>
                <w:tab w:val="clear" w:pos="567"/>
                <w:tab w:val="left" w:pos="510"/>
              </w:tabs>
              <w:spacing w:after="0"/>
              <w:ind w:hanging="390"/>
              <w:jc w:val="both"/>
              <w:rPr>
                <w:rFonts w:ascii="Times New Roman" w:hAnsi="Times New Roman"/>
                <w:iCs/>
                <w:sz w:val="28"/>
                <w:szCs w:val="28"/>
                <w:lang w:val="sq-AL"/>
              </w:rPr>
            </w:pPr>
            <w:r w:rsidRPr="007A1206">
              <w:rPr>
                <w:rFonts w:ascii="Times New Roman" w:hAnsi="Times New Roman"/>
                <w:sz w:val="28"/>
                <w:szCs w:val="28"/>
                <w:lang w:val="sq-AL"/>
              </w:rPr>
              <w:t xml:space="preserve"> </w:t>
            </w:r>
            <w:r w:rsidR="00433F2F" w:rsidRPr="007A1206">
              <w:rPr>
                <w:rFonts w:ascii="Times New Roman" w:hAnsi="Times New Roman"/>
                <w:sz w:val="28"/>
                <w:szCs w:val="28"/>
                <w:lang w:val="sq-AL"/>
              </w:rPr>
              <w:t>R</w:t>
            </w:r>
            <w:r w:rsidR="00B0093C" w:rsidRPr="007A1206">
              <w:rPr>
                <w:rFonts w:ascii="Times New Roman" w:hAnsi="Times New Roman"/>
                <w:sz w:val="28"/>
                <w:szCs w:val="28"/>
                <w:lang w:val="sq-AL"/>
              </w:rPr>
              <w:t xml:space="preserve">egjistrit elektronik në adresën </w:t>
            </w:r>
            <w:hyperlink r:id="rId5" w:history="1">
              <w:r w:rsidR="002E53FF" w:rsidRPr="007A1206">
                <w:rPr>
                  <w:rStyle w:val="Hyperlink"/>
                  <w:rFonts w:ascii="Times New Roman" w:hAnsi="Times New Roman"/>
                  <w:iCs/>
                  <w:sz w:val="28"/>
                  <w:szCs w:val="28"/>
                  <w:lang w:val="sq-AL"/>
                </w:rPr>
                <w:t>http://www.konsultimipublik.gov.al</w:t>
              </w:r>
            </w:hyperlink>
            <w:r w:rsidR="00B0093C" w:rsidRPr="007A1206">
              <w:rPr>
                <w:rFonts w:ascii="Times New Roman" w:hAnsi="Times New Roman"/>
                <w:iCs/>
                <w:sz w:val="28"/>
                <w:szCs w:val="28"/>
                <w:lang w:val="sq-AL"/>
              </w:rPr>
              <w:t xml:space="preserve">, </w:t>
            </w:r>
          </w:p>
          <w:p w14:paraId="6F8C0843" w14:textId="251A90A7" w:rsidR="00433F2F" w:rsidRPr="007A1206" w:rsidRDefault="00433F2F">
            <w:pPr>
              <w:pStyle w:val="BodyText"/>
              <w:numPr>
                <w:ilvl w:val="0"/>
                <w:numId w:val="1"/>
              </w:numPr>
              <w:tabs>
                <w:tab w:val="clear" w:pos="567"/>
                <w:tab w:val="left" w:pos="510"/>
              </w:tabs>
              <w:spacing w:after="0"/>
              <w:ind w:left="600" w:hanging="270"/>
              <w:jc w:val="both"/>
              <w:rPr>
                <w:rFonts w:ascii="Times New Roman" w:hAnsi="Times New Roman"/>
                <w:iCs/>
                <w:sz w:val="28"/>
                <w:szCs w:val="28"/>
                <w:lang w:val="sq-AL"/>
              </w:rPr>
            </w:pPr>
            <w:r w:rsidRPr="007A1206">
              <w:rPr>
                <w:rFonts w:ascii="Times New Roman" w:hAnsi="Times New Roman"/>
                <w:iCs/>
                <w:sz w:val="28"/>
                <w:szCs w:val="28"/>
                <w:lang w:val="sq-AL"/>
              </w:rPr>
              <w:t xml:space="preserve"> N</w:t>
            </w:r>
            <w:r w:rsidR="00B0093C" w:rsidRPr="007A1206">
              <w:rPr>
                <w:rFonts w:ascii="Times New Roman" w:hAnsi="Times New Roman"/>
                <w:iCs/>
                <w:sz w:val="28"/>
                <w:szCs w:val="28"/>
                <w:lang w:val="sq-AL"/>
              </w:rPr>
              <w:t xml:space="preserve">ë adresën postare të </w:t>
            </w:r>
            <w:r w:rsidR="00647695" w:rsidRPr="007A1206">
              <w:rPr>
                <w:rFonts w:ascii="Times New Roman" w:hAnsi="Times New Roman"/>
                <w:sz w:val="28"/>
                <w:szCs w:val="28"/>
                <w:lang w:val="sq-AL"/>
              </w:rPr>
              <w:t>Ministri</w:t>
            </w:r>
            <w:r w:rsidRPr="007A1206">
              <w:rPr>
                <w:rFonts w:ascii="Times New Roman" w:hAnsi="Times New Roman"/>
                <w:sz w:val="28"/>
                <w:szCs w:val="28"/>
                <w:lang w:val="sq-AL"/>
              </w:rPr>
              <w:t>së së</w:t>
            </w:r>
            <w:r w:rsidR="00647695" w:rsidRPr="007A1206">
              <w:rPr>
                <w:rFonts w:ascii="Times New Roman" w:hAnsi="Times New Roman"/>
                <w:sz w:val="28"/>
                <w:szCs w:val="28"/>
                <w:lang w:val="sq-AL"/>
              </w:rPr>
              <w:t xml:space="preserve"> Infrastrukturës dhe Energjisë</w:t>
            </w:r>
            <w:r w:rsidR="00087972" w:rsidRPr="007A1206">
              <w:rPr>
                <w:rFonts w:ascii="Times New Roman" w:hAnsi="Times New Roman"/>
                <w:iCs/>
                <w:sz w:val="28"/>
                <w:szCs w:val="28"/>
                <w:lang w:val="sq-AL"/>
              </w:rPr>
              <w:t xml:space="preserve">: </w:t>
            </w:r>
            <w:r w:rsidR="00647695" w:rsidRPr="007A1206">
              <w:rPr>
                <w:rFonts w:ascii="Times New Roman" w:hAnsi="Times New Roman"/>
                <w:iCs/>
                <w:sz w:val="28"/>
                <w:szCs w:val="28"/>
                <w:lang w:val="sq-AL"/>
              </w:rPr>
              <w:t>Rr.Abdi Toptani, 4,</w:t>
            </w:r>
            <w:r w:rsidR="00B0093C" w:rsidRPr="007A1206">
              <w:rPr>
                <w:rFonts w:ascii="Times New Roman" w:hAnsi="Times New Roman"/>
                <w:iCs/>
                <w:sz w:val="28"/>
                <w:szCs w:val="28"/>
                <w:lang w:val="sq-AL"/>
              </w:rPr>
              <w:t>Tiranë,</w:t>
            </w:r>
          </w:p>
          <w:p w14:paraId="13B36126" w14:textId="0463832E" w:rsidR="00433F2F" w:rsidRPr="007A1206" w:rsidRDefault="00433F2F">
            <w:pPr>
              <w:pStyle w:val="BodyText"/>
              <w:numPr>
                <w:ilvl w:val="0"/>
                <w:numId w:val="1"/>
              </w:numPr>
              <w:tabs>
                <w:tab w:val="clear" w:pos="567"/>
                <w:tab w:val="left" w:pos="510"/>
              </w:tabs>
              <w:spacing w:after="0"/>
              <w:ind w:left="600" w:hanging="270"/>
              <w:jc w:val="both"/>
              <w:rPr>
                <w:rFonts w:ascii="Times New Roman" w:hAnsi="Times New Roman"/>
                <w:iCs/>
                <w:sz w:val="28"/>
                <w:szCs w:val="28"/>
                <w:lang w:val="sq-AL"/>
              </w:rPr>
            </w:pPr>
            <w:r w:rsidRPr="007A1206">
              <w:rPr>
                <w:rFonts w:ascii="Times New Roman" w:hAnsi="Times New Roman"/>
                <w:iCs/>
                <w:sz w:val="28"/>
                <w:szCs w:val="28"/>
                <w:lang w:val="sq-AL"/>
              </w:rPr>
              <w:t xml:space="preserve"> N</w:t>
            </w:r>
            <w:r w:rsidR="00343EA7" w:rsidRPr="007A1206">
              <w:rPr>
                <w:rFonts w:ascii="Times New Roman" w:hAnsi="Times New Roman"/>
                <w:iCs/>
                <w:sz w:val="28"/>
                <w:szCs w:val="28"/>
                <w:lang w:val="sq-AL"/>
              </w:rPr>
              <w:t>ë</w:t>
            </w:r>
            <w:r w:rsidR="00B82C4C" w:rsidRPr="007A1206">
              <w:rPr>
                <w:rFonts w:ascii="Times New Roman" w:hAnsi="Times New Roman"/>
                <w:iCs/>
                <w:sz w:val="28"/>
                <w:szCs w:val="28"/>
                <w:lang w:val="sq-AL"/>
              </w:rPr>
              <w:t xml:space="preserve"> </w:t>
            </w:r>
            <w:r w:rsidR="00343EA7" w:rsidRPr="007A1206">
              <w:rPr>
                <w:rFonts w:ascii="Times New Roman" w:hAnsi="Times New Roman"/>
                <w:iCs/>
                <w:sz w:val="28"/>
                <w:szCs w:val="28"/>
                <w:lang w:val="sq-AL"/>
              </w:rPr>
              <w:t xml:space="preserve">adresën e </w:t>
            </w:r>
            <w:r w:rsidR="007B4AD9" w:rsidRPr="007A1206">
              <w:rPr>
                <w:rFonts w:ascii="Times New Roman" w:hAnsi="Times New Roman"/>
                <w:iCs/>
                <w:sz w:val="28"/>
                <w:szCs w:val="28"/>
                <w:lang w:val="sq-AL"/>
              </w:rPr>
              <w:t>e</w:t>
            </w:r>
            <w:r w:rsidR="00343EA7" w:rsidRPr="007A1206">
              <w:rPr>
                <w:rFonts w:ascii="Times New Roman" w:hAnsi="Times New Roman"/>
                <w:iCs/>
                <w:sz w:val="28"/>
                <w:szCs w:val="28"/>
                <w:lang w:val="sq-AL"/>
              </w:rPr>
              <w:t>-</w:t>
            </w:r>
            <w:r w:rsidR="007B4AD9" w:rsidRPr="007A1206">
              <w:rPr>
                <w:rFonts w:ascii="Times New Roman" w:hAnsi="Times New Roman"/>
                <w:iCs/>
                <w:sz w:val="28"/>
                <w:szCs w:val="28"/>
                <w:lang w:val="sq-AL"/>
              </w:rPr>
              <w:t>mailit të koordinatorit për konsultimin publik</w:t>
            </w:r>
            <w:r w:rsidR="00383D55" w:rsidRPr="007A1206">
              <w:rPr>
                <w:rFonts w:ascii="Times New Roman" w:hAnsi="Times New Roman"/>
                <w:iCs/>
                <w:sz w:val="28"/>
                <w:szCs w:val="28"/>
                <w:lang w:val="sq-AL"/>
              </w:rPr>
              <w:t xml:space="preserve"> </w:t>
            </w:r>
            <w:hyperlink r:id="rId6" w:history="1">
              <w:r w:rsidR="00383D55" w:rsidRPr="007A1206">
                <w:rPr>
                  <w:rStyle w:val="Hyperlink"/>
                  <w:rFonts w:ascii="Times New Roman" w:hAnsi="Times New Roman"/>
                  <w:iCs/>
                  <w:sz w:val="28"/>
                  <w:szCs w:val="28"/>
                  <w:lang w:val="sq-AL"/>
                </w:rPr>
                <w:t>vilma.davidhi@infrastruktura.gov.al</w:t>
              </w:r>
            </w:hyperlink>
            <w:r w:rsidR="001E40DB" w:rsidRPr="007A1206">
              <w:rPr>
                <w:rFonts w:ascii="Times New Roman" w:hAnsi="Times New Roman"/>
                <w:sz w:val="28"/>
                <w:szCs w:val="28"/>
                <w:lang w:val="it-IT"/>
              </w:rPr>
              <w:t>,</w:t>
            </w:r>
          </w:p>
          <w:p w14:paraId="29D266A9" w14:textId="77777777" w:rsidR="00383D55" w:rsidRPr="007A1206" w:rsidRDefault="00383D55" w:rsidP="002C19D9">
            <w:pPr>
              <w:pStyle w:val="BodyText"/>
              <w:tabs>
                <w:tab w:val="clear" w:pos="567"/>
                <w:tab w:val="left" w:pos="510"/>
              </w:tabs>
              <w:spacing w:after="0"/>
              <w:ind w:left="600"/>
              <w:jc w:val="both"/>
              <w:rPr>
                <w:rFonts w:ascii="Times New Roman" w:hAnsi="Times New Roman"/>
                <w:iCs/>
                <w:sz w:val="28"/>
                <w:szCs w:val="28"/>
                <w:lang w:val="sq-AL"/>
              </w:rPr>
            </w:pPr>
          </w:p>
          <w:p w14:paraId="725A5EEA" w14:textId="3D881D22" w:rsidR="008675CA" w:rsidRPr="007A1206" w:rsidRDefault="00B0093C" w:rsidP="002C19D9">
            <w:pPr>
              <w:pStyle w:val="BodyText"/>
              <w:jc w:val="both"/>
              <w:rPr>
                <w:rFonts w:ascii="Times New Roman" w:hAnsi="Times New Roman"/>
                <w:iCs/>
                <w:sz w:val="28"/>
                <w:szCs w:val="28"/>
                <w:lang w:val="sq-AL"/>
              </w:rPr>
            </w:pPr>
            <w:r w:rsidRPr="007A1206">
              <w:rPr>
                <w:rFonts w:ascii="Times New Roman" w:hAnsi="Times New Roman"/>
                <w:iCs/>
                <w:sz w:val="28"/>
                <w:szCs w:val="28"/>
                <w:lang w:val="sq-AL"/>
              </w:rPr>
              <w:t xml:space="preserve">si </w:t>
            </w:r>
            <w:r w:rsidRPr="007A1206">
              <w:rPr>
                <w:rFonts w:ascii="Times New Roman" w:hAnsi="Times New Roman"/>
                <w:sz w:val="28"/>
                <w:szCs w:val="28"/>
                <w:lang w:val="sq-AL"/>
              </w:rPr>
              <w:t xml:space="preserve">dhe nëpërmjet komenteve të drejtpërdrejta në tryezat e konsultimit </w:t>
            </w:r>
            <w:r w:rsidR="00087972" w:rsidRPr="007A1206">
              <w:rPr>
                <w:rFonts w:ascii="Times New Roman" w:hAnsi="Times New Roman"/>
                <w:sz w:val="28"/>
                <w:szCs w:val="28"/>
                <w:lang w:val="sq-AL"/>
              </w:rPr>
              <w:t xml:space="preserve">që eventualisht mund të zhvillohen </w:t>
            </w:r>
            <w:r w:rsidRPr="007A1206">
              <w:rPr>
                <w:rFonts w:ascii="Times New Roman" w:hAnsi="Times New Roman"/>
                <w:sz w:val="28"/>
                <w:szCs w:val="28"/>
                <w:lang w:val="sq-AL"/>
              </w:rPr>
              <w:t xml:space="preserve">në </w:t>
            </w:r>
            <w:r w:rsidR="00647695" w:rsidRPr="007A1206">
              <w:rPr>
                <w:rFonts w:ascii="Times New Roman" w:hAnsi="Times New Roman"/>
                <w:sz w:val="28"/>
                <w:szCs w:val="28"/>
                <w:lang w:val="sq-AL"/>
              </w:rPr>
              <w:t>Ministr</w:t>
            </w:r>
            <w:r w:rsidR="004E24EE" w:rsidRPr="007A1206">
              <w:rPr>
                <w:rFonts w:ascii="Times New Roman" w:hAnsi="Times New Roman"/>
                <w:sz w:val="28"/>
                <w:szCs w:val="28"/>
                <w:lang w:val="sq-AL"/>
              </w:rPr>
              <w:t>i</w:t>
            </w:r>
            <w:r w:rsidR="00647695" w:rsidRPr="007A1206">
              <w:rPr>
                <w:rFonts w:ascii="Times New Roman" w:hAnsi="Times New Roman"/>
                <w:sz w:val="28"/>
                <w:szCs w:val="28"/>
                <w:lang w:val="sq-AL"/>
              </w:rPr>
              <w:t>në e Infrastrukturës dhe Energjisë</w:t>
            </w:r>
            <w:r w:rsidRPr="007A1206">
              <w:rPr>
                <w:rFonts w:ascii="Times New Roman" w:hAnsi="Times New Roman"/>
                <w:sz w:val="28"/>
                <w:szCs w:val="28"/>
                <w:lang w:val="sq-AL"/>
              </w:rPr>
              <w:t>.</w:t>
            </w:r>
          </w:p>
        </w:tc>
      </w:tr>
    </w:tbl>
    <w:p w14:paraId="3C463429" w14:textId="77777777" w:rsidR="008675CA" w:rsidRPr="007A1206" w:rsidRDefault="008675CA" w:rsidP="002C19D9">
      <w:pPr>
        <w:pStyle w:val="BodyText"/>
        <w:jc w:val="both"/>
        <w:rPr>
          <w:rFonts w:ascii="Times New Roman" w:hAnsi="Times New Roman"/>
          <w:sz w:val="28"/>
          <w:szCs w:val="28"/>
          <w:lang w:val="sq-AL"/>
        </w:rPr>
      </w:pPr>
    </w:p>
    <w:p w14:paraId="6C4BE25B" w14:textId="77777777" w:rsidR="008675CA" w:rsidRPr="007A1206" w:rsidRDefault="00E54C97" w:rsidP="002C19D9">
      <w:pPr>
        <w:pStyle w:val="BodyText"/>
        <w:jc w:val="both"/>
        <w:rPr>
          <w:rFonts w:ascii="Times New Roman" w:hAnsi="Times New Roman"/>
          <w:b/>
          <w:sz w:val="28"/>
          <w:szCs w:val="28"/>
          <w:lang w:val="sq-AL"/>
        </w:rPr>
      </w:pPr>
      <w:r w:rsidRPr="007A1206">
        <w:rPr>
          <w:rFonts w:ascii="Times New Roman" w:hAnsi="Times New Roman"/>
          <w:b/>
          <w:sz w:val="28"/>
          <w:szCs w:val="28"/>
          <w:lang w:val="sq-AL"/>
        </w:rPr>
        <w:t>Kontakti</w:t>
      </w:r>
      <w:r w:rsidR="008675CA" w:rsidRPr="007A1206">
        <w:rPr>
          <w:rFonts w:ascii="Times New Roman" w:hAnsi="Times New Roman"/>
          <w:b/>
          <w:sz w:val="28"/>
          <w:szCs w:val="28"/>
          <w:lang w:val="sq-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7A1206" w14:paraId="12B24D1C" w14:textId="77777777" w:rsidTr="00957E1F">
        <w:tc>
          <w:tcPr>
            <w:tcW w:w="9212" w:type="dxa"/>
          </w:tcPr>
          <w:p w14:paraId="3637B89E" w14:textId="4E53F89C" w:rsidR="00203C7D" w:rsidRPr="007A1206" w:rsidRDefault="00203C7D" w:rsidP="002C19D9">
            <w:pPr>
              <w:pStyle w:val="BodyText"/>
              <w:jc w:val="both"/>
              <w:rPr>
                <w:rFonts w:ascii="Times New Roman" w:hAnsi="Times New Roman"/>
                <w:iCs/>
                <w:sz w:val="28"/>
                <w:szCs w:val="28"/>
                <w:lang w:val="sq-AL"/>
              </w:rPr>
            </w:pPr>
            <w:r w:rsidRPr="007A1206">
              <w:rPr>
                <w:rFonts w:ascii="Times New Roman" w:hAnsi="Times New Roman"/>
                <w:sz w:val="28"/>
                <w:szCs w:val="28"/>
                <w:lang w:val="sq-AL"/>
              </w:rPr>
              <w:t>Vilma Davidhi</w:t>
            </w:r>
            <w:r w:rsidR="00B0093C" w:rsidRPr="007A1206">
              <w:rPr>
                <w:rFonts w:ascii="Times New Roman" w:hAnsi="Times New Roman"/>
                <w:sz w:val="28"/>
                <w:szCs w:val="28"/>
                <w:lang w:val="sq-AL"/>
              </w:rPr>
              <w:t xml:space="preserve">, Koordinatore për konsultimin publik në Ministri: </w:t>
            </w:r>
            <w:hyperlink r:id="rId7" w:history="1">
              <w:r w:rsidRPr="007A1206">
                <w:rPr>
                  <w:rStyle w:val="Hyperlink"/>
                  <w:rFonts w:ascii="Times New Roman" w:hAnsi="Times New Roman"/>
                  <w:iCs/>
                  <w:sz w:val="28"/>
                  <w:szCs w:val="28"/>
                  <w:lang w:val="sq-AL"/>
                </w:rPr>
                <w:t>vilma.davidhi@infrastruktura.gov.al</w:t>
              </w:r>
            </w:hyperlink>
          </w:p>
        </w:tc>
      </w:tr>
    </w:tbl>
    <w:p w14:paraId="5D44D821" w14:textId="77777777" w:rsidR="008675CA" w:rsidRPr="007A1206" w:rsidRDefault="008675CA" w:rsidP="002C19D9">
      <w:pPr>
        <w:pStyle w:val="BodyText"/>
        <w:jc w:val="both"/>
        <w:rPr>
          <w:rFonts w:ascii="Times New Roman" w:hAnsi="Times New Roman"/>
          <w:sz w:val="28"/>
          <w:szCs w:val="28"/>
          <w:lang w:val="sq-AL"/>
        </w:rPr>
      </w:pPr>
    </w:p>
    <w:p w14:paraId="3524433B" w14:textId="77777777" w:rsidR="008675CA" w:rsidRPr="007A1206" w:rsidRDefault="00E54C97" w:rsidP="002C19D9">
      <w:pPr>
        <w:pStyle w:val="BodyText"/>
        <w:jc w:val="both"/>
        <w:rPr>
          <w:rFonts w:ascii="Times New Roman" w:hAnsi="Times New Roman"/>
          <w:b/>
          <w:sz w:val="28"/>
          <w:szCs w:val="28"/>
          <w:lang w:val="sq-AL"/>
        </w:rPr>
      </w:pPr>
      <w:r w:rsidRPr="007A1206">
        <w:rPr>
          <w:rFonts w:ascii="Times New Roman" w:hAnsi="Times New Roman"/>
          <w:b/>
          <w:sz w:val="28"/>
          <w:szCs w:val="28"/>
          <w:lang w:val="sq-AL"/>
        </w:rPr>
        <w:lastRenderedPageBreak/>
        <w:t>Datat dhe vendet e takimeve publike: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7A1206" w14:paraId="7239AD1E" w14:textId="77777777" w:rsidTr="00957E1F">
        <w:tc>
          <w:tcPr>
            <w:tcW w:w="9212" w:type="dxa"/>
          </w:tcPr>
          <w:p w14:paraId="225A0334" w14:textId="692E9B15" w:rsidR="00AD4479" w:rsidRPr="007A1206" w:rsidRDefault="00AD4479" w:rsidP="002C19D9">
            <w:pPr>
              <w:pStyle w:val="BodyText"/>
              <w:jc w:val="both"/>
              <w:rPr>
                <w:rFonts w:ascii="Times New Roman" w:hAnsi="Times New Roman"/>
                <w:i/>
                <w:sz w:val="28"/>
                <w:szCs w:val="28"/>
                <w:lang w:val="sq-AL"/>
              </w:rPr>
            </w:pPr>
            <w:r w:rsidRPr="007A1206">
              <w:rPr>
                <w:rFonts w:ascii="Times New Roman" w:hAnsi="Times New Roman"/>
                <w:sz w:val="28"/>
                <w:szCs w:val="28"/>
                <w:lang w:val="sq-AL"/>
              </w:rPr>
              <w:t>E-Konsultimi: në portalin “</w:t>
            </w:r>
            <w:r w:rsidR="00343EA7" w:rsidRPr="007A1206">
              <w:rPr>
                <w:rFonts w:ascii="Times New Roman" w:hAnsi="Times New Roman"/>
                <w:sz w:val="28"/>
                <w:szCs w:val="28"/>
                <w:lang w:val="sq-AL"/>
              </w:rPr>
              <w:t>Regjistri</w:t>
            </w:r>
            <w:r w:rsidRPr="007A1206">
              <w:rPr>
                <w:rFonts w:ascii="Times New Roman" w:hAnsi="Times New Roman"/>
                <w:sz w:val="28"/>
                <w:szCs w:val="28"/>
                <w:lang w:val="sq-AL"/>
              </w:rPr>
              <w:t xml:space="preserve"> Elektronik për Njoftimet dhe Konsultimet Publike” </w:t>
            </w:r>
            <w:r w:rsidR="007765B7" w:rsidRPr="007A1206">
              <w:rPr>
                <w:rFonts w:ascii="Times New Roman" w:hAnsi="Times New Roman"/>
                <w:sz w:val="28"/>
                <w:szCs w:val="28"/>
                <w:lang w:val="sq-AL"/>
              </w:rPr>
              <w:t>20 ditë pune</w:t>
            </w:r>
            <w:r w:rsidR="00F04DE4" w:rsidRPr="007A1206">
              <w:rPr>
                <w:rFonts w:ascii="Times New Roman" w:hAnsi="Times New Roman"/>
                <w:sz w:val="28"/>
                <w:szCs w:val="28"/>
                <w:lang w:val="sq-AL"/>
              </w:rPr>
              <w:t xml:space="preserve">, </w:t>
            </w:r>
            <w:r w:rsidR="001077A7" w:rsidRPr="007A1206">
              <w:rPr>
                <w:rFonts w:ascii="Times New Roman" w:hAnsi="Times New Roman"/>
                <w:sz w:val="28"/>
                <w:szCs w:val="28"/>
                <w:lang w:val="sq-AL"/>
              </w:rPr>
              <w:t xml:space="preserve">duke filluar nga data </w:t>
            </w:r>
            <w:r w:rsidR="00A920C8" w:rsidRPr="007A1206">
              <w:rPr>
                <w:rFonts w:ascii="Times New Roman" w:hAnsi="Times New Roman"/>
                <w:sz w:val="28"/>
                <w:szCs w:val="28"/>
                <w:lang w:val="sq-AL"/>
              </w:rPr>
              <w:t>1 Tetor</w:t>
            </w:r>
            <w:r w:rsidR="006239D6" w:rsidRPr="007A1206">
              <w:rPr>
                <w:rFonts w:ascii="Times New Roman" w:hAnsi="Times New Roman"/>
                <w:sz w:val="28"/>
                <w:szCs w:val="28"/>
                <w:lang w:val="sq-AL"/>
              </w:rPr>
              <w:t xml:space="preserve"> </w:t>
            </w:r>
            <w:r w:rsidR="00E5310E" w:rsidRPr="007A1206">
              <w:rPr>
                <w:rFonts w:ascii="Times New Roman" w:hAnsi="Times New Roman"/>
                <w:bCs/>
                <w:sz w:val="28"/>
                <w:szCs w:val="28"/>
                <w:lang w:val="sq-AL"/>
              </w:rPr>
              <w:t>2026.</w:t>
            </w:r>
            <w:r w:rsidR="00CD3912" w:rsidRPr="007A1206">
              <w:rPr>
                <w:rFonts w:ascii="Times New Roman" w:hAnsi="Times New Roman"/>
                <w:bCs/>
                <w:sz w:val="28"/>
                <w:szCs w:val="28"/>
                <w:lang w:val="sq-AL"/>
              </w:rPr>
              <w:t xml:space="preserve"> </w:t>
            </w:r>
          </w:p>
        </w:tc>
      </w:tr>
    </w:tbl>
    <w:p w14:paraId="29B33FD3" w14:textId="77777777" w:rsidR="008675CA" w:rsidRPr="007A1206" w:rsidRDefault="008675CA" w:rsidP="002C19D9">
      <w:pPr>
        <w:pStyle w:val="BodyText"/>
        <w:jc w:val="both"/>
        <w:rPr>
          <w:rFonts w:ascii="Times New Roman" w:hAnsi="Times New Roman"/>
          <w:sz w:val="28"/>
          <w:szCs w:val="28"/>
          <w:lang w:val="sq-AL"/>
        </w:rPr>
      </w:pPr>
    </w:p>
    <w:p w14:paraId="5CA45918" w14:textId="77777777" w:rsidR="008675CA" w:rsidRPr="007A1206" w:rsidRDefault="00E54C97" w:rsidP="002C19D9">
      <w:pPr>
        <w:pStyle w:val="BodyText"/>
        <w:jc w:val="both"/>
        <w:rPr>
          <w:rFonts w:ascii="Times New Roman" w:hAnsi="Times New Roman"/>
          <w:b/>
          <w:sz w:val="28"/>
          <w:szCs w:val="28"/>
          <w:lang w:val="sq-AL"/>
        </w:rPr>
      </w:pPr>
      <w:r w:rsidRPr="007A1206">
        <w:rPr>
          <w:rFonts w:ascii="Times New Roman" w:hAnsi="Times New Roman"/>
          <w:b/>
          <w:sz w:val="28"/>
          <w:szCs w:val="28"/>
          <w:lang w:val="sq-AL"/>
        </w:rPr>
        <w:t>Sfondi i propozimit legjislativ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7A1206" w14:paraId="5017327A" w14:textId="77777777" w:rsidTr="00957E1F">
        <w:tc>
          <w:tcPr>
            <w:tcW w:w="9212" w:type="dxa"/>
          </w:tcPr>
          <w:p w14:paraId="220B04A9" w14:textId="74CA6BC3" w:rsidR="00A920C8" w:rsidRPr="007A1206" w:rsidRDefault="00A920C8" w:rsidP="000E2F9F">
            <w:pPr>
              <w:pStyle w:val="NoSpacing"/>
              <w:jc w:val="both"/>
              <w:rPr>
                <w:rFonts w:ascii="Times New Roman" w:hAnsi="Times New Roman"/>
                <w:bCs/>
                <w:sz w:val="28"/>
                <w:szCs w:val="28"/>
              </w:rPr>
            </w:pPr>
            <w:r w:rsidRPr="007A1206">
              <w:rPr>
                <w:rFonts w:ascii="Times New Roman" w:hAnsi="Times New Roman"/>
                <w:bCs/>
                <w:sz w:val="28"/>
                <w:szCs w:val="28"/>
              </w:rPr>
              <w:t>Projektligji “Për tregtimin e produkteve të ndërtimit”</w:t>
            </w:r>
            <w:r w:rsidR="000E2F9F" w:rsidRPr="007A1206">
              <w:rPr>
                <w:rFonts w:ascii="Times New Roman" w:hAnsi="Times New Roman"/>
                <w:bCs/>
                <w:sz w:val="28"/>
                <w:szCs w:val="28"/>
              </w:rPr>
              <w:t xml:space="preserve">, </w:t>
            </w:r>
            <w:r w:rsidRPr="007A1206">
              <w:rPr>
                <w:rFonts w:ascii="Times New Roman" w:hAnsi="Times New Roman"/>
                <w:bCs/>
                <w:sz w:val="28"/>
                <w:szCs w:val="28"/>
              </w:rPr>
              <w:t>synon krijimin e një kuadri modern, të harmonizuar dhe funksional për vendosjen në treg dhe përdorimin e produkteve të ndërtimit në Republikën e Shqipërisë, në përputhje me kërkesat e Rregullores (BE) 2024/3110 dhe standardeve të Bashkimit Evropian.</w:t>
            </w:r>
          </w:p>
          <w:p w14:paraId="2EC1A74C" w14:textId="77777777" w:rsidR="000E2F9F" w:rsidRPr="007A1206" w:rsidRDefault="000E2F9F" w:rsidP="00A920C8">
            <w:pPr>
              <w:pStyle w:val="NoSpacing"/>
              <w:rPr>
                <w:rFonts w:ascii="Times New Roman" w:hAnsi="Times New Roman"/>
                <w:bCs/>
                <w:sz w:val="28"/>
                <w:szCs w:val="28"/>
              </w:rPr>
            </w:pPr>
          </w:p>
          <w:p w14:paraId="1BBE994B" w14:textId="3ABE39F1" w:rsidR="00A920C8" w:rsidRPr="007A1206" w:rsidRDefault="00A920C8" w:rsidP="000E2F9F">
            <w:pPr>
              <w:pStyle w:val="NoSpacing"/>
              <w:jc w:val="both"/>
              <w:rPr>
                <w:rFonts w:ascii="Times New Roman" w:hAnsi="Times New Roman"/>
                <w:bCs/>
                <w:sz w:val="28"/>
                <w:szCs w:val="28"/>
              </w:rPr>
            </w:pPr>
            <w:r w:rsidRPr="007A1206">
              <w:rPr>
                <w:rFonts w:ascii="Times New Roman" w:hAnsi="Times New Roman"/>
                <w:bCs/>
                <w:sz w:val="28"/>
                <w:szCs w:val="28"/>
              </w:rPr>
              <w:t>Qëllimi kryesor i këtij projektligji është të garantojë që produktet e ndërtimit të vendosura në tregun shqiptar:</w:t>
            </w:r>
          </w:p>
          <w:p w14:paraId="7A0B9A2D" w14:textId="77777777" w:rsidR="00A920C8" w:rsidRPr="007A1206" w:rsidRDefault="00A920C8" w:rsidP="000E2F9F">
            <w:pPr>
              <w:pStyle w:val="NoSpacing"/>
              <w:numPr>
                <w:ilvl w:val="0"/>
                <w:numId w:val="14"/>
              </w:numPr>
              <w:jc w:val="both"/>
              <w:rPr>
                <w:rFonts w:ascii="Times New Roman" w:hAnsi="Times New Roman"/>
                <w:bCs/>
                <w:sz w:val="28"/>
                <w:szCs w:val="28"/>
              </w:rPr>
            </w:pPr>
            <w:r w:rsidRPr="007A1206">
              <w:rPr>
                <w:rFonts w:ascii="Times New Roman" w:hAnsi="Times New Roman"/>
                <w:bCs/>
                <w:sz w:val="28"/>
                <w:szCs w:val="28"/>
              </w:rPr>
              <w:t>të jenë të sigurta,</w:t>
            </w:r>
          </w:p>
          <w:p w14:paraId="2A269893" w14:textId="77777777" w:rsidR="00A920C8" w:rsidRPr="007A1206" w:rsidRDefault="00A920C8" w:rsidP="000E2F9F">
            <w:pPr>
              <w:pStyle w:val="NoSpacing"/>
              <w:numPr>
                <w:ilvl w:val="0"/>
                <w:numId w:val="14"/>
              </w:numPr>
              <w:jc w:val="both"/>
              <w:rPr>
                <w:rFonts w:ascii="Times New Roman" w:hAnsi="Times New Roman"/>
                <w:bCs/>
                <w:sz w:val="28"/>
                <w:szCs w:val="28"/>
              </w:rPr>
            </w:pPr>
            <w:r w:rsidRPr="007A1206">
              <w:rPr>
                <w:rFonts w:ascii="Times New Roman" w:hAnsi="Times New Roman"/>
                <w:bCs/>
                <w:sz w:val="28"/>
                <w:szCs w:val="28"/>
              </w:rPr>
              <w:t>të kenë performancë të vërtetuar dhe të dokumentuar,</w:t>
            </w:r>
          </w:p>
          <w:p w14:paraId="25B80C5B" w14:textId="77777777" w:rsidR="00A920C8" w:rsidRPr="007A1206" w:rsidRDefault="00A920C8" w:rsidP="000E2F9F">
            <w:pPr>
              <w:pStyle w:val="NoSpacing"/>
              <w:numPr>
                <w:ilvl w:val="0"/>
                <w:numId w:val="14"/>
              </w:numPr>
              <w:jc w:val="both"/>
              <w:rPr>
                <w:rFonts w:ascii="Times New Roman" w:hAnsi="Times New Roman"/>
                <w:bCs/>
                <w:sz w:val="28"/>
                <w:szCs w:val="28"/>
              </w:rPr>
            </w:pPr>
            <w:r w:rsidRPr="007A1206">
              <w:rPr>
                <w:rFonts w:ascii="Times New Roman" w:hAnsi="Times New Roman"/>
                <w:bCs/>
                <w:sz w:val="28"/>
                <w:szCs w:val="28"/>
              </w:rPr>
              <w:t>të jenë të gjurmueshme dhe transparente,</w:t>
            </w:r>
          </w:p>
          <w:p w14:paraId="20BEC771" w14:textId="77777777" w:rsidR="00A920C8" w:rsidRPr="007A1206" w:rsidRDefault="00A920C8" w:rsidP="000E2F9F">
            <w:pPr>
              <w:pStyle w:val="NoSpacing"/>
              <w:numPr>
                <w:ilvl w:val="0"/>
                <w:numId w:val="14"/>
              </w:numPr>
              <w:jc w:val="both"/>
              <w:rPr>
                <w:rFonts w:ascii="Times New Roman" w:hAnsi="Times New Roman"/>
                <w:bCs/>
                <w:sz w:val="28"/>
                <w:szCs w:val="28"/>
              </w:rPr>
            </w:pPr>
            <w:r w:rsidRPr="007A1206">
              <w:rPr>
                <w:rFonts w:ascii="Times New Roman" w:hAnsi="Times New Roman"/>
                <w:bCs/>
                <w:sz w:val="28"/>
                <w:szCs w:val="28"/>
              </w:rPr>
              <w:t>të jenë të kontrolluara dhe të mbikëqyrura nga autoritete kompetente,</w:t>
            </w:r>
          </w:p>
          <w:p w14:paraId="51F5FF5C" w14:textId="77777777" w:rsidR="00A920C8" w:rsidRPr="007A1206" w:rsidRDefault="00A920C8" w:rsidP="000E2F9F">
            <w:pPr>
              <w:pStyle w:val="NoSpacing"/>
              <w:numPr>
                <w:ilvl w:val="0"/>
                <w:numId w:val="14"/>
              </w:numPr>
              <w:jc w:val="both"/>
              <w:rPr>
                <w:rFonts w:ascii="Times New Roman" w:hAnsi="Times New Roman"/>
                <w:bCs/>
                <w:sz w:val="28"/>
                <w:szCs w:val="28"/>
              </w:rPr>
            </w:pPr>
            <w:r w:rsidRPr="007A1206">
              <w:rPr>
                <w:rFonts w:ascii="Times New Roman" w:hAnsi="Times New Roman"/>
                <w:bCs/>
                <w:sz w:val="28"/>
                <w:szCs w:val="28"/>
              </w:rPr>
              <w:t>të jenë të përputhshme me kërkesat teknike të BE-së,</w:t>
            </w:r>
          </w:p>
          <w:p w14:paraId="655246EF" w14:textId="77777777" w:rsidR="00A920C8" w:rsidRPr="007A1206" w:rsidRDefault="00A920C8" w:rsidP="000E2F9F">
            <w:pPr>
              <w:pStyle w:val="NoSpacing"/>
              <w:numPr>
                <w:ilvl w:val="0"/>
                <w:numId w:val="14"/>
              </w:numPr>
              <w:jc w:val="both"/>
              <w:rPr>
                <w:rFonts w:ascii="Times New Roman" w:hAnsi="Times New Roman"/>
                <w:bCs/>
                <w:sz w:val="28"/>
                <w:szCs w:val="28"/>
              </w:rPr>
            </w:pPr>
            <w:r w:rsidRPr="007A1206">
              <w:rPr>
                <w:rFonts w:ascii="Times New Roman" w:hAnsi="Times New Roman"/>
                <w:bCs/>
                <w:sz w:val="28"/>
                <w:szCs w:val="28"/>
              </w:rPr>
              <w:t>të mund të përdoren dhe të certifikohen sipas standardeve evropiane.</w:t>
            </w:r>
          </w:p>
          <w:p w14:paraId="7B490127" w14:textId="77777777" w:rsidR="000E2F9F" w:rsidRPr="007A1206" w:rsidRDefault="000E2F9F" w:rsidP="000E2F9F">
            <w:pPr>
              <w:pStyle w:val="NoSpacing"/>
              <w:jc w:val="both"/>
              <w:rPr>
                <w:rFonts w:ascii="Times New Roman" w:hAnsi="Times New Roman"/>
                <w:bCs/>
                <w:sz w:val="28"/>
                <w:szCs w:val="28"/>
              </w:rPr>
            </w:pPr>
          </w:p>
          <w:p w14:paraId="207828DA" w14:textId="328D8C38" w:rsidR="00A920C8" w:rsidRPr="007A1206" w:rsidRDefault="00A920C8" w:rsidP="000E2F9F">
            <w:pPr>
              <w:pStyle w:val="NoSpacing"/>
              <w:jc w:val="both"/>
              <w:rPr>
                <w:rFonts w:ascii="Times New Roman" w:hAnsi="Times New Roman"/>
                <w:bCs/>
                <w:sz w:val="28"/>
                <w:szCs w:val="28"/>
              </w:rPr>
            </w:pPr>
            <w:r w:rsidRPr="007A1206">
              <w:rPr>
                <w:rFonts w:ascii="Times New Roman" w:hAnsi="Times New Roman"/>
                <w:bCs/>
                <w:sz w:val="28"/>
                <w:szCs w:val="28"/>
              </w:rPr>
              <w:t>Projektligji adreson boshllëkun aktual në legjislacionin shqiptar, i cili nuk është përafruar më parë me Rregulloren (BE) 305/2011.  Përmes këtij akti synohet ndërtimi i një infrastrukture ligjore dhe institucionale të qëndrueshme para anëtarësimit të Shqipërisë në BE, si dhe sigurimi i një tranzicioni të rregullt drejt zbatimit të drejtpërdrejtë të Rregullores (BE) 2024/3110 në ditën e anëtarësimit.</w:t>
            </w:r>
          </w:p>
          <w:p w14:paraId="6A8CB1CA" w14:textId="77777777" w:rsidR="000E2F9F" w:rsidRPr="007A1206" w:rsidRDefault="000E2F9F" w:rsidP="000E2F9F">
            <w:pPr>
              <w:pStyle w:val="NoSpacing"/>
              <w:jc w:val="both"/>
              <w:rPr>
                <w:rFonts w:ascii="Times New Roman" w:hAnsi="Times New Roman"/>
                <w:bCs/>
                <w:sz w:val="28"/>
                <w:szCs w:val="28"/>
              </w:rPr>
            </w:pPr>
          </w:p>
          <w:p w14:paraId="3CC3E77F" w14:textId="77777777" w:rsidR="00A920C8" w:rsidRPr="007A1206" w:rsidRDefault="00A920C8" w:rsidP="000E2F9F">
            <w:pPr>
              <w:pStyle w:val="NoSpacing"/>
              <w:jc w:val="both"/>
              <w:rPr>
                <w:rFonts w:ascii="Times New Roman" w:hAnsi="Times New Roman"/>
                <w:bCs/>
                <w:sz w:val="28"/>
                <w:szCs w:val="28"/>
              </w:rPr>
            </w:pPr>
            <w:r w:rsidRPr="007A1206">
              <w:rPr>
                <w:rFonts w:ascii="Times New Roman" w:hAnsi="Times New Roman"/>
                <w:bCs/>
                <w:sz w:val="28"/>
                <w:szCs w:val="28"/>
              </w:rPr>
              <w:t>Projektligji synon të arrijë këto objektiva kryesore:</w:t>
            </w:r>
          </w:p>
          <w:p w14:paraId="36103805" w14:textId="77777777" w:rsidR="000E2F9F" w:rsidRPr="007A1206" w:rsidRDefault="000E2F9F" w:rsidP="000E2F9F">
            <w:pPr>
              <w:pStyle w:val="NoSpacing"/>
              <w:jc w:val="both"/>
              <w:rPr>
                <w:rFonts w:ascii="Times New Roman" w:hAnsi="Times New Roman"/>
                <w:bCs/>
                <w:sz w:val="28"/>
                <w:szCs w:val="28"/>
              </w:rPr>
            </w:pPr>
          </w:p>
          <w:p w14:paraId="4294C4BC" w14:textId="77777777" w:rsidR="00A920C8" w:rsidRPr="007A1206" w:rsidRDefault="00A920C8" w:rsidP="000E2F9F">
            <w:pPr>
              <w:pStyle w:val="NoSpacing"/>
              <w:numPr>
                <w:ilvl w:val="0"/>
                <w:numId w:val="13"/>
              </w:numPr>
              <w:jc w:val="both"/>
              <w:rPr>
                <w:rFonts w:ascii="Times New Roman" w:hAnsi="Times New Roman"/>
                <w:bCs/>
                <w:sz w:val="28"/>
                <w:szCs w:val="28"/>
              </w:rPr>
            </w:pPr>
            <w:r w:rsidRPr="007A1206">
              <w:rPr>
                <w:rFonts w:ascii="Times New Roman" w:hAnsi="Times New Roman"/>
                <w:bCs/>
                <w:sz w:val="28"/>
                <w:szCs w:val="28"/>
              </w:rPr>
              <w:t>Vendosjen e një sistemi kombëtar të unifikuar për vlerësimin, verifikimin dhe deklarimin e performancës dhe konformitetit të produkteve të ndërtimit, të ndërthurur me kërkesat e BE-së dhe të përshtatur me statusin e Shqipërisë si vend para-anëtarësimit.</w:t>
            </w:r>
          </w:p>
          <w:p w14:paraId="604C32B7" w14:textId="77777777" w:rsidR="00A920C8" w:rsidRPr="007A1206" w:rsidRDefault="00A920C8" w:rsidP="000E2F9F">
            <w:pPr>
              <w:pStyle w:val="NoSpacing"/>
              <w:numPr>
                <w:ilvl w:val="0"/>
                <w:numId w:val="13"/>
              </w:numPr>
              <w:jc w:val="both"/>
              <w:rPr>
                <w:rFonts w:ascii="Times New Roman" w:hAnsi="Times New Roman"/>
                <w:bCs/>
                <w:sz w:val="28"/>
                <w:szCs w:val="28"/>
              </w:rPr>
            </w:pPr>
            <w:r w:rsidRPr="007A1206">
              <w:rPr>
                <w:rFonts w:ascii="Times New Roman" w:hAnsi="Times New Roman"/>
                <w:bCs/>
                <w:sz w:val="28"/>
                <w:szCs w:val="28"/>
              </w:rPr>
              <w:t>Krijimin dhe funksionalizimin e strukturave përgjegjëse, përfshirë organet e miratuara, organin shqiptar të vlerësimit teknik dhe strukturat e mbikëqyrjes së tregut.</w:t>
            </w:r>
          </w:p>
          <w:p w14:paraId="66428F30" w14:textId="77777777" w:rsidR="00A920C8" w:rsidRPr="007A1206" w:rsidRDefault="00A920C8" w:rsidP="000E2F9F">
            <w:pPr>
              <w:pStyle w:val="NoSpacing"/>
              <w:numPr>
                <w:ilvl w:val="0"/>
                <w:numId w:val="13"/>
              </w:numPr>
              <w:jc w:val="both"/>
              <w:rPr>
                <w:rFonts w:ascii="Times New Roman" w:hAnsi="Times New Roman"/>
                <w:bCs/>
                <w:sz w:val="28"/>
                <w:szCs w:val="28"/>
              </w:rPr>
            </w:pPr>
            <w:r w:rsidRPr="007A1206">
              <w:rPr>
                <w:rFonts w:ascii="Times New Roman" w:hAnsi="Times New Roman"/>
                <w:bCs/>
                <w:sz w:val="28"/>
                <w:szCs w:val="28"/>
              </w:rPr>
              <w:t>Rritjen e sigurisë në punimet e ndërtimit, duke vendosur standarde të qarta teknike për produktet me ndikim në cilësinë, sigurinë dhe qëndrueshmërinë e veprave ndërtimore.</w:t>
            </w:r>
          </w:p>
          <w:p w14:paraId="227C162E" w14:textId="77777777" w:rsidR="00A920C8" w:rsidRPr="007A1206" w:rsidRDefault="00A920C8" w:rsidP="000E2F9F">
            <w:pPr>
              <w:pStyle w:val="NoSpacing"/>
              <w:numPr>
                <w:ilvl w:val="0"/>
                <w:numId w:val="13"/>
              </w:numPr>
              <w:jc w:val="both"/>
              <w:rPr>
                <w:rFonts w:ascii="Times New Roman" w:hAnsi="Times New Roman"/>
                <w:bCs/>
                <w:sz w:val="28"/>
                <w:szCs w:val="28"/>
              </w:rPr>
            </w:pPr>
            <w:r w:rsidRPr="007A1206">
              <w:rPr>
                <w:rFonts w:ascii="Times New Roman" w:hAnsi="Times New Roman"/>
                <w:bCs/>
                <w:sz w:val="28"/>
                <w:szCs w:val="28"/>
              </w:rPr>
              <w:t>Mbrojtjen e konkurrueshmërisë së prodhuesve shqiptarë, duke u garantuar atyre kushte të barabarta me operatorët e BE-së dhe periudha tranzitore të arsyeshme për përshtatje.</w:t>
            </w:r>
          </w:p>
          <w:p w14:paraId="0D6BB237" w14:textId="77777777" w:rsidR="00A920C8" w:rsidRPr="007A1206" w:rsidRDefault="00A920C8" w:rsidP="000E2F9F">
            <w:pPr>
              <w:pStyle w:val="NoSpacing"/>
              <w:numPr>
                <w:ilvl w:val="0"/>
                <w:numId w:val="13"/>
              </w:numPr>
              <w:jc w:val="both"/>
              <w:rPr>
                <w:rFonts w:ascii="Times New Roman" w:hAnsi="Times New Roman"/>
                <w:bCs/>
                <w:sz w:val="28"/>
                <w:szCs w:val="28"/>
              </w:rPr>
            </w:pPr>
            <w:r w:rsidRPr="007A1206">
              <w:rPr>
                <w:rFonts w:ascii="Times New Roman" w:hAnsi="Times New Roman"/>
                <w:bCs/>
                <w:sz w:val="28"/>
                <w:szCs w:val="28"/>
              </w:rPr>
              <w:lastRenderedPageBreak/>
              <w:t>Ndërtimin gradual të kapaciteteve institucionale dhe teknike, përfshirë sistemet elektronike të informacionit, në përputhje me transformimin digjital të parashikuar nga CPR 2024.</w:t>
            </w:r>
          </w:p>
          <w:p w14:paraId="77A090BD" w14:textId="77777777" w:rsidR="00A920C8" w:rsidRPr="007A1206" w:rsidRDefault="00A920C8" w:rsidP="000E2F9F">
            <w:pPr>
              <w:pStyle w:val="NoSpacing"/>
              <w:numPr>
                <w:ilvl w:val="0"/>
                <w:numId w:val="13"/>
              </w:numPr>
              <w:jc w:val="both"/>
              <w:rPr>
                <w:rFonts w:ascii="Times New Roman" w:hAnsi="Times New Roman"/>
                <w:bCs/>
                <w:sz w:val="28"/>
                <w:szCs w:val="28"/>
              </w:rPr>
            </w:pPr>
            <w:r w:rsidRPr="007A1206">
              <w:rPr>
                <w:rFonts w:ascii="Times New Roman" w:hAnsi="Times New Roman"/>
                <w:bCs/>
                <w:sz w:val="28"/>
                <w:szCs w:val="28"/>
              </w:rPr>
              <w:t>Sigurimin e një kuadri të qartë tranzitor, i cili lejon bashkëjetesën e instrumenteve të trashëguara nga CPR 305/2011 me kërkesat e reja të CPR 2024 deri më 9 janar 2040, duke reflektuar dispozitat e vetë rregullores së BE-së.</w:t>
            </w:r>
          </w:p>
          <w:p w14:paraId="65DD9BAB" w14:textId="77777777" w:rsidR="00A920C8" w:rsidRPr="007A1206" w:rsidRDefault="00A920C8" w:rsidP="000E2F9F">
            <w:pPr>
              <w:pStyle w:val="NoSpacing"/>
              <w:numPr>
                <w:ilvl w:val="0"/>
                <w:numId w:val="13"/>
              </w:numPr>
              <w:jc w:val="both"/>
              <w:rPr>
                <w:rFonts w:ascii="Times New Roman" w:hAnsi="Times New Roman"/>
                <w:bCs/>
                <w:sz w:val="28"/>
                <w:szCs w:val="28"/>
              </w:rPr>
            </w:pPr>
            <w:r w:rsidRPr="007A1206">
              <w:rPr>
                <w:rFonts w:ascii="Times New Roman" w:hAnsi="Times New Roman"/>
                <w:bCs/>
                <w:sz w:val="28"/>
                <w:szCs w:val="28"/>
              </w:rPr>
              <w:t>Përgatitjen e autoriteteve shqiptare për zbatimin e drejtpërdrejtë të CPR 2024 në ditën e anëtarësimit, duke shmangur konfliktet normative, boshllëqet administrative dhe pasigurinë e operatorëve ekonomikë.</w:t>
            </w:r>
          </w:p>
          <w:p w14:paraId="2528C568" w14:textId="77777777" w:rsidR="000E2F9F" w:rsidRPr="007A1206" w:rsidRDefault="000E2F9F" w:rsidP="000E2F9F">
            <w:pPr>
              <w:pStyle w:val="NoSpacing"/>
              <w:ind w:left="720"/>
              <w:jc w:val="both"/>
              <w:rPr>
                <w:rFonts w:ascii="Times New Roman" w:hAnsi="Times New Roman"/>
                <w:bCs/>
                <w:sz w:val="28"/>
                <w:szCs w:val="28"/>
              </w:rPr>
            </w:pPr>
          </w:p>
          <w:p w14:paraId="01A9D674" w14:textId="77777777" w:rsidR="00A920C8" w:rsidRPr="007A1206" w:rsidRDefault="00A920C8" w:rsidP="000E2F9F">
            <w:pPr>
              <w:pStyle w:val="NoSpacing"/>
              <w:jc w:val="both"/>
              <w:rPr>
                <w:rFonts w:ascii="Times New Roman" w:hAnsi="Times New Roman"/>
                <w:bCs/>
                <w:sz w:val="28"/>
                <w:szCs w:val="28"/>
              </w:rPr>
            </w:pPr>
            <w:r w:rsidRPr="007A1206">
              <w:rPr>
                <w:rFonts w:ascii="Times New Roman" w:hAnsi="Times New Roman"/>
                <w:bCs/>
                <w:sz w:val="28"/>
                <w:szCs w:val="28"/>
              </w:rPr>
              <w:t>Në thelb, projektligji synon të garantojë që tregu shqiptar i produkteve të ndërtimit të jetë i përgatitur për momentin e anëtarësimit në Bashkimin Evropian dhe për zbatimin e drejtpërdrejtë të CPR 2024, duke mbrojtur konsumatorët, industrinë e ndërtimit dhe prodhuesit vendas, si dhe duke siguruar një nivel të lartë sigurie, cilësie dhe transparence në të gjithë zinxhirin e furnizimit.</w:t>
            </w:r>
          </w:p>
          <w:p w14:paraId="7590D3B8" w14:textId="7E77CC90" w:rsidR="00F05301" w:rsidRPr="007A1206" w:rsidRDefault="00F05301" w:rsidP="00C24684">
            <w:pPr>
              <w:jc w:val="both"/>
              <w:rPr>
                <w:rFonts w:ascii="Times New Roman" w:hAnsi="Times New Roman"/>
                <w:sz w:val="28"/>
                <w:szCs w:val="28"/>
                <w:lang w:val="sq-AL"/>
              </w:rPr>
            </w:pPr>
          </w:p>
        </w:tc>
      </w:tr>
    </w:tbl>
    <w:p w14:paraId="671DF514" w14:textId="2DED9CB9" w:rsidR="00E54C97" w:rsidRPr="007A1206" w:rsidRDefault="00E54C97" w:rsidP="002C19D9">
      <w:pPr>
        <w:pStyle w:val="BodyText"/>
        <w:jc w:val="both"/>
        <w:rPr>
          <w:rFonts w:ascii="Times New Roman" w:hAnsi="Times New Roman"/>
          <w:sz w:val="28"/>
          <w:szCs w:val="28"/>
          <w:lang w:val="sq-AL"/>
        </w:rPr>
      </w:pPr>
    </w:p>
    <w:p w14:paraId="034FED24" w14:textId="77777777" w:rsidR="008675CA" w:rsidRPr="007A1206" w:rsidRDefault="00E54C97" w:rsidP="002C19D9">
      <w:pPr>
        <w:pStyle w:val="BodyText"/>
        <w:jc w:val="both"/>
        <w:rPr>
          <w:rFonts w:ascii="Times New Roman" w:hAnsi="Times New Roman"/>
          <w:b/>
          <w:sz w:val="28"/>
          <w:szCs w:val="28"/>
          <w:lang w:val="sq-AL"/>
        </w:rPr>
      </w:pPr>
      <w:r w:rsidRPr="007A1206">
        <w:rPr>
          <w:rFonts w:ascii="Times New Roman" w:hAnsi="Times New Roman"/>
          <w:b/>
          <w:sz w:val="28"/>
          <w:szCs w:val="28"/>
          <w:lang w:val="sq-AL"/>
        </w:rPr>
        <w:t>Propozimet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7A1206" w14:paraId="59FC2C08" w14:textId="77777777" w:rsidTr="00957E1F">
        <w:tc>
          <w:tcPr>
            <w:tcW w:w="9212" w:type="dxa"/>
          </w:tcPr>
          <w:p w14:paraId="7E13EA3F" w14:textId="77777777" w:rsidR="007A1206" w:rsidRDefault="007A1206" w:rsidP="007A1206">
            <w:pPr>
              <w:tabs>
                <w:tab w:val="left" w:pos="60"/>
                <w:tab w:val="left" w:pos="540"/>
              </w:tabs>
              <w:jc w:val="both"/>
              <w:rPr>
                <w:rFonts w:ascii="Times New Roman" w:hAnsi="Times New Roman"/>
                <w:b/>
                <w:bCs/>
                <w:sz w:val="28"/>
                <w:szCs w:val="28"/>
                <w:lang w:val="sq-AL"/>
              </w:rPr>
            </w:pPr>
            <w:r w:rsidRPr="007A1206">
              <w:rPr>
                <w:rFonts w:ascii="Times New Roman" w:hAnsi="Times New Roman"/>
                <w:b/>
                <w:bCs/>
                <w:sz w:val="28"/>
                <w:szCs w:val="28"/>
                <w:lang w:val="sq-AL"/>
              </w:rPr>
              <w:t>Kreu I – Dispozita të Përgjithshme (pjesa pas përkufizimeve)</w:t>
            </w:r>
          </w:p>
          <w:p w14:paraId="6757FFB2" w14:textId="77777777" w:rsidR="007A1206" w:rsidRPr="007A1206" w:rsidRDefault="007A1206" w:rsidP="007A1206">
            <w:pPr>
              <w:tabs>
                <w:tab w:val="left" w:pos="60"/>
                <w:tab w:val="left" w:pos="540"/>
              </w:tabs>
              <w:jc w:val="both"/>
              <w:rPr>
                <w:rFonts w:ascii="Times New Roman" w:hAnsi="Times New Roman"/>
                <w:b/>
                <w:bCs/>
                <w:sz w:val="28"/>
                <w:szCs w:val="28"/>
                <w:lang w:val="sq-AL"/>
              </w:rPr>
            </w:pPr>
          </w:p>
          <w:p w14:paraId="5D0E62E7"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Kreu I</w:t>
            </w:r>
            <w:r w:rsidRPr="007A1206">
              <w:rPr>
                <w:rFonts w:ascii="Times New Roman" w:hAnsi="Times New Roman"/>
                <w:sz w:val="28"/>
                <w:szCs w:val="28"/>
                <w:lang w:val="sq-AL"/>
              </w:rPr>
              <w:t xml:space="preserve"> i ligjit vendos bazën konceptuale dhe normative për të gjithë aktin, duke përcaktuar qëllimin, objektin, fushën e veprimit dhe elementet kryesore përkufizuese që përdoren më tej në pjesët e tjera të ligjit. Dispozitat fillestare synojnë të sigurojnë funksionimin e rregullt të tregut të produkteve të ndërtimit, duke orientuar legjislacionin drejt objektivave të digjitalizimit, qëndrueshmërisë dhe tranzicionit drejt ekonomisë së gjelbër. Në këtë kuadër, ligji synon të mundësojë qarkullimin e produkteve të sigurta dhe të qëndrueshme, të garantuara në aspektin e sigurisë, performancës dhe ndikimit mjedisor, gjatë gjithë ciklit të tyre jetësor.</w:t>
            </w:r>
          </w:p>
          <w:p w14:paraId="0BF5270A"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Nëpërmjet dispozitave të </w:t>
            </w:r>
            <w:r w:rsidRPr="007A1206">
              <w:rPr>
                <w:rFonts w:ascii="Times New Roman" w:hAnsi="Times New Roman"/>
                <w:b/>
                <w:bCs/>
                <w:sz w:val="28"/>
                <w:szCs w:val="28"/>
                <w:lang w:val="sq-AL"/>
              </w:rPr>
              <w:t>nenit 2,</w:t>
            </w:r>
            <w:r w:rsidRPr="007A1206">
              <w:rPr>
                <w:rFonts w:ascii="Times New Roman" w:hAnsi="Times New Roman"/>
                <w:sz w:val="28"/>
                <w:szCs w:val="28"/>
                <w:lang w:val="sq-AL"/>
              </w:rPr>
              <w:t xml:space="preserve"> ligji përcakton rregullat për vendosjen dhe bërjen e disponueshme në treg të produkteve të ndërtimit, duke përfshirë edhe produktet e përdorura, pjesët kyçe të tyre dhe materialet që prodhuesi i përkufizon si pjesë të domosdoshme për funksionimin e produktit. Rregullimi shtrihet edhe te kërkesat mjedisore, funksionale dhe të sigurisë, si dhe te detyrimet e operatorëve ekonomikë dhe subjekteve të tjera që ofrojnë shërbime të lidhura me prodhimin, vënien në treg ose shpërndarjen e produkteve të mbuluara nga ligji. Paralelisht, parashikohen strukturat administrative përgjegjëse për zbatimin dhe detyrimin e zbatimit të këtyre rregullave. Ligji përjashton disa fusha të rregulluara me legjislacion të posaçëm, siç janë ashensorët dhe materialet që kanë kontakt me ujin e pijshëm.</w:t>
            </w:r>
          </w:p>
          <w:p w14:paraId="56E76C6B"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3</w:t>
            </w:r>
            <w:r w:rsidRPr="007A1206">
              <w:rPr>
                <w:rFonts w:ascii="Times New Roman" w:hAnsi="Times New Roman"/>
                <w:sz w:val="28"/>
                <w:szCs w:val="28"/>
                <w:lang w:val="sq-AL"/>
              </w:rPr>
              <w:t xml:space="preserve"> përmbledh përkufizimet, të cilat janë kryesore për interpretimin dhe zbatimin e ligjit. Ato janë pjesërisht të njëjta me ato të përcaktuara në </w:t>
            </w:r>
            <w:r w:rsidRPr="007A1206">
              <w:rPr>
                <w:rFonts w:ascii="Times New Roman" w:hAnsi="Times New Roman"/>
                <w:sz w:val="28"/>
                <w:szCs w:val="28"/>
                <w:lang w:val="sq-AL"/>
              </w:rPr>
              <w:lastRenderedPageBreak/>
              <w:t>rregulloren CPR 2024, duke siguruar harmonizim me kornizën evropiane, por janë zgjeruar dhe përshtatur për realitetin institucional të Shqipërisë si vend jo-anëtar i Bashkimit Evropian. Në këtë kuadër janë shtuar edhe përkufizime të posaçme kombëtare, si “dokument i vlerësimit shqiptar” dhe “vlerësim teknik shqiptar”, të cilat krijojnë bazën ligjore për lëshimin dhe përdorimin e dokumenteve teknike kombëtare në kushtet e fazës para-anëtarësimit të Shqipërisë si një pasqyrim i CPR 2024. Këto instrumente sigurojnë që prodhuesit dhe operatorët ekonomikë të kenë mekanizma ekuivalentë për vlerësimin e performancës dhe përputhshmërisë në tregun vendas, duke ruajtur koherencën me synimet e përgjithshme të harmonizimit.</w:t>
            </w:r>
          </w:p>
          <w:p w14:paraId="07373125"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Neni 4 i projekt ligjit </w:t>
            </w:r>
            <w:r w:rsidRPr="007A1206">
              <w:rPr>
                <w:rFonts w:ascii="Times New Roman" w:hAnsi="Times New Roman"/>
                <w:sz w:val="28"/>
                <w:szCs w:val="28"/>
                <w:lang w:val="sq-AL"/>
              </w:rPr>
              <w:t xml:space="preserve">krijon bazën ligjore që pas anëtarësimit, Shqipëria të përfaqësohet nga një ekspert kombëtar në Grupin e Ekspertëve të Komisionit Evropian për kuadrin ligjor të produkteve të ndërtimit. </w:t>
            </w:r>
          </w:p>
          <w:p w14:paraId="6B651DF9"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Blloku i </w:t>
            </w:r>
            <w:r w:rsidRPr="007A1206">
              <w:rPr>
                <w:rFonts w:ascii="Times New Roman" w:hAnsi="Times New Roman"/>
                <w:b/>
                <w:bCs/>
                <w:sz w:val="28"/>
                <w:szCs w:val="28"/>
                <w:lang w:val="sq-AL"/>
              </w:rPr>
              <w:t>neneve 5, 6, 7 dhe 8</w:t>
            </w:r>
            <w:r w:rsidRPr="007A1206">
              <w:rPr>
                <w:rFonts w:ascii="Times New Roman" w:hAnsi="Times New Roman"/>
                <w:sz w:val="28"/>
                <w:szCs w:val="28"/>
                <w:lang w:val="sq-AL"/>
              </w:rPr>
              <w:t xml:space="preserve"> është thelbësor, sepse është mënyra se si Shqipëria “përkthen” në realitetin e vet nenet 5, 6, 7 dhe 8 të CPR 2024 mbi specifikimet teknike të harmonizuara dhe prezumimin e konformitetit – në kushtet kur ende nuk është shtet anëtar i BE-së dhe nuk i referohet dot akteve zbatuese të Komisionit Evropian.</w:t>
            </w:r>
          </w:p>
          <w:p w14:paraId="213BC8E1"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Në këtë mënyrë</w:t>
            </w:r>
            <w:r w:rsidRPr="007A1206">
              <w:rPr>
                <w:rFonts w:ascii="Times New Roman" w:hAnsi="Times New Roman"/>
                <w:b/>
                <w:bCs/>
                <w:sz w:val="28"/>
                <w:szCs w:val="28"/>
                <w:lang w:val="sq-AL"/>
              </w:rPr>
              <w:t>, neni 5</w:t>
            </w:r>
            <w:r w:rsidRPr="007A1206">
              <w:rPr>
                <w:rFonts w:ascii="Times New Roman" w:hAnsi="Times New Roman"/>
                <w:sz w:val="28"/>
                <w:szCs w:val="28"/>
                <w:lang w:val="sq-AL"/>
              </w:rPr>
              <w:t xml:space="preserve"> parashikon që standardet e harmonizuara të BE-së të adoptohen si standarde të harmonizuara shqiptare, nëpërmjet organizmit kombëtar të standardizimit dhe miratimit me VKM. Vendosja e një afati (një vit pas miratimit) dhe mundësia e zbatimit vullnetar ndërkohë, i jep industrisë kohë të përshtatet, duke ruajtur parimin e afërsisë me sistemin evropian pa e tronditur tregun.</w:t>
            </w:r>
          </w:p>
          <w:p w14:paraId="0D96171D"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6</w:t>
            </w:r>
            <w:r w:rsidRPr="007A1206">
              <w:rPr>
                <w:rFonts w:ascii="Times New Roman" w:hAnsi="Times New Roman"/>
                <w:sz w:val="28"/>
                <w:szCs w:val="28"/>
                <w:lang w:val="sq-AL"/>
              </w:rPr>
              <w:t xml:space="preserve"> hyn si një rast përjashtimor, në mungesë të standardeve të plota të harmonizuara për një familje apo kategori produktesh. Në këtë rast, Këshilli i Ministrave (Komisioni në CPR 2024) mund të miratojë vetë karakteristikat thelbësore dhe metodat e vlerësimit të tyre. Ky është një mekanizëm tipik “për vend jo anëtar” që nuk ka qasje automatike në të gjitha instrumentet e CPR-së, por nuk mund të lejojë boshllëqe rregullatore në treg.</w:t>
            </w:r>
          </w:p>
          <w:p w14:paraId="52016FED"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7</w:t>
            </w:r>
            <w:r w:rsidRPr="007A1206">
              <w:rPr>
                <w:rFonts w:ascii="Times New Roman" w:hAnsi="Times New Roman"/>
                <w:sz w:val="28"/>
                <w:szCs w:val="28"/>
                <w:lang w:val="sq-AL"/>
              </w:rPr>
              <w:t xml:space="preserve"> bëhet ura lidhëse ndërmjet:</w:t>
            </w:r>
          </w:p>
          <w:p w14:paraId="1C2FC060" w14:textId="77777777" w:rsidR="007A1206" w:rsidRPr="007A1206" w:rsidRDefault="007A1206" w:rsidP="007A1206">
            <w:pPr>
              <w:numPr>
                <w:ilvl w:val="1"/>
                <w:numId w:val="15"/>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“kërkesave të produktit” të parashikuara sipas përshkrimeve të përgjithshme në Shtojcën III (të vlefshme për gjithë produktet) dhe kërkesave të produktit të detajuara teknike (që vlejnë për familje të caktuara produktesh) që përcaktohen nëpërmjet akteve nënligjore (VKM),</w:t>
            </w:r>
          </w:p>
          <w:p w14:paraId="6EF3DE37" w14:textId="77777777" w:rsidR="007A1206" w:rsidRPr="007A1206" w:rsidRDefault="007A1206" w:rsidP="007A1206">
            <w:pPr>
              <w:numPr>
                <w:ilvl w:val="1"/>
                <w:numId w:val="15"/>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dhe standardeve të harmonizuara shqiptare (ose specifikimeve të miratuara sipas nenit 6).</w:t>
            </w:r>
          </w:p>
          <w:p w14:paraId="1CA0DECA"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Këtu formalizohet </w:t>
            </w:r>
            <w:r w:rsidRPr="007A1206">
              <w:rPr>
                <w:rFonts w:ascii="Times New Roman" w:hAnsi="Times New Roman"/>
                <w:b/>
                <w:bCs/>
                <w:sz w:val="28"/>
                <w:szCs w:val="28"/>
                <w:lang w:val="sq-AL"/>
              </w:rPr>
              <w:t>prezumimi i konformitetit</w:t>
            </w:r>
            <w:r w:rsidRPr="007A1206">
              <w:rPr>
                <w:rFonts w:ascii="Times New Roman" w:hAnsi="Times New Roman"/>
                <w:sz w:val="28"/>
                <w:szCs w:val="28"/>
                <w:lang w:val="sq-AL"/>
              </w:rPr>
              <w:t xml:space="preserve">: nëse produkti respekton standardin e harmonizuar shqiptar, ai prezumohet si në përputhje me kërkesat e ligjit. Kjo është mënyra praktike se si zbatohet filozofia e nenit 7 të CPR 2024 në një vend kandidat: ne nuk mund të referohemi direkt te lista e hEN-ve të publikuara nga Komisioni, por krijojmë ekuivalentin kombëtar përmes </w:t>
            </w:r>
            <w:r w:rsidRPr="007A1206">
              <w:rPr>
                <w:rFonts w:ascii="Times New Roman" w:hAnsi="Times New Roman"/>
                <w:sz w:val="28"/>
                <w:szCs w:val="28"/>
                <w:lang w:val="sq-AL"/>
              </w:rPr>
              <w:lastRenderedPageBreak/>
              <w:t>standardeve të harmonizuara shqiptare (që janë një kopje e atyre evropiane) si edhe VKM-ve.</w:t>
            </w:r>
          </w:p>
          <w:p w14:paraId="628FBA21"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8</w:t>
            </w:r>
            <w:r w:rsidRPr="007A1206">
              <w:rPr>
                <w:rFonts w:ascii="Times New Roman" w:hAnsi="Times New Roman"/>
                <w:sz w:val="28"/>
                <w:szCs w:val="28"/>
                <w:lang w:val="sq-AL"/>
              </w:rPr>
              <w:t xml:space="preserve"> parashikon përdorimin e </w:t>
            </w:r>
            <w:r w:rsidRPr="007A1206">
              <w:rPr>
                <w:rFonts w:ascii="Times New Roman" w:hAnsi="Times New Roman"/>
                <w:b/>
                <w:bCs/>
                <w:sz w:val="28"/>
                <w:szCs w:val="28"/>
                <w:lang w:val="sq-AL"/>
              </w:rPr>
              <w:t>“specifikimeve të përbashkëta”</w:t>
            </w:r>
            <w:r w:rsidRPr="007A1206">
              <w:rPr>
                <w:rFonts w:ascii="Times New Roman" w:hAnsi="Times New Roman"/>
                <w:sz w:val="28"/>
                <w:szCs w:val="28"/>
                <w:lang w:val="sq-AL"/>
              </w:rPr>
              <w:t xml:space="preserve"> (</w:t>
            </w:r>
            <w:r w:rsidRPr="007A1206">
              <w:rPr>
                <w:rFonts w:ascii="Times New Roman" w:hAnsi="Times New Roman"/>
                <w:i/>
                <w:iCs/>
                <w:sz w:val="28"/>
                <w:szCs w:val="28"/>
                <w:lang w:val="sq-AL"/>
              </w:rPr>
              <w:t>common specifications</w:t>
            </w:r>
            <w:r w:rsidRPr="007A1206">
              <w:rPr>
                <w:rFonts w:ascii="Times New Roman" w:hAnsi="Times New Roman"/>
                <w:sz w:val="28"/>
                <w:szCs w:val="28"/>
                <w:lang w:val="sq-AL"/>
              </w:rPr>
              <w:t>) si një mjet alternativ, kur mungon standardi i harmonizuar shqiptar vullnetar. Edhe kjo është një zgjidhje tipike për vendet para-anëtarësimit që harmonizohen me strukturën e CPR-së, por duhet të garantojnë ndërkohë një nivel të mjaftueshëm sigurie dhe parashikueshmërie për tregun e brendshëm.</w:t>
            </w:r>
          </w:p>
          <w:p w14:paraId="3EE48085"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Në tërësi, nenet 5–8 tregojnë qartë qasjen e ligjit:</w:t>
            </w:r>
          </w:p>
          <w:p w14:paraId="5F2343CF"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në vend që të pretendojmë transpozim formal të CPR 2024, ndërtojmë një arkitekturë kombëtare standardesh dhe specifikimesh që imiton funksionin e neneve të CPR-së, por e bën të zbatueshme në realitetin juridik të një vendi jo anëtar</w:t>
            </w:r>
            <w:r w:rsidRPr="007A1206">
              <w:rPr>
                <w:rFonts w:ascii="Times New Roman" w:hAnsi="Times New Roman"/>
                <w:sz w:val="28"/>
                <w:szCs w:val="28"/>
                <w:lang w:val="sq-AL"/>
              </w:rPr>
              <w:t>. Kjo arkitekturë pastaj, pas anëtarësimit, lidhet natyrshëm me sistemin e standardeve të harmonizuara evropiane dhe listat zyrtare të Komisionit.</w:t>
            </w:r>
          </w:p>
          <w:p w14:paraId="66ED3FB4"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Neni 9 </w:t>
            </w:r>
            <w:r w:rsidRPr="007A1206">
              <w:rPr>
                <w:rFonts w:ascii="Times New Roman" w:hAnsi="Times New Roman"/>
                <w:sz w:val="28"/>
                <w:szCs w:val="28"/>
                <w:lang w:val="sq-AL"/>
              </w:rPr>
              <w:t>plotëson logjikën e mësipërme duke u fokusuar te komunikimi i saktë dhe i plotë i informacionit për produktin, udhëzimet dhe siguria:</w:t>
            </w:r>
          </w:p>
          <w:p w14:paraId="36B1BE9F" w14:textId="77777777" w:rsidR="007A1206" w:rsidRPr="007A1206" w:rsidRDefault="007A1206" w:rsidP="007A1206">
            <w:pPr>
              <w:numPr>
                <w:ilvl w:val="0"/>
                <w:numId w:val="16"/>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garanton që produktet e mbuluara nga specifikimet teknike të harmonizuara të kenë gjithmonë informacion të strukturuar për produktin, udhëzime përdorimi dhe sinjalizime sigurie, në përputhje me Shtojcën IV;</w:t>
            </w:r>
          </w:p>
          <w:p w14:paraId="5BEAB89F" w14:textId="77777777" w:rsidR="007A1206" w:rsidRPr="007A1206" w:rsidRDefault="007A1206" w:rsidP="007A1206">
            <w:pPr>
              <w:numPr>
                <w:ilvl w:val="0"/>
                <w:numId w:val="16"/>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lidh punën e organizmit kombëtar të standardizimit me udhëzimet evropiane, në mënyrë që format dhe përmbajtja e informacionit të jenë të krahasueshme me tregun e BE-së;</w:t>
            </w:r>
          </w:p>
          <w:p w14:paraId="56B983F4" w14:textId="77777777" w:rsidR="007A1206" w:rsidRPr="007A1206" w:rsidRDefault="007A1206" w:rsidP="007A1206">
            <w:pPr>
              <w:numPr>
                <w:ilvl w:val="0"/>
                <w:numId w:val="16"/>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u jep autoriteteve kombëtare mjetin që, nëse standardizimi nuk funksionon mirë, Këshilli i Ministrave të vendosë rregulla më të qarta dhe të detyrueshme për informacionin.</w:t>
            </w:r>
          </w:p>
          <w:p w14:paraId="2607F977"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10</w:t>
            </w:r>
            <w:r w:rsidRPr="007A1206">
              <w:rPr>
                <w:rFonts w:ascii="Times New Roman" w:hAnsi="Times New Roman"/>
                <w:sz w:val="28"/>
                <w:szCs w:val="28"/>
                <w:lang w:val="sq-AL"/>
              </w:rPr>
              <w:t xml:space="preserve"> vë në jetë pjesën tjetër të nenit 5 të CPR 2024: </w:t>
            </w:r>
            <w:r w:rsidRPr="007A1206">
              <w:rPr>
                <w:rFonts w:ascii="Times New Roman" w:hAnsi="Times New Roman"/>
                <w:b/>
                <w:bCs/>
                <w:sz w:val="28"/>
                <w:szCs w:val="28"/>
                <w:lang w:val="sq-AL"/>
              </w:rPr>
              <w:t>sistemet AVCP</w:t>
            </w:r>
            <w:r w:rsidRPr="007A1206">
              <w:rPr>
                <w:rFonts w:ascii="Times New Roman" w:hAnsi="Times New Roman"/>
                <w:sz w:val="28"/>
                <w:szCs w:val="28"/>
                <w:lang w:val="sq-AL"/>
              </w:rPr>
              <w:t>. Ai përcakton që vlerësimi dhe verifikimi i performancës bëhet sipas sistemeve të parashikuara në Shtojcën IX, të cilat pasqyrojnë logjikën e AVCP të CPR 2024 (nga sistemet më të lehta te Sistemi 1+ më i rreptë).</w:t>
            </w:r>
          </w:p>
          <w:p w14:paraId="1AFA0B32"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Në kushtet e një vendi jo anëtar, ky nen është kritik – për sa kohe nuk mund të kemi ende “</w:t>
            </w:r>
            <w:r w:rsidRPr="007A1206">
              <w:rPr>
                <w:rFonts w:ascii="Times New Roman" w:hAnsi="Times New Roman"/>
                <w:i/>
                <w:iCs/>
                <w:sz w:val="28"/>
                <w:szCs w:val="28"/>
                <w:lang w:val="sq-AL"/>
              </w:rPr>
              <w:t>notified bodies</w:t>
            </w:r>
            <w:r w:rsidRPr="007A1206">
              <w:rPr>
                <w:rFonts w:ascii="Times New Roman" w:hAnsi="Times New Roman"/>
                <w:sz w:val="28"/>
                <w:szCs w:val="28"/>
                <w:lang w:val="sq-AL"/>
              </w:rPr>
              <w:t>” kombëtare, mund të ndërtojmë një sistem kombëtar vlerësimi dhe verifikimi që funksionon sipas të njëjtës filozofi, që pastaj do të lidhet me procedurat e njoftimit evropian në ditën e anëtarësimit.</w:t>
            </w:r>
          </w:p>
          <w:p w14:paraId="058C4327"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Neni 11 </w:t>
            </w:r>
            <w:r w:rsidRPr="007A1206">
              <w:rPr>
                <w:rFonts w:ascii="Times New Roman" w:hAnsi="Times New Roman"/>
                <w:sz w:val="28"/>
                <w:szCs w:val="28"/>
                <w:lang w:val="sq-AL"/>
              </w:rPr>
              <w:t xml:space="preserve">e përmbyll këtë bllok duke përkthyer në realitet kombëtar konceptin e “zonës së harmonizuar” të tregut, duke përcaktuar se ligji dhe specifikimet teknike të harmonizuara shqiptare krijojnë një </w:t>
            </w:r>
            <w:r w:rsidRPr="007A1206">
              <w:rPr>
                <w:rFonts w:ascii="Times New Roman" w:hAnsi="Times New Roman"/>
                <w:b/>
                <w:bCs/>
                <w:sz w:val="28"/>
                <w:szCs w:val="28"/>
                <w:lang w:val="sq-AL"/>
              </w:rPr>
              <w:t>zonë të harmonizuar</w:t>
            </w:r>
            <w:r w:rsidRPr="007A1206">
              <w:rPr>
                <w:rFonts w:ascii="Times New Roman" w:hAnsi="Times New Roman"/>
                <w:sz w:val="28"/>
                <w:szCs w:val="28"/>
                <w:lang w:val="sq-AL"/>
              </w:rPr>
              <w:t xml:space="preserve">, ku produktet që i përmbushin kërkesat nuk mund të pengohen të qarkullojnë lirisht në tregun shqiptar. Gjithashtu në këtë nen parashikohet në mënyrë eksplicite ndalimi i kërkesave të dyfishta për informacion, regjistrim, vlerësim apo markime të tjera, përveç CE, duke u afruar me filozofinë e tregut të brendshëm të BE-së. Pika 4 e këtij neni parashikon krijimin e një ndërfaqe/rubrikë në faqen zyrtare të ministrisëtë produkteve të ndërtimit dhe lidhjen e tij me Portën </w:t>
            </w:r>
            <w:r w:rsidRPr="007A1206">
              <w:rPr>
                <w:rFonts w:ascii="Times New Roman" w:hAnsi="Times New Roman"/>
                <w:sz w:val="28"/>
                <w:szCs w:val="28"/>
                <w:lang w:val="sq-AL"/>
              </w:rPr>
              <w:lastRenderedPageBreak/>
              <w:t>Digjitale të Vetme të BE-së, duke parapërgatitur integrimin dixhital që pritet pas anëtarësimit.</w:t>
            </w:r>
          </w:p>
          <w:p w14:paraId="70F8D54E"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Edhe këtu logjika është e njëjtë: edhe pse Shqipëria ende nuk është pjesë e tregut të brendshëm të BE-së, ligji ndërton që tani një regjim “tregu të brendshëm” brenda kufijve kombëtarë, me qëllim minimizimin e efekteve negative të tranzicionit në momentin e anëtarësimit.</w:t>
            </w:r>
          </w:p>
          <w:p w14:paraId="151BFCA3"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Kreu II Procedura, Deklarata dhe Markimet (nenet 13-19), </w:t>
            </w:r>
            <w:r w:rsidRPr="007A1206">
              <w:rPr>
                <w:rFonts w:ascii="Times New Roman" w:hAnsi="Times New Roman"/>
                <w:sz w:val="28"/>
                <w:szCs w:val="28"/>
                <w:lang w:val="sq-AL"/>
              </w:rPr>
              <w:t>vendos rregullat bazë që garantojnë që produktet e ndërtimit të vendosura në treg të jenë të vlerësuara, të verifikuara, të dokumentuara dhe të markuara në mënyrë të unifikuar dhe transparente. Ky Kre përbën nyjën lidhëse ndërmjet kërkesave teknike dhe detyrimeve të operatorëve ekonomikë, duke përcaktuar procedurat e vlerësimit të performancës, mënyrën e hartimit të deklaratës së performancës dhe të konformitetit, si dhe përdorimin e markimit CE.</w:t>
            </w:r>
          </w:p>
          <w:p w14:paraId="6DB7B0E2"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13</w:t>
            </w:r>
            <w:r w:rsidRPr="007A1206">
              <w:rPr>
                <w:rFonts w:ascii="Times New Roman" w:hAnsi="Times New Roman"/>
                <w:sz w:val="28"/>
                <w:szCs w:val="28"/>
                <w:lang w:val="sq-AL"/>
              </w:rPr>
              <w:t xml:space="preserve"> përcakton detyrimin e prodhuesit për të hartuar deklaratën e performancës dhe konformitetit kur një produkt mbulohet nga një specifikim teknik i harmonizuar shqiptar, i miratuar ose i adoptuar sipas dispozitave të ligjit. Për produktet që nuk mbulohen nga specifikime të harmonizuara, prodhuesi ka mundësinë të mbështetet në dokumentin e vlerësimit shqiptar ose në vlerësimin teknik shqiptar. Me hartimin e deklaratës, prodhuesi merr përgjegjësi të plotë ligjore për saktësinë e të dhënave dhe për përputhshmërinë e produktit me çdo kërkesë të zbatueshme. Në mungesë të deklaratës, produkti nuk lejohet të bëhet i disponueshëm në treg. Edhe në këtë rast është ndjekur e njëjta qasje përafrimi e filozofisë në kushtet e një vendi jo anëtar, në lidhje me referimet në dokumentet evropiane. </w:t>
            </w:r>
          </w:p>
          <w:p w14:paraId="3B09CCBB"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14</w:t>
            </w:r>
            <w:r w:rsidRPr="007A1206">
              <w:rPr>
                <w:rFonts w:ascii="Times New Roman" w:hAnsi="Times New Roman"/>
                <w:sz w:val="28"/>
                <w:szCs w:val="28"/>
                <w:lang w:val="sq-AL"/>
              </w:rPr>
              <w:t xml:space="preserve"> parashikon rastet përjashtuese kur prodhuesi nuk është i detyruar të hartojë deklaratën e performancës dhe konformitetit, kryesisht për produkte të prodhuara me porosi të veçantë në procese jo-seri ose për qëllime restaurimi brenda trashëgimisë kulturore të mbrojtur. Përjashtimet lidhen me rrethana të kufizuara dhe kërkojnë që produkti të instalohet në një punim ndërtimi konkret nën përgjegjësinë e profesionistëve të autorizuar.</w:t>
            </w:r>
          </w:p>
          <w:p w14:paraId="01FFFAE1"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15</w:t>
            </w:r>
            <w:r w:rsidRPr="007A1206">
              <w:rPr>
                <w:rFonts w:ascii="Times New Roman" w:hAnsi="Times New Roman"/>
                <w:sz w:val="28"/>
                <w:szCs w:val="28"/>
                <w:lang w:val="sq-AL"/>
              </w:rPr>
              <w:t xml:space="preserve"> përcakton përmbajtjen e deklaratës së performancës dhe të konformitetit, e cila hartohet sipas modelit të Shtojcës V. Deklarata duhet të mbulojë performancën e produktit në lidhje me të gjitha karakteristikat thelbësore baze/horizontale të produkteve të ndërtimit të listuara në Shtojcën II, përfshirë qëndrueshmërinë mjedisore gjatë ciklit jetësor dhe parametrat funksionalë. Ajo duhet të përfshijë edhe informacionet e lidhura me kërkesat e produkteve të detajuara me akt nënligjor, si dhe të integrohet me sistemin e pasaportës digjitale të produktit, sipas dispozitave të ligjit. Deklarata nuk mund të shoqërohet me markime të tjera përveç markimit CE.</w:t>
            </w:r>
          </w:p>
          <w:p w14:paraId="54482E27"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16</w:t>
            </w:r>
            <w:r w:rsidRPr="007A1206">
              <w:rPr>
                <w:rFonts w:ascii="Times New Roman" w:hAnsi="Times New Roman"/>
                <w:sz w:val="28"/>
                <w:szCs w:val="28"/>
                <w:lang w:val="sq-AL"/>
              </w:rPr>
              <w:t xml:space="preserve"> rregullon mënyrën e vënies në dispozicion të deklaratës së performancës dhe të konformitetit. Deklarata ofrohet elektronikisht për çdo produkt, ose si pjesë e pasaportës digjitale kur kjo është e aplikueshme. Ligji lejon publikimin e deklaratës në një faqe interneti, për sa kohë sigurohet akses falas dhe me format të pandryshueshëm. Në këtë rast, duhet të sigurohet lidhja </w:t>
            </w:r>
            <w:r w:rsidRPr="007A1206">
              <w:rPr>
                <w:rFonts w:ascii="Times New Roman" w:hAnsi="Times New Roman"/>
                <w:sz w:val="28"/>
                <w:szCs w:val="28"/>
                <w:lang w:val="sq-AL"/>
              </w:rPr>
              <w:lastRenderedPageBreak/>
              <w:t>e qartë midis produktit dhe deklaratës përmes identifikuesit unik. Informacioni duhet të jetë në gjuhën shqipe dhe në format të lexueshëm nga njeriu dhe makina. Organizmi kombëtar i standardizimit ka detyrimin të adoptojë udhëzimet evropiane për ndërveprueshmërinë e formateve elektronike.</w:t>
            </w:r>
          </w:p>
          <w:p w14:paraId="701F72A6"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17</w:t>
            </w:r>
            <w:r w:rsidRPr="007A1206">
              <w:rPr>
                <w:rFonts w:ascii="Times New Roman" w:hAnsi="Times New Roman"/>
                <w:sz w:val="28"/>
                <w:szCs w:val="28"/>
                <w:lang w:val="sq-AL"/>
              </w:rPr>
              <w:t xml:space="preserve"> parashikon përdorimin e markimit CE, duke e trajtuar atë sipas parimeve të legjislacionit evropian. Këto dispozita nuk vendosin detyrim për prodhuesit vendas, sipas parashikimit në dispozitat kalimtare të projekt ligjit. Përfshirja e tyre është e domosdoshme për produktet e importuara nga Bashkimi Evropian, në mënyrë që markimi CE të mos merret automatikisht si provë e mjaftueshme e përputhshmërisë, por të mund të verifikohet nga Strukturat e Mbikëqyrjes së Tregut. Këto rregulla u japin autoriteteve shqiptare bazën ligjore për të kontrolluar nëse markimi CE është vendosur në mënyrë të ligjshme (“</w:t>
            </w:r>
            <w:r w:rsidRPr="007A1206">
              <w:rPr>
                <w:rFonts w:ascii="Times New Roman" w:hAnsi="Times New Roman"/>
                <w:i/>
                <w:iCs/>
                <w:sz w:val="28"/>
                <w:szCs w:val="28"/>
                <w:lang w:val="sq-AL"/>
              </w:rPr>
              <w:t>lawfully affixed</w:t>
            </w:r>
            <w:r w:rsidRPr="007A1206">
              <w:rPr>
                <w:rFonts w:ascii="Times New Roman" w:hAnsi="Times New Roman"/>
                <w:sz w:val="28"/>
                <w:szCs w:val="28"/>
                <w:lang w:val="sq-AL"/>
              </w:rPr>
              <w:t>”), nëse është i mbështetur nga deklarata përkatëse dhe nëse produkti realisht përmbush kërkesat e tij thelbësore të performancës dhe kërkesat e produktit. Në këtë mënyrë, neni siguron që produktet e importuara me CE të mos trajtohen si të “mirëqena”, por të jenë subjekt i verifikimit të plotë të SMT-së, duke mbrojtur sigurinë dhe interesin publik në tregun vendas nga produkte me markim CE të falsifikuar. Për këtë qëllim në nenin 18 parashikohet që markimi CE shoqërohet ndër të tjera, nga numri i identifikimit të organizmit evropian të notifikuar (që do të thotë jo me organ të miratuar shqiptar).</w:t>
            </w:r>
          </w:p>
          <w:p w14:paraId="017E2B0B"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18</w:t>
            </w:r>
            <w:r w:rsidRPr="007A1206">
              <w:rPr>
                <w:rFonts w:ascii="Times New Roman" w:hAnsi="Times New Roman"/>
                <w:sz w:val="28"/>
                <w:szCs w:val="28"/>
                <w:lang w:val="sq-AL"/>
              </w:rPr>
              <w:t xml:space="preserve"> detajon rregullat teknike për vendosjen e markimit CE. Markimi duhet të jetë i dukshëm, i lexueshëm dhe i paheqshëm, ose të vendoset në etiketë, ambalazh ose dokumente shoqëruese kur nuk është e mundur vendosja në produkt. Markimi CE shoqërohet me të dhëna identifikuese, përfshirë vitin, adresën e prodhuesit ose përfaqësuesit të autorizuar, identifikuesin e produktit, kodin e deklaratës dhe, kur zbatohet, kodin e organizmit të notifikuar. Informacioni mund të jepet edhe përmes mbajtësve elektronikë të të dhënave, të sinkronizuar me pasaportën digjitale të produktit. Markimi duhet të vendoset para vendosjes së produktit në treg.</w:t>
            </w:r>
          </w:p>
          <w:p w14:paraId="6045E54A"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19</w:t>
            </w:r>
            <w:r w:rsidRPr="007A1206">
              <w:rPr>
                <w:rFonts w:ascii="Times New Roman" w:hAnsi="Times New Roman"/>
                <w:sz w:val="28"/>
                <w:szCs w:val="28"/>
                <w:lang w:val="sq-AL"/>
              </w:rPr>
              <w:t xml:space="preserve"> trajton markimet e tjera dhe pretendimet për performancën. Markime ose etiketa shtesë mund të vendosen vetëm nëse nuk krijojnë konflikt me metodologjitë e vlerësimit të përcaktuara në specifikimet teknike të harmonizuara dhe nuk cenojnë dukshmërinë apo kuptimin e markimit CE. Pretendimet për performancën e produktit në lidhje me një karakteristike të mbuluara nga specifikimet teknike të harmonizuara duhet të përputhet me metodën e vlerësimit për atë karakteristikë të veçantë, siç përcaktohet në specifikimet teknike të harmonizuara. Informacion shtesë mund të jepet vetëm nëse mbështetet në deklaratën ekzistuese, me përjashtim të rasteve kur ligji lejon përjashtim nga deklarimi.</w:t>
            </w:r>
          </w:p>
          <w:p w14:paraId="747A2CBC"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Kreu III</w:t>
            </w:r>
            <w:r w:rsidRPr="007A1206">
              <w:rPr>
                <w:rFonts w:ascii="Times New Roman" w:hAnsi="Times New Roman"/>
                <w:sz w:val="28"/>
                <w:szCs w:val="28"/>
                <w:lang w:val="sq-AL"/>
              </w:rPr>
              <w:t xml:space="preserve"> - </w:t>
            </w:r>
            <w:r w:rsidRPr="007A1206">
              <w:rPr>
                <w:rFonts w:ascii="Times New Roman" w:hAnsi="Times New Roman"/>
                <w:b/>
                <w:bCs/>
                <w:sz w:val="28"/>
                <w:szCs w:val="28"/>
                <w:lang w:val="sq-AL"/>
              </w:rPr>
              <w:t>Detyrimet dhe të Drejtat e Operatoreve Ekonomikë</w:t>
            </w:r>
            <w:r w:rsidRPr="007A1206">
              <w:rPr>
                <w:rFonts w:ascii="Times New Roman" w:hAnsi="Times New Roman"/>
                <w:sz w:val="28"/>
                <w:szCs w:val="28"/>
                <w:lang w:val="sq-AL"/>
              </w:rPr>
              <w:t xml:space="preserve"> (Nenet 20–30), përcakton rregullat horizontale për të gjitha kategoritë e operatorëve ekonomikë të përfshirë në zinxhirin e prodhimit dhe tregtimit të produkteve të ndërtimit, duke rregulluar detyrimet dhe të drejtat e prodhuesve, përfaqësuesve të autorizuar, importuesve, shpërndarësve, ofruesve të shërbimeve të </w:t>
            </w:r>
            <w:r w:rsidRPr="007A1206">
              <w:rPr>
                <w:rFonts w:ascii="Times New Roman" w:hAnsi="Times New Roman"/>
                <w:sz w:val="28"/>
                <w:szCs w:val="28"/>
                <w:lang w:val="sq-AL"/>
              </w:rPr>
              <w:lastRenderedPageBreak/>
              <w:t xml:space="preserve">përmbushjes dhe atyre të tregjeve </w:t>
            </w:r>
            <w:r w:rsidRPr="007A1206">
              <w:rPr>
                <w:rFonts w:ascii="Times New Roman" w:hAnsi="Times New Roman"/>
                <w:i/>
                <w:iCs/>
                <w:sz w:val="28"/>
                <w:szCs w:val="28"/>
                <w:lang w:val="sq-AL"/>
              </w:rPr>
              <w:t>online</w:t>
            </w:r>
            <w:r w:rsidRPr="007A1206">
              <w:rPr>
                <w:rFonts w:ascii="Times New Roman" w:hAnsi="Times New Roman"/>
                <w:sz w:val="28"/>
                <w:szCs w:val="28"/>
                <w:lang w:val="sq-AL"/>
              </w:rPr>
              <w:t>. Dispozitat e këtij kreu zbatohen vetëm për produktet që mbulohen nga një specifikim teknik i harmonizuar shqiptar ose mbi bazën e një vlerësimi teknik shqiptar, ose mbajnë markimin CE sipas parashikimeve përkatëse ligjore, duke u fokusuar kështu te produktet për të cilat kërkohet vlerësim formal i përputhshmërisë.</w:t>
            </w:r>
          </w:p>
          <w:p w14:paraId="0E132056"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20</w:t>
            </w:r>
            <w:r w:rsidRPr="007A1206">
              <w:rPr>
                <w:rFonts w:ascii="Times New Roman" w:hAnsi="Times New Roman"/>
                <w:sz w:val="28"/>
                <w:szCs w:val="28"/>
                <w:lang w:val="sq-AL"/>
              </w:rPr>
              <w:t xml:space="preserve"> vendos detyrimet e përgjithshme për të gjithë operatorët ekonomikë. Ata duhet të sigurojnë përputhshmërinë e vazhdueshme me ligjin, të bashkëpunojnë me strukturat e mbikëqyrjes së tregut, të raportojnë progresin e masave korrigjuese kur u kërkohet dhe të garantojnë gjurmueshmërinë përgjatë zinxhirit të furnizimit, duke identifikuar furnitorët dhe klientët, si dhe të dhënat e tyre të kontaktit. Operatorët duhet të ruajnë dokumentacionin dhe informacionin përkatës për një periudhë 10-vjeçare, të regjistrohen në sistemin kombëtar përkatës dhe të vendosin kanale komunikimi me përdoruesit për raportimin e aksidenteve dhe çështjeve të sigurisë. Në rast rreziku për shëndetin, sigurinë apo mjedisin, ata kanë detyrimin të informojnë menjëherë SMT dhe autoritetet kompetente dhe mbajnë përgjegjësi për shkeljet në përputhje me rregullat e përgjithshme mbi përgjegjësinë kontraktore dhe jashtë kontraktore.</w:t>
            </w:r>
          </w:p>
          <w:p w14:paraId="0ECC366C"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Nenet 21 dhe 22</w:t>
            </w:r>
            <w:r w:rsidRPr="007A1206">
              <w:rPr>
                <w:rFonts w:ascii="Times New Roman" w:hAnsi="Times New Roman"/>
                <w:sz w:val="28"/>
                <w:szCs w:val="28"/>
                <w:lang w:val="sq-AL"/>
              </w:rPr>
              <w:t xml:space="preserve"> trajtojnë në mënyrë të veçantë prodhuesit, në aspektin e të drejtave dhe detyrimeve. Ligji u njeh atyre të drejtën t’u kërkojnë furnitorëve dhe ofruesve të shërbimeve çdo informacion, dokument teknik apo përllogaritje të nevojshme për të përmbushur detyrimet ligjore, përfshirë dhe në rastet kur përfshihen organe të miratuara ose kur produktet janë të përdorura apo të riprodhuara. Paralelisht, prodhuesi ka detyrimin të përcaktojë tipin e produktit, të vlerësojë performancën mbi karakteristikat thelbësore të detyrueshme dhe ato shtesë që deklaron vetë, si dhe të sigurojë përputhshmërinë me kërkesat e akteve nënligjore për produktet specifike. Ky regjim shtrihet edhe te produktet e prodhuara me printim 3D, ku prodhuesi duhet të garantojë cilësinë e grupit të të dhënave 3D, materialeve dhe teknologjisë së përdorur. Pas vlerësimit sipas sistemeve të përcaktuara në Shtojcën IX, prodhuesi harton deklaratën e performancës dhe konformitetit, vendos markimin CE, siguron dokumentacionin teknik të plotë dhe zbatimin e procedurave të kontrollit të prodhimit. Ai duhet të reagojë ndaj ndryshimeve në projektim, materiale apo specifikime teknike, të kryejë rivlerësime kur është e nevojshme, të testojë mostra, të mbajë regjistra të ankesave dhe produkteve jo në përputhje, si dhe të informojë operatorët e tjerë për masat korrigjuese. Parashikohen detyrime të detajuara për gjurmueshmërinë, identifikimin unik të produkteve, etiketimin “Vetëm për përdorim profesional” kur është rasti, sigurimin e udhëzimeve dhe informacionit të sigurisë në gjuhën shqipe, vendosjen në dispozicion të pasaportës digjitale të produktit, si dhe garantimin e pjesëve të këmbimit për kategori të caktuara produktesh për një periudhë të zgjatur. Ligji jep bazën për kërkesa të posaçme për etiketimin e qëndrueshmërisë mjedisore me akte nënligjore dhe parashikon detyrimin e prodhuesit për të marrë masa të shpejta korrigjuese, përfshirë tërheqjen dhe kthimin nga tregu, dhe për të njoftuar SMT </w:t>
            </w:r>
            <w:r w:rsidRPr="007A1206">
              <w:rPr>
                <w:rFonts w:ascii="Times New Roman" w:hAnsi="Times New Roman"/>
                <w:sz w:val="28"/>
                <w:szCs w:val="28"/>
                <w:lang w:val="sq-AL"/>
              </w:rPr>
              <w:lastRenderedPageBreak/>
              <w:t>dhe palët e tjera të përfshira brenda afateve të përcaktuara, veçanërisht kur ekziston një rrezik serioz.</w:t>
            </w:r>
          </w:p>
          <w:p w14:paraId="4B508308"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23</w:t>
            </w:r>
            <w:r w:rsidRPr="007A1206">
              <w:rPr>
                <w:rFonts w:ascii="Times New Roman" w:hAnsi="Times New Roman"/>
                <w:sz w:val="28"/>
                <w:szCs w:val="28"/>
                <w:lang w:val="sq-AL"/>
              </w:rPr>
              <w:t xml:space="preserve"> përcakton rolin e përfaqësuesit të autorizuar në territorin shqiptar, i cili vepron mbi bazën e një mandati të shkruar. Përfaqësuesi i autorizuar nuk harton dokumentacionin teknik, por mban dhe vë në dispozicion deklaratën e performancës dhe konformitetit dhe dokumentacionin, siguron informacionin e kërkuar nga SMT, informon autoritetet dhe prodhuesin në rast mospërputhjeje apo rreziku, bashkëpunon në masat korrigjuese dhe verifikon në dokumentacion përmbushjen e kërkesave bazë, përfshirë CE, deklaratën dhe informacionin që duhet të shoqërojë produktin. Në rast mospërputhjeje, ai duhet t’i kërkojë prodhuesit të ndërmarrë masat përkatëse.</w:t>
            </w:r>
          </w:p>
          <w:p w14:paraId="6ABFB3C7"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Nenet 24 dhe 25</w:t>
            </w:r>
            <w:r w:rsidRPr="007A1206">
              <w:rPr>
                <w:rFonts w:ascii="Times New Roman" w:hAnsi="Times New Roman"/>
                <w:sz w:val="28"/>
                <w:szCs w:val="28"/>
                <w:lang w:val="sq-AL"/>
              </w:rPr>
              <w:t xml:space="preserve"> vendosin detyrimet specifike të importuesve dhe shpërndarësve. Importuesit duhet të sigurohen që në treg vendosen vetëm produkte në përputhje me ligjin, të kontrollojnë ekzistencën dhe besueshmërinë e deklaratës së performancës dhe konformitetit, markimin CE, dokumentacionin teknik dhe etiketimin, si dhe të verifikojnë që produkti shoqërohet me informacionin e nevojshëm në gjuhën shqipe dhe, kur është rasti, në gjuhë të tjera. Ata janë përgjegjës për kushtet e magazinimit dhe transportit, për mos vendosjen në treg të produkteve të dyshuara si jo-konforme, për hetimin dhe regjistrimin e ankesave, për masat korrigjuese dhe njoftimin e SMT dhe ministrisë kur produkti paraqet rrezik. </w:t>
            </w:r>
          </w:p>
          <w:p w14:paraId="5760CC62"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Shpërndarësit, nga ana tjetër, duhet të veprojnë me kujdesin e duhur, të kryejnë verifikimet minimale përpara se ta bëjnë një produkt të disponueshëm në treg, të sigurojnë që informacioni dhe dokumentacioni i detyrueshëm është i pranishëm dhe i kuptueshëm, të mos tregtojnë produkte të dyshuara si jo-konforme, të ruajnë kushtet e përshtatshme të magazinimit dhe transportit dhe të ndërmarrin, kur është e nevojshme, masa tërheqjeje, kthimi dhe njoftimi të autoriteteve. Në rastet kur importuesi apo shpërndarësi i drejtohet përdoruesit final, ai duhet të përmbushë detyrimet e përcaktuara për shpërndarësit.</w:t>
            </w:r>
          </w:p>
          <w:p w14:paraId="378DA571"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26</w:t>
            </w:r>
            <w:r w:rsidRPr="007A1206">
              <w:rPr>
                <w:rFonts w:ascii="Times New Roman" w:hAnsi="Times New Roman"/>
                <w:sz w:val="28"/>
                <w:szCs w:val="28"/>
                <w:lang w:val="sq-AL"/>
              </w:rPr>
              <w:t xml:space="preserve"> përcakton rastet kur importuesit dhe shpërndarësit trajtohen si prodhues dhe u nënshtrohen detyrimeve të plota të nenit 22, për shembull kur vendosin produktin në treg nën emrin e tyre tregtar, e modifikojnë produktin në mënyrë që ndikon në përputhshmëri, ndryshojnë përdorimin e deklaruar ose deklarojnë karakteristika të ndryshme nga ato të prodhuesit, apo marrin vetë rolin e prodhuesit. E njëjta logjikë zbatohet për produkte të përdorura dhe të riprodhuara në kushtet e përcaktuara nga ligji. Përjashtohen nga trajtimi si prodhues rastet kur operatori ekonomik kryen vetëm përkthimin e informacionit ose ripaketimin, me kusht që këto veprime të mos ndikojnë në gjendjen origjinale të produktit dhe të ruajnë saktësinë e informacionit. Edhe në këto raste, operatori duhet të njoftojë prodhuesin dhe të sigurojë që ripaketimi bëhet pa cenuar përputhshmërinë dhe sigurinë.</w:t>
            </w:r>
          </w:p>
          <w:p w14:paraId="5010B1B9"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27</w:t>
            </w:r>
            <w:r w:rsidRPr="007A1206">
              <w:rPr>
                <w:rFonts w:ascii="Times New Roman" w:hAnsi="Times New Roman"/>
                <w:sz w:val="28"/>
                <w:szCs w:val="28"/>
                <w:lang w:val="sq-AL"/>
              </w:rPr>
              <w:t xml:space="preserve"> vendos detyrimet e ofruesve të shërbimeve të përmbushjes (logjistikë, magazinim, paketim, dërgesë). Ata duhet të sigurojnë që markimi CE, etiketimi, deklarata e performancës dhe konformitetit, informacioni i sigurisë të </w:t>
            </w:r>
            <w:r w:rsidRPr="007A1206">
              <w:rPr>
                <w:rFonts w:ascii="Times New Roman" w:hAnsi="Times New Roman"/>
                <w:sz w:val="28"/>
                <w:szCs w:val="28"/>
                <w:lang w:val="sq-AL"/>
              </w:rPr>
              <w:lastRenderedPageBreak/>
              <w:t>shoqërojnë produktin, kushtet e magazinimit dhe dërgimit të mos cenojnë përputhshmërinë e produktit dhe të mbështesin në mënyrë aktive masat e tërheqjes dhe kthimit të produkteve nga tregu. Kur dyshojnë për mos-përputhshmëri apo rrezik, ofruesit e shërbimeve të përmbushjes nuk duhet të mbështesin bërjen e disponueshme të produktit në treg dhe kanë detyrimin të informojnë prodhuesin, SMT dhe, sipas rastit, ministrinë.</w:t>
            </w:r>
          </w:p>
          <w:p w14:paraId="2B7EDF99"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28</w:t>
            </w:r>
            <w:r w:rsidRPr="007A1206">
              <w:rPr>
                <w:rFonts w:ascii="Times New Roman" w:hAnsi="Times New Roman"/>
                <w:sz w:val="28"/>
                <w:szCs w:val="28"/>
                <w:lang w:val="sq-AL"/>
              </w:rPr>
              <w:t xml:space="preserve"> rregullon detyrimet e ofruesve të shërbimeve të tregjeve online. Ata duhet të projektojnë ndërfaqen digjitale në mënyrë që t’u mundësojnë operatorëve ekonomikë përmbushjen e detyrimeve të informacionit para-kontraktual dhe të sigurisë, të krijojnë një pikë të vetme kontakti me autoritetet, të përgjigjen në mënyrë të përshtatshme ndaj njoftimeve për aksidente dhe incidente, të bashkëpunojnë në zbatimin e masave të mbikëqyrjes së tregut dhe të informojnë autoritetet për veprimet e ndërmarra mbi produktet në mos-përputhshmëri. SMT ka të drejtë të urdhërojë heqjen e përmbajtjes së paligjshme, çaktivizimin e aksesit apo vendosjen e paralajmërimeve të qarta për përdoruesit fundorë, në përputhje me legjislacionin për shërbimet digjitale, dhe ofruesi i tregut online duhet të ketë mekanizma për marrjen dhe zbatimin e këtyre urdhrave. Këto rregulla zbatohen edhe për operatorët që shesin online pa ndërmjetësimin e një tregu klasik online.</w:t>
            </w:r>
          </w:p>
          <w:p w14:paraId="3D54BECF"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29</w:t>
            </w:r>
            <w:r w:rsidRPr="007A1206">
              <w:rPr>
                <w:rFonts w:ascii="Times New Roman" w:hAnsi="Times New Roman"/>
                <w:sz w:val="28"/>
                <w:szCs w:val="28"/>
                <w:lang w:val="sq-AL"/>
              </w:rPr>
              <w:t xml:space="preserve"> sqaron se produktet e ofruara online ose me mjete të tjera të shitjes në distancë konsiderohen të bëra të disponueshme në tregun shqiptar kur oferta synon klientë në territorin e Shqipërisë, duke përdorur, ndër të tjera, monedhën, domain-in ose zonat e dërgesës si tregues. Në këto raste, oferta duhet të shfaqë në mënyrë të dukshme markimin CE, informacionin e përcaktuar në lidhje me etiketimin, si dhe lidhjen me pasaportën digjitale të produktit, kur kjo kërkohet. Gjithashtu, çdo person që ofron shërbim ndërmjetësimi për vendosjen e produkteve në treg është i detyruar të respektojë detyrimet e parashikuara për operatorët ekonomikë sa i takon informacionit dhe sigurisë.</w:t>
            </w:r>
          </w:p>
          <w:p w14:paraId="7728D6F3"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Së fundi, </w:t>
            </w:r>
            <w:r w:rsidRPr="007A1206">
              <w:rPr>
                <w:rFonts w:ascii="Times New Roman" w:hAnsi="Times New Roman"/>
                <w:b/>
                <w:bCs/>
                <w:sz w:val="28"/>
                <w:szCs w:val="28"/>
                <w:lang w:val="sq-AL"/>
              </w:rPr>
              <w:t>neni 30</w:t>
            </w:r>
            <w:r w:rsidRPr="007A1206">
              <w:rPr>
                <w:rFonts w:ascii="Times New Roman" w:hAnsi="Times New Roman"/>
                <w:sz w:val="28"/>
                <w:szCs w:val="28"/>
                <w:lang w:val="sq-AL"/>
              </w:rPr>
              <w:t xml:space="preserve"> autorizon Këshillin e Ministrave që, kur është e nevojshme, të miratojë akte nënligjore për mënyrën e zbatimit të detyrimeve dhe të drejtave të operatorëve ekonomikë, me synim zbatimin e unifikuar të këtij kuadri dhe shmangien e praktikave të ndryshme që mund të fragmentojnë tregun. Në këtë mënyrë, kreu siguron një sistem koherent, të gjurmueshëm dhe të zbatueshëm detyrimesh dhe të drejtash përgjatë gjithë zinxhirit të furnizimit me produkte ndërtimi</w:t>
            </w:r>
          </w:p>
          <w:p w14:paraId="74CB1A9D"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Kreu IV</w:t>
            </w:r>
            <w:r w:rsidRPr="007A1206">
              <w:rPr>
                <w:rFonts w:ascii="Times New Roman" w:hAnsi="Times New Roman"/>
                <w:sz w:val="28"/>
                <w:szCs w:val="28"/>
                <w:lang w:val="sq-AL"/>
              </w:rPr>
              <w:t xml:space="preserve"> - Dokumente të Vlerësimit Shqiptar (</w:t>
            </w:r>
            <w:r w:rsidRPr="007A1206">
              <w:rPr>
                <w:rFonts w:ascii="Times New Roman" w:hAnsi="Times New Roman"/>
                <w:b/>
                <w:bCs/>
                <w:sz w:val="28"/>
                <w:szCs w:val="28"/>
                <w:lang w:val="sq-AL"/>
              </w:rPr>
              <w:t>nenet 31–36</w:t>
            </w:r>
            <w:r w:rsidRPr="007A1206">
              <w:rPr>
                <w:rFonts w:ascii="Times New Roman" w:hAnsi="Times New Roman"/>
                <w:sz w:val="28"/>
                <w:szCs w:val="28"/>
                <w:lang w:val="sq-AL"/>
              </w:rPr>
              <w:t>), vendos një mekanizëm kombëtar fleksibël për vlerësimin e produkteve të ndërtimit që nuk mbulohen nga specifikimet teknike të harmonizuara shqiptare, përmes Dokumenteve të Vlerësimit Shqiptar (DVSH) dhe Vlerësimeve Teknike Shqiptare. Ky mekanizëm synon të mbushë boshllëqet rregullatore për produkte inovative, produkte të përdorura ose zgjidhje të veçanta që nuk përfshihen ende në standarde apo akte nënligjore, duke siguruar që edhe këto produkte t’i nënshtrohen një procedure të qartë, të parashikueshme dhe të kontrollueshme vlerësimi.</w:t>
            </w:r>
          </w:p>
          <w:p w14:paraId="2EC9006F"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lastRenderedPageBreak/>
              <w:t>Neni 31</w:t>
            </w:r>
            <w:r w:rsidRPr="007A1206">
              <w:rPr>
                <w:rFonts w:ascii="Times New Roman" w:hAnsi="Times New Roman"/>
                <w:sz w:val="28"/>
                <w:szCs w:val="28"/>
                <w:lang w:val="sq-AL"/>
              </w:rPr>
              <w:t xml:space="preserve"> përcakton rastet kur mund të hartohen DVSH: vetëm kur produkti </w:t>
            </w:r>
            <w:r w:rsidRPr="007A1206">
              <w:rPr>
                <w:rFonts w:ascii="Times New Roman" w:hAnsi="Times New Roman"/>
                <w:sz w:val="28"/>
                <w:szCs w:val="28"/>
                <w:u w:val="single"/>
                <w:lang w:val="sq-AL"/>
              </w:rPr>
              <w:t>nuk</w:t>
            </w:r>
            <w:r w:rsidRPr="007A1206">
              <w:rPr>
                <w:rFonts w:ascii="Times New Roman" w:hAnsi="Times New Roman"/>
                <w:sz w:val="28"/>
                <w:szCs w:val="28"/>
                <w:lang w:val="sq-AL"/>
              </w:rPr>
              <w:t xml:space="preserve"> mbulohet nga: </w:t>
            </w:r>
          </w:p>
          <w:p w14:paraId="70225E7D" w14:textId="77777777" w:rsidR="007A1206" w:rsidRPr="007A1206" w:rsidRDefault="007A1206" w:rsidP="007A1206">
            <w:pPr>
              <w:numPr>
                <w:ilvl w:val="0"/>
                <w:numId w:val="21"/>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një standard i harmonizuar shqiptar i bërë i detyrueshëm, </w:t>
            </w:r>
          </w:p>
          <w:p w14:paraId="718FDC24" w14:textId="77777777" w:rsidR="007A1206" w:rsidRPr="007A1206" w:rsidRDefault="007A1206" w:rsidP="007A1206">
            <w:pPr>
              <w:numPr>
                <w:ilvl w:val="0"/>
                <w:numId w:val="21"/>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një akt nënligjor sipas nenit 7, ose </w:t>
            </w:r>
          </w:p>
          <w:p w14:paraId="36FD3F4C" w14:textId="77777777" w:rsidR="007A1206" w:rsidRPr="007A1206" w:rsidRDefault="007A1206" w:rsidP="007A1206">
            <w:pPr>
              <w:numPr>
                <w:ilvl w:val="0"/>
                <w:numId w:val="21"/>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kur pritet një standard i ri brenda një afati të shkurtër, ku atëherë DVSH nuk është e justifikuar. </w:t>
            </w:r>
          </w:p>
          <w:p w14:paraId="2C7227F1"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Parashikohet qartë se produkti mund të trajtohet si jo i mbuluar nga specifikimet ekzistuese edhe kur përdorimi i deklaruar bie jashtë fushës së standardit, kur materiali ndryshon ndjeshëm, ose kur metodat ekzistuese të vlerësimit nuk janë teknikisht të përshtatshme. DVSH hartohen nga Organizmi i Emëruar Shqiptar për Vlerësimin Teknik (OESHVT), me kërkesë të prodhuesve ose me nismë të ministrisë, duke u mbështetur në kërkesat bazë për punimet e ndërtimit dhe në karakteristikat mjedisore të paracaktuara të Shtojcës II. Ato janë të vetme për një produkt/karakteristikë të caktuar dhe nuk lejohen dokumente paralele për të njëjtin objekt.</w:t>
            </w:r>
          </w:p>
          <w:p w14:paraId="32732085"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Për këtë mekanizëm, ligji ndërton një procedurë të strukturuar në Shtojcën VI, e pasqyruar në </w:t>
            </w:r>
            <w:r w:rsidRPr="007A1206">
              <w:rPr>
                <w:rFonts w:ascii="Times New Roman" w:hAnsi="Times New Roman"/>
                <w:b/>
                <w:bCs/>
                <w:sz w:val="28"/>
                <w:szCs w:val="28"/>
                <w:lang w:val="sq-AL"/>
              </w:rPr>
              <w:t>nenin 32</w:t>
            </w:r>
            <w:r w:rsidRPr="007A1206">
              <w:rPr>
                <w:rFonts w:ascii="Times New Roman" w:hAnsi="Times New Roman"/>
                <w:sz w:val="28"/>
                <w:szCs w:val="28"/>
                <w:lang w:val="sq-AL"/>
              </w:rPr>
              <w:t xml:space="preserve">. OESHVT detyrohet të veprojë në mënyrë transparente ndaj prodhuesve dhe palëve të interesuara, duke respektuar njëkohësisht konfidencialitetin dhe sekretin tregtar, të vendosë afate të detyrueshme për të shmangur vonesat, të përfshijë mjaftueshëm palët e interesuara dhe ministrinë, si dhe të garantojë që kostot të jenë të arsyeshme për prodhuesit. Parashikohet që OESHVT të shmangë krijimin e panevojshëm të dokumenteve të reja, duke i dhënë përparësi zgjerimit të fushës së DVSH-ve ekzistuese kur është teknikisht e mundur. </w:t>
            </w:r>
          </w:p>
          <w:p w14:paraId="05B34B3D"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33</w:t>
            </w:r>
            <w:r w:rsidRPr="007A1206">
              <w:rPr>
                <w:rFonts w:ascii="Times New Roman" w:hAnsi="Times New Roman"/>
                <w:sz w:val="28"/>
                <w:szCs w:val="28"/>
                <w:lang w:val="sq-AL"/>
              </w:rPr>
              <w:t xml:space="preserve"> rregullon mënyrën se si OESHVT duhet të reagojë kur merr një kërkesë për Vlerësim Teknik Shqiptar: të informojë aplikantin nëse një DVSH ekziston, nuk mund të përdoret, apo duhet të fillojë hartimi i një DVSH të re, si dhe të informojë ministrinë për kërkesën dhe sistemin e vlerësimit që synon të aplikojë.</w:t>
            </w:r>
          </w:p>
          <w:p w14:paraId="4A5A0A1F"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34</w:t>
            </w:r>
            <w:r w:rsidRPr="007A1206">
              <w:rPr>
                <w:rFonts w:ascii="Times New Roman" w:hAnsi="Times New Roman"/>
                <w:sz w:val="28"/>
                <w:szCs w:val="28"/>
                <w:lang w:val="sq-AL"/>
              </w:rPr>
              <w:t xml:space="preserve"> lidhet me publikimin dhe vlefshmërinë e DVSH-ve. Referencat e dokumenteve të vlerësimit shqiptar miratohen nga Këshilli i Ministrave dhe publikohen në Fletoren Zyrtare; vetëm pas këtij publikimi ato mund të përdoren si bazë për një Vlerësim Teknik Shqiptar, për një periudhë deri në 10 vjet, me mundësi rinovimi. Nëse ndërkohë miratohet një specifikim teknik i harmonizuar shqiptar që mbulon të njëjtin produkt dhe të njëjtin përdorim të synuar, DVSH nuk mund të përdoret më dhe referenca e saj shfuqizohet. </w:t>
            </w:r>
          </w:p>
          <w:p w14:paraId="7B43327B"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35</w:t>
            </w:r>
            <w:r w:rsidRPr="007A1206">
              <w:rPr>
                <w:rFonts w:ascii="Times New Roman" w:hAnsi="Times New Roman"/>
                <w:sz w:val="28"/>
                <w:szCs w:val="28"/>
                <w:lang w:val="sq-AL"/>
              </w:rPr>
              <w:t xml:space="preserve"> përcakton përmbajtjen minimale të DVSH: përshkrimin e produktit ose kategorisë së produkteve dhe qëllimin e përdorimit; listën e karakteristikave thelbësore dhe mjedisore të rëndësishme; metodat dhe kriteret e vlerësimit; detajet teknike për zbatimin e sistemeve të vlerësimit dhe verifikimit; udhëzimet për informacionin e produktit dhe udhëzimet e përdorimit; si dhe rregullat për formatet e lexueshme nga njeriu dhe makina për deklarimin e performancës dhe konformitetit. Kur është e mundur, DVSH mbështetet në karakteristika, metoda </w:t>
            </w:r>
            <w:r w:rsidRPr="007A1206">
              <w:rPr>
                <w:rFonts w:ascii="Times New Roman" w:hAnsi="Times New Roman"/>
                <w:sz w:val="28"/>
                <w:szCs w:val="28"/>
                <w:lang w:val="sq-AL"/>
              </w:rPr>
              <w:lastRenderedPageBreak/>
              <w:t>dhe kritere tashmë të vendosura në specifikimet teknike të harmonizuara ose në DVSH të tjera, duke siguruar koherencë dhe shmangur fragmentimin teknik.</w:t>
            </w:r>
          </w:p>
          <w:p w14:paraId="5BF4961D"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Zgjidhja e DVSH dhe Vlerësimit Teknik Shqiptar përfaqëson një përshtatje të qëllimshme të dispozitave përkatëse të CPR 2024, ku në nivelin e BE-së përdoren dokumentet e vlerësimit evropian (EAD) dhe vlerësimet teknike evropiane (ETA). Si vend jo-anëtar, Shqipëria nuk është pjesë e mekanizmit institucional të EAD/ETA dhe nuk mund të mbështetet drejtpërdrejt në të. Për këtë arsye, ligji krijon një mekanizëm kombëtar të ngjashëm në funksion, të ndërtuar mbi të njëjtat parime teknike dhe procedurale, por të administruar nga OESHVT dhe i miratuar nga Këshilli i Ministrave. Kjo qasje siguron që edhe në mungesë të mbulimit nga standardet e harmonizuara shqiptare, prodhuesit të kenë një rrugë të qartë dhe të parashikueshme për të vlerësuar dhe deklaruar performancën e produkteve të tyre, pa lënë boshllëqe rregullatore dhe duke ruajtur koherencën me metodologjinë e CPR. Njëkohësisht, kufizimi në kohë dhe shfuqizimi automatik i DVSH-ve kur miratohen specifikime të harmonizuara siguron që sistemi kombëtar të mbetet i përkohshëm dhe komplementar, jo paralel apo konkurrues me kornizën evropiane.</w:t>
            </w:r>
          </w:p>
          <w:p w14:paraId="512FB312"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36</w:t>
            </w:r>
            <w:r w:rsidRPr="007A1206">
              <w:rPr>
                <w:rFonts w:ascii="Times New Roman" w:hAnsi="Times New Roman"/>
                <w:sz w:val="28"/>
                <w:szCs w:val="28"/>
                <w:lang w:val="sq-AL"/>
              </w:rPr>
              <w:t xml:space="preserve"> përmbyll kreun duke rregulluar vetë Vlerësimin Teknik Shqiptar. Ky vlerësim lëshohet nga OESHVT, me kërkesë të prodhuesit, vetëm mbi bazën e një DVSH, referenca e së cilës është publikuar në Fletoren Zyrtare. Ai përmban performancën që do të deklarohet për karakteristikat thelbësore të dakordësuara, të paraqitura në nivele, klasa ose përshkrime, si dhe detajet teknike të nevojshme për zbatimin e sistemit të vlerësimit dhe verifikimit. Vlerësimi Teknik Shqiptar përfshin detyrimisht edhe vlerësimin e karakteristikave mjedisore thelbësore të përcaktuara në nenin 15. Formati i Vlerësimit Teknik Shqiptar mund të unifikohet me akt nënligjor të Këshillit të Ministrave. Vlefshmëria e vlerësimit lidhet ngushtë me DVSH përkatës dhe zgjat deri pesë vjet pas mbarimit ose tërheqjes së referencës së DVSH, duke siguruar një periudhë tranzitore për prodhuesit, por pa lejuar përdorimin e këtyre instrumenteve kur DVSH nuk është më i përdorshëm sipas ligjit. Në këtë mënyrë sigurohet që ky mekanizëm kombëtar të jetë i qëndrueshëm, i kontrolluar në kohë dhe i plotësisht i integrueshëm me evolucionin e mëvonshëm të specifikimeve teknike të harmonizuara.</w:t>
            </w:r>
          </w:p>
          <w:p w14:paraId="2DF59FE4"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Kreu V</w:t>
            </w:r>
            <w:r w:rsidRPr="007A1206">
              <w:rPr>
                <w:rFonts w:ascii="Times New Roman" w:hAnsi="Times New Roman"/>
                <w:sz w:val="28"/>
                <w:szCs w:val="28"/>
                <w:lang w:val="sq-AL"/>
              </w:rPr>
              <w:t xml:space="preserve"> krijon sistemin kombëtar për organet që kryejnë vlerësimet teknike në kuadër të këtij ligji. Duke qenë se Shqipëria nuk është ende pjesë e sistemit të organeve të notifikimit dhe vlerësimit sipas CPR 2024, ligji vendos një mekanizëm të pavarur, por të ndërtuar mbi të njëjtat parime të kompetencës, transparencës dhe mbikëqyrjes që kërkon korniza evropiane. Ky mekanizëm siguron që vlerësimet dhe verifikimet e produkteve të ndërtimit të jenë të besueshme, të unifikuara dhe të mbikëqyrura nga autoriteti publik, në mënyrë që rezultatet e këtyre vlerësimeve të jenë të përdorshme për qëllime kombëtare deri në ditën e anëtarësimit. </w:t>
            </w:r>
          </w:p>
          <w:p w14:paraId="4303CC50"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37</w:t>
            </w:r>
            <w:r w:rsidRPr="007A1206">
              <w:rPr>
                <w:rFonts w:ascii="Times New Roman" w:hAnsi="Times New Roman"/>
                <w:sz w:val="28"/>
                <w:szCs w:val="28"/>
                <w:lang w:val="sq-AL"/>
              </w:rPr>
              <w:t xml:space="preserve"> përcakton Ministrinë si autoritet të vetëm emërues, përgjegjës për vlerësimin, emërimin dhe menaxhimin e OESHVT-ve. Roli i ministrisë është i </w:t>
            </w:r>
            <w:r w:rsidRPr="007A1206">
              <w:rPr>
                <w:rFonts w:ascii="Times New Roman" w:hAnsi="Times New Roman"/>
                <w:sz w:val="28"/>
                <w:szCs w:val="28"/>
                <w:lang w:val="sq-AL"/>
              </w:rPr>
              <w:lastRenderedPageBreak/>
              <w:t>ndarë nga funksioni i vlerësimit teknik për të garantuar pavarësinë institucionale, por i unifikuar me rolin e autoritetit njoftues/notifikues, duke reflektuar modelin e CPR-së. Ministria nuk mund të emërojë veten si OESHVT dhe ndaj saj zbatohen të gjitha kërkesat e ligjit për autoritetet njoftuese.</w:t>
            </w:r>
          </w:p>
          <w:p w14:paraId="03C1F4C7"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38</w:t>
            </w:r>
            <w:r w:rsidRPr="007A1206">
              <w:rPr>
                <w:rFonts w:ascii="Times New Roman" w:hAnsi="Times New Roman"/>
                <w:sz w:val="28"/>
                <w:szCs w:val="28"/>
                <w:lang w:val="sq-AL"/>
              </w:rPr>
              <w:t xml:space="preserve"> rregullon procedurat e emërimit, monitorimit dhe vlerësimit të OESHVT-ve. Ministria mund të emërojë një ose më shumë OESHVT për familjet e produkteve të përcaktuara në Shtojcën VII, por edhe për produkte të reja ose inovative që nuk janë ende të përfshira në listë. OESHVT e emëruara pajisen me një numër unik identifikimi dhe publikohen në faqen zyrtare të Ministrisë. Ministria siguron mbikëqyrje të vazhdueshme të kompetencës së tyre, përfshirë degët dhe nënkontraktorët. OESHVT-të kanë detyrimin të raportojnë çdo ndryshim që prek kompetencën ose përputhshmërinë e tyre brenda një afati të shkurtër dhe të vënë në dispozicion çdo informacion të kërkuar nga Ministria. Në rast të mospërputhshmërisë, ministria mund të kufizojë, pezullojë ose tërheqë emërimin, sidomos kur masat korrigjuese nuk zbatohen.</w:t>
            </w:r>
          </w:p>
          <w:p w14:paraId="42D8365B"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39</w:t>
            </w:r>
            <w:r w:rsidRPr="007A1206">
              <w:rPr>
                <w:rFonts w:ascii="Times New Roman" w:hAnsi="Times New Roman"/>
                <w:sz w:val="28"/>
                <w:szCs w:val="28"/>
                <w:lang w:val="sq-AL"/>
              </w:rPr>
              <w:t xml:space="preserve"> vendos kërkesat themelore për OESHVT-të. Ato duhet të jenë teknikisht kompetente dhe të pajisura për të kryer vlerësimet brenda familjeve të produkteve për të cilat janë emëruar. Stafi vendimmarrës dhe të paktën gjysma e stafit teknik duhet të jenë të punësuar sipas legjislacionit shqiptar, për të garantuar stabilitet dhe përgjegjshmëri institucionale. OESHVT-të duhet të përmbushin kërkesat e Shtojcës VIII dhe të gjitha kërkesat përkatëse të neneve 43 dhe 44 që lidhen me paanshmërinë, konfliktin e interesit, kompetencën teknike dhe mbajtjen e sekretit profesional. Ato duhet të publikojnë strukturën e tyre organizative dhe emrat e anëtarëve të organeve vendimmarrëse.</w:t>
            </w:r>
          </w:p>
          <w:p w14:paraId="7BAA2682"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Zgjidhja e bërë në këtë Kre përputhet me CPR-në, duke krijuar një strukturë kombëtare ekuivalente me trupat e vlerësimit teknik evropiane, por duke marrë parasysh se Shqipëria nuk mund të jetë pjesë formale e mekanizmit të notifikimit të BE-së deri në momentin e anëtarësimit</w:t>
            </w:r>
            <w:r w:rsidRPr="007A1206">
              <w:rPr>
                <w:rFonts w:ascii="Times New Roman" w:hAnsi="Times New Roman"/>
                <w:b/>
                <w:bCs/>
                <w:sz w:val="28"/>
                <w:szCs w:val="28"/>
                <w:lang w:val="sq-AL"/>
              </w:rPr>
              <w:t>.</w:t>
            </w:r>
            <w:r w:rsidRPr="007A1206">
              <w:rPr>
                <w:rFonts w:ascii="Times New Roman" w:hAnsi="Times New Roman"/>
                <w:sz w:val="28"/>
                <w:szCs w:val="28"/>
                <w:lang w:val="sq-AL"/>
              </w:rPr>
              <w:t xml:space="preserve"> </w:t>
            </w:r>
          </w:p>
          <w:p w14:paraId="4994472E"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Sistemi i ngritur siguron që vlerësimet teknike shqiptare të kryhen në mënyrë të kontrolluar, të paanshme dhe sipas kërkesave profesionale të krahasueshme me ato të BE-së, duke garantuar cilësi rregullatore dhe mbrojtje nga praktikat e pasakta të vlerësimit në treg.</w:t>
            </w:r>
          </w:p>
          <w:p w14:paraId="587B9696"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Kreu VI - Autoriteti Miratues dhe Organet e Miratuara</w:t>
            </w:r>
            <w:r w:rsidRPr="007A1206">
              <w:rPr>
                <w:rFonts w:ascii="Times New Roman" w:hAnsi="Times New Roman"/>
                <w:sz w:val="28"/>
                <w:szCs w:val="28"/>
                <w:lang w:val="sq-AL"/>
              </w:rPr>
              <w:t xml:space="preserve"> (</w:t>
            </w:r>
            <w:r w:rsidRPr="007A1206">
              <w:rPr>
                <w:rFonts w:ascii="Times New Roman" w:hAnsi="Times New Roman"/>
                <w:b/>
                <w:bCs/>
                <w:sz w:val="28"/>
                <w:szCs w:val="28"/>
                <w:lang w:val="sq-AL"/>
              </w:rPr>
              <w:t>Nenet 40–54</w:t>
            </w:r>
            <w:r w:rsidRPr="007A1206">
              <w:rPr>
                <w:rFonts w:ascii="Times New Roman" w:hAnsi="Times New Roman"/>
                <w:sz w:val="28"/>
                <w:szCs w:val="28"/>
                <w:lang w:val="sq-AL"/>
              </w:rPr>
              <w:t>), krijon kornizën institucionale dhe procedurale për organet e miratuara që kryejnë detyra të palës së tretë në vlerësimin dhe verifikimin e produkteve të ndërtimit. Ky kapitull përafron strukturën shqiptare me modelin e trupave të njoftuar sipas CPR, por e përshtat atë në kushtet e një vendi jo-anëtar, ku Ministria mban rolin qendror si autoritet miratues dhe njoftues, ndërsa organizmi kombëtar i akreditimit siguron vërtetimin/verifikimin e kompetencës teknike së këtyre organeve.</w:t>
            </w:r>
          </w:p>
          <w:p w14:paraId="184CE165"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40</w:t>
            </w:r>
            <w:r w:rsidRPr="007A1206">
              <w:rPr>
                <w:rFonts w:ascii="Times New Roman" w:hAnsi="Times New Roman"/>
                <w:sz w:val="28"/>
                <w:szCs w:val="28"/>
                <w:lang w:val="sq-AL"/>
              </w:rPr>
              <w:t xml:space="preserve"> parashikon që Ministria të njoftojë Komisionin dhe shtetet anëtare për organet që autorizohen të kryejnë detyra të palës së tretë, si vlerësimin e performancës, vlerësimin e konformitetit dhe verifikimin e llogaritjeve të </w:t>
            </w:r>
            <w:r w:rsidRPr="007A1206">
              <w:rPr>
                <w:rFonts w:ascii="Times New Roman" w:hAnsi="Times New Roman"/>
                <w:sz w:val="28"/>
                <w:szCs w:val="28"/>
                <w:lang w:val="sq-AL"/>
              </w:rPr>
              <w:lastRenderedPageBreak/>
              <w:t xml:space="preserve">qëndrueshmërisë mjedisore. Po ashtu, Ministria njofton edhe procedurat që zbaton për vlerësimin, njoftimin dhe monitorimin e këtyre organeve, si dhe çdo ndryshim në to. Kjo dispozitë fillon të zbatohet pas anëtarësimit, sipas parashikimeve në nenin 92 të ligjit. </w:t>
            </w:r>
          </w:p>
          <w:p w14:paraId="586F9E8E"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41</w:t>
            </w:r>
            <w:r w:rsidRPr="007A1206">
              <w:rPr>
                <w:rFonts w:ascii="Times New Roman" w:hAnsi="Times New Roman"/>
                <w:sz w:val="28"/>
                <w:szCs w:val="28"/>
                <w:lang w:val="sq-AL"/>
              </w:rPr>
              <w:t xml:space="preserve"> përcakton Ministrinë si autoritet njoftues dhe njëkohësisht si autoritet të vetëm miratues për organet e vlerësimit të konformitetit. Ajo përgjigjet për vlerësimin, miratimin dhe monitorimin e organeve të miratuara, duke u siguruar që ato përmbushin kërkesat e neneve 43 dhe 45. Vlerësimi dhe monitorimi i statusit të akreditimit bëhet nga organizmi kombëtar i akreditimit, ndërsa Ministria mban përgjegjësi të plotë për detyrat e kryera nga këto organe, duke parashikuar si instrument pjesëmarrjen e një përfaqësuesi të ministrisë të caktuar si vëzhgues në vizitat vlerësuese të kryera nga grupi vlerësues i organizmit kombëtar të akreditimit. Gjithashtu, në këtë nen parashikohet detyrimi i raportimeve periodike nga organet e miratuara. Në këtë mënyrë ministria siguron një mënyrë monitorimi edhe për OM edhe për organizmin kombëtar të akreditimit. Pika 1 e këtij neni lidhur me funksionin njoftues të ministrisë parashikohet të zbatohet pas anëtarësimit, sipas parashikime në nenin 92.</w:t>
            </w:r>
          </w:p>
          <w:p w14:paraId="4D2296A3"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42</w:t>
            </w:r>
            <w:r w:rsidRPr="007A1206">
              <w:rPr>
                <w:rFonts w:ascii="Times New Roman" w:hAnsi="Times New Roman"/>
                <w:sz w:val="28"/>
                <w:szCs w:val="28"/>
                <w:lang w:val="sq-AL"/>
              </w:rPr>
              <w:t xml:space="preserve"> vendos rregullat e paanshmërisë, integritetit dhe konfliktit të interesit për Ministrin dhe strukturat administrative që merren me proceset e vlerësimit, miratimit dhe monitorimit. Personat e përfshirë duhet të veprojnë në përputhje me ligjin për konfliktin e interesave dhe Kodin e Procedurave Administrative, të nënshkruajnë deklarata paanshmërie dhe konfidencialiteti, dhe në rast konflikti të provuar të interesit, parashikohet anulimi i procedurës dhe rishqyrtim i vlerësimit, duke eliminuar shkakun e cenimit të paanshmërisë. Për me tepër, parashikohet që personat në shkelje të paanshmërisë përballen me masa disiplinore, sipas legjislacionit në fuqi. Ministri delegon vlerësimin teknik të dokumentacionit te struktura përgjegjëse për legjislacionin e produkteve të ndërtimit, e cila përgatit raportin e vlerësimit për vendimmarrje. Në të njëjtën kohë, ndalohet ofrimi i shërbimeve konkurruese të ngjashme me ato të organeve të miratuara dhe kërkohet që vlerësimi të bëhet vetëm mbi trupën konkrete që aplikon, jo mbi kapacitetet e kompanive mëmë ose shoqërive të lidhura.</w:t>
            </w:r>
          </w:p>
          <w:p w14:paraId="42F9B804"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43</w:t>
            </w:r>
            <w:r w:rsidRPr="007A1206">
              <w:rPr>
                <w:rFonts w:ascii="Times New Roman" w:hAnsi="Times New Roman"/>
                <w:sz w:val="28"/>
                <w:szCs w:val="28"/>
                <w:lang w:val="sq-AL"/>
              </w:rPr>
              <w:t xml:space="preserve"> përcakton kriteret e pavarësisë, paanshmërisë dhe kompetencës që një organ vlerësimi të konformitetit duhet të plotësojë për t’u miratuar, përfshirë ndalimin e çdo konflikti interesi me prodhuesit apo aktorët e tjerë të tregut. Ky nen parashikon kërkesa për personel të kualifikuar, procedura të dokumentuara, burime të mjaftueshme teknike dhe administrative, siguracion përgjegjësie dhe rregulla strikte për sekretin profesional, për të garantuar vlerësim të besueshëm dhe të pavarur.</w:t>
            </w:r>
          </w:p>
          <w:p w14:paraId="01155244"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44</w:t>
            </w:r>
            <w:r w:rsidRPr="007A1206">
              <w:rPr>
                <w:rFonts w:ascii="Times New Roman" w:hAnsi="Times New Roman"/>
                <w:sz w:val="28"/>
                <w:szCs w:val="28"/>
                <w:lang w:val="sq-AL"/>
              </w:rPr>
              <w:t xml:space="preserve"> vendos parimin e prezumimit të konformitetit të një OM, kur ai demonstron përputhshmëri me standardet e harmonizuara shqiptare ose specifikimet e përbashkëta të aplikueshme.  Kjo krijon një lidhje të drejtpërdrejtë midis akreditimit teknik dhe miratimit ligjor, duke e thjeshtuar vlerësimin.</w:t>
            </w:r>
          </w:p>
          <w:p w14:paraId="2A01A1E4"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lastRenderedPageBreak/>
              <w:t>Neni 45</w:t>
            </w:r>
            <w:r w:rsidRPr="007A1206">
              <w:rPr>
                <w:rFonts w:ascii="Times New Roman" w:hAnsi="Times New Roman"/>
                <w:sz w:val="28"/>
                <w:szCs w:val="28"/>
                <w:lang w:val="sq-AL"/>
              </w:rPr>
              <w:t xml:space="preserve"> rregullon degët dhe nënkontraktorët e organeve të miratuara. OM mbetet përgjegjës në mënyrë të plotë për detyrat e nënkontraktuara, pasi ai duhet të sigurojë që nënkontraktorët dhe degët plotësojnë të njëjtat kërkesa të nenit 43, të monitorojë kompetencën e tyre dhe të ketë dokumentacion të aksesueshëm për Ministrinë. Nënkontraktimi ose kryerja e veprimtarive nga degët lejohet vetëm me miratimin e klientit.</w:t>
            </w:r>
          </w:p>
          <w:p w14:paraId="1BAC8199"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46</w:t>
            </w:r>
            <w:r w:rsidRPr="007A1206">
              <w:rPr>
                <w:rFonts w:ascii="Times New Roman" w:hAnsi="Times New Roman"/>
                <w:sz w:val="28"/>
                <w:szCs w:val="28"/>
                <w:lang w:val="sq-AL"/>
              </w:rPr>
              <w:t xml:space="preserve"> lejon përdorimin e pajisjeve jashtë laboratorit të OM në raste të justifikuara teknikisht, ekonomikisht ose nga pikëpamja logjistike, duke mundësuar kryerjen e testeve në impiantin e prodhuesit ose në laboratorë të jashtëm. Edhe në këto raste, OM duhet të jetë specifikisht i autorizuar për të punuar jashtë laboratorit, të verifikojë kalibrimin, gjurmueshmërinë e matjeve dhe cilësinë e rezultateve të testimit, dhe mban përgjegjësi të plotë për saktësinë dhe besueshmërinë e testeve.</w:t>
            </w:r>
          </w:p>
          <w:p w14:paraId="43F47A6D"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47</w:t>
            </w:r>
            <w:r w:rsidRPr="007A1206">
              <w:rPr>
                <w:rFonts w:ascii="Times New Roman" w:hAnsi="Times New Roman"/>
                <w:sz w:val="28"/>
                <w:szCs w:val="28"/>
                <w:lang w:val="sq-AL"/>
              </w:rPr>
              <w:t xml:space="preserve"> përcakton procedurën e aplikimit për miratim. Organi që synon të miratohet i drejtohet Ministrit me një aplikim të plotë, ku përfshihet regjistrimi në QKB, struktura organizative, baza ligjore e veprimtarisë, përshkrimi i aktiviteteve, prova për kompetencën dhe kapacitetin teknik, polica e sigurimit profesional, proceset e vlerësimit dhe verifikimit për të cilat kërkohet miratimi, si dhe certifikata e akreditimit (ose raporti i vlerësimit nga organi kombëtar i akreditimit për rastet në pritje të certifikatës). Kostot e sigurimit të dokumentacionit janë në ngarkim të aplikantit.</w:t>
            </w:r>
          </w:p>
          <w:p w14:paraId="15096D65"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48</w:t>
            </w:r>
            <w:r w:rsidRPr="007A1206">
              <w:rPr>
                <w:rFonts w:ascii="Times New Roman" w:hAnsi="Times New Roman"/>
                <w:sz w:val="28"/>
                <w:szCs w:val="28"/>
                <w:lang w:val="sq-AL"/>
              </w:rPr>
              <w:t xml:space="preserve"> përshkruan procedurën e miratimit. Ministri mund të miratojë vetëm organet e akredituara që plotësojnë nenet 43 dhe 47, duke u mbështetur në vlerësimin e strukturës përgjegjëse dhe, kur është e nevojshme, në vizita në vend ose marrje provash shtesë. Vendimi parashikohet të merret brenda 30 ditëve pune nga dorëzimi i aplikimit, me miratim ose refuzim të arsyetuar, ndërsa në rast mos marrjeje vendimi zbatohen rregullat e Kodit të Procedurave Administrative. Për degët e organizmave evropianë të njoftuar, zbatohen kriteret e ligjit horizontal për tregtimin dhe mbikëqyrjen e produkteve jo-ushqimore. Siç parashikohet në dispozitat kalimtare, ky nen pjesërisht do shërbejë si procedurë njoftimi, ku pikat jo relevante parashikohen të shfuqizohen, sipas nenit 91.</w:t>
            </w:r>
          </w:p>
          <w:p w14:paraId="25B689EB"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49</w:t>
            </w:r>
            <w:r w:rsidRPr="007A1206">
              <w:rPr>
                <w:rFonts w:ascii="Times New Roman" w:hAnsi="Times New Roman"/>
                <w:sz w:val="28"/>
                <w:szCs w:val="28"/>
                <w:lang w:val="sq-AL"/>
              </w:rPr>
              <w:t xml:space="preserve"> përcakton përmbajtjen minimale të vendimit të miratimit, përfshirë bazën ligjore, objektin e punës, periudhën e vlefshmërisë, numrin e identifikimit dhe personin e autorizuar për nënshkrim të dokumenteve. Miratimi lidhet në kohë me vlefshmërinë e certifikatës së akreditimit dhe mund të rinovohet me konfirmimin e të dhënave përkatëse. Ky nen parashikon që referencat dhe çdo anulim të publikohen në faqen zyrtare të Ministrisë.</w:t>
            </w:r>
          </w:p>
          <w:p w14:paraId="66D5C81F"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50</w:t>
            </w:r>
            <w:r w:rsidRPr="007A1206">
              <w:rPr>
                <w:rFonts w:ascii="Times New Roman" w:hAnsi="Times New Roman"/>
                <w:sz w:val="28"/>
                <w:szCs w:val="28"/>
                <w:lang w:val="sq-AL"/>
              </w:rPr>
              <w:t xml:space="preserve"> parashikon caktimin e një numri identifikimi unik për çdo organ të miratuar dhe publikimin e listës së organeve të miratuara në faqen zyrtare të Ministrisë, së bashku me numrat e identifikimit dhe aktivitetet përkatëse. Lista përditësohet rregullisht.</w:t>
            </w:r>
          </w:p>
          <w:p w14:paraId="326B3F9A"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lastRenderedPageBreak/>
              <w:t>Neni 51</w:t>
            </w:r>
            <w:r w:rsidRPr="007A1206">
              <w:rPr>
                <w:rFonts w:ascii="Times New Roman" w:hAnsi="Times New Roman"/>
                <w:sz w:val="28"/>
                <w:szCs w:val="28"/>
                <w:lang w:val="sq-AL"/>
              </w:rPr>
              <w:t xml:space="preserve"> trajton ndryshimet në miratim në rastet kur ministria konstaton mospërputhje me kërkesat e nenit 43 ose mos përmbushje të detyrimeve. Në këto raste, Ministri mund të kufizojë, pezullojë ose tërheqë miratimin. </w:t>
            </w:r>
          </w:p>
          <w:p w14:paraId="5773D7D4"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52</w:t>
            </w:r>
            <w:r w:rsidRPr="007A1206">
              <w:rPr>
                <w:rFonts w:ascii="Times New Roman" w:hAnsi="Times New Roman"/>
                <w:sz w:val="28"/>
                <w:szCs w:val="28"/>
                <w:lang w:val="sq-AL"/>
              </w:rPr>
              <w:t xml:space="preserve"> rregullon hetimin e kompetencës së organeve të miratuara. Në rast dyshimi ose informacionesh për mungesë kompetence apo mosrespektim të detyrimeve, Ministria fillon hetimin, duke trajtuar me konfidencialitet informacionin e ndjeshëm. Nëse konstatohen shkelje, merren masat e nevojshme, përfshirë tërheqjen e miratimit.</w:t>
            </w:r>
          </w:p>
          <w:p w14:paraId="122BB48A"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53</w:t>
            </w:r>
            <w:r w:rsidRPr="007A1206">
              <w:rPr>
                <w:rFonts w:ascii="Times New Roman" w:hAnsi="Times New Roman"/>
                <w:sz w:val="28"/>
                <w:szCs w:val="28"/>
                <w:lang w:val="sq-AL"/>
              </w:rPr>
              <w:t xml:space="preserve"> përcakton detyrimet operacionale të organeve të miratuara. Ato kryejnë vlerësimet dhe verifikimet e parashikuara në Shtojcën IX: vlerësimin e performancës dhe konformitetit të produkteve, verifikimin e qëndrueshmërisë së performancës, verifikimin e llogaritjeve të qëndrueshmërisë mjedisore dhe konformitetin e prodhuesit me detyrimet ligjore. Aktivitetet duhet të kryhen në mënyrë transparente, proporcionale dhe pa ngarkesa të panevojshme për operatorët ekonomikë, duke marrë parasysh madhësinë e ndërmarrjes, teknologjinë, natyrën e prodhimit dhe rolin e produktit në përmbushjen e kërkesave themelore për punimet e ndërtimit. Parashikohen detyrime të qarta për refuzimin e certifikimit kur nuk sigurohet qëndrueshmëria e performancës, pezullimin ose tërheqjen e certifikatave kur konstatohet mospërputhje gjatë monitorimit, dhe përdorimin e kritereve të paracaktuara për marrë vendime. </w:t>
            </w:r>
          </w:p>
          <w:p w14:paraId="31B9C16A"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54</w:t>
            </w:r>
            <w:r w:rsidRPr="007A1206">
              <w:rPr>
                <w:rFonts w:ascii="Times New Roman" w:hAnsi="Times New Roman"/>
                <w:sz w:val="28"/>
                <w:szCs w:val="28"/>
                <w:lang w:val="sq-AL"/>
              </w:rPr>
              <w:t xml:space="preserve"> sanksionon detyrimet e organeve të miratuara për informim, përfshirë ndër të tjera, njoftimin e Ministrisë për çdo refuzim, kufizim, pezullim apo tërheqje certifikatash dhe raportesh, për çdo rrethanë që prek fushën ose kushtet e miratimit dhe për çdo kërkesë nga autoritete të tjera për informacion mbi aktivitetet e vlerësimit. Ky nen parashikon dhe detyrime të tjera lidhur me  shkëmbime informacioni ndërmjet OM. </w:t>
            </w:r>
          </w:p>
          <w:p w14:paraId="3E3DCA96"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Në këtë mënyrë, Kreu VI siguron që sistemi i OM-ve në Shqipëri të jetë i ndërtuar sipas logjikës së trupave të notifikuar në CPR-së, por i përkthyer në një arkitekturë kombëtare ku Ministria, Drejtoria e Akreditimit dhe vetë organet e miratuara kanë role dhe detyrime të qarta, të kontrollueshme dhe të harmonizueshme në të ardhmen me sistemin evropian</w:t>
            </w:r>
          </w:p>
          <w:p w14:paraId="6391B67B"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Kreu VII </w:t>
            </w:r>
            <w:r w:rsidRPr="007A1206">
              <w:rPr>
                <w:rFonts w:ascii="Times New Roman" w:hAnsi="Times New Roman"/>
                <w:sz w:val="28"/>
                <w:szCs w:val="28"/>
                <w:lang w:val="sq-AL"/>
              </w:rPr>
              <w:t>vendos një sërë procedurash të thjeshtuara që ulin barrën administrative për prodhuesit, pa cenuar kontrollueshmërinë ligjore dhe teknike të produkteve. Këto dispozita reflektojnë strukturën e CPR 2024.</w:t>
            </w:r>
          </w:p>
          <w:p w14:paraId="68126C4A"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55</w:t>
            </w:r>
            <w:r w:rsidRPr="007A1206">
              <w:rPr>
                <w:rFonts w:ascii="Times New Roman" w:hAnsi="Times New Roman"/>
                <w:sz w:val="28"/>
                <w:szCs w:val="28"/>
                <w:lang w:val="sq-AL"/>
              </w:rPr>
              <w:t xml:space="preserve"> lejon prodhuesin, në raste të përcaktuara, të mos kryejë testimin ose llogaritjen sipas tipit, por t’i zëvendësojë ato me dokumentacion teknik që mbështetet në teste ekzistuese të sistemit, komponentëve ose një prodhuesi tjetër (me autorizim). Kur sistemi kërkon përfshirjen e OM, organi verifikon vetëm korrektësinë e zëvendësimit, jo performancën e vetë produktit.</w:t>
            </w:r>
          </w:p>
          <w:p w14:paraId="25D14A65"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56</w:t>
            </w:r>
            <w:r w:rsidRPr="007A1206">
              <w:rPr>
                <w:rFonts w:ascii="Times New Roman" w:hAnsi="Times New Roman"/>
                <w:sz w:val="28"/>
                <w:szCs w:val="28"/>
                <w:lang w:val="sq-AL"/>
              </w:rPr>
              <w:t xml:space="preserve"> u jep mikro-ndërmarrjeve mundësinë të zëvendësojnë testimin sipas tipit për sistemin 3 me të dhëna të barasvlershme në dokumentacionin teknik. OM certifikojnë vetëm përputhshmërinë e procedurës së thjeshtuar.</w:t>
            </w:r>
          </w:p>
          <w:p w14:paraId="691FD3AA"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57</w:t>
            </w:r>
            <w:r w:rsidRPr="007A1206">
              <w:rPr>
                <w:rFonts w:ascii="Times New Roman" w:hAnsi="Times New Roman"/>
                <w:sz w:val="28"/>
                <w:szCs w:val="28"/>
                <w:lang w:val="sq-AL"/>
              </w:rPr>
              <w:t xml:space="preserve"> u jep prodhuesve të produkteve të bëra me porosi një alternativë ndaj përjashtimit, ku ata mund të mbështeten te një seksion teknik që demonstron </w:t>
            </w:r>
            <w:r w:rsidRPr="007A1206">
              <w:rPr>
                <w:rFonts w:ascii="Times New Roman" w:hAnsi="Times New Roman"/>
                <w:sz w:val="28"/>
                <w:szCs w:val="28"/>
                <w:lang w:val="sq-AL"/>
              </w:rPr>
              <w:lastRenderedPageBreak/>
              <w:t>përputhshmërinë me kërkesat, me të dhëna të barasvlershme. OM, kur kërkohet, certifikojnë vetëm zbatimin korrekt të procedurës.</w:t>
            </w:r>
          </w:p>
          <w:p w14:paraId="05080BD6"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58</w:t>
            </w:r>
            <w:r w:rsidRPr="007A1206">
              <w:rPr>
                <w:rFonts w:ascii="Times New Roman" w:hAnsi="Times New Roman"/>
                <w:sz w:val="28"/>
                <w:szCs w:val="28"/>
                <w:lang w:val="sq-AL"/>
              </w:rPr>
              <w:t xml:space="preserve"> lejon njohjen e vlerësimeve dhe verifikimeve të kryera nga një organ tjetër i miratuar, për të shmangur testimet e dyfishta. </w:t>
            </w:r>
          </w:p>
          <w:p w14:paraId="20BAB383" w14:textId="77777777" w:rsidR="007A1206" w:rsidRPr="007A1206" w:rsidRDefault="007A1206" w:rsidP="007A1206">
            <w:pPr>
              <w:tabs>
                <w:tab w:val="left" w:pos="60"/>
                <w:tab w:val="left" w:pos="540"/>
              </w:tabs>
              <w:jc w:val="both"/>
              <w:rPr>
                <w:rFonts w:ascii="Times New Roman" w:hAnsi="Times New Roman"/>
                <w:i/>
                <w:iCs/>
                <w:sz w:val="28"/>
                <w:szCs w:val="28"/>
                <w:lang w:val="sq-AL"/>
              </w:rPr>
            </w:pPr>
            <w:r w:rsidRPr="007A1206">
              <w:rPr>
                <w:rFonts w:ascii="Times New Roman" w:hAnsi="Times New Roman"/>
                <w:b/>
                <w:bCs/>
                <w:i/>
                <w:iCs/>
                <w:sz w:val="28"/>
                <w:szCs w:val="28"/>
                <w:lang w:val="sq-AL"/>
              </w:rPr>
              <w:t>Në raport me CPR-në</w:t>
            </w:r>
            <w:r w:rsidRPr="007A1206">
              <w:rPr>
                <w:rFonts w:ascii="Times New Roman" w:hAnsi="Times New Roman"/>
                <w:i/>
                <w:iCs/>
                <w:sz w:val="28"/>
                <w:szCs w:val="28"/>
                <w:lang w:val="sq-AL"/>
              </w:rPr>
              <w:t>, Kreu VII ndjek të njëjtën filozofi: lejon procedura të thjeshtuara atje ku risku është më i ulët, ku ekziston tashmë një bazë e fortë testimi, ose ku kemi mikro-ndërmarrje dhe produkte të veçanta me porosi. Zgjidhjet e marra në ligjin shqiptar ruajnë strukturën dhe kushtet themelore të CPR për “shared test results”, “simplified procedures” dhe “mutual recognition between notified bodies”, por i kthejnë ato në një skemë krejtësisht të operueshme në nivel kombëtar, duke përdorur OM shqiptare dhe DVSH/Vlerësimet Teknike Shqiptare si referencë. Kjo bën të mundur lehtësimin real të barrës për operatorët, pa cenuar kontrollueshmërinë dhe përgjegjshmërinë teknike të sistemit.</w:t>
            </w:r>
          </w:p>
          <w:p w14:paraId="358566DB"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KREU VIII </w:t>
            </w:r>
            <w:r w:rsidRPr="007A1206">
              <w:rPr>
                <w:rFonts w:ascii="Times New Roman" w:hAnsi="Times New Roman"/>
                <w:sz w:val="28"/>
                <w:szCs w:val="28"/>
                <w:lang w:val="sq-AL"/>
              </w:rPr>
              <w:t xml:space="preserve">vendos bazën e sistemit shqiptar të mbikëqyrjes së tregut për produktet e ndërtimit, duke u përpjekur për të arritur një përputhje sa më të lartë me CPR 2024, por duke bërë disa përshtatje të domosdoshme që lidhen me statusin e Shqipërisë si vend jo-anëtar i BE-së. Në CPR 2024, komunikimi operativ dhe shkëmbimi i detyrueshëm i informacionit zhvillohet drejtpërdrejt ndërmjet autoriteteve të shteteve anëtare dhe Komisionit përmes Safety Gate/RAPEX dhe ICSMS. Këto dispozita nuk mund të transpozohen plotësisht në të njëjtën formë, pasi Shqipëria nuk ka qasje institucionale në këto mekanizma. </w:t>
            </w:r>
          </w:p>
          <w:p w14:paraId="59C7B739"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Neni 59 </w:t>
            </w:r>
            <w:r w:rsidRPr="007A1206">
              <w:rPr>
                <w:rFonts w:ascii="Times New Roman" w:hAnsi="Times New Roman"/>
                <w:sz w:val="28"/>
                <w:szCs w:val="28"/>
                <w:lang w:val="sq-AL"/>
              </w:rPr>
              <w:t>krijon një mekanizëm të qartë për ankesat publike, nëpërmjet Sistemit të Komunikimit dhe Shkëmbimit të Informacionit të administruar nga ministria përgjegjëse për tregtinë. Ky formulim bazohet në ndryshimet e fundit ligjore të ligjit 10489/2011 për përafrimin e rregullores evropiane të mbikëqyrjes së tregut. Në këtë kontekst, Zyra e Vetme Ndërlidhëse vlerëson ankimin dhe ia përcjell menjëherë tek pikës së kontaktit për produktet e ndërtimit në ministrinë përgjegjëse për politikat e ndërtimit, që trajton dhe adreson zgjidhjen përfundimtare. Ky mekanizëm zëvendëson rrjedhat e komunikimit SHA–Komision në CPR, duke u përshtatur me strukturën institucionale vendase.</w:t>
            </w:r>
          </w:p>
          <w:p w14:paraId="5DCCF37A"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Neni 60 </w:t>
            </w:r>
            <w:r w:rsidRPr="007A1206">
              <w:rPr>
                <w:rFonts w:ascii="Times New Roman" w:hAnsi="Times New Roman"/>
                <w:sz w:val="28"/>
                <w:szCs w:val="28"/>
                <w:lang w:val="sq-AL"/>
              </w:rPr>
              <w:t xml:space="preserve">përcakton strukturat përgjegjëse për mbikëqyrjen e tregut të produkteve të ndërtimit dhe ndarjen e kompetencave ndërmjet Inspektoriati Qendror për Mbikëqyrjen e Tregut (IQMT-së) dhe Inspektorati Shtetëror Teknik dhe Industrial (ISHTI-së). IQMT-ja ngarkohet me mbikëqyrjen e produkteve pranë operatorëve ekonomikë, ndërsa ISHTI-ja me kontrollin e produkteve në lidhje me përdorimin, instalimin dhe përfshirjen e tyre në veprat e ndërtimit. Gjithashtu, përcaktohet kuadri ligjor në bazë të të cilit ushtrohen këto kompetenca,dhe ngarkon ministrinë përgjegjëse për përcaktimin e </w:t>
            </w:r>
            <w:r w:rsidRPr="007A1206">
              <w:rPr>
                <w:rFonts w:ascii="Times New Roman" w:hAnsi="Times New Roman"/>
                <w:b/>
                <w:bCs/>
                <w:sz w:val="28"/>
                <w:szCs w:val="28"/>
                <w:lang w:val="sq-AL"/>
              </w:rPr>
              <w:t>pikës ndërlidhëse</w:t>
            </w:r>
            <w:r w:rsidRPr="007A1206">
              <w:rPr>
                <w:rFonts w:ascii="Times New Roman" w:hAnsi="Times New Roman"/>
                <w:sz w:val="28"/>
                <w:szCs w:val="28"/>
                <w:lang w:val="sq-AL"/>
              </w:rPr>
              <w:t>, me rol koordinues me:</w:t>
            </w:r>
          </w:p>
          <w:p w14:paraId="1AA56D22" w14:textId="77777777" w:rsidR="007A1206" w:rsidRPr="007A1206" w:rsidRDefault="007A1206" w:rsidP="007A1206">
            <w:pPr>
              <w:numPr>
                <w:ilvl w:val="0"/>
                <w:numId w:val="17"/>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Komisionin Evropian (pas anëtarësimit, kur ka procedura bashkëpunimi ndërkombëtar të autorizuara),</w:t>
            </w:r>
          </w:p>
          <w:p w14:paraId="575874B6" w14:textId="77777777" w:rsidR="007A1206" w:rsidRPr="007A1206" w:rsidRDefault="007A1206" w:rsidP="007A1206">
            <w:pPr>
              <w:numPr>
                <w:ilvl w:val="0"/>
                <w:numId w:val="17"/>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Zyrën Ndërlidhëse të ministrisë përgjegjëse për tregtinë,</w:t>
            </w:r>
          </w:p>
          <w:p w14:paraId="77824F44" w14:textId="77777777" w:rsidR="007A1206" w:rsidRPr="007A1206" w:rsidRDefault="007A1206" w:rsidP="007A1206">
            <w:pPr>
              <w:numPr>
                <w:ilvl w:val="0"/>
                <w:numId w:val="17"/>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lastRenderedPageBreak/>
              <w:t>pikat ndërlidhëse të shteteve anëtare, sipas mekanizmave të lejuar – pas anëtarësimit.</w:t>
            </w:r>
          </w:p>
          <w:p w14:paraId="5D27EC25"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Ky model siguron që Shqipëria të ketë një “hub” të vetëm informacioni, i cili kryen në mënyrë të përafërt funksionet që, në sistemin e BE-së, mbulohen përmes Safety Gate dhe përgatitjen graduale të pikës ndërlidhëse për të operuar me të gjitha kompetencat pas anëtarësimit. </w:t>
            </w:r>
          </w:p>
          <w:p w14:paraId="5F9B3ECD"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Ky nen përcakton kompetencat SMT sipas rregullores evropiane 2019/1020/EU, ligjit për mbikëqyrjen e tregut të produkteve jo ushqimore dhe ligjit për inspektimet, si dhe legjislacionin për ndërtimin.</w:t>
            </w:r>
          </w:p>
          <w:p w14:paraId="61C525DF"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61</w:t>
            </w:r>
            <w:r w:rsidRPr="007A1206">
              <w:rPr>
                <w:rFonts w:ascii="Times New Roman" w:hAnsi="Times New Roman"/>
                <w:sz w:val="28"/>
                <w:szCs w:val="28"/>
                <w:lang w:val="sq-AL"/>
              </w:rPr>
              <w:t xml:space="preserve"> përcakton kompetencat e ISHTI-t për kontrollin teknik të produkteve të ndërtimit në veprat e ndërtimit dhe masat që merren në rast të konstatimit të mospërputhjeve. Gjithashtu, ai përcakton detyrimin për përcjelljen e rasteve që lidhen me mbikëqyrjen e tregut te IQMT-ja, duke siguruar ndarjen e qartë të kompetencave ndërmjet dy strukturave dhe shmangien e mbivendosjes së tyre.</w:t>
            </w:r>
          </w:p>
          <w:p w14:paraId="634ACF53"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Neni 62 </w:t>
            </w:r>
            <w:r w:rsidRPr="007A1206">
              <w:rPr>
                <w:rFonts w:ascii="Times New Roman" w:hAnsi="Times New Roman"/>
                <w:sz w:val="28"/>
                <w:szCs w:val="28"/>
                <w:lang w:val="sq-AL"/>
              </w:rPr>
              <w:t>përshkruan në kontekstin shqiptar procedurën në rastet e produkteve në mos-përputhshmëri, që fillon me një vlerësim të SMT për të verifikuar nëse produkti ose prodhuesi i tij është në përputhje me kërkesat e ligjit. Në raste konstatimi të mos-përputhshmërisë, SMT urdhëron masa korrigjuese proporcionale, deri në ndalimin e bërjes së disponueshme në treg, tërheqjen/kthimin e produktit, paralajmërime publike dhe shkatërrimin ose bërjen jofunksionale të produktit, kur është e domosdoshme.</w:t>
            </w:r>
          </w:p>
          <w:p w14:paraId="480091E5"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Pika e vetme ndërlidhëse njofton publikun dhe autoritetet e tjera sipas rastit..</w:t>
            </w:r>
          </w:p>
          <w:p w14:paraId="58E9E9DD"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63</w:t>
            </w:r>
            <w:r w:rsidRPr="007A1206">
              <w:rPr>
                <w:rFonts w:ascii="Times New Roman" w:hAnsi="Times New Roman"/>
                <w:sz w:val="28"/>
                <w:szCs w:val="28"/>
                <w:lang w:val="sq-AL"/>
              </w:rPr>
              <w:t xml:space="preserve"> parashikon rastet pak ekstreme, kur një produkt edhe pse në përputhje me kërkesat ligjore, ai paraqet një rrezik për shëndetin ose sigurinë. Në mënyrë të ngjashme me parimin e CPR 2024, në këtë nen parashikohet që SMT mund të ndërhyjë duke urdhëruar operatorët të marrin masa korrigjuese për të gjitha produktet në treg. </w:t>
            </w:r>
          </w:p>
          <w:p w14:paraId="20BD9DCD"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Neni 64 </w:t>
            </w:r>
            <w:r w:rsidRPr="007A1206">
              <w:rPr>
                <w:rFonts w:ascii="Times New Roman" w:hAnsi="Times New Roman"/>
                <w:sz w:val="28"/>
                <w:szCs w:val="28"/>
                <w:lang w:val="sq-AL"/>
              </w:rPr>
              <w:t>parashikon që hartimi i proces verbalit në fund të inspektimit të hartohet dhe njoftohet sipas dispozitave përkatëse në ligjin për inspektimet. Ky nen është thelbësor për vlefshmërinë juridike të veprimeve administrative dhe përputhshmërinë me sistemin shqiptar të inspektimeve, duke zëvendësuar mekanizma të CPR që lidhen me komunikimin ndër-shtetëror dhe procedurat e brendshme të shteteve anëtare.</w:t>
            </w:r>
          </w:p>
          <w:p w14:paraId="255B8523"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Neni 65 </w:t>
            </w:r>
            <w:r w:rsidRPr="007A1206">
              <w:rPr>
                <w:rFonts w:ascii="Times New Roman" w:hAnsi="Times New Roman"/>
                <w:sz w:val="28"/>
                <w:szCs w:val="28"/>
                <w:lang w:val="sq-AL"/>
              </w:rPr>
              <w:t>për rikuperimin e kostove ka rëndësi të veçantë edhe për uljen e hapësirave për korrupsion nga inspektorët, sepse detyron që çdo pagesë ose rimbursim të jetë i lidhur vetëm me kosto reale, të justifikuara dhe të dokumentuara, duke ndaluar çdo pagesë arbitrare apo të paarsyetuar. Duke vendosur që tarifimi lejohet vetëm kur vërtetohet mos-përputhshmëria dhe vetëm mbi bazë faturash të justifikuara, neni eliminon diskrecionin individual të inspektorit dhe krijon një procedurë të kontrollueshme, transparente dhe të verifikueshme administrativisht..</w:t>
            </w:r>
          </w:p>
          <w:p w14:paraId="430F4404"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Kreu IX </w:t>
            </w:r>
            <w:r w:rsidRPr="007A1206">
              <w:rPr>
                <w:rFonts w:ascii="Times New Roman" w:hAnsi="Times New Roman"/>
                <w:sz w:val="28"/>
                <w:szCs w:val="28"/>
                <w:lang w:val="sq-AL"/>
              </w:rPr>
              <w:t xml:space="preserve">konsolidon shtyllën e bashkëpunimit administrativ dhe të shkëmbimit të informacionit, duke synuar përafrim sa më të madh me CPR, por në kushtet e një shteti jo-anëtar që nuk ka qasje të plotë në sistemet e brendshme të BE-së. </w:t>
            </w:r>
            <w:r w:rsidRPr="007A1206">
              <w:rPr>
                <w:rFonts w:ascii="Times New Roman" w:hAnsi="Times New Roman"/>
                <w:sz w:val="28"/>
                <w:szCs w:val="28"/>
                <w:lang w:val="sq-AL"/>
              </w:rPr>
              <w:lastRenderedPageBreak/>
              <w:t xml:space="preserve">Për këtë arsye, ligji shqiptar ndërton një </w:t>
            </w:r>
            <w:r w:rsidRPr="007A1206">
              <w:rPr>
                <w:rFonts w:ascii="Times New Roman" w:hAnsi="Times New Roman"/>
                <w:b/>
                <w:bCs/>
                <w:sz w:val="28"/>
                <w:szCs w:val="28"/>
                <w:lang w:val="sq-AL"/>
              </w:rPr>
              <w:t>arkitekturë kombëtare informacioni dhe kontakt-pikash</w:t>
            </w:r>
            <w:r w:rsidRPr="007A1206">
              <w:rPr>
                <w:rFonts w:ascii="Times New Roman" w:hAnsi="Times New Roman"/>
                <w:sz w:val="28"/>
                <w:szCs w:val="28"/>
                <w:lang w:val="sq-AL"/>
              </w:rPr>
              <w:t>, e cila i afrohet funksionalisht modelit të CPR, por mbështetet në infrastrukturën tonë ligjore ekzistuese për mbikëqyrjen e tregut dhe tregtimin e produkteve jo-ushqimore.</w:t>
            </w:r>
          </w:p>
          <w:p w14:paraId="3BB11F0D"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Neni 66 </w:t>
            </w:r>
            <w:r w:rsidRPr="007A1206">
              <w:rPr>
                <w:rFonts w:ascii="Times New Roman" w:hAnsi="Times New Roman"/>
                <w:sz w:val="28"/>
                <w:szCs w:val="28"/>
                <w:lang w:val="sq-AL"/>
              </w:rPr>
              <w:t>lidh këtë ligj me Sistemin e Komunikimit dhe Shkëmbimit të Informacionit të parashikuar në ndryshimet e fundit ligjore në ligjin 10489/2011. SMT detyrohet të regjistrojë në sistem të dhëna për produktet për të cilat është bërë kontroll i detajuar i përputhshmërisë dhe produktet për të cilat është pezulluar çlirimi për qarkullim të lirë në doganë.</w:t>
            </w:r>
          </w:p>
          <w:p w14:paraId="15010826"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67</w:t>
            </w:r>
            <w:r w:rsidRPr="007A1206">
              <w:rPr>
                <w:rFonts w:ascii="Times New Roman" w:hAnsi="Times New Roman"/>
                <w:sz w:val="28"/>
                <w:szCs w:val="28"/>
                <w:lang w:val="sq-AL"/>
              </w:rPr>
              <w:t xml:space="preserve"> krijon bazën ligjore për ngritjen e një sistemi të integruar kombëtar informacioni, që siguron interpretim të unifikuar dhe zbatim të harmonizuar të rregullave për produktet e ndërtimit. Ky nen përgatit institucionet shqiptare të funksionojnë në mënyrë identike me strukturat e shteteve anëtare, duke detyruar dokumentimin e çdo vendimi interpretues, eliminimin e praktikave të fragmentuara dhe rritjen e transparencës në nivel ndërinstitucional.</w:t>
            </w:r>
          </w:p>
          <w:p w14:paraId="63A245C9"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Përmes këtij mekanizmi, projektligji krijon një bazë të domosdoshme ligjore që i mundëson Shqipërisë të përfitojë akses në sistemet evropiane të informacionit dhe komunikimit, në përputhje me nenin 81 të Rregullores (BE) 2024/3110, i cili parashikon mundësinë e dhënies së aksesit për vendet e treta që njohin dhe zbatojnë kërkesat e CPR 2024. Ky pozicionim strategjik garanton që autoritetet shqiptare të mund të marrin pjesë në mekanizmat e koordinimit teknik dhe interpretimit të rregullave të BE-së, duke shmangur pasigurinë ligjore dhe duke rritur sigurinë në treg.</w:t>
            </w:r>
          </w:p>
          <w:p w14:paraId="635C21C2"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Në këtë mënyrë, neni 67 jo vetëm harmonizon praktikën vendimmarrëse brenda vendit, por edhe e lidh infrastrukturën kombëtare me mekanizmin evropian të harmonizimit, duke forcuar integritetin institucional, rritur transparencën dhe duke krijuar kushtet për një zbatim të qëndrueshëm dhe të parashikueshëm të ligjit para dhe pas anëtarësimit në BE.</w:t>
            </w:r>
          </w:p>
          <w:p w14:paraId="60880556"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68</w:t>
            </w:r>
            <w:r w:rsidRPr="007A1206">
              <w:rPr>
                <w:rFonts w:ascii="Times New Roman" w:hAnsi="Times New Roman"/>
                <w:sz w:val="28"/>
                <w:szCs w:val="28"/>
                <w:lang w:val="sq-AL"/>
              </w:rPr>
              <w:t xml:space="preserve"> rregullon krijimin dhe funksionimin e pikës së kontaktit për produktet e ndërtimit, e cila ofron pa pagesë dhe brenda 15 ditëve pune informacion mbi rregullat teknike, procedurat administrative dhe kërkesat për vendosjen e produkteve në treg. Dispozita siguron transparencë, trajtim të barabartë dhe mbështetjen e operatorëve ekonomikë, si dhe harmonizimin me praktikat e BE-së për pikat e kontaktit dhe njohjen reciproke. Ministria garanton pavarësinë dhe paanshmërinë e këtij shërbimi, ndërsa mekanizmi mbulojnë edhe produktet pa specifikime teknike të harmonizuara.</w:t>
            </w:r>
          </w:p>
          <w:p w14:paraId="5D41A9BA"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69</w:t>
            </w:r>
            <w:r w:rsidRPr="007A1206">
              <w:rPr>
                <w:rFonts w:ascii="Times New Roman" w:hAnsi="Times New Roman"/>
                <w:sz w:val="28"/>
                <w:szCs w:val="28"/>
                <w:lang w:val="sq-AL"/>
              </w:rPr>
              <w:t xml:space="preserve"> siguron që baza ligjore të mos mbetet “letër”, por të mbështetet në kapacitet real njerëzor,  duke detyruar Ministrinë, SMT-në, pikën e kontaktit dhe organet e miratuara/emëruara të sigurojnë trajnime të vazhdueshme dhe përditësim profesional mbi interpretimin dhe zbatimin e tij. Kjo dispozitë është thelbësore për të garantuar zbatim të harmonizuar dhe jo formal të kërkesave të CPR 2024. Në përputhje me nenin 81 të CPR 2024, trajnimi është gjithashtu parakusht për mundësinë që Shqipëria, si vend i tretë, të përfitojë akses në sistemet evropiane të informacionit dhe pasaportave digjitale të produkteve. </w:t>
            </w:r>
            <w:r w:rsidRPr="007A1206">
              <w:rPr>
                <w:rFonts w:ascii="Times New Roman" w:hAnsi="Times New Roman"/>
                <w:sz w:val="28"/>
                <w:szCs w:val="28"/>
                <w:lang w:val="sq-AL"/>
              </w:rPr>
              <w:lastRenderedPageBreak/>
              <w:t>Kështu sigurohet që administrata dhe trupat teknikë të jenë të përgatitur për integrimin e plotë në sistemet e BE-së pas anëtarësimit.</w:t>
            </w:r>
          </w:p>
          <w:p w14:paraId="3B193D95"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Kreu X</w:t>
            </w:r>
            <w:r w:rsidRPr="007A1206">
              <w:rPr>
                <w:rFonts w:ascii="Times New Roman" w:hAnsi="Times New Roman"/>
                <w:sz w:val="28"/>
                <w:szCs w:val="28"/>
                <w:lang w:val="sq-AL"/>
              </w:rPr>
              <w:t xml:space="preserve"> rregullon çështjet lidhur me pasaportën digjitale të produktit të ndërtimit, në përputhje të plotë me CPR 2024, duke reflektuar faktin se Shqipëria, si vend para-anëtarësimit, nuk ka arsye dhe nuk është në gjendje të krijojë një sistem kombëtar të pasaportave digjitale, pasi sistemi zyrtar i vetëm do të jetë ai evropian, i krijuar dhe administruar nga Komisioni Evropian.</w:t>
            </w:r>
          </w:p>
          <w:p w14:paraId="525C3E04"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70</w:t>
            </w:r>
            <w:r w:rsidRPr="007A1206">
              <w:rPr>
                <w:rFonts w:ascii="Times New Roman" w:hAnsi="Times New Roman"/>
                <w:sz w:val="28"/>
                <w:szCs w:val="28"/>
                <w:lang w:val="sq-AL"/>
              </w:rPr>
              <w:t xml:space="preserve"> përcakton qartë se pasaporta digjitale administrohet vetëm përmes sistemit evropian, duke shmangur çdo detyrim për ngritjen e një strukture kombëtare paralele. Aksesi i autoriteteve shqiptare në këtë sistem do të jetë i mundur vetëm kur Shqipëria të marrë të drejtën e aksesit, sipas nenit 81 të CPR 2024 të reflektuar në nenin 73 të këtij ligji, i cili lejon vendet e treta të përdorin sistemin evropian nëse plotësohen kushtet e parashikuara nga Komisioni. Ky pozicionim shmang kostot administrative dhe teknike të panevojshme dhe siguron përputhshmëri të plotë me modelin evropian që do të jete plotësisht i zbatueshëm pas anëtarësimit.</w:t>
            </w:r>
          </w:p>
          <w:p w14:paraId="37C404D5"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71</w:t>
            </w:r>
            <w:r w:rsidRPr="007A1206">
              <w:rPr>
                <w:rFonts w:ascii="Times New Roman" w:hAnsi="Times New Roman"/>
                <w:sz w:val="28"/>
                <w:szCs w:val="28"/>
                <w:lang w:val="sq-AL"/>
              </w:rPr>
              <w:t xml:space="preserve"> përcakton përmbajtjen e pasaportës digjitale, duke pasqyruar në mënyrë të harmonizuar kërkesat e nenit 52 dhe 53 të CPR 2024, përfshirë deklaratën e performancës dhe konformitetit, dokumentacionin teknik, informacionin e sigurisë, udhëzimet për përdorim, identifikuesin unik të produktit dhe bartësit e të dhënave. Dispozitat janë ndërtuar në mënyrë që të jenë të zbatueshme vetëm nga momenti kur Shqipëria fiton akses në sistemin evropian, duke shmangur detyrime të pazbatueshme në fazën para-anëtarësimit. Kjo qasje siguron që operatorët ekonomikë dhe autoritetet shqiptare të jenë të përgatitur për integrim të plotë në ekosistemin evropian të pasaportave digjitale.</w:t>
            </w:r>
          </w:p>
          <w:p w14:paraId="75FA3000"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72</w:t>
            </w:r>
            <w:r w:rsidRPr="007A1206">
              <w:rPr>
                <w:rFonts w:ascii="Times New Roman" w:hAnsi="Times New Roman"/>
                <w:sz w:val="28"/>
                <w:szCs w:val="28"/>
                <w:lang w:val="sq-AL"/>
              </w:rPr>
              <w:t xml:space="preserve"> përcakton kërkesat teknike dhe standardet që duhet të përmbushë pasaporta digjitale, duke përfshirë përdorimin e kodeve unike, ndërveprueshmërinë, mbrojtjen e të dhënave personale, rregullimin e niveleve të aksesit dhe përfshirjen e dokumentacionit teknik. Dispozita parashikon gjithashtu sjelljen e informacionit në shitjet online, duke rritur transparencën dhe sigurinë për konsumatorët. Këto kërkesa janë të ndërtuara në mënyrë fleksibël, në përputhje me CPR 2024, dhe zbatohen vetëm brenda sistemit evropian, duke shmangur çdo detyrim për të zhvilluar teknologji kombëtare.</w:t>
            </w:r>
          </w:p>
          <w:p w14:paraId="1A105AED"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Me këtë qasje, projektligji </w:t>
            </w:r>
          </w:p>
          <w:p w14:paraId="007CF15F" w14:textId="77777777" w:rsidR="007A1206" w:rsidRPr="007A1206" w:rsidRDefault="007A1206" w:rsidP="007A1206">
            <w:pPr>
              <w:numPr>
                <w:ilvl w:val="0"/>
                <w:numId w:val="22"/>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harmonizohet plotësisht me CPR 2024, pa krijuar struktura paralele që BE-ja vetë nuk i ka ende funksionale; </w:t>
            </w:r>
          </w:p>
          <w:p w14:paraId="544470A0" w14:textId="77777777" w:rsidR="007A1206" w:rsidRPr="007A1206" w:rsidRDefault="007A1206" w:rsidP="007A1206">
            <w:pPr>
              <w:numPr>
                <w:ilvl w:val="0"/>
                <w:numId w:val="22"/>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krijon bazën ligjore për marrjen e aksesit në sistemin evropian të pasaportave digjitale, në përputhje me nenin 81 CPR 2024; </w:t>
            </w:r>
          </w:p>
          <w:p w14:paraId="60A17CEC" w14:textId="77777777" w:rsidR="007A1206" w:rsidRPr="007A1206" w:rsidRDefault="007A1206" w:rsidP="007A1206">
            <w:pPr>
              <w:numPr>
                <w:ilvl w:val="0"/>
                <w:numId w:val="22"/>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mbron Shqipërinë nga investime të panevojshme në sisteme që do të bëheshin të pavlefshme pas anëtarësimit;</w:t>
            </w:r>
          </w:p>
          <w:p w14:paraId="2E424406" w14:textId="77777777" w:rsidR="007A1206" w:rsidRPr="007A1206" w:rsidRDefault="007A1206" w:rsidP="007A1206">
            <w:pPr>
              <w:numPr>
                <w:ilvl w:val="0"/>
                <w:numId w:val="22"/>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përgatit operatorët ekonomikë dhe autoritetet shqiptare për integrim të menjëhershëm në sistemet digjitale të BE-së;</w:t>
            </w:r>
          </w:p>
          <w:p w14:paraId="3F386F4C" w14:textId="77777777" w:rsidR="007A1206" w:rsidRPr="007A1206" w:rsidRDefault="007A1206" w:rsidP="007A1206">
            <w:pPr>
              <w:numPr>
                <w:ilvl w:val="0"/>
                <w:numId w:val="22"/>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siguron gjurmueshmëri, transparencë dhe kontroll të rritur të produkteve të ndërtimit, në përputhje me praktikat evropiane.</w:t>
            </w:r>
          </w:p>
          <w:p w14:paraId="73129DA2"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lastRenderedPageBreak/>
              <w:t xml:space="preserve">Neni 73 </w:t>
            </w:r>
            <w:r w:rsidRPr="007A1206">
              <w:rPr>
                <w:rFonts w:ascii="Times New Roman" w:hAnsi="Times New Roman"/>
                <w:sz w:val="28"/>
                <w:szCs w:val="28"/>
                <w:lang w:val="sq-AL"/>
              </w:rPr>
              <w:t>përcakton mënyrën se si Shqipëria mund të bashkëpunojë me Komisionin Evropian dhe me shtetet anëtare në fushat që lidhen me zbatimin e rregullave të CPR 2024, veçanërisht në raport me pasaportën digjitale të produktit, standardizimin, mbikëqyrjen e tregut dhe sigurinë e produkteve të ndërtimit.</w:t>
            </w:r>
          </w:p>
          <w:p w14:paraId="2C3646B0"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Duke qenë se Shqipëria nuk është pjesë e tregut të brendshëm të BE-së, nuk ka akses të drejtpërdrejtë në sistemet e komunikimit të krijuara nga Bashkimi Evropian për zbatimin e CPR. Aftësia për të marrë pjesë në këto sisteme – si sistemi evropian i pasaportave digjitale, platforma e komunikimit ndërinstitucional, apo programet e trajnimit për organet mbikëqyrëse – nuk buron nga ligji shqiptar, por nga vetë CPR 2024, në veçanti neni 81, i cili i jep Komisionit autoritetin që, me akt të posaçëm, t’u japë vendeve të treta të përafruara akses të pjesshëm ose të plotë në këto mekanizma.</w:t>
            </w:r>
          </w:p>
          <w:p w14:paraId="3942AB13"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Ligji ynë, për rrjedhojë, </w:t>
            </w:r>
            <w:r w:rsidRPr="007A1206">
              <w:rPr>
                <w:rFonts w:ascii="Times New Roman" w:hAnsi="Times New Roman"/>
                <w:b/>
                <w:bCs/>
                <w:sz w:val="28"/>
                <w:szCs w:val="28"/>
                <w:lang w:val="sq-AL"/>
              </w:rPr>
              <w:t>nuk krijon të drejta ndërkombëtare</w:t>
            </w:r>
            <w:r w:rsidRPr="007A1206">
              <w:rPr>
                <w:rFonts w:ascii="Times New Roman" w:hAnsi="Times New Roman"/>
                <w:sz w:val="28"/>
                <w:szCs w:val="28"/>
                <w:lang w:val="sq-AL"/>
              </w:rPr>
              <w:t xml:space="preserve">, por krijon </w:t>
            </w:r>
            <w:r w:rsidRPr="007A1206">
              <w:rPr>
                <w:rFonts w:ascii="Times New Roman" w:hAnsi="Times New Roman"/>
                <w:b/>
                <w:bCs/>
                <w:sz w:val="28"/>
                <w:szCs w:val="28"/>
                <w:lang w:val="sq-AL"/>
              </w:rPr>
              <w:t>infrastrukturën dhe organizimin e brendshëm</w:t>
            </w:r>
            <w:r w:rsidRPr="007A1206">
              <w:rPr>
                <w:rFonts w:ascii="Times New Roman" w:hAnsi="Times New Roman"/>
                <w:sz w:val="28"/>
                <w:szCs w:val="28"/>
                <w:lang w:val="sq-AL"/>
              </w:rPr>
              <w:t xml:space="preserve"> që e bën Shqipërinë të gatshme të bashkëpunojë me Komisionin nëse kjo do të lejohet, të marrë pjesë në shkëmbime të strukturuara informacioni, të sigurojë përputhshmëri teknike me sistemet evropiane, përfshirë pasaportën digjitale dhe të garantojë që institucionet shqiptare kanë kapacitetet administrative dhe teknike për komunikim dhe përgjigje të koordinuar.</w:t>
            </w:r>
          </w:p>
          <w:p w14:paraId="4DA9C946"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Kreu XII </w:t>
            </w:r>
            <w:r w:rsidRPr="007A1206">
              <w:rPr>
                <w:rFonts w:ascii="Times New Roman" w:hAnsi="Times New Roman"/>
                <w:sz w:val="28"/>
                <w:szCs w:val="28"/>
                <w:lang w:val="sq-AL"/>
              </w:rPr>
              <w:t>përfshin dispozita që synojnë të orientojnë tregun drejt produkteve me performancë më të lartë dhe qëndrueshmëri mjedisore, në përputhje me filozofinë e CPR 2024 dhe objektivat e politikave të BE-së për ndërtim të qëndrueshëm. Qasja e zgjedhur nuk krijon detyrime të menjëhershme financiare, por vendos një kornizë të qartë normative mbi të cilën institucionet publike mund të ndërtojnë mekanizma stimulues dhe skema prokurimi të gjelbër.</w:t>
            </w:r>
          </w:p>
          <w:p w14:paraId="059B6650"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Kjo zgjidhje siguron që tregu shqiptar funksionon praktikisht njësoj si tregu i brendshëm evropian, deri në momentin e anëtarësimit.</w:t>
            </w:r>
          </w:p>
          <w:p w14:paraId="35B0C369"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Neni 74 </w:t>
            </w:r>
            <w:r w:rsidRPr="007A1206">
              <w:rPr>
                <w:rFonts w:ascii="Times New Roman" w:hAnsi="Times New Roman"/>
                <w:sz w:val="28"/>
                <w:szCs w:val="28"/>
                <w:lang w:val="sq-AL"/>
              </w:rPr>
              <w:t>krijon bazën ligjore që institucionet shqiptare të ofrojnë stimuj ekonomikë ose fiskalë për produktet e ndërtimit me performancë më të lartë dhe ndikim të reduktuar mjedisor, në përputhje me parimet e klasifikimit të performancës në CPR 2024. Këto parime harmonizohen me politikat e BE-së për reduktimin e emetimeve të karbonit, rritjen e efikasitetit energjetik dhe promovimin e produkteve të gjelbra, duke krijuar një mekanizëm që Shqipëria mund ta zhvillojë gradualisht sipas kapaciteteve buxhetore dhe objektivave strategjike.</w:t>
            </w:r>
          </w:p>
          <w:p w14:paraId="59455D66"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Neni 75 </w:t>
            </w:r>
            <w:r w:rsidRPr="007A1206">
              <w:rPr>
                <w:rFonts w:ascii="Times New Roman" w:hAnsi="Times New Roman"/>
                <w:sz w:val="28"/>
                <w:szCs w:val="28"/>
                <w:lang w:val="sq-AL"/>
              </w:rPr>
              <w:t>vendos një bazë normative për integrimin e kërkesave minimale të qëndrueshmërisë mjedisore në prokurimet publike për produktet e ndërtimit.</w:t>
            </w:r>
          </w:p>
          <w:p w14:paraId="551CEC1E"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Qasja e ndjekur është e harmonizuar me Praktikën e BE-së dhe me direktivat e prokurimit publik, duke:</w:t>
            </w:r>
          </w:p>
          <w:p w14:paraId="519B2179" w14:textId="77777777" w:rsidR="007A1206" w:rsidRPr="007A1206" w:rsidRDefault="007A1206" w:rsidP="007A1206">
            <w:pPr>
              <w:numPr>
                <w:ilvl w:val="0"/>
                <w:numId w:val="23"/>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i dhënë Këshillit të Ministrave kompetencën për të miratuar </w:t>
            </w:r>
            <w:r w:rsidRPr="007A1206">
              <w:rPr>
                <w:rFonts w:ascii="Times New Roman" w:hAnsi="Times New Roman"/>
                <w:b/>
                <w:bCs/>
                <w:sz w:val="28"/>
                <w:szCs w:val="28"/>
                <w:lang w:val="sq-AL"/>
              </w:rPr>
              <w:t>kërkesat minimale të detyrueshme</w:t>
            </w:r>
            <w:r w:rsidRPr="007A1206">
              <w:rPr>
                <w:rFonts w:ascii="Times New Roman" w:hAnsi="Times New Roman"/>
                <w:sz w:val="28"/>
                <w:szCs w:val="28"/>
                <w:lang w:val="sq-AL"/>
              </w:rPr>
              <w:t xml:space="preserve"> për familje të caktuara produktesh;</w:t>
            </w:r>
          </w:p>
          <w:p w14:paraId="47601259" w14:textId="77777777" w:rsidR="007A1206" w:rsidRPr="007A1206" w:rsidRDefault="007A1206" w:rsidP="007A1206">
            <w:pPr>
              <w:numPr>
                <w:ilvl w:val="0"/>
                <w:numId w:val="23"/>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lastRenderedPageBreak/>
              <w:t>kërkuar nga autoritetet kontraktuese që, kur një kontratë publike lidhet me karakteristika të përcaktuara në specifikimet teknike të harmonizuara, këto kërkesa të jenë pjesë e detyrueshme e tenderit;</w:t>
            </w:r>
          </w:p>
          <w:p w14:paraId="4BACAFAE" w14:textId="77777777" w:rsidR="007A1206" w:rsidRPr="007A1206" w:rsidRDefault="007A1206" w:rsidP="007A1206">
            <w:pPr>
              <w:numPr>
                <w:ilvl w:val="0"/>
                <w:numId w:val="23"/>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lejuar autoritetet të vendosin kërkesa më ambicioze, aty ku është e mundur teknikisht dhe financiarisht;</w:t>
            </w:r>
          </w:p>
          <w:p w14:paraId="3ADC8DC3" w14:textId="77777777" w:rsidR="007A1206" w:rsidRPr="007A1206" w:rsidRDefault="007A1206" w:rsidP="007A1206">
            <w:pPr>
              <w:numPr>
                <w:ilvl w:val="0"/>
                <w:numId w:val="23"/>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parashikuar në raste përjashtimore kur kërkesat mjedisore mund të mos aplikohen, duke vendosur kritere të qarta proporcionaliteti dhe transparence (p.sh. rritje jo-proporcionale të kostove mbi 10%).</w:t>
            </w:r>
          </w:p>
          <w:p w14:paraId="3A374CBB"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Dispozita mundëson përdorimin e </w:t>
            </w:r>
            <w:r w:rsidRPr="007A1206">
              <w:rPr>
                <w:rFonts w:ascii="Times New Roman" w:hAnsi="Times New Roman"/>
                <w:b/>
                <w:bCs/>
                <w:sz w:val="28"/>
                <w:szCs w:val="28"/>
                <w:lang w:val="sq-AL"/>
              </w:rPr>
              <w:t>Eko-Etiketa EU</w:t>
            </w:r>
            <w:r w:rsidRPr="007A1206">
              <w:rPr>
                <w:rFonts w:ascii="Times New Roman" w:hAnsi="Times New Roman"/>
                <w:sz w:val="28"/>
                <w:szCs w:val="28"/>
                <w:lang w:val="sq-AL"/>
              </w:rPr>
              <w:t xml:space="preserve"> dhe skemave kombëtare të certifikimit si mjete provuese, duke e bërë zbatimin praktik dhe të unifikuar me standardet e BE-së.</w:t>
            </w:r>
          </w:p>
          <w:p w14:paraId="76876212"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Neni 76 </w:t>
            </w:r>
            <w:r w:rsidRPr="007A1206">
              <w:rPr>
                <w:rFonts w:ascii="Times New Roman" w:hAnsi="Times New Roman"/>
                <w:sz w:val="28"/>
                <w:szCs w:val="28"/>
                <w:lang w:val="sq-AL"/>
              </w:rPr>
              <w:t>krijon mekanizmin për përcaktimin zyrtar nëse një produkt kualifikohet si “produkt ndërtimi”, duke garantuar qartësi rregullatore dhe zbatim të unifikuar të ligjit. Vendimmarrja nga ministri shmang interpretime të ndryshme në treg dhe siguron siguri juridike për operatorët ekonomikë, në linjë me praktikat e BE-së për trajtimin e rasteve të paqarta ose produkteve të reja</w:t>
            </w:r>
          </w:p>
          <w:p w14:paraId="42CA38F6"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Neni 77 </w:t>
            </w:r>
            <w:r w:rsidRPr="007A1206">
              <w:rPr>
                <w:rFonts w:ascii="Times New Roman" w:hAnsi="Times New Roman"/>
                <w:sz w:val="28"/>
                <w:szCs w:val="28"/>
                <w:lang w:val="sq-AL"/>
              </w:rPr>
              <w:t>vendos parimet për përdorimin e mjeteve elektronike, duke pasqyruar frymën e CPR 2024, i cili kërkon kalimin nga dokumentacioni letër në sisteme elektronikë, ndërveprueshmëri dhe qasje efikase.</w:t>
            </w:r>
          </w:p>
          <w:p w14:paraId="62F808E9"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Kreu XV </w:t>
            </w:r>
            <w:r w:rsidRPr="007A1206">
              <w:rPr>
                <w:rFonts w:ascii="Times New Roman" w:hAnsi="Times New Roman"/>
                <w:sz w:val="28"/>
                <w:szCs w:val="28"/>
                <w:lang w:val="sq-AL"/>
              </w:rPr>
              <w:t>vendos arkitekturën juridike që përcakton se si produktet e ndërtimit të prodhuara jashtë territorit të Shqipërisë—si nga Bashkimi Evropian ashtu edhe nga vendet jo-BE—mund të pranohen dhe vendosen në tregun shqiptar në përputhje me standardet e sigurisë, performancës dhe mjedisit të parashikuara nga ky ligj. Duke qenë se markimi CE nuk është ende i detyrueshëm në Shqipëri deri në ditën e anëtarësimit, ky kapitull krijon mekanizmat e nevojshëm të kushteve të njohjes së dokumenteve të huaja, duke siguruar rregulla të njëjta për gjithë operatoret ekonomike në lidhje me vendosjen dhe bërjen e disponueshme në treg të produkteve të ndërtimit.</w:t>
            </w:r>
          </w:p>
          <w:p w14:paraId="607AC0CA" w14:textId="77777777" w:rsidR="007A1206" w:rsidRPr="007A1206" w:rsidRDefault="007A1206" w:rsidP="007A1206">
            <w:pPr>
              <w:tabs>
                <w:tab w:val="left" w:pos="60"/>
                <w:tab w:val="left" w:pos="540"/>
              </w:tabs>
              <w:jc w:val="both"/>
              <w:rPr>
                <w:rFonts w:ascii="Times New Roman" w:hAnsi="Times New Roman"/>
                <w:b/>
                <w:bCs/>
                <w:sz w:val="28"/>
                <w:szCs w:val="28"/>
                <w:lang w:val="sq-AL"/>
              </w:rPr>
            </w:pPr>
            <w:r w:rsidRPr="007A1206">
              <w:rPr>
                <w:rFonts w:ascii="Times New Roman" w:hAnsi="Times New Roman"/>
                <w:b/>
                <w:bCs/>
                <w:sz w:val="28"/>
                <w:szCs w:val="28"/>
                <w:lang w:val="sq-AL"/>
              </w:rPr>
              <w:t xml:space="preserve">Neni 78 </w:t>
            </w:r>
            <w:r w:rsidRPr="007A1206">
              <w:rPr>
                <w:rFonts w:ascii="Times New Roman" w:hAnsi="Times New Roman"/>
                <w:sz w:val="28"/>
                <w:szCs w:val="28"/>
                <w:lang w:val="sq-AL"/>
              </w:rPr>
              <w:t>njeh si ekuivalente, të vlefshme dhe të zbatueshme në territorin shqiptar të gjitha aktet zbatuese dhe të deleguara të miratuara nga Komisioni Evropian që përcaktojnë karakteristikat thelbësore, metodat e vlerësimit dhe kërkesat e produktit. Po kështu, Dokumentet e Vlerësimit Evropian (EAD), Vlerësimet Teknike Evropiane (ETA) dhe çdo raport i lëshuar nga “</w:t>
            </w:r>
            <w:r w:rsidRPr="007A1206">
              <w:rPr>
                <w:rFonts w:ascii="Times New Roman" w:hAnsi="Times New Roman"/>
                <w:i/>
                <w:iCs/>
                <w:sz w:val="28"/>
                <w:szCs w:val="28"/>
                <w:lang w:val="sq-AL"/>
              </w:rPr>
              <w:t>notified bodies”</w:t>
            </w:r>
            <w:r w:rsidRPr="007A1206">
              <w:rPr>
                <w:rFonts w:ascii="Times New Roman" w:hAnsi="Times New Roman"/>
                <w:sz w:val="28"/>
                <w:szCs w:val="28"/>
                <w:lang w:val="sq-AL"/>
              </w:rPr>
              <w:t xml:space="preserve"> apo organizmat evropiane të vlerësimit teknik njihen si dokumente të vlefshme pa nevojë të ri-vlerësimit kombëtar.</w:t>
            </w:r>
          </w:p>
          <w:p w14:paraId="6042DFAB"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Kjo qasje siguron që siç parashikohet në </w:t>
            </w:r>
            <w:r w:rsidRPr="007A1206">
              <w:rPr>
                <w:rFonts w:ascii="Times New Roman" w:hAnsi="Times New Roman"/>
                <w:b/>
                <w:bCs/>
                <w:sz w:val="28"/>
                <w:szCs w:val="28"/>
                <w:lang w:val="sq-AL"/>
              </w:rPr>
              <w:t>nenin 79</w:t>
            </w:r>
            <w:r w:rsidRPr="007A1206">
              <w:rPr>
                <w:rFonts w:ascii="Times New Roman" w:hAnsi="Times New Roman"/>
                <w:sz w:val="28"/>
                <w:szCs w:val="28"/>
                <w:lang w:val="sq-AL"/>
              </w:rPr>
              <w:t>, produktet e prodhuara në BE dhe të pajisura me deklaratë performance e konformiteti sipas sistemit evropian, duke përfshirë markimin CE të vendosur ligjërisht, prezumohen në përputhje me kërkesat e ligjit shqiptar dhe mund të vendosen në tregun shqiptar pa procedura shtesë. Kështu shmanget çdo barrierë teknike e panevojshme dhe sigurohet një nivel i njëjtë sigurie dhe cilësie me atë të produkteve të ndërtimit të tregut të brendshëm evropian.</w:t>
            </w:r>
          </w:p>
          <w:p w14:paraId="008B9E9B"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Gjithashtu, për të mbrojtur sigurinë publike, ligji parashikon njohjen e menjëhershme të vendimeve të Komisionit që ndalojnë ose kufizojnë </w:t>
            </w:r>
            <w:r w:rsidRPr="007A1206">
              <w:rPr>
                <w:rFonts w:ascii="Times New Roman" w:hAnsi="Times New Roman"/>
                <w:sz w:val="28"/>
                <w:szCs w:val="28"/>
                <w:lang w:val="sq-AL"/>
              </w:rPr>
              <w:lastRenderedPageBreak/>
              <w:t>qarkullimin e një produkti brenda BE-së, duke detyruar SMT të marrë masa të menjëhershme edhe në Shqipëri për ndalimin, tërheqjen ose publikimin e paralajmërimeve për publikun.</w:t>
            </w:r>
          </w:p>
          <w:p w14:paraId="075060FA"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80</w:t>
            </w:r>
            <w:r w:rsidRPr="007A1206">
              <w:rPr>
                <w:rFonts w:ascii="Times New Roman" w:hAnsi="Times New Roman"/>
                <w:sz w:val="28"/>
                <w:szCs w:val="28"/>
                <w:lang w:val="sq-AL"/>
              </w:rPr>
              <w:t xml:space="preserve"> rregullon mënyrën e trajtimit të produkteve të ndërtimit të prodhuara jashtë territorit të Bashkimit Evropian, duke vendosur një regjim të qartë, transparent dhe jo-diskriminues për vendosjen e tyre në tregun e Republikës së Shqipërisë, në përputhje me kërkesat e këtij ligji dhe parimet ndërkombëtare të tregtisë.</w:t>
            </w:r>
          </w:p>
          <w:p w14:paraId="31A500EF"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Në piken 1 të këtij neni përcaktohet parimi bazë se produktet e ndërtimit të prodhuara jashtë BE-së, edhe kur shoqërohen me deklaratë performance, deklaratë performance dhe konformiteti ose markime të huaja, nuk përfitojnë automatikisht nga prezumimi i përputhshmërisë me kërkesat e këtij ligji. Kjo dispozitë synon të shmangë trajtimin e barabartë të produkteve nga vendet e treta jo-BE me produktet e mbuluara nga sistemi i harmonizuar evropian, duke garantuar një nivel të barabartë sigurie, performance dhe mbrojtjeje të interesit publik.</w:t>
            </w:r>
          </w:p>
          <w:p w14:paraId="222192F3"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Pikat 2 dhe 3 krijojnë mekanizmin e njohjes së ekuivalencës, i cili mundëson që, me kërkesë të operatorit ekonomik ose me nismë të Ministrisë, rregullat teknike, dokumentet e vlerësimit, deklaratat e performancës, markimet dhe certifikatat e lëshuara në vendin e origjinës të vlerësohen për ekuivalencë me kërkesat e këtij ligji. Vlerësimi i ekuivalencës përfshin jo vetëm kërkesat thelbësore të performancës së produktit, por edhe metodat e vlerësimit, sistemet e vlerësimit dhe verifikimit të qëndrueshmërisë së performancës, si dhe besueshmërinë e organeve të huaja të vlerësimit të konformitetit, përmes akreditimit të tyre nga organizma ndërkombëtarë të njohur.</w:t>
            </w:r>
          </w:p>
          <w:p w14:paraId="7D0F465C"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Për këtë qëllim, parashikohet ngritja e një grupi ekspertësh teknikë dhe juridikë, me përfaqësim ndërinstitucional, i cili kryen analizën e detajuar të ekuivalencës dhe përgatit një raport të arsyetuar mbi bazën e të cilit ministri përgjegjës merr vendimin përkatës. Kjo qasje siguron një proces të strukturuar, objektiv dhe të mbështetur në ekspertizë profesionale.</w:t>
            </w:r>
          </w:p>
          <w:p w14:paraId="4E0B23F4"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Pika 4 përcakton efektet juridike të njohjes së ekuivalencës, duke parashikuar se produktet e ndërtimit të prodhuara mbi bazën e rregullave dhe dokumenteve të ekuivalentuara prezumohen në përputhje me kërkesat e këtij ligji vetëm për qëllimet dhe kushtet e përcaktuara në vendimin përkatës, dhe vetëm brenda fushës së miratuar të ekuivalencës. Në këtë mënyrë shmanget një njohje e përgjithshme dhe e pakushtëzuar, duke ruajtur kontrollin rregullator mbi tregun.</w:t>
            </w:r>
          </w:p>
          <w:p w14:paraId="1C6F38DC"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Pika 5 dhe 6 garantojnë karakterin dinamik dhe të kushtëzuar të njohjes së ekuivalencës, duke parashikuar se ajo mbetet e vlefshme vetëm për aq kohë sa rregullat teknike dhe kërkesat e vendit të origjinës mbeten ekuivalente me legjislacionin shqiptar. Në rast ndryshimi, pezullimi ose shfuqizimi të këtyre rregullave, Ministria ka detyrimin të rishikojë ose të shfuqizojë vendimin për njohjen e ekuivalencës, duke mbrojtur sigurinë, shëndetin, mjedisin dhe funksionimin korrekt të tregut.</w:t>
            </w:r>
          </w:p>
          <w:p w14:paraId="71E51501"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lastRenderedPageBreak/>
              <w:t>Në tërësi, neni 80 krijon një mekanizëm të balancuar ndërmjet hapjes së tregut dhe mbrojtjes së interesit publik, duke siguruar trajtim të barabartë dhe jo-diskriminues për produktet nga vendet e treta, në përputhje me parimet e WTO/GATT, si dhe një nivel rregullator të krahasueshëm me atë të Bashkimit Evropian, deri në momentin e anëtarësimit të Republikës së Shqipërisë në BE.</w:t>
            </w:r>
          </w:p>
          <w:p w14:paraId="7C63B355"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Në fushën jo të harmonizuar, sipas </w:t>
            </w:r>
            <w:r w:rsidRPr="007A1206">
              <w:rPr>
                <w:rFonts w:ascii="Times New Roman" w:hAnsi="Times New Roman"/>
                <w:b/>
                <w:bCs/>
                <w:sz w:val="28"/>
                <w:szCs w:val="28"/>
                <w:lang w:val="sq-AL"/>
              </w:rPr>
              <w:t>nenit 81</w:t>
            </w:r>
            <w:r w:rsidRPr="007A1206">
              <w:rPr>
                <w:rFonts w:ascii="Times New Roman" w:hAnsi="Times New Roman"/>
                <w:sz w:val="28"/>
                <w:szCs w:val="28"/>
                <w:lang w:val="sq-AL"/>
              </w:rPr>
              <w:t>, projekt ligji njeh produktet që janë vendosur në tregun e BE-së, ose vendeve me marrëveshje të njohjes reciproke, me kusht që ato të jenë në përputhje me rregullat teknike të vendit të origjinës dhe të mos paraqesin rrezik për shëndetin, sigurinë ose mjedisin.</w:t>
            </w:r>
          </w:p>
          <w:p w14:paraId="17E3BA58"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Këto dispozita në Kreun XV krijojnë një sistem funksional që siguron:</w:t>
            </w:r>
          </w:p>
          <w:p w14:paraId="16707C31" w14:textId="77777777" w:rsidR="007A1206" w:rsidRPr="007A1206" w:rsidRDefault="007A1206" w:rsidP="007A1206">
            <w:pPr>
              <w:numPr>
                <w:ilvl w:val="0"/>
                <w:numId w:val="18"/>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Hyrjen e lirë në treg të produkteve nga BE, në linjë me standardet e CPR;</w:t>
            </w:r>
          </w:p>
          <w:p w14:paraId="74591C72" w14:textId="77777777" w:rsidR="007A1206" w:rsidRPr="007A1206" w:rsidRDefault="007A1206" w:rsidP="007A1206">
            <w:pPr>
              <w:numPr>
                <w:ilvl w:val="0"/>
                <w:numId w:val="18"/>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Njohjen automatike të aktit dhe dokumentacionit teknik të Komisionit dhe notified bodies;</w:t>
            </w:r>
          </w:p>
          <w:p w14:paraId="19A5278B" w14:textId="77777777" w:rsidR="007A1206" w:rsidRPr="007A1206" w:rsidRDefault="007A1206" w:rsidP="007A1206">
            <w:pPr>
              <w:numPr>
                <w:ilvl w:val="0"/>
                <w:numId w:val="18"/>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Mbrojtjen e sigurisë publike, nëpërmjet njohjes së menjëhershme të vendimeve evropiane për produkte të rrezikshme;</w:t>
            </w:r>
          </w:p>
          <w:p w14:paraId="6FEAC926" w14:textId="77777777" w:rsidR="007A1206" w:rsidRPr="007A1206" w:rsidRDefault="007A1206" w:rsidP="007A1206">
            <w:pPr>
              <w:numPr>
                <w:ilvl w:val="0"/>
                <w:numId w:val="18"/>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Trajtim të paanshëm dhe jo-diskriminues për produktet nga vendet jo-BE, përmes mekanizmit të ekuivalencës së rregullave teknike;</w:t>
            </w:r>
          </w:p>
          <w:p w14:paraId="1D33A5DA" w14:textId="77777777" w:rsidR="007A1206" w:rsidRPr="007A1206" w:rsidRDefault="007A1206" w:rsidP="007A1206">
            <w:pPr>
              <w:numPr>
                <w:ilvl w:val="0"/>
                <w:numId w:val="18"/>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Një qasje të unifikuar dhe të kontrolluar për vendosjen në treg të produkteve të ndërtimit deri në momentin e anëtarësimit në BE, kur CE do të bëhet i detyrueshëm.</w:t>
            </w:r>
          </w:p>
          <w:p w14:paraId="616E572A"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Në këtë mënyrë, Kreu XV siguron që Shqipëria të funksionojë me standarde të njëjta teknike, të sigurisë dhe të mbrojtjes së mjedisit si Bashkimi Evropian, duke mos krijuar barriera të panevojshme tregtare dhe duke ruajtur integritetin e tregut të brendshëm dhe interesin publik.</w:t>
            </w:r>
          </w:p>
          <w:p w14:paraId="6112BE39"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Kreu XVI (nenet 82- 87)</w:t>
            </w:r>
            <w:r w:rsidRPr="007A1206">
              <w:rPr>
                <w:rFonts w:ascii="Times New Roman" w:hAnsi="Times New Roman"/>
                <w:sz w:val="28"/>
                <w:szCs w:val="28"/>
                <w:lang w:val="sq-AL"/>
              </w:rPr>
              <w:t xml:space="preserve"> parashikon një regjim tërësisht të ri dhe të harmonizuar të kundërvajtjeve administrative, i ndërtuar mbi parimet e proporcionalitetit, rrezikut dhe transparencës, në përputhje me praktikat e Bashkimit Evropian dhe me qasjen e kërkuar në CPR 2024. Ky regjim synon krijimin e një sistemi sanksionesh efektive dhe të ekuilibruara, duke shmangur masat jo-proporcionale dhe duke garantuar që operatorët ekonomikë ndëshkohen në mënyrë të drejtë, të barabartë dhe në raport me kapacitetet e tyre ekonomike.</w:t>
            </w:r>
          </w:p>
          <w:p w14:paraId="271873FD"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Projektligji ka identifikuar dhe klasifikuar të gjitha shkeljet sipas natyrës së tyre dhe ndikimit që ato kanë në:</w:t>
            </w:r>
          </w:p>
          <w:p w14:paraId="70267E3C" w14:textId="77777777" w:rsidR="007A1206" w:rsidRPr="007A1206" w:rsidRDefault="007A1206" w:rsidP="007A1206">
            <w:pPr>
              <w:numPr>
                <w:ilvl w:val="0"/>
                <w:numId w:val="18"/>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sigurinë e produkteve;</w:t>
            </w:r>
          </w:p>
          <w:p w14:paraId="0FC5AF06" w14:textId="77777777" w:rsidR="007A1206" w:rsidRPr="007A1206" w:rsidRDefault="007A1206" w:rsidP="007A1206">
            <w:pPr>
              <w:numPr>
                <w:ilvl w:val="0"/>
                <w:numId w:val="18"/>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shëndetin dhe mjedisin;</w:t>
            </w:r>
          </w:p>
          <w:p w14:paraId="2DD829F6" w14:textId="77777777" w:rsidR="007A1206" w:rsidRPr="007A1206" w:rsidRDefault="007A1206" w:rsidP="007A1206">
            <w:pPr>
              <w:numPr>
                <w:ilvl w:val="0"/>
                <w:numId w:val="18"/>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konkurrencën e ndershme në treg;</w:t>
            </w:r>
          </w:p>
          <w:p w14:paraId="58CE7F5C" w14:textId="77777777" w:rsidR="007A1206" w:rsidRPr="007A1206" w:rsidRDefault="007A1206" w:rsidP="007A1206">
            <w:pPr>
              <w:numPr>
                <w:ilvl w:val="0"/>
                <w:numId w:val="18"/>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integritetin e procedurave të vlerësimit të përputhshmërisë.</w:t>
            </w:r>
          </w:p>
          <w:p w14:paraId="04F8C0B8"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Në këtë kuadër, shkeljet për operatorët ekonomikë janë grupuar në katër kategori – shumë të rënda, të rënda, mesatare dhe të lehta. Këto kategori variojnë nga shkeljet që lidhen me dokumentacion të falsifikuar, mospërputhshmëri të rënda, mungesë të deklaratës së performancës/konformitetit, vendosjen e paligjshme të markimit CE, deri te shkeljet me ndikim të ulët si mungesa e elementeve bazë të gjurmueshmërisë.</w:t>
            </w:r>
          </w:p>
          <w:p w14:paraId="56061395"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lastRenderedPageBreak/>
              <w:t>Për përcaktimin e niveleve të gjobave, u studiuan praktikat e disa shteteve anëtare të BE-së, të cilat parashikojnë gjoba të larta, dhe në disa raste edhe pasoja penale për shkeljet serioze në fushën e produkteve të ndërtimit. Duke marrë në konsideratë realitetin ekonomik shqiptar dhe faktin që kjo fushë rregullohet për herë të parë në kaq detaje, projektligji ka adoptuar një qasje të ngjashme të kategorizimit, por me shumë më pak ngarkesë financiare, duke i përshtatur gjobat me kapacitetet e tregut shqiptar.</w:t>
            </w:r>
          </w:p>
          <w:p w14:paraId="422A1292"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Si rrjedhojë, gjobat për operatorët ekonomikë janë vendosur sipas katër niveleve:</w:t>
            </w:r>
            <w:r w:rsidRPr="007A1206">
              <w:rPr>
                <w:rFonts w:ascii="Times New Roman" w:hAnsi="Times New Roman"/>
                <w:sz w:val="28"/>
                <w:szCs w:val="28"/>
                <w:lang w:val="sq-AL"/>
              </w:rPr>
              <w:br/>
              <w:t>50.000 lekë, 100.000 lekë, 150.000 lekë dhe 2% të xhiros vjetore por jo me pak së një minimum prej 200.000 lekësh.</w:t>
            </w:r>
          </w:p>
          <w:p w14:paraId="631743E7"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Kjo skemë është në përputhje me logjikën e ligjit nr. 10489/2011 dhe praktikat e vendeve të BE-së.</w:t>
            </w:r>
          </w:p>
          <w:p w14:paraId="0E94DF18"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 xml:space="preserve">Kategoria më e rëndë, që lidhet me vendosjen në treg të produkteve pa deklaratë performance dhe konformiteti, pa dokumentacion teknik, pa markim CE apo me dokumente të falsifikuara, kërkon një regjim të veçantë. Për këto raste, projektligji parashikon dënim me gjobë </w:t>
            </w:r>
            <w:r w:rsidRPr="007A1206">
              <w:rPr>
                <w:rFonts w:ascii="Times New Roman" w:hAnsi="Times New Roman"/>
                <w:b/>
                <w:bCs/>
                <w:sz w:val="28"/>
                <w:szCs w:val="28"/>
                <w:lang w:val="sq-AL"/>
              </w:rPr>
              <w:t>2</w:t>
            </w:r>
            <w:r w:rsidRPr="007A1206">
              <w:rPr>
                <w:rFonts w:ascii="Times New Roman" w:hAnsi="Times New Roman"/>
                <w:sz w:val="28"/>
                <w:szCs w:val="28"/>
                <w:lang w:val="sq-AL"/>
              </w:rPr>
              <w:t xml:space="preserve">% të xhiros vjetore, duke garantuar zbatimin e proporcionalitetit edhe për operatorët më të mëdhenj në treg. Në rast se 2% e xhiros është më pak se </w:t>
            </w:r>
            <w:r w:rsidRPr="007A1206">
              <w:rPr>
                <w:rFonts w:ascii="Times New Roman" w:hAnsi="Times New Roman"/>
                <w:b/>
                <w:bCs/>
                <w:sz w:val="28"/>
                <w:szCs w:val="28"/>
                <w:lang w:val="sq-AL"/>
              </w:rPr>
              <w:t>200.000 lekë</w:t>
            </w:r>
            <w:r w:rsidRPr="007A1206">
              <w:rPr>
                <w:rFonts w:ascii="Times New Roman" w:hAnsi="Times New Roman"/>
                <w:sz w:val="28"/>
                <w:szCs w:val="28"/>
                <w:lang w:val="sq-AL"/>
              </w:rPr>
              <w:t>, aplikohet automatikisht kjo shumë minimale.</w:t>
            </w:r>
          </w:p>
          <w:p w14:paraId="003F5DF6"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Skema e sanksioneve përfshin edhe aktorët e rinj të zinxhirit të furnizimit si ofruesit e shërbimit të përmbushjes, operatorët e platformave të tregtimit online dhe shitjet në distancë, të cilët në mungesë të rregullimit mund të bëheshin “kanale shmangieje” të detyrimeve ligjore. Përfshirja e tyre synon mbrojtjen e konkurrencës së ndershme dhe sigurinë e tregut.</w:t>
            </w:r>
          </w:p>
          <w:p w14:paraId="1A04495D"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Përveç gjobave, projektligji parashikon një gamë masash administrative plotësuese, si:</w:t>
            </w:r>
            <w:r w:rsidRPr="007A1206">
              <w:rPr>
                <w:rFonts w:ascii="Times New Roman" w:hAnsi="Times New Roman"/>
                <w:sz w:val="28"/>
                <w:szCs w:val="28"/>
                <w:lang w:val="sq-AL"/>
              </w:rPr>
              <w:br/>
              <w:t>• detyra korrigjuese;</w:t>
            </w:r>
            <w:r w:rsidRPr="007A1206">
              <w:rPr>
                <w:rFonts w:ascii="Times New Roman" w:hAnsi="Times New Roman"/>
                <w:sz w:val="28"/>
                <w:szCs w:val="28"/>
                <w:lang w:val="sq-AL"/>
              </w:rPr>
              <w:br/>
              <w:t>• kufizim ose pezullim i vendosjes në treg;</w:t>
            </w:r>
            <w:r w:rsidRPr="007A1206">
              <w:rPr>
                <w:rFonts w:ascii="Times New Roman" w:hAnsi="Times New Roman"/>
                <w:sz w:val="28"/>
                <w:szCs w:val="28"/>
                <w:lang w:val="sq-AL"/>
              </w:rPr>
              <w:br/>
              <w:t>• tërheqje ose kthim i produktit;</w:t>
            </w:r>
            <w:r w:rsidRPr="007A1206">
              <w:rPr>
                <w:rFonts w:ascii="Times New Roman" w:hAnsi="Times New Roman"/>
                <w:sz w:val="28"/>
                <w:szCs w:val="28"/>
                <w:lang w:val="sq-AL"/>
              </w:rPr>
              <w:br/>
              <w:t>• masa specifike për pasaportën digjitale (si pezullim i aksesit ose detyrimi për përditësim).</w:t>
            </w:r>
          </w:p>
          <w:p w14:paraId="317F2198"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Për organet e miratuara dhe organet e vlerësimit teknik, projektligji vendos një regjim të veçantë sanksionesh që pasqyron rolin kritik që ato kanë si pjesë e infrastrukturës së cilësisë. Gjobat janë të ndara në tre kategori: 80.000 lekë, 150.000 lekë dhe 300.000 lekë, të shoqëruara me masa administrative që mund të shkojnë deri në pezullim apo heqje të miratimit.</w:t>
            </w:r>
          </w:p>
          <w:p w14:paraId="75389DE3"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Me qëllim parandalimin e shkeljeve të përsëritura, projektligji parashikon që për të njëjtën shkelje të kryer brenda dy viteve, masa e gjobës rritet me 50%, duke krijuar një mekanizëm efektiv, të përputhshëm me parimet e BE-së.</w:t>
            </w:r>
          </w:p>
          <w:p w14:paraId="180DFF6F"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Dispozitat për animimin dhe ekzekutimin e gjobave janë të harmonizuara me legjislacionin horizontal, përfshirë ligjin për inspektimet, Kodin e Procedurave Administrative, duke garantuar siguri juridike dhe mbrojtje procedurale për operatorët ekonomikë.</w:t>
            </w:r>
          </w:p>
          <w:p w14:paraId="6C0D0370"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lastRenderedPageBreak/>
              <w:t>Në tërësi, Kreu XVI synon të krijojë një regjim proporcional të balancuar dhe të harmonizuar me BE-në të përgjegjësisë administrative, që mbron konsumatorët dhe tregun, pa vendosur barrë të panevojshme për industrinë dhe duke respektuar realitetin e tranzicionit drejt integrimit evropian</w:t>
            </w:r>
          </w:p>
          <w:p w14:paraId="4A49CFC8"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Duke patur parasysh që shumica e dispozitave të këtij ligji shfuqizohen ditën e anëtarësimit të Shqipërisë në BE, humbet referenca ligjore për kundërvajtjet administrative të parashikuara në këtë ligj. Me qëllim që ruhet vazhdimësia e zbatueshmërisë së këtij ligji, është përgatitur Shtojca XIII si një instrument juridik, i konceptuar për:</w:t>
            </w:r>
          </w:p>
          <w:p w14:paraId="0CB4FB4F" w14:textId="77777777" w:rsidR="007A1206" w:rsidRPr="007A1206" w:rsidRDefault="007A1206" w:rsidP="007A1206">
            <w:pPr>
              <w:numPr>
                <w:ilvl w:val="0"/>
                <w:numId w:val="20"/>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të lidhur dispozitat kombëtare që shfuqizohen dhe referohen në kreun e kundërvajtjeve administrative me dispozitat ekuivalente të CPR 2024;</w:t>
            </w:r>
          </w:p>
          <w:p w14:paraId="1619BC66" w14:textId="77777777" w:rsidR="007A1206" w:rsidRPr="007A1206" w:rsidRDefault="007A1206" w:rsidP="007A1206">
            <w:pPr>
              <w:numPr>
                <w:ilvl w:val="0"/>
                <w:numId w:val="20"/>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të siguruar vazhdimësinë e plotë të sistemit të kundërvajtjeve administrative edhe pas hyrjes në fuqi të CPR;</w:t>
            </w:r>
          </w:p>
          <w:p w14:paraId="745D5F75" w14:textId="77777777" w:rsidR="007A1206" w:rsidRPr="007A1206" w:rsidRDefault="007A1206" w:rsidP="007A1206">
            <w:pPr>
              <w:numPr>
                <w:ilvl w:val="0"/>
                <w:numId w:val="20"/>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të shmangur çdo interpretim të gabuar nga organet mbikëqyrëse apo operatorët ekonomikë.</w:t>
            </w:r>
            <w:r w:rsidRPr="007A1206">
              <w:rPr>
                <w:rFonts w:ascii="Times New Roman" w:hAnsi="Times New Roman"/>
                <w:b/>
                <w:bCs/>
                <w:sz w:val="28"/>
                <w:szCs w:val="28"/>
                <w:lang w:val="sq-AL"/>
              </w:rPr>
              <w:t xml:space="preserve"> </w:t>
            </w:r>
          </w:p>
          <w:p w14:paraId="3D23F381"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 xml:space="preserve"> Kreu XVII </w:t>
            </w:r>
            <w:r w:rsidRPr="007A1206">
              <w:rPr>
                <w:rFonts w:ascii="Times New Roman" w:hAnsi="Times New Roman"/>
                <w:sz w:val="28"/>
                <w:szCs w:val="28"/>
                <w:lang w:val="sq-AL"/>
              </w:rPr>
              <w:t xml:space="preserve">i projektligjit është hartuar me kujdes të veçantë, pasi ai përcakton mekanizmat juridikë që i sigurojnë këtij ligji të ketë dy faza të dallueshme ekzistence: (i) para anëtarësimit të Republikës së Shqipërisë në Bashkimin Evropian dhe (ii) pas anëtarësimit. Ky Kre është thelbësor për ruajtjen e vazhdimësisë rregullatore dhe shmangien e çdo boshllëku ligjor në fushën e produkteve të ndërtimit. </w:t>
            </w:r>
          </w:p>
          <w:p w14:paraId="27417A33"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CPR 2024 është akt i zbatimit të drejtpërdrejtë për shtetet anëtare, dhe në momentin e anëtarësimit bëhet plotësisht i detyrueshëm në territorin e Shqipërisë, duke zëvendësuar çdo dispozitë kombëtare kontradiktore. Për këtë arsye:</w:t>
            </w:r>
          </w:p>
          <w:p w14:paraId="15F9C44E" w14:textId="77777777" w:rsidR="007A1206" w:rsidRPr="007A1206" w:rsidRDefault="007A1206" w:rsidP="007A1206">
            <w:pPr>
              <w:numPr>
                <w:ilvl w:val="0"/>
                <w:numId w:val="19"/>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një pjesë e gjerë e dispozitave të projektligjit parashikohet të shfuqizohet automatikisht në ditën e anëtarësimit;</w:t>
            </w:r>
          </w:p>
          <w:p w14:paraId="29ECACA5" w14:textId="77777777" w:rsidR="007A1206" w:rsidRPr="007A1206" w:rsidRDefault="007A1206" w:rsidP="007A1206">
            <w:pPr>
              <w:numPr>
                <w:ilvl w:val="0"/>
                <w:numId w:val="19"/>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parashikohet një mekanizëm i integruar tranzitor, që parandalon ndërprerjen e funksioneve shtetërore, veçanërisht në fushën e mbikëqyrjes së tregut, vlerësimit teknik dhe sistemit të pasaportës digjitale.</w:t>
            </w:r>
          </w:p>
          <w:p w14:paraId="77A7F447"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Nenet 88 -92</w:t>
            </w:r>
            <w:r w:rsidRPr="007A1206">
              <w:rPr>
                <w:rFonts w:ascii="Times New Roman" w:hAnsi="Times New Roman"/>
                <w:sz w:val="28"/>
                <w:szCs w:val="28"/>
                <w:lang w:val="sq-AL"/>
              </w:rPr>
              <w:t>, i japin projekt ligjit një ekzistence “dy-jetësh” në aspektin juridik:</w:t>
            </w:r>
          </w:p>
          <w:p w14:paraId="01534CCB"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88</w:t>
            </w:r>
            <w:r w:rsidRPr="007A1206">
              <w:rPr>
                <w:rFonts w:ascii="Times New Roman" w:hAnsi="Times New Roman"/>
                <w:sz w:val="28"/>
                <w:szCs w:val="28"/>
                <w:lang w:val="sq-AL"/>
              </w:rPr>
              <w:t xml:space="preserve"> përbën bërthamën tranzitore të ligjit dhe rregullon mënyrën e zbatimit të tij para anëtarësimit të Republikës së Shqipërisë në Bashkimin Evropian, si dhe bashkëjetesën e dy regjimeve teknike deri më 8 janar 2040, në përputhje me logjikën e CPR 2024.</w:t>
            </w:r>
          </w:p>
          <w:p w14:paraId="73B5CB1B"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Pika 1 përcakton qartë se, deri në ditën e anëtarësimit, markimi CE nuk është i detyrueshëm në Shqipëri. Megjithatë, për të shmangur devijime teknike dhe rreziqe rregullatore, parashikohet që prodhuesit shqiptarë mund të përdorin markimin CE vetëm nëse procedurat e vlerësimit dhe verifikimit kryhen nga organizma evropianë të notifikuar ose degë të tyre të regjistruara në Shqipëri, dhe vetëm në rastet kur ky ligj kërkon përfshirjen e palës së tretë. Kjo zgjidhje garanton që markimi CE, edhe kur përdoret vullnetarisht, të jetë i vendosur në mënyrë të ligjshme (“lawfully affixed”).</w:t>
            </w:r>
          </w:p>
          <w:p w14:paraId="203DAFF7"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lastRenderedPageBreak/>
              <w:t>Pika 2 krijon një regjim të dyfishtë teknik deri më 8 janar 2040, duke lejuar vendosjen në treg të produkteve të ndërtimit:</w:t>
            </w:r>
          </w:p>
          <w:p w14:paraId="79945DFC" w14:textId="77777777" w:rsidR="007A1206" w:rsidRPr="007A1206" w:rsidRDefault="007A1206" w:rsidP="007A1206">
            <w:pPr>
              <w:numPr>
                <w:ilvl w:val="0"/>
                <w:numId w:val="24"/>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ose sipas sistemit të ri të këtij ligji (i ndërtuar mbi kërkesat e reja të CPR 2024),</w:t>
            </w:r>
          </w:p>
          <w:p w14:paraId="4BE682C9" w14:textId="77777777" w:rsidR="007A1206" w:rsidRPr="007A1206" w:rsidRDefault="007A1206" w:rsidP="007A1206">
            <w:pPr>
              <w:numPr>
                <w:ilvl w:val="0"/>
                <w:numId w:val="24"/>
              </w:num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ose sipas sistemit ekzistues të standardeve të harmonizuara shqiptare dhe dokumenteve të vlerësimit teknik shqiptar, të trashëguara nga kuadri i CPR 305/2011.</w:t>
            </w:r>
          </w:p>
          <w:p w14:paraId="653424C5"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Ky mekanizëm shmang tronditjen e tregut dhe u jep kohë operatorëve ekonomikë për përshtatje graduale, pa cenuar sigurinë dhe mbikëqyrjen e tregut.</w:t>
            </w:r>
          </w:p>
          <w:p w14:paraId="1C738BE9"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Pika 3 rregullon zbatimin e dispozitave lidhur me pasaportën digjitale të produktit, duke e lidhur atë me aksesin efektiv të Shqipërisë në sistemin evropian ose me datën e anëtarësimit. Kjo shmang krijimin e detyrimeve të pazbatueshme teknikisht në fazën para-anëtarësimit.</w:t>
            </w:r>
          </w:p>
          <w:p w14:paraId="17CB242B"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Pikat 4–7 adresojnë boshllëkun institucional në fushën e vlerësimit teknik, duke parashikuar Institutin e Ndërtimit si OESHVT, ushtrimin e përkohshëm të funksioneve si organ i miratuar, afate të qarta për Institutin e Ndërtimit për aplikim si OESHVT, afatin prej 2 vitesh për marrjen e certifikatës së akreditimit që të operoje si organ i miratuar në përputhje me kërkesat e këtij ligji,  si edhe një mekanizëm sigurie që i lejon ministrisë të angazhojë një organ tjetër të akredituar në rast mos-përmbushjeje të afateve nga IN.</w:t>
            </w:r>
          </w:p>
          <w:p w14:paraId="673733C6"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Pika 8 garanton vazhdimësinë e mbikëqyrjes së tregut, duke ngarkuar përkohësisht IKMT-në me funksionet e SMT-së deri në hyrjen në fuqi të këtij ligji, të parashikuara në nenin 92, pika 2.</w:t>
            </w:r>
          </w:p>
          <w:p w14:paraId="4BCA2EF0"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Pika 9 siguron një kalim automatik terminologjik në ditën e anëtarësimit, duke përafruar termat kombëtarë me terminologjinë e CPR (p.sh. “organ i miratuar”→“organizëm i njoftuar/notifikuar”), pa pasur nevojë për ndërhyrje të mëtejshme ligjore.</w:t>
            </w:r>
          </w:p>
          <w:p w14:paraId="26777844"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89</w:t>
            </w:r>
            <w:r w:rsidRPr="007A1206">
              <w:rPr>
                <w:rFonts w:ascii="Times New Roman" w:hAnsi="Times New Roman"/>
                <w:sz w:val="28"/>
                <w:szCs w:val="28"/>
                <w:lang w:val="sq-AL"/>
              </w:rPr>
              <w:t xml:space="preserve"> rregullon nxjerrjen e akteve nënligjore të domosdoshme për funksionimin e sistemit, duke vendosur një afat të detyrueshëm për aktin kyç që lidhet me aktet nënligjore në zbatim të nenit 88, pika 2, shkronja “b”, ndërsa për aktet e tjera ruhet fleksibiliteti për miratim sipas nevojës.</w:t>
            </w:r>
          </w:p>
          <w:p w14:paraId="504DA2B1"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90</w:t>
            </w:r>
            <w:r w:rsidRPr="007A1206">
              <w:rPr>
                <w:rFonts w:ascii="Times New Roman" w:hAnsi="Times New Roman"/>
                <w:sz w:val="28"/>
                <w:szCs w:val="28"/>
                <w:lang w:val="sq-AL"/>
              </w:rPr>
              <w:t xml:space="preserve"> – “Detyrimi për informacion në gjuhën shqipe pas anëtarësimit” është konceptuar për të shmangur boshllëkun rregullator pas anëtarësimit, që shoqërohet me shfuqizimin e një pjese të madhe dispozitash, duke garantuar që detyrimi për dokumentacion dhe informacion në gjuhën shqipe të vazhdojë të zbatohet edhe pas shfuqizimit të këtyre dispozitave, për aq sa kjo lejohet nga parimi i mos krijimit të pengesave të pajustifikuara në tregun e brendshëm të BE-së.</w:t>
            </w:r>
          </w:p>
          <w:p w14:paraId="4D673FE9"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91</w:t>
            </w:r>
            <w:r w:rsidRPr="007A1206">
              <w:rPr>
                <w:rFonts w:ascii="Times New Roman" w:hAnsi="Times New Roman"/>
                <w:sz w:val="28"/>
                <w:szCs w:val="28"/>
                <w:lang w:val="sq-AL"/>
              </w:rPr>
              <w:t xml:space="preserve"> përcakton një mekanizëm të detajuar dhe të kontrolluar shfuqizimi: shfuqizimin e ligjit ekzistues 9290/2004, 1 vit pas hyrjes në fuqi të këtij ligji, shfuqizimin e dispozitave të ligjit nr. 8402, datë 10.9.1998, shfuqizimin e një numri të konsiderueshem dispozitash në ditën e anëtarësimit, dhe, në mënyrë thelbësore, zëvendësimin automatik të referencave ndaj dispozitave të </w:t>
            </w:r>
            <w:r w:rsidRPr="007A1206">
              <w:rPr>
                <w:rFonts w:ascii="Times New Roman" w:hAnsi="Times New Roman"/>
                <w:sz w:val="28"/>
                <w:szCs w:val="28"/>
                <w:lang w:val="sq-AL"/>
              </w:rPr>
              <w:lastRenderedPageBreak/>
              <w:t>shfuqizuara me referenca ndaj CPR 2024, përmes Tabelës së Korrelacionit në Shtojcën XIII.</w:t>
            </w:r>
          </w:p>
          <w:p w14:paraId="0D0B9ECC"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b/>
                <w:bCs/>
                <w:sz w:val="28"/>
                <w:szCs w:val="28"/>
                <w:lang w:val="sq-AL"/>
              </w:rPr>
              <w:t>Neni 92</w:t>
            </w:r>
            <w:r w:rsidRPr="007A1206">
              <w:rPr>
                <w:rFonts w:ascii="Times New Roman" w:hAnsi="Times New Roman"/>
                <w:sz w:val="28"/>
                <w:szCs w:val="28"/>
                <w:lang w:val="sq-AL"/>
              </w:rPr>
              <w:t xml:space="preserve"> strukturon hyrjen në fuqi dhe zbatimin e ligjit në mënyrë fazore, duke ndarë qartë hyrjen në fuqi nga fillimi i zbatimit, duke vendosur afate të diferencuara për karakteristikat thelbësore mjedisore, duke përcaktuar dispozitat që aktivizohen vetëm në ditën e anëtarësimit, si dhe duke lidhur pasaportën digjitale me kushtet reale teknike dhe institucionale.</w:t>
            </w:r>
          </w:p>
          <w:p w14:paraId="11D7A0B9" w14:textId="77777777" w:rsidR="007A1206" w:rsidRPr="007A1206" w:rsidRDefault="007A1206" w:rsidP="007A1206">
            <w:pPr>
              <w:tabs>
                <w:tab w:val="left" w:pos="60"/>
                <w:tab w:val="left" w:pos="540"/>
              </w:tabs>
              <w:jc w:val="both"/>
              <w:rPr>
                <w:rFonts w:ascii="Times New Roman" w:hAnsi="Times New Roman"/>
                <w:sz w:val="28"/>
                <w:szCs w:val="28"/>
                <w:lang w:val="sq-AL"/>
              </w:rPr>
            </w:pPr>
            <w:r w:rsidRPr="007A1206">
              <w:rPr>
                <w:rFonts w:ascii="Times New Roman" w:hAnsi="Times New Roman"/>
                <w:sz w:val="28"/>
                <w:szCs w:val="28"/>
                <w:lang w:val="sq-AL"/>
              </w:rPr>
              <w:t>Kjo zgjidhje siguron vazhdimësi juridike, veçanërisht për masat administrative dhe kundërvajtjet.</w:t>
            </w:r>
          </w:p>
          <w:p w14:paraId="7A7AF454" w14:textId="0B0D089C" w:rsidR="00E93594" w:rsidRPr="007A1206" w:rsidRDefault="00E93594" w:rsidP="00E93594">
            <w:pPr>
              <w:tabs>
                <w:tab w:val="left" w:pos="60"/>
                <w:tab w:val="left" w:pos="540"/>
              </w:tabs>
              <w:jc w:val="both"/>
              <w:rPr>
                <w:rFonts w:ascii="Times New Roman" w:hAnsi="Times New Roman"/>
                <w:sz w:val="28"/>
                <w:szCs w:val="28"/>
                <w:lang w:val="sq-AL"/>
              </w:rPr>
            </w:pPr>
          </w:p>
        </w:tc>
      </w:tr>
    </w:tbl>
    <w:p w14:paraId="3A320FF0" w14:textId="77777777" w:rsidR="008675CA" w:rsidRPr="007A1206" w:rsidRDefault="008675CA" w:rsidP="002C19D9">
      <w:pPr>
        <w:pStyle w:val="BodyText"/>
        <w:jc w:val="both"/>
        <w:rPr>
          <w:rFonts w:ascii="Times New Roman" w:hAnsi="Times New Roman"/>
          <w:i/>
          <w:sz w:val="28"/>
          <w:szCs w:val="28"/>
          <w:lang w:val="sq-AL"/>
        </w:rPr>
      </w:pPr>
    </w:p>
    <w:p w14:paraId="2D9A4CA5" w14:textId="77777777" w:rsidR="008675CA" w:rsidRPr="007A1206" w:rsidRDefault="00E54C97" w:rsidP="002C19D9">
      <w:pPr>
        <w:pStyle w:val="BodyText"/>
        <w:jc w:val="both"/>
        <w:rPr>
          <w:rFonts w:ascii="Times New Roman" w:hAnsi="Times New Roman"/>
          <w:b/>
          <w:sz w:val="28"/>
          <w:szCs w:val="28"/>
          <w:lang w:val="sq-AL"/>
        </w:rPr>
      </w:pPr>
      <w:r w:rsidRPr="007A1206">
        <w:rPr>
          <w:rFonts w:ascii="Times New Roman" w:hAnsi="Times New Roman"/>
          <w:b/>
          <w:sz w:val="28"/>
          <w:szCs w:val="28"/>
          <w:lang w:val="sq-AL"/>
        </w:rPr>
        <w:t>Pyetjet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7A1206" w14:paraId="6F85D1AB" w14:textId="77777777" w:rsidTr="00FE3A8D">
        <w:tc>
          <w:tcPr>
            <w:tcW w:w="9056" w:type="dxa"/>
          </w:tcPr>
          <w:p w14:paraId="410B064F" w14:textId="2CCBFFF9" w:rsidR="00092682" w:rsidRPr="007A1206" w:rsidRDefault="00092682" w:rsidP="002C19D9">
            <w:pPr>
              <w:tabs>
                <w:tab w:val="left" w:pos="567"/>
              </w:tabs>
              <w:spacing w:after="120"/>
              <w:jc w:val="both"/>
              <w:rPr>
                <w:rFonts w:ascii="Times New Roman" w:hAnsi="Times New Roman"/>
                <w:sz w:val="28"/>
                <w:szCs w:val="28"/>
                <w:lang w:val="sq-AL"/>
              </w:rPr>
            </w:pPr>
            <w:r w:rsidRPr="007A1206">
              <w:rPr>
                <w:rFonts w:ascii="Times New Roman" w:hAnsi="Times New Roman"/>
                <w:sz w:val="28"/>
                <w:szCs w:val="28"/>
                <w:lang w:val="sq-AL"/>
              </w:rPr>
              <w:t>Çështjet kryesore që mendojmë se duhet të diskutohen lidhur me këtë nismë</w:t>
            </w:r>
            <w:r w:rsidR="00CC56CF" w:rsidRPr="007A1206">
              <w:rPr>
                <w:rFonts w:ascii="Times New Roman" w:hAnsi="Times New Roman"/>
                <w:sz w:val="28"/>
                <w:szCs w:val="28"/>
                <w:lang w:val="sq-AL"/>
              </w:rPr>
              <w:t xml:space="preserve"> ligjore</w:t>
            </w:r>
            <w:r w:rsidRPr="007A1206">
              <w:rPr>
                <w:rFonts w:ascii="Times New Roman" w:hAnsi="Times New Roman"/>
                <w:sz w:val="28"/>
                <w:szCs w:val="28"/>
                <w:lang w:val="sq-AL"/>
              </w:rPr>
              <w:t xml:space="preserve"> janë:</w:t>
            </w:r>
          </w:p>
          <w:p w14:paraId="75609F3A" w14:textId="34A4C8DF" w:rsidR="00CB13AC" w:rsidRPr="007A1206" w:rsidRDefault="00FD4B47" w:rsidP="00D36D6C">
            <w:pPr>
              <w:pStyle w:val="NoSpacing"/>
              <w:numPr>
                <w:ilvl w:val="0"/>
                <w:numId w:val="2"/>
              </w:numPr>
              <w:jc w:val="both"/>
              <w:rPr>
                <w:rFonts w:ascii="Times New Roman" w:hAnsi="Times New Roman"/>
                <w:b/>
                <w:bCs/>
                <w:sz w:val="28"/>
                <w:szCs w:val="28"/>
              </w:rPr>
            </w:pPr>
            <w:r w:rsidRPr="007A1206">
              <w:rPr>
                <w:rFonts w:ascii="Times New Roman" w:hAnsi="Times New Roman"/>
                <w:sz w:val="28"/>
                <w:szCs w:val="28"/>
              </w:rPr>
              <w:t xml:space="preserve">A mendoni se </w:t>
            </w:r>
            <w:r w:rsidR="005C53DA" w:rsidRPr="007A1206">
              <w:rPr>
                <w:rFonts w:ascii="Times New Roman" w:hAnsi="Times New Roman"/>
                <w:sz w:val="28"/>
                <w:szCs w:val="28"/>
              </w:rPr>
              <w:t>përmbajtja</w:t>
            </w:r>
            <w:r w:rsidR="00203E98" w:rsidRPr="007A1206">
              <w:rPr>
                <w:rFonts w:ascii="Times New Roman" w:hAnsi="Times New Roman"/>
                <w:sz w:val="28"/>
                <w:szCs w:val="28"/>
              </w:rPr>
              <w:t xml:space="preserve"> </w:t>
            </w:r>
            <w:r w:rsidR="005C53DA" w:rsidRPr="007A1206">
              <w:rPr>
                <w:rFonts w:ascii="Times New Roman" w:hAnsi="Times New Roman"/>
                <w:sz w:val="28"/>
                <w:szCs w:val="28"/>
              </w:rPr>
              <w:t>e</w:t>
            </w:r>
            <w:r w:rsidR="00A46EDE" w:rsidRPr="007A1206">
              <w:rPr>
                <w:rFonts w:ascii="Times New Roman" w:hAnsi="Times New Roman"/>
                <w:sz w:val="28"/>
                <w:szCs w:val="28"/>
              </w:rPr>
              <w:t xml:space="preserve"> </w:t>
            </w:r>
            <w:r w:rsidR="00745FB4" w:rsidRPr="007A1206">
              <w:rPr>
                <w:rFonts w:ascii="Times New Roman" w:hAnsi="Times New Roman"/>
                <w:sz w:val="28"/>
                <w:szCs w:val="28"/>
              </w:rPr>
              <w:t>projekt</w:t>
            </w:r>
            <w:r w:rsidR="00993D87" w:rsidRPr="007A1206">
              <w:rPr>
                <w:rFonts w:ascii="Times New Roman" w:hAnsi="Times New Roman"/>
                <w:sz w:val="28"/>
                <w:szCs w:val="28"/>
              </w:rPr>
              <w:t>ligj</w:t>
            </w:r>
            <w:r w:rsidR="00AE266B">
              <w:rPr>
                <w:rFonts w:ascii="Times New Roman" w:hAnsi="Times New Roman"/>
                <w:sz w:val="28"/>
                <w:szCs w:val="28"/>
              </w:rPr>
              <w:t>it</w:t>
            </w:r>
            <w:r w:rsidR="00E93594" w:rsidRPr="007A1206">
              <w:rPr>
                <w:rFonts w:ascii="Times New Roman" w:hAnsi="Times New Roman"/>
                <w:sz w:val="28"/>
                <w:szCs w:val="28"/>
              </w:rPr>
              <w:t xml:space="preserve"> </w:t>
            </w:r>
            <w:r w:rsidR="00E93594" w:rsidRPr="00AE266B">
              <w:rPr>
                <w:rFonts w:ascii="Times New Roman" w:hAnsi="Times New Roman"/>
                <w:sz w:val="28"/>
                <w:szCs w:val="28"/>
              </w:rPr>
              <w:t>“</w:t>
            </w:r>
            <w:r w:rsidR="00237943" w:rsidRPr="00AE266B">
              <w:rPr>
                <w:rFonts w:ascii="Times New Roman" w:eastAsia="MS Mincho" w:hAnsi="Times New Roman"/>
                <w:sz w:val="28"/>
                <w:szCs w:val="28"/>
                <w:lang w:eastAsia="en-GB"/>
              </w:rPr>
              <w:t xml:space="preserve">Për </w:t>
            </w:r>
            <w:r w:rsidR="00AE266B" w:rsidRPr="00AE266B">
              <w:rPr>
                <w:rFonts w:ascii="Times New Roman" w:eastAsia="MS Mincho" w:hAnsi="Times New Roman"/>
                <w:sz w:val="28"/>
                <w:szCs w:val="28"/>
                <w:lang w:eastAsia="en-GB"/>
              </w:rPr>
              <w:t>tregtimin e produkteve të ndërtimit”</w:t>
            </w:r>
            <w:r w:rsidR="00AE266B" w:rsidRPr="00D36D6C">
              <w:rPr>
                <w:rFonts w:ascii="Times New Roman" w:eastAsia="MS Mincho" w:hAnsi="Times New Roman"/>
                <w:sz w:val="28"/>
                <w:szCs w:val="28"/>
                <w:lang w:eastAsia="en-GB"/>
              </w:rPr>
              <w:t>,</w:t>
            </w:r>
            <w:r w:rsidR="00AE266B">
              <w:rPr>
                <w:rFonts w:ascii="Times New Roman" w:eastAsia="MS Mincho" w:hAnsi="Times New Roman"/>
                <w:b/>
                <w:bCs/>
                <w:sz w:val="28"/>
                <w:szCs w:val="28"/>
                <w:lang w:eastAsia="en-GB"/>
              </w:rPr>
              <w:t xml:space="preserve"> </w:t>
            </w:r>
            <w:r w:rsidR="0089745D" w:rsidRPr="007A1206">
              <w:rPr>
                <w:rFonts w:ascii="Times New Roman" w:hAnsi="Times New Roman"/>
                <w:sz w:val="28"/>
                <w:szCs w:val="28"/>
              </w:rPr>
              <w:t>mund të arrijë objektivat e synuara</w:t>
            </w:r>
            <w:r w:rsidR="00CB13AC" w:rsidRPr="007A1206">
              <w:rPr>
                <w:rFonts w:ascii="Times New Roman" w:hAnsi="Times New Roman"/>
                <w:sz w:val="28"/>
                <w:szCs w:val="28"/>
              </w:rPr>
              <w:t>?</w:t>
            </w:r>
          </w:p>
          <w:p w14:paraId="04EB468E" w14:textId="4DA965D4" w:rsidR="00454C25" w:rsidRPr="007A1206" w:rsidRDefault="00206A93" w:rsidP="00D36D6C">
            <w:pPr>
              <w:widowControl w:val="0"/>
              <w:numPr>
                <w:ilvl w:val="0"/>
                <w:numId w:val="2"/>
              </w:numPr>
              <w:tabs>
                <w:tab w:val="left" w:pos="384"/>
              </w:tabs>
              <w:autoSpaceDE w:val="0"/>
              <w:autoSpaceDN w:val="0"/>
              <w:spacing w:before="1"/>
              <w:ind w:right="120"/>
              <w:jc w:val="both"/>
              <w:rPr>
                <w:rFonts w:ascii="Times New Roman" w:hAnsi="Times New Roman"/>
                <w:sz w:val="28"/>
                <w:szCs w:val="28"/>
                <w:lang w:val="sq-AL"/>
              </w:rPr>
            </w:pPr>
            <w:r w:rsidRPr="007A1206">
              <w:rPr>
                <w:rFonts w:ascii="Times New Roman" w:hAnsi="Times New Roman"/>
                <w:sz w:val="28"/>
                <w:szCs w:val="28"/>
                <w:lang w:val="sq-AL"/>
              </w:rPr>
              <w:t>A mendoni se ka elementë t</w:t>
            </w:r>
            <w:r w:rsidR="00EF567E" w:rsidRPr="007A1206">
              <w:rPr>
                <w:rFonts w:ascii="Times New Roman" w:hAnsi="Times New Roman"/>
                <w:sz w:val="28"/>
                <w:szCs w:val="28"/>
                <w:lang w:val="sq-AL"/>
              </w:rPr>
              <w:t>ë</w:t>
            </w:r>
            <w:r w:rsidRPr="007A1206">
              <w:rPr>
                <w:rFonts w:ascii="Times New Roman" w:hAnsi="Times New Roman"/>
                <w:sz w:val="28"/>
                <w:szCs w:val="28"/>
                <w:lang w:val="sq-AL"/>
              </w:rPr>
              <w:t xml:space="preserve"> tjer</w:t>
            </w:r>
            <w:r w:rsidR="00EF567E" w:rsidRPr="007A1206">
              <w:rPr>
                <w:rFonts w:ascii="Times New Roman" w:hAnsi="Times New Roman"/>
                <w:sz w:val="28"/>
                <w:szCs w:val="28"/>
                <w:lang w:val="sq-AL"/>
              </w:rPr>
              <w:t>ë</w:t>
            </w:r>
            <w:r w:rsidRPr="007A1206">
              <w:rPr>
                <w:rFonts w:ascii="Times New Roman" w:hAnsi="Times New Roman"/>
                <w:sz w:val="28"/>
                <w:szCs w:val="28"/>
                <w:lang w:val="sq-AL"/>
              </w:rPr>
              <w:t xml:space="preserve"> q</w:t>
            </w:r>
            <w:r w:rsidR="00EF567E" w:rsidRPr="007A1206">
              <w:rPr>
                <w:rFonts w:ascii="Times New Roman" w:hAnsi="Times New Roman"/>
                <w:sz w:val="28"/>
                <w:szCs w:val="28"/>
                <w:lang w:val="sq-AL"/>
              </w:rPr>
              <w:t>ë</w:t>
            </w:r>
            <w:r w:rsidRPr="007A1206">
              <w:rPr>
                <w:rFonts w:ascii="Times New Roman" w:hAnsi="Times New Roman"/>
                <w:sz w:val="28"/>
                <w:szCs w:val="28"/>
                <w:lang w:val="sq-AL"/>
              </w:rPr>
              <w:t xml:space="preserve"> duhet të përfshihen në </w:t>
            </w:r>
            <w:r w:rsidR="00277A31" w:rsidRPr="007A1206">
              <w:rPr>
                <w:rFonts w:ascii="Times New Roman" w:hAnsi="Times New Roman"/>
                <w:sz w:val="28"/>
                <w:szCs w:val="28"/>
                <w:lang w:val="sq-AL"/>
              </w:rPr>
              <w:t>këtë</w:t>
            </w:r>
            <w:r w:rsidR="00A80ECE" w:rsidRPr="007A1206">
              <w:rPr>
                <w:rFonts w:ascii="Times New Roman" w:hAnsi="Times New Roman"/>
                <w:sz w:val="28"/>
                <w:szCs w:val="28"/>
                <w:lang w:val="sq-AL"/>
              </w:rPr>
              <w:t xml:space="preserve"> </w:t>
            </w:r>
            <w:r w:rsidR="00993D87" w:rsidRPr="007A1206">
              <w:rPr>
                <w:rFonts w:ascii="Times New Roman" w:hAnsi="Times New Roman"/>
                <w:sz w:val="28"/>
                <w:szCs w:val="28"/>
                <w:lang w:val="sq-AL"/>
              </w:rPr>
              <w:t>projektligj</w:t>
            </w:r>
            <w:r w:rsidRPr="007A1206">
              <w:rPr>
                <w:rFonts w:ascii="Times New Roman" w:hAnsi="Times New Roman"/>
                <w:sz w:val="28"/>
                <w:szCs w:val="28"/>
                <w:lang w:val="sq-AL"/>
              </w:rPr>
              <w:t>?</w:t>
            </w:r>
          </w:p>
          <w:p w14:paraId="3D4086F2" w14:textId="060D2F9E" w:rsidR="00E4497D" w:rsidRPr="007A1206" w:rsidRDefault="00E4497D" w:rsidP="002C19D9">
            <w:pPr>
              <w:widowControl w:val="0"/>
              <w:tabs>
                <w:tab w:val="left" w:pos="384"/>
              </w:tabs>
              <w:autoSpaceDE w:val="0"/>
              <w:autoSpaceDN w:val="0"/>
              <w:spacing w:before="1"/>
              <w:ind w:left="383" w:right="120"/>
              <w:rPr>
                <w:rFonts w:ascii="Times New Roman" w:hAnsi="Times New Roman"/>
                <w:sz w:val="28"/>
                <w:szCs w:val="28"/>
                <w:lang w:val="sq-AL"/>
              </w:rPr>
            </w:pPr>
          </w:p>
        </w:tc>
      </w:tr>
    </w:tbl>
    <w:p w14:paraId="6609AFC9" w14:textId="77777777" w:rsidR="00203E98" w:rsidRPr="007A1206" w:rsidRDefault="00203E98" w:rsidP="002C19D9">
      <w:pPr>
        <w:rPr>
          <w:rFonts w:ascii="Times New Roman" w:hAnsi="Times New Roman"/>
          <w:sz w:val="28"/>
          <w:szCs w:val="28"/>
          <w:lang w:val="sq-AL"/>
        </w:rPr>
      </w:pPr>
    </w:p>
    <w:p w14:paraId="2965CDC2" w14:textId="26B32FD5" w:rsidR="00203E98" w:rsidRPr="007A1206" w:rsidRDefault="00203E98" w:rsidP="002C19D9">
      <w:pPr>
        <w:rPr>
          <w:rFonts w:ascii="Times New Roman" w:hAnsi="Times New Roman"/>
          <w:sz w:val="28"/>
          <w:szCs w:val="28"/>
          <w:lang w:val="sq-AL"/>
        </w:rPr>
      </w:pPr>
    </w:p>
    <w:sectPr w:rsidR="00203E98" w:rsidRPr="007A1206" w:rsidSect="00237943">
      <w:pgSz w:w="11900" w:h="16840"/>
      <w:pgMar w:top="1170" w:right="1417" w:bottom="117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ヒラギノ角ゴ Pro W3">
    <w:altName w:val="MS Gothic"/>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0E22"/>
    <w:multiLevelType w:val="hybridMultilevel"/>
    <w:tmpl w:val="B9568D86"/>
    <w:lvl w:ilvl="0" w:tplc="D0E0D7B6">
      <w:start w:val="1"/>
      <w:numFmt w:val="bullet"/>
      <w:lvlText w:val="•"/>
      <w:lvlJc w:val="left"/>
      <w:pPr>
        <w:ind w:left="720" w:hanging="360"/>
      </w:pPr>
      <w:rPr>
        <w:rFonts w:ascii="Times New Roman" w:eastAsia="ヒラギノ角ゴ Pro W3"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18DE37CC"/>
    <w:multiLevelType w:val="hybridMultilevel"/>
    <w:tmpl w:val="7CBA507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1DDE1205"/>
    <w:multiLevelType w:val="hybridMultilevel"/>
    <w:tmpl w:val="14067C2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20410DD1"/>
    <w:multiLevelType w:val="multilevel"/>
    <w:tmpl w:val="929C0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DC0C9E"/>
    <w:multiLevelType w:val="multilevel"/>
    <w:tmpl w:val="07BE7694"/>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A96847"/>
    <w:multiLevelType w:val="multilevel"/>
    <w:tmpl w:val="79509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0031FA"/>
    <w:multiLevelType w:val="hybridMultilevel"/>
    <w:tmpl w:val="0E1CC50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35AC4351"/>
    <w:multiLevelType w:val="hybridMultilevel"/>
    <w:tmpl w:val="862249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654CE4"/>
    <w:multiLevelType w:val="multilevel"/>
    <w:tmpl w:val="537C129A"/>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BE08B6"/>
    <w:multiLevelType w:val="multilevel"/>
    <w:tmpl w:val="D4E04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900012"/>
    <w:multiLevelType w:val="hybridMultilevel"/>
    <w:tmpl w:val="5F12A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350C20"/>
    <w:multiLevelType w:val="multilevel"/>
    <w:tmpl w:val="BDEA315A"/>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723847"/>
    <w:multiLevelType w:val="multilevel"/>
    <w:tmpl w:val="FDE86042"/>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EE5C5C"/>
    <w:multiLevelType w:val="multilevel"/>
    <w:tmpl w:val="5FD6EE08"/>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D9C6D34"/>
    <w:multiLevelType w:val="multilevel"/>
    <w:tmpl w:val="65341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6669CF"/>
    <w:multiLevelType w:val="multilevel"/>
    <w:tmpl w:val="2E002912"/>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0B1592"/>
    <w:multiLevelType w:val="hybridMultilevel"/>
    <w:tmpl w:val="8A520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E0473C"/>
    <w:multiLevelType w:val="multilevel"/>
    <w:tmpl w:val="2E8C3774"/>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B4000D"/>
    <w:multiLevelType w:val="hybridMultilevel"/>
    <w:tmpl w:val="2766CA98"/>
    <w:lvl w:ilvl="0" w:tplc="D0E0D7B6">
      <w:start w:val="1"/>
      <w:numFmt w:val="bullet"/>
      <w:lvlText w:val="•"/>
      <w:lvlJc w:val="left"/>
      <w:pPr>
        <w:ind w:left="720" w:hanging="360"/>
      </w:pPr>
      <w:rPr>
        <w:rFonts w:ascii="Times New Roman" w:eastAsia="ヒラギノ角ゴ Pro W3"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69D43D0C"/>
    <w:multiLevelType w:val="multilevel"/>
    <w:tmpl w:val="829E5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28064F"/>
    <w:multiLevelType w:val="multilevel"/>
    <w:tmpl w:val="7D0A6D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9937EA"/>
    <w:multiLevelType w:val="hybridMultilevel"/>
    <w:tmpl w:val="6F64ABFE"/>
    <w:lvl w:ilvl="0" w:tplc="9D567A5A">
      <w:numFmt w:val="bullet"/>
      <w:lvlText w:val="•"/>
      <w:lvlJc w:val="left"/>
      <w:pPr>
        <w:ind w:left="1080" w:hanging="72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61C71E9"/>
    <w:multiLevelType w:val="multilevel"/>
    <w:tmpl w:val="B5D2C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D03DE8"/>
    <w:multiLevelType w:val="multilevel"/>
    <w:tmpl w:val="3850D8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74560">
    <w:abstractNumId w:val="10"/>
  </w:num>
  <w:num w:numId="2" w16cid:durableId="1725635217">
    <w:abstractNumId w:val="16"/>
  </w:num>
  <w:num w:numId="3" w16cid:durableId="758676726">
    <w:abstractNumId w:val="7"/>
  </w:num>
  <w:num w:numId="4" w16cid:durableId="2068994412">
    <w:abstractNumId w:val="21"/>
  </w:num>
  <w:num w:numId="5" w16cid:durableId="888884470">
    <w:abstractNumId w:val="13"/>
  </w:num>
  <w:num w:numId="6" w16cid:durableId="940844831">
    <w:abstractNumId w:val="20"/>
  </w:num>
  <w:num w:numId="7" w16cid:durableId="2089693216">
    <w:abstractNumId w:val="8"/>
  </w:num>
  <w:num w:numId="8" w16cid:durableId="29428248">
    <w:abstractNumId w:val="17"/>
  </w:num>
  <w:num w:numId="9" w16cid:durableId="1522623313">
    <w:abstractNumId w:val="11"/>
  </w:num>
  <w:num w:numId="10" w16cid:durableId="1982228815">
    <w:abstractNumId w:val="15"/>
  </w:num>
  <w:num w:numId="11" w16cid:durableId="928387975">
    <w:abstractNumId w:val="4"/>
  </w:num>
  <w:num w:numId="12" w16cid:durableId="1301420541">
    <w:abstractNumId w:val="12"/>
  </w:num>
  <w:num w:numId="13" w16cid:durableId="1338994838">
    <w:abstractNumId w:val="6"/>
  </w:num>
  <w:num w:numId="14" w16cid:durableId="360252455">
    <w:abstractNumId w:val="2"/>
  </w:num>
  <w:num w:numId="15" w16cid:durableId="2040623784">
    <w:abstractNumId w:val="23"/>
  </w:num>
  <w:num w:numId="16" w16cid:durableId="253511906">
    <w:abstractNumId w:val="14"/>
  </w:num>
  <w:num w:numId="17" w16cid:durableId="57829634">
    <w:abstractNumId w:val="22"/>
  </w:num>
  <w:num w:numId="18" w16cid:durableId="945506130">
    <w:abstractNumId w:val="19"/>
  </w:num>
  <w:num w:numId="19" w16cid:durableId="1795362974">
    <w:abstractNumId w:val="3"/>
  </w:num>
  <w:num w:numId="20" w16cid:durableId="1022047532">
    <w:abstractNumId w:val="5"/>
  </w:num>
  <w:num w:numId="21" w16cid:durableId="663700167">
    <w:abstractNumId w:val="18"/>
  </w:num>
  <w:num w:numId="22" w16cid:durableId="1468006528">
    <w:abstractNumId w:val="0"/>
  </w:num>
  <w:num w:numId="23" w16cid:durableId="198587715">
    <w:abstractNumId w:val="9"/>
  </w:num>
  <w:num w:numId="24" w16cid:durableId="25043111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5CA"/>
    <w:rsid w:val="000027D9"/>
    <w:rsid w:val="00020D9C"/>
    <w:rsid w:val="00026DDC"/>
    <w:rsid w:val="0003493C"/>
    <w:rsid w:val="00044810"/>
    <w:rsid w:val="00052752"/>
    <w:rsid w:val="00055DE8"/>
    <w:rsid w:val="00061727"/>
    <w:rsid w:val="0006546C"/>
    <w:rsid w:val="0007000D"/>
    <w:rsid w:val="0007347E"/>
    <w:rsid w:val="00074DE1"/>
    <w:rsid w:val="00087972"/>
    <w:rsid w:val="00092682"/>
    <w:rsid w:val="000A0329"/>
    <w:rsid w:val="000B4ADF"/>
    <w:rsid w:val="000C3DE2"/>
    <w:rsid w:val="000E284B"/>
    <w:rsid w:val="000E2F9F"/>
    <w:rsid w:val="00101F09"/>
    <w:rsid w:val="00103C86"/>
    <w:rsid w:val="001077A7"/>
    <w:rsid w:val="00144A90"/>
    <w:rsid w:val="00154067"/>
    <w:rsid w:val="001603EE"/>
    <w:rsid w:val="00163AAF"/>
    <w:rsid w:val="00172C76"/>
    <w:rsid w:val="0017437B"/>
    <w:rsid w:val="00185354"/>
    <w:rsid w:val="001A7984"/>
    <w:rsid w:val="001E40DB"/>
    <w:rsid w:val="001E4573"/>
    <w:rsid w:val="001F2C78"/>
    <w:rsid w:val="00203C7D"/>
    <w:rsid w:val="00203E98"/>
    <w:rsid w:val="00206A93"/>
    <w:rsid w:val="002310D5"/>
    <w:rsid w:val="0023335B"/>
    <w:rsid w:val="00237943"/>
    <w:rsid w:val="00243ED7"/>
    <w:rsid w:val="002477BC"/>
    <w:rsid w:val="002726E3"/>
    <w:rsid w:val="00277A31"/>
    <w:rsid w:val="00284BB2"/>
    <w:rsid w:val="002A2504"/>
    <w:rsid w:val="002B048F"/>
    <w:rsid w:val="002C19D9"/>
    <w:rsid w:val="002C3679"/>
    <w:rsid w:val="002D3F25"/>
    <w:rsid w:val="002E181A"/>
    <w:rsid w:val="002E53FF"/>
    <w:rsid w:val="002E7E3C"/>
    <w:rsid w:val="002F0D44"/>
    <w:rsid w:val="003315E9"/>
    <w:rsid w:val="00334CD0"/>
    <w:rsid w:val="003435BD"/>
    <w:rsid w:val="00343EA7"/>
    <w:rsid w:val="00361D15"/>
    <w:rsid w:val="003708D4"/>
    <w:rsid w:val="00375A36"/>
    <w:rsid w:val="00383384"/>
    <w:rsid w:val="00383D55"/>
    <w:rsid w:val="00383F0A"/>
    <w:rsid w:val="00384D29"/>
    <w:rsid w:val="00392518"/>
    <w:rsid w:val="003A291A"/>
    <w:rsid w:val="003B410B"/>
    <w:rsid w:val="003F4071"/>
    <w:rsid w:val="004046E2"/>
    <w:rsid w:val="00417891"/>
    <w:rsid w:val="004318B1"/>
    <w:rsid w:val="00433F2F"/>
    <w:rsid w:val="004429B3"/>
    <w:rsid w:val="00453FEB"/>
    <w:rsid w:val="00454C25"/>
    <w:rsid w:val="00457BA0"/>
    <w:rsid w:val="00463C25"/>
    <w:rsid w:val="004806C6"/>
    <w:rsid w:val="00483750"/>
    <w:rsid w:val="004955FD"/>
    <w:rsid w:val="004978EE"/>
    <w:rsid w:val="004A34AE"/>
    <w:rsid w:val="004A562E"/>
    <w:rsid w:val="004A5FFE"/>
    <w:rsid w:val="004C0574"/>
    <w:rsid w:val="004C5AE2"/>
    <w:rsid w:val="004C63CC"/>
    <w:rsid w:val="004D630F"/>
    <w:rsid w:val="004E24EE"/>
    <w:rsid w:val="005039A6"/>
    <w:rsid w:val="00505509"/>
    <w:rsid w:val="00515A22"/>
    <w:rsid w:val="00524E31"/>
    <w:rsid w:val="0052547A"/>
    <w:rsid w:val="005302D6"/>
    <w:rsid w:val="00546100"/>
    <w:rsid w:val="00554255"/>
    <w:rsid w:val="005551EC"/>
    <w:rsid w:val="00561566"/>
    <w:rsid w:val="00574E6C"/>
    <w:rsid w:val="005942E3"/>
    <w:rsid w:val="00596E1F"/>
    <w:rsid w:val="00597D72"/>
    <w:rsid w:val="005C53DA"/>
    <w:rsid w:val="005D01F9"/>
    <w:rsid w:val="005D67CE"/>
    <w:rsid w:val="0060245B"/>
    <w:rsid w:val="0061742F"/>
    <w:rsid w:val="00621127"/>
    <w:rsid w:val="006231E6"/>
    <w:rsid w:val="006239D6"/>
    <w:rsid w:val="00645549"/>
    <w:rsid w:val="00647695"/>
    <w:rsid w:val="006632E2"/>
    <w:rsid w:val="00666B0D"/>
    <w:rsid w:val="006926B6"/>
    <w:rsid w:val="00696F40"/>
    <w:rsid w:val="006B08CA"/>
    <w:rsid w:val="006B2424"/>
    <w:rsid w:val="006B5C5F"/>
    <w:rsid w:val="006B71DE"/>
    <w:rsid w:val="0070191D"/>
    <w:rsid w:val="00720851"/>
    <w:rsid w:val="00731B03"/>
    <w:rsid w:val="00744857"/>
    <w:rsid w:val="00745FB4"/>
    <w:rsid w:val="00760432"/>
    <w:rsid w:val="0076075D"/>
    <w:rsid w:val="007765B7"/>
    <w:rsid w:val="007817F3"/>
    <w:rsid w:val="00785430"/>
    <w:rsid w:val="00786CDA"/>
    <w:rsid w:val="007A1206"/>
    <w:rsid w:val="007A3520"/>
    <w:rsid w:val="007B25CB"/>
    <w:rsid w:val="007B4AD9"/>
    <w:rsid w:val="007C18CB"/>
    <w:rsid w:val="007F3499"/>
    <w:rsid w:val="00803493"/>
    <w:rsid w:val="00805C10"/>
    <w:rsid w:val="008130DA"/>
    <w:rsid w:val="00826133"/>
    <w:rsid w:val="00836EE0"/>
    <w:rsid w:val="008535A2"/>
    <w:rsid w:val="008675CA"/>
    <w:rsid w:val="0089476B"/>
    <w:rsid w:val="0089745D"/>
    <w:rsid w:val="008C4FD5"/>
    <w:rsid w:val="008C64CB"/>
    <w:rsid w:val="008F0DBA"/>
    <w:rsid w:val="00902467"/>
    <w:rsid w:val="00930D14"/>
    <w:rsid w:val="009318AF"/>
    <w:rsid w:val="00957E1F"/>
    <w:rsid w:val="00991965"/>
    <w:rsid w:val="00993D87"/>
    <w:rsid w:val="00994C29"/>
    <w:rsid w:val="009C2E02"/>
    <w:rsid w:val="009C5F77"/>
    <w:rsid w:val="009F0195"/>
    <w:rsid w:val="009F0CCD"/>
    <w:rsid w:val="00A05359"/>
    <w:rsid w:val="00A07789"/>
    <w:rsid w:val="00A46A11"/>
    <w:rsid w:val="00A46EDE"/>
    <w:rsid w:val="00A6137F"/>
    <w:rsid w:val="00A73EFE"/>
    <w:rsid w:val="00A80ECE"/>
    <w:rsid w:val="00A86E98"/>
    <w:rsid w:val="00A920C8"/>
    <w:rsid w:val="00A9244E"/>
    <w:rsid w:val="00AC4D67"/>
    <w:rsid w:val="00AC722E"/>
    <w:rsid w:val="00AD3F9B"/>
    <w:rsid w:val="00AD4479"/>
    <w:rsid w:val="00AE266B"/>
    <w:rsid w:val="00AF5895"/>
    <w:rsid w:val="00B0093C"/>
    <w:rsid w:val="00B05910"/>
    <w:rsid w:val="00B11C82"/>
    <w:rsid w:val="00B16A46"/>
    <w:rsid w:val="00B21675"/>
    <w:rsid w:val="00B76E89"/>
    <w:rsid w:val="00B82C4C"/>
    <w:rsid w:val="00B87EE9"/>
    <w:rsid w:val="00B93DDC"/>
    <w:rsid w:val="00BB066B"/>
    <w:rsid w:val="00BB262B"/>
    <w:rsid w:val="00BB2BFF"/>
    <w:rsid w:val="00BB479B"/>
    <w:rsid w:val="00BD2CC2"/>
    <w:rsid w:val="00BF2355"/>
    <w:rsid w:val="00BF6669"/>
    <w:rsid w:val="00BF7C94"/>
    <w:rsid w:val="00C216BA"/>
    <w:rsid w:val="00C24684"/>
    <w:rsid w:val="00C4217F"/>
    <w:rsid w:val="00C52325"/>
    <w:rsid w:val="00C57907"/>
    <w:rsid w:val="00C60DE2"/>
    <w:rsid w:val="00C64006"/>
    <w:rsid w:val="00C70AE0"/>
    <w:rsid w:val="00C87D70"/>
    <w:rsid w:val="00CA71FF"/>
    <w:rsid w:val="00CB062B"/>
    <w:rsid w:val="00CB0BE7"/>
    <w:rsid w:val="00CB13AC"/>
    <w:rsid w:val="00CC3D10"/>
    <w:rsid w:val="00CC56CF"/>
    <w:rsid w:val="00CD3912"/>
    <w:rsid w:val="00CD79AE"/>
    <w:rsid w:val="00CF6D16"/>
    <w:rsid w:val="00D051C6"/>
    <w:rsid w:val="00D0544D"/>
    <w:rsid w:val="00D06CBA"/>
    <w:rsid w:val="00D11EF8"/>
    <w:rsid w:val="00D14CB7"/>
    <w:rsid w:val="00D3153E"/>
    <w:rsid w:val="00D36D6C"/>
    <w:rsid w:val="00D45127"/>
    <w:rsid w:val="00D55724"/>
    <w:rsid w:val="00D61801"/>
    <w:rsid w:val="00D67874"/>
    <w:rsid w:val="00D75573"/>
    <w:rsid w:val="00D9357B"/>
    <w:rsid w:val="00DA3BF8"/>
    <w:rsid w:val="00DA7378"/>
    <w:rsid w:val="00DC24E3"/>
    <w:rsid w:val="00DE1DCB"/>
    <w:rsid w:val="00E069FA"/>
    <w:rsid w:val="00E27A78"/>
    <w:rsid w:val="00E42CA5"/>
    <w:rsid w:val="00E4497D"/>
    <w:rsid w:val="00E468D5"/>
    <w:rsid w:val="00E46FDB"/>
    <w:rsid w:val="00E5310E"/>
    <w:rsid w:val="00E54C97"/>
    <w:rsid w:val="00E5604D"/>
    <w:rsid w:val="00E93594"/>
    <w:rsid w:val="00EB47AB"/>
    <w:rsid w:val="00EC1CFE"/>
    <w:rsid w:val="00ED16BC"/>
    <w:rsid w:val="00EE585C"/>
    <w:rsid w:val="00EF567E"/>
    <w:rsid w:val="00EF5B88"/>
    <w:rsid w:val="00EF6997"/>
    <w:rsid w:val="00F020DD"/>
    <w:rsid w:val="00F04DE4"/>
    <w:rsid w:val="00F05301"/>
    <w:rsid w:val="00F05EC4"/>
    <w:rsid w:val="00F2467C"/>
    <w:rsid w:val="00F34765"/>
    <w:rsid w:val="00F378E5"/>
    <w:rsid w:val="00F45F0A"/>
    <w:rsid w:val="00F46442"/>
    <w:rsid w:val="00F8037C"/>
    <w:rsid w:val="00F84ECB"/>
    <w:rsid w:val="00F960CC"/>
    <w:rsid w:val="00F97BAB"/>
    <w:rsid w:val="00FA3DFD"/>
    <w:rsid w:val="00FB3326"/>
    <w:rsid w:val="00FC3DD2"/>
    <w:rsid w:val="00FD4B47"/>
    <w:rsid w:val="00FE0711"/>
    <w:rsid w:val="00FE0F4D"/>
    <w:rsid w:val="00FE3A8D"/>
    <w:rsid w:val="00FF33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60E40"/>
  <w15:docId w15:val="{1FD235AA-ACD7-1B4C-A872-781FDF7B5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hr-HR"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675CA"/>
    <w:rPr>
      <w:rFonts w:ascii="Arial" w:eastAsia="Times New Roman" w:hAnsi="Arial" w:cs="Times New Roman"/>
      <w:sz w:val="22"/>
      <w:szCs w:val="20"/>
      <w:lang w:val="en-GB"/>
    </w:rPr>
  </w:style>
  <w:style w:type="paragraph" w:styleId="Heading1">
    <w:name w:val="heading 1"/>
    <w:basedOn w:val="Normal"/>
    <w:next w:val="Normal"/>
    <w:link w:val="Heading1Char"/>
    <w:uiPriority w:val="1"/>
    <w:qFormat/>
    <w:rsid w:val="00957E1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675CA"/>
    <w:pPr>
      <w:keepNext/>
      <w:keepLines/>
      <w:tabs>
        <w:tab w:val="left" w:pos="567"/>
      </w:tabs>
      <w:spacing w:before="240" w:after="240"/>
      <w:ind w:left="567" w:hanging="567"/>
      <w:outlineLvl w:val="1"/>
    </w:pPr>
    <w:rPr>
      <w:rFonts w:ascii="Calibri" w:hAnsi="Calibri"/>
      <w:b/>
      <w:bCs/>
      <w:i/>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75CA"/>
    <w:rPr>
      <w:rFonts w:ascii="Calibri" w:eastAsia="Times New Roman" w:hAnsi="Calibri" w:cs="Times New Roman"/>
      <w:b/>
      <w:bCs/>
      <w:i/>
      <w:szCs w:val="26"/>
      <w:lang w:val="en-GB"/>
    </w:rPr>
  </w:style>
  <w:style w:type="paragraph" w:styleId="BodyText">
    <w:name w:val="Body Text"/>
    <w:basedOn w:val="Normal"/>
    <w:link w:val="BodyTextChar"/>
    <w:uiPriority w:val="1"/>
    <w:unhideWhenUsed/>
    <w:qFormat/>
    <w:rsid w:val="008675CA"/>
    <w:pPr>
      <w:tabs>
        <w:tab w:val="left" w:pos="567"/>
      </w:tabs>
      <w:spacing w:after="120"/>
    </w:pPr>
    <w:rPr>
      <w:rFonts w:ascii="Calibri" w:hAnsi="Calibri"/>
    </w:rPr>
  </w:style>
  <w:style w:type="character" w:customStyle="1" w:styleId="BodyTextChar">
    <w:name w:val="Body Text Char"/>
    <w:basedOn w:val="DefaultParagraphFont"/>
    <w:link w:val="BodyText"/>
    <w:uiPriority w:val="1"/>
    <w:rsid w:val="008675CA"/>
    <w:rPr>
      <w:rFonts w:ascii="Calibri" w:eastAsia="Times New Roman" w:hAnsi="Calibri" w:cs="Times New Roman"/>
      <w:sz w:val="22"/>
      <w:szCs w:val="20"/>
      <w:lang w:val="en-GB"/>
    </w:rPr>
  </w:style>
  <w:style w:type="paragraph" w:styleId="BalloonText">
    <w:name w:val="Balloon Text"/>
    <w:basedOn w:val="Normal"/>
    <w:link w:val="BalloonTextChar"/>
    <w:uiPriority w:val="99"/>
    <w:semiHidden/>
    <w:unhideWhenUsed/>
    <w:rsid w:val="008675CA"/>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8675CA"/>
    <w:rPr>
      <w:rFonts w:ascii="Times New Roman" w:eastAsia="Times New Roman" w:hAnsi="Times New Roman" w:cs="Times New Roman"/>
      <w:sz w:val="18"/>
      <w:szCs w:val="18"/>
      <w:lang w:val="en-GB"/>
    </w:rPr>
  </w:style>
  <w:style w:type="character" w:styleId="Hyperlink">
    <w:name w:val="Hyperlink"/>
    <w:basedOn w:val="DefaultParagraphFont"/>
    <w:uiPriority w:val="99"/>
    <w:unhideWhenUsed/>
    <w:rsid w:val="00B0093C"/>
    <w:rPr>
      <w:color w:val="0563C1" w:themeColor="hyperlink"/>
      <w:u w:val="single"/>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Normal 1"/>
    <w:basedOn w:val="Normal"/>
    <w:link w:val="ListParagraphChar"/>
    <w:uiPriority w:val="34"/>
    <w:qFormat/>
    <w:rsid w:val="00DE1DCB"/>
    <w:pPr>
      <w:tabs>
        <w:tab w:val="left" w:pos="567"/>
      </w:tabs>
      <w:spacing w:after="120"/>
      <w:ind w:left="567" w:hanging="567"/>
    </w:pPr>
    <w:rPr>
      <w:rFonts w:ascii="Calibri" w:hAnsi="Calibri"/>
      <w:lang w:eastAsia="en-GB"/>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DE1DCB"/>
    <w:rPr>
      <w:rFonts w:ascii="Calibri" w:eastAsia="Times New Roman" w:hAnsi="Calibri" w:cs="Times New Roman"/>
      <w:sz w:val="22"/>
      <w:szCs w:val="20"/>
      <w:lang w:val="en-GB" w:eastAsia="en-GB"/>
    </w:rPr>
  </w:style>
  <w:style w:type="character" w:styleId="CommentReference">
    <w:name w:val="annotation reference"/>
    <w:basedOn w:val="DefaultParagraphFont"/>
    <w:uiPriority w:val="99"/>
    <w:semiHidden/>
    <w:unhideWhenUsed/>
    <w:rsid w:val="004046E2"/>
    <w:rPr>
      <w:sz w:val="16"/>
      <w:szCs w:val="16"/>
    </w:rPr>
  </w:style>
  <w:style w:type="paragraph" w:styleId="CommentText">
    <w:name w:val="annotation text"/>
    <w:basedOn w:val="Normal"/>
    <w:link w:val="CommentTextChar"/>
    <w:uiPriority w:val="99"/>
    <w:unhideWhenUsed/>
    <w:rsid w:val="004046E2"/>
    <w:rPr>
      <w:sz w:val="20"/>
    </w:rPr>
  </w:style>
  <w:style w:type="character" w:customStyle="1" w:styleId="CommentTextChar">
    <w:name w:val="Comment Text Char"/>
    <w:basedOn w:val="DefaultParagraphFont"/>
    <w:link w:val="CommentText"/>
    <w:uiPriority w:val="99"/>
    <w:rsid w:val="004046E2"/>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046E2"/>
    <w:rPr>
      <w:b/>
      <w:bCs/>
    </w:rPr>
  </w:style>
  <w:style w:type="character" w:customStyle="1" w:styleId="CommentSubjectChar">
    <w:name w:val="Comment Subject Char"/>
    <w:basedOn w:val="CommentTextChar"/>
    <w:link w:val="CommentSubject"/>
    <w:uiPriority w:val="99"/>
    <w:semiHidden/>
    <w:rsid w:val="004046E2"/>
    <w:rPr>
      <w:rFonts w:ascii="Arial" w:eastAsia="Times New Roman" w:hAnsi="Arial" w:cs="Times New Roman"/>
      <w:b/>
      <w:bCs/>
      <w:sz w:val="20"/>
      <w:szCs w:val="20"/>
      <w:lang w:val="en-GB"/>
    </w:rPr>
  </w:style>
  <w:style w:type="character" w:customStyle="1" w:styleId="UnresolvedMention1">
    <w:name w:val="Unresolved Mention1"/>
    <w:basedOn w:val="DefaultParagraphFont"/>
    <w:uiPriority w:val="99"/>
    <w:semiHidden/>
    <w:unhideWhenUsed/>
    <w:rsid w:val="005D67CE"/>
    <w:rPr>
      <w:color w:val="605E5C"/>
      <w:shd w:val="clear" w:color="auto" w:fill="E1DFDD"/>
    </w:rPr>
  </w:style>
  <w:style w:type="character" w:customStyle="1" w:styleId="Heading1Char">
    <w:name w:val="Heading 1 Char"/>
    <w:basedOn w:val="DefaultParagraphFont"/>
    <w:link w:val="Heading1"/>
    <w:uiPriority w:val="1"/>
    <w:rsid w:val="00957E1F"/>
    <w:rPr>
      <w:rFonts w:asciiTheme="majorHAnsi" w:eastAsiaTheme="majorEastAsia" w:hAnsiTheme="majorHAnsi" w:cstheme="majorBidi"/>
      <w:color w:val="2F5496" w:themeColor="accent1" w:themeShade="BF"/>
      <w:sz w:val="32"/>
      <w:szCs w:val="32"/>
      <w:lang w:val="en-GB"/>
    </w:rPr>
  </w:style>
  <w:style w:type="numbering" w:customStyle="1" w:styleId="NoList1">
    <w:name w:val="No List1"/>
    <w:next w:val="NoList"/>
    <w:uiPriority w:val="99"/>
    <w:semiHidden/>
    <w:unhideWhenUsed/>
    <w:rsid w:val="00957E1F"/>
  </w:style>
  <w:style w:type="paragraph" w:customStyle="1" w:styleId="TableParagraph">
    <w:name w:val="Table Paragraph"/>
    <w:basedOn w:val="Normal"/>
    <w:uiPriority w:val="1"/>
    <w:qFormat/>
    <w:rsid w:val="00957E1F"/>
    <w:pPr>
      <w:widowControl w:val="0"/>
      <w:autoSpaceDE w:val="0"/>
      <w:autoSpaceDN w:val="0"/>
    </w:pPr>
    <w:rPr>
      <w:rFonts w:ascii="Times New Roman" w:hAnsi="Times New Roman"/>
      <w:szCs w:val="22"/>
      <w:lang w:val="sq-AL"/>
    </w:rPr>
  </w:style>
  <w:style w:type="paragraph" w:customStyle="1" w:styleId="Default">
    <w:name w:val="Default"/>
    <w:rsid w:val="00957E1F"/>
    <w:pPr>
      <w:autoSpaceDE w:val="0"/>
      <w:autoSpaceDN w:val="0"/>
      <w:adjustRightInd w:val="0"/>
    </w:pPr>
    <w:rPr>
      <w:rFonts w:ascii="Times New Roman" w:eastAsia="Times New Roman" w:hAnsi="Times New Roman" w:cs="Times New Roman"/>
      <w:color w:val="000000"/>
      <w:lang w:val="en-US"/>
    </w:rPr>
  </w:style>
  <w:style w:type="paragraph" w:styleId="Header">
    <w:name w:val="header"/>
    <w:basedOn w:val="Normal"/>
    <w:link w:val="HeaderChar"/>
    <w:uiPriority w:val="99"/>
    <w:unhideWhenUsed/>
    <w:rsid w:val="00957E1F"/>
    <w:pPr>
      <w:widowControl w:val="0"/>
      <w:tabs>
        <w:tab w:val="center" w:pos="4513"/>
        <w:tab w:val="right" w:pos="9026"/>
      </w:tabs>
      <w:autoSpaceDE w:val="0"/>
      <w:autoSpaceDN w:val="0"/>
    </w:pPr>
    <w:rPr>
      <w:rFonts w:ascii="Times New Roman" w:hAnsi="Times New Roman"/>
      <w:szCs w:val="22"/>
      <w:lang w:val="sq-AL"/>
    </w:rPr>
  </w:style>
  <w:style w:type="character" w:customStyle="1" w:styleId="HeaderChar">
    <w:name w:val="Header Char"/>
    <w:basedOn w:val="DefaultParagraphFont"/>
    <w:link w:val="Header"/>
    <w:uiPriority w:val="99"/>
    <w:rsid w:val="00957E1F"/>
    <w:rPr>
      <w:rFonts w:ascii="Times New Roman" w:eastAsia="Times New Roman" w:hAnsi="Times New Roman" w:cs="Times New Roman"/>
      <w:sz w:val="22"/>
      <w:szCs w:val="22"/>
      <w:lang w:val="sq-AL"/>
    </w:rPr>
  </w:style>
  <w:style w:type="paragraph" w:styleId="Footer">
    <w:name w:val="footer"/>
    <w:basedOn w:val="Normal"/>
    <w:link w:val="FooterChar"/>
    <w:uiPriority w:val="99"/>
    <w:unhideWhenUsed/>
    <w:rsid w:val="00957E1F"/>
    <w:pPr>
      <w:widowControl w:val="0"/>
      <w:tabs>
        <w:tab w:val="center" w:pos="4513"/>
        <w:tab w:val="right" w:pos="9026"/>
      </w:tabs>
      <w:autoSpaceDE w:val="0"/>
      <w:autoSpaceDN w:val="0"/>
    </w:pPr>
    <w:rPr>
      <w:rFonts w:ascii="Times New Roman" w:hAnsi="Times New Roman"/>
      <w:szCs w:val="22"/>
      <w:lang w:val="sq-AL"/>
    </w:rPr>
  </w:style>
  <w:style w:type="character" w:customStyle="1" w:styleId="FooterChar">
    <w:name w:val="Footer Char"/>
    <w:basedOn w:val="DefaultParagraphFont"/>
    <w:link w:val="Footer"/>
    <w:uiPriority w:val="99"/>
    <w:rsid w:val="00957E1F"/>
    <w:rPr>
      <w:rFonts w:ascii="Times New Roman" w:eastAsia="Times New Roman" w:hAnsi="Times New Roman" w:cs="Times New Roman"/>
      <w:sz w:val="22"/>
      <w:szCs w:val="22"/>
      <w:lang w:val="sq-AL"/>
    </w:rPr>
  </w:style>
  <w:style w:type="character" w:customStyle="1" w:styleId="fontstyle01">
    <w:name w:val="fontstyle01"/>
    <w:rsid w:val="00957E1F"/>
    <w:rPr>
      <w:rFonts w:ascii="Garamond" w:hAnsi="Garamond" w:hint="default"/>
      <w:b w:val="0"/>
      <w:bCs w:val="0"/>
      <w:i w:val="0"/>
      <w:iCs w:val="0"/>
      <w:color w:val="000000"/>
      <w:sz w:val="24"/>
      <w:szCs w:val="24"/>
    </w:rPr>
  </w:style>
  <w:style w:type="paragraph" w:styleId="Revision">
    <w:name w:val="Revision"/>
    <w:hidden/>
    <w:uiPriority w:val="99"/>
    <w:semiHidden/>
    <w:rsid w:val="00957E1F"/>
    <w:rPr>
      <w:rFonts w:ascii="Times New Roman" w:eastAsia="Times New Roman" w:hAnsi="Times New Roman" w:cs="Times New Roman"/>
      <w:sz w:val="22"/>
      <w:szCs w:val="22"/>
      <w:lang w:val="sq-AL"/>
    </w:rPr>
  </w:style>
  <w:style w:type="character" w:customStyle="1" w:styleId="fontstyle21">
    <w:name w:val="fontstyle21"/>
    <w:rsid w:val="00957E1F"/>
    <w:rPr>
      <w:rFonts w:ascii="TimesNewRomanPS-BoldMT" w:hAnsi="TimesNewRomanPS-BoldMT" w:hint="default"/>
      <w:b/>
      <w:bCs/>
      <w:i w:val="0"/>
      <w:iCs w:val="0"/>
      <w:color w:val="000000"/>
      <w:sz w:val="24"/>
      <w:szCs w:val="24"/>
    </w:rPr>
  </w:style>
  <w:style w:type="numbering" w:customStyle="1" w:styleId="NoList2">
    <w:name w:val="No List2"/>
    <w:next w:val="NoList"/>
    <w:uiPriority w:val="99"/>
    <w:semiHidden/>
    <w:unhideWhenUsed/>
    <w:rsid w:val="00B16A46"/>
  </w:style>
  <w:style w:type="paragraph" w:styleId="NoSpacing">
    <w:name w:val="No Spacing"/>
    <w:uiPriority w:val="1"/>
    <w:qFormat/>
    <w:rsid w:val="00163AAF"/>
    <w:rPr>
      <w:rFonts w:ascii="Arial" w:eastAsia="Times New Roman" w:hAnsi="Arial" w:cs="Times New Roman"/>
      <w:sz w:val="22"/>
      <w:szCs w:val="20"/>
      <w:lang w:val="sq-AL"/>
    </w:rPr>
  </w:style>
  <w:style w:type="paragraph" w:styleId="NormalWeb">
    <w:name w:val="Normal (Web)"/>
    <w:basedOn w:val="Normal"/>
    <w:uiPriority w:val="99"/>
    <w:unhideWhenUsed/>
    <w:rsid w:val="00BF6669"/>
    <w:rPr>
      <w:rFonts w:ascii="Times New Roman" w:eastAsia="Calibri" w:hAnsi="Times New Roman"/>
      <w:sz w:val="24"/>
      <w:szCs w:val="24"/>
      <w:lang w:val="en-US"/>
    </w:rPr>
  </w:style>
  <w:style w:type="character" w:styleId="Strong">
    <w:name w:val="Strong"/>
    <w:uiPriority w:val="22"/>
    <w:qFormat/>
    <w:rsid w:val="00BF6669"/>
    <w:rPr>
      <w:b/>
      <w:bCs/>
    </w:rPr>
  </w:style>
  <w:style w:type="character" w:styleId="UnresolvedMention">
    <w:name w:val="Unresolved Mention"/>
    <w:basedOn w:val="DefaultParagraphFont"/>
    <w:uiPriority w:val="99"/>
    <w:semiHidden/>
    <w:unhideWhenUsed/>
    <w:rsid w:val="00524E31"/>
    <w:rPr>
      <w:color w:val="605E5C"/>
      <w:shd w:val="clear" w:color="auto" w:fill="E1DFDD"/>
    </w:rPr>
  </w:style>
  <w:style w:type="character" w:customStyle="1" w:styleId="Bodytext2">
    <w:name w:val="Body text (2)_"/>
    <w:link w:val="Bodytext20"/>
    <w:rsid w:val="00546100"/>
    <w:rPr>
      <w:rFonts w:ascii="Garamond" w:eastAsia="Garamond" w:hAnsi="Garamond" w:cs="Garamond"/>
      <w:shd w:val="clear" w:color="auto" w:fill="FFFFFF"/>
    </w:rPr>
  </w:style>
  <w:style w:type="paragraph" w:customStyle="1" w:styleId="Bodytext20">
    <w:name w:val="Body text (2)"/>
    <w:basedOn w:val="Normal"/>
    <w:link w:val="Bodytext2"/>
    <w:rsid w:val="00546100"/>
    <w:pPr>
      <w:widowControl w:val="0"/>
      <w:shd w:val="clear" w:color="auto" w:fill="FFFFFF"/>
      <w:spacing w:before="120" w:line="269" w:lineRule="exact"/>
      <w:jc w:val="both"/>
    </w:pPr>
    <w:rPr>
      <w:rFonts w:ascii="Garamond" w:eastAsia="Garamond" w:hAnsi="Garamond" w:cs="Garamond"/>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352263">
      <w:bodyDiv w:val="1"/>
      <w:marLeft w:val="0"/>
      <w:marRight w:val="0"/>
      <w:marTop w:val="0"/>
      <w:marBottom w:val="0"/>
      <w:divBdr>
        <w:top w:val="none" w:sz="0" w:space="0" w:color="auto"/>
        <w:left w:val="none" w:sz="0" w:space="0" w:color="auto"/>
        <w:bottom w:val="none" w:sz="0" w:space="0" w:color="auto"/>
        <w:right w:val="none" w:sz="0" w:space="0" w:color="auto"/>
      </w:divBdr>
    </w:div>
    <w:div w:id="933703811">
      <w:bodyDiv w:val="1"/>
      <w:marLeft w:val="0"/>
      <w:marRight w:val="0"/>
      <w:marTop w:val="0"/>
      <w:marBottom w:val="0"/>
      <w:divBdr>
        <w:top w:val="none" w:sz="0" w:space="0" w:color="auto"/>
        <w:left w:val="none" w:sz="0" w:space="0" w:color="auto"/>
        <w:bottom w:val="none" w:sz="0" w:space="0" w:color="auto"/>
        <w:right w:val="none" w:sz="0" w:space="0" w:color="auto"/>
      </w:divBdr>
    </w:div>
    <w:div w:id="1285692908">
      <w:bodyDiv w:val="1"/>
      <w:marLeft w:val="0"/>
      <w:marRight w:val="0"/>
      <w:marTop w:val="0"/>
      <w:marBottom w:val="0"/>
      <w:divBdr>
        <w:top w:val="none" w:sz="0" w:space="0" w:color="auto"/>
        <w:left w:val="none" w:sz="0" w:space="0" w:color="auto"/>
        <w:bottom w:val="none" w:sz="0" w:space="0" w:color="auto"/>
        <w:right w:val="none" w:sz="0" w:space="0" w:color="auto"/>
      </w:divBdr>
    </w:div>
    <w:div w:id="1344094335">
      <w:bodyDiv w:val="1"/>
      <w:marLeft w:val="0"/>
      <w:marRight w:val="0"/>
      <w:marTop w:val="0"/>
      <w:marBottom w:val="0"/>
      <w:divBdr>
        <w:top w:val="none" w:sz="0" w:space="0" w:color="auto"/>
        <w:left w:val="none" w:sz="0" w:space="0" w:color="auto"/>
        <w:bottom w:val="none" w:sz="0" w:space="0" w:color="auto"/>
        <w:right w:val="none" w:sz="0" w:space="0" w:color="auto"/>
      </w:divBdr>
    </w:div>
    <w:div w:id="1352301560">
      <w:bodyDiv w:val="1"/>
      <w:marLeft w:val="0"/>
      <w:marRight w:val="0"/>
      <w:marTop w:val="0"/>
      <w:marBottom w:val="0"/>
      <w:divBdr>
        <w:top w:val="none" w:sz="0" w:space="0" w:color="auto"/>
        <w:left w:val="none" w:sz="0" w:space="0" w:color="auto"/>
        <w:bottom w:val="none" w:sz="0" w:space="0" w:color="auto"/>
        <w:right w:val="none" w:sz="0" w:space="0" w:color="auto"/>
      </w:divBdr>
    </w:div>
    <w:div w:id="1558516881">
      <w:bodyDiv w:val="1"/>
      <w:marLeft w:val="0"/>
      <w:marRight w:val="0"/>
      <w:marTop w:val="0"/>
      <w:marBottom w:val="0"/>
      <w:divBdr>
        <w:top w:val="none" w:sz="0" w:space="0" w:color="auto"/>
        <w:left w:val="none" w:sz="0" w:space="0" w:color="auto"/>
        <w:bottom w:val="none" w:sz="0" w:space="0" w:color="auto"/>
        <w:right w:val="none" w:sz="0" w:space="0" w:color="auto"/>
      </w:divBdr>
    </w:div>
    <w:div w:id="170093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ilma.davidhi@infrastruktura.gov.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lma.davidhi@infrastruktura.gov.al" TargetMode="External"/><Relationship Id="rId5" Type="http://schemas.openxmlformats.org/officeDocument/2006/relationships/hyperlink" Target="http://www.konsultimipublik.gov.a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31</TotalTime>
  <Pages>28</Pages>
  <Words>11974</Words>
  <Characters>68258</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 Vidačak</dc:creator>
  <cp:lastModifiedBy>Vilma Davidhi</cp:lastModifiedBy>
  <cp:revision>25</cp:revision>
  <cp:lastPrinted>2024-04-04T08:22:00Z</cp:lastPrinted>
  <dcterms:created xsi:type="dcterms:W3CDTF">2026-04-17T09:33:00Z</dcterms:created>
  <dcterms:modified xsi:type="dcterms:W3CDTF">2026-10-01T10:29:00Z</dcterms:modified>
</cp:coreProperties>
</file>