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483E" w14:textId="77777777" w:rsidR="0065208D" w:rsidRPr="00454689" w:rsidRDefault="00000000">
      <w:pPr>
        <w:jc w:val="center"/>
        <w:rPr>
          <w:sz w:val="24"/>
          <w:szCs w:val="24"/>
        </w:rPr>
      </w:pPr>
      <w:r w:rsidRPr="00454689">
        <w:rPr>
          <w:b/>
          <w:sz w:val="24"/>
          <w:szCs w:val="24"/>
        </w:rPr>
        <w:t>TABELA E PËRPUTHSHMËRISË</w:t>
      </w:r>
    </w:p>
    <w:p w14:paraId="17B46132" w14:textId="77777777" w:rsidR="0065208D" w:rsidRPr="00454689" w:rsidRDefault="00000000">
      <w:pPr>
        <w:jc w:val="center"/>
        <w:rPr>
          <w:sz w:val="24"/>
          <w:szCs w:val="24"/>
        </w:rPr>
      </w:pPr>
      <w:r w:rsidRPr="00454689">
        <w:rPr>
          <w:b/>
          <w:sz w:val="24"/>
          <w:szCs w:val="24"/>
        </w:rPr>
        <w:t>Vendimi i Këshillit (BE, Euratom) 2020/2053, datë 14 dhjetor 2020, për sistemin e burimeve vetjake të Bashkimit Evropian dhe shfuqizimin e Vendimit 2014/335/BE, Euratom</w:t>
      </w:r>
    </w:p>
    <w:p w14:paraId="7E017993" w14:textId="77777777" w:rsidR="0065208D" w:rsidRPr="00454689" w:rsidRDefault="00000000">
      <w:pPr>
        <w:jc w:val="center"/>
        <w:rPr>
          <w:sz w:val="24"/>
          <w:szCs w:val="24"/>
        </w:rPr>
      </w:pPr>
      <w:r w:rsidRPr="00454689">
        <w:rPr>
          <w:i/>
          <w:sz w:val="24"/>
          <w:szCs w:val="24"/>
        </w:rPr>
        <w:t>Projektligji për kontributin kombëtar të Republikës së Shqipërisë në buxhetin e Bashkimit Evropian</w:t>
      </w:r>
    </w:p>
    <w:p w14:paraId="19A2085F" w14:textId="77777777" w:rsidR="0065208D" w:rsidRPr="00454689" w:rsidRDefault="00000000">
      <w:pPr>
        <w:jc w:val="center"/>
        <w:rPr>
          <w:sz w:val="24"/>
          <w:szCs w:val="24"/>
        </w:rPr>
      </w:pPr>
      <w:r w:rsidRPr="00454689">
        <w:rPr>
          <w:b/>
          <w:sz w:val="24"/>
          <w:szCs w:val="24"/>
        </w:rPr>
        <w:t>Niveli i përputhshmërisë: F - përputhshmëri e plotë; P - përputhshmëri e pjesshme; N - nuk është përafruar / nuk zbatohet.</w:t>
      </w:r>
    </w:p>
    <w:tbl>
      <w:tblPr>
        <w:tblStyle w:val="TableGrid"/>
        <w:tblW w:w="0" w:type="auto"/>
        <w:tblLayout w:type="fixed"/>
        <w:tblLook w:val="04A0" w:firstRow="1" w:lastRow="0" w:firstColumn="1" w:lastColumn="0" w:noHBand="0" w:noVBand="1"/>
      </w:tblPr>
      <w:tblGrid>
        <w:gridCol w:w="1531"/>
        <w:gridCol w:w="4535"/>
        <w:gridCol w:w="1020"/>
        <w:gridCol w:w="4535"/>
        <w:gridCol w:w="850"/>
        <w:gridCol w:w="2835"/>
      </w:tblGrid>
      <w:tr w:rsidR="00454689" w:rsidRPr="00454689" w14:paraId="52B5DDFA" w14:textId="77777777">
        <w:trPr>
          <w:tblHeader/>
        </w:trPr>
        <w:tc>
          <w:tcPr>
            <w:tcW w:w="1531" w:type="dxa"/>
            <w:tcMar>
              <w:top w:w="55" w:type="dxa"/>
              <w:left w:w="55" w:type="dxa"/>
              <w:bottom w:w="55" w:type="dxa"/>
              <w:right w:w="55" w:type="dxa"/>
            </w:tcMar>
            <w:vAlign w:val="center"/>
          </w:tcPr>
          <w:p w14:paraId="2D564269" w14:textId="77777777" w:rsidR="00454689" w:rsidRPr="00454689" w:rsidRDefault="00454689">
            <w:pPr>
              <w:jc w:val="center"/>
              <w:rPr>
                <w:sz w:val="24"/>
                <w:szCs w:val="24"/>
              </w:rPr>
            </w:pPr>
            <w:r w:rsidRPr="00454689">
              <w:rPr>
                <w:b/>
                <w:sz w:val="24"/>
                <w:szCs w:val="24"/>
              </w:rPr>
              <w:t>Neni / paragrafi i aktit të BE-së</w:t>
            </w:r>
          </w:p>
        </w:tc>
        <w:tc>
          <w:tcPr>
            <w:tcW w:w="4535" w:type="dxa"/>
            <w:tcMar>
              <w:top w:w="55" w:type="dxa"/>
              <w:left w:w="55" w:type="dxa"/>
              <w:bottom w:w="55" w:type="dxa"/>
              <w:right w:w="55" w:type="dxa"/>
            </w:tcMar>
            <w:vAlign w:val="center"/>
          </w:tcPr>
          <w:p w14:paraId="613E729C" w14:textId="77777777" w:rsidR="00454689" w:rsidRPr="00454689" w:rsidRDefault="00454689">
            <w:pPr>
              <w:jc w:val="center"/>
              <w:rPr>
                <w:sz w:val="24"/>
                <w:szCs w:val="24"/>
              </w:rPr>
            </w:pPr>
            <w:r w:rsidRPr="00454689">
              <w:rPr>
                <w:b/>
                <w:sz w:val="24"/>
                <w:szCs w:val="24"/>
              </w:rPr>
              <w:t>Teksti i plotë i dispozitës së BE-së, i përkthyer në shqip</w:t>
            </w:r>
          </w:p>
        </w:tc>
        <w:tc>
          <w:tcPr>
            <w:tcW w:w="1020" w:type="dxa"/>
            <w:tcMar>
              <w:top w:w="55" w:type="dxa"/>
              <w:left w:w="55" w:type="dxa"/>
              <w:bottom w:w="55" w:type="dxa"/>
              <w:right w:w="55" w:type="dxa"/>
            </w:tcMar>
            <w:vAlign w:val="center"/>
          </w:tcPr>
          <w:p w14:paraId="33BFBAEA" w14:textId="77777777" w:rsidR="00454689" w:rsidRPr="00454689" w:rsidRDefault="00454689">
            <w:pPr>
              <w:jc w:val="center"/>
              <w:rPr>
                <w:sz w:val="24"/>
                <w:szCs w:val="24"/>
              </w:rPr>
            </w:pPr>
            <w:r w:rsidRPr="00454689">
              <w:rPr>
                <w:b/>
                <w:sz w:val="24"/>
                <w:szCs w:val="24"/>
              </w:rPr>
              <w:t>Referenca</w:t>
            </w:r>
          </w:p>
        </w:tc>
        <w:tc>
          <w:tcPr>
            <w:tcW w:w="4535" w:type="dxa"/>
            <w:tcMar>
              <w:top w:w="55" w:type="dxa"/>
              <w:left w:w="55" w:type="dxa"/>
              <w:bottom w:w="55" w:type="dxa"/>
              <w:right w:w="55" w:type="dxa"/>
            </w:tcMar>
            <w:vAlign w:val="center"/>
          </w:tcPr>
          <w:p w14:paraId="5D728097" w14:textId="77777777" w:rsidR="00454689" w:rsidRPr="00454689" w:rsidRDefault="00454689">
            <w:pPr>
              <w:jc w:val="center"/>
              <w:rPr>
                <w:sz w:val="24"/>
                <w:szCs w:val="24"/>
              </w:rPr>
            </w:pPr>
            <w:r w:rsidRPr="00454689">
              <w:rPr>
                <w:b/>
                <w:sz w:val="24"/>
                <w:szCs w:val="24"/>
              </w:rPr>
              <w:t>Neni / dispozita e projektligjit dhe përmbajtja përkatëse</w:t>
            </w:r>
          </w:p>
        </w:tc>
        <w:tc>
          <w:tcPr>
            <w:tcW w:w="850" w:type="dxa"/>
            <w:tcMar>
              <w:top w:w="55" w:type="dxa"/>
              <w:left w:w="55" w:type="dxa"/>
              <w:bottom w:w="55" w:type="dxa"/>
              <w:right w:w="55" w:type="dxa"/>
            </w:tcMar>
            <w:vAlign w:val="center"/>
          </w:tcPr>
          <w:p w14:paraId="0CBC1C0B" w14:textId="77777777" w:rsidR="00454689" w:rsidRPr="00454689" w:rsidRDefault="00454689">
            <w:pPr>
              <w:jc w:val="center"/>
              <w:rPr>
                <w:sz w:val="24"/>
                <w:szCs w:val="24"/>
              </w:rPr>
            </w:pPr>
            <w:r w:rsidRPr="00454689">
              <w:rPr>
                <w:b/>
                <w:sz w:val="24"/>
                <w:szCs w:val="24"/>
              </w:rPr>
              <w:t>Niveli i përputhshmërisë</w:t>
            </w:r>
          </w:p>
        </w:tc>
        <w:tc>
          <w:tcPr>
            <w:tcW w:w="2835" w:type="dxa"/>
            <w:tcMar>
              <w:top w:w="55" w:type="dxa"/>
              <w:left w:w="55" w:type="dxa"/>
              <w:bottom w:w="55" w:type="dxa"/>
              <w:right w:w="55" w:type="dxa"/>
            </w:tcMar>
            <w:vAlign w:val="center"/>
          </w:tcPr>
          <w:p w14:paraId="278C76CA" w14:textId="77777777" w:rsidR="00454689" w:rsidRPr="00454689" w:rsidRDefault="00454689">
            <w:pPr>
              <w:jc w:val="center"/>
              <w:rPr>
                <w:sz w:val="24"/>
                <w:szCs w:val="24"/>
              </w:rPr>
            </w:pPr>
            <w:r w:rsidRPr="00454689">
              <w:rPr>
                <w:b/>
                <w:sz w:val="24"/>
                <w:szCs w:val="24"/>
              </w:rPr>
              <w:t>Shënime / komente</w:t>
            </w:r>
          </w:p>
        </w:tc>
      </w:tr>
      <w:tr w:rsidR="00454689" w:rsidRPr="00454689" w14:paraId="40A5CB94" w14:textId="77777777">
        <w:trPr>
          <w:cantSplit/>
        </w:trPr>
        <w:tc>
          <w:tcPr>
            <w:tcW w:w="1531" w:type="dxa"/>
            <w:tcMar>
              <w:top w:w="55" w:type="dxa"/>
              <w:left w:w="55" w:type="dxa"/>
              <w:bottom w:w="55" w:type="dxa"/>
              <w:right w:w="55" w:type="dxa"/>
            </w:tcMar>
          </w:tcPr>
          <w:p w14:paraId="0C7FF73A" w14:textId="77777777" w:rsidR="00454689" w:rsidRPr="00454689" w:rsidRDefault="00454689">
            <w:pPr>
              <w:spacing w:after="20"/>
              <w:rPr>
                <w:sz w:val="24"/>
                <w:szCs w:val="24"/>
              </w:rPr>
            </w:pPr>
            <w:r w:rsidRPr="00454689">
              <w:rPr>
                <w:sz w:val="24"/>
                <w:szCs w:val="24"/>
              </w:rPr>
              <w:t xml:space="preserve">Neni 1 - </w:t>
            </w:r>
            <w:proofErr w:type="spellStart"/>
            <w:r w:rsidRPr="00454689">
              <w:rPr>
                <w:sz w:val="24"/>
                <w:szCs w:val="24"/>
              </w:rPr>
              <w:t>Objekti</w:t>
            </w:r>
            <w:proofErr w:type="spellEnd"/>
          </w:p>
        </w:tc>
        <w:tc>
          <w:tcPr>
            <w:tcW w:w="4535" w:type="dxa"/>
            <w:tcMar>
              <w:top w:w="55" w:type="dxa"/>
              <w:left w:w="55" w:type="dxa"/>
              <w:bottom w:w="55" w:type="dxa"/>
              <w:right w:w="55" w:type="dxa"/>
            </w:tcMar>
          </w:tcPr>
          <w:p w14:paraId="243C1129" w14:textId="77777777" w:rsidR="00454689" w:rsidRPr="00454689" w:rsidRDefault="00454689">
            <w:pPr>
              <w:spacing w:after="20"/>
              <w:rPr>
                <w:sz w:val="24"/>
                <w:szCs w:val="24"/>
              </w:rPr>
            </w:pPr>
            <w:r w:rsidRPr="00454689">
              <w:rPr>
                <w:sz w:val="24"/>
                <w:szCs w:val="24"/>
              </w:rPr>
              <w:t>Ky Vendim përcakton rregullat për ndarjen e burimeve vetjake për Bashkimin, me qëllim sigurimin e financimit të buxhetit vjetor të Bashkimit.</w:t>
            </w:r>
          </w:p>
        </w:tc>
        <w:tc>
          <w:tcPr>
            <w:tcW w:w="1020" w:type="dxa"/>
            <w:tcMar>
              <w:top w:w="55" w:type="dxa"/>
              <w:left w:w="55" w:type="dxa"/>
              <w:bottom w:w="55" w:type="dxa"/>
              <w:right w:w="55" w:type="dxa"/>
            </w:tcMar>
          </w:tcPr>
          <w:p w14:paraId="2F6B285D"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3CF842CA" w14:textId="77777777" w:rsidR="00454689" w:rsidRPr="00454689" w:rsidRDefault="00454689">
            <w:pPr>
              <w:spacing w:after="20"/>
              <w:rPr>
                <w:sz w:val="24"/>
                <w:szCs w:val="24"/>
              </w:rPr>
            </w:pPr>
            <w:r w:rsidRPr="00454689">
              <w:rPr>
                <w:sz w:val="24"/>
                <w:szCs w:val="24"/>
              </w:rPr>
              <w:t>Neni 1 - Objekti i ligjit. Ky ligj përcakton kuadrin institucional, rregullat dhe procedurat për përllogaritjen, planifikimin, raportimin, financimin dhe vënien në dispozicion të Kontributit Kombëtar të Republikës së Shqipërisë në buxhetin e Bashkimit Evropian, si dhe përgjegjësitë e institucioneve të përfshira në këtë proces, në përputhje me legjislacionin e Bashkimit Evropian për Burimet e Veta.</w:t>
            </w:r>
          </w:p>
        </w:tc>
        <w:tc>
          <w:tcPr>
            <w:tcW w:w="850" w:type="dxa"/>
            <w:tcMar>
              <w:top w:w="55" w:type="dxa"/>
              <w:left w:w="55" w:type="dxa"/>
              <w:bottom w:w="55" w:type="dxa"/>
              <w:right w:w="55" w:type="dxa"/>
            </w:tcMar>
          </w:tcPr>
          <w:p w14:paraId="1B271268"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44F9DD26" w14:textId="77777777" w:rsidR="00454689" w:rsidRPr="00454689" w:rsidRDefault="00454689">
            <w:pPr>
              <w:spacing w:after="20"/>
              <w:rPr>
                <w:sz w:val="24"/>
                <w:szCs w:val="24"/>
              </w:rPr>
            </w:pPr>
            <w:r w:rsidRPr="00454689">
              <w:rPr>
                <w:sz w:val="24"/>
                <w:szCs w:val="24"/>
              </w:rPr>
              <w:t>Fusha e ligjit është më e gjerë se ajo e Vendimit, pasi mbulon edhe aspekte të tjera të rregulluara nga pjesë të tjera të acquis-it të BE-së.</w:t>
            </w:r>
          </w:p>
        </w:tc>
      </w:tr>
      <w:tr w:rsidR="00454689" w:rsidRPr="00454689" w14:paraId="66351AA8" w14:textId="77777777">
        <w:tc>
          <w:tcPr>
            <w:tcW w:w="1531" w:type="dxa"/>
            <w:tcMar>
              <w:top w:w="55" w:type="dxa"/>
              <w:left w:w="55" w:type="dxa"/>
              <w:bottom w:w="55" w:type="dxa"/>
              <w:right w:w="55" w:type="dxa"/>
            </w:tcMar>
          </w:tcPr>
          <w:p w14:paraId="46D946A7" w14:textId="77777777" w:rsidR="00454689" w:rsidRPr="00454689" w:rsidRDefault="00454689">
            <w:pPr>
              <w:spacing w:after="20"/>
              <w:rPr>
                <w:sz w:val="24"/>
                <w:szCs w:val="24"/>
              </w:rPr>
            </w:pPr>
            <w:r w:rsidRPr="00454689">
              <w:rPr>
                <w:sz w:val="24"/>
                <w:szCs w:val="24"/>
              </w:rPr>
              <w:t xml:space="preserve">Neni 2, pika 1, </w:t>
            </w:r>
            <w:proofErr w:type="spellStart"/>
            <w:r w:rsidRPr="00454689">
              <w:rPr>
                <w:sz w:val="24"/>
                <w:szCs w:val="24"/>
              </w:rPr>
              <w:t>shkronja</w:t>
            </w:r>
            <w:proofErr w:type="spellEnd"/>
            <w:r w:rsidRPr="00454689">
              <w:rPr>
                <w:sz w:val="24"/>
                <w:szCs w:val="24"/>
              </w:rPr>
              <w:t xml:space="preserve"> (a)</w:t>
            </w:r>
          </w:p>
        </w:tc>
        <w:tc>
          <w:tcPr>
            <w:tcW w:w="4535" w:type="dxa"/>
            <w:tcMar>
              <w:top w:w="55" w:type="dxa"/>
              <w:left w:w="55" w:type="dxa"/>
              <w:bottom w:w="55" w:type="dxa"/>
              <w:right w:w="55" w:type="dxa"/>
            </w:tcMar>
          </w:tcPr>
          <w:p w14:paraId="1878624A" w14:textId="77777777" w:rsidR="00454689" w:rsidRPr="00454689" w:rsidRDefault="00454689">
            <w:pPr>
              <w:spacing w:after="20"/>
              <w:rPr>
                <w:sz w:val="24"/>
                <w:szCs w:val="24"/>
              </w:rPr>
            </w:pPr>
            <w:r w:rsidRPr="00454689">
              <w:rPr>
                <w:sz w:val="24"/>
                <w:szCs w:val="24"/>
              </w:rPr>
              <w:t xml:space="preserve">Të ardhurat nga burimet e mëposhtme përbëjnë burime vetjake të regjistruara në buxhetin e Bashkimit: (a) burimet tradicionale vetjake, të përbëra nga taksat, primet, shumat shtesë ose kompensuese, shumat ose faktorët shtesë, detyrimet e Tarifës së Përbashkët Doganore dhe detyrime të tjera të vendosura ose që do të vendosen nga institucionet e Bashkimit në lidhje me tregtinë me vendet e treta, detyrimet doganore mbi produktet sipas Traktatit të </w:t>
            </w:r>
            <w:r w:rsidRPr="00454689">
              <w:rPr>
                <w:sz w:val="24"/>
                <w:szCs w:val="24"/>
              </w:rPr>
              <w:lastRenderedPageBreak/>
              <w:t>skaduar për krijimin e Komunitetit Evropian të Qymyrit dhe Çelikut, si dhe kontributet dhe detyrimet e tjera të parashikuara në kuadër të organizimit të përbashkët të tregjeve të sheqerit.</w:t>
            </w:r>
          </w:p>
        </w:tc>
        <w:tc>
          <w:tcPr>
            <w:tcW w:w="1020" w:type="dxa"/>
            <w:tcMar>
              <w:top w:w="55" w:type="dxa"/>
              <w:left w:w="55" w:type="dxa"/>
              <w:bottom w:w="55" w:type="dxa"/>
              <w:right w:w="55" w:type="dxa"/>
            </w:tcMar>
          </w:tcPr>
          <w:p w14:paraId="5D5F80C1" w14:textId="77777777" w:rsidR="00454689" w:rsidRPr="00454689" w:rsidRDefault="00454689">
            <w:pPr>
              <w:spacing w:after="20"/>
              <w:rPr>
                <w:sz w:val="24"/>
                <w:szCs w:val="24"/>
              </w:rPr>
            </w:pPr>
            <w:r w:rsidRPr="00454689">
              <w:rPr>
                <w:sz w:val="24"/>
                <w:szCs w:val="24"/>
              </w:rPr>
              <w:lastRenderedPageBreak/>
              <w:t>Projektligji</w:t>
            </w:r>
          </w:p>
        </w:tc>
        <w:tc>
          <w:tcPr>
            <w:tcW w:w="4535" w:type="dxa"/>
            <w:tcMar>
              <w:top w:w="55" w:type="dxa"/>
              <w:left w:w="55" w:type="dxa"/>
              <w:bottom w:w="55" w:type="dxa"/>
              <w:right w:w="55" w:type="dxa"/>
            </w:tcMar>
          </w:tcPr>
          <w:p w14:paraId="33DB5E15" w14:textId="77777777" w:rsidR="00454689" w:rsidRPr="00454689" w:rsidRDefault="00454689">
            <w:pPr>
              <w:spacing w:after="20"/>
              <w:rPr>
                <w:sz w:val="24"/>
                <w:szCs w:val="24"/>
              </w:rPr>
            </w:pPr>
            <w:r w:rsidRPr="00454689">
              <w:rPr>
                <w:sz w:val="24"/>
                <w:szCs w:val="24"/>
              </w:rPr>
              <w:t>Nenet 3, pikat 1-5, 7-9 dhe 12. Kontributi Kombëtar përfshin burimet tradicionale vetjake, burimin e bazuar në TVSH, burimin e bazuar në AKB, burimin e bazuar në mbetjet e paketimeve plastike të paricikluara dhe kategori të tjera të përcaktuara nga legjislacioni i BE-së. Institucionet kombëtare përgjegjëse llogarisin, administrojnë dhe raportojnë të dhënat dhe shumat përkatëse.</w:t>
            </w:r>
          </w:p>
        </w:tc>
        <w:tc>
          <w:tcPr>
            <w:tcW w:w="850" w:type="dxa"/>
            <w:tcMar>
              <w:top w:w="55" w:type="dxa"/>
              <w:left w:w="55" w:type="dxa"/>
              <w:bottom w:w="55" w:type="dxa"/>
              <w:right w:w="55" w:type="dxa"/>
            </w:tcMar>
          </w:tcPr>
          <w:p w14:paraId="01B509AC"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1940CE40" w14:textId="77777777" w:rsidR="00454689" w:rsidRPr="00454689" w:rsidRDefault="00454689">
            <w:pPr>
              <w:spacing w:after="20"/>
              <w:rPr>
                <w:sz w:val="24"/>
                <w:szCs w:val="24"/>
              </w:rPr>
            </w:pPr>
            <w:r w:rsidRPr="00454689">
              <w:rPr>
                <w:sz w:val="24"/>
                <w:szCs w:val="24"/>
              </w:rPr>
              <w:t>Të gjitha kategoritë e burimeve vetjake të renditura në nenin 2, pika 1, të Vendimit mbulohen nga projektligji. Normat dhe formulat e hollësishme të llogaritjes vijojnë të rregullohen drejtpërdrejt nga legjislacioni i BE-së.</w:t>
            </w:r>
          </w:p>
        </w:tc>
      </w:tr>
      <w:tr w:rsidR="00454689" w:rsidRPr="00454689" w14:paraId="4B64A1E8" w14:textId="77777777">
        <w:trPr>
          <w:cantSplit/>
        </w:trPr>
        <w:tc>
          <w:tcPr>
            <w:tcW w:w="1531" w:type="dxa"/>
            <w:tcMar>
              <w:top w:w="55" w:type="dxa"/>
              <w:left w:w="55" w:type="dxa"/>
              <w:bottom w:w="55" w:type="dxa"/>
              <w:right w:w="55" w:type="dxa"/>
            </w:tcMar>
          </w:tcPr>
          <w:p w14:paraId="7AA58810" w14:textId="77777777" w:rsidR="00454689" w:rsidRPr="00454689" w:rsidRDefault="00454689">
            <w:pPr>
              <w:spacing w:after="20"/>
              <w:rPr>
                <w:sz w:val="24"/>
                <w:szCs w:val="24"/>
              </w:rPr>
            </w:pPr>
            <w:r w:rsidRPr="00454689">
              <w:rPr>
                <w:sz w:val="24"/>
                <w:szCs w:val="24"/>
              </w:rPr>
              <w:t xml:space="preserve">Neni 2, pika 1, </w:t>
            </w:r>
            <w:proofErr w:type="spellStart"/>
            <w:r w:rsidRPr="00454689">
              <w:rPr>
                <w:sz w:val="24"/>
                <w:szCs w:val="24"/>
              </w:rPr>
              <w:t>shkronja</w:t>
            </w:r>
            <w:proofErr w:type="spellEnd"/>
            <w:r w:rsidRPr="00454689">
              <w:rPr>
                <w:sz w:val="24"/>
                <w:szCs w:val="24"/>
              </w:rPr>
              <w:t xml:space="preserve"> (b)</w:t>
            </w:r>
          </w:p>
        </w:tc>
        <w:tc>
          <w:tcPr>
            <w:tcW w:w="4535" w:type="dxa"/>
            <w:tcMar>
              <w:top w:w="55" w:type="dxa"/>
              <w:left w:w="55" w:type="dxa"/>
              <w:bottom w:w="55" w:type="dxa"/>
              <w:right w:w="55" w:type="dxa"/>
            </w:tcMar>
          </w:tcPr>
          <w:p w14:paraId="3B61CB3E" w14:textId="77777777" w:rsidR="00454689" w:rsidRPr="00454689" w:rsidRDefault="00454689">
            <w:pPr>
              <w:spacing w:after="20"/>
              <w:rPr>
                <w:sz w:val="24"/>
                <w:szCs w:val="24"/>
              </w:rPr>
            </w:pPr>
            <w:r w:rsidRPr="00454689">
              <w:rPr>
                <w:sz w:val="24"/>
                <w:szCs w:val="24"/>
              </w:rPr>
              <w:t>Zbatimi i një norme uniforme kërkese prej 0,30% për të gjitha shtetet anëtare mbi shumën totale të të ardhurave nga TVSH-ja, të mbledhura për të gjitha furnizimet e tatueshme, pjesëtuar me normën mesatare të ponderuar të TVSH-së të llogaritur për vitin kalendarik përkatës, siç përcaktohet në Rregulloren e Këshillit (KEE, Euratom) nr. 1553/89. Për çdo shtet anëtar, baza e TVSH-së që merret në konsideratë për këtë qëllim nuk duhet të tejkalojë 50% të AKB-së.</w:t>
            </w:r>
          </w:p>
        </w:tc>
        <w:tc>
          <w:tcPr>
            <w:tcW w:w="1020" w:type="dxa"/>
            <w:tcMar>
              <w:top w:w="55" w:type="dxa"/>
              <w:left w:w="55" w:type="dxa"/>
              <w:bottom w:w="55" w:type="dxa"/>
              <w:right w:w="55" w:type="dxa"/>
            </w:tcMar>
          </w:tcPr>
          <w:p w14:paraId="31BEE610"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038CB3CE" w14:textId="77777777" w:rsidR="00454689" w:rsidRPr="00454689" w:rsidRDefault="00454689">
            <w:pPr>
              <w:spacing w:after="20"/>
              <w:rPr>
                <w:sz w:val="24"/>
                <w:szCs w:val="24"/>
              </w:rPr>
            </w:pPr>
            <w:r w:rsidRPr="00454689">
              <w:rPr>
                <w:sz w:val="24"/>
                <w:szCs w:val="24"/>
              </w:rPr>
              <w:t>Nenet 3(2), 3(3), 5(1)(c) dhe 8. Burimi vetjak i bazuar në TVSH llogaritet mbi bazën e harmonizuar të TVSH-së në përputhje me normën, rregullat dhe metodologjinë e përcaktuar nga legjislacioni i BE-së. Administrata Tatimore siguron të dhënat e nevojshme dhe ministria përgjegjëse për financat llogarit bazën e harmonizuar.</w:t>
            </w:r>
          </w:p>
        </w:tc>
        <w:tc>
          <w:tcPr>
            <w:tcW w:w="850" w:type="dxa"/>
            <w:tcMar>
              <w:top w:w="55" w:type="dxa"/>
              <w:left w:w="55" w:type="dxa"/>
              <w:bottom w:w="55" w:type="dxa"/>
              <w:right w:w="55" w:type="dxa"/>
            </w:tcMar>
          </w:tcPr>
          <w:p w14:paraId="47DA9DF5"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28EA9BB8" w14:textId="77777777" w:rsidR="00454689" w:rsidRPr="00454689" w:rsidRDefault="00454689">
            <w:pPr>
              <w:spacing w:after="20"/>
              <w:rPr>
                <w:sz w:val="24"/>
                <w:szCs w:val="24"/>
              </w:rPr>
            </w:pPr>
            <w:r w:rsidRPr="00454689">
              <w:rPr>
                <w:sz w:val="24"/>
                <w:szCs w:val="24"/>
              </w:rPr>
              <w:t>Kërkesat institucionale dhe procedurale janë pasqyruar plotësisht. Norma uniforme e kërkesës dhe kufiri prej 50% të AKB-së nuk përsëriten, sepse përcaktohen nga rregulla të BE-së me zbatim të drejtpërdrejtë.</w:t>
            </w:r>
          </w:p>
        </w:tc>
      </w:tr>
      <w:tr w:rsidR="00454689" w:rsidRPr="00454689" w14:paraId="569B663B" w14:textId="77777777">
        <w:trPr>
          <w:cantSplit/>
        </w:trPr>
        <w:tc>
          <w:tcPr>
            <w:tcW w:w="1531" w:type="dxa"/>
            <w:tcMar>
              <w:top w:w="55" w:type="dxa"/>
              <w:left w:w="55" w:type="dxa"/>
              <w:bottom w:w="55" w:type="dxa"/>
              <w:right w:w="55" w:type="dxa"/>
            </w:tcMar>
          </w:tcPr>
          <w:p w14:paraId="2A6ED1E4" w14:textId="77777777" w:rsidR="00454689" w:rsidRPr="00454689" w:rsidRDefault="00454689">
            <w:pPr>
              <w:spacing w:after="20"/>
              <w:rPr>
                <w:sz w:val="24"/>
                <w:szCs w:val="24"/>
              </w:rPr>
            </w:pPr>
            <w:r w:rsidRPr="00454689">
              <w:rPr>
                <w:sz w:val="24"/>
                <w:szCs w:val="24"/>
              </w:rPr>
              <w:t xml:space="preserve">Neni 2, pika 1, </w:t>
            </w:r>
            <w:proofErr w:type="spellStart"/>
            <w:r w:rsidRPr="00454689">
              <w:rPr>
                <w:sz w:val="24"/>
                <w:szCs w:val="24"/>
              </w:rPr>
              <w:t>shkronja</w:t>
            </w:r>
            <w:proofErr w:type="spellEnd"/>
            <w:r w:rsidRPr="00454689">
              <w:rPr>
                <w:sz w:val="24"/>
                <w:szCs w:val="24"/>
              </w:rPr>
              <w:t xml:space="preserve"> (c)</w:t>
            </w:r>
          </w:p>
        </w:tc>
        <w:tc>
          <w:tcPr>
            <w:tcW w:w="4535" w:type="dxa"/>
            <w:tcMar>
              <w:top w:w="55" w:type="dxa"/>
              <w:left w:w="55" w:type="dxa"/>
              <w:bottom w:w="55" w:type="dxa"/>
              <w:right w:w="55" w:type="dxa"/>
            </w:tcMar>
          </w:tcPr>
          <w:p w14:paraId="7876D857" w14:textId="77777777" w:rsidR="00454689" w:rsidRPr="00454689" w:rsidRDefault="00454689">
            <w:pPr>
              <w:spacing w:after="20"/>
              <w:rPr>
                <w:sz w:val="24"/>
                <w:szCs w:val="24"/>
              </w:rPr>
            </w:pPr>
            <w:r w:rsidRPr="00454689">
              <w:rPr>
                <w:sz w:val="24"/>
                <w:szCs w:val="24"/>
              </w:rPr>
              <w:t xml:space="preserve">Zbatimi i një norme uniforme kërkese mbi peshën e mbetjeve të paketimeve plastike të krijuara në çdo shtet anëtar që nuk riciklohen. Norma uniforme e kërkesës është </w:t>
            </w:r>
            <w:proofErr w:type="gramStart"/>
            <w:r w:rsidRPr="00454689">
              <w:rPr>
                <w:sz w:val="24"/>
                <w:szCs w:val="24"/>
              </w:rPr>
              <w:t>0,80 euro</w:t>
            </w:r>
            <w:proofErr w:type="gramEnd"/>
            <w:r w:rsidRPr="00454689">
              <w:rPr>
                <w:sz w:val="24"/>
                <w:szCs w:val="24"/>
              </w:rPr>
              <w:t xml:space="preserve"> për kilogram. Zbatohet një reduktim vjetor me shumë fikse për shtete të caktuara anëtare, sipas përcaktimit në nënparagrafin e tretë të pikës 2.</w:t>
            </w:r>
          </w:p>
        </w:tc>
        <w:tc>
          <w:tcPr>
            <w:tcW w:w="1020" w:type="dxa"/>
            <w:tcMar>
              <w:top w:w="55" w:type="dxa"/>
              <w:left w:w="55" w:type="dxa"/>
              <w:bottom w:w="55" w:type="dxa"/>
              <w:right w:w="55" w:type="dxa"/>
            </w:tcMar>
          </w:tcPr>
          <w:p w14:paraId="02566A82"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4840BC17" w14:textId="77777777" w:rsidR="00454689" w:rsidRPr="00454689" w:rsidRDefault="00454689">
            <w:pPr>
              <w:spacing w:after="20"/>
              <w:rPr>
                <w:sz w:val="24"/>
                <w:szCs w:val="24"/>
              </w:rPr>
            </w:pPr>
            <w:r w:rsidRPr="00454689">
              <w:rPr>
                <w:sz w:val="24"/>
                <w:szCs w:val="24"/>
              </w:rPr>
              <w:t>Nenet 3(5), 9, 10(2)(ç), 11(4), 12(2) dhe 14(2)(ç). Ministria përgjegjëse për mjedisin administron dhe llogarit të dhënat për mbetjet e paketimeve plastike të gjeneruara, të ricikluara dhe të paricikluara dhe transmeton parashikimet dhe të dhënat përfundimtare për llogaritjen e burimit vetjak të bazuar në plastikë.</w:t>
            </w:r>
          </w:p>
        </w:tc>
        <w:tc>
          <w:tcPr>
            <w:tcW w:w="850" w:type="dxa"/>
            <w:tcMar>
              <w:top w:w="55" w:type="dxa"/>
              <w:left w:w="55" w:type="dxa"/>
              <w:bottom w:w="55" w:type="dxa"/>
              <w:right w:w="55" w:type="dxa"/>
            </w:tcMar>
          </w:tcPr>
          <w:p w14:paraId="767CA767"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272F2496" w14:textId="77777777" w:rsidR="00454689" w:rsidRPr="00454689" w:rsidRDefault="00454689">
            <w:pPr>
              <w:spacing w:after="20"/>
              <w:rPr>
                <w:sz w:val="24"/>
                <w:szCs w:val="24"/>
              </w:rPr>
            </w:pPr>
            <w:r w:rsidRPr="00454689">
              <w:rPr>
                <w:sz w:val="24"/>
                <w:szCs w:val="24"/>
              </w:rPr>
              <w:t>Është krijuar kuadri kombëtar për prodhimin, cilësinë dhe raportimin e të dhënave. Norma 0,80 euro/kg dhe reduktimet specifike për shtetet anëtare rregullohen nga legjislacioni i BE-së dhe nuk transpozohen.</w:t>
            </w:r>
          </w:p>
        </w:tc>
      </w:tr>
      <w:tr w:rsidR="00454689" w:rsidRPr="00454689" w14:paraId="60B725CA" w14:textId="77777777">
        <w:trPr>
          <w:cantSplit/>
        </w:trPr>
        <w:tc>
          <w:tcPr>
            <w:tcW w:w="1531" w:type="dxa"/>
            <w:tcMar>
              <w:top w:w="55" w:type="dxa"/>
              <w:left w:w="55" w:type="dxa"/>
              <w:bottom w:w="55" w:type="dxa"/>
              <w:right w:w="55" w:type="dxa"/>
            </w:tcMar>
          </w:tcPr>
          <w:p w14:paraId="0297A3AD" w14:textId="77777777" w:rsidR="00454689" w:rsidRPr="00454689" w:rsidRDefault="00454689">
            <w:pPr>
              <w:spacing w:after="20"/>
              <w:rPr>
                <w:sz w:val="24"/>
                <w:szCs w:val="24"/>
              </w:rPr>
            </w:pPr>
            <w:r w:rsidRPr="00454689">
              <w:rPr>
                <w:sz w:val="24"/>
                <w:szCs w:val="24"/>
              </w:rPr>
              <w:lastRenderedPageBreak/>
              <w:t xml:space="preserve">Neni 2, pika 1, </w:t>
            </w:r>
            <w:proofErr w:type="spellStart"/>
            <w:r w:rsidRPr="00454689">
              <w:rPr>
                <w:sz w:val="24"/>
                <w:szCs w:val="24"/>
              </w:rPr>
              <w:t>shkronja</w:t>
            </w:r>
            <w:proofErr w:type="spellEnd"/>
            <w:r w:rsidRPr="00454689">
              <w:rPr>
                <w:sz w:val="24"/>
                <w:szCs w:val="24"/>
              </w:rPr>
              <w:t xml:space="preserve"> (d)</w:t>
            </w:r>
          </w:p>
        </w:tc>
        <w:tc>
          <w:tcPr>
            <w:tcW w:w="4535" w:type="dxa"/>
            <w:tcMar>
              <w:top w:w="55" w:type="dxa"/>
              <w:left w:w="55" w:type="dxa"/>
              <w:bottom w:w="55" w:type="dxa"/>
              <w:right w:w="55" w:type="dxa"/>
            </w:tcMar>
          </w:tcPr>
          <w:p w14:paraId="0E6EE796" w14:textId="77777777" w:rsidR="00454689" w:rsidRPr="00454689" w:rsidRDefault="00454689">
            <w:pPr>
              <w:spacing w:after="20"/>
              <w:rPr>
                <w:sz w:val="24"/>
                <w:szCs w:val="24"/>
              </w:rPr>
            </w:pPr>
            <w:r w:rsidRPr="00454689">
              <w:rPr>
                <w:sz w:val="24"/>
                <w:szCs w:val="24"/>
              </w:rPr>
              <w:t>Zbatimi i një norme uniforme kërkese, që përcaktohet sipas procedurës buxhetore, duke marrë parasysh totalin e të gjitha të ardhurave të tjera, mbi shumën e AKB-së së të gjitha shteteve anëtare.</w:t>
            </w:r>
          </w:p>
        </w:tc>
        <w:tc>
          <w:tcPr>
            <w:tcW w:w="1020" w:type="dxa"/>
            <w:tcMar>
              <w:top w:w="55" w:type="dxa"/>
              <w:left w:w="55" w:type="dxa"/>
              <w:bottom w:w="55" w:type="dxa"/>
              <w:right w:w="55" w:type="dxa"/>
            </w:tcMar>
          </w:tcPr>
          <w:p w14:paraId="4FB720C3"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3F70BD52" w14:textId="77777777" w:rsidR="00454689" w:rsidRPr="00454689" w:rsidRDefault="00454689">
            <w:pPr>
              <w:spacing w:after="20"/>
              <w:rPr>
                <w:sz w:val="24"/>
                <w:szCs w:val="24"/>
              </w:rPr>
            </w:pPr>
            <w:r w:rsidRPr="00454689">
              <w:rPr>
                <w:sz w:val="24"/>
                <w:szCs w:val="24"/>
              </w:rPr>
              <w:t>Nenet 3(4), 6, 10(2)(c), 11(3), 12(2) dhe 14(2)(c). Burimi vetjak i bazuar në AKB llogaritet duke zbatuar normën uniforme të përcaktuar sipas legjislacionit të BE-së mbi AKB-në e përpiluar në përputhje me ESA 2010. INSTAT-i është përgjegjës për prodhimin e AKB-së dhe transmetimin e të dhënave dhe dokumentacionit metodologjik.</w:t>
            </w:r>
          </w:p>
        </w:tc>
        <w:tc>
          <w:tcPr>
            <w:tcW w:w="850" w:type="dxa"/>
            <w:tcMar>
              <w:top w:w="55" w:type="dxa"/>
              <w:left w:w="55" w:type="dxa"/>
              <w:bottom w:w="55" w:type="dxa"/>
              <w:right w:w="55" w:type="dxa"/>
            </w:tcMar>
          </w:tcPr>
          <w:p w14:paraId="631BBC84"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3A1C09F7" w14:textId="77777777" w:rsidR="00454689" w:rsidRPr="00454689" w:rsidRDefault="00454689">
            <w:pPr>
              <w:spacing w:after="20"/>
              <w:rPr>
                <w:sz w:val="24"/>
                <w:szCs w:val="24"/>
              </w:rPr>
            </w:pPr>
            <w:r w:rsidRPr="00454689">
              <w:rPr>
                <w:sz w:val="24"/>
                <w:szCs w:val="24"/>
              </w:rPr>
              <w:t>Projektligji krijon plotësisht kuadrin institucional dhe statistikor kombëtar. Norma uniforme vjetore e kërkesës përcaktohet nëpërmjet procedurës buxhetore të BE-së.</w:t>
            </w:r>
          </w:p>
        </w:tc>
      </w:tr>
      <w:tr w:rsidR="00454689" w:rsidRPr="00454689" w14:paraId="10BF4B8E" w14:textId="77777777">
        <w:tc>
          <w:tcPr>
            <w:tcW w:w="1531" w:type="dxa"/>
            <w:tcMar>
              <w:top w:w="55" w:type="dxa"/>
              <w:left w:w="55" w:type="dxa"/>
              <w:bottom w:w="55" w:type="dxa"/>
              <w:right w:w="55" w:type="dxa"/>
            </w:tcMar>
          </w:tcPr>
          <w:p w14:paraId="24E644CF" w14:textId="77777777" w:rsidR="00454689" w:rsidRPr="00454689" w:rsidRDefault="00454689">
            <w:pPr>
              <w:spacing w:after="20"/>
              <w:rPr>
                <w:sz w:val="24"/>
                <w:szCs w:val="24"/>
              </w:rPr>
            </w:pPr>
            <w:r w:rsidRPr="00454689">
              <w:rPr>
                <w:sz w:val="24"/>
                <w:szCs w:val="24"/>
              </w:rPr>
              <w:t>Neni 2, pika 2</w:t>
            </w:r>
          </w:p>
        </w:tc>
        <w:tc>
          <w:tcPr>
            <w:tcW w:w="4535" w:type="dxa"/>
            <w:tcMar>
              <w:top w:w="55" w:type="dxa"/>
              <w:left w:w="55" w:type="dxa"/>
              <w:bottom w:w="55" w:type="dxa"/>
              <w:right w:w="55" w:type="dxa"/>
            </w:tcMar>
          </w:tcPr>
          <w:p w14:paraId="30EA712C" w14:textId="77777777" w:rsidR="00454689" w:rsidRPr="00454689" w:rsidRDefault="00454689">
            <w:pPr>
              <w:spacing w:after="20"/>
              <w:rPr>
                <w:sz w:val="24"/>
                <w:szCs w:val="24"/>
              </w:rPr>
            </w:pPr>
            <w:r w:rsidRPr="00454689">
              <w:rPr>
                <w:sz w:val="24"/>
                <w:szCs w:val="24"/>
              </w:rPr>
              <w:t xml:space="preserve">Për qëllimet e pikës 1(c), “plastikë” nënkupton një polimer sipas kuptimit të pikës 5 të nenit 3 të Rregullores (KE) nr. 1907/2006, të cilit mund t’i jenë shtuar aditivë ose substanca të tjera; “mbetje paketimi” dhe “riciklim” kanë kuptimet që u jepen përkatësisht në pikat 2 dhe 2c të nenit 3 të Direktivës 94/62/KE dhe siç përdoren në Vendimin 2005/270/KE. Pesha e mbetjeve të paketimeve plastike që nuk riciklohen llogaritet si diferenca ndërmjet peshës së mbetjeve të paketimeve plastike të gjeneruara në një shtet anëtar gjatë një viti dhe peshës së mbetjeve të paketimeve plastike të ricikluara gjatë atij viti, të përcaktuar sipas Direktivës 94/62/KE. Reduktimet vjetore me shumë fikse janë: 22 milionë euro për Bullgarinë; 32,1876 milionë euro për Çekinë; 4 milionë euro për Estoninë; 33 milionë euro për Greqinë; 142 milionë euro për Spanjën; 13 milionë euro për </w:t>
            </w:r>
            <w:r w:rsidRPr="00454689">
              <w:rPr>
                <w:sz w:val="24"/>
                <w:szCs w:val="24"/>
              </w:rPr>
              <w:lastRenderedPageBreak/>
              <w:t>Kroacinë; 184,0480 milionë euro për Italinë; 3 milionë euro për Qipron; 6 milionë euro për Letoninë; 9 milionë euro për Lituaninë; 30 milionë euro për Hungarinë; 1,4159 milionë euro për Maltën; 117 milionë euro për Poloninë; 31,3220 milionë euro për Portugalinë; 60 milionë euro për Rumaninë; 6,2797 milionë euro për Slloveninë; dhe 17 milionë euro për Sllovakinë.</w:t>
            </w:r>
          </w:p>
        </w:tc>
        <w:tc>
          <w:tcPr>
            <w:tcW w:w="1020" w:type="dxa"/>
            <w:tcMar>
              <w:top w:w="55" w:type="dxa"/>
              <w:left w:w="55" w:type="dxa"/>
              <w:bottom w:w="55" w:type="dxa"/>
              <w:right w:w="55" w:type="dxa"/>
            </w:tcMar>
          </w:tcPr>
          <w:p w14:paraId="2D0472C3" w14:textId="77777777" w:rsidR="00454689" w:rsidRPr="00454689" w:rsidRDefault="00454689">
            <w:pPr>
              <w:spacing w:after="20"/>
              <w:rPr>
                <w:sz w:val="24"/>
                <w:szCs w:val="24"/>
              </w:rPr>
            </w:pPr>
            <w:r w:rsidRPr="00454689">
              <w:rPr>
                <w:sz w:val="24"/>
                <w:szCs w:val="24"/>
              </w:rPr>
              <w:lastRenderedPageBreak/>
              <w:t>Projektligji</w:t>
            </w:r>
          </w:p>
        </w:tc>
        <w:tc>
          <w:tcPr>
            <w:tcW w:w="4535" w:type="dxa"/>
            <w:tcMar>
              <w:top w:w="55" w:type="dxa"/>
              <w:left w:w="55" w:type="dxa"/>
              <w:bottom w:w="55" w:type="dxa"/>
              <w:right w:w="55" w:type="dxa"/>
            </w:tcMar>
          </w:tcPr>
          <w:p w14:paraId="1EB36B26" w14:textId="77777777" w:rsidR="00454689" w:rsidRPr="00454689" w:rsidRDefault="00454689">
            <w:pPr>
              <w:spacing w:after="20"/>
              <w:rPr>
                <w:sz w:val="24"/>
                <w:szCs w:val="24"/>
              </w:rPr>
            </w:pPr>
            <w:r w:rsidRPr="00454689">
              <w:rPr>
                <w:sz w:val="24"/>
                <w:szCs w:val="24"/>
              </w:rPr>
              <w:t>Nenet 3(5), 9 dhe 20. Projektligji rregullon mbledhjen, llogaritjen, sigurimin e cilësisë dhe dokumentimin në nivel kombëtar të të dhënave për mbetjet e paketimeve plastike dhe ia delegon procedurat teknike të hollësishme akteve zbatuese.</w:t>
            </w:r>
          </w:p>
        </w:tc>
        <w:tc>
          <w:tcPr>
            <w:tcW w:w="850" w:type="dxa"/>
            <w:tcMar>
              <w:top w:w="55" w:type="dxa"/>
              <w:left w:w="55" w:type="dxa"/>
              <w:bottom w:w="55" w:type="dxa"/>
              <w:right w:w="55" w:type="dxa"/>
            </w:tcMar>
          </w:tcPr>
          <w:p w14:paraId="64224F25"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13431D14" w14:textId="77777777" w:rsidR="00454689" w:rsidRPr="00454689" w:rsidRDefault="00454689">
            <w:pPr>
              <w:spacing w:after="20"/>
              <w:rPr>
                <w:sz w:val="24"/>
                <w:szCs w:val="24"/>
              </w:rPr>
            </w:pPr>
            <w:r w:rsidRPr="00454689">
              <w:rPr>
                <w:sz w:val="24"/>
                <w:szCs w:val="24"/>
              </w:rPr>
              <w:t>Llogaritja operative mbulohet, por përkufizimet e BE-së për “plastikën”, “mbetjet e paketimit” dhe “riciklimin” inkorporohen me referim dhe nuk riprodhohen. Reduktimet me shumë fikse sipas shteteve nuk zbatohen për Shqipërinë në këtë fazë.</w:t>
            </w:r>
          </w:p>
        </w:tc>
      </w:tr>
      <w:tr w:rsidR="00454689" w:rsidRPr="00454689" w14:paraId="32EFAEAA" w14:textId="77777777">
        <w:trPr>
          <w:cantSplit/>
        </w:trPr>
        <w:tc>
          <w:tcPr>
            <w:tcW w:w="1531" w:type="dxa"/>
            <w:tcMar>
              <w:top w:w="55" w:type="dxa"/>
              <w:left w:w="55" w:type="dxa"/>
              <w:bottom w:w="55" w:type="dxa"/>
              <w:right w:w="55" w:type="dxa"/>
            </w:tcMar>
          </w:tcPr>
          <w:p w14:paraId="57E101FB" w14:textId="77777777" w:rsidR="00454689" w:rsidRPr="00454689" w:rsidRDefault="00454689">
            <w:pPr>
              <w:spacing w:after="20"/>
              <w:rPr>
                <w:sz w:val="24"/>
                <w:szCs w:val="24"/>
              </w:rPr>
            </w:pPr>
            <w:r w:rsidRPr="00454689">
              <w:rPr>
                <w:sz w:val="24"/>
                <w:szCs w:val="24"/>
              </w:rPr>
              <w:t>Neni 2, pika 3</w:t>
            </w:r>
          </w:p>
        </w:tc>
        <w:tc>
          <w:tcPr>
            <w:tcW w:w="4535" w:type="dxa"/>
            <w:tcMar>
              <w:top w:w="55" w:type="dxa"/>
              <w:left w:w="55" w:type="dxa"/>
              <w:bottom w:w="55" w:type="dxa"/>
              <w:right w:w="55" w:type="dxa"/>
            </w:tcMar>
          </w:tcPr>
          <w:p w14:paraId="6E15F118" w14:textId="77777777" w:rsidR="00454689" w:rsidRPr="00454689" w:rsidRDefault="00454689">
            <w:pPr>
              <w:spacing w:after="20"/>
              <w:rPr>
                <w:sz w:val="24"/>
                <w:szCs w:val="24"/>
              </w:rPr>
            </w:pPr>
            <w:r w:rsidRPr="00454689">
              <w:rPr>
                <w:sz w:val="24"/>
                <w:szCs w:val="24"/>
              </w:rPr>
              <w:t>Për qëllimet e pikës 1(d), norma uniforme e kërkesës zbatohet mbi AKB-në e çdo shteti anëtar. AKB-ja e përmendur në pikën 1(d) nënkupton AKB-në vjetore me çmime tregu, të siguruar nga Komisioni në zbatim të Rregullores (BE) nr. 549/2013.</w:t>
            </w:r>
          </w:p>
        </w:tc>
        <w:tc>
          <w:tcPr>
            <w:tcW w:w="1020" w:type="dxa"/>
            <w:tcMar>
              <w:top w:w="55" w:type="dxa"/>
              <w:left w:w="55" w:type="dxa"/>
              <w:bottom w:w="55" w:type="dxa"/>
              <w:right w:w="55" w:type="dxa"/>
            </w:tcMar>
          </w:tcPr>
          <w:p w14:paraId="5ACF09AC"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53B2F150" w14:textId="77777777" w:rsidR="00454689" w:rsidRPr="00454689" w:rsidRDefault="00454689">
            <w:pPr>
              <w:spacing w:after="20"/>
              <w:rPr>
                <w:sz w:val="24"/>
                <w:szCs w:val="24"/>
              </w:rPr>
            </w:pPr>
            <w:r w:rsidRPr="00454689">
              <w:rPr>
                <w:sz w:val="24"/>
                <w:szCs w:val="24"/>
              </w:rPr>
              <w:t>Nenet 3(3)-(4) dhe 6. AKB-ja është e ardhura kombëtare bruto vjetore e përpiluar si statistikë zyrtare sipas ESA 2010. INSTAT-i prodhon AKB-në, Inventarin e AKB-së, rishikimet dhe dokumentacionin metodologjik dhe bashkëpunon me Eurostat-in.</w:t>
            </w:r>
          </w:p>
        </w:tc>
        <w:tc>
          <w:tcPr>
            <w:tcW w:w="850" w:type="dxa"/>
            <w:tcMar>
              <w:top w:w="55" w:type="dxa"/>
              <w:left w:w="55" w:type="dxa"/>
              <w:bottom w:w="55" w:type="dxa"/>
              <w:right w:w="55" w:type="dxa"/>
            </w:tcMar>
          </w:tcPr>
          <w:p w14:paraId="12E05E23"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4488108C" w14:textId="77777777" w:rsidR="00454689" w:rsidRPr="00454689" w:rsidRDefault="00454689">
            <w:pPr>
              <w:spacing w:after="20"/>
              <w:rPr>
                <w:sz w:val="24"/>
                <w:szCs w:val="24"/>
              </w:rPr>
            </w:pPr>
            <w:r w:rsidRPr="00454689">
              <w:rPr>
                <w:sz w:val="24"/>
                <w:szCs w:val="24"/>
              </w:rPr>
              <w:t>Dispozita është pasqyruar plotësisht në nivelin institucional dhe metodologjik kombëtar.</w:t>
            </w:r>
          </w:p>
        </w:tc>
      </w:tr>
      <w:tr w:rsidR="00454689" w:rsidRPr="00454689" w14:paraId="47D79BA1" w14:textId="77777777">
        <w:trPr>
          <w:cantSplit/>
        </w:trPr>
        <w:tc>
          <w:tcPr>
            <w:tcW w:w="1531" w:type="dxa"/>
            <w:tcMar>
              <w:top w:w="55" w:type="dxa"/>
              <w:left w:w="55" w:type="dxa"/>
              <w:bottom w:w="55" w:type="dxa"/>
              <w:right w:w="55" w:type="dxa"/>
            </w:tcMar>
          </w:tcPr>
          <w:p w14:paraId="6BB707DF" w14:textId="77777777" w:rsidR="00454689" w:rsidRPr="00454689" w:rsidRDefault="00454689">
            <w:pPr>
              <w:spacing w:after="20"/>
              <w:rPr>
                <w:sz w:val="24"/>
                <w:szCs w:val="24"/>
              </w:rPr>
            </w:pPr>
            <w:r w:rsidRPr="00454689">
              <w:rPr>
                <w:sz w:val="24"/>
                <w:szCs w:val="24"/>
              </w:rPr>
              <w:lastRenderedPageBreak/>
              <w:t>Neni 2, pika 4</w:t>
            </w:r>
          </w:p>
        </w:tc>
        <w:tc>
          <w:tcPr>
            <w:tcW w:w="4535" w:type="dxa"/>
            <w:tcMar>
              <w:top w:w="55" w:type="dxa"/>
              <w:left w:w="55" w:type="dxa"/>
              <w:bottom w:w="55" w:type="dxa"/>
              <w:right w:w="55" w:type="dxa"/>
            </w:tcMar>
          </w:tcPr>
          <w:p w14:paraId="67B5F610" w14:textId="77777777" w:rsidR="00454689" w:rsidRPr="00454689" w:rsidRDefault="00454689">
            <w:pPr>
              <w:spacing w:after="20"/>
              <w:rPr>
                <w:sz w:val="24"/>
                <w:szCs w:val="24"/>
              </w:rPr>
            </w:pPr>
            <w:r w:rsidRPr="00454689">
              <w:rPr>
                <w:sz w:val="24"/>
                <w:szCs w:val="24"/>
              </w:rPr>
              <w:t>Për periudhën 2021-2027, shtetet e mëposhtme anëtare përfitojnë reduktim bruto të kontributeve vjetore të bazuara në AKB: 565 milionë euro për Austrinë; 377 milionë euro për Danimarkën; 3 671 milionë euro për Gjermaninë; 1 921 milionë euro për Holandën; dhe 1 069 milionë euro për Suedinë. Shumat maten me çmimet e vitit 2020 dhe përshtaten me çmimet aktuale duke zbatuar deflatorin më të fundit të produktit të brendshëm bruto për Bashkimin, të shprehur në euro, që sigurohet nga Komisioni dhe është i disponueshëm kur hartohet projektbuxheti. Këto reduktime bruto financohen nga të gjitha shtetet anëtare.</w:t>
            </w:r>
          </w:p>
        </w:tc>
        <w:tc>
          <w:tcPr>
            <w:tcW w:w="1020" w:type="dxa"/>
            <w:tcMar>
              <w:top w:w="55" w:type="dxa"/>
              <w:left w:w="55" w:type="dxa"/>
              <w:bottom w:w="55" w:type="dxa"/>
              <w:right w:w="55" w:type="dxa"/>
            </w:tcMar>
          </w:tcPr>
          <w:p w14:paraId="4AADADFC"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03F88527"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7018CC28"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025D1412" w14:textId="77777777" w:rsidR="00454689" w:rsidRPr="00454689" w:rsidRDefault="00454689">
            <w:pPr>
              <w:spacing w:after="20"/>
              <w:rPr>
                <w:sz w:val="24"/>
                <w:szCs w:val="24"/>
              </w:rPr>
            </w:pPr>
            <w:r w:rsidRPr="00454689">
              <w:rPr>
                <w:sz w:val="24"/>
                <w:szCs w:val="24"/>
              </w:rPr>
              <w:t>Reduktimet bruto 2021-2027 për shtetet anëtare të emërtuara janë marrëveshje specifike buxhetore të BE-së, nuk zbatohen për Shqipërinë para anëtarësimit dhe nuk janë objekt i përafrimit kombëtar.</w:t>
            </w:r>
          </w:p>
        </w:tc>
      </w:tr>
      <w:tr w:rsidR="00454689" w:rsidRPr="00454689" w14:paraId="6E0370EF" w14:textId="77777777">
        <w:trPr>
          <w:cantSplit/>
        </w:trPr>
        <w:tc>
          <w:tcPr>
            <w:tcW w:w="1531" w:type="dxa"/>
            <w:tcMar>
              <w:top w:w="55" w:type="dxa"/>
              <w:left w:w="55" w:type="dxa"/>
              <w:bottom w:w="55" w:type="dxa"/>
              <w:right w:w="55" w:type="dxa"/>
            </w:tcMar>
          </w:tcPr>
          <w:p w14:paraId="2EDAAA03" w14:textId="77777777" w:rsidR="00454689" w:rsidRPr="00454689" w:rsidRDefault="00454689">
            <w:pPr>
              <w:spacing w:after="20"/>
              <w:rPr>
                <w:sz w:val="24"/>
                <w:szCs w:val="24"/>
              </w:rPr>
            </w:pPr>
            <w:r w:rsidRPr="00454689">
              <w:rPr>
                <w:sz w:val="24"/>
                <w:szCs w:val="24"/>
              </w:rPr>
              <w:t>Neni 2, pika 5</w:t>
            </w:r>
          </w:p>
        </w:tc>
        <w:tc>
          <w:tcPr>
            <w:tcW w:w="4535" w:type="dxa"/>
            <w:tcMar>
              <w:top w:w="55" w:type="dxa"/>
              <w:left w:w="55" w:type="dxa"/>
              <w:bottom w:w="55" w:type="dxa"/>
              <w:right w:w="55" w:type="dxa"/>
            </w:tcMar>
          </w:tcPr>
          <w:p w14:paraId="15B8FF0C" w14:textId="77777777" w:rsidR="00454689" w:rsidRPr="00454689" w:rsidRDefault="00454689">
            <w:pPr>
              <w:spacing w:after="20"/>
              <w:rPr>
                <w:sz w:val="24"/>
                <w:szCs w:val="24"/>
              </w:rPr>
            </w:pPr>
            <w:r w:rsidRPr="00454689">
              <w:rPr>
                <w:sz w:val="24"/>
                <w:szCs w:val="24"/>
              </w:rPr>
              <w:t>Nëse në fillim të vitit financiar buxheti i Bashkimit nuk është miratuar, normat e mëparshme uniforme të kërkesës të bazuara në AKB vazhdojnë të zbatohen deri në hyrjen në fuqi të normave të reja.</w:t>
            </w:r>
          </w:p>
        </w:tc>
        <w:tc>
          <w:tcPr>
            <w:tcW w:w="1020" w:type="dxa"/>
            <w:tcMar>
              <w:top w:w="55" w:type="dxa"/>
              <w:left w:w="55" w:type="dxa"/>
              <w:bottom w:w="55" w:type="dxa"/>
              <w:right w:w="55" w:type="dxa"/>
            </w:tcMar>
          </w:tcPr>
          <w:p w14:paraId="751D2D8C"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7B694AEB" w14:textId="77777777" w:rsidR="00454689" w:rsidRPr="00454689" w:rsidRDefault="00454689">
            <w:pPr>
              <w:spacing w:after="20"/>
              <w:rPr>
                <w:sz w:val="24"/>
                <w:szCs w:val="24"/>
              </w:rPr>
            </w:pPr>
            <w:r w:rsidRPr="00454689">
              <w:rPr>
                <w:sz w:val="24"/>
                <w:szCs w:val="24"/>
              </w:rPr>
              <w:t>Nenet 12(1)-(4) dhe 21(3). Burimet vetjake vihen në dispozicion në përputhje me normat, thirrjet për fonde, afatet dhe procedurat e përcaktuara nga legjislacioni i BE-së, duke filluar nga data e anëtarësimit.</w:t>
            </w:r>
          </w:p>
        </w:tc>
        <w:tc>
          <w:tcPr>
            <w:tcW w:w="850" w:type="dxa"/>
            <w:tcMar>
              <w:top w:w="55" w:type="dxa"/>
              <w:left w:w="55" w:type="dxa"/>
              <w:bottom w:w="55" w:type="dxa"/>
              <w:right w:w="55" w:type="dxa"/>
            </w:tcMar>
          </w:tcPr>
          <w:p w14:paraId="116C0B57"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78FBC6B8" w14:textId="77777777" w:rsidR="00454689" w:rsidRPr="00454689" w:rsidRDefault="00454689">
            <w:pPr>
              <w:spacing w:after="20"/>
              <w:rPr>
                <w:sz w:val="24"/>
                <w:szCs w:val="24"/>
              </w:rPr>
            </w:pPr>
            <w:r w:rsidRPr="00454689">
              <w:rPr>
                <w:sz w:val="24"/>
                <w:szCs w:val="24"/>
              </w:rPr>
              <w:t>Projektligji parashikon mekanizmin për zbatimin e normave të BE-së, por nuk riprodhon rregullin e vazhdimit të përkohshëm, i cili zbatohet drejtpërdrejt sipas së drejtës së BE-së.</w:t>
            </w:r>
          </w:p>
        </w:tc>
      </w:tr>
      <w:tr w:rsidR="00454689" w:rsidRPr="00454689" w14:paraId="695CCE97" w14:textId="77777777">
        <w:trPr>
          <w:cantSplit/>
        </w:trPr>
        <w:tc>
          <w:tcPr>
            <w:tcW w:w="1531" w:type="dxa"/>
            <w:tcMar>
              <w:top w:w="55" w:type="dxa"/>
              <w:left w:w="55" w:type="dxa"/>
              <w:bottom w:w="55" w:type="dxa"/>
              <w:right w:w="55" w:type="dxa"/>
            </w:tcMar>
          </w:tcPr>
          <w:p w14:paraId="33ABCCE1" w14:textId="77777777" w:rsidR="00454689" w:rsidRPr="00454689" w:rsidRDefault="00454689">
            <w:pPr>
              <w:spacing w:after="20"/>
              <w:rPr>
                <w:sz w:val="24"/>
                <w:szCs w:val="24"/>
              </w:rPr>
            </w:pPr>
            <w:r w:rsidRPr="00454689">
              <w:rPr>
                <w:sz w:val="24"/>
                <w:szCs w:val="24"/>
              </w:rPr>
              <w:lastRenderedPageBreak/>
              <w:t>Neni 3, pika 1 - Tavanet e burimeve vetjake</w:t>
            </w:r>
          </w:p>
        </w:tc>
        <w:tc>
          <w:tcPr>
            <w:tcW w:w="4535" w:type="dxa"/>
            <w:tcMar>
              <w:top w:w="55" w:type="dxa"/>
              <w:left w:w="55" w:type="dxa"/>
              <w:bottom w:w="55" w:type="dxa"/>
              <w:right w:w="55" w:type="dxa"/>
            </w:tcMar>
          </w:tcPr>
          <w:p w14:paraId="60DFA51C" w14:textId="77777777" w:rsidR="00454689" w:rsidRPr="00454689" w:rsidRDefault="00454689">
            <w:pPr>
              <w:spacing w:after="20"/>
              <w:rPr>
                <w:sz w:val="24"/>
                <w:szCs w:val="24"/>
              </w:rPr>
            </w:pPr>
            <w:r w:rsidRPr="00454689">
              <w:rPr>
                <w:sz w:val="24"/>
                <w:szCs w:val="24"/>
              </w:rPr>
              <w:t>Shuma totale e burimeve vetjake të alokuara për Bashkimin për mbulimin e ndarjeve vjetore për pagesa nuk duhet të tejkalojë 1,40% të shumës së AKB-së së të gjitha shteteve anëtare.</w:t>
            </w:r>
          </w:p>
        </w:tc>
        <w:tc>
          <w:tcPr>
            <w:tcW w:w="1020" w:type="dxa"/>
            <w:tcMar>
              <w:top w:w="55" w:type="dxa"/>
              <w:left w:w="55" w:type="dxa"/>
              <w:bottom w:w="55" w:type="dxa"/>
              <w:right w:w="55" w:type="dxa"/>
            </w:tcMar>
          </w:tcPr>
          <w:p w14:paraId="7ECE070C"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40F15C6F"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0673D895"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25487FD5" w14:textId="77777777" w:rsidR="00454689" w:rsidRPr="00454689" w:rsidRDefault="00454689">
            <w:pPr>
              <w:spacing w:after="20"/>
              <w:rPr>
                <w:sz w:val="24"/>
                <w:szCs w:val="24"/>
              </w:rPr>
            </w:pPr>
            <w:r w:rsidRPr="00454689">
              <w:rPr>
                <w:sz w:val="24"/>
                <w:szCs w:val="24"/>
              </w:rPr>
              <w:t>Tavani i ndarjeve për pagesa është rregull buxhetor i nivelit të BE-së dhe nuk është objekt i transpozimit kombëtar.</w:t>
            </w:r>
          </w:p>
        </w:tc>
      </w:tr>
      <w:tr w:rsidR="00454689" w:rsidRPr="00454689" w14:paraId="0CC7F0A9" w14:textId="77777777">
        <w:trPr>
          <w:cantSplit/>
        </w:trPr>
        <w:tc>
          <w:tcPr>
            <w:tcW w:w="1531" w:type="dxa"/>
            <w:tcMar>
              <w:top w:w="55" w:type="dxa"/>
              <w:left w:w="55" w:type="dxa"/>
              <w:bottom w:w="55" w:type="dxa"/>
              <w:right w:w="55" w:type="dxa"/>
            </w:tcMar>
          </w:tcPr>
          <w:p w14:paraId="2EEEC23D" w14:textId="77777777" w:rsidR="00454689" w:rsidRPr="00454689" w:rsidRDefault="00454689">
            <w:pPr>
              <w:spacing w:after="20"/>
              <w:rPr>
                <w:sz w:val="24"/>
                <w:szCs w:val="24"/>
              </w:rPr>
            </w:pPr>
            <w:r w:rsidRPr="00454689">
              <w:rPr>
                <w:sz w:val="24"/>
                <w:szCs w:val="24"/>
              </w:rPr>
              <w:t>Neni 3, pika 2</w:t>
            </w:r>
          </w:p>
        </w:tc>
        <w:tc>
          <w:tcPr>
            <w:tcW w:w="4535" w:type="dxa"/>
            <w:tcMar>
              <w:top w:w="55" w:type="dxa"/>
              <w:left w:w="55" w:type="dxa"/>
              <w:bottom w:w="55" w:type="dxa"/>
              <w:right w:w="55" w:type="dxa"/>
            </w:tcMar>
          </w:tcPr>
          <w:p w14:paraId="189E5F5A" w14:textId="77777777" w:rsidR="00454689" w:rsidRPr="00454689" w:rsidRDefault="00454689">
            <w:pPr>
              <w:spacing w:after="20"/>
              <w:rPr>
                <w:sz w:val="24"/>
                <w:szCs w:val="24"/>
              </w:rPr>
            </w:pPr>
            <w:r w:rsidRPr="00454689">
              <w:rPr>
                <w:sz w:val="24"/>
                <w:szCs w:val="24"/>
              </w:rPr>
              <w:t>Shuma totale vjetore e ndarjeve për angazhime të regjistruara në buxhetin e Bashkimit nuk duhet të tejkalojë 1,46% të shumës së AKB-së së të gjitha shteteve anëtare.</w:t>
            </w:r>
          </w:p>
        </w:tc>
        <w:tc>
          <w:tcPr>
            <w:tcW w:w="1020" w:type="dxa"/>
            <w:tcMar>
              <w:top w:w="55" w:type="dxa"/>
              <w:left w:w="55" w:type="dxa"/>
              <w:bottom w:w="55" w:type="dxa"/>
              <w:right w:w="55" w:type="dxa"/>
            </w:tcMar>
          </w:tcPr>
          <w:p w14:paraId="0EBCB439"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785AAED8"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49F280E4"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77477E5F" w14:textId="77777777" w:rsidR="00454689" w:rsidRPr="00454689" w:rsidRDefault="00454689">
            <w:pPr>
              <w:spacing w:after="20"/>
              <w:rPr>
                <w:sz w:val="24"/>
                <w:szCs w:val="24"/>
              </w:rPr>
            </w:pPr>
            <w:r w:rsidRPr="00454689">
              <w:rPr>
                <w:sz w:val="24"/>
                <w:szCs w:val="24"/>
              </w:rPr>
              <w:t>Tavani i ndarjeve për angazhime është rregull buxhetor i nivelit të BE-së dhe nuk është objekt i transpozimit kombëtar.</w:t>
            </w:r>
          </w:p>
        </w:tc>
      </w:tr>
      <w:tr w:rsidR="00454689" w:rsidRPr="00454689" w14:paraId="0C356BE6" w14:textId="77777777">
        <w:trPr>
          <w:cantSplit/>
        </w:trPr>
        <w:tc>
          <w:tcPr>
            <w:tcW w:w="1531" w:type="dxa"/>
            <w:tcMar>
              <w:top w:w="55" w:type="dxa"/>
              <w:left w:w="55" w:type="dxa"/>
              <w:bottom w:w="55" w:type="dxa"/>
              <w:right w:w="55" w:type="dxa"/>
            </w:tcMar>
          </w:tcPr>
          <w:p w14:paraId="5224D9A6" w14:textId="77777777" w:rsidR="00454689" w:rsidRPr="00454689" w:rsidRDefault="00454689">
            <w:pPr>
              <w:spacing w:after="20"/>
              <w:rPr>
                <w:sz w:val="24"/>
                <w:szCs w:val="24"/>
              </w:rPr>
            </w:pPr>
            <w:r w:rsidRPr="00454689">
              <w:rPr>
                <w:sz w:val="24"/>
                <w:szCs w:val="24"/>
              </w:rPr>
              <w:t>Neni 3, pika 3</w:t>
            </w:r>
          </w:p>
        </w:tc>
        <w:tc>
          <w:tcPr>
            <w:tcW w:w="4535" w:type="dxa"/>
            <w:tcMar>
              <w:top w:w="55" w:type="dxa"/>
              <w:left w:w="55" w:type="dxa"/>
              <w:bottom w:w="55" w:type="dxa"/>
              <w:right w:w="55" w:type="dxa"/>
            </w:tcMar>
          </w:tcPr>
          <w:p w14:paraId="6ABE943D" w14:textId="77777777" w:rsidR="00454689" w:rsidRPr="00454689" w:rsidRDefault="00454689">
            <w:pPr>
              <w:spacing w:after="20"/>
              <w:rPr>
                <w:sz w:val="24"/>
                <w:szCs w:val="24"/>
              </w:rPr>
            </w:pPr>
            <w:r w:rsidRPr="00454689">
              <w:rPr>
                <w:sz w:val="24"/>
                <w:szCs w:val="24"/>
              </w:rPr>
              <w:t>Duhet të ruhet një raport i rregullt ndërmjet ndarjeve për angazhime dhe ndarjeve për pagesa, për të garantuar përputhshmërinë e tyre dhe për të mundësuar respektimin e tavanit të përcaktuar në pikën 1 gjatë viteve pasuese.</w:t>
            </w:r>
          </w:p>
        </w:tc>
        <w:tc>
          <w:tcPr>
            <w:tcW w:w="1020" w:type="dxa"/>
            <w:tcMar>
              <w:top w:w="55" w:type="dxa"/>
              <w:left w:w="55" w:type="dxa"/>
              <w:bottom w:w="55" w:type="dxa"/>
              <w:right w:w="55" w:type="dxa"/>
            </w:tcMar>
          </w:tcPr>
          <w:p w14:paraId="2C49C752"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2570627E"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637F3D1C"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23584400" w14:textId="77777777" w:rsidR="00454689" w:rsidRPr="00454689" w:rsidRDefault="00454689">
            <w:pPr>
              <w:spacing w:after="20"/>
              <w:rPr>
                <w:sz w:val="24"/>
                <w:szCs w:val="24"/>
              </w:rPr>
            </w:pPr>
            <w:r w:rsidRPr="00454689">
              <w:rPr>
                <w:sz w:val="24"/>
                <w:szCs w:val="24"/>
              </w:rPr>
              <w:t>Marrëdhënia ndërmjet ndarjeve të BE-së për angazhime dhe pagesa rregullohet ekskluzivisht nga e drejta buxhetore e BE-së.</w:t>
            </w:r>
          </w:p>
        </w:tc>
      </w:tr>
      <w:tr w:rsidR="00454689" w:rsidRPr="00454689" w14:paraId="07C2BE3A" w14:textId="77777777">
        <w:trPr>
          <w:cantSplit/>
        </w:trPr>
        <w:tc>
          <w:tcPr>
            <w:tcW w:w="1531" w:type="dxa"/>
            <w:tcMar>
              <w:top w:w="55" w:type="dxa"/>
              <w:left w:w="55" w:type="dxa"/>
              <w:bottom w:w="55" w:type="dxa"/>
              <w:right w:w="55" w:type="dxa"/>
            </w:tcMar>
          </w:tcPr>
          <w:p w14:paraId="59684536" w14:textId="77777777" w:rsidR="00454689" w:rsidRPr="00454689" w:rsidRDefault="00454689">
            <w:pPr>
              <w:spacing w:after="20"/>
              <w:rPr>
                <w:sz w:val="24"/>
                <w:szCs w:val="24"/>
              </w:rPr>
            </w:pPr>
            <w:r w:rsidRPr="00454689">
              <w:rPr>
                <w:sz w:val="24"/>
                <w:szCs w:val="24"/>
              </w:rPr>
              <w:lastRenderedPageBreak/>
              <w:t>Neni 3, pika 4</w:t>
            </w:r>
          </w:p>
        </w:tc>
        <w:tc>
          <w:tcPr>
            <w:tcW w:w="4535" w:type="dxa"/>
            <w:tcMar>
              <w:top w:w="55" w:type="dxa"/>
              <w:left w:w="55" w:type="dxa"/>
              <w:bottom w:w="55" w:type="dxa"/>
              <w:right w:w="55" w:type="dxa"/>
            </w:tcMar>
          </w:tcPr>
          <w:p w14:paraId="10340CF3" w14:textId="77777777" w:rsidR="00454689" w:rsidRPr="00454689" w:rsidRDefault="00454689">
            <w:pPr>
              <w:spacing w:after="20"/>
              <w:rPr>
                <w:sz w:val="24"/>
                <w:szCs w:val="24"/>
              </w:rPr>
            </w:pPr>
            <w:r w:rsidRPr="00454689">
              <w:rPr>
                <w:sz w:val="24"/>
                <w:szCs w:val="24"/>
              </w:rPr>
              <w:t>Kur ndryshimet e Rregullores (BE) nr. 549/2013 sjellin ndryshime të rëndësishme në nivelin e AKB-së, Komisioni rillogarit tavanet e përcaktuara në pikat 1 dhe 2, të rritura përkohësisht sipas nenit 6, në bazë të formulës së parashikuar, ku: “x %” është tavani i burimeve vetjake për ndarjet për pagesa; “y %” është tavani i burimeve vetjake për ndarjet për angazhime; “t” është viti i fundit i plotë për të cilin janë të disponueshme të dhënat e përcaktuara në Rregulloren (BE) 2019/516; dhe “ESA” është Sistemi Evropian i Llogarive Kombëtare dhe Rajonale në Bashkim.</w:t>
            </w:r>
          </w:p>
        </w:tc>
        <w:tc>
          <w:tcPr>
            <w:tcW w:w="1020" w:type="dxa"/>
            <w:tcMar>
              <w:top w:w="55" w:type="dxa"/>
              <w:left w:w="55" w:type="dxa"/>
              <w:bottom w:w="55" w:type="dxa"/>
              <w:right w:w="55" w:type="dxa"/>
            </w:tcMar>
          </w:tcPr>
          <w:p w14:paraId="37E18212"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6147C46E" w14:textId="77777777" w:rsidR="00454689" w:rsidRPr="00454689" w:rsidRDefault="00454689">
            <w:pPr>
              <w:spacing w:after="20"/>
              <w:rPr>
                <w:sz w:val="24"/>
                <w:szCs w:val="24"/>
              </w:rPr>
            </w:pPr>
            <w:r w:rsidRPr="00454689">
              <w:rPr>
                <w:sz w:val="24"/>
                <w:szCs w:val="24"/>
              </w:rPr>
              <w:t>Nenet 6, 10(3)(c), 10(4)(b), 11(3) dhe 12(4). INSTAT-i raporton rishikimet e AKB-së dhe ministria përgjegjëse për financat pasqyron rishikimet statistikore dhe metodologjike në Kontributin Kombëtar dhe në planifikimin buxhetor.</w:t>
            </w:r>
          </w:p>
        </w:tc>
        <w:tc>
          <w:tcPr>
            <w:tcW w:w="850" w:type="dxa"/>
            <w:tcMar>
              <w:top w:w="55" w:type="dxa"/>
              <w:left w:w="55" w:type="dxa"/>
              <w:bottom w:w="55" w:type="dxa"/>
              <w:right w:w="55" w:type="dxa"/>
            </w:tcMar>
          </w:tcPr>
          <w:p w14:paraId="19478C46"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68DD2AE0" w14:textId="77777777" w:rsidR="00454689" w:rsidRPr="00454689" w:rsidRDefault="00454689">
            <w:pPr>
              <w:spacing w:after="20"/>
              <w:rPr>
                <w:sz w:val="24"/>
                <w:szCs w:val="24"/>
              </w:rPr>
            </w:pPr>
            <w:r w:rsidRPr="00454689">
              <w:rPr>
                <w:sz w:val="24"/>
                <w:szCs w:val="24"/>
              </w:rPr>
              <w:t>Pasojat kombëtare të rishikimeve të AKB-së rregullohen. Rillogaritja e tavaneve të burimeve vetjake të Bashkimit mbetet përgjegjësi ekskluzive e Komisionit.</w:t>
            </w:r>
          </w:p>
        </w:tc>
      </w:tr>
      <w:tr w:rsidR="00454689" w:rsidRPr="00454689" w14:paraId="0D1EE020" w14:textId="77777777">
        <w:trPr>
          <w:cantSplit/>
        </w:trPr>
        <w:tc>
          <w:tcPr>
            <w:tcW w:w="1531" w:type="dxa"/>
            <w:tcMar>
              <w:top w:w="55" w:type="dxa"/>
              <w:left w:w="55" w:type="dxa"/>
              <w:bottom w:w="55" w:type="dxa"/>
              <w:right w:w="55" w:type="dxa"/>
            </w:tcMar>
          </w:tcPr>
          <w:p w14:paraId="3F090D3D" w14:textId="77777777" w:rsidR="00454689" w:rsidRPr="00454689" w:rsidRDefault="00454689">
            <w:pPr>
              <w:spacing w:after="20"/>
              <w:rPr>
                <w:sz w:val="24"/>
                <w:szCs w:val="24"/>
              </w:rPr>
            </w:pPr>
            <w:r w:rsidRPr="00454689">
              <w:rPr>
                <w:sz w:val="24"/>
                <w:szCs w:val="24"/>
              </w:rPr>
              <w:t xml:space="preserve">Neni 4 - </w:t>
            </w:r>
            <w:proofErr w:type="spellStart"/>
            <w:r w:rsidRPr="00454689">
              <w:rPr>
                <w:sz w:val="24"/>
                <w:szCs w:val="24"/>
              </w:rPr>
              <w:t>Përdorimi</w:t>
            </w:r>
            <w:proofErr w:type="spellEnd"/>
            <w:r w:rsidRPr="00454689">
              <w:rPr>
                <w:sz w:val="24"/>
                <w:szCs w:val="24"/>
              </w:rPr>
              <w:t xml:space="preserve"> </w:t>
            </w:r>
            <w:proofErr w:type="spellStart"/>
            <w:r w:rsidRPr="00454689">
              <w:rPr>
                <w:sz w:val="24"/>
                <w:szCs w:val="24"/>
              </w:rPr>
              <w:t>i</w:t>
            </w:r>
            <w:proofErr w:type="spellEnd"/>
            <w:r w:rsidRPr="00454689">
              <w:rPr>
                <w:sz w:val="24"/>
                <w:szCs w:val="24"/>
              </w:rPr>
              <w:t xml:space="preserve"> fondeve të marra hua në tregjet e kapitalit</w:t>
            </w:r>
          </w:p>
        </w:tc>
        <w:tc>
          <w:tcPr>
            <w:tcW w:w="4535" w:type="dxa"/>
            <w:tcMar>
              <w:top w:w="55" w:type="dxa"/>
              <w:left w:w="55" w:type="dxa"/>
              <w:bottom w:w="55" w:type="dxa"/>
              <w:right w:w="55" w:type="dxa"/>
            </w:tcMar>
          </w:tcPr>
          <w:p w14:paraId="594DB3B3" w14:textId="77777777" w:rsidR="00454689" w:rsidRPr="00454689" w:rsidRDefault="00454689">
            <w:pPr>
              <w:spacing w:after="20"/>
              <w:rPr>
                <w:sz w:val="24"/>
                <w:szCs w:val="24"/>
              </w:rPr>
            </w:pPr>
            <w:r w:rsidRPr="00454689">
              <w:rPr>
                <w:sz w:val="24"/>
                <w:szCs w:val="24"/>
              </w:rPr>
              <w:t>Bashkimi nuk përdor fonde të marra hua në tregjet e kapitalit për financimin e shpenzimeve operative.</w:t>
            </w:r>
          </w:p>
        </w:tc>
        <w:tc>
          <w:tcPr>
            <w:tcW w:w="1020" w:type="dxa"/>
            <w:tcMar>
              <w:top w:w="55" w:type="dxa"/>
              <w:left w:w="55" w:type="dxa"/>
              <w:bottom w:w="55" w:type="dxa"/>
              <w:right w:w="55" w:type="dxa"/>
            </w:tcMar>
          </w:tcPr>
          <w:p w14:paraId="14F3D25D"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68DA08AF"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0F8C05AF"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09C2B177" w14:textId="77777777" w:rsidR="00454689" w:rsidRPr="00454689" w:rsidRDefault="00454689">
            <w:pPr>
              <w:spacing w:after="20"/>
              <w:rPr>
                <w:sz w:val="24"/>
                <w:szCs w:val="24"/>
              </w:rPr>
            </w:pPr>
            <w:r w:rsidRPr="00454689">
              <w:rPr>
                <w:sz w:val="24"/>
                <w:szCs w:val="24"/>
              </w:rPr>
              <w:t>Kufizimi i përdorimit të fondeve të huazuara nga Bashkimi lidhet me administrimin e borxhit të BE-së dhe nuk kërkon zbatim në ligjin shqiptar.</w:t>
            </w:r>
          </w:p>
        </w:tc>
      </w:tr>
      <w:tr w:rsidR="00454689" w:rsidRPr="00454689" w14:paraId="241DA928" w14:textId="77777777">
        <w:trPr>
          <w:cantSplit/>
        </w:trPr>
        <w:tc>
          <w:tcPr>
            <w:tcW w:w="1531" w:type="dxa"/>
            <w:tcMar>
              <w:top w:w="55" w:type="dxa"/>
              <w:left w:w="55" w:type="dxa"/>
              <w:bottom w:w="55" w:type="dxa"/>
              <w:right w:w="55" w:type="dxa"/>
            </w:tcMar>
          </w:tcPr>
          <w:p w14:paraId="421777CA" w14:textId="77777777" w:rsidR="00454689" w:rsidRPr="00454689" w:rsidRDefault="00454689">
            <w:pPr>
              <w:spacing w:after="20"/>
              <w:rPr>
                <w:sz w:val="24"/>
                <w:szCs w:val="24"/>
              </w:rPr>
            </w:pPr>
            <w:r w:rsidRPr="00454689">
              <w:rPr>
                <w:sz w:val="24"/>
                <w:szCs w:val="24"/>
              </w:rPr>
              <w:lastRenderedPageBreak/>
              <w:t>Neni 5, pika 1(a) - Mjete shtesë të jashtëzakonshme dhe të përkohshme për pasojat e COVID-19</w:t>
            </w:r>
          </w:p>
        </w:tc>
        <w:tc>
          <w:tcPr>
            <w:tcW w:w="4535" w:type="dxa"/>
            <w:tcMar>
              <w:top w:w="55" w:type="dxa"/>
              <w:left w:w="55" w:type="dxa"/>
              <w:bottom w:w="55" w:type="dxa"/>
              <w:right w:w="55" w:type="dxa"/>
            </w:tcMar>
          </w:tcPr>
          <w:p w14:paraId="195B5C53" w14:textId="77777777" w:rsidR="00454689" w:rsidRPr="00454689" w:rsidRDefault="00454689">
            <w:pPr>
              <w:spacing w:after="20"/>
              <w:rPr>
                <w:sz w:val="24"/>
                <w:szCs w:val="24"/>
              </w:rPr>
            </w:pPr>
            <w:r w:rsidRPr="00454689">
              <w:rPr>
                <w:sz w:val="24"/>
                <w:szCs w:val="24"/>
              </w:rPr>
              <w:t>Vetëm për qëllimin e përballimit të pasojave të krizës COVID-19, nëpërmjet Rregullores së Këshillit që krijon Instrumentin e Rimëkëmbjes së Bashkimit Evropian dhe legjislacionit sektorial të përmendur në të: (a) Komisioni autorizohet të marrë hua në tregjet e kapitalit, në emër të Bashkimit, deri në 750 000 milionë euro me çmimet e vitit 2018. Operacionet e huamarrjes kryhen në euro.</w:t>
            </w:r>
          </w:p>
        </w:tc>
        <w:tc>
          <w:tcPr>
            <w:tcW w:w="1020" w:type="dxa"/>
            <w:tcMar>
              <w:top w:w="55" w:type="dxa"/>
              <w:left w:w="55" w:type="dxa"/>
              <w:bottom w:w="55" w:type="dxa"/>
              <w:right w:w="55" w:type="dxa"/>
            </w:tcMar>
          </w:tcPr>
          <w:p w14:paraId="60F18AC2"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2D650D91"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18C64C65"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0A6D7492" w14:textId="77777777" w:rsidR="00454689" w:rsidRPr="00454689" w:rsidRDefault="00454689">
            <w:pPr>
              <w:spacing w:after="20"/>
              <w:rPr>
                <w:sz w:val="24"/>
                <w:szCs w:val="24"/>
              </w:rPr>
            </w:pPr>
            <w:r w:rsidRPr="00454689">
              <w:rPr>
                <w:sz w:val="24"/>
                <w:szCs w:val="24"/>
              </w:rPr>
              <w:t>Autorizimi i përkohshëm i Komisionit për huamarrje në kuadër të instrumentit të rimëkëmbjes COVID-19 është masë e nivelit të BE-së dhe jashtë fushës së ligjit kuadër kombëtar.</w:t>
            </w:r>
          </w:p>
        </w:tc>
      </w:tr>
      <w:tr w:rsidR="00454689" w:rsidRPr="00454689" w14:paraId="463194C7" w14:textId="77777777">
        <w:trPr>
          <w:cantSplit/>
        </w:trPr>
        <w:tc>
          <w:tcPr>
            <w:tcW w:w="1531" w:type="dxa"/>
            <w:tcMar>
              <w:top w:w="55" w:type="dxa"/>
              <w:left w:w="55" w:type="dxa"/>
              <w:bottom w:w="55" w:type="dxa"/>
              <w:right w:w="55" w:type="dxa"/>
            </w:tcMar>
          </w:tcPr>
          <w:p w14:paraId="127D14EE" w14:textId="77777777" w:rsidR="00454689" w:rsidRPr="00454689" w:rsidRDefault="00454689">
            <w:pPr>
              <w:spacing w:after="20"/>
              <w:rPr>
                <w:sz w:val="24"/>
                <w:szCs w:val="24"/>
              </w:rPr>
            </w:pPr>
            <w:r w:rsidRPr="00454689">
              <w:rPr>
                <w:sz w:val="24"/>
                <w:szCs w:val="24"/>
              </w:rPr>
              <w:t>Neni 5, pika 1(b)</w:t>
            </w:r>
          </w:p>
        </w:tc>
        <w:tc>
          <w:tcPr>
            <w:tcW w:w="4535" w:type="dxa"/>
            <w:tcMar>
              <w:top w:w="55" w:type="dxa"/>
              <w:left w:w="55" w:type="dxa"/>
              <w:bottom w:w="55" w:type="dxa"/>
              <w:right w:w="55" w:type="dxa"/>
            </w:tcMar>
          </w:tcPr>
          <w:p w14:paraId="6398BC9C" w14:textId="77777777" w:rsidR="00454689" w:rsidRPr="00454689" w:rsidRDefault="00454689">
            <w:pPr>
              <w:spacing w:after="20"/>
              <w:rPr>
                <w:sz w:val="24"/>
                <w:szCs w:val="24"/>
              </w:rPr>
            </w:pPr>
            <w:r w:rsidRPr="00454689">
              <w:rPr>
                <w:sz w:val="24"/>
                <w:szCs w:val="24"/>
              </w:rPr>
              <w:t>Deri në 360 000 milionë euro, me çmimet e vitit 2018, nga fondet e marra hua mund të përdoren për dhënien e huave dhe, me përjashtim nga neni 4, deri në 390 000 milionë euro, me çmimet e vitit 2018, mund të përdoren për shpenzime.</w:t>
            </w:r>
          </w:p>
        </w:tc>
        <w:tc>
          <w:tcPr>
            <w:tcW w:w="1020" w:type="dxa"/>
            <w:tcMar>
              <w:top w:w="55" w:type="dxa"/>
              <w:left w:w="55" w:type="dxa"/>
              <w:bottom w:w="55" w:type="dxa"/>
              <w:right w:w="55" w:type="dxa"/>
            </w:tcMar>
          </w:tcPr>
          <w:p w14:paraId="758897D1"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14352364"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559B6D8C"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46C672DE" w14:textId="77777777" w:rsidR="00454689" w:rsidRPr="00454689" w:rsidRDefault="00454689">
            <w:pPr>
              <w:spacing w:after="20"/>
              <w:rPr>
                <w:sz w:val="24"/>
                <w:szCs w:val="24"/>
              </w:rPr>
            </w:pPr>
            <w:r w:rsidRPr="00454689">
              <w:rPr>
                <w:sz w:val="24"/>
                <w:szCs w:val="24"/>
              </w:rPr>
              <w:t>Ndarja e fondeve të huazuara ndërmjet huave dhe shpenzimeve është rregull financiar i nivelit të BE-së.</w:t>
            </w:r>
          </w:p>
        </w:tc>
      </w:tr>
      <w:tr w:rsidR="00454689" w:rsidRPr="00454689" w14:paraId="5F5A6428" w14:textId="77777777">
        <w:trPr>
          <w:cantSplit/>
        </w:trPr>
        <w:tc>
          <w:tcPr>
            <w:tcW w:w="1531" w:type="dxa"/>
            <w:tcMar>
              <w:top w:w="55" w:type="dxa"/>
              <w:left w:w="55" w:type="dxa"/>
              <w:bottom w:w="55" w:type="dxa"/>
              <w:right w:w="55" w:type="dxa"/>
            </w:tcMar>
          </w:tcPr>
          <w:p w14:paraId="6FDBD616" w14:textId="77777777" w:rsidR="00454689" w:rsidRPr="00454689" w:rsidRDefault="00454689">
            <w:pPr>
              <w:spacing w:after="20"/>
              <w:rPr>
                <w:sz w:val="24"/>
                <w:szCs w:val="24"/>
              </w:rPr>
            </w:pPr>
            <w:r w:rsidRPr="00454689">
              <w:rPr>
                <w:sz w:val="24"/>
                <w:szCs w:val="24"/>
              </w:rPr>
              <w:t xml:space="preserve">Neni 5, pika 1, </w:t>
            </w:r>
            <w:proofErr w:type="spellStart"/>
            <w:r w:rsidRPr="00454689">
              <w:rPr>
                <w:sz w:val="24"/>
                <w:szCs w:val="24"/>
              </w:rPr>
              <w:t>nënparagrafi</w:t>
            </w:r>
            <w:proofErr w:type="spellEnd"/>
            <w:r w:rsidRPr="00454689">
              <w:rPr>
                <w:sz w:val="24"/>
                <w:szCs w:val="24"/>
              </w:rPr>
              <w:t xml:space="preserve"> i dytë</w:t>
            </w:r>
          </w:p>
        </w:tc>
        <w:tc>
          <w:tcPr>
            <w:tcW w:w="4535" w:type="dxa"/>
            <w:tcMar>
              <w:top w:w="55" w:type="dxa"/>
              <w:left w:w="55" w:type="dxa"/>
              <w:bottom w:w="55" w:type="dxa"/>
              <w:right w:w="55" w:type="dxa"/>
            </w:tcMar>
          </w:tcPr>
          <w:p w14:paraId="5FB0EF5E" w14:textId="77777777" w:rsidR="00454689" w:rsidRPr="00454689" w:rsidRDefault="00454689">
            <w:pPr>
              <w:spacing w:after="20"/>
              <w:rPr>
                <w:sz w:val="24"/>
                <w:szCs w:val="24"/>
              </w:rPr>
            </w:pPr>
            <w:r w:rsidRPr="00454689">
              <w:rPr>
                <w:sz w:val="24"/>
                <w:szCs w:val="24"/>
              </w:rPr>
              <w:t>Shuma e përmendur në pikën 1(a) përshtatet mbi bazën e një deflatori fiks prej 2% në vit. Çdo vit, Komisioni i komunikon Parlamentit Evropian dhe Këshillit shumën e përshtatur. Komisioni administron huamarrjen në mënyrë të tillë që pas vitit 2026 të mos ketë huamarrje të re neto.</w:t>
            </w:r>
          </w:p>
        </w:tc>
        <w:tc>
          <w:tcPr>
            <w:tcW w:w="1020" w:type="dxa"/>
            <w:tcMar>
              <w:top w:w="55" w:type="dxa"/>
              <w:left w:w="55" w:type="dxa"/>
              <w:bottom w:w="55" w:type="dxa"/>
              <w:right w:w="55" w:type="dxa"/>
            </w:tcMar>
          </w:tcPr>
          <w:p w14:paraId="21DBE036"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0B354326"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155DBFE1"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4896E19F" w14:textId="77777777" w:rsidR="00454689" w:rsidRPr="00454689" w:rsidRDefault="00454689">
            <w:pPr>
              <w:spacing w:after="20"/>
              <w:rPr>
                <w:sz w:val="24"/>
                <w:szCs w:val="24"/>
              </w:rPr>
            </w:pPr>
            <w:r w:rsidRPr="00454689">
              <w:rPr>
                <w:sz w:val="24"/>
                <w:szCs w:val="24"/>
              </w:rPr>
              <w:t>Përshtatja e tavanit të huamarrjes dhe afati për huamarrjen neto janë përgjegjësi të Komisionit dhe të BE-së.</w:t>
            </w:r>
          </w:p>
        </w:tc>
      </w:tr>
      <w:tr w:rsidR="00454689" w:rsidRPr="00454689" w14:paraId="43703B67" w14:textId="77777777">
        <w:trPr>
          <w:cantSplit/>
        </w:trPr>
        <w:tc>
          <w:tcPr>
            <w:tcW w:w="1531" w:type="dxa"/>
            <w:tcMar>
              <w:top w:w="55" w:type="dxa"/>
              <w:left w:w="55" w:type="dxa"/>
              <w:bottom w:w="55" w:type="dxa"/>
              <w:right w:w="55" w:type="dxa"/>
            </w:tcMar>
          </w:tcPr>
          <w:p w14:paraId="73C45F30" w14:textId="77777777" w:rsidR="00454689" w:rsidRPr="00454689" w:rsidRDefault="00454689">
            <w:pPr>
              <w:spacing w:after="20"/>
              <w:rPr>
                <w:sz w:val="24"/>
                <w:szCs w:val="24"/>
              </w:rPr>
            </w:pPr>
            <w:r w:rsidRPr="00454689">
              <w:rPr>
                <w:sz w:val="24"/>
                <w:szCs w:val="24"/>
              </w:rPr>
              <w:lastRenderedPageBreak/>
              <w:t>Neni 5, pika 2</w:t>
            </w:r>
          </w:p>
        </w:tc>
        <w:tc>
          <w:tcPr>
            <w:tcW w:w="4535" w:type="dxa"/>
            <w:tcMar>
              <w:top w:w="55" w:type="dxa"/>
              <w:left w:w="55" w:type="dxa"/>
              <w:bottom w:w="55" w:type="dxa"/>
              <w:right w:w="55" w:type="dxa"/>
            </w:tcMar>
          </w:tcPr>
          <w:p w14:paraId="4F84AF2B" w14:textId="77777777" w:rsidR="00454689" w:rsidRPr="00454689" w:rsidRDefault="00454689">
            <w:pPr>
              <w:spacing w:after="20"/>
              <w:rPr>
                <w:sz w:val="24"/>
                <w:szCs w:val="24"/>
              </w:rPr>
            </w:pPr>
            <w:r w:rsidRPr="00454689">
              <w:rPr>
                <w:sz w:val="24"/>
                <w:szCs w:val="24"/>
              </w:rPr>
              <w:t>Shlyerja e principalit të fondeve të marra hua që përdoren për shpenzime sipas pikës 1(b), si dhe interesi përkatës, përballohen nga buxheti i Bashkimit. Angazhimet buxhetore mund të ndahen për disa vite në këste vjetore, në përputhje me nenin 112(2) të Rregullores (BE, Euratom) 2018/1046. Shlyerja planifikohet sipas parimit të menaxhimit të shëndoshë financiar, për të siguruar uljen e qëndrueshme dhe të parashikueshme të detyrimeve. Shlyerjet e principalit fillojnë para përfundimit të periudhës së KSHSH-së 2021-2027, me një shumë minimale, për aq sa e lejojnë shumat e papërdorura për pagesën e interesave, duke respektuar procedurën e nenit 314 TFBE. Të gjitha detyrimet e krijuara nga autorizimi i jashtëzakonshëm dhe i përkohshëm për huamarrje shlyhen plotësisht jo më vonë se 31 dhjetor 2058. Shumat vjetore për shlyerjen e principalit nuk tejkalojnë 7,5% të shumës maksimale të përdorur për shpenzime sipas pikës 1(b).</w:t>
            </w:r>
          </w:p>
        </w:tc>
        <w:tc>
          <w:tcPr>
            <w:tcW w:w="1020" w:type="dxa"/>
            <w:tcMar>
              <w:top w:w="55" w:type="dxa"/>
              <w:left w:w="55" w:type="dxa"/>
              <w:bottom w:w="55" w:type="dxa"/>
              <w:right w:w="55" w:type="dxa"/>
            </w:tcMar>
          </w:tcPr>
          <w:p w14:paraId="3040F2D8"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46B1035D"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0FDAD7C9"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5994FB0E" w14:textId="77777777" w:rsidR="00454689" w:rsidRPr="00454689" w:rsidRDefault="00454689">
            <w:pPr>
              <w:spacing w:after="20"/>
              <w:rPr>
                <w:sz w:val="24"/>
                <w:szCs w:val="24"/>
              </w:rPr>
            </w:pPr>
            <w:r w:rsidRPr="00454689">
              <w:rPr>
                <w:sz w:val="24"/>
                <w:szCs w:val="24"/>
              </w:rPr>
              <w:t>Shlyerja, grafiku i pagesave dhe afati 2058 lidhen me detyrimet e Bashkimit dhe nuk janë objekt i transpozimit kombëtar.</w:t>
            </w:r>
          </w:p>
        </w:tc>
      </w:tr>
      <w:tr w:rsidR="00454689" w:rsidRPr="00454689" w14:paraId="4DF645BC" w14:textId="77777777">
        <w:trPr>
          <w:cantSplit/>
        </w:trPr>
        <w:tc>
          <w:tcPr>
            <w:tcW w:w="1531" w:type="dxa"/>
            <w:tcMar>
              <w:top w:w="55" w:type="dxa"/>
              <w:left w:w="55" w:type="dxa"/>
              <w:bottom w:w="55" w:type="dxa"/>
              <w:right w:w="55" w:type="dxa"/>
            </w:tcMar>
          </w:tcPr>
          <w:p w14:paraId="7842CBC7" w14:textId="77777777" w:rsidR="00454689" w:rsidRPr="00454689" w:rsidRDefault="00454689">
            <w:pPr>
              <w:spacing w:after="20"/>
              <w:rPr>
                <w:sz w:val="24"/>
                <w:szCs w:val="24"/>
              </w:rPr>
            </w:pPr>
            <w:r w:rsidRPr="00454689">
              <w:rPr>
                <w:sz w:val="24"/>
                <w:szCs w:val="24"/>
              </w:rPr>
              <w:lastRenderedPageBreak/>
              <w:t>Neni 5, pika 3</w:t>
            </w:r>
          </w:p>
        </w:tc>
        <w:tc>
          <w:tcPr>
            <w:tcW w:w="4535" w:type="dxa"/>
            <w:tcMar>
              <w:top w:w="55" w:type="dxa"/>
              <w:left w:w="55" w:type="dxa"/>
              <w:bottom w:w="55" w:type="dxa"/>
              <w:right w:w="55" w:type="dxa"/>
            </w:tcMar>
          </w:tcPr>
          <w:p w14:paraId="3590922C" w14:textId="77777777" w:rsidR="00454689" w:rsidRPr="00454689" w:rsidRDefault="00454689">
            <w:pPr>
              <w:spacing w:after="20"/>
              <w:rPr>
                <w:sz w:val="24"/>
                <w:szCs w:val="24"/>
              </w:rPr>
            </w:pPr>
            <w:r w:rsidRPr="00454689">
              <w:rPr>
                <w:sz w:val="24"/>
                <w:szCs w:val="24"/>
              </w:rPr>
              <w:t>Komisioni përcakton rregullimet e nevojshme për administrimin e operacioneve të huamarrjes. Ai informon rregullisht dhe në mënyrë të plotë Parlamentin Evropian dhe Këshillin për të gjitha aspektet e strategjisë së administrimit të borxhit. Komisioni përcakton një kalendar emetimi, që përmban datat dhe vëllimet e pritshme të emetimit për vitin pasardhës, si dhe një plan me pagesat e pritshme të principalit dhe interesit, ua komunikon këto Parlamentit Evropian dhe Këshillit dhe e përditëson rregullisht kalendarin.</w:t>
            </w:r>
          </w:p>
        </w:tc>
        <w:tc>
          <w:tcPr>
            <w:tcW w:w="1020" w:type="dxa"/>
            <w:tcMar>
              <w:top w:w="55" w:type="dxa"/>
              <w:left w:w="55" w:type="dxa"/>
              <w:bottom w:w="55" w:type="dxa"/>
              <w:right w:w="55" w:type="dxa"/>
            </w:tcMar>
          </w:tcPr>
          <w:p w14:paraId="064465A6"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08FC459C"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51071CE8"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18ECC2B5" w14:textId="77777777" w:rsidR="00454689" w:rsidRPr="00454689" w:rsidRDefault="00454689">
            <w:pPr>
              <w:spacing w:after="20"/>
              <w:rPr>
                <w:sz w:val="24"/>
                <w:szCs w:val="24"/>
              </w:rPr>
            </w:pPr>
            <w:r w:rsidRPr="00454689">
              <w:rPr>
                <w:sz w:val="24"/>
                <w:szCs w:val="24"/>
              </w:rPr>
              <w:t>Administrimi dhe raportimi i operacioneve të huamarrjes së BE-së janë përgjegjësi të Komisionit.</w:t>
            </w:r>
          </w:p>
        </w:tc>
      </w:tr>
      <w:tr w:rsidR="00454689" w:rsidRPr="00454689" w14:paraId="09BA9DBB" w14:textId="77777777">
        <w:trPr>
          <w:cantSplit/>
        </w:trPr>
        <w:tc>
          <w:tcPr>
            <w:tcW w:w="1531" w:type="dxa"/>
            <w:tcMar>
              <w:top w:w="55" w:type="dxa"/>
              <w:left w:w="55" w:type="dxa"/>
              <w:bottom w:w="55" w:type="dxa"/>
              <w:right w:w="55" w:type="dxa"/>
            </w:tcMar>
          </w:tcPr>
          <w:p w14:paraId="15BF6222" w14:textId="77777777" w:rsidR="00454689" w:rsidRPr="00454689" w:rsidRDefault="00454689">
            <w:pPr>
              <w:spacing w:after="20"/>
              <w:rPr>
                <w:sz w:val="24"/>
                <w:szCs w:val="24"/>
              </w:rPr>
            </w:pPr>
            <w:r w:rsidRPr="00454689">
              <w:rPr>
                <w:sz w:val="24"/>
                <w:szCs w:val="24"/>
              </w:rPr>
              <w:t xml:space="preserve">Neni 6 - </w:t>
            </w:r>
            <w:proofErr w:type="spellStart"/>
            <w:r w:rsidRPr="00454689">
              <w:rPr>
                <w:sz w:val="24"/>
                <w:szCs w:val="24"/>
              </w:rPr>
              <w:t>Rritja</w:t>
            </w:r>
            <w:proofErr w:type="spellEnd"/>
            <w:r w:rsidRPr="00454689">
              <w:rPr>
                <w:sz w:val="24"/>
                <w:szCs w:val="24"/>
              </w:rPr>
              <w:t xml:space="preserve"> e jashtëzakonshme dhe e përkohshme e tavaneve</w:t>
            </w:r>
          </w:p>
        </w:tc>
        <w:tc>
          <w:tcPr>
            <w:tcW w:w="4535" w:type="dxa"/>
            <w:tcMar>
              <w:top w:w="55" w:type="dxa"/>
              <w:left w:w="55" w:type="dxa"/>
              <w:bottom w:w="55" w:type="dxa"/>
              <w:right w:w="55" w:type="dxa"/>
            </w:tcMar>
          </w:tcPr>
          <w:p w14:paraId="6A24818C" w14:textId="77777777" w:rsidR="00454689" w:rsidRPr="00454689" w:rsidRDefault="00454689">
            <w:pPr>
              <w:spacing w:after="20"/>
              <w:rPr>
                <w:sz w:val="24"/>
                <w:szCs w:val="24"/>
              </w:rPr>
            </w:pPr>
            <w:r w:rsidRPr="00454689">
              <w:rPr>
                <w:sz w:val="24"/>
                <w:szCs w:val="24"/>
              </w:rPr>
              <w:t>Tavanet e përcaktuara në nenin 3(1) dhe (2) rriten përkohësisht secili me 0,6 pikë përqindjeje, vetëm për mbulimin e të gjitha detyrimeve të Bashkimit që rrjedhin nga huamarrja e përmendur në nenin 5, derisa të gjitha këto detyrime të kenë pushuar së ekzistuari dhe, në çdo rast, jo më vonë se 31 dhjetor 2058. Rritja e tavaneve nuk përdoret për mbulimin e ndonjë detyrimi tjetër të Bashkimit.</w:t>
            </w:r>
          </w:p>
        </w:tc>
        <w:tc>
          <w:tcPr>
            <w:tcW w:w="1020" w:type="dxa"/>
            <w:tcMar>
              <w:top w:w="55" w:type="dxa"/>
              <w:left w:w="55" w:type="dxa"/>
              <w:bottom w:w="55" w:type="dxa"/>
              <w:right w:w="55" w:type="dxa"/>
            </w:tcMar>
          </w:tcPr>
          <w:p w14:paraId="158AD7D7"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0A870FE0"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7A78C3C3"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05FB034F" w14:textId="77777777" w:rsidR="00454689" w:rsidRPr="00454689" w:rsidRDefault="00454689">
            <w:pPr>
              <w:spacing w:after="20"/>
              <w:rPr>
                <w:sz w:val="24"/>
                <w:szCs w:val="24"/>
              </w:rPr>
            </w:pPr>
            <w:r w:rsidRPr="00454689">
              <w:rPr>
                <w:sz w:val="24"/>
                <w:szCs w:val="24"/>
              </w:rPr>
              <w:t>Rritja e përkohshme prej 0,6 pikë përqindjeje e tavaneve të BE-së është rregull i nivelit të BE-së dhe nuk kërkon përafrim kombëtar.</w:t>
            </w:r>
          </w:p>
        </w:tc>
      </w:tr>
      <w:tr w:rsidR="00454689" w:rsidRPr="00454689" w14:paraId="1F5BCF07" w14:textId="77777777">
        <w:trPr>
          <w:cantSplit/>
        </w:trPr>
        <w:tc>
          <w:tcPr>
            <w:tcW w:w="1531" w:type="dxa"/>
            <w:tcMar>
              <w:top w:w="55" w:type="dxa"/>
              <w:left w:w="55" w:type="dxa"/>
              <w:bottom w:w="55" w:type="dxa"/>
              <w:right w:w="55" w:type="dxa"/>
            </w:tcMar>
          </w:tcPr>
          <w:p w14:paraId="13474B3D" w14:textId="77777777" w:rsidR="00454689" w:rsidRPr="00454689" w:rsidRDefault="00454689">
            <w:pPr>
              <w:spacing w:after="20"/>
              <w:rPr>
                <w:sz w:val="24"/>
                <w:szCs w:val="24"/>
              </w:rPr>
            </w:pPr>
            <w:r w:rsidRPr="00454689">
              <w:rPr>
                <w:sz w:val="24"/>
                <w:szCs w:val="24"/>
              </w:rPr>
              <w:lastRenderedPageBreak/>
              <w:t xml:space="preserve">Neni 7 - Parimi </w:t>
            </w:r>
            <w:proofErr w:type="spellStart"/>
            <w:r w:rsidRPr="00454689">
              <w:rPr>
                <w:sz w:val="24"/>
                <w:szCs w:val="24"/>
              </w:rPr>
              <w:t>i</w:t>
            </w:r>
            <w:proofErr w:type="spellEnd"/>
            <w:r w:rsidRPr="00454689">
              <w:rPr>
                <w:sz w:val="24"/>
                <w:szCs w:val="24"/>
              </w:rPr>
              <w:t xml:space="preserve"> universalitetit</w:t>
            </w:r>
          </w:p>
        </w:tc>
        <w:tc>
          <w:tcPr>
            <w:tcW w:w="4535" w:type="dxa"/>
            <w:tcMar>
              <w:top w:w="55" w:type="dxa"/>
              <w:left w:w="55" w:type="dxa"/>
              <w:bottom w:w="55" w:type="dxa"/>
              <w:right w:w="55" w:type="dxa"/>
            </w:tcMar>
          </w:tcPr>
          <w:p w14:paraId="311E2027" w14:textId="77777777" w:rsidR="00454689" w:rsidRPr="00454689" w:rsidRDefault="00454689">
            <w:pPr>
              <w:spacing w:after="20"/>
              <w:rPr>
                <w:sz w:val="24"/>
                <w:szCs w:val="24"/>
              </w:rPr>
            </w:pPr>
            <w:r w:rsidRPr="00454689">
              <w:rPr>
                <w:sz w:val="24"/>
                <w:szCs w:val="24"/>
              </w:rPr>
              <w:t>Të ardhurat e përmendura në nenin 2 përdoren pa dallim për financimin e të gjitha shpenzimeve të regjistruara në buxhetin vjetor të Bashkimit.</w:t>
            </w:r>
          </w:p>
        </w:tc>
        <w:tc>
          <w:tcPr>
            <w:tcW w:w="1020" w:type="dxa"/>
            <w:tcMar>
              <w:top w:w="55" w:type="dxa"/>
              <w:left w:w="55" w:type="dxa"/>
              <w:bottom w:w="55" w:type="dxa"/>
              <w:right w:w="55" w:type="dxa"/>
            </w:tcMar>
          </w:tcPr>
          <w:p w14:paraId="6BC44C76"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64B631F7" w14:textId="77777777" w:rsidR="00454689" w:rsidRPr="00454689" w:rsidRDefault="00454689">
            <w:pPr>
              <w:spacing w:after="20"/>
              <w:rPr>
                <w:sz w:val="24"/>
                <w:szCs w:val="24"/>
              </w:rPr>
            </w:pPr>
            <w:r w:rsidRPr="00454689">
              <w:rPr>
                <w:sz w:val="24"/>
                <w:szCs w:val="24"/>
              </w:rPr>
              <w:t>Nenet 10-12. Kontributi Kombëtar planifikohet dhe financohet nëpërmjet Buxhetit të Shtetit dhe vihet në dispozicion të buxhetit të Bashkimit, në përputhje me legjislacionin e BE-së për burimet vetjake.</w:t>
            </w:r>
          </w:p>
        </w:tc>
        <w:tc>
          <w:tcPr>
            <w:tcW w:w="850" w:type="dxa"/>
            <w:tcMar>
              <w:top w:w="55" w:type="dxa"/>
              <w:left w:w="55" w:type="dxa"/>
              <w:bottom w:w="55" w:type="dxa"/>
              <w:right w:w="55" w:type="dxa"/>
            </w:tcMar>
          </w:tcPr>
          <w:p w14:paraId="3CA7CE89"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0CAB36A3" w14:textId="77777777" w:rsidR="00454689" w:rsidRPr="00454689" w:rsidRDefault="00454689">
            <w:pPr>
              <w:spacing w:after="20"/>
              <w:rPr>
                <w:sz w:val="24"/>
                <w:szCs w:val="24"/>
              </w:rPr>
            </w:pPr>
            <w:r w:rsidRPr="00454689">
              <w:rPr>
                <w:sz w:val="24"/>
                <w:szCs w:val="24"/>
              </w:rPr>
              <w:t>Projektligji mundëson financimin e buxhetit të Bashkimit, por nuk ripërcakton parimin e universalitetit të BE-së, i cili zbatohet drejtpërdrejt për buxhetin e Bashkimit.</w:t>
            </w:r>
          </w:p>
        </w:tc>
      </w:tr>
      <w:tr w:rsidR="00454689" w:rsidRPr="00454689" w14:paraId="094A998B" w14:textId="77777777">
        <w:trPr>
          <w:cantSplit/>
        </w:trPr>
        <w:tc>
          <w:tcPr>
            <w:tcW w:w="1531" w:type="dxa"/>
            <w:tcMar>
              <w:top w:w="55" w:type="dxa"/>
              <w:left w:w="55" w:type="dxa"/>
              <w:bottom w:w="55" w:type="dxa"/>
              <w:right w:w="55" w:type="dxa"/>
            </w:tcMar>
          </w:tcPr>
          <w:p w14:paraId="53AB1F03" w14:textId="77777777" w:rsidR="00454689" w:rsidRPr="00454689" w:rsidRDefault="00454689">
            <w:pPr>
              <w:spacing w:after="20"/>
              <w:rPr>
                <w:sz w:val="24"/>
                <w:szCs w:val="24"/>
              </w:rPr>
            </w:pPr>
            <w:r w:rsidRPr="00454689">
              <w:rPr>
                <w:sz w:val="24"/>
                <w:szCs w:val="24"/>
              </w:rPr>
              <w:t xml:space="preserve">Neni 8 - Kalimi </w:t>
            </w:r>
            <w:proofErr w:type="spellStart"/>
            <w:r w:rsidRPr="00454689">
              <w:rPr>
                <w:sz w:val="24"/>
                <w:szCs w:val="24"/>
              </w:rPr>
              <w:t>i</w:t>
            </w:r>
            <w:proofErr w:type="spellEnd"/>
            <w:r w:rsidRPr="00454689">
              <w:rPr>
                <w:sz w:val="24"/>
                <w:szCs w:val="24"/>
              </w:rPr>
              <w:t xml:space="preserve"> tepricës</w:t>
            </w:r>
          </w:p>
        </w:tc>
        <w:tc>
          <w:tcPr>
            <w:tcW w:w="4535" w:type="dxa"/>
            <w:tcMar>
              <w:top w:w="55" w:type="dxa"/>
              <w:left w:w="55" w:type="dxa"/>
              <w:bottom w:w="55" w:type="dxa"/>
              <w:right w:w="55" w:type="dxa"/>
            </w:tcMar>
          </w:tcPr>
          <w:p w14:paraId="66D18942" w14:textId="77777777" w:rsidR="00454689" w:rsidRPr="00454689" w:rsidRDefault="00454689">
            <w:pPr>
              <w:spacing w:after="20"/>
              <w:rPr>
                <w:sz w:val="24"/>
                <w:szCs w:val="24"/>
              </w:rPr>
            </w:pPr>
            <w:r w:rsidRPr="00454689">
              <w:rPr>
                <w:sz w:val="24"/>
                <w:szCs w:val="24"/>
              </w:rPr>
              <w:t>Çdo tepricë e të ardhurave të Bashkimit mbi shpenzimet totale faktike gjatë një viti financiar kalon në vitin financiar pasardhës.</w:t>
            </w:r>
          </w:p>
        </w:tc>
        <w:tc>
          <w:tcPr>
            <w:tcW w:w="1020" w:type="dxa"/>
            <w:tcMar>
              <w:top w:w="55" w:type="dxa"/>
              <w:left w:w="55" w:type="dxa"/>
              <w:bottom w:w="55" w:type="dxa"/>
              <w:right w:w="55" w:type="dxa"/>
            </w:tcMar>
          </w:tcPr>
          <w:p w14:paraId="0F8B9AA5"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79B87478"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34591934"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5928B23C" w14:textId="77777777" w:rsidR="00454689" w:rsidRPr="00454689" w:rsidRDefault="00454689">
            <w:pPr>
              <w:spacing w:after="20"/>
              <w:rPr>
                <w:sz w:val="24"/>
                <w:szCs w:val="24"/>
              </w:rPr>
            </w:pPr>
            <w:r w:rsidRPr="00454689">
              <w:rPr>
                <w:sz w:val="24"/>
                <w:szCs w:val="24"/>
              </w:rPr>
              <w:t>Kalimi i tepricës së buxhetit të Bashkimit rregullohet në nivelin e BE-së dhe nuk kërkon dispozitë zbatuese kombëtare.</w:t>
            </w:r>
          </w:p>
        </w:tc>
      </w:tr>
      <w:tr w:rsidR="00454689" w:rsidRPr="00454689" w14:paraId="545604D0" w14:textId="77777777">
        <w:tc>
          <w:tcPr>
            <w:tcW w:w="1531" w:type="dxa"/>
            <w:tcMar>
              <w:top w:w="55" w:type="dxa"/>
              <w:left w:w="55" w:type="dxa"/>
              <w:bottom w:w="55" w:type="dxa"/>
              <w:right w:w="55" w:type="dxa"/>
            </w:tcMar>
          </w:tcPr>
          <w:p w14:paraId="74649FF9" w14:textId="77777777" w:rsidR="00454689" w:rsidRPr="00454689" w:rsidRDefault="00454689">
            <w:pPr>
              <w:spacing w:after="20"/>
              <w:rPr>
                <w:sz w:val="24"/>
                <w:szCs w:val="24"/>
              </w:rPr>
            </w:pPr>
            <w:r w:rsidRPr="00454689">
              <w:rPr>
                <w:sz w:val="24"/>
                <w:szCs w:val="24"/>
              </w:rPr>
              <w:t>Neni 9, pika 1 - Mbledhja dhe vënia në dispozicion</w:t>
            </w:r>
          </w:p>
        </w:tc>
        <w:tc>
          <w:tcPr>
            <w:tcW w:w="4535" w:type="dxa"/>
            <w:tcMar>
              <w:top w:w="55" w:type="dxa"/>
              <w:left w:w="55" w:type="dxa"/>
              <w:bottom w:w="55" w:type="dxa"/>
              <w:right w:w="55" w:type="dxa"/>
            </w:tcMar>
          </w:tcPr>
          <w:p w14:paraId="535A0C77" w14:textId="77777777" w:rsidR="00454689" w:rsidRPr="00454689" w:rsidRDefault="00454689">
            <w:pPr>
              <w:spacing w:after="20"/>
              <w:rPr>
                <w:sz w:val="24"/>
                <w:szCs w:val="24"/>
              </w:rPr>
            </w:pPr>
            <w:r w:rsidRPr="00454689">
              <w:rPr>
                <w:sz w:val="24"/>
                <w:szCs w:val="24"/>
              </w:rPr>
              <w:t>Burimet vetjake të përmendura në nenin 2(1)(a) mblidhen nga shtetet anëtare sipas dispozitave kombëtare të përcaktuara me ligj, rregullore ose akt administrativ. Shtetet anëtare, kur është e nevojshme, i përshtatin këto dispozita për të përmbushur kërkesat e rregullave të Bashkimit. Komisioni shqyrton dispozitat kombëtare përkatëse të komunikuara nga shtetet anëtare, u transmeton atyre përshtatjet që i vlerëson të nevojshme për të siguruar përputhshmërinë me rregullat e Bashkimit dhe, nëse është e nevojshme, i raporton Parlamentit Evropian dhe Këshillit.</w:t>
            </w:r>
          </w:p>
        </w:tc>
        <w:tc>
          <w:tcPr>
            <w:tcW w:w="1020" w:type="dxa"/>
            <w:tcMar>
              <w:top w:w="55" w:type="dxa"/>
              <w:left w:w="55" w:type="dxa"/>
              <w:bottom w:w="55" w:type="dxa"/>
              <w:right w:w="55" w:type="dxa"/>
            </w:tcMar>
          </w:tcPr>
          <w:p w14:paraId="409D188F"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65C3EBEE" w14:textId="77777777" w:rsidR="00454689" w:rsidRPr="00454689" w:rsidRDefault="00454689">
            <w:pPr>
              <w:spacing w:after="20"/>
              <w:rPr>
                <w:sz w:val="24"/>
                <w:szCs w:val="24"/>
              </w:rPr>
            </w:pPr>
            <w:r w:rsidRPr="00454689">
              <w:rPr>
                <w:sz w:val="24"/>
                <w:szCs w:val="24"/>
              </w:rPr>
              <w:t>Nenet 7(1), 7(3)(</w:t>
            </w:r>
            <w:proofErr w:type="gramStart"/>
            <w:r w:rsidRPr="00454689">
              <w:rPr>
                <w:sz w:val="24"/>
                <w:szCs w:val="24"/>
              </w:rPr>
              <w:t>a)-(</w:t>
            </w:r>
            <w:proofErr w:type="gramEnd"/>
            <w:r w:rsidRPr="00454689">
              <w:rPr>
                <w:sz w:val="24"/>
                <w:szCs w:val="24"/>
              </w:rPr>
              <w:t>d), 7(4), 7(7) dhe 15-18. Administrata Doganore konstaton, administron, mbledh, kontabilizon dhe raporton burimet tradicionale vetjake sipas së drejtës kombëtare dhe asaj të BE-së; mban regjistra elektronikë të gjurmueshëm; raporton mashtrimet dhe parregullsitë nëpërmjet OWNRES; dhe bashkëpunon me organet e verifikimit dhe auditimit të BE-së.</w:t>
            </w:r>
          </w:p>
        </w:tc>
        <w:tc>
          <w:tcPr>
            <w:tcW w:w="850" w:type="dxa"/>
            <w:tcMar>
              <w:top w:w="55" w:type="dxa"/>
              <w:left w:w="55" w:type="dxa"/>
              <w:bottom w:w="55" w:type="dxa"/>
              <w:right w:w="55" w:type="dxa"/>
            </w:tcMar>
          </w:tcPr>
          <w:p w14:paraId="283EFC54"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1362E774" w14:textId="77777777" w:rsidR="00454689" w:rsidRPr="00454689" w:rsidRDefault="00454689">
            <w:pPr>
              <w:spacing w:after="20"/>
              <w:rPr>
                <w:sz w:val="24"/>
                <w:szCs w:val="24"/>
              </w:rPr>
            </w:pPr>
            <w:r w:rsidRPr="00454689">
              <w:rPr>
                <w:sz w:val="24"/>
                <w:szCs w:val="24"/>
              </w:rPr>
              <w:t>Detyrimet kombëtare për mbledhjen, kontrollin dhe raportimin e burimeve tradicionale vetjake janë pasqyruar plotësisht. Procedurat e hollësishme doganore dhe OWNRES përcaktohen në aktet zbatuese.</w:t>
            </w:r>
          </w:p>
        </w:tc>
      </w:tr>
      <w:tr w:rsidR="00454689" w:rsidRPr="00454689" w14:paraId="28C902C1" w14:textId="77777777">
        <w:trPr>
          <w:cantSplit/>
        </w:trPr>
        <w:tc>
          <w:tcPr>
            <w:tcW w:w="1531" w:type="dxa"/>
            <w:tcMar>
              <w:top w:w="55" w:type="dxa"/>
              <w:left w:w="55" w:type="dxa"/>
              <w:bottom w:w="55" w:type="dxa"/>
              <w:right w:w="55" w:type="dxa"/>
            </w:tcMar>
          </w:tcPr>
          <w:p w14:paraId="3718D8CE" w14:textId="77777777" w:rsidR="00454689" w:rsidRPr="00454689" w:rsidRDefault="00454689">
            <w:pPr>
              <w:spacing w:after="20"/>
              <w:rPr>
                <w:sz w:val="24"/>
                <w:szCs w:val="24"/>
              </w:rPr>
            </w:pPr>
            <w:r w:rsidRPr="00454689">
              <w:rPr>
                <w:sz w:val="24"/>
                <w:szCs w:val="24"/>
              </w:rPr>
              <w:lastRenderedPageBreak/>
              <w:t>Neni 9, pika 2</w:t>
            </w:r>
          </w:p>
        </w:tc>
        <w:tc>
          <w:tcPr>
            <w:tcW w:w="4535" w:type="dxa"/>
            <w:tcMar>
              <w:top w:w="55" w:type="dxa"/>
              <w:left w:w="55" w:type="dxa"/>
              <w:bottom w:w="55" w:type="dxa"/>
              <w:right w:w="55" w:type="dxa"/>
            </w:tcMar>
          </w:tcPr>
          <w:p w14:paraId="4F423A0B" w14:textId="77777777" w:rsidR="00454689" w:rsidRPr="00454689" w:rsidRDefault="00454689">
            <w:pPr>
              <w:spacing w:after="20"/>
              <w:rPr>
                <w:sz w:val="24"/>
                <w:szCs w:val="24"/>
              </w:rPr>
            </w:pPr>
            <w:r w:rsidRPr="00454689">
              <w:rPr>
                <w:sz w:val="24"/>
                <w:szCs w:val="24"/>
              </w:rPr>
              <w:t>Shtetet anëtare mbajnë, si kosto mbledhjeje, 25% të shumave të përmendura në nenin 2(1)(a).</w:t>
            </w:r>
          </w:p>
        </w:tc>
        <w:tc>
          <w:tcPr>
            <w:tcW w:w="1020" w:type="dxa"/>
            <w:tcMar>
              <w:top w:w="55" w:type="dxa"/>
              <w:left w:w="55" w:type="dxa"/>
              <w:bottom w:w="55" w:type="dxa"/>
              <w:right w:w="55" w:type="dxa"/>
            </w:tcMar>
          </w:tcPr>
          <w:p w14:paraId="3AB9955B"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7CA3AA55" w14:textId="77777777" w:rsidR="00454689" w:rsidRPr="00454689" w:rsidRDefault="00454689">
            <w:pPr>
              <w:spacing w:after="20"/>
              <w:rPr>
                <w:sz w:val="24"/>
                <w:szCs w:val="24"/>
              </w:rPr>
            </w:pPr>
            <w:r w:rsidRPr="00454689">
              <w:rPr>
                <w:sz w:val="24"/>
                <w:szCs w:val="24"/>
              </w:rPr>
              <w:t>Nenet 7(3)(</w:t>
            </w:r>
            <w:proofErr w:type="gramStart"/>
            <w:r w:rsidRPr="00454689">
              <w:rPr>
                <w:sz w:val="24"/>
                <w:szCs w:val="24"/>
              </w:rPr>
              <w:t>a)-(</w:t>
            </w:r>
            <w:proofErr w:type="gramEnd"/>
            <w:r w:rsidRPr="00454689">
              <w:rPr>
                <w:sz w:val="24"/>
                <w:szCs w:val="24"/>
              </w:rPr>
              <w:t>b), 10 dhe 12. Burimet tradicionale vetjake mblidhen dhe transferohen në përputhje me legjislacionin e BE-së dhe shumat përkatëse përfshihen në planifikimin buxhetor dhe të likuiditetit.</w:t>
            </w:r>
          </w:p>
        </w:tc>
        <w:tc>
          <w:tcPr>
            <w:tcW w:w="850" w:type="dxa"/>
            <w:tcMar>
              <w:top w:w="55" w:type="dxa"/>
              <w:left w:w="55" w:type="dxa"/>
              <w:bottom w:w="55" w:type="dxa"/>
              <w:right w:w="55" w:type="dxa"/>
            </w:tcMar>
          </w:tcPr>
          <w:p w14:paraId="2DCA7CC3"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4C20FE4F" w14:textId="77777777" w:rsidR="00454689" w:rsidRPr="00454689" w:rsidRDefault="00454689">
            <w:pPr>
              <w:spacing w:after="20"/>
              <w:rPr>
                <w:sz w:val="24"/>
                <w:szCs w:val="24"/>
              </w:rPr>
            </w:pPr>
            <w:r w:rsidRPr="00454689">
              <w:rPr>
                <w:sz w:val="24"/>
                <w:szCs w:val="24"/>
              </w:rPr>
              <w:t>Ligji inkorporon rregullat e BE-së me referim, por nuk përcakton shprehimisht mbajtjen 25% për kostot e mbledhjes. Kjo përqindje zbatohet drejtpërdrejt pas anëtarësimit.</w:t>
            </w:r>
          </w:p>
        </w:tc>
      </w:tr>
      <w:tr w:rsidR="00454689" w:rsidRPr="00454689" w14:paraId="13929243" w14:textId="77777777">
        <w:trPr>
          <w:cantSplit/>
        </w:trPr>
        <w:tc>
          <w:tcPr>
            <w:tcW w:w="1531" w:type="dxa"/>
            <w:tcMar>
              <w:top w:w="55" w:type="dxa"/>
              <w:left w:w="55" w:type="dxa"/>
              <w:bottom w:w="55" w:type="dxa"/>
              <w:right w:w="55" w:type="dxa"/>
            </w:tcMar>
          </w:tcPr>
          <w:p w14:paraId="136D6D68" w14:textId="77777777" w:rsidR="00454689" w:rsidRPr="00454689" w:rsidRDefault="00454689">
            <w:pPr>
              <w:spacing w:after="20"/>
              <w:rPr>
                <w:sz w:val="24"/>
                <w:szCs w:val="24"/>
              </w:rPr>
            </w:pPr>
            <w:r w:rsidRPr="00454689">
              <w:rPr>
                <w:sz w:val="24"/>
                <w:szCs w:val="24"/>
              </w:rPr>
              <w:t>Neni 9, pika 3</w:t>
            </w:r>
          </w:p>
        </w:tc>
        <w:tc>
          <w:tcPr>
            <w:tcW w:w="4535" w:type="dxa"/>
            <w:tcMar>
              <w:top w:w="55" w:type="dxa"/>
              <w:left w:w="55" w:type="dxa"/>
              <w:bottom w:w="55" w:type="dxa"/>
              <w:right w:w="55" w:type="dxa"/>
            </w:tcMar>
          </w:tcPr>
          <w:p w14:paraId="680AED58" w14:textId="77777777" w:rsidR="00454689" w:rsidRPr="00454689" w:rsidRDefault="00454689">
            <w:pPr>
              <w:spacing w:after="20"/>
              <w:rPr>
                <w:sz w:val="24"/>
                <w:szCs w:val="24"/>
              </w:rPr>
            </w:pPr>
            <w:r w:rsidRPr="00454689">
              <w:rPr>
                <w:sz w:val="24"/>
                <w:szCs w:val="24"/>
              </w:rPr>
              <w:t>Shtetet anëtare vënë në dispozicion të Komisionit burimet vetjake të parashikuara në nenin 2(1), në përputhje me rregulloret e miratuara sipas nenit 322(2) TFBE.</w:t>
            </w:r>
          </w:p>
        </w:tc>
        <w:tc>
          <w:tcPr>
            <w:tcW w:w="1020" w:type="dxa"/>
            <w:tcMar>
              <w:top w:w="55" w:type="dxa"/>
              <w:left w:w="55" w:type="dxa"/>
              <w:bottom w:w="55" w:type="dxa"/>
              <w:right w:w="55" w:type="dxa"/>
            </w:tcMar>
          </w:tcPr>
          <w:p w14:paraId="06403C83"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695E2483" w14:textId="77777777" w:rsidR="00454689" w:rsidRPr="00454689" w:rsidRDefault="00454689">
            <w:pPr>
              <w:spacing w:after="20"/>
              <w:rPr>
                <w:sz w:val="24"/>
                <w:szCs w:val="24"/>
              </w:rPr>
            </w:pPr>
            <w:r w:rsidRPr="00454689">
              <w:rPr>
                <w:sz w:val="24"/>
                <w:szCs w:val="24"/>
              </w:rPr>
              <w:t>Nenet 5(1)(</w:t>
            </w:r>
            <w:proofErr w:type="gramStart"/>
            <w:r w:rsidRPr="00454689">
              <w:rPr>
                <w:sz w:val="24"/>
                <w:szCs w:val="24"/>
              </w:rPr>
              <w:t>e)-(</w:t>
            </w:r>
            <w:proofErr w:type="gramEnd"/>
            <w:r w:rsidRPr="00454689">
              <w:rPr>
                <w:sz w:val="24"/>
                <w:szCs w:val="24"/>
              </w:rPr>
              <w:t>f), 11(5)-(7), 12 dhe 21(3). Ministria përgjegjëse për financat llogarit shumat e detyrueshme, planifikon fondet dhe likuiditetin e nevojshëm dhe vë burimet vetjake në dispozicion të Komisionit sipas thirrjeve për fonde, afateve dhe procedurave të BE-së.</w:t>
            </w:r>
          </w:p>
        </w:tc>
        <w:tc>
          <w:tcPr>
            <w:tcW w:w="850" w:type="dxa"/>
            <w:tcMar>
              <w:top w:w="55" w:type="dxa"/>
              <w:left w:w="55" w:type="dxa"/>
              <w:bottom w:w="55" w:type="dxa"/>
              <w:right w:w="55" w:type="dxa"/>
            </w:tcMar>
          </w:tcPr>
          <w:p w14:paraId="5BAB94E6"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607C1731" w14:textId="77777777" w:rsidR="00454689" w:rsidRPr="00454689" w:rsidRDefault="00454689">
            <w:pPr>
              <w:spacing w:after="20"/>
              <w:rPr>
                <w:sz w:val="24"/>
                <w:szCs w:val="24"/>
              </w:rPr>
            </w:pPr>
            <w:r w:rsidRPr="00454689">
              <w:rPr>
                <w:sz w:val="24"/>
                <w:szCs w:val="24"/>
              </w:rPr>
              <w:t>Detyrimi qendror për vënien e burimeve vetjake në dispozicion të Komisionit është përcaktuar plotësisht, ndërsa detyrimet financiare bëhen të zbatueshme nga anëtarësimi.</w:t>
            </w:r>
          </w:p>
        </w:tc>
      </w:tr>
      <w:tr w:rsidR="00454689" w:rsidRPr="00454689" w14:paraId="481AEA7A" w14:textId="77777777">
        <w:tc>
          <w:tcPr>
            <w:tcW w:w="1531" w:type="dxa"/>
            <w:tcMar>
              <w:top w:w="55" w:type="dxa"/>
              <w:left w:w="55" w:type="dxa"/>
              <w:bottom w:w="55" w:type="dxa"/>
              <w:right w:w="55" w:type="dxa"/>
            </w:tcMar>
          </w:tcPr>
          <w:p w14:paraId="56B71370" w14:textId="77777777" w:rsidR="00454689" w:rsidRPr="00454689" w:rsidRDefault="00454689">
            <w:pPr>
              <w:spacing w:after="20"/>
              <w:rPr>
                <w:sz w:val="24"/>
                <w:szCs w:val="24"/>
              </w:rPr>
            </w:pPr>
            <w:r w:rsidRPr="00454689">
              <w:rPr>
                <w:sz w:val="24"/>
                <w:szCs w:val="24"/>
              </w:rPr>
              <w:t>Neni 9, pika 4</w:t>
            </w:r>
          </w:p>
        </w:tc>
        <w:tc>
          <w:tcPr>
            <w:tcW w:w="4535" w:type="dxa"/>
            <w:tcMar>
              <w:top w:w="55" w:type="dxa"/>
              <w:left w:w="55" w:type="dxa"/>
              <w:bottom w:w="55" w:type="dxa"/>
              <w:right w:w="55" w:type="dxa"/>
            </w:tcMar>
          </w:tcPr>
          <w:p w14:paraId="48719A03" w14:textId="77777777" w:rsidR="00454689" w:rsidRPr="00454689" w:rsidRDefault="00454689">
            <w:pPr>
              <w:spacing w:after="20"/>
              <w:rPr>
                <w:sz w:val="24"/>
                <w:szCs w:val="24"/>
              </w:rPr>
            </w:pPr>
            <w:r w:rsidRPr="00454689">
              <w:rPr>
                <w:sz w:val="24"/>
                <w:szCs w:val="24"/>
              </w:rPr>
              <w:t xml:space="preserve">Pa cenuar nenin 14(2) të Rregullores (BE, Euratom) nr. 609/2014, nëse ndarjet e autorizuara në buxhetin e Bashkimit nuk mjaftojnë për përmbushjen e detyrimeve nga huamarrja sipas nenit 5 dhe Komisioni nuk mund të krijojë në kohë likuiditetin e nevojshëm nëpërmjet masave të tjera financiare, përfshirë menaxhimin aktiv të parasë dhe, kur nevojitet, financimin afatshkurtër në tregjet e kapitalit brenda kushteve dhe kufijve të nenit 5, shtetet anëtare, si mjet i fundit i Komisionit, vënë në dispozicion </w:t>
            </w:r>
            <w:r w:rsidRPr="00454689">
              <w:rPr>
                <w:sz w:val="24"/>
                <w:szCs w:val="24"/>
              </w:rPr>
              <w:lastRenderedPageBreak/>
              <w:t>burimet e nevojshme. Në këto raste zbatohen pikat 5-9, me përjashtim nga dispozitat përkatëse të Rregullores nr. 609/2014.</w:t>
            </w:r>
          </w:p>
        </w:tc>
        <w:tc>
          <w:tcPr>
            <w:tcW w:w="1020" w:type="dxa"/>
            <w:tcMar>
              <w:top w:w="55" w:type="dxa"/>
              <w:left w:w="55" w:type="dxa"/>
              <w:bottom w:w="55" w:type="dxa"/>
              <w:right w:w="55" w:type="dxa"/>
            </w:tcMar>
          </w:tcPr>
          <w:p w14:paraId="492E3543" w14:textId="77777777" w:rsidR="00454689" w:rsidRPr="00454689" w:rsidRDefault="00454689">
            <w:pPr>
              <w:spacing w:after="20"/>
              <w:rPr>
                <w:sz w:val="24"/>
                <w:szCs w:val="24"/>
              </w:rPr>
            </w:pPr>
            <w:r w:rsidRPr="00454689">
              <w:rPr>
                <w:sz w:val="24"/>
                <w:szCs w:val="24"/>
              </w:rPr>
              <w:lastRenderedPageBreak/>
              <w:t>Projektligji</w:t>
            </w:r>
          </w:p>
        </w:tc>
        <w:tc>
          <w:tcPr>
            <w:tcW w:w="4535" w:type="dxa"/>
            <w:tcMar>
              <w:top w:w="55" w:type="dxa"/>
              <w:left w:w="55" w:type="dxa"/>
              <w:bottom w:w="55" w:type="dxa"/>
              <w:right w:w="55" w:type="dxa"/>
            </w:tcMar>
          </w:tcPr>
          <w:p w14:paraId="0CBE32D2" w14:textId="77777777" w:rsidR="00454689" w:rsidRPr="00454689" w:rsidRDefault="00454689">
            <w:pPr>
              <w:spacing w:after="20"/>
              <w:rPr>
                <w:sz w:val="24"/>
                <w:szCs w:val="24"/>
              </w:rPr>
            </w:pPr>
            <w:r w:rsidRPr="00454689">
              <w:rPr>
                <w:sz w:val="24"/>
                <w:szCs w:val="24"/>
              </w:rPr>
              <w:t>Nenet 10(3), 10(7), 11(6)-(7) dhe 12(3)-(6). Ministria përgjegjëse për financat parashikon korrigjimet, detyrimet shtesë, interesat e vonesës dhe nevojat për likuiditet dhe vë fondet në dispozicion pas thirrjeve të Komisionit.</w:t>
            </w:r>
          </w:p>
        </w:tc>
        <w:tc>
          <w:tcPr>
            <w:tcW w:w="850" w:type="dxa"/>
            <w:tcMar>
              <w:top w:w="55" w:type="dxa"/>
              <w:left w:w="55" w:type="dxa"/>
              <w:bottom w:w="55" w:type="dxa"/>
              <w:right w:w="55" w:type="dxa"/>
            </w:tcMar>
          </w:tcPr>
          <w:p w14:paraId="77B04FD8"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41F3FC18" w14:textId="77777777" w:rsidR="00454689" w:rsidRPr="00454689" w:rsidRDefault="00454689">
            <w:pPr>
              <w:spacing w:after="20"/>
              <w:rPr>
                <w:sz w:val="24"/>
                <w:szCs w:val="24"/>
              </w:rPr>
            </w:pPr>
            <w:r w:rsidRPr="00454689">
              <w:rPr>
                <w:sz w:val="24"/>
                <w:szCs w:val="24"/>
              </w:rPr>
              <w:t>Janë përcaktuar mekanizmat kombëtarë buxhetorë dhe të likuiditetit. Mekanizmi i jashtëzakonshëm i likuiditetit si mjet i fundit, i lidhur me huamarrjen e BE-së, nuk riprodhohet posaçërisht dhe zbatohet drejtpërdrejt sipas së drejtës së BE-së.</w:t>
            </w:r>
          </w:p>
        </w:tc>
      </w:tr>
      <w:tr w:rsidR="00454689" w:rsidRPr="00454689" w14:paraId="39D3A644" w14:textId="77777777">
        <w:trPr>
          <w:cantSplit/>
        </w:trPr>
        <w:tc>
          <w:tcPr>
            <w:tcW w:w="1531" w:type="dxa"/>
            <w:tcMar>
              <w:top w:w="55" w:type="dxa"/>
              <w:left w:w="55" w:type="dxa"/>
              <w:bottom w:w="55" w:type="dxa"/>
              <w:right w:w="55" w:type="dxa"/>
            </w:tcMar>
          </w:tcPr>
          <w:p w14:paraId="26F02375" w14:textId="77777777" w:rsidR="00454689" w:rsidRPr="00454689" w:rsidRDefault="00454689">
            <w:pPr>
              <w:spacing w:after="20"/>
              <w:rPr>
                <w:sz w:val="24"/>
                <w:szCs w:val="24"/>
              </w:rPr>
            </w:pPr>
            <w:r w:rsidRPr="00454689">
              <w:rPr>
                <w:sz w:val="24"/>
                <w:szCs w:val="24"/>
              </w:rPr>
              <w:t>Neni 9, pika 5</w:t>
            </w:r>
          </w:p>
        </w:tc>
        <w:tc>
          <w:tcPr>
            <w:tcW w:w="4535" w:type="dxa"/>
            <w:tcMar>
              <w:top w:w="55" w:type="dxa"/>
              <w:left w:w="55" w:type="dxa"/>
              <w:bottom w:w="55" w:type="dxa"/>
              <w:right w:w="55" w:type="dxa"/>
            </w:tcMar>
          </w:tcPr>
          <w:p w14:paraId="658CF60D" w14:textId="77777777" w:rsidR="00454689" w:rsidRPr="00454689" w:rsidRDefault="00454689">
            <w:pPr>
              <w:spacing w:after="20"/>
              <w:rPr>
                <w:sz w:val="24"/>
                <w:szCs w:val="24"/>
              </w:rPr>
            </w:pPr>
            <w:r w:rsidRPr="00454689">
              <w:rPr>
                <w:sz w:val="24"/>
                <w:szCs w:val="24"/>
              </w:rPr>
              <w:t>Komisioni mund t’u kërkojë shteteve anëtare të sigurojnë përkohësisht diferencën ndërmjet aktiveve të përgjithshme dhe nevojave për mjete monetare, në përpjesëtim me të ardhurat buxhetore të parashikuara për secilin prej tyre. Komisioni i njofton thirrjet në kohë. Ai krijon dialog të strukturuar me zyrat kombëtare të administrimit të borxhit dhe thesaret për kalendarët e emetimit dhe shlyerjes. Nëse një shtet nuk e përmbush thirrjen në kohë, Komisioni mund të bëjë përkohësisht thirrje shtesë ndaj shteteve të tjera, në përpjesëtim me të ardhurat e tyre buxhetore të parashikuara. Shteti që nuk e përmbushi thirrjen mbetet përgjegjës për përmbushjen e saj.</w:t>
            </w:r>
          </w:p>
        </w:tc>
        <w:tc>
          <w:tcPr>
            <w:tcW w:w="1020" w:type="dxa"/>
            <w:tcMar>
              <w:top w:w="55" w:type="dxa"/>
              <w:left w:w="55" w:type="dxa"/>
              <w:bottom w:w="55" w:type="dxa"/>
              <w:right w:w="55" w:type="dxa"/>
            </w:tcMar>
          </w:tcPr>
          <w:p w14:paraId="6BC8338D"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7A6E9876" w14:textId="77777777" w:rsidR="00454689" w:rsidRPr="00454689" w:rsidRDefault="00454689">
            <w:pPr>
              <w:spacing w:after="20"/>
              <w:rPr>
                <w:sz w:val="24"/>
                <w:szCs w:val="24"/>
              </w:rPr>
            </w:pPr>
            <w:r w:rsidRPr="00454689">
              <w:rPr>
                <w:sz w:val="24"/>
                <w:szCs w:val="24"/>
              </w:rPr>
              <w:t>Nenet 10(3), 10(7), 11(6), 12(3) dhe 12(6)(a). Ministria përgjegjëse për financat planifikon hapësirën fiskale dhe likuiditetin e Thesarit dhe u përgjigjet thirrjeve të Komisionit për fonde sipas procedurave të BE-së.</w:t>
            </w:r>
          </w:p>
        </w:tc>
        <w:tc>
          <w:tcPr>
            <w:tcW w:w="850" w:type="dxa"/>
            <w:tcMar>
              <w:top w:w="55" w:type="dxa"/>
              <w:left w:w="55" w:type="dxa"/>
              <w:bottom w:w="55" w:type="dxa"/>
              <w:right w:w="55" w:type="dxa"/>
            </w:tcMar>
          </w:tcPr>
          <w:p w14:paraId="7FDBEAF6"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32D1E890" w14:textId="77777777" w:rsidR="00454689" w:rsidRPr="00454689" w:rsidRDefault="00454689">
            <w:pPr>
              <w:spacing w:after="20"/>
              <w:rPr>
                <w:sz w:val="24"/>
                <w:szCs w:val="24"/>
              </w:rPr>
            </w:pPr>
            <w:r w:rsidRPr="00454689">
              <w:rPr>
                <w:sz w:val="24"/>
                <w:szCs w:val="24"/>
              </w:rPr>
              <w:t>Projektligji siguron mekanizmin e brendshëm të nevojshëm për përmbushjen e thirrjeve. Ndarja pro rata dhe thirrjet shtesë ndërmjet shteteve anëtare janë rregulla operative të nivelit të BE-së.</w:t>
            </w:r>
          </w:p>
        </w:tc>
      </w:tr>
      <w:tr w:rsidR="00454689" w:rsidRPr="00454689" w14:paraId="4D81EDD0" w14:textId="77777777">
        <w:trPr>
          <w:cantSplit/>
        </w:trPr>
        <w:tc>
          <w:tcPr>
            <w:tcW w:w="1531" w:type="dxa"/>
            <w:tcMar>
              <w:top w:w="55" w:type="dxa"/>
              <w:left w:w="55" w:type="dxa"/>
              <w:bottom w:w="55" w:type="dxa"/>
              <w:right w:w="55" w:type="dxa"/>
            </w:tcMar>
          </w:tcPr>
          <w:p w14:paraId="6252ABAC" w14:textId="77777777" w:rsidR="00454689" w:rsidRPr="00454689" w:rsidRDefault="00454689">
            <w:pPr>
              <w:spacing w:after="20"/>
              <w:rPr>
                <w:sz w:val="24"/>
                <w:szCs w:val="24"/>
              </w:rPr>
            </w:pPr>
            <w:r w:rsidRPr="00454689">
              <w:rPr>
                <w:sz w:val="24"/>
                <w:szCs w:val="24"/>
              </w:rPr>
              <w:lastRenderedPageBreak/>
              <w:t>Neni 9, pika 6</w:t>
            </w:r>
          </w:p>
        </w:tc>
        <w:tc>
          <w:tcPr>
            <w:tcW w:w="4535" w:type="dxa"/>
            <w:tcMar>
              <w:top w:w="55" w:type="dxa"/>
              <w:left w:w="55" w:type="dxa"/>
              <w:bottom w:w="55" w:type="dxa"/>
              <w:right w:w="55" w:type="dxa"/>
            </w:tcMar>
          </w:tcPr>
          <w:p w14:paraId="1890D761" w14:textId="77777777" w:rsidR="00454689" w:rsidRPr="00454689" w:rsidRDefault="00454689">
            <w:pPr>
              <w:spacing w:after="20"/>
              <w:rPr>
                <w:sz w:val="24"/>
                <w:szCs w:val="24"/>
              </w:rPr>
            </w:pPr>
            <w:r w:rsidRPr="00454689">
              <w:rPr>
                <w:sz w:val="24"/>
                <w:szCs w:val="24"/>
              </w:rPr>
              <w:t>Shuma maksimale totale vjetore e mjeteve monetare që mund t’i kërkohet një shteti anëtar sipas pikës 5 kufizohet në çdo rast në pjesën relative të tij të bazuar në AKB në rritjen e jashtëzakonshme dhe të përkohshme të tavanit të burimeve vetjake sipas nenit 6. Pjesa relative llogaritet si pjesa e AKB-së së shtetit në AKB-në totale të Bashkimit, sipas kolonës përkatëse në pjesën e të ardhurave të buxhetit të fundit vjetor të miratuar të Bashkimit.</w:t>
            </w:r>
          </w:p>
        </w:tc>
        <w:tc>
          <w:tcPr>
            <w:tcW w:w="1020" w:type="dxa"/>
            <w:tcMar>
              <w:top w:w="55" w:type="dxa"/>
              <w:left w:w="55" w:type="dxa"/>
              <w:bottom w:w="55" w:type="dxa"/>
              <w:right w:w="55" w:type="dxa"/>
            </w:tcMar>
          </w:tcPr>
          <w:p w14:paraId="07A35B50"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20F2D2F2" w14:textId="77777777" w:rsidR="00454689" w:rsidRPr="00454689" w:rsidRDefault="00454689">
            <w:pPr>
              <w:spacing w:after="20"/>
              <w:rPr>
                <w:sz w:val="24"/>
                <w:szCs w:val="24"/>
              </w:rPr>
            </w:pPr>
            <w:r w:rsidRPr="00454689">
              <w:rPr>
                <w:sz w:val="24"/>
                <w:szCs w:val="24"/>
              </w:rPr>
              <w:t>Nenet 10 dhe 12. Shuma që vendoset në dispozicion përfshihet në planifikimin buxhetor dhe në administrimin e likuiditetit të Thesarit në përputhje me legjislacionin e BE-së.</w:t>
            </w:r>
          </w:p>
        </w:tc>
        <w:tc>
          <w:tcPr>
            <w:tcW w:w="850" w:type="dxa"/>
            <w:tcMar>
              <w:top w:w="55" w:type="dxa"/>
              <w:left w:w="55" w:type="dxa"/>
              <w:bottom w:w="55" w:type="dxa"/>
              <w:right w:w="55" w:type="dxa"/>
            </w:tcMar>
          </w:tcPr>
          <w:p w14:paraId="1E936150"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1708F3E9" w14:textId="77777777" w:rsidR="00454689" w:rsidRPr="00454689" w:rsidRDefault="00454689">
            <w:pPr>
              <w:spacing w:after="20"/>
              <w:rPr>
                <w:sz w:val="24"/>
                <w:szCs w:val="24"/>
              </w:rPr>
            </w:pPr>
            <w:r w:rsidRPr="00454689">
              <w:rPr>
                <w:sz w:val="24"/>
                <w:szCs w:val="24"/>
              </w:rPr>
              <w:t>Sigurohet kapaciteti kombëtar për përmbushjen e detyrimit. Kufiri vjetor i bazuar në AKB për thirrjet e jashtëzakonshme përcaktohet drejtpërdrejt nga e drejta e BE-së.</w:t>
            </w:r>
          </w:p>
        </w:tc>
      </w:tr>
      <w:tr w:rsidR="00454689" w:rsidRPr="00454689" w14:paraId="38F00557" w14:textId="77777777">
        <w:trPr>
          <w:cantSplit/>
        </w:trPr>
        <w:tc>
          <w:tcPr>
            <w:tcW w:w="1531" w:type="dxa"/>
            <w:tcMar>
              <w:top w:w="55" w:type="dxa"/>
              <w:left w:w="55" w:type="dxa"/>
              <w:bottom w:w="55" w:type="dxa"/>
              <w:right w:w="55" w:type="dxa"/>
            </w:tcMar>
          </w:tcPr>
          <w:p w14:paraId="1C025088" w14:textId="77777777" w:rsidR="00454689" w:rsidRPr="00454689" w:rsidRDefault="00454689">
            <w:pPr>
              <w:spacing w:after="20"/>
              <w:rPr>
                <w:sz w:val="24"/>
                <w:szCs w:val="24"/>
              </w:rPr>
            </w:pPr>
            <w:r w:rsidRPr="00454689">
              <w:rPr>
                <w:sz w:val="24"/>
                <w:szCs w:val="24"/>
              </w:rPr>
              <w:t>Neni 9, pika 7</w:t>
            </w:r>
          </w:p>
        </w:tc>
        <w:tc>
          <w:tcPr>
            <w:tcW w:w="4535" w:type="dxa"/>
            <w:tcMar>
              <w:top w:w="55" w:type="dxa"/>
              <w:left w:w="55" w:type="dxa"/>
              <w:bottom w:w="55" w:type="dxa"/>
              <w:right w:w="55" w:type="dxa"/>
            </w:tcMar>
          </w:tcPr>
          <w:p w14:paraId="1FD844BB" w14:textId="77777777" w:rsidR="00454689" w:rsidRPr="00454689" w:rsidRDefault="00454689">
            <w:pPr>
              <w:spacing w:after="20"/>
              <w:rPr>
                <w:sz w:val="24"/>
                <w:szCs w:val="24"/>
              </w:rPr>
            </w:pPr>
            <w:r w:rsidRPr="00454689">
              <w:rPr>
                <w:sz w:val="24"/>
                <w:szCs w:val="24"/>
              </w:rPr>
              <w:t>Çdo sigurim i mjeteve monetare sipas pikave 5 dhe 6 kompensohet pa vonesë, në përputhje me kuadrin ligjor të zbatueshëm për buxhetin e Bashkimit.</w:t>
            </w:r>
          </w:p>
        </w:tc>
        <w:tc>
          <w:tcPr>
            <w:tcW w:w="1020" w:type="dxa"/>
            <w:tcMar>
              <w:top w:w="55" w:type="dxa"/>
              <w:left w:w="55" w:type="dxa"/>
              <w:bottom w:w="55" w:type="dxa"/>
              <w:right w:w="55" w:type="dxa"/>
            </w:tcMar>
          </w:tcPr>
          <w:p w14:paraId="46D16CCF"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6B4827D9" w14:textId="77777777" w:rsidR="00454689" w:rsidRPr="00454689" w:rsidRDefault="00454689">
            <w:pPr>
              <w:spacing w:after="20"/>
              <w:rPr>
                <w:sz w:val="24"/>
                <w:szCs w:val="24"/>
              </w:rPr>
            </w:pPr>
            <w:r w:rsidRPr="00454689">
              <w:rPr>
                <w:sz w:val="24"/>
                <w:szCs w:val="24"/>
              </w:rPr>
              <w:t>Nenet 10(4)-(7) dhe 12(4). Korrigjimet dhe rregullimet që ndikojnë në Kontributin Kombëtar pasqyrohen dhe shlyhen sipas afateve dhe procedurave të BE-së.</w:t>
            </w:r>
          </w:p>
        </w:tc>
        <w:tc>
          <w:tcPr>
            <w:tcW w:w="850" w:type="dxa"/>
            <w:tcMar>
              <w:top w:w="55" w:type="dxa"/>
              <w:left w:w="55" w:type="dxa"/>
              <w:bottom w:w="55" w:type="dxa"/>
              <w:right w:w="55" w:type="dxa"/>
            </w:tcMar>
          </w:tcPr>
          <w:p w14:paraId="4A2DAA31"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54E6E51A" w14:textId="77777777" w:rsidR="00454689" w:rsidRPr="00454689" w:rsidRDefault="00454689">
            <w:pPr>
              <w:spacing w:after="20"/>
              <w:rPr>
                <w:sz w:val="24"/>
                <w:szCs w:val="24"/>
              </w:rPr>
            </w:pPr>
            <w:r w:rsidRPr="00454689">
              <w:rPr>
                <w:sz w:val="24"/>
                <w:szCs w:val="24"/>
              </w:rPr>
              <w:t>Ligji mundëson kompensimin dhe rregullimet pasuese, ndërsa mekanizmi i saktë i kompensimit buxhetor të BE-së zbatohet drejtpërdrejt.</w:t>
            </w:r>
          </w:p>
        </w:tc>
      </w:tr>
      <w:tr w:rsidR="00454689" w:rsidRPr="00454689" w14:paraId="570AAEAB" w14:textId="77777777">
        <w:trPr>
          <w:cantSplit/>
        </w:trPr>
        <w:tc>
          <w:tcPr>
            <w:tcW w:w="1531" w:type="dxa"/>
            <w:tcMar>
              <w:top w:w="55" w:type="dxa"/>
              <w:left w:w="55" w:type="dxa"/>
              <w:bottom w:w="55" w:type="dxa"/>
              <w:right w:w="55" w:type="dxa"/>
            </w:tcMar>
          </w:tcPr>
          <w:p w14:paraId="6D5F5677" w14:textId="77777777" w:rsidR="00454689" w:rsidRPr="00454689" w:rsidRDefault="00454689">
            <w:pPr>
              <w:spacing w:after="20"/>
              <w:rPr>
                <w:sz w:val="24"/>
                <w:szCs w:val="24"/>
              </w:rPr>
            </w:pPr>
            <w:r w:rsidRPr="00454689">
              <w:rPr>
                <w:sz w:val="24"/>
                <w:szCs w:val="24"/>
              </w:rPr>
              <w:t>Neni 9, pika 8</w:t>
            </w:r>
          </w:p>
        </w:tc>
        <w:tc>
          <w:tcPr>
            <w:tcW w:w="4535" w:type="dxa"/>
            <w:tcMar>
              <w:top w:w="55" w:type="dxa"/>
              <w:left w:w="55" w:type="dxa"/>
              <w:bottom w:w="55" w:type="dxa"/>
              <w:right w:w="55" w:type="dxa"/>
            </w:tcMar>
          </w:tcPr>
          <w:p w14:paraId="7D84FE26" w14:textId="77777777" w:rsidR="00454689" w:rsidRPr="00454689" w:rsidRDefault="00454689">
            <w:pPr>
              <w:spacing w:after="20"/>
              <w:rPr>
                <w:sz w:val="24"/>
                <w:szCs w:val="24"/>
              </w:rPr>
            </w:pPr>
            <w:r w:rsidRPr="00454689">
              <w:rPr>
                <w:sz w:val="24"/>
                <w:szCs w:val="24"/>
              </w:rPr>
              <w:t>Shpenzimet e mbuluara nga shumat e mjeteve monetare të siguruara përkohësisht nga shtetet anëtare sipas pikës 5 regjistrohen pa vonesë në buxhetin e Bashkimit, në mënyrë që të ardhurat përkatëse të merren parasysh sa më shpejt për kreditimin e burimeve vetjake në llogari nga shtetet anëtare, sipas Rregullores nr. 609/2014.</w:t>
            </w:r>
          </w:p>
        </w:tc>
        <w:tc>
          <w:tcPr>
            <w:tcW w:w="1020" w:type="dxa"/>
            <w:tcMar>
              <w:top w:w="55" w:type="dxa"/>
              <w:left w:w="55" w:type="dxa"/>
              <w:bottom w:w="55" w:type="dxa"/>
              <w:right w:w="55" w:type="dxa"/>
            </w:tcMar>
          </w:tcPr>
          <w:p w14:paraId="7216FFCC"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77602905"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3F12A505"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49518290" w14:textId="77777777" w:rsidR="00454689" w:rsidRPr="00454689" w:rsidRDefault="00454689">
            <w:pPr>
              <w:spacing w:after="20"/>
              <w:rPr>
                <w:sz w:val="24"/>
                <w:szCs w:val="24"/>
              </w:rPr>
            </w:pPr>
            <w:r w:rsidRPr="00454689">
              <w:rPr>
                <w:sz w:val="24"/>
                <w:szCs w:val="24"/>
              </w:rPr>
              <w:t>Regjistrimi në buxhetin e Bashkimit i mjeteve monetare të siguruara përkohësisht është veprim kontabël buxhetor i BE-së dhe nuk kërkon legjislacion kombëtar.</w:t>
            </w:r>
          </w:p>
        </w:tc>
      </w:tr>
      <w:tr w:rsidR="00454689" w:rsidRPr="00454689" w14:paraId="0E06EF42" w14:textId="77777777">
        <w:trPr>
          <w:cantSplit/>
        </w:trPr>
        <w:tc>
          <w:tcPr>
            <w:tcW w:w="1531" w:type="dxa"/>
            <w:tcMar>
              <w:top w:w="55" w:type="dxa"/>
              <w:left w:w="55" w:type="dxa"/>
              <w:bottom w:w="55" w:type="dxa"/>
              <w:right w:w="55" w:type="dxa"/>
            </w:tcMar>
          </w:tcPr>
          <w:p w14:paraId="3D5E5AFC" w14:textId="77777777" w:rsidR="00454689" w:rsidRPr="00454689" w:rsidRDefault="00454689">
            <w:pPr>
              <w:spacing w:after="20"/>
              <w:rPr>
                <w:sz w:val="24"/>
                <w:szCs w:val="24"/>
              </w:rPr>
            </w:pPr>
            <w:r w:rsidRPr="00454689">
              <w:rPr>
                <w:sz w:val="24"/>
                <w:szCs w:val="24"/>
              </w:rPr>
              <w:lastRenderedPageBreak/>
              <w:t>Neni 9, pika 9</w:t>
            </w:r>
          </w:p>
        </w:tc>
        <w:tc>
          <w:tcPr>
            <w:tcW w:w="4535" w:type="dxa"/>
            <w:tcMar>
              <w:top w:w="55" w:type="dxa"/>
              <w:left w:w="55" w:type="dxa"/>
              <w:bottom w:w="55" w:type="dxa"/>
              <w:right w:w="55" w:type="dxa"/>
            </w:tcMar>
          </w:tcPr>
          <w:p w14:paraId="67D53E00" w14:textId="77777777" w:rsidR="00454689" w:rsidRPr="00454689" w:rsidRDefault="00454689">
            <w:pPr>
              <w:spacing w:after="20"/>
              <w:rPr>
                <w:sz w:val="24"/>
                <w:szCs w:val="24"/>
              </w:rPr>
            </w:pPr>
            <w:r w:rsidRPr="00454689">
              <w:rPr>
                <w:sz w:val="24"/>
                <w:szCs w:val="24"/>
              </w:rPr>
              <w:t>Në bazë vjetore, zbatimi i pikës 5 nuk duhet të çojë në kërkimin e mjeteve monetare përtej tavaneve të burimeve vetjake të përcaktuara në nenin 3, të rritura sipas nenit 6.</w:t>
            </w:r>
          </w:p>
        </w:tc>
        <w:tc>
          <w:tcPr>
            <w:tcW w:w="1020" w:type="dxa"/>
            <w:tcMar>
              <w:top w:w="55" w:type="dxa"/>
              <w:left w:w="55" w:type="dxa"/>
              <w:bottom w:w="55" w:type="dxa"/>
              <w:right w:w="55" w:type="dxa"/>
            </w:tcMar>
          </w:tcPr>
          <w:p w14:paraId="7AB878A3"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11F901F9"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18CD7192"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1C8AA5CA" w14:textId="77777777" w:rsidR="00454689" w:rsidRPr="00454689" w:rsidRDefault="00454689">
            <w:pPr>
              <w:spacing w:after="20"/>
              <w:rPr>
                <w:sz w:val="24"/>
                <w:szCs w:val="24"/>
              </w:rPr>
            </w:pPr>
            <w:r w:rsidRPr="00454689">
              <w:rPr>
                <w:sz w:val="24"/>
                <w:szCs w:val="24"/>
              </w:rPr>
              <w:t>Respektimi i tavaneve të BE-së nga thirrjet e jashtëzakonshme monitorohet në nivelin e BE-së dhe nuk është objekt i përafrimit kombëtar.</w:t>
            </w:r>
          </w:p>
        </w:tc>
      </w:tr>
      <w:tr w:rsidR="00454689" w:rsidRPr="00454689" w14:paraId="7D181F25" w14:textId="77777777">
        <w:trPr>
          <w:cantSplit/>
        </w:trPr>
        <w:tc>
          <w:tcPr>
            <w:tcW w:w="1531" w:type="dxa"/>
            <w:tcMar>
              <w:top w:w="55" w:type="dxa"/>
              <w:left w:w="55" w:type="dxa"/>
              <w:bottom w:w="55" w:type="dxa"/>
              <w:right w:w="55" w:type="dxa"/>
            </w:tcMar>
          </w:tcPr>
          <w:p w14:paraId="3EDB5EBD" w14:textId="77777777" w:rsidR="00454689" w:rsidRPr="00454689" w:rsidRDefault="00454689">
            <w:pPr>
              <w:spacing w:after="20"/>
              <w:rPr>
                <w:sz w:val="24"/>
                <w:szCs w:val="24"/>
              </w:rPr>
            </w:pPr>
            <w:r w:rsidRPr="00454689">
              <w:rPr>
                <w:sz w:val="24"/>
                <w:szCs w:val="24"/>
              </w:rPr>
              <w:t xml:space="preserve">Neni 10, </w:t>
            </w:r>
            <w:proofErr w:type="spellStart"/>
            <w:r w:rsidRPr="00454689">
              <w:rPr>
                <w:sz w:val="24"/>
                <w:szCs w:val="24"/>
              </w:rPr>
              <w:t>shkronja</w:t>
            </w:r>
            <w:proofErr w:type="spellEnd"/>
            <w:r w:rsidRPr="00454689">
              <w:rPr>
                <w:sz w:val="24"/>
                <w:szCs w:val="24"/>
              </w:rPr>
              <w:t xml:space="preserve"> (a) - Masat zbatuese</w:t>
            </w:r>
          </w:p>
        </w:tc>
        <w:tc>
          <w:tcPr>
            <w:tcW w:w="4535" w:type="dxa"/>
            <w:tcMar>
              <w:top w:w="55" w:type="dxa"/>
              <w:left w:w="55" w:type="dxa"/>
              <w:bottom w:w="55" w:type="dxa"/>
              <w:right w:w="55" w:type="dxa"/>
            </w:tcMar>
          </w:tcPr>
          <w:p w14:paraId="00CE3B80" w14:textId="77777777" w:rsidR="00454689" w:rsidRPr="00454689" w:rsidRDefault="00454689">
            <w:pPr>
              <w:spacing w:after="20"/>
              <w:rPr>
                <w:sz w:val="24"/>
                <w:szCs w:val="24"/>
              </w:rPr>
            </w:pPr>
            <w:r w:rsidRPr="00454689">
              <w:rPr>
                <w:sz w:val="24"/>
                <w:szCs w:val="24"/>
              </w:rPr>
              <w:t>Këshilli përcakton masat zbatuese sipas procedurës së paragrafit të katërt të nenit 311 TFBE, lidhur me: (a) procedurën për llogaritjen dhe buxhetimin e bilancit vjetor buxhetor, sipas nenit 8.</w:t>
            </w:r>
          </w:p>
        </w:tc>
        <w:tc>
          <w:tcPr>
            <w:tcW w:w="1020" w:type="dxa"/>
            <w:tcMar>
              <w:top w:w="55" w:type="dxa"/>
              <w:left w:w="55" w:type="dxa"/>
              <w:bottom w:w="55" w:type="dxa"/>
              <w:right w:w="55" w:type="dxa"/>
            </w:tcMar>
          </w:tcPr>
          <w:p w14:paraId="02CD51E1"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19CAD6F2" w14:textId="77777777" w:rsidR="00454689" w:rsidRPr="00454689" w:rsidRDefault="00454689">
            <w:pPr>
              <w:spacing w:after="20"/>
              <w:rPr>
                <w:sz w:val="24"/>
                <w:szCs w:val="24"/>
              </w:rPr>
            </w:pPr>
            <w:r w:rsidRPr="00454689">
              <w:rPr>
                <w:sz w:val="24"/>
                <w:szCs w:val="24"/>
              </w:rPr>
              <w:t>Nenet 10(8), 13(6), 20 dhe 21(2). Këshilli i Ministrave dhe ministri përgjegjës për financat miratojnë rregulla të hollësishme zbatuese për planifikimin, financimin, administrimin e të dhënave, raportimin, kontrollin e cilësisë, shkëmbimin elektronik, sigurinë, auditimin dhe organizimin institucional.</w:t>
            </w:r>
          </w:p>
        </w:tc>
        <w:tc>
          <w:tcPr>
            <w:tcW w:w="850" w:type="dxa"/>
            <w:tcMar>
              <w:top w:w="55" w:type="dxa"/>
              <w:left w:w="55" w:type="dxa"/>
              <w:bottom w:w="55" w:type="dxa"/>
              <w:right w:w="55" w:type="dxa"/>
            </w:tcMar>
          </w:tcPr>
          <w:p w14:paraId="15A4B55A"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6ACE080F" w14:textId="77777777" w:rsidR="00454689" w:rsidRPr="00454689" w:rsidRDefault="00454689">
            <w:pPr>
              <w:spacing w:after="20"/>
              <w:rPr>
                <w:sz w:val="24"/>
                <w:szCs w:val="24"/>
              </w:rPr>
            </w:pPr>
            <w:r w:rsidRPr="00454689">
              <w:rPr>
                <w:sz w:val="24"/>
                <w:szCs w:val="24"/>
              </w:rPr>
              <w:t>Projektligji siguron bazë ligjore të qartë për masat zbatuese kombëtare të nevojshme për funksionimin e sistemit të burimeve vetjake.</w:t>
            </w:r>
          </w:p>
        </w:tc>
      </w:tr>
      <w:tr w:rsidR="00454689" w:rsidRPr="00454689" w14:paraId="112C5104" w14:textId="77777777">
        <w:trPr>
          <w:cantSplit/>
        </w:trPr>
        <w:tc>
          <w:tcPr>
            <w:tcW w:w="1531" w:type="dxa"/>
            <w:tcMar>
              <w:top w:w="55" w:type="dxa"/>
              <w:left w:w="55" w:type="dxa"/>
              <w:bottom w:w="55" w:type="dxa"/>
              <w:right w:w="55" w:type="dxa"/>
            </w:tcMar>
          </w:tcPr>
          <w:p w14:paraId="5774776A" w14:textId="77777777" w:rsidR="00454689" w:rsidRPr="00454689" w:rsidRDefault="00454689">
            <w:pPr>
              <w:spacing w:after="20"/>
              <w:rPr>
                <w:sz w:val="24"/>
                <w:szCs w:val="24"/>
              </w:rPr>
            </w:pPr>
            <w:r w:rsidRPr="00454689">
              <w:rPr>
                <w:sz w:val="24"/>
                <w:szCs w:val="24"/>
              </w:rPr>
              <w:t xml:space="preserve">Neni 10, </w:t>
            </w:r>
            <w:proofErr w:type="spellStart"/>
            <w:r w:rsidRPr="00454689">
              <w:rPr>
                <w:sz w:val="24"/>
                <w:szCs w:val="24"/>
              </w:rPr>
              <w:t>shkronja</w:t>
            </w:r>
            <w:proofErr w:type="spellEnd"/>
            <w:r w:rsidRPr="00454689">
              <w:rPr>
                <w:sz w:val="24"/>
                <w:szCs w:val="24"/>
              </w:rPr>
              <w:t xml:space="preserve"> (b)</w:t>
            </w:r>
          </w:p>
        </w:tc>
        <w:tc>
          <w:tcPr>
            <w:tcW w:w="4535" w:type="dxa"/>
            <w:tcMar>
              <w:top w:w="55" w:type="dxa"/>
              <w:left w:w="55" w:type="dxa"/>
              <w:bottom w:w="55" w:type="dxa"/>
              <w:right w:w="55" w:type="dxa"/>
            </w:tcMar>
          </w:tcPr>
          <w:p w14:paraId="2A15FFAA" w14:textId="77777777" w:rsidR="00454689" w:rsidRPr="00454689" w:rsidRDefault="00454689">
            <w:pPr>
              <w:spacing w:after="20"/>
              <w:rPr>
                <w:sz w:val="24"/>
                <w:szCs w:val="24"/>
              </w:rPr>
            </w:pPr>
            <w:r w:rsidRPr="00454689">
              <w:rPr>
                <w:sz w:val="24"/>
                <w:szCs w:val="24"/>
              </w:rPr>
              <w:t>Këshilli përcakton masat zbatuese lidhur me: (b) dispozitat dhe rregullimet e nevojshme për kontrollin dhe mbikëqyrjen e mbledhjes së burimeve vetjake të përmendura në nenin 2(1), si dhe çdo kërkesë përkatëse raportimi.</w:t>
            </w:r>
          </w:p>
        </w:tc>
        <w:tc>
          <w:tcPr>
            <w:tcW w:w="1020" w:type="dxa"/>
            <w:tcMar>
              <w:top w:w="55" w:type="dxa"/>
              <w:left w:w="55" w:type="dxa"/>
              <w:bottom w:w="55" w:type="dxa"/>
              <w:right w:w="55" w:type="dxa"/>
            </w:tcMar>
          </w:tcPr>
          <w:p w14:paraId="28FDF4A7"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319F609E" w14:textId="77777777" w:rsidR="00454689" w:rsidRPr="00454689" w:rsidRDefault="00454689">
            <w:pPr>
              <w:spacing w:after="20"/>
              <w:rPr>
                <w:sz w:val="24"/>
                <w:szCs w:val="24"/>
              </w:rPr>
            </w:pPr>
            <w:r w:rsidRPr="00454689">
              <w:rPr>
                <w:sz w:val="24"/>
                <w:szCs w:val="24"/>
              </w:rPr>
              <w:t>Nenet 7, 13-18 dhe 20(2). Ligji përcakton detyrimet për kontrollin, auditimin, verifikimin, cilësinë e të dhënave, ruajtjen e evidencave, bashkëpunimin dhe raportimin për të gjithë komponentët e burimeve vetjake dhe parashikon procedura të hollësishme nëpërmjet akteve zbatuese.</w:t>
            </w:r>
          </w:p>
        </w:tc>
        <w:tc>
          <w:tcPr>
            <w:tcW w:w="850" w:type="dxa"/>
            <w:tcMar>
              <w:top w:w="55" w:type="dxa"/>
              <w:left w:w="55" w:type="dxa"/>
              <w:bottom w:w="55" w:type="dxa"/>
              <w:right w:w="55" w:type="dxa"/>
            </w:tcMar>
          </w:tcPr>
          <w:p w14:paraId="4A4A5ED8"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22256F52" w14:textId="77777777" w:rsidR="00454689" w:rsidRPr="00454689" w:rsidRDefault="00454689">
            <w:pPr>
              <w:spacing w:after="20"/>
              <w:rPr>
                <w:sz w:val="24"/>
                <w:szCs w:val="24"/>
              </w:rPr>
            </w:pPr>
            <w:r w:rsidRPr="00454689">
              <w:rPr>
                <w:sz w:val="24"/>
                <w:szCs w:val="24"/>
              </w:rPr>
              <w:t>Kuadri kombëtar i kontrollit, mbikëqyrjes dhe raportimit mbulohet plotësisht, në përputhje me masat zbatuese të miratuara në nivelin e BE-së.</w:t>
            </w:r>
          </w:p>
        </w:tc>
      </w:tr>
      <w:tr w:rsidR="00454689" w:rsidRPr="00454689" w14:paraId="7E4DDC12" w14:textId="77777777">
        <w:trPr>
          <w:cantSplit/>
        </w:trPr>
        <w:tc>
          <w:tcPr>
            <w:tcW w:w="1531" w:type="dxa"/>
            <w:tcMar>
              <w:top w:w="55" w:type="dxa"/>
              <w:left w:w="55" w:type="dxa"/>
              <w:bottom w:w="55" w:type="dxa"/>
              <w:right w:w="55" w:type="dxa"/>
            </w:tcMar>
          </w:tcPr>
          <w:p w14:paraId="0E5DE92D" w14:textId="77777777" w:rsidR="00454689" w:rsidRPr="00454689" w:rsidRDefault="00454689">
            <w:pPr>
              <w:spacing w:after="20"/>
              <w:rPr>
                <w:sz w:val="24"/>
                <w:szCs w:val="24"/>
              </w:rPr>
            </w:pPr>
            <w:r w:rsidRPr="00454689">
              <w:rPr>
                <w:sz w:val="24"/>
                <w:szCs w:val="24"/>
              </w:rPr>
              <w:lastRenderedPageBreak/>
              <w:t>Neni 11, pika 1 - Dispozitat përfundimtare dhe kalimtare</w:t>
            </w:r>
          </w:p>
        </w:tc>
        <w:tc>
          <w:tcPr>
            <w:tcW w:w="4535" w:type="dxa"/>
            <w:tcMar>
              <w:top w:w="55" w:type="dxa"/>
              <w:left w:w="55" w:type="dxa"/>
              <w:bottom w:w="55" w:type="dxa"/>
              <w:right w:w="55" w:type="dxa"/>
            </w:tcMar>
          </w:tcPr>
          <w:p w14:paraId="43C70F08" w14:textId="77777777" w:rsidR="00454689" w:rsidRPr="00454689" w:rsidRDefault="00454689">
            <w:pPr>
              <w:spacing w:after="20"/>
              <w:rPr>
                <w:sz w:val="24"/>
                <w:szCs w:val="24"/>
              </w:rPr>
            </w:pPr>
            <w:r w:rsidRPr="00454689">
              <w:rPr>
                <w:sz w:val="24"/>
                <w:szCs w:val="24"/>
              </w:rPr>
              <w:t>Me përjashtim të pikës 2, Vendimi 2014/335/BE, Euratom shfuqizohet. Çdo referencë ndaj Vendimeve 70/243/KEQÇ, KEE, Euratom; 85/257/KEE, Euratom; 88/376/KEE, Euratom; 94/728/KE, Euratom; 2000/597/KE, Euratom; 2007/436/KE, Euratom; ose 2014/335/BE, Euratom interpretohet si referencë ndaj këtij Vendimi. Referencat ndaj Vendimit të shfuqizuar lexohen sipas tabelës së korrelacionit në aneks.</w:t>
            </w:r>
          </w:p>
        </w:tc>
        <w:tc>
          <w:tcPr>
            <w:tcW w:w="1020" w:type="dxa"/>
            <w:tcMar>
              <w:top w:w="55" w:type="dxa"/>
              <w:left w:w="55" w:type="dxa"/>
              <w:bottom w:w="55" w:type="dxa"/>
              <w:right w:w="55" w:type="dxa"/>
            </w:tcMar>
          </w:tcPr>
          <w:p w14:paraId="46987BC6"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62D13AE9"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0FCDF0A3"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6A955795" w14:textId="77777777" w:rsidR="00454689" w:rsidRPr="00454689" w:rsidRDefault="00454689">
            <w:pPr>
              <w:spacing w:after="20"/>
              <w:rPr>
                <w:sz w:val="24"/>
                <w:szCs w:val="24"/>
              </w:rPr>
            </w:pPr>
            <w:r w:rsidRPr="00454689">
              <w:rPr>
                <w:sz w:val="24"/>
                <w:szCs w:val="24"/>
              </w:rPr>
              <w:t>Shfuqizimi i vendimeve të mëparshme të BE-së për burimet vetjake dhe tabela e korrelacionit janë çështje të së drejtës së BE-së dhe nuk transpozohen në legjislacionin kombëtar.</w:t>
            </w:r>
          </w:p>
        </w:tc>
      </w:tr>
      <w:tr w:rsidR="00454689" w:rsidRPr="00454689" w14:paraId="00E9E2C8" w14:textId="77777777">
        <w:trPr>
          <w:cantSplit/>
        </w:trPr>
        <w:tc>
          <w:tcPr>
            <w:tcW w:w="1531" w:type="dxa"/>
            <w:tcMar>
              <w:top w:w="55" w:type="dxa"/>
              <w:left w:w="55" w:type="dxa"/>
              <w:bottom w:w="55" w:type="dxa"/>
              <w:right w:w="55" w:type="dxa"/>
            </w:tcMar>
          </w:tcPr>
          <w:p w14:paraId="0F71E9CA" w14:textId="77777777" w:rsidR="00454689" w:rsidRPr="00454689" w:rsidRDefault="00454689">
            <w:pPr>
              <w:spacing w:after="20"/>
              <w:rPr>
                <w:sz w:val="24"/>
                <w:szCs w:val="24"/>
              </w:rPr>
            </w:pPr>
            <w:r w:rsidRPr="00454689">
              <w:rPr>
                <w:sz w:val="24"/>
                <w:szCs w:val="24"/>
              </w:rPr>
              <w:t>Neni 11, pika 2</w:t>
            </w:r>
          </w:p>
        </w:tc>
        <w:tc>
          <w:tcPr>
            <w:tcW w:w="4535" w:type="dxa"/>
            <w:tcMar>
              <w:top w:w="55" w:type="dxa"/>
              <w:left w:w="55" w:type="dxa"/>
              <w:bottom w:w="55" w:type="dxa"/>
              <w:right w:w="55" w:type="dxa"/>
            </w:tcMar>
          </w:tcPr>
          <w:p w14:paraId="2022AC06" w14:textId="77777777" w:rsidR="00454689" w:rsidRPr="00454689" w:rsidRDefault="00454689">
            <w:pPr>
              <w:spacing w:after="20"/>
              <w:rPr>
                <w:sz w:val="24"/>
                <w:szCs w:val="24"/>
              </w:rPr>
            </w:pPr>
            <w:r w:rsidRPr="00454689">
              <w:rPr>
                <w:sz w:val="24"/>
                <w:szCs w:val="24"/>
              </w:rPr>
              <w:t>Nenet 2, 4 dhe 5 të Vendimeve 94/728/KE, Euratom; 2000/597/KE, Euratom; 2007/436/KE, Euratom; dhe 2014/335/BE, Euratom vazhdojnë të zbatohen për llogaritjen dhe rregullimin e të ardhurave nga norma e kërkesës mbi bazën e TVSH-së të përcaktuar në mënyrë uniforme dhe të kufizuar ndërmjet 50% dhe 55% të PBB-së ose AKB-së së çdo shteti, sipas vitit përkatës; për llogaritjen e korrigjimit të çekuilibrave buxhetorë të dhënë Mbretërisë së Bashkuar për vitet 1995-2020; dhe për llogaritjen e financimit të këtyre korrigjimeve nga shtetet e tjera anëtare.</w:t>
            </w:r>
          </w:p>
        </w:tc>
        <w:tc>
          <w:tcPr>
            <w:tcW w:w="1020" w:type="dxa"/>
            <w:tcMar>
              <w:top w:w="55" w:type="dxa"/>
              <w:left w:w="55" w:type="dxa"/>
              <w:bottom w:w="55" w:type="dxa"/>
              <w:right w:w="55" w:type="dxa"/>
            </w:tcMar>
          </w:tcPr>
          <w:p w14:paraId="6D2E1A26"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1CAE17F2"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5DD9675E"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785F73C9" w14:textId="77777777" w:rsidR="00454689" w:rsidRPr="00454689" w:rsidRDefault="00454689">
            <w:pPr>
              <w:spacing w:after="20"/>
              <w:rPr>
                <w:sz w:val="24"/>
                <w:szCs w:val="24"/>
              </w:rPr>
            </w:pPr>
            <w:r w:rsidRPr="00454689">
              <w:rPr>
                <w:sz w:val="24"/>
                <w:szCs w:val="24"/>
              </w:rPr>
              <w:t>Zbatimi i vendimeve historike të BE-së për përllogaritjet e trashëguara të TVSH-së dhe korrigjimin e Mbretërisë së Bashkuar nuk është relevant për ligjin kuadër kombëtar të Shqipërisë.</w:t>
            </w:r>
          </w:p>
        </w:tc>
      </w:tr>
      <w:tr w:rsidR="00454689" w:rsidRPr="00454689" w14:paraId="23359265" w14:textId="77777777">
        <w:trPr>
          <w:cantSplit/>
        </w:trPr>
        <w:tc>
          <w:tcPr>
            <w:tcW w:w="1531" w:type="dxa"/>
            <w:tcMar>
              <w:top w:w="55" w:type="dxa"/>
              <w:left w:w="55" w:type="dxa"/>
              <w:bottom w:w="55" w:type="dxa"/>
              <w:right w:w="55" w:type="dxa"/>
            </w:tcMar>
          </w:tcPr>
          <w:p w14:paraId="4D553D87" w14:textId="77777777" w:rsidR="00454689" w:rsidRPr="00454689" w:rsidRDefault="00454689">
            <w:pPr>
              <w:spacing w:after="20"/>
              <w:rPr>
                <w:sz w:val="24"/>
                <w:szCs w:val="24"/>
              </w:rPr>
            </w:pPr>
            <w:r w:rsidRPr="00454689">
              <w:rPr>
                <w:sz w:val="24"/>
                <w:szCs w:val="24"/>
              </w:rPr>
              <w:lastRenderedPageBreak/>
              <w:t>Neni 11, pika 3</w:t>
            </w:r>
          </w:p>
        </w:tc>
        <w:tc>
          <w:tcPr>
            <w:tcW w:w="4535" w:type="dxa"/>
            <w:tcMar>
              <w:top w:w="55" w:type="dxa"/>
              <w:left w:w="55" w:type="dxa"/>
              <w:bottom w:w="55" w:type="dxa"/>
              <w:right w:w="55" w:type="dxa"/>
            </w:tcMar>
          </w:tcPr>
          <w:p w14:paraId="5A264EC7" w14:textId="77777777" w:rsidR="00454689" w:rsidRPr="00454689" w:rsidRDefault="00454689">
            <w:pPr>
              <w:spacing w:after="20"/>
              <w:rPr>
                <w:sz w:val="24"/>
                <w:szCs w:val="24"/>
              </w:rPr>
            </w:pPr>
            <w:r w:rsidRPr="00454689">
              <w:rPr>
                <w:sz w:val="24"/>
                <w:szCs w:val="24"/>
              </w:rPr>
              <w:t>Shtetet anëtare vazhdojnë të mbajnë, si kosto mbledhjeje, 10% të shumave të përmendura në nenin 2(1)(a), të cilat duhej të ishin vënë në dispozicion përpara 28 shkurtit 2001 sipas rregullave të zbatueshme të Bashkimit.</w:t>
            </w:r>
          </w:p>
        </w:tc>
        <w:tc>
          <w:tcPr>
            <w:tcW w:w="1020" w:type="dxa"/>
            <w:tcMar>
              <w:top w:w="55" w:type="dxa"/>
              <w:left w:w="55" w:type="dxa"/>
              <w:bottom w:w="55" w:type="dxa"/>
              <w:right w:w="55" w:type="dxa"/>
            </w:tcMar>
          </w:tcPr>
          <w:p w14:paraId="0AA90BA7"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1230B39A"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7166DBAE"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1206A005" w14:textId="77777777" w:rsidR="00454689" w:rsidRPr="00454689" w:rsidRDefault="00454689">
            <w:pPr>
              <w:spacing w:after="20"/>
              <w:rPr>
                <w:sz w:val="24"/>
                <w:szCs w:val="24"/>
              </w:rPr>
            </w:pPr>
            <w:r w:rsidRPr="00454689">
              <w:rPr>
                <w:sz w:val="24"/>
                <w:szCs w:val="24"/>
              </w:rPr>
              <w:t>Mbajtja historike prej 10% zbatohet vetëm për shuma të detyrueshme para 28 shkurtit 2001 dhe nuk ka rëndësi për Shqipërinë.</w:t>
            </w:r>
          </w:p>
        </w:tc>
      </w:tr>
      <w:tr w:rsidR="00454689" w:rsidRPr="00454689" w14:paraId="6CBBE904" w14:textId="77777777">
        <w:trPr>
          <w:cantSplit/>
        </w:trPr>
        <w:tc>
          <w:tcPr>
            <w:tcW w:w="1531" w:type="dxa"/>
            <w:tcMar>
              <w:top w:w="55" w:type="dxa"/>
              <w:left w:w="55" w:type="dxa"/>
              <w:bottom w:w="55" w:type="dxa"/>
              <w:right w:w="55" w:type="dxa"/>
            </w:tcMar>
          </w:tcPr>
          <w:p w14:paraId="394B9B13" w14:textId="77777777" w:rsidR="00454689" w:rsidRPr="00454689" w:rsidRDefault="00454689">
            <w:pPr>
              <w:spacing w:after="20"/>
              <w:rPr>
                <w:sz w:val="24"/>
                <w:szCs w:val="24"/>
              </w:rPr>
            </w:pPr>
            <w:r w:rsidRPr="00454689">
              <w:rPr>
                <w:sz w:val="24"/>
                <w:szCs w:val="24"/>
              </w:rPr>
              <w:t>Neni 11, pika 4</w:t>
            </w:r>
          </w:p>
        </w:tc>
        <w:tc>
          <w:tcPr>
            <w:tcW w:w="4535" w:type="dxa"/>
            <w:tcMar>
              <w:top w:w="55" w:type="dxa"/>
              <w:left w:w="55" w:type="dxa"/>
              <w:bottom w:w="55" w:type="dxa"/>
              <w:right w:w="55" w:type="dxa"/>
            </w:tcMar>
          </w:tcPr>
          <w:p w14:paraId="2488F1A2" w14:textId="77777777" w:rsidR="00454689" w:rsidRPr="00454689" w:rsidRDefault="00454689">
            <w:pPr>
              <w:spacing w:after="20"/>
              <w:rPr>
                <w:sz w:val="24"/>
                <w:szCs w:val="24"/>
              </w:rPr>
            </w:pPr>
            <w:r w:rsidRPr="00454689">
              <w:rPr>
                <w:sz w:val="24"/>
                <w:szCs w:val="24"/>
              </w:rPr>
              <w:t>Shtetet anëtare vazhdojnë të mbajnë, si kosto mbledhjeje, 25% të shumave të përmendura në nenin 2(1)(a), të cilat duhej të ishin vënë në dispozicion ndërmjet 1 marsit 2001 dhe 28 shkurtit 2014 sipas rregullave të zbatueshme të Bashkimit.</w:t>
            </w:r>
          </w:p>
        </w:tc>
        <w:tc>
          <w:tcPr>
            <w:tcW w:w="1020" w:type="dxa"/>
            <w:tcMar>
              <w:top w:w="55" w:type="dxa"/>
              <w:left w:w="55" w:type="dxa"/>
              <w:bottom w:w="55" w:type="dxa"/>
              <w:right w:w="55" w:type="dxa"/>
            </w:tcMar>
          </w:tcPr>
          <w:p w14:paraId="34AAA380"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114F4290"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28B958B8"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698D4C7B" w14:textId="77777777" w:rsidR="00454689" w:rsidRPr="00454689" w:rsidRDefault="00454689">
            <w:pPr>
              <w:spacing w:after="20"/>
              <w:rPr>
                <w:sz w:val="24"/>
                <w:szCs w:val="24"/>
              </w:rPr>
            </w:pPr>
            <w:r w:rsidRPr="00454689">
              <w:rPr>
                <w:sz w:val="24"/>
                <w:szCs w:val="24"/>
              </w:rPr>
              <w:t>Mbajtja historike prej 25% për shumat e periudhës 2001-2014 nuk ka rëndësi për Shqipërinë.</w:t>
            </w:r>
          </w:p>
        </w:tc>
      </w:tr>
      <w:tr w:rsidR="00454689" w:rsidRPr="00454689" w14:paraId="79F22BC8" w14:textId="77777777">
        <w:trPr>
          <w:cantSplit/>
        </w:trPr>
        <w:tc>
          <w:tcPr>
            <w:tcW w:w="1531" w:type="dxa"/>
            <w:tcMar>
              <w:top w:w="55" w:type="dxa"/>
              <w:left w:w="55" w:type="dxa"/>
              <w:bottom w:w="55" w:type="dxa"/>
              <w:right w:w="55" w:type="dxa"/>
            </w:tcMar>
          </w:tcPr>
          <w:p w14:paraId="638CB9AC" w14:textId="77777777" w:rsidR="00454689" w:rsidRPr="00454689" w:rsidRDefault="00454689">
            <w:pPr>
              <w:spacing w:after="20"/>
              <w:rPr>
                <w:sz w:val="24"/>
                <w:szCs w:val="24"/>
              </w:rPr>
            </w:pPr>
            <w:r w:rsidRPr="00454689">
              <w:rPr>
                <w:sz w:val="24"/>
                <w:szCs w:val="24"/>
              </w:rPr>
              <w:t>Neni 11, pika 5</w:t>
            </w:r>
          </w:p>
        </w:tc>
        <w:tc>
          <w:tcPr>
            <w:tcW w:w="4535" w:type="dxa"/>
            <w:tcMar>
              <w:top w:w="55" w:type="dxa"/>
              <w:left w:w="55" w:type="dxa"/>
              <w:bottom w:w="55" w:type="dxa"/>
              <w:right w:w="55" w:type="dxa"/>
            </w:tcMar>
          </w:tcPr>
          <w:p w14:paraId="28BBEE34" w14:textId="77777777" w:rsidR="00454689" w:rsidRPr="00454689" w:rsidRDefault="00454689">
            <w:pPr>
              <w:spacing w:after="20"/>
              <w:rPr>
                <w:sz w:val="24"/>
                <w:szCs w:val="24"/>
              </w:rPr>
            </w:pPr>
            <w:r w:rsidRPr="00454689">
              <w:rPr>
                <w:sz w:val="24"/>
                <w:szCs w:val="24"/>
              </w:rPr>
              <w:t>Shtetet anëtare vazhdojnë të mbajnë, si kosto mbledhjeje, 20% të shumave të përmendura në nenin 2(1)(a), të cilat duhej të ishin vënë në dispozicion ndërmjet 1 marsit 2014 dhe 28 shkurtit 2021 sipas rregullave të zbatueshme të Bashkimit.</w:t>
            </w:r>
          </w:p>
        </w:tc>
        <w:tc>
          <w:tcPr>
            <w:tcW w:w="1020" w:type="dxa"/>
            <w:tcMar>
              <w:top w:w="55" w:type="dxa"/>
              <w:left w:w="55" w:type="dxa"/>
              <w:bottom w:w="55" w:type="dxa"/>
              <w:right w:w="55" w:type="dxa"/>
            </w:tcMar>
          </w:tcPr>
          <w:p w14:paraId="4CADF7E3" w14:textId="77777777" w:rsidR="00454689" w:rsidRPr="00454689" w:rsidRDefault="00454689">
            <w:pPr>
              <w:spacing w:after="20"/>
              <w:rPr>
                <w:sz w:val="24"/>
                <w:szCs w:val="24"/>
              </w:rPr>
            </w:pPr>
            <w:r w:rsidRPr="00454689">
              <w:rPr>
                <w:sz w:val="24"/>
                <w:szCs w:val="24"/>
              </w:rPr>
              <w:t>-</w:t>
            </w:r>
          </w:p>
        </w:tc>
        <w:tc>
          <w:tcPr>
            <w:tcW w:w="4535" w:type="dxa"/>
            <w:tcMar>
              <w:top w:w="55" w:type="dxa"/>
              <w:left w:w="55" w:type="dxa"/>
              <w:bottom w:w="55" w:type="dxa"/>
              <w:right w:w="55" w:type="dxa"/>
            </w:tcMar>
          </w:tcPr>
          <w:p w14:paraId="490BA5BE" w14:textId="77777777" w:rsidR="00454689" w:rsidRPr="00454689" w:rsidRDefault="00454689">
            <w:pPr>
              <w:spacing w:after="20"/>
              <w:rPr>
                <w:sz w:val="24"/>
                <w:szCs w:val="24"/>
              </w:rPr>
            </w:pPr>
            <w:r w:rsidRPr="00454689">
              <w:rPr>
                <w:sz w:val="24"/>
                <w:szCs w:val="24"/>
              </w:rPr>
              <w:t>Nuk ka dispozitë përkatëse.</w:t>
            </w:r>
          </w:p>
        </w:tc>
        <w:tc>
          <w:tcPr>
            <w:tcW w:w="850" w:type="dxa"/>
            <w:tcMar>
              <w:top w:w="55" w:type="dxa"/>
              <w:left w:w="55" w:type="dxa"/>
              <w:bottom w:w="55" w:type="dxa"/>
              <w:right w:w="55" w:type="dxa"/>
            </w:tcMar>
          </w:tcPr>
          <w:p w14:paraId="5EE2418A" w14:textId="77777777" w:rsidR="00454689" w:rsidRPr="00454689" w:rsidRDefault="00454689">
            <w:pPr>
              <w:spacing w:after="20"/>
              <w:jc w:val="center"/>
              <w:rPr>
                <w:sz w:val="24"/>
                <w:szCs w:val="24"/>
              </w:rPr>
            </w:pPr>
            <w:r w:rsidRPr="00454689">
              <w:rPr>
                <w:sz w:val="24"/>
                <w:szCs w:val="24"/>
              </w:rPr>
              <w:t>N</w:t>
            </w:r>
          </w:p>
        </w:tc>
        <w:tc>
          <w:tcPr>
            <w:tcW w:w="2835" w:type="dxa"/>
            <w:tcMar>
              <w:top w:w="55" w:type="dxa"/>
              <w:left w:w="55" w:type="dxa"/>
              <w:bottom w:w="55" w:type="dxa"/>
              <w:right w:w="55" w:type="dxa"/>
            </w:tcMar>
          </w:tcPr>
          <w:p w14:paraId="28F92AF8" w14:textId="77777777" w:rsidR="00454689" w:rsidRPr="00454689" w:rsidRDefault="00454689">
            <w:pPr>
              <w:spacing w:after="20"/>
              <w:rPr>
                <w:sz w:val="24"/>
                <w:szCs w:val="24"/>
              </w:rPr>
            </w:pPr>
            <w:r w:rsidRPr="00454689">
              <w:rPr>
                <w:sz w:val="24"/>
                <w:szCs w:val="24"/>
              </w:rPr>
              <w:t>Mbajtja historike prej 20% për shumat e periudhës 2014-2021 nuk ka rëndësi për Shqipërinë.</w:t>
            </w:r>
          </w:p>
        </w:tc>
      </w:tr>
      <w:tr w:rsidR="00454689" w:rsidRPr="00454689" w14:paraId="0FF0E073" w14:textId="77777777">
        <w:trPr>
          <w:cantSplit/>
        </w:trPr>
        <w:tc>
          <w:tcPr>
            <w:tcW w:w="1531" w:type="dxa"/>
            <w:tcMar>
              <w:top w:w="55" w:type="dxa"/>
              <w:left w:w="55" w:type="dxa"/>
              <w:bottom w:w="55" w:type="dxa"/>
              <w:right w:w="55" w:type="dxa"/>
            </w:tcMar>
          </w:tcPr>
          <w:p w14:paraId="75018CC2" w14:textId="77777777" w:rsidR="00454689" w:rsidRPr="00454689" w:rsidRDefault="00454689">
            <w:pPr>
              <w:spacing w:after="20"/>
              <w:rPr>
                <w:sz w:val="24"/>
                <w:szCs w:val="24"/>
              </w:rPr>
            </w:pPr>
            <w:r w:rsidRPr="00454689">
              <w:rPr>
                <w:sz w:val="24"/>
                <w:szCs w:val="24"/>
              </w:rPr>
              <w:t>Neni 11, pika 6</w:t>
            </w:r>
          </w:p>
        </w:tc>
        <w:tc>
          <w:tcPr>
            <w:tcW w:w="4535" w:type="dxa"/>
            <w:tcMar>
              <w:top w:w="55" w:type="dxa"/>
              <w:left w:w="55" w:type="dxa"/>
              <w:bottom w:w="55" w:type="dxa"/>
              <w:right w:w="55" w:type="dxa"/>
            </w:tcMar>
          </w:tcPr>
          <w:p w14:paraId="5781DA5F" w14:textId="77777777" w:rsidR="00454689" w:rsidRPr="00454689" w:rsidRDefault="00454689">
            <w:pPr>
              <w:spacing w:after="20"/>
              <w:rPr>
                <w:sz w:val="24"/>
                <w:szCs w:val="24"/>
              </w:rPr>
            </w:pPr>
            <w:r w:rsidRPr="00454689">
              <w:rPr>
                <w:sz w:val="24"/>
                <w:szCs w:val="24"/>
              </w:rPr>
              <w:t>Për qëllimet e këtij Vendimi, të gjitha shumat monetare shprehen në euro.</w:t>
            </w:r>
          </w:p>
        </w:tc>
        <w:tc>
          <w:tcPr>
            <w:tcW w:w="1020" w:type="dxa"/>
            <w:tcMar>
              <w:top w:w="55" w:type="dxa"/>
              <w:left w:w="55" w:type="dxa"/>
              <w:bottom w:w="55" w:type="dxa"/>
              <w:right w:w="55" w:type="dxa"/>
            </w:tcMar>
          </w:tcPr>
          <w:p w14:paraId="2BA35DEF"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3557511F" w14:textId="77777777" w:rsidR="00454689" w:rsidRPr="00454689" w:rsidRDefault="00454689">
            <w:pPr>
              <w:spacing w:after="20"/>
              <w:rPr>
                <w:sz w:val="24"/>
                <w:szCs w:val="24"/>
              </w:rPr>
            </w:pPr>
            <w:r w:rsidRPr="00454689">
              <w:rPr>
                <w:sz w:val="24"/>
                <w:szCs w:val="24"/>
              </w:rPr>
              <w:t>Nenet 3(10) dhe 10-12. Kontributi Kombëtar planifikohet, financohet dhe transferohet nëpërmjet llogarisë së përcaktuar dhe në përputhje me thirrjet e Komisionit dhe rregullat e BE-së për burimet vetjake.</w:t>
            </w:r>
          </w:p>
        </w:tc>
        <w:tc>
          <w:tcPr>
            <w:tcW w:w="850" w:type="dxa"/>
            <w:tcMar>
              <w:top w:w="55" w:type="dxa"/>
              <w:left w:w="55" w:type="dxa"/>
              <w:bottom w:w="55" w:type="dxa"/>
              <w:right w:w="55" w:type="dxa"/>
            </w:tcMar>
          </w:tcPr>
          <w:p w14:paraId="71CFEE0C" w14:textId="77777777" w:rsidR="00454689" w:rsidRPr="00454689" w:rsidRDefault="00454689">
            <w:pPr>
              <w:spacing w:after="20"/>
              <w:jc w:val="center"/>
              <w:rPr>
                <w:sz w:val="24"/>
                <w:szCs w:val="24"/>
              </w:rPr>
            </w:pPr>
            <w:r w:rsidRPr="00454689">
              <w:rPr>
                <w:sz w:val="24"/>
                <w:szCs w:val="24"/>
              </w:rPr>
              <w:t>P</w:t>
            </w:r>
          </w:p>
        </w:tc>
        <w:tc>
          <w:tcPr>
            <w:tcW w:w="2835" w:type="dxa"/>
            <w:tcMar>
              <w:top w:w="55" w:type="dxa"/>
              <w:left w:w="55" w:type="dxa"/>
              <w:bottom w:w="55" w:type="dxa"/>
              <w:right w:w="55" w:type="dxa"/>
            </w:tcMar>
          </w:tcPr>
          <w:p w14:paraId="50EC2FC1" w14:textId="77777777" w:rsidR="00454689" w:rsidRPr="00454689" w:rsidRDefault="00454689">
            <w:pPr>
              <w:spacing w:after="20"/>
              <w:rPr>
                <w:sz w:val="24"/>
                <w:szCs w:val="24"/>
              </w:rPr>
            </w:pPr>
            <w:r w:rsidRPr="00454689">
              <w:rPr>
                <w:sz w:val="24"/>
                <w:szCs w:val="24"/>
              </w:rPr>
              <w:t>Kuadri operacional është përcaktuar. Projektligji nuk kërkon shprehimisht që të gjitha shumat monetare të shprehen në euro; kjo duhet qartësuar në një akt zbatues ose në nenin 12.</w:t>
            </w:r>
          </w:p>
        </w:tc>
      </w:tr>
      <w:tr w:rsidR="00454689" w:rsidRPr="00454689" w14:paraId="28AED9A9" w14:textId="77777777">
        <w:trPr>
          <w:cantSplit/>
        </w:trPr>
        <w:tc>
          <w:tcPr>
            <w:tcW w:w="1531" w:type="dxa"/>
            <w:tcMar>
              <w:top w:w="55" w:type="dxa"/>
              <w:left w:w="55" w:type="dxa"/>
              <w:bottom w:w="55" w:type="dxa"/>
              <w:right w:w="55" w:type="dxa"/>
            </w:tcMar>
          </w:tcPr>
          <w:p w14:paraId="5FA86584" w14:textId="77777777" w:rsidR="00454689" w:rsidRPr="00454689" w:rsidRDefault="00454689">
            <w:pPr>
              <w:spacing w:after="20"/>
              <w:rPr>
                <w:sz w:val="24"/>
                <w:szCs w:val="24"/>
              </w:rPr>
            </w:pPr>
            <w:r w:rsidRPr="00454689">
              <w:rPr>
                <w:sz w:val="24"/>
                <w:szCs w:val="24"/>
              </w:rPr>
              <w:lastRenderedPageBreak/>
              <w:t xml:space="preserve">Neni 12 - </w:t>
            </w:r>
            <w:proofErr w:type="spellStart"/>
            <w:r w:rsidRPr="00454689">
              <w:rPr>
                <w:sz w:val="24"/>
                <w:szCs w:val="24"/>
              </w:rPr>
              <w:t>Hyrja</w:t>
            </w:r>
            <w:proofErr w:type="spellEnd"/>
            <w:r w:rsidRPr="00454689">
              <w:rPr>
                <w:sz w:val="24"/>
                <w:szCs w:val="24"/>
              </w:rPr>
              <w:t xml:space="preserve"> </w:t>
            </w:r>
            <w:proofErr w:type="spellStart"/>
            <w:r w:rsidRPr="00454689">
              <w:rPr>
                <w:sz w:val="24"/>
                <w:szCs w:val="24"/>
              </w:rPr>
              <w:t>në</w:t>
            </w:r>
            <w:proofErr w:type="spellEnd"/>
            <w:r w:rsidRPr="00454689">
              <w:rPr>
                <w:sz w:val="24"/>
                <w:szCs w:val="24"/>
              </w:rPr>
              <w:t xml:space="preserve"> fuqi</w:t>
            </w:r>
          </w:p>
        </w:tc>
        <w:tc>
          <w:tcPr>
            <w:tcW w:w="4535" w:type="dxa"/>
            <w:tcMar>
              <w:top w:w="55" w:type="dxa"/>
              <w:left w:w="55" w:type="dxa"/>
              <w:bottom w:w="55" w:type="dxa"/>
              <w:right w:w="55" w:type="dxa"/>
            </w:tcMar>
          </w:tcPr>
          <w:p w14:paraId="5A4B6CA4" w14:textId="77777777" w:rsidR="00454689" w:rsidRPr="00454689" w:rsidRDefault="00454689">
            <w:pPr>
              <w:spacing w:after="20"/>
              <w:rPr>
                <w:sz w:val="24"/>
                <w:szCs w:val="24"/>
              </w:rPr>
            </w:pPr>
            <w:r w:rsidRPr="00454689">
              <w:rPr>
                <w:sz w:val="24"/>
                <w:szCs w:val="24"/>
              </w:rPr>
              <w:t>Sekretari i Përgjithshëm i Këshillit njofton shtetet anëtare për këtë Vendim. Shtetet anëtare njoftojnë pa vonesë Sekretarin e Përgjithshëm të Këshillit për përfundimin e procedurave për miratimin e këtij Vendimi sipas kërkesave të tyre kushtetuese. Ky Vendim hyn në fuqi ditën e parë të muajit të parë pas marrjes së njoftimit të fundit dhe zbatohet nga 1 janari 2021.</w:t>
            </w:r>
          </w:p>
        </w:tc>
        <w:tc>
          <w:tcPr>
            <w:tcW w:w="1020" w:type="dxa"/>
            <w:tcMar>
              <w:top w:w="55" w:type="dxa"/>
              <w:left w:w="55" w:type="dxa"/>
              <w:bottom w:w="55" w:type="dxa"/>
              <w:right w:w="55" w:type="dxa"/>
            </w:tcMar>
          </w:tcPr>
          <w:p w14:paraId="1A93BACE" w14:textId="77777777" w:rsidR="00454689" w:rsidRPr="00454689" w:rsidRDefault="00454689">
            <w:pPr>
              <w:spacing w:after="20"/>
              <w:rPr>
                <w:sz w:val="24"/>
                <w:szCs w:val="24"/>
              </w:rPr>
            </w:pPr>
            <w:r w:rsidRPr="00454689">
              <w:rPr>
                <w:sz w:val="24"/>
                <w:szCs w:val="24"/>
              </w:rPr>
              <w:t>Projektligji</w:t>
            </w:r>
          </w:p>
        </w:tc>
        <w:tc>
          <w:tcPr>
            <w:tcW w:w="4535" w:type="dxa"/>
            <w:tcMar>
              <w:top w:w="55" w:type="dxa"/>
              <w:left w:w="55" w:type="dxa"/>
              <w:bottom w:w="55" w:type="dxa"/>
              <w:right w:w="55" w:type="dxa"/>
            </w:tcMar>
          </w:tcPr>
          <w:p w14:paraId="3072218A" w14:textId="77777777" w:rsidR="00454689" w:rsidRPr="00454689" w:rsidRDefault="00454689">
            <w:pPr>
              <w:spacing w:after="20"/>
              <w:rPr>
                <w:sz w:val="24"/>
                <w:szCs w:val="24"/>
              </w:rPr>
            </w:pPr>
            <w:r w:rsidRPr="00454689">
              <w:rPr>
                <w:sz w:val="24"/>
                <w:szCs w:val="24"/>
              </w:rPr>
              <w:t>Nenet 21 dhe 22. Dispozitat para anëtarësimit për strukturat, sistemet dhe ngritjen e kapaciteteve zbatohen para anëtarësimit, ndërsa detyrimet për llogaritjen, deklarimin, transferimin dhe detyrimet e tjera financiare zbatohen nga data e anëtarësimit. Ligji hyn në fuqi 15 ditë pas botimit në Fletoren Zyrtare.</w:t>
            </w:r>
          </w:p>
        </w:tc>
        <w:tc>
          <w:tcPr>
            <w:tcW w:w="850" w:type="dxa"/>
            <w:tcMar>
              <w:top w:w="55" w:type="dxa"/>
              <w:left w:w="55" w:type="dxa"/>
              <w:bottom w:w="55" w:type="dxa"/>
              <w:right w:w="55" w:type="dxa"/>
            </w:tcMar>
          </w:tcPr>
          <w:p w14:paraId="257D8785" w14:textId="77777777" w:rsidR="00454689" w:rsidRPr="00454689" w:rsidRDefault="00454689">
            <w:pPr>
              <w:spacing w:after="20"/>
              <w:jc w:val="center"/>
              <w:rPr>
                <w:sz w:val="24"/>
                <w:szCs w:val="24"/>
              </w:rPr>
            </w:pPr>
            <w:r w:rsidRPr="00454689">
              <w:rPr>
                <w:sz w:val="24"/>
                <w:szCs w:val="24"/>
              </w:rPr>
              <w:t>F</w:t>
            </w:r>
          </w:p>
        </w:tc>
        <w:tc>
          <w:tcPr>
            <w:tcW w:w="2835" w:type="dxa"/>
            <w:tcMar>
              <w:top w:w="55" w:type="dxa"/>
              <w:left w:w="55" w:type="dxa"/>
              <w:bottom w:w="55" w:type="dxa"/>
              <w:right w:w="55" w:type="dxa"/>
            </w:tcMar>
          </w:tcPr>
          <w:p w14:paraId="5BC4D1BB" w14:textId="77777777" w:rsidR="00454689" w:rsidRPr="00454689" w:rsidRDefault="00454689">
            <w:pPr>
              <w:spacing w:after="20"/>
              <w:rPr>
                <w:sz w:val="24"/>
                <w:szCs w:val="24"/>
              </w:rPr>
            </w:pPr>
            <w:r w:rsidRPr="00454689">
              <w:rPr>
                <w:sz w:val="24"/>
                <w:szCs w:val="24"/>
              </w:rPr>
              <w:t>Projektligji dallon qartë hyrjen në fuqi në rendin e brendshëm nga aktivizimi i detyrimeve financiare të shtetit anëtar në momentin e anëtarësimit.</w:t>
            </w:r>
          </w:p>
        </w:tc>
      </w:tr>
    </w:tbl>
    <w:p w14:paraId="56E1035B" w14:textId="77777777" w:rsidR="006959E8" w:rsidRPr="00454689" w:rsidRDefault="006959E8">
      <w:pPr>
        <w:rPr>
          <w:sz w:val="24"/>
          <w:szCs w:val="24"/>
        </w:rPr>
      </w:pPr>
    </w:p>
    <w:sectPr w:rsidR="006959E8" w:rsidRPr="00454689" w:rsidSect="00034616">
      <w:footerReference w:type="default" r:id="rId8"/>
      <w:pgSz w:w="16838" w:h="11906" w:orient="landscape"/>
      <w:pgMar w:top="567" w:right="454" w:bottom="567" w:left="4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CBD7F" w14:textId="77777777" w:rsidR="006959E8" w:rsidRDefault="006959E8">
      <w:pPr>
        <w:spacing w:after="0" w:line="240" w:lineRule="auto"/>
      </w:pPr>
      <w:r>
        <w:separator/>
      </w:r>
    </w:p>
  </w:endnote>
  <w:endnote w:type="continuationSeparator" w:id="0">
    <w:p w14:paraId="7306D210" w14:textId="77777777" w:rsidR="006959E8" w:rsidRDefault="0069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CF6F" w14:textId="77777777" w:rsidR="0065208D" w:rsidRDefault="00000000">
    <w:pPr>
      <w:pStyle w:val="Footer"/>
      <w:jc w:val="center"/>
    </w:pPr>
    <w:proofErr w:type="spellStart"/>
    <w:r>
      <w:t>Tabela</w:t>
    </w:r>
    <w:proofErr w:type="spellEnd"/>
    <w:r>
      <w:t xml:space="preserve"> e </w:t>
    </w:r>
    <w:proofErr w:type="spellStart"/>
    <w:r>
      <w:t>përputhshmërisë</w:t>
    </w:r>
    <w:proofErr w:type="spellEnd"/>
    <w:r>
      <w:t xml:space="preserve"> - </w:t>
    </w:r>
    <w:proofErr w:type="spellStart"/>
    <w:r>
      <w:t>Vendimi</w:t>
    </w:r>
    <w:proofErr w:type="spellEnd"/>
    <w:r>
      <w:t xml:space="preserve"> (BE, Euratom) 2020/2053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EAE5" w14:textId="77777777" w:rsidR="006959E8" w:rsidRDefault="006959E8">
      <w:pPr>
        <w:spacing w:after="0" w:line="240" w:lineRule="auto"/>
      </w:pPr>
      <w:r>
        <w:separator/>
      </w:r>
    </w:p>
  </w:footnote>
  <w:footnote w:type="continuationSeparator" w:id="0">
    <w:p w14:paraId="1C8F1E6A" w14:textId="77777777" w:rsidR="006959E8" w:rsidRDefault="006959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9433952">
    <w:abstractNumId w:val="8"/>
  </w:num>
  <w:num w:numId="2" w16cid:durableId="978681417">
    <w:abstractNumId w:val="6"/>
  </w:num>
  <w:num w:numId="3" w16cid:durableId="827135685">
    <w:abstractNumId w:val="5"/>
  </w:num>
  <w:num w:numId="4" w16cid:durableId="115683806">
    <w:abstractNumId w:val="4"/>
  </w:num>
  <w:num w:numId="5" w16cid:durableId="1740207566">
    <w:abstractNumId w:val="7"/>
  </w:num>
  <w:num w:numId="6" w16cid:durableId="1447236975">
    <w:abstractNumId w:val="3"/>
  </w:num>
  <w:num w:numId="7" w16cid:durableId="976304948">
    <w:abstractNumId w:val="2"/>
  </w:num>
  <w:num w:numId="8" w16cid:durableId="1463647994">
    <w:abstractNumId w:val="1"/>
  </w:num>
  <w:num w:numId="9" w16cid:durableId="1117871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6C7F"/>
    <w:rsid w:val="0029639D"/>
    <w:rsid w:val="00326F90"/>
    <w:rsid w:val="00454689"/>
    <w:rsid w:val="0065208D"/>
    <w:rsid w:val="006959E8"/>
    <w:rsid w:val="00AA1D8D"/>
    <w:rsid w:val="00B47730"/>
    <w:rsid w:val="00C3696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C346F"/>
  <w14:defaultImageDpi w14:val="300"/>
  <w15:docId w15:val="{9FFB86D5-0EC5-4645-AB93-E0FBBDD9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5"/>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Standar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4234</Words>
  <Characters>24135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 Panajoti</dc:creator>
  <cp:keywords/>
  <dc:description>generated by python-docx</dc:description>
  <cp:lastModifiedBy>Anila Panajoti</cp:lastModifiedBy>
  <cp:revision>2</cp:revision>
  <dcterms:created xsi:type="dcterms:W3CDTF">2026-08-03T12:00:00Z</dcterms:created>
  <dcterms:modified xsi:type="dcterms:W3CDTF">2026-08-03T12:00:00Z</dcterms:modified>
  <cp:category/>
</cp:coreProperties>
</file>