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9162" w14:textId="77777777" w:rsidR="005B6D2B" w:rsidRPr="00FA55D9" w:rsidRDefault="005B6D2B" w:rsidP="005B6D2B">
      <w:pPr>
        <w:jc w:val="center"/>
        <w:rPr>
          <w:rFonts w:ascii="Times New Roman" w:hAnsi="Times New Roman"/>
          <w:b/>
          <w:bCs/>
          <w:iCs/>
          <w:szCs w:val="24"/>
          <w:lang w:bidi="en-GB"/>
        </w:rPr>
      </w:pPr>
      <w:r w:rsidRPr="00FA55D9">
        <w:rPr>
          <w:rFonts w:ascii="Times New Roman" w:hAnsi="Times New Roman"/>
          <w:b/>
          <w:bCs/>
          <w:iCs/>
          <w:szCs w:val="24"/>
          <w:lang w:bidi="en-GB"/>
        </w:rPr>
        <w:t>Raport për rezultatet e konsultimeve publike</w:t>
      </w:r>
    </w:p>
    <w:p w14:paraId="43D71818" w14:textId="77777777" w:rsidR="005B6D2B" w:rsidRPr="00FA55D9" w:rsidRDefault="005B6D2B" w:rsidP="005B6D2B">
      <w:pPr>
        <w:rPr>
          <w:rFonts w:ascii="Times New Roman" w:hAnsi="Times New Roman"/>
          <w:szCs w:val="24"/>
        </w:rPr>
      </w:pPr>
    </w:p>
    <w:p w14:paraId="2DC4331A" w14:textId="77777777" w:rsidR="005B6D2B" w:rsidRPr="00FA55D9" w:rsidRDefault="005B6D2B" w:rsidP="005B6D2B">
      <w:pPr>
        <w:pStyle w:val="ListParagraph"/>
        <w:numPr>
          <w:ilvl w:val="0"/>
          <w:numId w:val="1"/>
        </w:numPr>
        <w:jc w:val="both"/>
        <w:rPr>
          <w:rFonts w:ascii="Times New Roman" w:hAnsi="Times New Roman"/>
          <w:b/>
          <w:bCs/>
          <w:szCs w:val="24"/>
        </w:rPr>
      </w:pPr>
      <w:r w:rsidRPr="00FA55D9">
        <w:rPr>
          <w:rFonts w:ascii="Times New Roman" w:hAnsi="Times New Roman"/>
          <w:b/>
          <w:bCs/>
          <w:szCs w:val="24"/>
        </w:rPr>
        <w:t>Titulli i draft aktit</w:t>
      </w:r>
    </w:p>
    <w:p w14:paraId="5AE932E0" w14:textId="77777777" w:rsidR="00824317" w:rsidRPr="00FA55D9" w:rsidRDefault="00000000">
      <w:pPr>
        <w:spacing w:after="120"/>
        <w:rPr>
          <w:rFonts w:ascii="Times New Roman" w:hAnsi="Times New Roman"/>
        </w:rPr>
      </w:pPr>
      <w:r w:rsidRPr="00FA55D9">
        <w:rPr>
          <w:rFonts w:ascii="Times New Roman" w:hAnsi="Times New Roman"/>
        </w:rPr>
        <w:t>Projektligji “</w:t>
      </w:r>
      <w:r w:rsidRPr="00FA55D9">
        <w:rPr>
          <w:rFonts w:ascii="Times New Roman" w:hAnsi="Times New Roman"/>
          <w:i/>
          <w:iCs/>
        </w:rPr>
        <w:t>Për Bankën e Shqipërisë</w:t>
      </w:r>
      <w:r w:rsidRPr="00FA55D9">
        <w:rPr>
          <w:rFonts w:ascii="Times New Roman" w:hAnsi="Times New Roman"/>
        </w:rPr>
        <w:t>”</w:t>
      </w:r>
    </w:p>
    <w:p w14:paraId="3F51B1B0" w14:textId="77777777" w:rsidR="00A121AB" w:rsidRPr="00FA55D9" w:rsidRDefault="00A121AB" w:rsidP="00A121AB">
      <w:pPr>
        <w:ind w:left="360"/>
        <w:jc w:val="both"/>
        <w:rPr>
          <w:rFonts w:ascii="Times New Roman" w:hAnsi="Times New Roman"/>
          <w:b/>
          <w:bCs/>
          <w:szCs w:val="24"/>
        </w:rPr>
      </w:pPr>
    </w:p>
    <w:p w14:paraId="3C1A7F82" w14:textId="77777777" w:rsidR="005B6D2B" w:rsidRPr="00FA55D9" w:rsidRDefault="005B6D2B" w:rsidP="005B6D2B">
      <w:pPr>
        <w:pStyle w:val="ListParagraph"/>
        <w:numPr>
          <w:ilvl w:val="0"/>
          <w:numId w:val="1"/>
        </w:numPr>
        <w:jc w:val="both"/>
        <w:rPr>
          <w:rFonts w:ascii="Times New Roman" w:hAnsi="Times New Roman"/>
          <w:i/>
          <w:iCs/>
          <w:szCs w:val="24"/>
        </w:rPr>
      </w:pPr>
      <w:r w:rsidRPr="00FA55D9">
        <w:rPr>
          <w:rFonts w:ascii="Times New Roman" w:hAnsi="Times New Roman"/>
          <w:b/>
          <w:bCs/>
          <w:szCs w:val="24"/>
        </w:rPr>
        <w:t>Kohëzgjatja e konsultimeve</w:t>
      </w:r>
    </w:p>
    <w:p w14:paraId="5F9A7E82" w14:textId="77777777" w:rsidR="005B6D2B" w:rsidRPr="00FA55D9" w:rsidRDefault="005B6D2B" w:rsidP="005B6D2B">
      <w:pPr>
        <w:ind w:left="360"/>
        <w:jc w:val="both"/>
        <w:rPr>
          <w:rFonts w:ascii="Times New Roman" w:hAnsi="Times New Roman"/>
          <w:i/>
          <w:iCs/>
          <w:szCs w:val="24"/>
        </w:rPr>
      </w:pPr>
      <w:r w:rsidRPr="00FA55D9">
        <w:rPr>
          <w:rFonts w:ascii="Times New Roman" w:hAnsi="Times New Roman"/>
          <w:i/>
          <w:iCs/>
          <w:szCs w:val="24"/>
        </w:rPr>
        <w:t>Specifikoni kohëzgjatjen e përgjithshme të konsultimeve publike sa i përket ditëve të punës, përfshirë datën e hapjes dhe mbylljes së konsultimeve publike; nëse kohëzgjatja ishte më e shkurtër se 20 ditë pune e paraparë me ligj, jepni arsye për shkurtimin e kohëzgjatjes.</w:t>
      </w:r>
    </w:p>
    <w:p w14:paraId="08306299" w14:textId="77777777" w:rsidR="00FA55D9" w:rsidRPr="00FA55D9" w:rsidRDefault="00FA55D9" w:rsidP="005B6D2B">
      <w:pPr>
        <w:ind w:left="360"/>
        <w:jc w:val="both"/>
        <w:rPr>
          <w:rFonts w:ascii="Times New Roman" w:hAnsi="Times New Roman"/>
          <w:i/>
          <w:iCs/>
          <w:szCs w:val="24"/>
        </w:rPr>
      </w:pPr>
    </w:p>
    <w:p w14:paraId="44F42ABA" w14:textId="77777777" w:rsidR="00824317" w:rsidRPr="00FA55D9" w:rsidRDefault="00000000">
      <w:pPr>
        <w:spacing w:after="120"/>
        <w:rPr>
          <w:rFonts w:ascii="Times New Roman" w:hAnsi="Times New Roman"/>
        </w:rPr>
      </w:pPr>
      <w:r w:rsidRPr="00FA55D9">
        <w:rPr>
          <w:rFonts w:ascii="Times New Roman" w:hAnsi="Times New Roman"/>
        </w:rPr>
        <w:t>Projektligji dhe dokumentet shoqëruese u publikuan për konsultim publik në RENJKP nga data 15.07.2026 deri më 12.08.2026, për një periudhë prej 21 ditësh pune, në përputhje me afatin minimal prej 20 ditësh pune të parashikuar me ligj. Komentet e paraqitura nga palët e interesuara mbajnë datat 23.07.2026 dhe 11.08.2026, pra brenda afatit të konsultimit.</w:t>
      </w:r>
    </w:p>
    <w:p w14:paraId="6617F1D1" w14:textId="77777777" w:rsidR="005B6D2B" w:rsidRPr="00FA55D9" w:rsidRDefault="005B6D2B" w:rsidP="005B6D2B">
      <w:pPr>
        <w:ind w:left="360"/>
        <w:jc w:val="both"/>
        <w:rPr>
          <w:rFonts w:ascii="Times New Roman" w:hAnsi="Times New Roman"/>
          <w:i/>
          <w:iCs/>
          <w:szCs w:val="24"/>
        </w:rPr>
      </w:pPr>
    </w:p>
    <w:p w14:paraId="3FA4CD5F" w14:textId="77777777" w:rsidR="007755F2" w:rsidRPr="00FA55D9" w:rsidRDefault="007755F2" w:rsidP="005B6D2B">
      <w:pPr>
        <w:ind w:left="360"/>
        <w:jc w:val="both"/>
        <w:rPr>
          <w:rFonts w:ascii="Times New Roman" w:hAnsi="Times New Roman"/>
          <w:i/>
          <w:iCs/>
          <w:szCs w:val="24"/>
        </w:rPr>
      </w:pPr>
    </w:p>
    <w:p w14:paraId="30678550" w14:textId="77777777" w:rsidR="005B6D2B" w:rsidRPr="00FA55D9" w:rsidRDefault="005B6D2B" w:rsidP="005B6D2B">
      <w:pPr>
        <w:pStyle w:val="ListParagraph"/>
        <w:numPr>
          <w:ilvl w:val="0"/>
          <w:numId w:val="1"/>
        </w:numPr>
        <w:jc w:val="both"/>
        <w:rPr>
          <w:rFonts w:ascii="Times New Roman" w:hAnsi="Times New Roman"/>
          <w:szCs w:val="24"/>
        </w:rPr>
      </w:pPr>
      <w:r w:rsidRPr="00FA55D9">
        <w:rPr>
          <w:rFonts w:ascii="Times New Roman" w:hAnsi="Times New Roman"/>
          <w:b/>
          <w:bCs/>
          <w:szCs w:val="24"/>
        </w:rPr>
        <w:t>Metoda e konsultimit</w:t>
      </w:r>
    </w:p>
    <w:p w14:paraId="0E7212B3" w14:textId="77777777" w:rsidR="005B6D2B" w:rsidRDefault="005B6D2B" w:rsidP="005B6D2B">
      <w:pPr>
        <w:ind w:left="360"/>
        <w:jc w:val="both"/>
        <w:rPr>
          <w:rFonts w:ascii="Times New Roman" w:hAnsi="Times New Roman"/>
          <w:i/>
          <w:iCs/>
          <w:szCs w:val="24"/>
        </w:rPr>
      </w:pPr>
      <w:r w:rsidRPr="00FA55D9">
        <w:rPr>
          <w:rFonts w:ascii="Times New Roman" w:hAnsi="Times New Roman"/>
          <w:i/>
          <w:iCs/>
          <w:szCs w:val="24"/>
        </w:rPr>
        <w:t>Listoni të gjitha metodat e konsultimit të përdorura, të tilla si konsultimet elektronike (Regjistri Elektronik, posta elektronike, faqet e internetit, etj.), Takimet publike, seancat e organeve këshilluese…, dhe siguroni informacione për afatin kohor, kohëzgjatjen dhe afatet e tyre.</w:t>
      </w:r>
      <w:r w:rsidR="00332DB4" w:rsidRPr="00FA55D9">
        <w:rPr>
          <w:rFonts w:ascii="Times New Roman" w:hAnsi="Times New Roman"/>
          <w:i/>
          <w:iCs/>
          <w:szCs w:val="24"/>
        </w:rPr>
        <w:t xml:space="preserve"> </w:t>
      </w:r>
      <w:r w:rsidRPr="00FA55D9">
        <w:rPr>
          <w:rFonts w:ascii="Times New Roman" w:hAnsi="Times New Roman"/>
          <w:i/>
          <w:iCs/>
          <w:szCs w:val="24"/>
        </w:rPr>
        <w:t>Shpjegoni se si u shpërnda informacioni mbi konsultimet e hapura, si u ftuan palët e interesuara të kontribuojnë.</w:t>
      </w:r>
      <w:r w:rsidR="00332DB4" w:rsidRPr="00FA55D9">
        <w:rPr>
          <w:rFonts w:ascii="Times New Roman" w:hAnsi="Times New Roman"/>
          <w:i/>
          <w:iCs/>
          <w:szCs w:val="24"/>
        </w:rPr>
        <w:t xml:space="preserve"> </w:t>
      </w:r>
      <w:r w:rsidRPr="00FA55D9">
        <w:rPr>
          <w:rFonts w:ascii="Times New Roman" w:hAnsi="Times New Roman"/>
          <w:i/>
          <w:iCs/>
          <w:szCs w:val="24"/>
        </w:rPr>
        <w:t>Përfshini gjithashtu aktivitete nga konsultimet paraprake nëse janë organizuar të tilla).</w:t>
      </w:r>
    </w:p>
    <w:p w14:paraId="05798F4A" w14:textId="77777777" w:rsidR="00FA55D9" w:rsidRPr="00FA55D9" w:rsidRDefault="00FA55D9" w:rsidP="005B6D2B">
      <w:pPr>
        <w:ind w:left="360"/>
        <w:jc w:val="both"/>
        <w:rPr>
          <w:rFonts w:ascii="Times New Roman" w:hAnsi="Times New Roman"/>
          <w:i/>
          <w:iCs/>
          <w:szCs w:val="24"/>
        </w:rPr>
      </w:pPr>
    </w:p>
    <w:p w14:paraId="49441F30" w14:textId="77777777" w:rsidR="00824317" w:rsidRPr="00FA55D9" w:rsidRDefault="00000000">
      <w:pPr>
        <w:spacing w:after="120"/>
        <w:rPr>
          <w:rFonts w:ascii="Times New Roman" w:hAnsi="Times New Roman"/>
        </w:rPr>
      </w:pPr>
      <w:r w:rsidRPr="00FA55D9">
        <w:rPr>
          <w:rFonts w:ascii="Times New Roman" w:hAnsi="Times New Roman"/>
        </w:rPr>
        <w:t>Konsultimi publik u realizua në mënyrë elektronike nëpërmjet Regjistrit Elektronik për Njoftimet dhe Konsultimet Publike (RENJKP), ku Ministria e Financave publikoi projektligjin dhe relacionin shoqërues (konsultimi nr. 1016: https://www.konsultimipublik.gov.al/Konsultime/Detaje/1016). Faqja e konsultimit ka regjistruar 1 259 shikime. Palët e interesuara i paraqitën komentet nëpërmjet RENJKP.</w:t>
      </w:r>
    </w:p>
    <w:p w14:paraId="556D5D30" w14:textId="77777777" w:rsidR="00824317" w:rsidRPr="00FA55D9" w:rsidRDefault="00000000">
      <w:pPr>
        <w:spacing w:after="120"/>
        <w:rPr>
          <w:rFonts w:ascii="Times New Roman" w:hAnsi="Times New Roman"/>
        </w:rPr>
      </w:pPr>
      <w:r w:rsidRPr="00FA55D9">
        <w:rPr>
          <w:rFonts w:ascii="Times New Roman" w:hAnsi="Times New Roman"/>
        </w:rPr>
        <w:t>Përveç konsultimit publik, projektligji u konsultua edhe në rrugë ndërinstitucionale me Ministrinë e Financave. Ministria e Financave i dërgoi komentet dhe propozimet e saj me e-mail z. Altin Naqe, Drejtor i Departamentit Juridik në Bankën e Shqipërisë, më 21.09.2026, pra pas mbylljes së konsultimit publik në RENJKP.</w:t>
      </w:r>
    </w:p>
    <w:p w14:paraId="5F9CD1BA" w14:textId="77777777" w:rsidR="00741C60" w:rsidRPr="00FA55D9" w:rsidRDefault="00741C60" w:rsidP="005B6D2B">
      <w:pPr>
        <w:ind w:left="360"/>
        <w:jc w:val="both"/>
        <w:rPr>
          <w:rFonts w:ascii="Times New Roman" w:hAnsi="Times New Roman"/>
          <w:i/>
          <w:iCs/>
          <w:szCs w:val="24"/>
        </w:rPr>
      </w:pPr>
    </w:p>
    <w:p w14:paraId="1E26BDDD" w14:textId="77777777" w:rsidR="00332DB4" w:rsidRPr="00FA55D9" w:rsidRDefault="00332DB4" w:rsidP="005B6D2B">
      <w:pPr>
        <w:ind w:left="360"/>
        <w:jc w:val="both"/>
        <w:rPr>
          <w:rFonts w:ascii="Times New Roman" w:hAnsi="Times New Roman"/>
          <w:szCs w:val="24"/>
        </w:rPr>
      </w:pPr>
    </w:p>
    <w:p w14:paraId="4F4E9356" w14:textId="77777777" w:rsidR="005B6D2B" w:rsidRPr="00FA55D9" w:rsidRDefault="005B6D2B" w:rsidP="005B6D2B">
      <w:pPr>
        <w:pStyle w:val="ListParagraph"/>
        <w:numPr>
          <w:ilvl w:val="0"/>
          <w:numId w:val="1"/>
        </w:numPr>
        <w:jc w:val="both"/>
        <w:rPr>
          <w:rFonts w:ascii="Times New Roman" w:hAnsi="Times New Roman"/>
          <w:b/>
          <w:bCs/>
          <w:szCs w:val="24"/>
        </w:rPr>
      </w:pPr>
      <w:r w:rsidRPr="00FA55D9">
        <w:rPr>
          <w:rFonts w:ascii="Times New Roman" w:hAnsi="Times New Roman"/>
          <w:b/>
          <w:bCs/>
          <w:szCs w:val="24"/>
        </w:rPr>
        <w:t>Palët e interesit të përfshira</w:t>
      </w:r>
    </w:p>
    <w:p w14:paraId="14773219" w14:textId="77777777" w:rsidR="005B6D2B" w:rsidRPr="00FA55D9" w:rsidRDefault="005B6D2B" w:rsidP="005B6D2B">
      <w:pPr>
        <w:ind w:left="360"/>
        <w:jc w:val="both"/>
        <w:rPr>
          <w:rFonts w:ascii="Times New Roman" w:hAnsi="Times New Roman"/>
          <w:i/>
          <w:szCs w:val="24"/>
        </w:rPr>
      </w:pPr>
      <w:r w:rsidRPr="00FA55D9">
        <w:rPr>
          <w:rFonts w:ascii="Times New Roman" w:hAnsi="Times New Roman"/>
          <w:i/>
          <w:szCs w:val="24"/>
        </w:rPr>
        <w:t>Listoni të gjithë palët e interesuara, qoftë organizata apo individë, të cilët kanë dhënë komente/kontribut në konsultimet publike përmes metodave të ndryshme të konsultimit, gjatë gjithë procesit të hartimit.</w:t>
      </w:r>
    </w:p>
    <w:p w14:paraId="3BC9931E" w14:textId="77777777" w:rsidR="008B0269" w:rsidRPr="00FA55D9" w:rsidRDefault="008B0269" w:rsidP="005B6D2B">
      <w:pPr>
        <w:ind w:left="360"/>
        <w:jc w:val="both"/>
        <w:rPr>
          <w:rFonts w:ascii="Times New Roman" w:hAnsi="Times New Roman"/>
          <w:i/>
          <w:szCs w:val="24"/>
        </w:rPr>
      </w:pPr>
    </w:p>
    <w:p w14:paraId="3F1DBBEB" w14:textId="77777777" w:rsidR="005B6D2B" w:rsidRPr="00FA55D9" w:rsidRDefault="005B6D2B" w:rsidP="005B6D2B">
      <w:pPr>
        <w:ind w:left="360"/>
        <w:jc w:val="both"/>
        <w:rPr>
          <w:rFonts w:ascii="Times New Roman" w:hAnsi="Times New Roman"/>
          <w:i/>
          <w:szCs w:val="24"/>
        </w:rPr>
      </w:pPr>
      <w:r w:rsidRPr="00FA55D9">
        <w:rPr>
          <w:rFonts w:ascii="Times New Roman" w:hAnsi="Times New Roman"/>
          <w:i/>
          <w:szCs w:val="24"/>
        </w:rPr>
        <w:t>Përmendni gjithashtu numrin dhe strukturën e palëve të interesuara që morën pjesë në takime publike ose seanca të organeve këshilluese.</w:t>
      </w:r>
    </w:p>
    <w:p w14:paraId="72BEEDED" w14:textId="77777777" w:rsidR="005B6D2B" w:rsidRDefault="005B6D2B" w:rsidP="005B6D2B">
      <w:pPr>
        <w:ind w:left="360"/>
        <w:jc w:val="both"/>
        <w:rPr>
          <w:rFonts w:ascii="Times New Roman" w:hAnsi="Times New Roman"/>
          <w:i/>
          <w:szCs w:val="24"/>
        </w:rPr>
      </w:pPr>
      <w:r w:rsidRPr="00FA55D9">
        <w:rPr>
          <w:rFonts w:ascii="Times New Roman" w:hAnsi="Times New Roman"/>
          <w:i/>
          <w:szCs w:val="24"/>
        </w:rPr>
        <w:t>Specifikoni palët e interesuara që morën pjesë në grupin e punës për hartimin e aktit.</w:t>
      </w:r>
    </w:p>
    <w:p w14:paraId="2531892D" w14:textId="77777777" w:rsidR="00FA55D9" w:rsidRPr="00FA55D9" w:rsidRDefault="00FA55D9" w:rsidP="005B6D2B">
      <w:pPr>
        <w:ind w:left="360"/>
        <w:jc w:val="both"/>
        <w:rPr>
          <w:rFonts w:ascii="Times New Roman" w:hAnsi="Times New Roman"/>
          <w:szCs w:val="24"/>
        </w:rPr>
      </w:pPr>
    </w:p>
    <w:p w14:paraId="21BA88D9" w14:textId="77777777" w:rsidR="00824317" w:rsidRPr="00FA55D9" w:rsidRDefault="00000000">
      <w:pPr>
        <w:spacing w:after="120"/>
        <w:rPr>
          <w:rFonts w:ascii="Times New Roman" w:hAnsi="Times New Roman"/>
        </w:rPr>
      </w:pPr>
      <w:r w:rsidRPr="00FA55D9">
        <w:rPr>
          <w:rFonts w:ascii="Times New Roman" w:hAnsi="Times New Roman"/>
        </w:rPr>
        <w:t>Gjatë konsultimit publik komente kanë paraqitur dy palë të interesuara: Shoqata Shqiptare e Bankave (organizatë), me komente për nenet 12, 13, 62, 68, 75 dhe 85, si dhe z. Aurel Laçi (individ), me koment për nenin 42.</w:t>
      </w:r>
    </w:p>
    <w:p w14:paraId="0C20A81B" w14:textId="77777777" w:rsidR="00824317" w:rsidRPr="00FA55D9" w:rsidRDefault="00000000">
      <w:pPr>
        <w:spacing w:after="120"/>
        <w:rPr>
          <w:rFonts w:ascii="Times New Roman" w:hAnsi="Times New Roman"/>
        </w:rPr>
      </w:pPr>
      <w:r w:rsidRPr="00FA55D9">
        <w:rPr>
          <w:rFonts w:ascii="Times New Roman" w:hAnsi="Times New Roman"/>
        </w:rPr>
        <w:t>Në kuadër të konsultimit ndërinstitucional, Ministria e Financave paraqiti komente dhe propozime për dispozitat financiare të projektligjit, konkretisht për nenin 53 (mbulimi i humbjeve dhe rikapitalizimi) dhe për nenin 113 (financimi i rritjes fillestare të kapitalit).</w:t>
      </w:r>
    </w:p>
    <w:p w14:paraId="5BDDBAEB" w14:textId="77777777" w:rsidR="00824317" w:rsidRPr="00FA55D9" w:rsidRDefault="00000000">
      <w:pPr>
        <w:spacing w:after="120"/>
        <w:rPr>
          <w:rFonts w:ascii="Times New Roman" w:hAnsi="Times New Roman"/>
        </w:rPr>
      </w:pPr>
      <w:r w:rsidRPr="00FA55D9">
        <w:rPr>
          <w:rFonts w:ascii="Times New Roman" w:hAnsi="Times New Roman"/>
        </w:rPr>
        <w:lastRenderedPageBreak/>
        <w:t>Nuk janë organizuar takime publike ose seanca të organeve këshilluese.</w:t>
      </w:r>
    </w:p>
    <w:p w14:paraId="3C2BAA3B" w14:textId="237AC395" w:rsidR="00332DB4" w:rsidRPr="00FA55D9" w:rsidRDefault="00000000" w:rsidP="00FA55D9">
      <w:pPr>
        <w:spacing w:after="120"/>
        <w:rPr>
          <w:rFonts w:ascii="Times New Roman" w:hAnsi="Times New Roman"/>
        </w:rPr>
      </w:pPr>
      <w:r w:rsidRPr="00FA55D9">
        <w:rPr>
          <w:rFonts w:ascii="Times New Roman" w:hAnsi="Times New Roman"/>
        </w:rPr>
        <w:t>Projektligji është hartuar nga grupi i punës i Bankës së Shqipërisë, me mbështetjen e asistencës teknike të Fondit Monetar Ndërkombëtar dhe të Bankës Qendrore të Luksemburgut.</w:t>
      </w:r>
    </w:p>
    <w:p w14:paraId="722E7691" w14:textId="77777777" w:rsidR="007755F2" w:rsidRPr="00FA55D9" w:rsidRDefault="007755F2" w:rsidP="005B6D2B">
      <w:pPr>
        <w:tabs>
          <w:tab w:val="left" w:pos="7552"/>
        </w:tabs>
        <w:ind w:left="360"/>
        <w:jc w:val="both"/>
        <w:rPr>
          <w:rFonts w:ascii="Times New Roman" w:hAnsi="Times New Roman"/>
          <w:szCs w:val="24"/>
        </w:rPr>
      </w:pPr>
    </w:p>
    <w:p w14:paraId="7B879068" w14:textId="77777777" w:rsidR="005B6D2B" w:rsidRPr="00FA55D9" w:rsidRDefault="005B6D2B" w:rsidP="00332DB4">
      <w:pPr>
        <w:pStyle w:val="ListParagraph"/>
        <w:numPr>
          <w:ilvl w:val="0"/>
          <w:numId w:val="4"/>
        </w:numPr>
        <w:jc w:val="both"/>
        <w:rPr>
          <w:rFonts w:ascii="Times New Roman" w:hAnsi="Times New Roman"/>
          <w:i/>
          <w:iCs/>
          <w:szCs w:val="24"/>
        </w:rPr>
      </w:pPr>
      <w:r w:rsidRPr="00FA55D9">
        <w:rPr>
          <w:rFonts w:ascii="Times New Roman" w:hAnsi="Times New Roman"/>
          <w:b/>
          <w:bCs/>
          <w:szCs w:val="24"/>
        </w:rPr>
        <w:t xml:space="preserve"> Pasqyra e komenteve të pranuara me arsyetimin e komenteve të pranuara/ refuzuara</w:t>
      </w:r>
    </w:p>
    <w:p w14:paraId="1ABBF02D" w14:textId="77777777" w:rsidR="005B6D2B" w:rsidRPr="00FA55D9" w:rsidRDefault="005B6D2B" w:rsidP="005B6D2B">
      <w:pPr>
        <w:ind w:left="360"/>
        <w:jc w:val="both"/>
        <w:rPr>
          <w:rFonts w:ascii="Times New Roman" w:hAnsi="Times New Roman"/>
          <w:i/>
          <w:iCs/>
          <w:szCs w:val="24"/>
        </w:rPr>
      </w:pPr>
      <w:r w:rsidRPr="00FA55D9">
        <w:rPr>
          <w:rFonts w:ascii="Times New Roman" w:hAnsi="Times New Roman"/>
          <w:i/>
          <w:iCs/>
          <w:szCs w:val="24"/>
        </w:rPr>
        <w:t>Gruponi komentet/ propozim</w:t>
      </w:r>
      <w:r w:rsidR="00332DB4" w:rsidRPr="00FA55D9">
        <w:rPr>
          <w:rFonts w:ascii="Times New Roman" w:hAnsi="Times New Roman"/>
          <w:i/>
          <w:iCs/>
          <w:szCs w:val="24"/>
        </w:rPr>
        <w:t>e</w:t>
      </w:r>
      <w:r w:rsidRPr="00FA55D9">
        <w:rPr>
          <w:rFonts w:ascii="Times New Roman" w:hAnsi="Times New Roman"/>
          <w:i/>
          <w:iCs/>
          <w:szCs w:val="24"/>
        </w:rPr>
        <w:t>t e pranuara sipas çështjes që ato ngritën;</w:t>
      </w:r>
    </w:p>
    <w:p w14:paraId="36F9B4B5" w14:textId="77777777" w:rsidR="005B6D2B" w:rsidRPr="00FA55D9" w:rsidRDefault="005B6D2B" w:rsidP="005B6D2B">
      <w:pPr>
        <w:ind w:left="360"/>
        <w:jc w:val="both"/>
        <w:rPr>
          <w:rFonts w:ascii="Times New Roman" w:hAnsi="Times New Roman"/>
          <w:i/>
          <w:iCs/>
          <w:szCs w:val="24"/>
        </w:rPr>
      </w:pPr>
      <w:r w:rsidRPr="00FA55D9">
        <w:rPr>
          <w:rFonts w:ascii="Times New Roman" w:hAnsi="Times New Roman"/>
          <w:i/>
          <w:iCs/>
          <w:szCs w:val="24"/>
        </w:rPr>
        <w:t>Gruponi komente të ngjashme së bashku dhe renditni palët e interesuara që i ngritën ato;</w:t>
      </w:r>
    </w:p>
    <w:p w14:paraId="24964CBC" w14:textId="77777777" w:rsidR="005B6D2B" w:rsidRPr="00FA55D9" w:rsidRDefault="005B6D2B" w:rsidP="005B6D2B">
      <w:pPr>
        <w:ind w:left="360"/>
        <w:jc w:val="both"/>
        <w:rPr>
          <w:rFonts w:ascii="Times New Roman" w:hAnsi="Times New Roman"/>
          <w:i/>
          <w:iCs/>
          <w:szCs w:val="24"/>
        </w:rPr>
      </w:pPr>
      <w:r w:rsidRPr="00FA55D9">
        <w:rPr>
          <w:rFonts w:ascii="Times New Roman" w:hAnsi="Times New Roman"/>
          <w:i/>
          <w:iCs/>
          <w:szCs w:val="24"/>
        </w:rPr>
        <w:t>Shpjegoni cili ishte vendimi i marrë dhe sqaroni shkurtimisht arsyet për të.</w:t>
      </w:r>
    </w:p>
    <w:p w14:paraId="350A9EFD" w14:textId="77777777" w:rsidR="007755F2" w:rsidRPr="00FA55D9" w:rsidRDefault="007755F2" w:rsidP="005B6D2B">
      <w:pPr>
        <w:ind w:left="360"/>
        <w:jc w:val="both"/>
        <w:rPr>
          <w:rFonts w:ascii="Times New Roman" w:hAnsi="Times New Roman"/>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2231"/>
        <w:gridCol w:w="1963"/>
        <w:gridCol w:w="1409"/>
        <w:gridCol w:w="1491"/>
      </w:tblGrid>
      <w:tr w:rsidR="005B6D2B" w:rsidRPr="00FA55D9" w14:paraId="26DBD3E9"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73822FD1" w14:textId="77777777" w:rsidR="005B6D2B" w:rsidRPr="00FA55D9" w:rsidRDefault="005B6D2B" w:rsidP="0021058A">
            <w:pPr>
              <w:pStyle w:val="BodyText"/>
              <w:jc w:val="both"/>
              <w:rPr>
                <w:rFonts w:ascii="Times New Roman" w:hAnsi="Times New Roman"/>
                <w:szCs w:val="24"/>
              </w:rPr>
            </w:pPr>
            <w:r w:rsidRPr="00FA55D9">
              <w:rPr>
                <w:rFonts w:ascii="Times New Roman" w:hAnsi="Times New Roman"/>
                <w:szCs w:val="24"/>
              </w:rPr>
              <w:t>Çështja</w:t>
            </w:r>
            <w:r w:rsidR="00765F3C" w:rsidRPr="00FA55D9">
              <w:rPr>
                <w:rFonts w:ascii="Times New Roman" w:hAnsi="Times New Roman"/>
                <w:szCs w:val="24"/>
              </w:rPr>
              <w:t xml:space="preserve"> </w:t>
            </w:r>
            <w:r w:rsidRPr="00FA55D9">
              <w:rPr>
                <w:rFonts w:ascii="Times New Roman" w:hAnsi="Times New Roman"/>
                <w:szCs w:val="24"/>
              </w:rPr>
              <w:t>e  adresuar</w:t>
            </w:r>
          </w:p>
          <w:p w14:paraId="647151F2" w14:textId="77777777" w:rsidR="005B6D2B" w:rsidRPr="00FA55D9" w:rsidRDefault="005B6D2B" w:rsidP="0021058A">
            <w:pPr>
              <w:pStyle w:val="BodyText"/>
              <w:jc w:val="both"/>
              <w:rPr>
                <w:rFonts w:ascii="Times New Roman" w:hAnsi="Times New Roman"/>
                <w:i/>
                <w:iCs/>
                <w:szCs w:val="24"/>
              </w:rPr>
            </w:pPr>
            <w:r w:rsidRPr="00FA55D9">
              <w:rPr>
                <w:rFonts w:ascii="Times New Roman" w:hAnsi="Times New Roman"/>
                <w:szCs w:val="24"/>
              </w:rPr>
              <w:t>(</w:t>
            </w:r>
            <w:r w:rsidRPr="00FA55D9">
              <w:rPr>
                <w:rFonts w:ascii="Times New Roman" w:hAnsi="Times New Roman"/>
                <w:i/>
                <w:szCs w:val="24"/>
              </w:rPr>
              <w:t>psh. përkufizimi i ri i…, kushtet për regjistrimin e…, rregullimi i…, etj.)</w:t>
            </w:r>
          </w:p>
        </w:tc>
        <w:tc>
          <w:tcPr>
            <w:tcW w:w="2231" w:type="dxa"/>
            <w:tcBorders>
              <w:top w:val="single" w:sz="4" w:space="0" w:color="auto"/>
              <w:left w:val="single" w:sz="4" w:space="0" w:color="auto"/>
              <w:bottom w:val="single" w:sz="4" w:space="0" w:color="auto"/>
              <w:right w:val="single" w:sz="4" w:space="0" w:color="auto"/>
            </w:tcBorders>
            <w:hideMark/>
          </w:tcPr>
          <w:p w14:paraId="6A6195D7" w14:textId="77777777" w:rsidR="005B6D2B" w:rsidRPr="00FA55D9" w:rsidRDefault="005B6D2B" w:rsidP="0021058A">
            <w:pPr>
              <w:pStyle w:val="BodyText"/>
              <w:jc w:val="both"/>
              <w:rPr>
                <w:rFonts w:ascii="Times New Roman" w:hAnsi="Times New Roman"/>
                <w:szCs w:val="24"/>
              </w:rPr>
            </w:pPr>
            <w:r w:rsidRPr="00FA55D9">
              <w:rPr>
                <w:rFonts w:ascii="Times New Roman" w:hAnsi="Times New Roman"/>
                <w:szCs w:val="24"/>
              </w:rPr>
              <w:t>Komenti</w:t>
            </w:r>
          </w:p>
          <w:p w14:paraId="3CBE4CA5" w14:textId="77777777" w:rsidR="005B6D2B" w:rsidRPr="00FA55D9" w:rsidRDefault="005B6D2B" w:rsidP="0021058A">
            <w:pPr>
              <w:pStyle w:val="BodyText"/>
              <w:jc w:val="both"/>
              <w:rPr>
                <w:rFonts w:ascii="Times New Roman" w:hAnsi="Times New Roman"/>
                <w:i/>
                <w:iCs/>
                <w:szCs w:val="24"/>
              </w:rPr>
            </w:pPr>
            <w:r w:rsidRPr="00FA55D9">
              <w:rPr>
                <w:rFonts w:ascii="Times New Roman" w:hAnsi="Times New Roman"/>
                <w:i/>
                <w:iCs/>
                <w:szCs w:val="24"/>
              </w:rPr>
              <w:t xml:space="preserve">(grumbulloni dhe përmblidhni komente identike/të ngjashme nga palët e ndryshme të interesuara së bashku) </w:t>
            </w:r>
          </w:p>
        </w:tc>
        <w:tc>
          <w:tcPr>
            <w:tcW w:w="1963" w:type="dxa"/>
            <w:tcBorders>
              <w:top w:val="single" w:sz="4" w:space="0" w:color="auto"/>
              <w:left w:val="single" w:sz="4" w:space="0" w:color="auto"/>
              <w:bottom w:val="single" w:sz="4" w:space="0" w:color="auto"/>
              <w:right w:val="single" w:sz="4" w:space="0" w:color="auto"/>
            </w:tcBorders>
            <w:hideMark/>
          </w:tcPr>
          <w:p w14:paraId="6B8F333A" w14:textId="77777777" w:rsidR="005B6D2B" w:rsidRPr="00FA55D9" w:rsidRDefault="005B6D2B" w:rsidP="0021058A">
            <w:pPr>
              <w:pStyle w:val="BodyText"/>
              <w:jc w:val="both"/>
              <w:rPr>
                <w:rFonts w:ascii="Times New Roman" w:hAnsi="Times New Roman"/>
                <w:szCs w:val="24"/>
              </w:rPr>
            </w:pPr>
            <w:r w:rsidRPr="00FA55D9">
              <w:rPr>
                <w:rFonts w:ascii="Times New Roman" w:hAnsi="Times New Roman"/>
                <w:szCs w:val="24"/>
              </w:rPr>
              <w:t xml:space="preserve">Palët e interesuara </w:t>
            </w:r>
            <w:r w:rsidRPr="00FA55D9">
              <w:rPr>
                <w:rFonts w:ascii="Times New Roman" w:hAnsi="Times New Roman"/>
                <w:i/>
                <w:iCs/>
                <w:szCs w:val="24"/>
              </w:rPr>
              <w:t>(renditni të gjithë ata që adresuan çështjen në mënyrë të ngjashme)</w:t>
            </w:r>
          </w:p>
        </w:tc>
        <w:tc>
          <w:tcPr>
            <w:tcW w:w="1409" w:type="dxa"/>
            <w:tcBorders>
              <w:top w:val="single" w:sz="4" w:space="0" w:color="auto"/>
              <w:left w:val="single" w:sz="4" w:space="0" w:color="auto"/>
              <w:bottom w:val="single" w:sz="4" w:space="0" w:color="auto"/>
              <w:right w:val="single" w:sz="4" w:space="0" w:color="auto"/>
            </w:tcBorders>
            <w:hideMark/>
          </w:tcPr>
          <w:p w14:paraId="6FAD1760" w14:textId="77777777" w:rsidR="005B6D2B" w:rsidRPr="00FA55D9" w:rsidRDefault="005B6D2B" w:rsidP="0021058A">
            <w:pPr>
              <w:pStyle w:val="BodyText"/>
              <w:jc w:val="both"/>
              <w:rPr>
                <w:rFonts w:ascii="Times New Roman" w:hAnsi="Times New Roman"/>
                <w:szCs w:val="24"/>
              </w:rPr>
            </w:pPr>
            <w:r w:rsidRPr="00FA55D9">
              <w:rPr>
                <w:rFonts w:ascii="Times New Roman" w:hAnsi="Times New Roman"/>
                <w:szCs w:val="24"/>
              </w:rPr>
              <w:t xml:space="preserve">Vendimi (I pranuar/I pranuar pjesërisht/I refuzuar) </w:t>
            </w:r>
          </w:p>
        </w:tc>
        <w:tc>
          <w:tcPr>
            <w:tcW w:w="1491" w:type="dxa"/>
            <w:tcBorders>
              <w:top w:val="single" w:sz="4" w:space="0" w:color="auto"/>
              <w:left w:val="single" w:sz="4" w:space="0" w:color="auto"/>
              <w:bottom w:val="single" w:sz="4" w:space="0" w:color="auto"/>
              <w:right w:val="single" w:sz="4" w:space="0" w:color="auto"/>
            </w:tcBorders>
            <w:hideMark/>
          </w:tcPr>
          <w:p w14:paraId="5E66BFE0" w14:textId="77777777" w:rsidR="005B6D2B" w:rsidRPr="00FA55D9" w:rsidRDefault="005B6D2B" w:rsidP="0021058A">
            <w:pPr>
              <w:pStyle w:val="BodyText"/>
              <w:jc w:val="both"/>
              <w:rPr>
                <w:rFonts w:ascii="Times New Roman" w:hAnsi="Times New Roman"/>
                <w:szCs w:val="24"/>
              </w:rPr>
            </w:pPr>
            <w:r w:rsidRPr="00FA55D9">
              <w:rPr>
                <w:rFonts w:ascii="Times New Roman" w:hAnsi="Times New Roman"/>
                <w:szCs w:val="24"/>
              </w:rPr>
              <w:t>Justifikimi</w:t>
            </w:r>
          </w:p>
        </w:tc>
      </w:tr>
      <w:tr w:rsidR="005B6D2B" w:rsidRPr="00FA55D9" w14:paraId="0F92E75C"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5A5D5BD2"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t>Instrumentet e tjera të politikës monetare (neni 12)</w:t>
            </w:r>
          </w:p>
        </w:tc>
        <w:tc>
          <w:tcPr>
            <w:tcW w:w="2231" w:type="dxa"/>
            <w:tcBorders>
              <w:top w:val="single" w:sz="4" w:space="0" w:color="auto"/>
              <w:left w:val="single" w:sz="4" w:space="0" w:color="auto"/>
              <w:bottom w:val="single" w:sz="4" w:space="0" w:color="auto"/>
              <w:right w:val="single" w:sz="4" w:space="0" w:color="auto"/>
            </w:tcBorders>
            <w:hideMark/>
          </w:tcPr>
          <w:p w14:paraId="4A9880BF"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Kur metodat e reja operacionale krijojnë detyrime financiare ose raportuese për institucionet e kreditit, Banka e Shqipërisë të kryejë konsultim paraprak me subjektet e prekura, të publikojë analizën e ndikimit dhe të caktojë një periudhë të arsyeshme tranzitore.</w:t>
            </w:r>
          </w:p>
        </w:tc>
        <w:tc>
          <w:tcPr>
            <w:tcW w:w="1963" w:type="dxa"/>
            <w:tcBorders>
              <w:top w:val="single" w:sz="4" w:space="0" w:color="auto"/>
              <w:left w:val="single" w:sz="4" w:space="0" w:color="auto"/>
              <w:bottom w:val="single" w:sz="4" w:space="0" w:color="auto"/>
              <w:right w:val="single" w:sz="4" w:space="0" w:color="auto"/>
            </w:tcBorders>
            <w:hideMark/>
          </w:tcPr>
          <w:p w14:paraId="57900A15"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4BDFBAA5"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refuzuar</w:t>
            </w:r>
          </w:p>
        </w:tc>
        <w:tc>
          <w:tcPr>
            <w:tcW w:w="1491" w:type="dxa"/>
            <w:tcBorders>
              <w:top w:val="single" w:sz="4" w:space="0" w:color="auto"/>
              <w:left w:val="single" w:sz="4" w:space="0" w:color="auto"/>
              <w:bottom w:val="single" w:sz="4" w:space="0" w:color="auto"/>
              <w:right w:val="single" w:sz="4" w:space="0" w:color="auto"/>
            </w:tcBorders>
            <w:hideMark/>
          </w:tcPr>
          <w:p w14:paraId="61081ECF"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Përcaktimi i instrumenteve të politikës monetare është pjesë e pavarësisë funksionale të Bankës së Shqipërisë (neni 4) dhe vendoset nga Këshilli me shumicë të cilësuar prej dy të tretave. Detyrimet konkrete që mund të krijohen për institucionet e kreditit rregullohen me akte nënligjore të Bankës, për të cilat zbatohet praktika e konsultimit me industrinë. Si çdo praktikë tjetër Banka e Shqipërisë do të organizojë tryeza dhe konsultime të mirëfillta me sektorin përpara se të shpjerë praktikën për miratim në Këshill.</w:t>
            </w:r>
          </w:p>
        </w:tc>
      </w:tr>
      <w:tr w:rsidR="005B6D2B" w:rsidRPr="00FA55D9" w14:paraId="7A922CF6"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11C26714"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t>Ofrimi i likuiditetit në rrethana të jashtëzakonshme (neni 13)</w:t>
            </w:r>
          </w:p>
        </w:tc>
        <w:tc>
          <w:tcPr>
            <w:tcW w:w="2231" w:type="dxa"/>
            <w:tcBorders>
              <w:top w:val="single" w:sz="4" w:space="0" w:color="auto"/>
              <w:left w:val="single" w:sz="4" w:space="0" w:color="auto"/>
              <w:bottom w:val="single" w:sz="4" w:space="0" w:color="auto"/>
              <w:right w:val="single" w:sz="4" w:space="0" w:color="auto"/>
            </w:tcBorders>
            <w:hideMark/>
          </w:tcPr>
          <w:p w14:paraId="69F915A6"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Të vendoset një kufi për normën penalizuese të interesit, pasi një normë tepër e lartë mund të përkeqësojë situatën e institucionit të kreditit dhe të cenojë qëllimin e stabilitetit financiar.</w:t>
            </w:r>
          </w:p>
        </w:tc>
        <w:tc>
          <w:tcPr>
            <w:tcW w:w="1963" w:type="dxa"/>
            <w:tcBorders>
              <w:top w:val="single" w:sz="4" w:space="0" w:color="auto"/>
              <w:left w:val="single" w:sz="4" w:space="0" w:color="auto"/>
              <w:bottom w:val="single" w:sz="4" w:space="0" w:color="auto"/>
              <w:right w:val="single" w:sz="4" w:space="0" w:color="auto"/>
            </w:tcBorders>
            <w:hideMark/>
          </w:tcPr>
          <w:p w14:paraId="13C061AA"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566F80DC"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refuzuar</w:t>
            </w:r>
          </w:p>
        </w:tc>
        <w:tc>
          <w:tcPr>
            <w:tcW w:w="1491" w:type="dxa"/>
            <w:tcBorders>
              <w:top w:val="single" w:sz="4" w:space="0" w:color="auto"/>
              <w:left w:val="single" w:sz="4" w:space="0" w:color="auto"/>
              <w:bottom w:val="single" w:sz="4" w:space="0" w:color="auto"/>
              <w:right w:val="single" w:sz="4" w:space="0" w:color="auto"/>
            </w:tcBorders>
            <w:hideMark/>
          </w:tcPr>
          <w:p w14:paraId="0EAF6A6A"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 xml:space="preserve">Norma penalizuese përcaktohet nga Këshilli në rregullat për ofrimin e likuiditetit në rrethana të </w:t>
            </w:r>
            <w:r w:rsidRPr="00FA55D9">
              <w:rPr>
                <w:rFonts w:ascii="Times New Roman" w:hAnsi="Times New Roman"/>
                <w:sz w:val="18"/>
              </w:rPr>
              <w:lastRenderedPageBreak/>
              <w:t>jashtëzakonshme (neni 13, pika 2), në mënyrë që të përshtatet me kushtet e tregut dhe me rrethanat e secilit rast. Fiksimi i një kufiri në ligj do të kufizonte fleksibilitetin e nevojshëm për ruajtjen e stabilitetit financiar.</w:t>
            </w:r>
          </w:p>
        </w:tc>
      </w:tr>
      <w:tr w:rsidR="005B6D2B" w:rsidRPr="00FA55D9" w14:paraId="4973F9D7"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54D3CC02"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lastRenderedPageBreak/>
              <w:t>Masat administrative dhe sanksionet (neni 62)</w:t>
            </w:r>
          </w:p>
        </w:tc>
        <w:tc>
          <w:tcPr>
            <w:tcW w:w="2231" w:type="dxa"/>
            <w:tcBorders>
              <w:top w:val="single" w:sz="4" w:space="0" w:color="auto"/>
              <w:left w:val="single" w:sz="4" w:space="0" w:color="auto"/>
              <w:bottom w:val="single" w:sz="4" w:space="0" w:color="auto"/>
              <w:right w:val="single" w:sz="4" w:space="0" w:color="auto"/>
            </w:tcBorders>
            <w:hideMark/>
          </w:tcPr>
          <w:p w14:paraId="5C463F44"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(a) Formulimi “urdhra ekzekutimi” të zëvendësohet me “tituj ekzekutivë”; (b) ekzekutimi nëpërmjet shërbimit përmbarimor të kufizohet vetëm te gjobat; (c) të parashikohet njoftimi i subjektit për faktet dhe masën e propozuar, si dhe një afat për paraqitjen e shpjegimeve dhe provave para vendosjes së masës.</w:t>
            </w:r>
          </w:p>
        </w:tc>
        <w:tc>
          <w:tcPr>
            <w:tcW w:w="1963" w:type="dxa"/>
            <w:tcBorders>
              <w:top w:val="single" w:sz="4" w:space="0" w:color="auto"/>
              <w:left w:val="single" w:sz="4" w:space="0" w:color="auto"/>
              <w:bottom w:val="single" w:sz="4" w:space="0" w:color="auto"/>
              <w:right w:val="single" w:sz="4" w:space="0" w:color="auto"/>
            </w:tcBorders>
            <w:hideMark/>
          </w:tcPr>
          <w:p w14:paraId="0DF60C0B"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3338AA89"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pranuar pjesërisht</w:t>
            </w:r>
          </w:p>
        </w:tc>
        <w:tc>
          <w:tcPr>
            <w:tcW w:w="1491" w:type="dxa"/>
            <w:tcBorders>
              <w:top w:val="single" w:sz="4" w:space="0" w:color="auto"/>
              <w:left w:val="single" w:sz="4" w:space="0" w:color="auto"/>
              <w:bottom w:val="single" w:sz="4" w:space="0" w:color="auto"/>
              <w:right w:val="single" w:sz="4" w:space="0" w:color="auto"/>
            </w:tcBorders>
            <w:hideMark/>
          </w:tcPr>
          <w:p w14:paraId="1FF30783"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 xml:space="preserve">Propozimet (a) dhe (b) janë pranuar: pika 4 e nenit 62 parashikon se gjobat e vendosura nga Banka e Shqipërisë janë tituj ekzekutivë dhe për ekzekutimin e tyre ngarkohet shërbimi përmbarimor. Propozimi (c) nuk është pasqyruar në tekst. Titujt ekzekutivë vihen në ekzekutim nëpërmjet shërbimit përmbarimor, qoftë ky publik apo privat. Meqë rregullimet e posaçme janë bërë si në Kodin e Procedurës Civile ashtu edhe në ligjin Për shërbimin përmbarimor privat e çdo ligj tjetër që rregullon në mënyrë të posaçme titujt ekzekutivë dhe veprimet përmbarimore, po ashtu procesi administrativ rregulohet në mënyrë të posaçme nga Kodi i Procedurave Administrative, atëherë është menduar që gjatë </w:t>
            </w:r>
            <w:r w:rsidRPr="00FA55D9">
              <w:rPr>
                <w:rFonts w:ascii="Times New Roman" w:hAnsi="Times New Roman"/>
                <w:sz w:val="18"/>
              </w:rPr>
              <w:lastRenderedPageBreak/>
              <w:t>shqyrtimit administrativ të mos ketë afate të posaçme në ligjin për Bankën e Shqipërisë.</w:t>
            </w:r>
          </w:p>
        </w:tc>
      </w:tr>
      <w:tr w:rsidR="005B6D2B" w:rsidRPr="00FA55D9" w14:paraId="3EFE3850"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0144915D"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lastRenderedPageBreak/>
              <w:t>Sekreti profesional dhe konfidencialiteti (neni 68)</w:t>
            </w:r>
          </w:p>
        </w:tc>
        <w:tc>
          <w:tcPr>
            <w:tcW w:w="2231" w:type="dxa"/>
            <w:tcBorders>
              <w:top w:val="single" w:sz="4" w:space="0" w:color="auto"/>
              <w:left w:val="single" w:sz="4" w:space="0" w:color="auto"/>
              <w:bottom w:val="single" w:sz="4" w:space="0" w:color="auto"/>
              <w:right w:val="single" w:sz="4" w:space="0" w:color="auto"/>
            </w:tcBorders>
            <w:hideMark/>
          </w:tcPr>
          <w:p w14:paraId="3E89519C"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Të shtohet “parimi i minimizimit”: informacioni konfidencial transmetohet vetëm në masën e nevojshme dhe proporcionale me qëllimin e ligjshëm për të cilin kërkohet.</w:t>
            </w:r>
          </w:p>
        </w:tc>
        <w:tc>
          <w:tcPr>
            <w:tcW w:w="1963" w:type="dxa"/>
            <w:tcBorders>
              <w:top w:val="single" w:sz="4" w:space="0" w:color="auto"/>
              <w:left w:val="single" w:sz="4" w:space="0" w:color="auto"/>
              <w:bottom w:val="single" w:sz="4" w:space="0" w:color="auto"/>
              <w:right w:val="single" w:sz="4" w:space="0" w:color="auto"/>
            </w:tcBorders>
            <w:hideMark/>
          </w:tcPr>
          <w:p w14:paraId="350CA9B0"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41D685FA"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pranuar</w:t>
            </w:r>
          </w:p>
        </w:tc>
        <w:tc>
          <w:tcPr>
            <w:tcW w:w="1491" w:type="dxa"/>
            <w:tcBorders>
              <w:top w:val="single" w:sz="4" w:space="0" w:color="auto"/>
              <w:left w:val="single" w:sz="4" w:space="0" w:color="auto"/>
              <w:bottom w:val="single" w:sz="4" w:space="0" w:color="auto"/>
              <w:right w:val="single" w:sz="4" w:space="0" w:color="auto"/>
            </w:tcBorders>
            <w:hideMark/>
          </w:tcPr>
          <w:p w14:paraId="5DDE94C5"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Pika 4 e nenit 68 parashikon se Banka e Shqipërisë mund të zbulojë, komunikojë ose shkëmbejë informacion konfidencial vetëm në masën e nevojshme për qëllimin për të cilin lejohet zbulimi; i njëjti kufizim përsëritet edhe në disa prej rasteve të listuara në këtë pikë.</w:t>
            </w:r>
          </w:p>
        </w:tc>
      </w:tr>
      <w:tr w:rsidR="005B6D2B" w:rsidRPr="00FA55D9" w14:paraId="380E687F"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39C31A5F"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t>Ankimi gjyqësor (neni 75)</w:t>
            </w:r>
          </w:p>
        </w:tc>
        <w:tc>
          <w:tcPr>
            <w:tcW w:w="2231" w:type="dxa"/>
            <w:tcBorders>
              <w:top w:val="single" w:sz="4" w:space="0" w:color="auto"/>
              <w:left w:val="single" w:sz="4" w:space="0" w:color="auto"/>
              <w:bottom w:val="single" w:sz="4" w:space="0" w:color="auto"/>
              <w:right w:val="single" w:sz="4" w:space="0" w:color="auto"/>
            </w:tcBorders>
            <w:hideMark/>
          </w:tcPr>
          <w:p w14:paraId="0CD78907"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Të riformulohet pika 1 që të jetë e qartë se ankimohet akti i Bankës së Shqipërisë dhe të saktësohet se ankimi bëhet në Gjykatën Administrative të Apelit; të riformulohet pika 2 që të përcaktohet qartë se ankimi nuk pezullon zbatimin e aktit.</w:t>
            </w:r>
          </w:p>
        </w:tc>
        <w:tc>
          <w:tcPr>
            <w:tcW w:w="1963" w:type="dxa"/>
            <w:tcBorders>
              <w:top w:val="single" w:sz="4" w:space="0" w:color="auto"/>
              <w:left w:val="single" w:sz="4" w:space="0" w:color="auto"/>
              <w:bottom w:val="single" w:sz="4" w:space="0" w:color="auto"/>
              <w:right w:val="single" w:sz="4" w:space="0" w:color="auto"/>
            </w:tcBorders>
            <w:hideMark/>
          </w:tcPr>
          <w:p w14:paraId="43B09534"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6858C68D"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pranuar</w:t>
            </w:r>
          </w:p>
        </w:tc>
        <w:tc>
          <w:tcPr>
            <w:tcW w:w="1491" w:type="dxa"/>
            <w:tcBorders>
              <w:top w:val="single" w:sz="4" w:space="0" w:color="auto"/>
              <w:left w:val="single" w:sz="4" w:space="0" w:color="auto"/>
              <w:bottom w:val="single" w:sz="4" w:space="0" w:color="auto"/>
              <w:right w:val="single" w:sz="4" w:space="0" w:color="auto"/>
            </w:tcBorders>
            <w:hideMark/>
          </w:tcPr>
          <w:p w14:paraId="30C6072F"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Neni 75 është riformuluar: ankimohen aktet individuale të Bankës së Shqipërisë nga personi që pretendon se është cenuar prej tyre, ankimi bëhet në gjykatën e apelit administrativ, ndërsa pika 2 përcakton se ankimi gjyqësor nuk pezullon zbatimin e aktit deri në vendimin përfundimtar të gjykatës.</w:t>
            </w:r>
          </w:p>
        </w:tc>
      </w:tr>
      <w:tr w:rsidR="005B6D2B" w:rsidRPr="00FA55D9" w14:paraId="51FC30B2"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1BCBA27C"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t>Lehtësia e likuiditetit për institucionet e kreditit (neni 85)</w:t>
            </w:r>
          </w:p>
        </w:tc>
        <w:tc>
          <w:tcPr>
            <w:tcW w:w="2231" w:type="dxa"/>
            <w:tcBorders>
              <w:top w:val="single" w:sz="4" w:space="0" w:color="auto"/>
              <w:left w:val="single" w:sz="4" w:space="0" w:color="auto"/>
              <w:bottom w:val="single" w:sz="4" w:space="0" w:color="auto"/>
              <w:right w:val="single" w:sz="4" w:space="0" w:color="auto"/>
            </w:tcBorders>
            <w:hideMark/>
          </w:tcPr>
          <w:p w14:paraId="6E253A6C"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Neni 85 të harmonizohet me parashikimet e nenit 13 të projektligjit.</w:t>
            </w:r>
          </w:p>
        </w:tc>
        <w:tc>
          <w:tcPr>
            <w:tcW w:w="1963" w:type="dxa"/>
            <w:tcBorders>
              <w:top w:val="single" w:sz="4" w:space="0" w:color="auto"/>
              <w:left w:val="single" w:sz="4" w:space="0" w:color="auto"/>
              <w:bottom w:val="single" w:sz="4" w:space="0" w:color="auto"/>
              <w:right w:val="single" w:sz="4" w:space="0" w:color="auto"/>
            </w:tcBorders>
            <w:hideMark/>
          </w:tcPr>
          <w:p w14:paraId="253F3719"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Shoqata Shqiptare e Bankave</w:t>
            </w:r>
          </w:p>
        </w:tc>
        <w:tc>
          <w:tcPr>
            <w:tcW w:w="1409" w:type="dxa"/>
            <w:tcBorders>
              <w:top w:val="single" w:sz="4" w:space="0" w:color="auto"/>
              <w:left w:val="single" w:sz="4" w:space="0" w:color="auto"/>
              <w:bottom w:val="single" w:sz="4" w:space="0" w:color="auto"/>
              <w:right w:val="single" w:sz="4" w:space="0" w:color="auto"/>
            </w:tcBorders>
            <w:hideMark/>
          </w:tcPr>
          <w:p w14:paraId="05318949"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pranuar</w:t>
            </w:r>
          </w:p>
        </w:tc>
        <w:tc>
          <w:tcPr>
            <w:tcW w:w="1491" w:type="dxa"/>
            <w:tcBorders>
              <w:top w:val="single" w:sz="4" w:space="0" w:color="auto"/>
              <w:left w:val="single" w:sz="4" w:space="0" w:color="auto"/>
              <w:bottom w:val="single" w:sz="4" w:space="0" w:color="auto"/>
              <w:right w:val="single" w:sz="4" w:space="0" w:color="auto"/>
            </w:tcBorders>
            <w:hideMark/>
          </w:tcPr>
          <w:p w14:paraId="586C68C5"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 xml:space="preserve">Neni 85 është harmonizuar me nenin 13: kushtet për aftësinë paguese dhe për kolateralin janë të njëjta dhe pika 2 e nenit 85 përsërit dispozitën e pikës 3 të nenit 13 për marrëveshjet e financimit me Agjencinë e Sigurimit të Depozitave. Neni 85 zbatohet pas anëtarësimit në BE (Kreu XIV), ndërsa neni 13 shfuqizohet në </w:t>
            </w:r>
            <w:r w:rsidRPr="00FA55D9">
              <w:rPr>
                <w:rFonts w:ascii="Times New Roman" w:hAnsi="Times New Roman"/>
                <w:sz w:val="18"/>
              </w:rPr>
              <w:lastRenderedPageBreak/>
              <w:t>atë datë (neni 115, pika 2).</w:t>
            </w:r>
          </w:p>
        </w:tc>
      </w:tr>
      <w:tr w:rsidR="005B6D2B" w:rsidRPr="00FA55D9" w14:paraId="048C748F" w14:textId="77777777" w:rsidTr="00F62A15">
        <w:tc>
          <w:tcPr>
            <w:tcW w:w="1962" w:type="dxa"/>
            <w:tcBorders>
              <w:top w:val="single" w:sz="4" w:space="0" w:color="auto"/>
              <w:left w:val="single" w:sz="4" w:space="0" w:color="auto"/>
              <w:bottom w:val="single" w:sz="4" w:space="0" w:color="auto"/>
              <w:right w:val="single" w:sz="4" w:space="0" w:color="auto"/>
            </w:tcBorders>
            <w:hideMark/>
          </w:tcPr>
          <w:p w14:paraId="52E5026A"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b/>
                <w:sz w:val="18"/>
              </w:rPr>
              <w:lastRenderedPageBreak/>
              <w:t>Kriteret e përzgjedhjes të anëtarëve të Këshillit (neni 42)</w:t>
            </w:r>
          </w:p>
        </w:tc>
        <w:tc>
          <w:tcPr>
            <w:tcW w:w="2231" w:type="dxa"/>
            <w:tcBorders>
              <w:top w:val="single" w:sz="4" w:space="0" w:color="auto"/>
              <w:left w:val="single" w:sz="4" w:space="0" w:color="auto"/>
              <w:bottom w:val="single" w:sz="4" w:space="0" w:color="auto"/>
              <w:right w:val="single" w:sz="4" w:space="0" w:color="auto"/>
            </w:tcBorders>
            <w:hideMark/>
          </w:tcPr>
          <w:p w14:paraId="369A8FF9"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Të përcaktohen kushtet specifike që konkretizojnë kriterin e “integritetit të lartë moral”, dokumentet dhe procedura që ndiqen nga institucionet propozuese dhe miratuese për verifikimin e tij.</w:t>
            </w:r>
          </w:p>
        </w:tc>
        <w:tc>
          <w:tcPr>
            <w:tcW w:w="1963" w:type="dxa"/>
            <w:tcBorders>
              <w:top w:val="single" w:sz="4" w:space="0" w:color="auto"/>
              <w:left w:val="single" w:sz="4" w:space="0" w:color="auto"/>
              <w:bottom w:val="single" w:sz="4" w:space="0" w:color="auto"/>
              <w:right w:val="single" w:sz="4" w:space="0" w:color="auto"/>
            </w:tcBorders>
            <w:hideMark/>
          </w:tcPr>
          <w:p w14:paraId="629219C6"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Aurel Laçi</w:t>
            </w:r>
          </w:p>
        </w:tc>
        <w:tc>
          <w:tcPr>
            <w:tcW w:w="1409" w:type="dxa"/>
            <w:tcBorders>
              <w:top w:val="single" w:sz="4" w:space="0" w:color="auto"/>
              <w:left w:val="single" w:sz="4" w:space="0" w:color="auto"/>
              <w:bottom w:val="single" w:sz="4" w:space="0" w:color="auto"/>
              <w:right w:val="single" w:sz="4" w:space="0" w:color="auto"/>
            </w:tcBorders>
            <w:hideMark/>
          </w:tcPr>
          <w:p w14:paraId="19F3A45D"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I refuzuar</w:t>
            </w:r>
          </w:p>
        </w:tc>
        <w:tc>
          <w:tcPr>
            <w:tcW w:w="1491" w:type="dxa"/>
            <w:tcBorders>
              <w:top w:val="single" w:sz="4" w:space="0" w:color="auto"/>
              <w:left w:val="single" w:sz="4" w:space="0" w:color="auto"/>
              <w:bottom w:val="single" w:sz="4" w:space="0" w:color="auto"/>
              <w:right w:val="single" w:sz="4" w:space="0" w:color="auto"/>
            </w:tcBorders>
            <w:hideMark/>
          </w:tcPr>
          <w:p w14:paraId="32F538B0" w14:textId="77777777" w:rsidR="005B6D2B" w:rsidRPr="00FA55D9" w:rsidRDefault="005B6D2B" w:rsidP="0021058A">
            <w:pPr>
              <w:pStyle w:val="BodyText"/>
              <w:spacing w:after="0"/>
              <w:rPr>
                <w:rFonts w:ascii="Times New Roman" w:hAnsi="Times New Roman"/>
                <w:szCs w:val="24"/>
              </w:rPr>
            </w:pPr>
            <w:r w:rsidRPr="00FA55D9">
              <w:rPr>
                <w:rFonts w:ascii="Times New Roman" w:hAnsi="Times New Roman"/>
                <w:sz w:val="18"/>
              </w:rPr>
              <w:t>Procedura e zgjedhjes së anëtarëve të Këshillit përcaktohet në nenet 41–43: anëtarët zgjidhen nga Kuvendi, katër prej tyre pas vlerësimit nga komisioni parlamentar që mbulon ekonominë dhe financat me përfshirjen e dy ekspertëve të jashtëm, ndërsa neni 43 përcakton papajtueshmëritë. Verifikimi i integritetit kryhet në kuadër të kësaj procedure dhe të legjislacionit në fuqi për funksionarët publikë.</w:t>
            </w:r>
          </w:p>
        </w:tc>
      </w:tr>
    </w:tbl>
    <w:p w14:paraId="11CAE21B" w14:textId="77777777" w:rsidR="005B6D2B" w:rsidRPr="00FA55D9" w:rsidRDefault="005B6D2B">
      <w:pPr>
        <w:rPr>
          <w:rFonts w:ascii="Times New Roman" w:hAnsi="Times New Roman"/>
          <w:szCs w:val="24"/>
        </w:rPr>
      </w:pPr>
    </w:p>
    <w:sectPr w:rsidR="005B6D2B" w:rsidRPr="00FA55D9" w:rsidSect="006144C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502"/>
    <w:multiLevelType w:val="hybridMultilevel"/>
    <w:tmpl w:val="C076F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64C4D"/>
    <w:multiLevelType w:val="hybridMultilevel"/>
    <w:tmpl w:val="F8AC7028"/>
    <w:lvl w:ilvl="0" w:tplc="F7201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F25B0"/>
    <w:multiLevelType w:val="hybridMultilevel"/>
    <w:tmpl w:val="12688FA6"/>
    <w:lvl w:ilvl="0" w:tplc="207A3F4E">
      <w:start w:val="2019"/>
      <w:numFmt w:val="bullet"/>
      <w:lvlText w:val="-"/>
      <w:lvlJc w:val="left"/>
      <w:pPr>
        <w:ind w:left="720" w:hanging="360"/>
      </w:pPr>
      <w:rPr>
        <w:rFonts w:ascii="Calibri" w:eastAsia="Times New Roman" w:hAnsi="Calibri" w:cs="Calibri" w:hint="default"/>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8E7F5F"/>
    <w:multiLevelType w:val="hybridMultilevel"/>
    <w:tmpl w:val="48C64870"/>
    <w:lvl w:ilvl="0" w:tplc="0409000F">
      <w:start w:val="1"/>
      <w:numFmt w:val="decimal"/>
      <w:lvlText w:val="%1."/>
      <w:lvlJc w:val="left"/>
      <w:pPr>
        <w:ind w:left="927" w:hanging="360"/>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90607376">
    <w:abstractNumId w:val="0"/>
  </w:num>
  <w:num w:numId="2" w16cid:durableId="539246293">
    <w:abstractNumId w:val="2"/>
  </w:num>
  <w:num w:numId="3" w16cid:durableId="359166035">
    <w:abstractNumId w:val="3"/>
  </w:num>
  <w:num w:numId="4" w16cid:durableId="1854538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D2B"/>
    <w:rsid w:val="0004166D"/>
    <w:rsid w:val="00196392"/>
    <w:rsid w:val="00260E60"/>
    <w:rsid w:val="002B161B"/>
    <w:rsid w:val="00332DB4"/>
    <w:rsid w:val="00435429"/>
    <w:rsid w:val="00445CC3"/>
    <w:rsid w:val="004C711D"/>
    <w:rsid w:val="005B1920"/>
    <w:rsid w:val="005B6D2B"/>
    <w:rsid w:val="00626BE3"/>
    <w:rsid w:val="00656BB0"/>
    <w:rsid w:val="006867DF"/>
    <w:rsid w:val="00741C60"/>
    <w:rsid w:val="00765F3C"/>
    <w:rsid w:val="007755F2"/>
    <w:rsid w:val="00824317"/>
    <w:rsid w:val="008B0269"/>
    <w:rsid w:val="008F44B1"/>
    <w:rsid w:val="0091093C"/>
    <w:rsid w:val="00963283"/>
    <w:rsid w:val="00965584"/>
    <w:rsid w:val="009B696C"/>
    <w:rsid w:val="00A06DA1"/>
    <w:rsid w:val="00A121AB"/>
    <w:rsid w:val="00A3438A"/>
    <w:rsid w:val="00B15666"/>
    <w:rsid w:val="00B33196"/>
    <w:rsid w:val="00B375C0"/>
    <w:rsid w:val="00C20DD3"/>
    <w:rsid w:val="00DD5D4E"/>
    <w:rsid w:val="00E60450"/>
    <w:rsid w:val="00EF0386"/>
    <w:rsid w:val="00F03EFF"/>
    <w:rsid w:val="00F62A15"/>
    <w:rsid w:val="00FA5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81D6"/>
  <w15:chartTrackingRefBased/>
  <w15:docId w15:val="{72144616-5E51-2649-963A-B30D069D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6D2B"/>
    <w:rPr>
      <w:rFonts w:ascii="Arial" w:eastAsia="Times New Roman" w:hAnsi="Arial" w:cs="Times New Roman"/>
      <w:sz w:val="22"/>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qFormat/>
    <w:rsid w:val="005B6D2B"/>
    <w:pPr>
      <w:tabs>
        <w:tab w:val="left" w:pos="567"/>
      </w:tabs>
      <w:spacing w:after="120"/>
      <w:ind w:left="567" w:hanging="567"/>
    </w:pPr>
    <w:rPr>
      <w:rFonts w:ascii="Calibri" w:hAnsi="Calibri"/>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qFormat/>
    <w:rsid w:val="005B6D2B"/>
    <w:rPr>
      <w:rFonts w:ascii="Calibri" w:eastAsia="Times New Roman" w:hAnsi="Calibri" w:cs="Times New Roman"/>
      <w:sz w:val="22"/>
      <w:szCs w:val="20"/>
      <w:lang w:val="en-GB"/>
    </w:rPr>
  </w:style>
  <w:style w:type="paragraph" w:styleId="BodyText">
    <w:name w:val="Body Text"/>
    <w:basedOn w:val="Normal"/>
    <w:link w:val="BodyTextChar"/>
    <w:uiPriority w:val="99"/>
    <w:unhideWhenUsed/>
    <w:qFormat/>
    <w:rsid w:val="005B6D2B"/>
    <w:pPr>
      <w:tabs>
        <w:tab w:val="left" w:pos="567"/>
      </w:tabs>
      <w:spacing w:after="120"/>
    </w:pPr>
    <w:rPr>
      <w:rFonts w:ascii="Calibri" w:hAnsi="Calibri"/>
    </w:rPr>
  </w:style>
  <w:style w:type="character" w:customStyle="1" w:styleId="BodyTextChar">
    <w:name w:val="Body Text Char"/>
    <w:basedOn w:val="DefaultParagraphFont"/>
    <w:link w:val="BodyText"/>
    <w:uiPriority w:val="99"/>
    <w:rsid w:val="005B6D2B"/>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5B6D2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B6D2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332DB4"/>
    <w:rPr>
      <w:sz w:val="16"/>
      <w:szCs w:val="16"/>
    </w:rPr>
  </w:style>
  <w:style w:type="paragraph" w:styleId="CommentText">
    <w:name w:val="annotation text"/>
    <w:basedOn w:val="Normal"/>
    <w:link w:val="CommentTextChar"/>
    <w:uiPriority w:val="99"/>
    <w:semiHidden/>
    <w:unhideWhenUsed/>
    <w:rsid w:val="00332DB4"/>
    <w:rPr>
      <w:sz w:val="20"/>
    </w:rPr>
  </w:style>
  <w:style w:type="character" w:customStyle="1" w:styleId="CommentTextChar">
    <w:name w:val="Comment Text Char"/>
    <w:basedOn w:val="DefaultParagraphFont"/>
    <w:link w:val="CommentText"/>
    <w:uiPriority w:val="99"/>
    <w:semiHidden/>
    <w:rsid w:val="00332DB4"/>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32DB4"/>
    <w:rPr>
      <w:b/>
      <w:bCs/>
    </w:rPr>
  </w:style>
  <w:style w:type="character" w:customStyle="1" w:styleId="CommentSubjectChar">
    <w:name w:val="Comment Subject Char"/>
    <w:basedOn w:val="CommentTextChar"/>
    <w:link w:val="CommentSubject"/>
    <w:uiPriority w:val="99"/>
    <w:semiHidden/>
    <w:rsid w:val="00332DB4"/>
    <w:rPr>
      <w:rFonts w:ascii="Arial" w:eastAsia="Times New Roman" w:hAnsi="Arial" w:cs="Times New Roman"/>
      <w:b/>
      <w:bCs/>
      <w:sz w:val="20"/>
      <w:szCs w:val="20"/>
      <w:lang w:val="en-GB"/>
    </w:rPr>
  </w:style>
  <w:style w:type="character" w:styleId="Hyperlink">
    <w:name w:val="Hyperlink"/>
    <w:basedOn w:val="DefaultParagraphFont"/>
    <w:uiPriority w:val="99"/>
    <w:unhideWhenUsed/>
    <w:rsid w:val="009B696C"/>
    <w:rPr>
      <w:color w:val="0563C1" w:themeColor="hyperlink"/>
      <w:u w:val="single"/>
    </w:rPr>
  </w:style>
  <w:style w:type="character" w:customStyle="1" w:styleId="UnresolvedMention1">
    <w:name w:val="Unresolved Mention1"/>
    <w:basedOn w:val="DefaultParagraphFont"/>
    <w:uiPriority w:val="99"/>
    <w:semiHidden/>
    <w:unhideWhenUsed/>
    <w:rsid w:val="009B6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Prende Cubi</cp:lastModifiedBy>
  <cp:revision>4</cp:revision>
  <dcterms:created xsi:type="dcterms:W3CDTF">2026-10-01T16:11:00Z</dcterms:created>
  <dcterms:modified xsi:type="dcterms:W3CDTF">2026-10-02T09:23:00Z</dcterms:modified>
</cp:coreProperties>
</file>