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036F88" w:rsidRDefault="00922FEB" w:rsidP="00036F88">
      <w:pPr>
        <w:pStyle w:val="BodyText"/>
        <w:jc w:val="center"/>
        <w:rPr>
          <w:rFonts w:ascii="Times New Roman" w:hAnsi="Times New Roman" w:cs="Times New Roman"/>
          <w:sz w:val="18"/>
          <w:szCs w:val="18"/>
          <w:lang w:val="en-US"/>
        </w:rPr>
      </w:pPr>
      <w:r w:rsidRPr="00036F88">
        <w:rPr>
          <w:rFonts w:ascii="Times New Roman" w:hAnsi="Times New Roman" w:cs="Times New Roman"/>
          <w:sz w:val="18"/>
          <w:szCs w:val="18"/>
          <w:lang w:val="en-US"/>
        </w:rPr>
        <w:t>TABELA E TRANSPONZIMIT</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90" w:type="dxa"/>
        <w:tblInd w:w="-1175" w:type="dxa"/>
        <w:tblLayout w:type="fixed"/>
        <w:tblLook w:val="04A0" w:firstRow="1" w:lastRow="0" w:firstColumn="1" w:lastColumn="0" w:noHBand="0" w:noVBand="1"/>
      </w:tblPr>
      <w:tblGrid>
        <w:gridCol w:w="630"/>
        <w:gridCol w:w="5400"/>
        <w:gridCol w:w="540"/>
        <w:gridCol w:w="540"/>
        <w:gridCol w:w="5040"/>
        <w:gridCol w:w="720"/>
        <w:gridCol w:w="3420"/>
      </w:tblGrid>
      <w:tr w:rsidR="00260632" w:rsidRPr="00036F88" w14:paraId="61092F5B" w14:textId="77777777" w:rsidTr="007C321D">
        <w:trPr>
          <w:tblHeader/>
        </w:trPr>
        <w:tc>
          <w:tcPr>
            <w:tcW w:w="6030" w:type="dxa"/>
            <w:gridSpan w:val="2"/>
          </w:tcPr>
          <w:p w14:paraId="1F52B123" w14:textId="77777777" w:rsidR="00196F64" w:rsidRDefault="00196F64" w:rsidP="00196F64">
            <w:pPr>
              <w:pBdr>
                <w:top w:val="nil"/>
                <w:left w:val="nil"/>
                <w:bottom w:val="nil"/>
                <w:right w:val="nil"/>
                <w:between w:val="nil"/>
              </w:pBdr>
              <w:spacing w:before="120"/>
              <w:jc w:val="both"/>
              <w:rPr>
                <w:rFonts w:ascii="Times New Roman" w:hAnsi="Times New Roman" w:cs="Times New Roman"/>
                <w:color w:val="333333"/>
                <w:sz w:val="18"/>
                <w:szCs w:val="18"/>
                <w:shd w:val="clear" w:color="auto" w:fill="FFFFFF"/>
              </w:rPr>
            </w:pPr>
            <w:r w:rsidRPr="00196F64">
              <w:rPr>
                <w:rFonts w:ascii="Times New Roman" w:hAnsi="Times New Roman" w:cs="Times New Roman"/>
                <w:color w:val="333333"/>
                <w:sz w:val="18"/>
                <w:szCs w:val="18"/>
                <w:shd w:val="clear" w:color="auto" w:fill="FFFFFF"/>
              </w:rPr>
              <w:t>Legjislacioni i Bashkimit Evropian:</w:t>
            </w:r>
          </w:p>
          <w:p w14:paraId="018722F7" w14:textId="10217FD5" w:rsidR="002D529D" w:rsidRPr="00BA03A9" w:rsidRDefault="008B5730" w:rsidP="00BA03A9">
            <w:pPr>
              <w:pBdr>
                <w:top w:val="nil"/>
                <w:left w:val="nil"/>
                <w:bottom w:val="nil"/>
                <w:right w:val="nil"/>
                <w:between w:val="nil"/>
              </w:pBdr>
              <w:spacing w:before="120"/>
              <w:jc w:val="both"/>
              <w:rPr>
                <w:rFonts w:ascii="Times New Roman" w:eastAsia="Times New Roman" w:hAnsi="Times New Roman" w:cs="Times New Roman"/>
                <w:sz w:val="18"/>
                <w:szCs w:val="18"/>
              </w:rPr>
            </w:pPr>
            <w:r w:rsidRPr="00BA03A9">
              <w:rPr>
                <w:rFonts w:ascii="Times New Roman" w:hAnsi="Times New Roman" w:cs="Times New Roman"/>
                <w:color w:val="333333"/>
                <w:kern w:val="2"/>
                <w:sz w:val="18"/>
                <w:szCs w:val="18"/>
                <w:shd w:val="clear" w:color="auto" w:fill="FFFFFF"/>
                <w14:ligatures w14:val="standardContextual"/>
              </w:rPr>
              <w:t>Direktiva e Këshillit (BE) 2021/514 e 22 Marsit 2021 që ndryshon Direktivën 2011/16/BE për bashkëpunimin administrativ në fushën e taksimit</w:t>
            </w:r>
          </w:p>
          <w:p w14:paraId="7595DA82" w14:textId="2A0EA07D" w:rsidR="009D0B38" w:rsidRPr="00036F88" w:rsidRDefault="009D0B38" w:rsidP="008B5730">
            <w:pPr>
              <w:pStyle w:val="ListParagraph"/>
              <w:pBdr>
                <w:top w:val="nil"/>
                <w:left w:val="nil"/>
                <w:bottom w:val="nil"/>
                <w:right w:val="nil"/>
                <w:between w:val="nil"/>
              </w:pBdr>
              <w:spacing w:before="120" w:after="0" w:line="240" w:lineRule="auto"/>
              <w:jc w:val="both"/>
              <w:rPr>
                <w:rFonts w:ascii="Times New Roman" w:eastAsia="Calibri" w:hAnsi="Times New Roman" w:cs="Times New Roman"/>
                <w:sz w:val="18"/>
                <w:szCs w:val="18"/>
              </w:rPr>
            </w:pPr>
          </w:p>
        </w:tc>
        <w:tc>
          <w:tcPr>
            <w:tcW w:w="10260" w:type="dxa"/>
            <w:gridSpan w:val="5"/>
            <w:vAlign w:val="center"/>
          </w:tcPr>
          <w:p w14:paraId="10ECADF5" w14:textId="33BDD193" w:rsidR="00922FEB" w:rsidRDefault="00922FEB" w:rsidP="00036F88">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Legjislacioni shqiptar</w:t>
            </w:r>
            <w:r w:rsidR="00196F64">
              <w:rPr>
                <w:rFonts w:ascii="Times New Roman" w:eastAsia="Calibri" w:hAnsi="Times New Roman" w:cs="Times New Roman"/>
                <w:sz w:val="18"/>
                <w:szCs w:val="18"/>
                <w:lang w:val="en-US"/>
              </w:rPr>
              <w:t xml:space="preserve"> i propozuar</w:t>
            </w:r>
            <w:r w:rsidRPr="00036F88">
              <w:rPr>
                <w:rFonts w:ascii="Times New Roman" w:eastAsia="Calibri" w:hAnsi="Times New Roman" w:cs="Times New Roman"/>
                <w:sz w:val="18"/>
                <w:szCs w:val="18"/>
                <w:lang w:val="en-US"/>
              </w:rPr>
              <w:t>:</w:t>
            </w:r>
          </w:p>
          <w:p w14:paraId="3E1B3746" w14:textId="77777777" w:rsidR="00196F64" w:rsidRPr="00036F88" w:rsidRDefault="00196F64" w:rsidP="00036F88">
            <w:pPr>
              <w:jc w:val="both"/>
              <w:rPr>
                <w:rFonts w:ascii="Times New Roman" w:eastAsia="Calibri" w:hAnsi="Times New Roman" w:cs="Times New Roman"/>
                <w:sz w:val="18"/>
                <w:szCs w:val="18"/>
                <w:lang w:val="en-US"/>
              </w:rPr>
            </w:pPr>
          </w:p>
          <w:p w14:paraId="6FF890AD" w14:textId="4A5DA828" w:rsidR="004F7895" w:rsidRDefault="00BA03A9" w:rsidP="00BA03A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w:t>
            </w:r>
            <w:r w:rsidR="000B5939" w:rsidRPr="00BA03A9">
              <w:rPr>
                <w:rFonts w:ascii="Times New Roman" w:eastAsia="Times New Roman" w:hAnsi="Times New Roman" w:cs="Times New Roman"/>
                <w:sz w:val="18"/>
                <w:szCs w:val="18"/>
              </w:rPr>
              <w:t>Për</w:t>
            </w:r>
            <w:r w:rsidR="008B5730" w:rsidRPr="00BA03A9">
              <w:rPr>
                <w:rFonts w:ascii="Times New Roman" w:eastAsia="Times New Roman" w:hAnsi="Times New Roman" w:cs="Times New Roman"/>
                <w:sz w:val="18"/>
                <w:szCs w:val="18"/>
              </w:rPr>
              <w:t xml:space="preserve"> shkëmbimin automatik të informacionit nga operatorët e platformave di</w:t>
            </w:r>
            <w:r w:rsidR="000B5939" w:rsidRPr="00BA03A9">
              <w:rPr>
                <w:rFonts w:ascii="Times New Roman" w:eastAsia="Times New Roman" w:hAnsi="Times New Roman" w:cs="Times New Roman"/>
                <w:sz w:val="18"/>
                <w:szCs w:val="18"/>
              </w:rPr>
              <w:t>gj</w:t>
            </w:r>
            <w:r w:rsidR="008B5730" w:rsidRPr="00BA03A9">
              <w:rPr>
                <w:rFonts w:ascii="Times New Roman" w:eastAsia="Times New Roman" w:hAnsi="Times New Roman" w:cs="Times New Roman"/>
                <w:sz w:val="18"/>
                <w:szCs w:val="18"/>
              </w:rPr>
              <w:t>itale</w:t>
            </w:r>
          </w:p>
          <w:p w14:paraId="45281429" w14:textId="77777777" w:rsidR="00BA03A9" w:rsidRPr="00BA03A9" w:rsidRDefault="00BA03A9" w:rsidP="00BA03A9">
            <w:pPr>
              <w:jc w:val="both"/>
              <w:rPr>
                <w:rFonts w:ascii="Times New Roman" w:eastAsia="Calibri" w:hAnsi="Times New Roman" w:cs="Times New Roman"/>
                <w:sz w:val="18"/>
                <w:szCs w:val="18"/>
              </w:rPr>
            </w:pPr>
          </w:p>
          <w:p w14:paraId="3102C9DB" w14:textId="77777777" w:rsidR="001D652C" w:rsidRDefault="001D652C" w:rsidP="00036F88">
            <w:pPr>
              <w:jc w:val="both"/>
              <w:rPr>
                <w:rFonts w:ascii="Times New Roman" w:hAnsi="Times New Roman" w:cs="Times New Roman"/>
                <w:sz w:val="18"/>
                <w:szCs w:val="18"/>
                <w:lang w:val="en-US"/>
              </w:rPr>
            </w:pPr>
            <w:r w:rsidRPr="00036F88">
              <w:rPr>
                <w:rFonts w:ascii="Times New Roman" w:hAnsi="Times New Roman" w:cs="Times New Roman"/>
                <w:sz w:val="18"/>
                <w:szCs w:val="18"/>
                <w:lang w:val="en-US"/>
              </w:rPr>
              <w:t>Shkalla e përgjithshme e përafrimit me legjislacionin kombëtar:</w:t>
            </w:r>
          </w:p>
          <w:p w14:paraId="04712892" w14:textId="77777777" w:rsidR="00196F64" w:rsidRPr="00036F88" w:rsidRDefault="00196F64" w:rsidP="00036F88">
            <w:pPr>
              <w:jc w:val="both"/>
              <w:rPr>
                <w:rFonts w:ascii="Times New Roman" w:hAnsi="Times New Roman" w:cs="Times New Roman"/>
                <w:sz w:val="18"/>
                <w:szCs w:val="18"/>
                <w:lang w:val="en-US"/>
              </w:rPr>
            </w:pPr>
          </w:p>
          <w:p w14:paraId="5306AA67" w14:textId="037F675D" w:rsidR="001D652C" w:rsidRPr="00036F88" w:rsidRDefault="001D652C" w:rsidP="00DF3533">
            <w:pPr>
              <w:pStyle w:val="ListParagraph"/>
              <w:numPr>
                <w:ilvl w:val="0"/>
                <w:numId w:val="1"/>
              </w:numPr>
              <w:spacing w:after="0" w:line="240" w:lineRule="auto"/>
              <w:jc w:val="both"/>
              <w:rPr>
                <w:rFonts w:ascii="Times New Roman" w:hAnsi="Times New Roman" w:cs="Times New Roman"/>
                <w:sz w:val="18"/>
                <w:szCs w:val="18"/>
              </w:rPr>
            </w:pPr>
            <w:r w:rsidRPr="00036F88">
              <w:rPr>
                <w:rFonts w:ascii="Times New Roman" w:hAnsi="Times New Roman" w:cs="Times New Roman"/>
                <w:sz w:val="18"/>
                <w:szCs w:val="18"/>
              </w:rPr>
              <w:t xml:space="preserve">F - </w:t>
            </w:r>
            <w:r w:rsidR="000B5939" w:rsidRPr="000B5939">
              <w:rPr>
                <w:rFonts w:ascii="Times New Roman" w:hAnsi="Times New Roman" w:cs="Times New Roman"/>
                <w:sz w:val="18"/>
                <w:szCs w:val="18"/>
              </w:rPr>
              <w:t xml:space="preserve">Përputhshmëri </w:t>
            </w:r>
            <w:r w:rsidRPr="00036F88">
              <w:rPr>
                <w:rFonts w:ascii="Times New Roman" w:hAnsi="Times New Roman" w:cs="Times New Roman"/>
                <w:sz w:val="18"/>
                <w:szCs w:val="18"/>
              </w:rPr>
              <w:t>e plotë</w:t>
            </w:r>
          </w:p>
          <w:p w14:paraId="41C41513" w14:textId="49AD09C4" w:rsidR="001D652C" w:rsidRPr="00036F88" w:rsidRDefault="00BF04C6" w:rsidP="00036F88">
            <w:pPr>
              <w:jc w:val="both"/>
              <w:rPr>
                <w:rFonts w:ascii="Times New Roman" w:hAnsi="Times New Roman" w:cs="Times New Roman"/>
                <w:sz w:val="18"/>
                <w:szCs w:val="18"/>
              </w:rPr>
            </w:pPr>
            <w:r>
              <w:rPr>
                <w:rFonts w:ascii="Times New Roman" w:hAnsi="Times New Roman" w:cs="Times New Roman"/>
                <w:sz w:val="18"/>
                <w:szCs w:val="18"/>
              </w:rPr>
              <w:t xml:space="preserve">                </w:t>
            </w:r>
            <w:r w:rsidR="001D652C" w:rsidRPr="00036F88">
              <w:rPr>
                <w:rFonts w:ascii="Times New Roman" w:hAnsi="Times New Roman" w:cs="Times New Roman"/>
                <w:sz w:val="18"/>
                <w:szCs w:val="18"/>
              </w:rPr>
              <w:t xml:space="preserve">P - </w:t>
            </w:r>
            <w:r w:rsidR="000B5939" w:rsidRPr="000B5939">
              <w:rPr>
                <w:rFonts w:ascii="Times New Roman" w:hAnsi="Times New Roman" w:cs="Times New Roman"/>
                <w:sz w:val="18"/>
                <w:szCs w:val="18"/>
              </w:rPr>
              <w:t xml:space="preserve">Përputhshmëri </w:t>
            </w:r>
            <w:r w:rsidR="001D652C" w:rsidRPr="00036F88">
              <w:rPr>
                <w:rFonts w:ascii="Times New Roman" w:hAnsi="Times New Roman" w:cs="Times New Roman"/>
                <w:sz w:val="18"/>
                <w:szCs w:val="18"/>
              </w:rPr>
              <w:t>e pjesshme</w:t>
            </w:r>
          </w:p>
          <w:p w14:paraId="289EB650" w14:textId="0E5C79C6" w:rsidR="00922FEB" w:rsidRPr="00036F88" w:rsidRDefault="00BF04C6" w:rsidP="00036F88">
            <w:pPr>
              <w:jc w:val="both"/>
              <w:rPr>
                <w:rFonts w:ascii="Times New Roman" w:eastAsia="Calibri" w:hAnsi="Times New Roman" w:cs="Times New Roman"/>
                <w:sz w:val="18"/>
                <w:szCs w:val="18"/>
              </w:rPr>
            </w:pPr>
            <w:r>
              <w:rPr>
                <w:rFonts w:ascii="Times New Roman" w:hAnsi="Times New Roman" w:cs="Times New Roman"/>
                <w:sz w:val="18"/>
                <w:szCs w:val="18"/>
              </w:rPr>
              <w:t xml:space="preserve">                </w:t>
            </w:r>
            <w:r w:rsidR="001D652C" w:rsidRPr="00036F88">
              <w:rPr>
                <w:rFonts w:ascii="Times New Roman" w:hAnsi="Times New Roman" w:cs="Times New Roman"/>
                <w:sz w:val="18"/>
                <w:szCs w:val="18"/>
              </w:rPr>
              <w:t xml:space="preserve">N - </w:t>
            </w:r>
            <w:r w:rsidR="000B5939" w:rsidRPr="000B5939">
              <w:rPr>
                <w:rFonts w:ascii="Times New Roman" w:hAnsi="Times New Roman" w:cs="Times New Roman"/>
                <w:sz w:val="18"/>
                <w:szCs w:val="18"/>
              </w:rPr>
              <w:t>I papërputhur</w:t>
            </w:r>
          </w:p>
          <w:p w14:paraId="6BC4DEF2" w14:textId="77777777" w:rsidR="00922FEB" w:rsidRPr="00036F88" w:rsidRDefault="00922FEB" w:rsidP="00036F88">
            <w:pPr>
              <w:rPr>
                <w:rFonts w:ascii="Times New Roman" w:eastAsia="Calibri" w:hAnsi="Times New Roman" w:cs="Times New Roman"/>
                <w:sz w:val="18"/>
                <w:szCs w:val="18"/>
              </w:rPr>
            </w:pPr>
          </w:p>
          <w:p w14:paraId="7AA9D97B" w14:textId="77777777" w:rsidR="00922FEB" w:rsidRPr="00036F88" w:rsidRDefault="00922FEB" w:rsidP="00036F88">
            <w:pPr>
              <w:rPr>
                <w:rFonts w:ascii="Times New Roman" w:eastAsia="Calibri" w:hAnsi="Times New Roman" w:cs="Times New Roman"/>
                <w:sz w:val="18"/>
                <w:szCs w:val="18"/>
              </w:rPr>
            </w:pPr>
            <w:r w:rsidRPr="00036F88">
              <w:rPr>
                <w:rFonts w:ascii="Times New Roman" w:eastAsia="Calibri" w:hAnsi="Times New Roman" w:cs="Times New Roman"/>
                <w:sz w:val="18"/>
                <w:szCs w:val="18"/>
              </w:rPr>
              <w:t xml:space="preserve"> </w:t>
            </w:r>
          </w:p>
        </w:tc>
      </w:tr>
      <w:tr w:rsidR="00260632" w:rsidRPr="00036F88" w14:paraId="01827783" w14:textId="77777777" w:rsidTr="007C321D">
        <w:trPr>
          <w:tblHeader/>
        </w:trPr>
        <w:tc>
          <w:tcPr>
            <w:tcW w:w="630"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5400"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3</w:t>
            </w:r>
          </w:p>
        </w:tc>
        <w:tc>
          <w:tcPr>
            <w:tcW w:w="54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504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72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42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0B5939" w:rsidRPr="00036F88" w14:paraId="405531F1" w14:textId="77777777" w:rsidTr="007C321D">
        <w:trPr>
          <w:tblHeader/>
        </w:trPr>
        <w:tc>
          <w:tcPr>
            <w:tcW w:w="630" w:type="dxa"/>
            <w:shd w:val="clear" w:color="auto" w:fill="BFBFBF"/>
            <w:vAlign w:val="center"/>
          </w:tcPr>
          <w:p w14:paraId="1E9FDE14" w14:textId="0CB8650B" w:rsidR="000B5939" w:rsidRPr="00036F88" w:rsidRDefault="000B5939" w:rsidP="000B5939">
            <w:pPr>
              <w:jc w:val="center"/>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rPr>
              <w:t>Neni</w:t>
            </w:r>
          </w:p>
        </w:tc>
        <w:tc>
          <w:tcPr>
            <w:tcW w:w="5400" w:type="dxa"/>
            <w:shd w:val="clear" w:color="auto" w:fill="BFBFBF"/>
            <w:vAlign w:val="center"/>
          </w:tcPr>
          <w:p w14:paraId="76176853" w14:textId="19090EBF"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Teksti</w:t>
            </w:r>
          </w:p>
        </w:tc>
        <w:tc>
          <w:tcPr>
            <w:tcW w:w="540" w:type="dxa"/>
            <w:shd w:val="clear" w:color="auto" w:fill="BFBFBF"/>
            <w:vAlign w:val="center"/>
          </w:tcPr>
          <w:p w14:paraId="7B0A27CB" w14:textId="0B876E43"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Referenca</w:t>
            </w:r>
          </w:p>
        </w:tc>
        <w:tc>
          <w:tcPr>
            <w:tcW w:w="540" w:type="dxa"/>
            <w:shd w:val="clear" w:color="auto" w:fill="BFBFBF"/>
            <w:vAlign w:val="center"/>
          </w:tcPr>
          <w:p w14:paraId="4FA58976" w14:textId="659DAEA5"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Neni</w:t>
            </w:r>
          </w:p>
        </w:tc>
        <w:tc>
          <w:tcPr>
            <w:tcW w:w="5040" w:type="dxa"/>
            <w:shd w:val="clear" w:color="auto" w:fill="BFBFBF"/>
            <w:vAlign w:val="center"/>
          </w:tcPr>
          <w:p w14:paraId="1C97514E" w14:textId="6D41D385"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Teksti</w:t>
            </w:r>
          </w:p>
        </w:tc>
        <w:tc>
          <w:tcPr>
            <w:tcW w:w="720" w:type="dxa"/>
            <w:shd w:val="clear" w:color="auto" w:fill="BFBFBF"/>
            <w:vAlign w:val="center"/>
          </w:tcPr>
          <w:p w14:paraId="7416E437" w14:textId="115C7E85"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Përputhshmëria</w:t>
            </w:r>
          </w:p>
        </w:tc>
        <w:tc>
          <w:tcPr>
            <w:tcW w:w="3420" w:type="dxa"/>
            <w:shd w:val="clear" w:color="auto" w:fill="BFBFBF"/>
            <w:vAlign w:val="center"/>
          </w:tcPr>
          <w:p w14:paraId="2D3E0BBE" w14:textId="246E68B1"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Shënime</w:t>
            </w:r>
          </w:p>
        </w:tc>
      </w:tr>
    </w:tbl>
    <w:p w14:paraId="1F69D40D" w14:textId="3855042B" w:rsidR="00922FEB" w:rsidRPr="00036F88"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90" w:type="dxa"/>
        <w:tblInd w:w="-1175" w:type="dxa"/>
        <w:tblLayout w:type="fixed"/>
        <w:tblLook w:val="04A0" w:firstRow="1" w:lastRow="0" w:firstColumn="1" w:lastColumn="0" w:noHBand="0" w:noVBand="1"/>
      </w:tblPr>
      <w:tblGrid>
        <w:gridCol w:w="630"/>
        <w:gridCol w:w="5400"/>
        <w:gridCol w:w="540"/>
        <w:gridCol w:w="554"/>
        <w:gridCol w:w="5040"/>
        <w:gridCol w:w="720"/>
        <w:gridCol w:w="3406"/>
      </w:tblGrid>
      <w:tr w:rsidR="00260632" w:rsidRPr="00036F88" w14:paraId="32F4D837" w14:textId="77777777" w:rsidTr="007C321D">
        <w:trPr>
          <w:tblHeader/>
        </w:trPr>
        <w:tc>
          <w:tcPr>
            <w:tcW w:w="630" w:type="dxa"/>
            <w:shd w:val="clear" w:color="auto" w:fill="BFBFBF"/>
          </w:tcPr>
          <w:p w14:paraId="623B109C" w14:textId="4AA779B1" w:rsidR="000A7EA3" w:rsidRPr="00036F88" w:rsidRDefault="000A7EA3"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5400" w:type="dxa"/>
            <w:shd w:val="clear" w:color="auto" w:fill="BFBFBF"/>
          </w:tcPr>
          <w:p w14:paraId="0EF916BA" w14:textId="15F44D6D" w:rsidR="000A7EA3" w:rsidRPr="00036F88" w:rsidRDefault="000A7EA3" w:rsidP="00036F88">
            <w:pPr>
              <w:jc w:val="center"/>
              <w:rPr>
                <w:rFonts w:ascii="Times New Roman" w:eastAsia="Times New Roman" w:hAnsi="Times New Roman" w:cs="Times New Roman"/>
                <w:iCs/>
                <w:sz w:val="18"/>
                <w:szCs w:val="18"/>
              </w:rPr>
            </w:pPr>
            <w:r w:rsidRPr="00036F88">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036F88" w:rsidRDefault="000A7EA3" w:rsidP="00036F88">
            <w:pPr>
              <w:jc w:val="center"/>
              <w:rPr>
                <w:rFonts w:ascii="Times New Roman" w:hAnsi="Times New Roman" w:cs="Times New Roman"/>
                <w:sz w:val="18"/>
                <w:szCs w:val="18"/>
              </w:rPr>
            </w:pPr>
            <w:r w:rsidRPr="00036F88">
              <w:rPr>
                <w:rFonts w:ascii="Times New Roman" w:hAnsi="Times New Roman" w:cs="Times New Roman"/>
                <w:sz w:val="18"/>
                <w:szCs w:val="18"/>
              </w:rPr>
              <w:t>3</w:t>
            </w:r>
          </w:p>
        </w:tc>
        <w:tc>
          <w:tcPr>
            <w:tcW w:w="554" w:type="dxa"/>
            <w:shd w:val="clear" w:color="auto" w:fill="BFBFBF"/>
          </w:tcPr>
          <w:p w14:paraId="11B2F0E9" w14:textId="510E5F67" w:rsidR="000A7EA3" w:rsidRPr="00036F88" w:rsidRDefault="000A7EA3"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5040" w:type="dxa"/>
            <w:shd w:val="clear" w:color="auto" w:fill="BFBFBF"/>
          </w:tcPr>
          <w:p w14:paraId="18D0D936" w14:textId="2F6EC06B" w:rsidR="000A7EA3" w:rsidRPr="00036F88" w:rsidRDefault="000A7EA3"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720" w:type="dxa"/>
            <w:shd w:val="clear" w:color="auto" w:fill="BFBFBF"/>
          </w:tcPr>
          <w:p w14:paraId="1F29B9CC" w14:textId="46D8A615" w:rsidR="000A7EA3" w:rsidRPr="00036F88" w:rsidRDefault="000A7EA3"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406" w:type="dxa"/>
            <w:shd w:val="clear" w:color="auto" w:fill="BFBFBF"/>
          </w:tcPr>
          <w:p w14:paraId="1EC97E09" w14:textId="00684BF9" w:rsidR="000A7EA3" w:rsidRPr="00036F88" w:rsidRDefault="000A7EA3"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0B5939" w:rsidRPr="00036F88" w14:paraId="33DF4310" w14:textId="77777777" w:rsidTr="007C321D">
        <w:trPr>
          <w:tblHeader/>
        </w:trPr>
        <w:tc>
          <w:tcPr>
            <w:tcW w:w="630" w:type="dxa"/>
            <w:shd w:val="clear" w:color="auto" w:fill="BFBFBF"/>
            <w:vAlign w:val="center"/>
          </w:tcPr>
          <w:p w14:paraId="39F8C6F9" w14:textId="3AB326DE" w:rsidR="000B5939" w:rsidRPr="00036F88" w:rsidRDefault="000B5939" w:rsidP="000B5939">
            <w:pPr>
              <w:jc w:val="center"/>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rPr>
              <w:t>Neni</w:t>
            </w:r>
          </w:p>
        </w:tc>
        <w:tc>
          <w:tcPr>
            <w:tcW w:w="5400" w:type="dxa"/>
            <w:shd w:val="clear" w:color="auto" w:fill="BFBFBF"/>
            <w:vAlign w:val="center"/>
          </w:tcPr>
          <w:p w14:paraId="17F6068A" w14:textId="05E6E0F4" w:rsidR="000B5939" w:rsidRPr="00036F88" w:rsidRDefault="000B5939" w:rsidP="000B5939">
            <w:pPr>
              <w:jc w:val="center"/>
              <w:rPr>
                <w:rFonts w:ascii="Times New Roman" w:eastAsia="Times New Roman" w:hAnsi="Times New Roman" w:cs="Times New Roman"/>
                <w:iCs/>
                <w:sz w:val="18"/>
                <w:szCs w:val="18"/>
                <w:lang w:val="en-US"/>
              </w:rPr>
            </w:pPr>
            <w:r>
              <w:rPr>
                <w:rFonts w:ascii="Times New Roman" w:eastAsia="Times New Roman" w:hAnsi="Times New Roman" w:cs="Times New Roman"/>
                <w:b/>
                <w:bCs/>
                <w:sz w:val="18"/>
                <w:szCs w:val="18"/>
              </w:rPr>
              <w:t>Teksti</w:t>
            </w:r>
          </w:p>
        </w:tc>
        <w:tc>
          <w:tcPr>
            <w:tcW w:w="540" w:type="dxa"/>
            <w:shd w:val="clear" w:color="auto" w:fill="D0CECE" w:themeFill="background2" w:themeFillShade="E6"/>
            <w:vAlign w:val="center"/>
          </w:tcPr>
          <w:p w14:paraId="476E07DB" w14:textId="05509D01" w:rsidR="000B5939" w:rsidRPr="00036F88" w:rsidRDefault="000B5939" w:rsidP="000B5939">
            <w:pPr>
              <w:jc w:val="center"/>
              <w:rPr>
                <w:rFonts w:ascii="Times New Roman" w:hAnsi="Times New Roman" w:cs="Times New Roman"/>
                <w:sz w:val="18"/>
                <w:szCs w:val="18"/>
              </w:rPr>
            </w:pPr>
            <w:r>
              <w:rPr>
                <w:rFonts w:ascii="Times New Roman" w:eastAsia="Times New Roman" w:hAnsi="Times New Roman" w:cs="Times New Roman"/>
                <w:b/>
                <w:bCs/>
                <w:sz w:val="18"/>
                <w:szCs w:val="18"/>
              </w:rPr>
              <w:t>Referenca</w:t>
            </w:r>
          </w:p>
        </w:tc>
        <w:tc>
          <w:tcPr>
            <w:tcW w:w="554" w:type="dxa"/>
            <w:shd w:val="clear" w:color="auto" w:fill="BFBFBF"/>
            <w:vAlign w:val="center"/>
          </w:tcPr>
          <w:p w14:paraId="5B81B475" w14:textId="00A3D0DC"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Neni</w:t>
            </w:r>
          </w:p>
        </w:tc>
        <w:tc>
          <w:tcPr>
            <w:tcW w:w="5040" w:type="dxa"/>
            <w:shd w:val="clear" w:color="auto" w:fill="BFBFBF"/>
            <w:vAlign w:val="center"/>
          </w:tcPr>
          <w:p w14:paraId="19F4D508" w14:textId="279042D1"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Teksti</w:t>
            </w:r>
          </w:p>
        </w:tc>
        <w:tc>
          <w:tcPr>
            <w:tcW w:w="720" w:type="dxa"/>
            <w:shd w:val="clear" w:color="auto" w:fill="BFBFBF"/>
            <w:vAlign w:val="center"/>
          </w:tcPr>
          <w:p w14:paraId="609D564B" w14:textId="64601CEC"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Përputhshmëria</w:t>
            </w:r>
          </w:p>
        </w:tc>
        <w:tc>
          <w:tcPr>
            <w:tcW w:w="3406" w:type="dxa"/>
            <w:shd w:val="clear" w:color="auto" w:fill="BFBFBF"/>
            <w:vAlign w:val="center"/>
          </w:tcPr>
          <w:p w14:paraId="0F04528A" w14:textId="56427CA3" w:rsidR="000B5939" w:rsidRPr="00036F88" w:rsidRDefault="000B5939" w:rsidP="000B5939">
            <w:pPr>
              <w:jc w:val="center"/>
              <w:rPr>
                <w:rFonts w:ascii="Times New Roman" w:eastAsia="Times New Roman" w:hAnsi="Times New Roman" w:cs="Times New Roman"/>
                <w:i/>
                <w:sz w:val="18"/>
                <w:szCs w:val="18"/>
                <w:lang w:val="en-US"/>
              </w:rPr>
            </w:pPr>
            <w:r>
              <w:rPr>
                <w:rFonts w:ascii="Times New Roman" w:eastAsia="Times New Roman" w:hAnsi="Times New Roman" w:cs="Times New Roman"/>
                <w:b/>
                <w:bCs/>
                <w:sz w:val="18"/>
                <w:szCs w:val="18"/>
              </w:rPr>
              <w:t>Shënime</w:t>
            </w:r>
          </w:p>
        </w:tc>
      </w:tr>
      <w:tr w:rsidR="00260632" w:rsidRPr="00036F88" w14:paraId="3101C841" w14:textId="77777777" w:rsidTr="007C321D">
        <w:tc>
          <w:tcPr>
            <w:tcW w:w="630" w:type="dxa"/>
            <w:shd w:val="clear" w:color="auto" w:fill="92D050"/>
          </w:tcPr>
          <w:p w14:paraId="171C88DE" w14:textId="77777777" w:rsidR="000A7EA3" w:rsidRPr="00036F88" w:rsidRDefault="000A7EA3" w:rsidP="00036F88">
            <w:pPr>
              <w:rPr>
                <w:rFonts w:ascii="Times New Roman" w:eastAsia="Calibri" w:hAnsi="Times New Roman" w:cs="Times New Roman"/>
                <w:sz w:val="18"/>
                <w:szCs w:val="18"/>
                <w:lang w:val="en-US"/>
              </w:rPr>
            </w:pPr>
          </w:p>
        </w:tc>
        <w:tc>
          <w:tcPr>
            <w:tcW w:w="5400" w:type="dxa"/>
            <w:shd w:val="clear" w:color="auto" w:fill="92D050"/>
          </w:tcPr>
          <w:p w14:paraId="3CBB6E23" w14:textId="71A0F858" w:rsidR="000A7EA3" w:rsidRPr="00036F88" w:rsidRDefault="000A7EA3" w:rsidP="00036F88">
            <w:pPr>
              <w:pStyle w:val="Heading1"/>
              <w:rPr>
                <w:rFonts w:ascii="Times New Roman" w:eastAsia="Calibri" w:hAnsi="Times New Roman" w:cs="Times New Roman"/>
                <w:color w:val="auto"/>
                <w:sz w:val="18"/>
                <w:szCs w:val="18"/>
                <w:lang w:val="en-US"/>
              </w:rPr>
            </w:pPr>
          </w:p>
        </w:tc>
        <w:tc>
          <w:tcPr>
            <w:tcW w:w="540" w:type="dxa"/>
          </w:tcPr>
          <w:p w14:paraId="4950B37F" w14:textId="77777777" w:rsidR="000A7EA3" w:rsidRPr="00036F88" w:rsidRDefault="000A7EA3" w:rsidP="00036F88">
            <w:pPr>
              <w:rPr>
                <w:rFonts w:ascii="Times New Roman" w:eastAsia="Calibri" w:hAnsi="Times New Roman" w:cs="Times New Roman"/>
                <w:sz w:val="18"/>
                <w:szCs w:val="18"/>
              </w:rPr>
            </w:pPr>
          </w:p>
        </w:tc>
        <w:tc>
          <w:tcPr>
            <w:tcW w:w="554" w:type="dxa"/>
            <w:shd w:val="clear" w:color="auto" w:fill="92D050"/>
          </w:tcPr>
          <w:p w14:paraId="4039FF8E" w14:textId="633026E3" w:rsidR="000A7EA3" w:rsidRPr="00036F88" w:rsidRDefault="000A7EA3" w:rsidP="00036F88">
            <w:pPr>
              <w:rPr>
                <w:rFonts w:ascii="Times New Roman" w:eastAsia="Calibri" w:hAnsi="Times New Roman" w:cs="Times New Roman"/>
                <w:sz w:val="18"/>
                <w:szCs w:val="18"/>
                <w:lang w:val="en-US"/>
              </w:rPr>
            </w:pPr>
          </w:p>
        </w:tc>
        <w:tc>
          <w:tcPr>
            <w:tcW w:w="5040" w:type="dxa"/>
            <w:shd w:val="clear" w:color="auto" w:fill="92D050"/>
          </w:tcPr>
          <w:p w14:paraId="6FBBB339" w14:textId="77777777" w:rsidR="0077636B" w:rsidRPr="00036F88" w:rsidRDefault="0077636B" w:rsidP="00036F88">
            <w:pPr>
              <w:jc w:val="center"/>
              <w:rPr>
                <w:rFonts w:ascii="Times New Roman" w:hAnsi="Times New Roman" w:cs="Times New Roman"/>
                <w:sz w:val="18"/>
                <w:szCs w:val="18"/>
              </w:rPr>
            </w:pPr>
            <w:r w:rsidRPr="00036F88">
              <w:rPr>
                <w:rFonts w:ascii="Times New Roman" w:hAnsi="Times New Roman" w:cs="Times New Roman"/>
                <w:sz w:val="18"/>
                <w:szCs w:val="18"/>
              </w:rPr>
              <w:t>KAPITULLI I</w:t>
            </w:r>
          </w:p>
          <w:p w14:paraId="0ED77E48" w14:textId="77777777" w:rsidR="0077636B" w:rsidRPr="00036F88" w:rsidRDefault="0077636B" w:rsidP="00036F88">
            <w:pPr>
              <w:jc w:val="center"/>
              <w:rPr>
                <w:rFonts w:ascii="Times New Roman" w:hAnsi="Times New Roman" w:cs="Times New Roman"/>
                <w:sz w:val="18"/>
                <w:szCs w:val="18"/>
              </w:rPr>
            </w:pPr>
            <w:r w:rsidRPr="00036F88">
              <w:rPr>
                <w:rFonts w:ascii="Times New Roman" w:hAnsi="Times New Roman" w:cs="Times New Roman"/>
                <w:sz w:val="18"/>
                <w:szCs w:val="18"/>
              </w:rPr>
              <w:t>DISPOZITA TË PËRGJITHSHME</w:t>
            </w:r>
          </w:p>
          <w:p w14:paraId="0C0DB225" w14:textId="77777777" w:rsidR="000A7EA3" w:rsidRPr="00036F88" w:rsidRDefault="000A7EA3" w:rsidP="00036F88">
            <w:pPr>
              <w:rPr>
                <w:rFonts w:ascii="Times New Roman" w:eastAsia="Calibri" w:hAnsi="Times New Roman" w:cs="Times New Roman"/>
                <w:sz w:val="18"/>
                <w:szCs w:val="18"/>
                <w:lang w:val="en-US"/>
              </w:rPr>
            </w:pPr>
          </w:p>
        </w:tc>
        <w:tc>
          <w:tcPr>
            <w:tcW w:w="720" w:type="dxa"/>
            <w:shd w:val="clear" w:color="auto" w:fill="92D050"/>
          </w:tcPr>
          <w:p w14:paraId="0477FAD4" w14:textId="77777777" w:rsidR="000A7EA3" w:rsidRPr="00036F88" w:rsidRDefault="000A7EA3" w:rsidP="00036F88">
            <w:pPr>
              <w:rPr>
                <w:rFonts w:ascii="Times New Roman" w:eastAsia="Calibri" w:hAnsi="Times New Roman" w:cs="Times New Roman"/>
                <w:sz w:val="18"/>
                <w:szCs w:val="18"/>
                <w:lang w:val="en-US"/>
              </w:rPr>
            </w:pPr>
          </w:p>
        </w:tc>
        <w:tc>
          <w:tcPr>
            <w:tcW w:w="3406" w:type="dxa"/>
            <w:shd w:val="clear" w:color="auto" w:fill="92D050"/>
          </w:tcPr>
          <w:p w14:paraId="09DE5223" w14:textId="77777777" w:rsidR="000A7EA3" w:rsidRPr="00036F88" w:rsidRDefault="000A7EA3" w:rsidP="00036F88">
            <w:pPr>
              <w:rPr>
                <w:rFonts w:ascii="Times New Roman" w:eastAsia="Calibri" w:hAnsi="Times New Roman" w:cs="Times New Roman"/>
                <w:sz w:val="18"/>
                <w:szCs w:val="18"/>
                <w:lang w:val="en-US"/>
              </w:rPr>
            </w:pPr>
          </w:p>
        </w:tc>
      </w:tr>
      <w:tr w:rsidR="00260632" w:rsidRPr="00036F88" w14:paraId="6560FCB0" w14:textId="77777777" w:rsidTr="007C321D">
        <w:tc>
          <w:tcPr>
            <w:tcW w:w="630" w:type="dxa"/>
            <w:shd w:val="clear" w:color="auto" w:fill="F2F2F2"/>
          </w:tcPr>
          <w:p w14:paraId="2C6C40A7" w14:textId="77777777" w:rsidR="000A7EA3" w:rsidRPr="00036F88" w:rsidRDefault="000A7EA3" w:rsidP="00036F88">
            <w:pPr>
              <w:jc w:val="center"/>
              <w:rPr>
                <w:rFonts w:ascii="Times New Roman" w:eastAsia="Calibri" w:hAnsi="Times New Roman" w:cs="Times New Roman"/>
                <w:i/>
                <w:iCs/>
                <w:sz w:val="18"/>
                <w:szCs w:val="18"/>
                <w:lang w:val="en-US"/>
              </w:rPr>
            </w:pPr>
          </w:p>
        </w:tc>
        <w:tc>
          <w:tcPr>
            <w:tcW w:w="5400" w:type="dxa"/>
            <w:shd w:val="clear" w:color="auto" w:fill="F2F2F2"/>
          </w:tcPr>
          <w:p w14:paraId="4FF914BE" w14:textId="7A1302B7" w:rsidR="00990A3C" w:rsidRPr="00990A3C" w:rsidRDefault="00990A3C" w:rsidP="00990A3C">
            <w:bookmarkStart w:id="0" w:name="articolul1"/>
            <w:bookmarkEnd w:id="0"/>
          </w:p>
        </w:tc>
        <w:tc>
          <w:tcPr>
            <w:tcW w:w="540" w:type="dxa"/>
          </w:tcPr>
          <w:p w14:paraId="63FB219E" w14:textId="77777777" w:rsidR="000A7EA3" w:rsidRPr="00036F88" w:rsidRDefault="000A7EA3" w:rsidP="00036F88">
            <w:pPr>
              <w:rPr>
                <w:rFonts w:ascii="Times New Roman" w:eastAsia="Calibri" w:hAnsi="Times New Roman" w:cs="Times New Roman"/>
                <w:sz w:val="18"/>
                <w:szCs w:val="18"/>
              </w:rPr>
            </w:pPr>
          </w:p>
        </w:tc>
        <w:tc>
          <w:tcPr>
            <w:tcW w:w="554" w:type="dxa"/>
            <w:shd w:val="clear" w:color="auto" w:fill="F2F2F2"/>
          </w:tcPr>
          <w:p w14:paraId="373E1C1C" w14:textId="3802F198" w:rsidR="000A7EA3" w:rsidRPr="00036F88" w:rsidRDefault="000A7EA3" w:rsidP="00036F88">
            <w:pPr>
              <w:rPr>
                <w:rFonts w:ascii="Times New Roman" w:eastAsia="Calibri" w:hAnsi="Times New Roman" w:cs="Times New Roman"/>
                <w:sz w:val="18"/>
                <w:szCs w:val="18"/>
                <w:lang w:val="en-US"/>
              </w:rPr>
            </w:pPr>
          </w:p>
        </w:tc>
        <w:tc>
          <w:tcPr>
            <w:tcW w:w="5040" w:type="dxa"/>
            <w:shd w:val="clear" w:color="auto" w:fill="F2F2F2"/>
          </w:tcPr>
          <w:p w14:paraId="64C93E4E" w14:textId="449C89EF" w:rsidR="000A7EA3" w:rsidRPr="00036F88" w:rsidRDefault="000A7EA3" w:rsidP="00036F88">
            <w:pPr>
              <w:rPr>
                <w:rFonts w:ascii="Times New Roman" w:hAnsi="Times New Roman" w:cs="Times New Roman"/>
                <w:sz w:val="18"/>
                <w:szCs w:val="18"/>
              </w:rPr>
            </w:pPr>
          </w:p>
        </w:tc>
        <w:tc>
          <w:tcPr>
            <w:tcW w:w="720" w:type="dxa"/>
            <w:shd w:val="clear" w:color="auto" w:fill="F2F2F2"/>
          </w:tcPr>
          <w:p w14:paraId="176811E7" w14:textId="77777777" w:rsidR="000A7EA3" w:rsidRPr="00036F88" w:rsidRDefault="000A7EA3" w:rsidP="00036F88">
            <w:pPr>
              <w:jc w:val="center"/>
              <w:rPr>
                <w:rFonts w:ascii="Times New Roman" w:eastAsia="Calibri" w:hAnsi="Times New Roman" w:cs="Times New Roman"/>
                <w:sz w:val="18"/>
                <w:szCs w:val="18"/>
                <w:lang w:val="en-US"/>
              </w:rPr>
            </w:pPr>
          </w:p>
        </w:tc>
        <w:tc>
          <w:tcPr>
            <w:tcW w:w="3406" w:type="dxa"/>
            <w:shd w:val="clear" w:color="auto" w:fill="F2F2F2"/>
          </w:tcPr>
          <w:p w14:paraId="0E837D0C" w14:textId="77777777" w:rsidR="000A7EA3" w:rsidRPr="00036F88" w:rsidRDefault="000A7EA3" w:rsidP="00036F88">
            <w:pPr>
              <w:rPr>
                <w:rFonts w:ascii="Times New Roman" w:eastAsia="Calibri" w:hAnsi="Times New Roman" w:cs="Times New Roman"/>
                <w:sz w:val="18"/>
                <w:szCs w:val="18"/>
                <w:lang w:val="en-US"/>
              </w:rPr>
            </w:pPr>
          </w:p>
        </w:tc>
      </w:tr>
      <w:tr w:rsidR="00260632" w:rsidRPr="00036F88" w14:paraId="7F6FBBB8" w14:textId="77777777" w:rsidTr="007C321D">
        <w:trPr>
          <w:trHeight w:val="1520"/>
        </w:trPr>
        <w:tc>
          <w:tcPr>
            <w:tcW w:w="630" w:type="dxa"/>
          </w:tcPr>
          <w:p w14:paraId="54CAE924" w14:textId="77777777" w:rsidR="000A7EA3" w:rsidRPr="00036F88" w:rsidRDefault="000A7EA3" w:rsidP="00036F88">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1</w:t>
            </w:r>
          </w:p>
        </w:tc>
        <w:tc>
          <w:tcPr>
            <w:tcW w:w="5400" w:type="dxa"/>
          </w:tcPr>
          <w:p w14:paraId="67D9B566" w14:textId="77777777" w:rsidR="00FD7583" w:rsidRPr="00FD7583" w:rsidRDefault="00FD7583" w:rsidP="00FD7583">
            <w:pPr>
              <w:pStyle w:val="Heading2"/>
              <w:rPr>
                <w:rFonts w:ascii="Times New Roman" w:eastAsia="Times New Roman" w:hAnsi="Times New Roman" w:cs="Times New Roman"/>
                <w:color w:val="auto"/>
                <w:sz w:val="18"/>
                <w:szCs w:val="18"/>
              </w:rPr>
            </w:pPr>
            <w:r w:rsidRPr="00FD7583">
              <w:rPr>
                <w:rFonts w:ascii="Times New Roman" w:eastAsia="Times New Roman" w:hAnsi="Times New Roman" w:cs="Times New Roman"/>
                <w:color w:val="auto"/>
                <w:sz w:val="18"/>
                <w:szCs w:val="18"/>
              </w:rPr>
              <w:t>Neni 1(1)(a) (Direktiva 2021/514/BE)</w:t>
            </w:r>
          </w:p>
          <w:p w14:paraId="2610FCFF" w14:textId="77777777" w:rsidR="00FD7583" w:rsidRPr="00FD7583" w:rsidRDefault="00FD7583" w:rsidP="00FD7583">
            <w:pPr>
              <w:pStyle w:val="Heading2"/>
              <w:rPr>
                <w:rFonts w:ascii="Times New Roman" w:eastAsia="Times New Roman" w:hAnsi="Times New Roman" w:cs="Times New Roman"/>
                <w:color w:val="auto"/>
                <w:sz w:val="18"/>
                <w:szCs w:val="18"/>
              </w:rPr>
            </w:pPr>
            <w:r w:rsidRPr="00FD7583">
              <w:rPr>
                <w:rFonts w:ascii="Times New Roman" w:eastAsia="Times New Roman" w:hAnsi="Times New Roman" w:cs="Times New Roman"/>
                <w:color w:val="auto"/>
                <w:sz w:val="18"/>
                <w:szCs w:val="18"/>
              </w:rPr>
              <w:t>Neni 3, pika 9, nënparagrafi i parë, pika (a) (Direktiva 2011/16/BE)</w:t>
            </w:r>
          </w:p>
          <w:p w14:paraId="74C68E89" w14:textId="77777777" w:rsidR="00FD7583" w:rsidRPr="00FD7583" w:rsidRDefault="00FD7583" w:rsidP="00FD7583">
            <w:pPr>
              <w:pStyle w:val="Heading2"/>
              <w:rPr>
                <w:rFonts w:ascii="Times New Roman" w:eastAsia="Times New Roman" w:hAnsi="Times New Roman" w:cs="Times New Roman"/>
                <w:color w:val="auto"/>
                <w:sz w:val="18"/>
                <w:szCs w:val="18"/>
              </w:rPr>
            </w:pPr>
          </w:p>
          <w:p w14:paraId="30D0BBD4" w14:textId="00571E0D" w:rsidR="003C045B" w:rsidRPr="00990A3C" w:rsidRDefault="00FD7583" w:rsidP="00FD7583">
            <w:pPr>
              <w:pStyle w:val="Heading2"/>
              <w:rPr>
                <w:rFonts w:ascii="Times New Roman" w:eastAsia="Times New Roman" w:hAnsi="Times New Roman" w:cs="Times New Roman"/>
                <w:color w:val="auto"/>
                <w:sz w:val="18"/>
                <w:szCs w:val="18"/>
              </w:rPr>
            </w:pPr>
            <w:r w:rsidRPr="00FD7583">
              <w:rPr>
                <w:rFonts w:ascii="Times New Roman" w:eastAsia="Times New Roman" w:hAnsi="Times New Roman" w:cs="Times New Roman"/>
                <w:color w:val="auto"/>
                <w:sz w:val="18"/>
                <w:szCs w:val="18"/>
              </w:rPr>
              <w:t>'(a) për qëllimet e Nenit 8(1) dhe Neneve 8a deri në 8ac, komunikimi sistematik i informacionit të paracaktuar në një Shtet tjetër Anëtar, pa kërkesë paraprake, në intervale të rregullta të paracaktuara. Për qëllimet e Nenit 8(1), referenca ndaj informacionit të disponueshëm lidhet me informacionin në dosjet tatimore të Shtetit Anëtar që komunikon informacionin, i cili është i rikuperueshëm në përputhje me procedurat për mbledhjen dhe përpunimin e informacionit në atë Shtet Anëtar;'</w:t>
            </w:r>
          </w:p>
          <w:p w14:paraId="28C7E6F9" w14:textId="52C28BAE" w:rsidR="0077636B" w:rsidRPr="00036F88" w:rsidRDefault="0077636B" w:rsidP="00036F88">
            <w:pPr>
              <w:pStyle w:val="oj-ti-grseq-1"/>
              <w:shd w:val="clear" w:color="auto" w:fill="FFFFFF"/>
              <w:spacing w:before="240" w:beforeAutospacing="0" w:after="120" w:afterAutospacing="0"/>
              <w:jc w:val="both"/>
              <w:rPr>
                <w:color w:val="333333"/>
                <w:sz w:val="18"/>
                <w:szCs w:val="18"/>
              </w:rPr>
            </w:pPr>
          </w:p>
          <w:p w14:paraId="075EF7ED" w14:textId="58550EF7" w:rsidR="000A7EA3" w:rsidRPr="00036F88" w:rsidRDefault="000A7EA3" w:rsidP="00036F88">
            <w:pPr>
              <w:jc w:val="both"/>
              <w:rPr>
                <w:rFonts w:ascii="Times New Roman" w:eastAsia="Calibri" w:hAnsi="Times New Roman" w:cs="Times New Roman"/>
                <w:iCs/>
                <w:sz w:val="18"/>
                <w:szCs w:val="18"/>
                <w:lang w:val="en-US"/>
              </w:rPr>
            </w:pPr>
          </w:p>
        </w:tc>
        <w:tc>
          <w:tcPr>
            <w:tcW w:w="540" w:type="dxa"/>
          </w:tcPr>
          <w:p w14:paraId="6D951FCC" w14:textId="7B0A04B6" w:rsidR="000A7EA3" w:rsidRPr="00036F88" w:rsidRDefault="000A7EA3" w:rsidP="00036F88">
            <w:pPr>
              <w:jc w:val="center"/>
              <w:rPr>
                <w:rFonts w:ascii="Times New Roman" w:eastAsia="Calibri" w:hAnsi="Times New Roman" w:cs="Times New Roman"/>
                <w:sz w:val="18"/>
                <w:szCs w:val="18"/>
              </w:rPr>
            </w:pPr>
            <w:r w:rsidRPr="00036F88">
              <w:rPr>
                <w:rFonts w:ascii="Times New Roman" w:eastAsia="Calibri" w:hAnsi="Times New Roman" w:cs="Times New Roman"/>
                <w:sz w:val="18"/>
                <w:szCs w:val="18"/>
              </w:rPr>
              <w:t>1</w:t>
            </w:r>
          </w:p>
        </w:tc>
        <w:tc>
          <w:tcPr>
            <w:tcW w:w="554" w:type="dxa"/>
          </w:tcPr>
          <w:p w14:paraId="7B749314" w14:textId="2E53AC41" w:rsidR="000A7EA3" w:rsidRPr="00036F88" w:rsidRDefault="00190825" w:rsidP="00036F88">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7D2CEC06" w14:textId="10EBB486" w:rsidR="000A7EA3" w:rsidRPr="008C3267" w:rsidRDefault="00FD7583" w:rsidP="00FD7583">
            <w:pPr>
              <w:jc w:val="center"/>
              <w:rPr>
                <w:rFonts w:ascii="Times New Roman" w:eastAsia="Calibri" w:hAnsi="Times New Roman" w:cs="Times New Roman"/>
                <w:sz w:val="18"/>
                <w:szCs w:val="18"/>
              </w:rPr>
            </w:pPr>
            <w:r w:rsidRPr="008C3267">
              <w:rPr>
                <w:rFonts w:ascii="Times New Roman" w:eastAsia="Calibri" w:hAnsi="Times New Roman" w:cs="Times New Roman"/>
                <w:sz w:val="18"/>
                <w:szCs w:val="18"/>
              </w:rPr>
              <w:t>N/A</w:t>
            </w:r>
          </w:p>
        </w:tc>
        <w:tc>
          <w:tcPr>
            <w:tcW w:w="720" w:type="dxa"/>
          </w:tcPr>
          <w:p w14:paraId="3F6791D3" w14:textId="46EF54DD" w:rsidR="000A7EA3" w:rsidRPr="00036F88" w:rsidRDefault="00190825" w:rsidP="00036F88">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03521802" w14:textId="075A9329" w:rsidR="000A7EA3" w:rsidRPr="00036F88" w:rsidRDefault="00FD7583" w:rsidP="00036F88">
            <w:pPr>
              <w:rPr>
                <w:rFonts w:ascii="Times New Roman" w:eastAsia="Calibri" w:hAnsi="Times New Roman" w:cs="Times New Roman"/>
                <w:sz w:val="18"/>
                <w:szCs w:val="18"/>
                <w:lang w:val="en-US"/>
              </w:rPr>
            </w:pPr>
            <w:r w:rsidRPr="00FD7583">
              <w:rPr>
                <w:rFonts w:ascii="Times New Roman" w:eastAsia="Calibri" w:hAnsi="Times New Roman" w:cs="Times New Roman"/>
                <w:sz w:val="18"/>
                <w:szCs w:val="18"/>
                <w:lang w:val="en-US"/>
              </w:rPr>
              <w:t>Nuk ka asnjë dispozitë përkatëse në projektligj, pasi projektligji rregullon shkëmbimin automatik specifik për operatorët e platformës, jo përkufizimin e përgjithshëm të "shkëmbimit automatik".</w:t>
            </w:r>
          </w:p>
        </w:tc>
      </w:tr>
      <w:tr w:rsidR="003C045B" w:rsidRPr="00036F88" w14:paraId="6F796DB6" w14:textId="77777777" w:rsidTr="007C321D">
        <w:trPr>
          <w:trHeight w:val="278"/>
        </w:trPr>
        <w:tc>
          <w:tcPr>
            <w:tcW w:w="630" w:type="dxa"/>
            <w:shd w:val="clear" w:color="auto" w:fill="F2F2F2"/>
          </w:tcPr>
          <w:p w14:paraId="78A89E6F" w14:textId="77777777" w:rsidR="003C045B" w:rsidRPr="00036F88" w:rsidRDefault="003C045B" w:rsidP="003C045B">
            <w:pPr>
              <w:jc w:val="center"/>
              <w:rPr>
                <w:rFonts w:ascii="Times New Roman" w:eastAsia="Calibri" w:hAnsi="Times New Roman" w:cs="Times New Roman"/>
                <w:i/>
                <w:sz w:val="18"/>
                <w:szCs w:val="18"/>
              </w:rPr>
            </w:pPr>
          </w:p>
        </w:tc>
        <w:tc>
          <w:tcPr>
            <w:tcW w:w="5400" w:type="dxa"/>
            <w:shd w:val="clear" w:color="auto" w:fill="F2F2F2"/>
          </w:tcPr>
          <w:p w14:paraId="77D30394" w14:textId="55742B2B" w:rsidR="003C045B" w:rsidRPr="00990A3C" w:rsidRDefault="003C045B" w:rsidP="003C045B">
            <w:pPr>
              <w:rPr>
                <w:i/>
              </w:rPr>
            </w:pPr>
          </w:p>
        </w:tc>
        <w:tc>
          <w:tcPr>
            <w:tcW w:w="540" w:type="dxa"/>
          </w:tcPr>
          <w:p w14:paraId="753D3D53" w14:textId="77777777" w:rsidR="003C045B" w:rsidRPr="00990A3C" w:rsidRDefault="003C045B" w:rsidP="003C045B">
            <w:pPr>
              <w:jc w:val="center"/>
              <w:rPr>
                <w:rFonts w:ascii="Times New Roman" w:eastAsia="Calibri" w:hAnsi="Times New Roman" w:cs="Times New Roman"/>
                <w:i/>
                <w:sz w:val="18"/>
                <w:szCs w:val="18"/>
              </w:rPr>
            </w:pPr>
          </w:p>
        </w:tc>
        <w:tc>
          <w:tcPr>
            <w:tcW w:w="554" w:type="dxa"/>
            <w:shd w:val="clear" w:color="auto" w:fill="F2F2F2"/>
          </w:tcPr>
          <w:p w14:paraId="49667D08" w14:textId="77777777" w:rsidR="003C045B" w:rsidRPr="00990A3C" w:rsidRDefault="003C045B" w:rsidP="003C045B">
            <w:pPr>
              <w:jc w:val="center"/>
              <w:rPr>
                <w:rFonts w:ascii="Times New Roman" w:eastAsia="Calibri" w:hAnsi="Times New Roman" w:cs="Times New Roman"/>
                <w:i/>
                <w:sz w:val="18"/>
                <w:szCs w:val="18"/>
              </w:rPr>
            </w:pPr>
          </w:p>
        </w:tc>
        <w:tc>
          <w:tcPr>
            <w:tcW w:w="5040" w:type="dxa"/>
            <w:shd w:val="clear" w:color="auto" w:fill="F2F2F2"/>
          </w:tcPr>
          <w:p w14:paraId="7BD77AB0" w14:textId="7AAF349A" w:rsidR="003C045B" w:rsidRPr="00990A3C" w:rsidRDefault="003C045B" w:rsidP="003C045B">
            <w:pPr>
              <w:jc w:val="center"/>
              <w:rPr>
                <w:rFonts w:ascii="Times New Roman" w:hAnsi="Times New Roman" w:cs="Times New Roman"/>
                <w:i/>
                <w:sz w:val="18"/>
                <w:szCs w:val="18"/>
              </w:rPr>
            </w:pPr>
          </w:p>
        </w:tc>
        <w:tc>
          <w:tcPr>
            <w:tcW w:w="720" w:type="dxa"/>
            <w:shd w:val="clear" w:color="auto" w:fill="F2F2F2"/>
          </w:tcPr>
          <w:p w14:paraId="148AA987" w14:textId="77777777" w:rsidR="003C045B" w:rsidRPr="00990A3C" w:rsidRDefault="003C045B" w:rsidP="003C045B">
            <w:pPr>
              <w:jc w:val="center"/>
              <w:rPr>
                <w:rFonts w:ascii="Times New Roman" w:eastAsia="Calibri" w:hAnsi="Times New Roman" w:cs="Times New Roman"/>
                <w:i/>
                <w:sz w:val="18"/>
                <w:szCs w:val="18"/>
              </w:rPr>
            </w:pPr>
          </w:p>
        </w:tc>
        <w:tc>
          <w:tcPr>
            <w:tcW w:w="3406" w:type="dxa"/>
            <w:shd w:val="clear" w:color="auto" w:fill="F2F2F2"/>
          </w:tcPr>
          <w:p w14:paraId="26964FA0" w14:textId="77777777" w:rsidR="003C045B" w:rsidRPr="00990A3C" w:rsidRDefault="003C045B" w:rsidP="003C045B">
            <w:pPr>
              <w:rPr>
                <w:rFonts w:ascii="Times New Roman" w:eastAsia="Calibri" w:hAnsi="Times New Roman" w:cs="Times New Roman"/>
                <w:i/>
                <w:sz w:val="18"/>
                <w:szCs w:val="18"/>
              </w:rPr>
            </w:pPr>
          </w:p>
        </w:tc>
      </w:tr>
      <w:tr w:rsidR="003C045B" w:rsidRPr="00036F88" w14:paraId="54545BFE" w14:textId="77777777" w:rsidTr="007C321D">
        <w:trPr>
          <w:trHeight w:val="1718"/>
        </w:trPr>
        <w:tc>
          <w:tcPr>
            <w:tcW w:w="630" w:type="dxa"/>
            <w:shd w:val="clear" w:color="auto" w:fill="F2F2F2"/>
          </w:tcPr>
          <w:p w14:paraId="2072CEFD" w14:textId="77777777" w:rsidR="003C045B" w:rsidRPr="00036F88" w:rsidRDefault="003C045B" w:rsidP="003C045B">
            <w:pPr>
              <w:jc w:val="center"/>
              <w:rPr>
                <w:rFonts w:ascii="Times New Roman" w:eastAsia="Calibri" w:hAnsi="Times New Roman" w:cs="Times New Roman"/>
                <w:i/>
                <w:sz w:val="18"/>
                <w:szCs w:val="18"/>
              </w:rPr>
            </w:pPr>
          </w:p>
        </w:tc>
        <w:tc>
          <w:tcPr>
            <w:tcW w:w="5400" w:type="dxa"/>
            <w:shd w:val="clear" w:color="auto" w:fill="FFFFFF" w:themeFill="background1"/>
          </w:tcPr>
          <w:p w14:paraId="0BADF6E6" w14:textId="77777777" w:rsidR="00FD7583" w:rsidRPr="00FD7583" w:rsidRDefault="00FD7583" w:rsidP="00FD7583">
            <w:pPr>
              <w:pStyle w:val="oj-ti-grseq-1"/>
              <w:shd w:val="clear" w:color="auto" w:fill="FFFFFF"/>
              <w:spacing w:before="240" w:after="120"/>
              <w:jc w:val="both"/>
              <w:rPr>
                <w:color w:val="333333"/>
                <w:sz w:val="18"/>
                <w:szCs w:val="18"/>
              </w:rPr>
            </w:pPr>
            <w:r w:rsidRPr="00FD7583">
              <w:rPr>
                <w:color w:val="333333"/>
                <w:sz w:val="18"/>
                <w:szCs w:val="18"/>
              </w:rPr>
              <w:t>Neni 1(1)(b) (Direktiva 2021/514/BE)</w:t>
            </w:r>
          </w:p>
          <w:p w14:paraId="2BE58AD5" w14:textId="77777777" w:rsidR="00FD7583" w:rsidRPr="00FD7583" w:rsidRDefault="00FD7583" w:rsidP="00FD7583">
            <w:pPr>
              <w:pStyle w:val="oj-ti-grseq-1"/>
              <w:shd w:val="clear" w:color="auto" w:fill="FFFFFF"/>
              <w:spacing w:before="240" w:after="120"/>
              <w:jc w:val="both"/>
              <w:rPr>
                <w:color w:val="333333"/>
                <w:sz w:val="18"/>
                <w:szCs w:val="18"/>
              </w:rPr>
            </w:pPr>
            <w:r w:rsidRPr="00FD7583">
              <w:rPr>
                <w:color w:val="333333"/>
                <w:sz w:val="18"/>
                <w:szCs w:val="18"/>
              </w:rPr>
              <w:t>Neni 3, pika 9, nënparagrafi i parë, pika (c) (Direktiva 2011/16/BE)</w:t>
            </w:r>
          </w:p>
          <w:p w14:paraId="200BC67A" w14:textId="77777777" w:rsidR="00FD7583" w:rsidRPr="00FD7583" w:rsidRDefault="00FD7583" w:rsidP="00FD7583">
            <w:pPr>
              <w:pStyle w:val="oj-ti-grseq-1"/>
              <w:shd w:val="clear" w:color="auto" w:fill="FFFFFF"/>
              <w:spacing w:before="240" w:after="120"/>
              <w:jc w:val="both"/>
              <w:rPr>
                <w:color w:val="333333"/>
                <w:sz w:val="18"/>
                <w:szCs w:val="18"/>
              </w:rPr>
            </w:pPr>
          </w:p>
          <w:p w14:paraId="45875286" w14:textId="7EC9F987" w:rsidR="003C045B" w:rsidRPr="00036F88" w:rsidRDefault="00FD7583" w:rsidP="00FD7583">
            <w:pPr>
              <w:pStyle w:val="oj-ti-grseq-1"/>
              <w:shd w:val="clear" w:color="auto" w:fill="FFFFFF"/>
              <w:spacing w:before="240" w:beforeAutospacing="0" w:after="120" w:afterAutospacing="0"/>
              <w:jc w:val="both"/>
              <w:rPr>
                <w:color w:val="333333"/>
                <w:sz w:val="18"/>
                <w:szCs w:val="18"/>
              </w:rPr>
            </w:pPr>
            <w:r w:rsidRPr="00FD7583">
              <w:rPr>
                <w:color w:val="333333"/>
                <w:sz w:val="18"/>
                <w:szCs w:val="18"/>
              </w:rPr>
              <w:t>'(c) për qëllimet e dispozitave të kësaj Direktive përveç nenit 8(1) dhe (3a) dhe neneve 8a deri në 8ac, komunikimi sistematik i informacionit të paracaktuar të dhënë në pikat (a) dhe (b) të nënparagrafit të parë të kësaj pike.'</w:t>
            </w:r>
          </w:p>
          <w:p w14:paraId="6F7B7ABA" w14:textId="77777777" w:rsidR="003C045B" w:rsidRPr="00142D73" w:rsidRDefault="003C045B" w:rsidP="003C045B">
            <w:pPr>
              <w:pStyle w:val="Heading2"/>
              <w:rPr>
                <w:rFonts w:ascii="Times New Roman" w:eastAsia="Calibri" w:hAnsi="Times New Roman" w:cs="Times New Roman"/>
                <w:iCs/>
                <w:color w:val="auto"/>
                <w:sz w:val="18"/>
                <w:szCs w:val="18"/>
                <w:lang w:val="en-US"/>
              </w:rPr>
            </w:pPr>
          </w:p>
        </w:tc>
        <w:tc>
          <w:tcPr>
            <w:tcW w:w="540" w:type="dxa"/>
            <w:shd w:val="clear" w:color="auto" w:fill="FFFFFF" w:themeFill="background1"/>
          </w:tcPr>
          <w:p w14:paraId="6F2021F6" w14:textId="77777777"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FFFFFF" w:themeFill="background1"/>
          </w:tcPr>
          <w:p w14:paraId="3EC3C5E4" w14:textId="789D74C6" w:rsidR="003C045B" w:rsidRPr="00036F88" w:rsidRDefault="00190825"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5040" w:type="dxa"/>
            <w:shd w:val="clear" w:color="auto" w:fill="FFFFFF" w:themeFill="background1"/>
          </w:tcPr>
          <w:p w14:paraId="0F27DCC6" w14:textId="6C81A1B2" w:rsidR="006D648E" w:rsidRPr="00036F88" w:rsidRDefault="002351EE" w:rsidP="00113DE2">
            <w:pPr>
              <w:jc w:val="center"/>
              <w:rPr>
                <w:rFonts w:ascii="Times New Roman" w:hAnsi="Times New Roman" w:cs="Times New Roman"/>
                <w:sz w:val="18"/>
                <w:szCs w:val="18"/>
              </w:rPr>
            </w:pPr>
            <w:r>
              <w:rPr>
                <w:rFonts w:ascii="Times New Roman" w:hAnsi="Times New Roman" w:cs="Times New Roman"/>
                <w:sz w:val="18"/>
                <w:szCs w:val="18"/>
              </w:rPr>
              <w:t>N/A</w:t>
            </w:r>
          </w:p>
          <w:p w14:paraId="778B887A" w14:textId="04062EB4" w:rsidR="003C045B" w:rsidRPr="00036F88" w:rsidRDefault="003C045B" w:rsidP="003C045B">
            <w:pPr>
              <w:jc w:val="center"/>
              <w:rPr>
                <w:rFonts w:ascii="Times New Roman" w:hAnsi="Times New Roman" w:cs="Times New Roman"/>
                <w:sz w:val="18"/>
                <w:szCs w:val="18"/>
              </w:rPr>
            </w:pPr>
          </w:p>
        </w:tc>
        <w:tc>
          <w:tcPr>
            <w:tcW w:w="720" w:type="dxa"/>
            <w:shd w:val="clear" w:color="auto" w:fill="FFFFFF" w:themeFill="background1"/>
          </w:tcPr>
          <w:p w14:paraId="3EFFA98E" w14:textId="66977DEC" w:rsidR="003C045B" w:rsidRPr="00036F88" w:rsidRDefault="00190825"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N/A</w:t>
            </w:r>
          </w:p>
        </w:tc>
        <w:tc>
          <w:tcPr>
            <w:tcW w:w="3406" w:type="dxa"/>
            <w:shd w:val="clear" w:color="auto" w:fill="FFFFFF" w:themeFill="background1"/>
          </w:tcPr>
          <w:p w14:paraId="71188287" w14:textId="08D73F1A" w:rsidR="003C045B" w:rsidRPr="00036F88" w:rsidRDefault="00FD7583" w:rsidP="003C045B">
            <w:pPr>
              <w:rPr>
                <w:rFonts w:ascii="Times New Roman" w:eastAsia="Calibri" w:hAnsi="Times New Roman" w:cs="Times New Roman"/>
                <w:sz w:val="18"/>
                <w:szCs w:val="18"/>
              </w:rPr>
            </w:pPr>
            <w:r w:rsidRPr="00FD7583">
              <w:rPr>
                <w:rFonts w:ascii="Times New Roman" w:eastAsia="Calibri" w:hAnsi="Times New Roman" w:cs="Times New Roman"/>
                <w:sz w:val="18"/>
                <w:szCs w:val="18"/>
              </w:rPr>
              <w:t>Nuk kërkon transpozim. Kjo dispozitë është horizontale dhe zbatohet për të gjithë kuadrin e DAC-së. Projektligji trajton vetëm detyrimet specifike të operatorëve të platformës sipas Shtojcës V, jo përkufizimet e përgjithshme të DAC-së.</w:t>
            </w:r>
          </w:p>
        </w:tc>
      </w:tr>
      <w:tr w:rsidR="003C045B" w:rsidRPr="00036F88" w14:paraId="0EC2C01A" w14:textId="77777777" w:rsidTr="007C321D">
        <w:tc>
          <w:tcPr>
            <w:tcW w:w="630" w:type="dxa"/>
            <w:shd w:val="clear" w:color="auto" w:fill="F2F2F2"/>
          </w:tcPr>
          <w:p w14:paraId="7C818E7C" w14:textId="77777777" w:rsidR="003C045B" w:rsidRPr="00036F88" w:rsidRDefault="003C045B" w:rsidP="003C045B">
            <w:pPr>
              <w:jc w:val="center"/>
              <w:rPr>
                <w:rFonts w:ascii="Times New Roman" w:eastAsia="Calibri" w:hAnsi="Times New Roman" w:cs="Times New Roman"/>
                <w:i/>
                <w:sz w:val="18"/>
                <w:szCs w:val="18"/>
                <w:lang w:val="en-US"/>
              </w:rPr>
            </w:pPr>
          </w:p>
        </w:tc>
        <w:tc>
          <w:tcPr>
            <w:tcW w:w="5400" w:type="dxa"/>
            <w:shd w:val="clear" w:color="auto" w:fill="F2F2F2"/>
          </w:tcPr>
          <w:p w14:paraId="3B185CD2"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r w:rsidRPr="002351EE">
              <w:rPr>
                <w:rFonts w:ascii="Times New Roman" w:eastAsia="Times New Roman" w:hAnsi="Times New Roman" w:cs="Times New Roman"/>
                <w:color w:val="333333"/>
                <w:sz w:val="18"/>
                <w:szCs w:val="18"/>
              </w:rPr>
              <w:t>Neni 1(1)(c) (Direktiva 2021/514/BE)</w:t>
            </w:r>
          </w:p>
          <w:p w14:paraId="30ADBDC1"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r w:rsidRPr="002351EE">
              <w:rPr>
                <w:rFonts w:ascii="Times New Roman" w:eastAsia="Times New Roman" w:hAnsi="Times New Roman" w:cs="Times New Roman"/>
                <w:color w:val="333333"/>
                <w:sz w:val="18"/>
                <w:szCs w:val="18"/>
              </w:rPr>
              <w:t>Neni 3, pika 9, nënparagrafi i dytë (Direktiva 2011/16/BE)</w:t>
            </w:r>
          </w:p>
          <w:p w14:paraId="11441992" w14:textId="44252393" w:rsidR="003C045B" w:rsidRPr="00990A3C" w:rsidRDefault="003C045B" w:rsidP="003C045B">
            <w:pPr>
              <w:pStyle w:val="Heading2"/>
              <w:rPr>
                <w:rFonts w:ascii="Times New Roman" w:eastAsia="Calibri" w:hAnsi="Times New Roman" w:cs="Times New Roman"/>
                <w:i/>
                <w:color w:val="auto"/>
                <w:sz w:val="18"/>
                <w:szCs w:val="18"/>
                <w:lang w:val="en-US"/>
              </w:rPr>
            </w:pPr>
          </w:p>
        </w:tc>
        <w:tc>
          <w:tcPr>
            <w:tcW w:w="540" w:type="dxa"/>
          </w:tcPr>
          <w:p w14:paraId="35014AD7" w14:textId="77777777" w:rsidR="003C045B" w:rsidRPr="00990A3C" w:rsidRDefault="003C045B" w:rsidP="003C045B">
            <w:pPr>
              <w:jc w:val="center"/>
              <w:rPr>
                <w:rFonts w:ascii="Times New Roman" w:eastAsia="Calibri" w:hAnsi="Times New Roman" w:cs="Times New Roman"/>
                <w:i/>
                <w:sz w:val="18"/>
                <w:szCs w:val="18"/>
              </w:rPr>
            </w:pPr>
          </w:p>
        </w:tc>
        <w:tc>
          <w:tcPr>
            <w:tcW w:w="554" w:type="dxa"/>
            <w:shd w:val="clear" w:color="auto" w:fill="F2F2F2"/>
          </w:tcPr>
          <w:p w14:paraId="142203CD" w14:textId="46973366" w:rsidR="003C045B" w:rsidRPr="006E4603" w:rsidRDefault="003C045B" w:rsidP="003C045B">
            <w:pPr>
              <w:jc w:val="center"/>
              <w:rPr>
                <w:rFonts w:ascii="Times New Roman" w:eastAsia="Calibri" w:hAnsi="Times New Roman" w:cs="Times New Roman"/>
                <w:sz w:val="18"/>
                <w:szCs w:val="18"/>
                <w:lang w:val="en-US"/>
              </w:rPr>
            </w:pPr>
          </w:p>
        </w:tc>
        <w:tc>
          <w:tcPr>
            <w:tcW w:w="5040" w:type="dxa"/>
            <w:shd w:val="clear" w:color="auto" w:fill="F2F2F2"/>
          </w:tcPr>
          <w:p w14:paraId="77F88E09" w14:textId="4AF67DAB" w:rsidR="003C045B" w:rsidRPr="00990A3C" w:rsidRDefault="003C045B" w:rsidP="002351EE">
            <w:pPr>
              <w:pStyle w:val="Heading3"/>
              <w:rPr>
                <w:i/>
                <w:sz w:val="18"/>
                <w:szCs w:val="18"/>
              </w:rPr>
            </w:pPr>
          </w:p>
        </w:tc>
        <w:tc>
          <w:tcPr>
            <w:tcW w:w="720" w:type="dxa"/>
            <w:shd w:val="clear" w:color="auto" w:fill="F2F2F2"/>
          </w:tcPr>
          <w:p w14:paraId="156DE2D0" w14:textId="317F1CC1" w:rsidR="003C045B" w:rsidRPr="00990A3C" w:rsidRDefault="003C045B" w:rsidP="003C045B">
            <w:pPr>
              <w:jc w:val="center"/>
              <w:rPr>
                <w:rFonts w:ascii="Times New Roman" w:eastAsia="Calibri" w:hAnsi="Times New Roman" w:cs="Times New Roman"/>
                <w:i/>
                <w:sz w:val="18"/>
                <w:szCs w:val="18"/>
                <w:lang w:val="en-US"/>
              </w:rPr>
            </w:pPr>
          </w:p>
        </w:tc>
        <w:tc>
          <w:tcPr>
            <w:tcW w:w="3406" w:type="dxa"/>
            <w:shd w:val="clear" w:color="auto" w:fill="F2F2F2"/>
          </w:tcPr>
          <w:p w14:paraId="33A2FCA3" w14:textId="568B1A5C" w:rsidR="003C045B" w:rsidRPr="00990A3C" w:rsidRDefault="003C045B" w:rsidP="003C045B">
            <w:pPr>
              <w:rPr>
                <w:rFonts w:ascii="Times New Roman" w:eastAsia="Calibri" w:hAnsi="Times New Roman" w:cs="Times New Roman"/>
                <w:i/>
                <w:sz w:val="18"/>
                <w:szCs w:val="18"/>
                <w:lang w:val="en-US"/>
              </w:rPr>
            </w:pPr>
          </w:p>
        </w:tc>
      </w:tr>
      <w:tr w:rsidR="003C045B" w:rsidRPr="00036F88" w14:paraId="65C77C64" w14:textId="77777777" w:rsidTr="007C321D">
        <w:trPr>
          <w:trHeight w:val="2085"/>
        </w:trPr>
        <w:tc>
          <w:tcPr>
            <w:tcW w:w="630" w:type="dxa"/>
          </w:tcPr>
          <w:p w14:paraId="6050527A" w14:textId="424C66A8" w:rsidR="003C045B" w:rsidRPr="00036F88" w:rsidRDefault="003C045B" w:rsidP="003C045B">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1</w:t>
            </w:r>
          </w:p>
        </w:tc>
        <w:tc>
          <w:tcPr>
            <w:tcW w:w="5400" w:type="dxa"/>
          </w:tcPr>
          <w:p w14:paraId="287F6E49"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p>
          <w:p w14:paraId="3E3F4745" w14:textId="3BB6AD7A" w:rsidR="003C045B" w:rsidRPr="00FB1F82" w:rsidRDefault="002351EE" w:rsidP="002351EE">
            <w:pPr>
              <w:shd w:val="clear" w:color="auto" w:fill="FFFFFF"/>
              <w:spacing w:before="120"/>
              <w:jc w:val="both"/>
              <w:rPr>
                <w:rFonts w:ascii="Times New Roman" w:eastAsia="Times New Roman" w:hAnsi="Times New Roman" w:cs="Times New Roman"/>
                <w:color w:val="333333"/>
                <w:sz w:val="18"/>
                <w:szCs w:val="18"/>
              </w:rPr>
            </w:pPr>
            <w:r w:rsidRPr="002351EE">
              <w:rPr>
                <w:rFonts w:ascii="Times New Roman" w:eastAsia="Times New Roman" w:hAnsi="Times New Roman" w:cs="Times New Roman"/>
                <w:color w:val="333333"/>
                <w:sz w:val="18"/>
                <w:szCs w:val="18"/>
              </w:rPr>
              <w:t>'Në kontekstin e neneve 8(3a), 8(7a), 21(2) dhe Shtojcës IV, çdo term i shkruar me shkronjë të madhe do të ketë kuptimin që ka sipas përkufizimeve përkatëse të përcaktuara në Shtojcën I. Në kontekstin e nenit 25(3) dhe (4), çdo term i shkruar me shkronjë të madhe do të ketë kuptimin që ka sipas përkufizimeve përkatëse të përcaktuara në Shtojcën I ose V. Në kontekstin e nenit 8aa dhe shtojcës III, çdo term i shkruar me shkronjë të madhe do të ketë kuptimin që ka sipas përkufizimeve përkatëse të përcaktuara në Shtojcën III. Në kontekstin e nenit 8ac dhe shtojcës V, çdo term i shkruar me shkronjë të madhe do të ketë kuptimin që ka sipas përkufizimeve përkatëse të përcaktuara në Shtojcën V.'</w:t>
            </w:r>
          </w:p>
          <w:p w14:paraId="597C2BF6" w14:textId="0185DD6D" w:rsidR="003C045B" w:rsidRPr="00FB1F82" w:rsidRDefault="003C045B" w:rsidP="002351EE">
            <w:pPr>
              <w:shd w:val="clear" w:color="auto" w:fill="FFFFFF"/>
              <w:spacing w:before="120"/>
              <w:jc w:val="both"/>
              <w:rPr>
                <w:rFonts w:ascii="Times New Roman" w:eastAsia="Times New Roman" w:hAnsi="Times New Roman" w:cs="Times New Roman"/>
                <w:vanish/>
                <w:color w:val="333333"/>
                <w:sz w:val="18"/>
                <w:szCs w:val="18"/>
              </w:rPr>
            </w:pPr>
          </w:p>
          <w:p w14:paraId="13191D8A" w14:textId="1253F63D"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73A9F1D9" w14:textId="3AAB19BF" w:rsidR="003C045B" w:rsidRPr="00036F88" w:rsidRDefault="003C045B" w:rsidP="003C045B">
            <w:pPr>
              <w:jc w:val="center"/>
              <w:rPr>
                <w:rFonts w:ascii="Times New Roman" w:eastAsia="Calibri" w:hAnsi="Times New Roman" w:cs="Times New Roman"/>
                <w:sz w:val="18"/>
                <w:szCs w:val="18"/>
              </w:rPr>
            </w:pPr>
            <w:r w:rsidRPr="00036F88">
              <w:rPr>
                <w:rFonts w:ascii="Times New Roman" w:eastAsia="Calibri" w:hAnsi="Times New Roman" w:cs="Times New Roman"/>
                <w:sz w:val="18"/>
                <w:szCs w:val="18"/>
              </w:rPr>
              <w:t>1</w:t>
            </w:r>
          </w:p>
        </w:tc>
        <w:tc>
          <w:tcPr>
            <w:tcW w:w="554" w:type="dxa"/>
          </w:tcPr>
          <w:p w14:paraId="34CDDFF9" w14:textId="77777777" w:rsidR="00190825" w:rsidRDefault="00190825" w:rsidP="003C045B">
            <w:pPr>
              <w:jc w:val="center"/>
              <w:rPr>
                <w:rFonts w:ascii="Times New Roman" w:eastAsia="Calibri" w:hAnsi="Times New Roman" w:cs="Times New Roman"/>
                <w:sz w:val="18"/>
                <w:szCs w:val="18"/>
                <w:lang w:val="en-US"/>
              </w:rPr>
            </w:pPr>
          </w:p>
          <w:p w14:paraId="16B43562" w14:textId="6A21FC0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Borders>
              <w:bottom w:val="dashed" w:sz="4" w:space="0" w:color="auto"/>
            </w:tcBorders>
          </w:tcPr>
          <w:p w14:paraId="122FE17D" w14:textId="2E085840" w:rsidR="003C045B" w:rsidRDefault="003C045B" w:rsidP="002351EE">
            <w:pPr>
              <w:jc w:val="both"/>
              <w:rPr>
                <w:rFonts w:ascii="Times New Roman" w:hAnsi="Times New Roman" w:cs="Times New Roman"/>
                <w:color w:val="000000" w:themeColor="text1"/>
                <w:sz w:val="18"/>
                <w:szCs w:val="18"/>
                <w:lang w:val="sq-AL"/>
              </w:rPr>
            </w:pPr>
          </w:p>
          <w:p w14:paraId="112E66FF" w14:textId="53C2A016" w:rsidR="002351EE" w:rsidRPr="00D23DA5" w:rsidRDefault="002351EE" w:rsidP="00D23DA5">
            <w:pPr>
              <w:jc w:val="center"/>
              <w:rPr>
                <w:rFonts w:ascii="Times New Roman" w:eastAsia="Calibri" w:hAnsi="Times New Roman" w:cs="Times New Roman"/>
                <w:sz w:val="18"/>
                <w:szCs w:val="18"/>
              </w:rPr>
            </w:pPr>
            <w:r w:rsidRPr="00D23DA5">
              <w:rPr>
                <w:rFonts w:ascii="Times New Roman" w:hAnsi="Times New Roman" w:cs="Times New Roman"/>
                <w:color w:val="000000" w:themeColor="text1"/>
                <w:sz w:val="18"/>
                <w:szCs w:val="18"/>
                <w:lang w:val="sq-AL"/>
              </w:rPr>
              <w:t>N/A</w:t>
            </w:r>
          </w:p>
          <w:p w14:paraId="05CBA041" w14:textId="77262321" w:rsidR="003C045B" w:rsidRPr="00036F88" w:rsidRDefault="003C045B" w:rsidP="003C045B">
            <w:pPr>
              <w:jc w:val="both"/>
              <w:rPr>
                <w:rFonts w:ascii="Times New Roman" w:eastAsia="Calibri" w:hAnsi="Times New Roman" w:cs="Times New Roman"/>
                <w:sz w:val="18"/>
                <w:szCs w:val="18"/>
              </w:rPr>
            </w:pPr>
          </w:p>
        </w:tc>
        <w:tc>
          <w:tcPr>
            <w:tcW w:w="720" w:type="dxa"/>
            <w:tcBorders>
              <w:bottom w:val="dashed" w:sz="4" w:space="0" w:color="auto"/>
            </w:tcBorders>
          </w:tcPr>
          <w:p w14:paraId="42087777" w14:textId="77777777" w:rsidR="00190825" w:rsidRDefault="00190825" w:rsidP="003C045B">
            <w:pPr>
              <w:jc w:val="center"/>
              <w:rPr>
                <w:rFonts w:ascii="Times New Roman" w:eastAsia="Calibri" w:hAnsi="Times New Roman" w:cs="Times New Roman"/>
                <w:sz w:val="18"/>
                <w:szCs w:val="18"/>
                <w:lang w:val="en-US"/>
              </w:rPr>
            </w:pPr>
          </w:p>
          <w:p w14:paraId="6FCF9030" w14:textId="5CC6A631"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Borders>
              <w:bottom w:val="dashed" w:sz="4" w:space="0" w:color="auto"/>
            </w:tcBorders>
          </w:tcPr>
          <w:p w14:paraId="08DB7295" w14:textId="5DE9A8A3" w:rsidR="003C045B" w:rsidRPr="00036F88" w:rsidRDefault="00B02FF5" w:rsidP="003C045B">
            <w:pPr>
              <w:rPr>
                <w:rFonts w:ascii="Times New Roman" w:eastAsia="Calibri" w:hAnsi="Times New Roman" w:cs="Times New Roman"/>
                <w:sz w:val="18"/>
                <w:szCs w:val="18"/>
                <w:lang w:val="en-US"/>
              </w:rPr>
            </w:pPr>
            <w:r w:rsidRPr="00B02FF5">
              <w:rPr>
                <w:rFonts w:ascii="Times New Roman" w:eastAsia="Calibri" w:hAnsi="Times New Roman" w:cs="Times New Roman"/>
                <w:sz w:val="18"/>
                <w:szCs w:val="18"/>
                <w:lang w:val="en-US"/>
              </w:rPr>
              <w:t>Përputhet. Projektligji transpozon të gjitha termat e përcaktuar të Seksionit të Shtojcës V. Prandaj, kërkesa funksionale e Nenit 1(1)(c) është përmbushur.</w:t>
            </w:r>
          </w:p>
        </w:tc>
      </w:tr>
      <w:tr w:rsidR="003C045B" w:rsidRPr="00036F88" w14:paraId="307841CB" w14:textId="77777777" w:rsidTr="007C321D">
        <w:trPr>
          <w:trHeight w:val="836"/>
        </w:trPr>
        <w:tc>
          <w:tcPr>
            <w:tcW w:w="630" w:type="dxa"/>
            <w:shd w:val="clear" w:color="auto" w:fill="D0CECE" w:themeFill="background2" w:themeFillShade="E6"/>
          </w:tcPr>
          <w:p w14:paraId="30FC065C" w14:textId="4F80A36D" w:rsidR="003C045B" w:rsidRPr="00990A3C" w:rsidRDefault="003C045B" w:rsidP="003C045B">
            <w:pPr>
              <w:jc w:val="both"/>
              <w:rPr>
                <w:rFonts w:ascii="Times New Roman" w:eastAsia="Calibri" w:hAnsi="Times New Roman" w:cs="Times New Roman"/>
                <w:i/>
                <w:iCs/>
                <w:sz w:val="18"/>
                <w:szCs w:val="18"/>
                <w:lang w:val="en-US"/>
              </w:rPr>
            </w:pPr>
            <w:r w:rsidRPr="00990A3C">
              <w:rPr>
                <w:rFonts w:ascii="Times New Roman" w:eastAsia="Calibri" w:hAnsi="Times New Roman" w:cs="Times New Roman"/>
                <w:i/>
                <w:iCs/>
                <w:sz w:val="18"/>
                <w:szCs w:val="18"/>
                <w:lang w:val="en-US"/>
              </w:rPr>
              <w:t>1</w:t>
            </w:r>
          </w:p>
        </w:tc>
        <w:tc>
          <w:tcPr>
            <w:tcW w:w="5400" w:type="dxa"/>
            <w:shd w:val="clear" w:color="auto" w:fill="D0CECE" w:themeFill="background2" w:themeFillShade="E6"/>
          </w:tcPr>
          <w:p w14:paraId="60F4B7B4" w14:textId="77777777" w:rsidR="00B02FF5" w:rsidRDefault="00B02FF5" w:rsidP="00B02FF5">
            <w:pPr>
              <w:jc w:val="center"/>
              <w:rPr>
                <w:rFonts w:ascii="Times New Roman" w:hAnsi="Times New Roman" w:cs="Times New Roman"/>
                <w:sz w:val="18"/>
                <w:szCs w:val="18"/>
              </w:rPr>
            </w:pPr>
            <w:r>
              <w:rPr>
                <w:rFonts w:ascii="Times New Roman" w:hAnsi="Times New Roman" w:cs="Times New Roman"/>
                <w:sz w:val="18"/>
                <w:szCs w:val="18"/>
              </w:rPr>
              <w:t>^</w:t>
            </w:r>
          </w:p>
          <w:p w14:paraId="3F8D6C5A" w14:textId="5C0257F2" w:rsidR="00B02FF5" w:rsidRPr="00B02FF5" w:rsidRDefault="00B02FF5" w:rsidP="00B02FF5">
            <w:pPr>
              <w:jc w:val="center"/>
              <w:rPr>
                <w:rFonts w:ascii="Times New Roman" w:hAnsi="Times New Roman" w:cs="Times New Roman"/>
                <w:sz w:val="18"/>
                <w:szCs w:val="18"/>
              </w:rPr>
            </w:pPr>
            <w:r w:rsidRPr="00B02FF5">
              <w:rPr>
                <w:rFonts w:ascii="Times New Roman" w:hAnsi="Times New Roman" w:cs="Times New Roman"/>
                <w:sz w:val="18"/>
                <w:szCs w:val="18"/>
              </w:rPr>
              <w:t>Neni 1(1)(d) (Direktiva 2021/514/BE)</w:t>
            </w:r>
          </w:p>
          <w:p w14:paraId="2F827DA1" w14:textId="77777777" w:rsidR="00B02FF5" w:rsidRPr="00B02FF5" w:rsidRDefault="00B02FF5" w:rsidP="00B02FF5">
            <w:pPr>
              <w:jc w:val="center"/>
              <w:rPr>
                <w:rFonts w:ascii="Times New Roman" w:hAnsi="Times New Roman" w:cs="Times New Roman"/>
                <w:sz w:val="18"/>
                <w:szCs w:val="18"/>
              </w:rPr>
            </w:pPr>
            <w:r w:rsidRPr="00B02FF5">
              <w:rPr>
                <w:rFonts w:ascii="Times New Roman" w:hAnsi="Times New Roman" w:cs="Times New Roman"/>
                <w:sz w:val="18"/>
                <w:szCs w:val="18"/>
              </w:rPr>
              <w:t>Neni 3, pikat 26 dhe 27 (Direktiva 2011/16/BE)</w:t>
            </w:r>
          </w:p>
          <w:p w14:paraId="5ACEBAC2" w14:textId="51B85AD8" w:rsidR="003C045B" w:rsidRPr="00990A3C" w:rsidRDefault="003C045B" w:rsidP="00B02FF5">
            <w:pPr>
              <w:pStyle w:val="oj-ti-art"/>
              <w:shd w:val="clear" w:color="auto" w:fill="FFFFFF"/>
              <w:spacing w:before="360" w:beforeAutospacing="0" w:after="120" w:afterAutospacing="0"/>
              <w:rPr>
                <w:i/>
                <w:iCs/>
                <w:color w:val="333333"/>
                <w:sz w:val="18"/>
                <w:szCs w:val="18"/>
              </w:rPr>
            </w:pPr>
          </w:p>
          <w:p w14:paraId="4F8CBED4" w14:textId="73FACCA3" w:rsidR="003C045B" w:rsidRPr="00990A3C" w:rsidRDefault="003C045B" w:rsidP="003C045B">
            <w:pPr>
              <w:jc w:val="center"/>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531B1028" w14:textId="03AF37C2"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3A369060" w14:textId="7A615964" w:rsidR="003C045B" w:rsidRPr="00990A3C" w:rsidRDefault="003C045B" w:rsidP="003C045B">
            <w:pPr>
              <w:jc w:val="center"/>
              <w:rPr>
                <w:rFonts w:ascii="Times New Roman" w:eastAsia="Calibri" w:hAnsi="Times New Roman" w:cs="Times New Roman"/>
                <w:i/>
                <w:iCs/>
                <w:sz w:val="18"/>
                <w:szCs w:val="18"/>
                <w:lang w:val="en-US"/>
              </w:rPr>
            </w:pPr>
          </w:p>
        </w:tc>
        <w:tc>
          <w:tcPr>
            <w:tcW w:w="5040" w:type="dxa"/>
            <w:tcBorders>
              <w:bottom w:val="dashed" w:sz="4" w:space="0" w:color="auto"/>
            </w:tcBorders>
            <w:shd w:val="clear" w:color="auto" w:fill="D0CECE" w:themeFill="background2" w:themeFillShade="E6"/>
          </w:tcPr>
          <w:p w14:paraId="5A4D9807" w14:textId="72490418" w:rsidR="003C045B" w:rsidRPr="00990A3C" w:rsidRDefault="003C045B" w:rsidP="003C045B">
            <w:pPr>
              <w:jc w:val="center"/>
              <w:rPr>
                <w:rFonts w:ascii="Times New Roman" w:hAnsi="Times New Roman" w:cs="Times New Roman"/>
                <w:i/>
                <w:iCs/>
                <w:sz w:val="18"/>
                <w:szCs w:val="18"/>
              </w:rPr>
            </w:pPr>
          </w:p>
        </w:tc>
        <w:tc>
          <w:tcPr>
            <w:tcW w:w="720" w:type="dxa"/>
            <w:tcBorders>
              <w:bottom w:val="dashed" w:sz="4" w:space="0" w:color="auto"/>
            </w:tcBorders>
            <w:shd w:val="clear" w:color="auto" w:fill="D0CECE" w:themeFill="background2" w:themeFillShade="E6"/>
          </w:tcPr>
          <w:p w14:paraId="6DCE269F" w14:textId="3A19D692" w:rsidR="003C045B" w:rsidRPr="00990A3C" w:rsidRDefault="003C045B" w:rsidP="003C045B">
            <w:pPr>
              <w:jc w:val="center"/>
              <w:rPr>
                <w:rFonts w:ascii="Times New Roman" w:eastAsia="Calibri" w:hAnsi="Times New Roman" w:cs="Times New Roman"/>
                <w:i/>
                <w:iCs/>
                <w:sz w:val="18"/>
                <w:szCs w:val="18"/>
                <w:lang w:val="en-US"/>
              </w:rPr>
            </w:pPr>
          </w:p>
        </w:tc>
        <w:tc>
          <w:tcPr>
            <w:tcW w:w="3406" w:type="dxa"/>
            <w:tcBorders>
              <w:bottom w:val="dashed" w:sz="4" w:space="0" w:color="auto"/>
            </w:tcBorders>
            <w:shd w:val="clear" w:color="auto" w:fill="D0CECE" w:themeFill="background2" w:themeFillShade="E6"/>
          </w:tcPr>
          <w:p w14:paraId="18AC990D" w14:textId="77777777"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7D4505B4" w14:textId="77777777" w:rsidTr="007C321D">
        <w:trPr>
          <w:trHeight w:val="645"/>
        </w:trPr>
        <w:tc>
          <w:tcPr>
            <w:tcW w:w="630" w:type="dxa"/>
          </w:tcPr>
          <w:p w14:paraId="1080D9D2" w14:textId="139AC4B4"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16CC6D3" w14:textId="7C4E460E" w:rsidR="003C045B" w:rsidRDefault="003C045B" w:rsidP="003C045B">
            <w:pPr>
              <w:rPr>
                <w:rFonts w:ascii="Times New Roman" w:hAnsi="Times New Roman" w:cs="Times New Roman"/>
                <w:sz w:val="18"/>
                <w:szCs w:val="18"/>
              </w:rPr>
            </w:pPr>
          </w:p>
          <w:p w14:paraId="0BD9C8E3" w14:textId="77777777" w:rsidR="00B02FF5" w:rsidRPr="00B02FF5" w:rsidRDefault="00B02FF5" w:rsidP="00B02FF5">
            <w:pPr>
              <w:rPr>
                <w:rFonts w:ascii="Times New Roman" w:hAnsi="Times New Roman" w:cs="Times New Roman"/>
                <w:sz w:val="18"/>
                <w:szCs w:val="18"/>
              </w:rPr>
            </w:pPr>
          </w:p>
          <w:p w14:paraId="3CFC53CD" w14:textId="77777777" w:rsidR="00B02FF5" w:rsidRPr="00B02FF5" w:rsidRDefault="00B02FF5" w:rsidP="00B02FF5">
            <w:pPr>
              <w:rPr>
                <w:rFonts w:ascii="Times New Roman" w:hAnsi="Times New Roman" w:cs="Times New Roman"/>
                <w:sz w:val="18"/>
                <w:szCs w:val="18"/>
              </w:rPr>
            </w:pPr>
            <w:r w:rsidRPr="00B02FF5">
              <w:rPr>
                <w:rFonts w:ascii="Times New Roman" w:hAnsi="Times New Roman" w:cs="Times New Roman"/>
                <w:sz w:val="18"/>
                <w:szCs w:val="18"/>
              </w:rPr>
              <w:t>'26. "auditim i përbashkët" do të thotë një hetim administrativ i kryer bashkërisht nga autoritetet kompetente të dy ose më shumë Shteteve Anëtare dhe i lidhur me një ose më shumë persona me interes të përbashkët ose plotësues për autoritetet kompetente të atyre Shteteve Anëtare;</w:t>
            </w:r>
          </w:p>
          <w:p w14:paraId="3727C72D" w14:textId="77777777" w:rsidR="00B02FF5" w:rsidRPr="00B02FF5" w:rsidRDefault="00B02FF5" w:rsidP="00B02FF5">
            <w:pPr>
              <w:rPr>
                <w:rFonts w:ascii="Times New Roman" w:hAnsi="Times New Roman" w:cs="Times New Roman"/>
                <w:sz w:val="18"/>
                <w:szCs w:val="18"/>
              </w:rPr>
            </w:pPr>
          </w:p>
          <w:p w14:paraId="61E278E6" w14:textId="0C10CBD0" w:rsidR="00B02FF5" w:rsidRPr="00036F88" w:rsidRDefault="00B02FF5" w:rsidP="00B02FF5">
            <w:pPr>
              <w:rPr>
                <w:rFonts w:ascii="Times New Roman" w:hAnsi="Times New Roman" w:cs="Times New Roman"/>
                <w:vanish/>
                <w:sz w:val="18"/>
                <w:szCs w:val="18"/>
              </w:rPr>
            </w:pPr>
            <w:r w:rsidRPr="00B02FF5">
              <w:rPr>
                <w:rFonts w:ascii="Times New Roman" w:hAnsi="Times New Roman" w:cs="Times New Roman"/>
                <w:sz w:val="18"/>
                <w:szCs w:val="18"/>
              </w:rPr>
              <w:t>27. "shkelje e të dhënave" do të thotë një shkelje e sigurisë që çon në shkatërrim, humbje, ndryshim ose çdo incident të aksesit, zbulimit ose përdorimit të papërshtatshëm ose të paautorizuar të informacionit, duke përfshirë, por pa u kufizuar në të dhënat personale të transmetuara, të ruajtura ose të përpunuara ndryshe, si rezultat i veprimeve të qëllimshme të paligjshme, neglizhencës ose aksidenteve. Një shkelje e të dhënave mund të prekë konfidencialitetin, disponueshmërinë dhe integritetin e të dhënave.</w:t>
            </w:r>
          </w:p>
          <w:p w14:paraId="3A31154C" w14:textId="6A5680DE"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68273547" w14:textId="0F3E768C" w:rsidR="003C045B" w:rsidRPr="00036F88" w:rsidRDefault="003C045B" w:rsidP="003C045B">
            <w:pPr>
              <w:jc w:val="center"/>
              <w:rPr>
                <w:rFonts w:ascii="Times New Roman" w:eastAsia="Calibri" w:hAnsi="Times New Roman" w:cs="Times New Roman"/>
                <w:sz w:val="18"/>
                <w:szCs w:val="18"/>
              </w:rPr>
            </w:pPr>
          </w:p>
        </w:tc>
        <w:tc>
          <w:tcPr>
            <w:tcW w:w="554" w:type="dxa"/>
          </w:tcPr>
          <w:p w14:paraId="217830CF" w14:textId="22462B4B" w:rsidR="003C045B" w:rsidRPr="00036F88" w:rsidRDefault="007903F2"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Neni</w:t>
            </w:r>
            <w:r w:rsidR="00190825">
              <w:rPr>
                <w:rFonts w:ascii="Times New Roman" w:eastAsia="Calibri" w:hAnsi="Times New Roman" w:cs="Times New Roman"/>
                <w:sz w:val="18"/>
                <w:szCs w:val="18"/>
                <w:lang w:val="en-US"/>
              </w:rPr>
              <w:t xml:space="preserve"> 2</w:t>
            </w:r>
          </w:p>
        </w:tc>
        <w:tc>
          <w:tcPr>
            <w:tcW w:w="5040" w:type="dxa"/>
            <w:tcBorders>
              <w:bottom w:val="dashed" w:sz="4" w:space="0" w:color="auto"/>
            </w:tcBorders>
          </w:tcPr>
          <w:p w14:paraId="7F84A31C" w14:textId="4BE28F60" w:rsidR="00633111" w:rsidRDefault="00633111" w:rsidP="00B02FF5">
            <w:pPr>
              <w:jc w:val="both"/>
              <w:rPr>
                <w:rFonts w:ascii="Times New Roman" w:eastAsia="Calibri" w:hAnsi="Times New Roman" w:cs="Times New Roman"/>
                <w:sz w:val="18"/>
                <w:szCs w:val="18"/>
              </w:rPr>
            </w:pPr>
          </w:p>
          <w:p w14:paraId="1AF536FD" w14:textId="27D5243C" w:rsidR="00633111" w:rsidRPr="00036F88" w:rsidRDefault="006E4603" w:rsidP="00B02FF5">
            <w:pPr>
              <w:jc w:val="both"/>
              <w:rPr>
                <w:rFonts w:ascii="Times New Roman" w:eastAsia="Calibri" w:hAnsi="Times New Roman" w:cs="Times New Roman"/>
                <w:sz w:val="18"/>
                <w:szCs w:val="18"/>
              </w:rPr>
            </w:pPr>
            <w:r w:rsidRPr="006E4603">
              <w:rPr>
                <w:rFonts w:ascii="Times New Roman" w:eastAsia="Calibri" w:hAnsi="Times New Roman" w:cs="Times New Roman"/>
                <w:sz w:val="18"/>
                <w:szCs w:val="18"/>
              </w:rPr>
              <w:t>th) “shkelje e të dhënave” ka të njëjtin kuptim siç është përcaktuar në ligjin ‘Për bashkëpunimin administrativ në fushën e tatimeve dhe shkëmbimit të informacionit tatimor”.</w:t>
            </w:r>
          </w:p>
        </w:tc>
        <w:tc>
          <w:tcPr>
            <w:tcW w:w="720" w:type="dxa"/>
            <w:tcBorders>
              <w:bottom w:val="dashed" w:sz="4" w:space="0" w:color="auto"/>
            </w:tcBorders>
          </w:tcPr>
          <w:p w14:paraId="4C4B4DD1" w14:textId="54EC29F6" w:rsidR="003C045B" w:rsidRPr="00036F88" w:rsidRDefault="003C045B" w:rsidP="003C045B">
            <w:pPr>
              <w:jc w:val="center"/>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F</w:t>
            </w:r>
          </w:p>
        </w:tc>
        <w:tc>
          <w:tcPr>
            <w:tcW w:w="3406" w:type="dxa"/>
            <w:tcBorders>
              <w:bottom w:val="dashed" w:sz="4" w:space="0" w:color="auto"/>
            </w:tcBorders>
          </w:tcPr>
          <w:p w14:paraId="18B331CF" w14:textId="2D8A9D6E" w:rsidR="007903F2" w:rsidRPr="007903F2" w:rsidRDefault="007903F2" w:rsidP="007903F2">
            <w:pPr>
              <w:numPr>
                <w:ilvl w:val="0"/>
                <w:numId w:val="28"/>
              </w:numPr>
              <w:spacing w:after="200" w:line="276" w:lineRule="auto"/>
              <w:ind w:left="360"/>
              <w:jc w:val="both"/>
              <w:rPr>
                <w:rFonts w:ascii="Times New Roman" w:hAnsi="Times New Roman" w:cs="Times New Roman"/>
                <w:color w:val="242424"/>
                <w:sz w:val="18"/>
                <w:szCs w:val="18"/>
                <w:shd w:val="clear" w:color="auto" w:fill="FFFFFF"/>
                <w:lang w:val="sq-AL"/>
              </w:rPr>
            </w:pPr>
            <w:r>
              <w:rPr>
                <w:rFonts w:ascii="Times New Roman" w:eastAsia="Calibri" w:hAnsi="Times New Roman" w:cs="Times New Roman"/>
                <w:sz w:val="18"/>
                <w:szCs w:val="18"/>
                <w:lang w:val="en-US"/>
              </w:rPr>
              <w:t>Ne nenin 2 pika 18 te ligjit per DAC e pergjithshem parashikohet se</w:t>
            </w:r>
            <w:r w:rsidRPr="007903F2">
              <w:rPr>
                <w:rFonts w:ascii="Times New Roman" w:eastAsia="Calibri" w:hAnsi="Times New Roman" w:cs="Times New Roman"/>
                <w:sz w:val="18"/>
                <w:szCs w:val="18"/>
                <w:lang w:val="en-US"/>
              </w:rPr>
              <w:t xml:space="preserve">: </w:t>
            </w:r>
            <w:r w:rsidRPr="007903F2">
              <w:rPr>
                <w:rFonts w:ascii="Times New Roman" w:hAnsi="Times New Roman" w:cs="Times New Roman"/>
                <w:b/>
                <w:bCs/>
                <w:color w:val="242424"/>
                <w:sz w:val="18"/>
                <w:szCs w:val="18"/>
                <w:shd w:val="clear" w:color="auto" w:fill="FFFFFF"/>
                <w:lang w:val="sq-AL"/>
              </w:rPr>
              <w:t xml:space="preserve">“Shkelje e të dhënave” </w:t>
            </w:r>
            <w:r w:rsidRPr="007903F2">
              <w:rPr>
                <w:rFonts w:ascii="Times New Roman" w:hAnsi="Times New Roman" w:cs="Times New Roman"/>
                <w:sz w:val="18"/>
                <w:szCs w:val="18"/>
                <w:lang w:val="sq-AL"/>
              </w:rPr>
              <w:t>është çdo shkelje e rregullave të sigurisë që çon në shkatërrim, humbje, ndryshim, aksesim, zbulim ose përdorim të paautorizuar të informacionit, përfshirë të dhënat personale, si pasojë e një veprimi të qëllimshëm, neglizhencës ose incidentit aksidental, dhe që prek konfidencialitetin, integritetin ose disponueshmërinë e informacionit.</w:t>
            </w:r>
            <w:r w:rsidRPr="007903F2">
              <w:rPr>
                <w:rFonts w:ascii="Times New Roman" w:hAnsi="Times New Roman" w:cs="Times New Roman"/>
                <w:color w:val="242424"/>
                <w:sz w:val="18"/>
                <w:szCs w:val="18"/>
                <w:shd w:val="clear" w:color="auto" w:fill="FFFFFF"/>
                <w:lang w:val="sq-AL"/>
              </w:rPr>
              <w:t xml:space="preserve"> </w:t>
            </w:r>
          </w:p>
          <w:p w14:paraId="7FF536D2" w14:textId="7E27DE7C" w:rsidR="003C045B" w:rsidRPr="00036F88" w:rsidRDefault="003C045B" w:rsidP="003C045B">
            <w:pPr>
              <w:rPr>
                <w:rFonts w:ascii="Times New Roman" w:eastAsia="Calibri" w:hAnsi="Times New Roman" w:cs="Times New Roman"/>
                <w:sz w:val="18"/>
                <w:szCs w:val="18"/>
                <w:lang w:val="en-US"/>
              </w:rPr>
            </w:pPr>
          </w:p>
        </w:tc>
      </w:tr>
      <w:tr w:rsidR="003C045B" w:rsidRPr="00036F88" w14:paraId="176342C5" w14:textId="77777777" w:rsidTr="007C321D">
        <w:tc>
          <w:tcPr>
            <w:tcW w:w="630" w:type="dxa"/>
            <w:shd w:val="clear" w:color="auto" w:fill="D0CECE" w:themeFill="background2" w:themeFillShade="E6"/>
          </w:tcPr>
          <w:p w14:paraId="5BF8CE7D" w14:textId="4193C50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7D8C5A1"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Neni 1(2) (Direktiva 2021/514/BE)</w:t>
            </w:r>
          </w:p>
          <w:p w14:paraId="022290E0"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Neni 5a (Direktiva 2011/16/BE)</w:t>
            </w:r>
          </w:p>
          <w:p w14:paraId="7316743D" w14:textId="51E10BF0" w:rsidR="003C045B" w:rsidRPr="00990A3C" w:rsidRDefault="003C045B" w:rsidP="003C045B">
            <w:pPr>
              <w:jc w:val="both"/>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3480EEE0" w14:textId="1312C375"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355EA527" w14:textId="41C73A42" w:rsidR="003C045B" w:rsidRPr="00990A3C"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0AF2ABED" w14:textId="031C9D9F" w:rsidR="003C045B" w:rsidRPr="00990A3C" w:rsidRDefault="003C045B" w:rsidP="003C045B">
            <w:pPr>
              <w:rPr>
                <w:rFonts w:ascii="Times New Roman" w:hAnsi="Times New Roman" w:cs="Times New Roman"/>
                <w:i/>
                <w:iCs/>
                <w:sz w:val="18"/>
                <w:szCs w:val="18"/>
              </w:rPr>
            </w:pPr>
          </w:p>
        </w:tc>
        <w:tc>
          <w:tcPr>
            <w:tcW w:w="720" w:type="dxa"/>
            <w:shd w:val="clear" w:color="auto" w:fill="D0CECE" w:themeFill="background2" w:themeFillShade="E6"/>
          </w:tcPr>
          <w:p w14:paraId="1ABA6603" w14:textId="3378F120" w:rsidR="003C045B" w:rsidRPr="00990A3C"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7BE83C6E" w14:textId="07D4A64D"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05E7A252" w14:textId="77777777" w:rsidTr="007C321D">
        <w:trPr>
          <w:trHeight w:val="870"/>
        </w:trPr>
        <w:tc>
          <w:tcPr>
            <w:tcW w:w="630" w:type="dxa"/>
          </w:tcPr>
          <w:p w14:paraId="56054E51" w14:textId="1549FBFD"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EE5A91B" w14:textId="77777777" w:rsidR="000916B6" w:rsidRPr="000916B6" w:rsidRDefault="000916B6" w:rsidP="000916B6">
            <w:pPr>
              <w:jc w:val="both"/>
              <w:rPr>
                <w:rFonts w:ascii="Times New Roman" w:eastAsia="Calibri" w:hAnsi="Times New Roman" w:cs="Times New Roman"/>
                <w:iCs/>
                <w:sz w:val="18"/>
                <w:szCs w:val="18"/>
                <w:lang w:val="en-US"/>
              </w:rPr>
            </w:pPr>
          </w:p>
          <w:p w14:paraId="2B955E48"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Neni 5a</w:t>
            </w:r>
          </w:p>
          <w:p w14:paraId="1C4EB218"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Rëndësia e parashikueshme</w:t>
            </w:r>
          </w:p>
          <w:p w14:paraId="12131691" w14:textId="77777777" w:rsidR="000916B6" w:rsidRPr="000916B6" w:rsidRDefault="000916B6" w:rsidP="000916B6">
            <w:pPr>
              <w:jc w:val="both"/>
              <w:rPr>
                <w:rFonts w:ascii="Times New Roman" w:eastAsia="Calibri" w:hAnsi="Times New Roman" w:cs="Times New Roman"/>
                <w:iCs/>
                <w:sz w:val="18"/>
                <w:szCs w:val="18"/>
                <w:lang w:val="en-US"/>
              </w:rPr>
            </w:pPr>
          </w:p>
          <w:p w14:paraId="015575F9"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1. Për qëllimet e një kërkese të përmendur në nenin 5, informacioni i kërkuar është i parashikueshëm i rëndësishëm kur, në kohën kur bëhet kërkesa, autoriteti kërkues konsideron se, në përputhje me ligjin e tij kombëtar, ekziston një mundësi e arsyeshme që informacioni i kërkuar të jetë i rëndësishëm për çështjet tatimore të një ose disa tatimpaguesve, pavarësisht nëse identifikohen me emër ose ndryshe, dhe të justifikohet për qëllimet e hetimit.</w:t>
            </w:r>
          </w:p>
          <w:p w14:paraId="469B74E6" w14:textId="77777777" w:rsidR="000916B6" w:rsidRPr="000916B6" w:rsidRDefault="000916B6" w:rsidP="000916B6">
            <w:pPr>
              <w:jc w:val="both"/>
              <w:rPr>
                <w:rFonts w:ascii="Times New Roman" w:eastAsia="Calibri" w:hAnsi="Times New Roman" w:cs="Times New Roman"/>
                <w:iCs/>
                <w:sz w:val="18"/>
                <w:szCs w:val="18"/>
                <w:lang w:val="en-US"/>
              </w:rPr>
            </w:pPr>
          </w:p>
          <w:p w14:paraId="54E0722C"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2. Me qëllim që të demonstrojë rëndësinë e parashikueshme të informacionit të kërkuar, autoriteti kërkues duhet t'i ofrojë autoritetit të kërkuar të paktën informacionin e mëposhtëm: (a) qëllimin tatimor për të cilin kërkohet informacioni; dhe (b) një specifikim të informacionit të kërkuar për administrimin ose zbatimin e ligjit të tij kombëtar.</w:t>
            </w:r>
          </w:p>
          <w:p w14:paraId="4188E663" w14:textId="77777777" w:rsidR="000916B6" w:rsidRPr="000916B6" w:rsidRDefault="000916B6" w:rsidP="000916B6">
            <w:pPr>
              <w:jc w:val="both"/>
              <w:rPr>
                <w:rFonts w:ascii="Times New Roman" w:eastAsia="Calibri" w:hAnsi="Times New Roman" w:cs="Times New Roman"/>
                <w:iCs/>
                <w:sz w:val="18"/>
                <w:szCs w:val="18"/>
                <w:lang w:val="en-US"/>
              </w:rPr>
            </w:pPr>
          </w:p>
          <w:p w14:paraId="249A4F98" w14:textId="3BFB4D17" w:rsidR="003C045B" w:rsidRPr="00036F88"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 xml:space="preserve">3. Kur një kërkesë e përmendur në Nenin 5 lidhet me një grup tatimpaguesish që nuk mund të identifikohen individualisht, autoriteti </w:t>
            </w:r>
            <w:r w:rsidRPr="000916B6">
              <w:rPr>
                <w:rFonts w:ascii="Times New Roman" w:eastAsia="Calibri" w:hAnsi="Times New Roman" w:cs="Times New Roman"/>
                <w:iCs/>
                <w:sz w:val="18"/>
                <w:szCs w:val="18"/>
                <w:lang w:val="en-US"/>
              </w:rPr>
              <w:lastRenderedPageBreak/>
              <w:t>kërkues duhet t'i ofrojë autoritetit të kërkuar të paktën informacionin e mëposhtëm: (a) një përshkrim të detajuar të grupit; (b) një shpjegim të ligjit në fuqi dhe të fakteve mbi të cilat ka arsye të besohet se tatimpaguesit në grup nuk janë pajtuar me ligjin në fuqi; (c) një shpjegim se si informacioni i kërkuar do të ndihmonte në përcaktimin e pajtueshmërisë nga tatimpaguesit në grup; dhe (d) kur faktet dhe rrethanat përkatëse lidhen me përfshirjen e një pale të tretë që kontribuoi në mënyrë aktive në mosrespektimin e mundshëm të tatimpaguesve në grup me ligjin në fuqi.</w:t>
            </w:r>
          </w:p>
        </w:tc>
        <w:tc>
          <w:tcPr>
            <w:tcW w:w="540" w:type="dxa"/>
          </w:tcPr>
          <w:p w14:paraId="59B66D4C" w14:textId="00B84A40" w:rsidR="003C045B" w:rsidRPr="00036F88" w:rsidRDefault="003C045B" w:rsidP="003C045B">
            <w:pPr>
              <w:jc w:val="center"/>
              <w:rPr>
                <w:rFonts w:ascii="Times New Roman" w:eastAsia="Calibri" w:hAnsi="Times New Roman" w:cs="Times New Roman"/>
                <w:sz w:val="18"/>
                <w:szCs w:val="18"/>
              </w:rPr>
            </w:pPr>
          </w:p>
        </w:tc>
        <w:tc>
          <w:tcPr>
            <w:tcW w:w="554" w:type="dxa"/>
          </w:tcPr>
          <w:p w14:paraId="5ABADC9F" w14:textId="608D228B"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Borders>
              <w:bottom w:val="dashed" w:sz="4" w:space="0" w:color="auto"/>
            </w:tcBorders>
          </w:tcPr>
          <w:p w14:paraId="0B4DE358" w14:textId="671F043A" w:rsidR="003C045B" w:rsidRPr="00036F88" w:rsidRDefault="003C045B" w:rsidP="003C045B">
            <w:pPr>
              <w:jc w:val="center"/>
              <w:rPr>
                <w:rFonts w:ascii="Times New Roman" w:hAnsi="Times New Roman" w:cs="Times New Roman"/>
                <w:sz w:val="18"/>
                <w:szCs w:val="18"/>
              </w:rPr>
            </w:pPr>
            <w:r w:rsidRPr="00036F88">
              <w:rPr>
                <w:rFonts w:ascii="Times New Roman" w:hAnsi="Times New Roman" w:cs="Times New Roman"/>
                <w:sz w:val="18"/>
                <w:szCs w:val="18"/>
              </w:rPr>
              <w:br/>
            </w:r>
          </w:p>
          <w:p w14:paraId="4DAEA1FE" w14:textId="58D94405" w:rsidR="003C045B" w:rsidRPr="00036F88" w:rsidRDefault="000916B6" w:rsidP="000916B6">
            <w:pPr>
              <w:jc w:val="center"/>
              <w:rPr>
                <w:rFonts w:ascii="Times New Roman" w:eastAsia="Calibri" w:hAnsi="Times New Roman" w:cs="Times New Roman"/>
                <w:sz w:val="18"/>
                <w:szCs w:val="18"/>
                <w:lang w:val="en-US"/>
              </w:rPr>
            </w:pPr>
            <w:r>
              <w:rPr>
                <w:rFonts w:ascii="Times New Roman" w:hAnsi="Times New Roman" w:cs="Times New Roman"/>
                <w:sz w:val="18"/>
                <w:szCs w:val="18"/>
              </w:rPr>
              <w:t>N/A</w:t>
            </w:r>
          </w:p>
        </w:tc>
        <w:tc>
          <w:tcPr>
            <w:tcW w:w="720" w:type="dxa"/>
            <w:tcBorders>
              <w:bottom w:val="dashed" w:sz="4" w:space="0" w:color="auto"/>
            </w:tcBorders>
          </w:tcPr>
          <w:p w14:paraId="3F896C22" w14:textId="4DA32D17"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Borders>
              <w:bottom w:val="dashed" w:sz="4" w:space="0" w:color="auto"/>
            </w:tcBorders>
          </w:tcPr>
          <w:p w14:paraId="76BFEABA" w14:textId="4DC75375" w:rsidR="000916B6" w:rsidRPr="000916B6" w:rsidRDefault="000916B6" w:rsidP="000916B6">
            <w:pPr>
              <w:rPr>
                <w:rFonts w:ascii="Times New Roman" w:eastAsia="Calibri" w:hAnsi="Times New Roman" w:cs="Times New Roman"/>
                <w:iCs/>
                <w:sz w:val="18"/>
                <w:szCs w:val="18"/>
                <w:lang w:val="en-US"/>
              </w:rPr>
            </w:pPr>
          </w:p>
          <w:p w14:paraId="017969E8" w14:textId="77777777" w:rsidR="007903F2" w:rsidRDefault="000916B6" w:rsidP="007903F2">
            <w:pPr>
              <w:rPr>
                <w:rFonts w:ascii="Times New Roman" w:eastAsia="Calibri" w:hAnsi="Times New Roman" w:cs="Times New Roman"/>
                <w:sz w:val="18"/>
                <w:szCs w:val="18"/>
                <w:lang w:val="en-US"/>
              </w:rPr>
            </w:pPr>
            <w:r w:rsidRPr="000916B6">
              <w:rPr>
                <w:rFonts w:ascii="Times New Roman" w:eastAsia="Calibri" w:hAnsi="Times New Roman" w:cs="Times New Roman"/>
                <w:sz w:val="18"/>
                <w:szCs w:val="18"/>
                <w:lang w:val="en-US"/>
              </w:rPr>
              <w:t xml:space="preserve">Nuk kërkon transpozim në këtë instrument. Neni 5a ka të bëjë me shkëmbimet sipas kërkesës në të gjithë kuadrin e DAC </w:t>
            </w:r>
            <w:r w:rsidR="007903F2">
              <w:rPr>
                <w:rFonts w:ascii="Times New Roman" w:eastAsia="Calibri" w:hAnsi="Times New Roman" w:cs="Times New Roman"/>
                <w:sz w:val="18"/>
                <w:szCs w:val="18"/>
                <w:lang w:val="en-US"/>
              </w:rPr>
              <w:t xml:space="preserve">. Kjo parashikohet ne nenin 6 te ligjit per DAC e pergjithshem.  </w:t>
            </w:r>
          </w:p>
          <w:p w14:paraId="279D1F27" w14:textId="2589AD10" w:rsid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Neni 6 parashikon si me posht: </w:t>
            </w:r>
          </w:p>
          <w:p w14:paraId="63AAB289" w14:textId="77777777" w:rsidR="007903F2" w:rsidRDefault="007903F2" w:rsidP="007903F2">
            <w:pPr>
              <w:rPr>
                <w:rFonts w:ascii="Times New Roman" w:eastAsia="Calibri" w:hAnsi="Times New Roman" w:cs="Times New Roman"/>
                <w:sz w:val="18"/>
                <w:szCs w:val="18"/>
                <w:lang w:val="en-US"/>
              </w:rPr>
            </w:pPr>
          </w:p>
          <w:p w14:paraId="03C8DB6B" w14:textId="77777777" w:rsidR="007903F2" w:rsidRDefault="007903F2" w:rsidP="007903F2">
            <w:pPr>
              <w:rPr>
                <w:rFonts w:ascii="Times New Roman" w:eastAsia="Calibri" w:hAnsi="Times New Roman" w:cs="Times New Roman"/>
                <w:sz w:val="18"/>
                <w:szCs w:val="18"/>
                <w:lang w:val="en-US"/>
              </w:rPr>
            </w:pPr>
          </w:p>
          <w:p w14:paraId="05C613AC" w14:textId="26902ADB"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Neni 6</w:t>
            </w:r>
          </w:p>
          <w:p w14:paraId="1AED5619"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Rëndësia e parashikueshme e informacionit</w:t>
            </w:r>
          </w:p>
          <w:p w14:paraId="1E0CC1CB"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1.</w:t>
            </w:r>
            <w:r w:rsidRPr="007903F2">
              <w:rPr>
                <w:rFonts w:ascii="Times New Roman" w:eastAsia="Calibri" w:hAnsi="Times New Roman" w:cs="Times New Roman"/>
                <w:sz w:val="18"/>
                <w:szCs w:val="18"/>
                <w:lang w:val="en-US"/>
              </w:rPr>
              <w:tab/>
              <w:t xml:space="preserve">Për qëllimet e nenit 4, informacioni i kërkuar konsiderohet i rëndësishëm në mënyrë të parashikueshme kur, në kohën e paraqitjes së kërkesës, autoriteti kërkues vlerëson se, në përputhje me legjislacionin e tij kombëtar, ekziston një mundësi e arsyeshme që informacioni i kërkuar të jetë i rëndësishëm për çështjet tatimore të një ose disa tatimpaguesve, </w:t>
            </w:r>
            <w:r w:rsidRPr="007903F2">
              <w:rPr>
                <w:rFonts w:ascii="Times New Roman" w:eastAsia="Calibri" w:hAnsi="Times New Roman" w:cs="Times New Roman"/>
                <w:sz w:val="18"/>
                <w:szCs w:val="18"/>
                <w:lang w:val="en-US"/>
              </w:rPr>
              <w:lastRenderedPageBreak/>
              <w:t xml:space="preserve">pavarësisht nëse janë të identifikuar me emër ose jo, dhe se kërkesa është e justifikuar për qëllimet e hetimit administrativ. </w:t>
            </w:r>
          </w:p>
          <w:p w14:paraId="6A7351E0"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2.</w:t>
            </w:r>
            <w:r w:rsidRPr="007903F2">
              <w:rPr>
                <w:rFonts w:ascii="Times New Roman" w:eastAsia="Calibri" w:hAnsi="Times New Roman" w:cs="Times New Roman"/>
                <w:sz w:val="18"/>
                <w:szCs w:val="18"/>
                <w:lang w:val="en-US"/>
              </w:rPr>
              <w:tab/>
              <w:t>Për të demonstruar rëndësinë e parashikueshme të informacionit të kërkuar, autoriteti kërkues i jep autoritetit të kërkuar të paktën informacionin e mëposhtëm:</w:t>
            </w:r>
          </w:p>
          <w:p w14:paraId="6518E300"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a) qëllimin tatimor për të cilin kërkohet informacioni; dhe</w:t>
            </w:r>
          </w:p>
          <w:p w14:paraId="06C97508"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 xml:space="preserve">b) një specifikim të informacionit të kërkuar për administrimin ose zbatimin e legjislacionit të tij kombëtar. </w:t>
            </w:r>
          </w:p>
          <w:p w14:paraId="799B7B4F"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3.</w:t>
            </w:r>
            <w:r w:rsidRPr="007903F2">
              <w:rPr>
                <w:rFonts w:ascii="Times New Roman" w:eastAsia="Calibri" w:hAnsi="Times New Roman" w:cs="Times New Roman"/>
                <w:sz w:val="18"/>
                <w:szCs w:val="18"/>
                <w:lang w:val="en-US"/>
              </w:rPr>
              <w:tab/>
              <w:t>Kur një kërkesë e përmendur në nenin 4 lidhet me një grup tatimpaguesish që nuk mund të identifikohen individualisht, autoriteti kërkues i jep autoritetit të kërkuar të paktën informacionin e mëposhtëm:</w:t>
            </w:r>
          </w:p>
          <w:p w14:paraId="5CD689DF"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a) një përshkrim të detajuar të grupit;</w:t>
            </w:r>
          </w:p>
          <w:p w14:paraId="2D7419BD"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b) një shpjegim të ligjit në fuqi dhe të fakteve mbi bazën e të cilave ka arsye për të besuar se tatimpaguesit në grup nuk kanë respektuar legjislacionin në fuqi;</w:t>
            </w:r>
          </w:p>
          <w:p w14:paraId="5A0C2673" w14:textId="77777777" w:rsidR="007903F2" w:rsidRPr="007903F2"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c) një shpjegim se si informacioni i kërkuar do të ndihmonte në përcaktimin e pajtueshmërisë së tatimpaguesve në grup; dhe</w:t>
            </w:r>
          </w:p>
          <w:p w14:paraId="16062C8C" w14:textId="1F2BEBDC" w:rsidR="003C045B" w:rsidRPr="00036F88" w:rsidRDefault="007903F2" w:rsidP="007903F2">
            <w:pPr>
              <w:rPr>
                <w:rFonts w:ascii="Times New Roman" w:eastAsia="Calibri" w:hAnsi="Times New Roman" w:cs="Times New Roman"/>
                <w:sz w:val="18"/>
                <w:szCs w:val="18"/>
                <w:lang w:val="en-US"/>
              </w:rPr>
            </w:pPr>
            <w:r w:rsidRPr="007903F2">
              <w:rPr>
                <w:rFonts w:ascii="Times New Roman" w:eastAsia="Calibri" w:hAnsi="Times New Roman" w:cs="Times New Roman"/>
                <w:sz w:val="18"/>
                <w:szCs w:val="18"/>
                <w:lang w:val="en-US"/>
              </w:rPr>
              <w:t>d) kur është e aplikueshme, një shpjegim mbi përfshirjen e çdo pale të tretë që ka kontribuar në mënyrë aktive në mospërputhjen e mundshme të tatimpaguesve në grup me legjislacionin në fuqi.</w:t>
            </w:r>
          </w:p>
        </w:tc>
      </w:tr>
      <w:tr w:rsidR="003C045B" w:rsidRPr="00036F88" w14:paraId="58B319CC" w14:textId="77777777" w:rsidTr="007C321D">
        <w:trPr>
          <w:trHeight w:val="710"/>
        </w:trPr>
        <w:tc>
          <w:tcPr>
            <w:tcW w:w="630" w:type="dxa"/>
            <w:shd w:val="clear" w:color="auto" w:fill="D0CECE" w:themeFill="background2" w:themeFillShade="E6"/>
          </w:tcPr>
          <w:p w14:paraId="224AE4C1" w14:textId="0D30AC4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35C96061"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Neni 1(3) (Direktiva 2021/514/BE)</w:t>
            </w:r>
          </w:p>
          <w:p w14:paraId="09834135" w14:textId="77777777" w:rsidR="000916B6" w:rsidRPr="000916B6"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t>Neni 6, paragrafi 2 (Direktiva 2011/16/BE)</w:t>
            </w:r>
          </w:p>
          <w:p w14:paraId="7CC33995" w14:textId="77777777" w:rsidR="003C045B" w:rsidRPr="00990A3C" w:rsidRDefault="003C045B" w:rsidP="003C045B">
            <w:pPr>
              <w:jc w:val="both"/>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00B408AA" w14:textId="4F7D18E3"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4FA1D7A2" w14:textId="3E25DD08" w:rsidR="003C045B" w:rsidRPr="006E4603" w:rsidRDefault="003C045B" w:rsidP="003C045B">
            <w:pPr>
              <w:jc w:val="center"/>
              <w:rPr>
                <w:rFonts w:ascii="Times New Roman" w:eastAsia="Calibri" w:hAnsi="Times New Roman" w:cs="Times New Roman"/>
                <w:iCs/>
                <w:sz w:val="18"/>
                <w:szCs w:val="18"/>
                <w:lang w:val="en-US"/>
              </w:rPr>
            </w:pPr>
          </w:p>
        </w:tc>
        <w:tc>
          <w:tcPr>
            <w:tcW w:w="5040" w:type="dxa"/>
            <w:tcBorders>
              <w:bottom w:val="dashed" w:sz="4" w:space="0" w:color="auto"/>
            </w:tcBorders>
            <w:shd w:val="clear" w:color="auto" w:fill="D0CECE" w:themeFill="background2" w:themeFillShade="E6"/>
          </w:tcPr>
          <w:p w14:paraId="0EDA3A1F" w14:textId="1D428055" w:rsidR="003C045B" w:rsidRPr="00990A3C" w:rsidRDefault="003C045B" w:rsidP="000916B6">
            <w:pPr>
              <w:rPr>
                <w:rFonts w:ascii="Times New Roman" w:eastAsia="Calibri" w:hAnsi="Times New Roman" w:cs="Times New Roman"/>
                <w:i/>
                <w:iCs/>
                <w:sz w:val="18"/>
                <w:szCs w:val="18"/>
                <w:lang w:val="en-US"/>
              </w:rPr>
            </w:pPr>
          </w:p>
        </w:tc>
        <w:tc>
          <w:tcPr>
            <w:tcW w:w="720" w:type="dxa"/>
            <w:tcBorders>
              <w:bottom w:val="dashed" w:sz="4" w:space="0" w:color="auto"/>
            </w:tcBorders>
            <w:shd w:val="clear" w:color="auto" w:fill="D0CECE" w:themeFill="background2" w:themeFillShade="E6"/>
          </w:tcPr>
          <w:p w14:paraId="64F469B0" w14:textId="5254E0D7" w:rsidR="003C045B" w:rsidRPr="00036F88" w:rsidRDefault="003C045B" w:rsidP="003C045B">
            <w:pPr>
              <w:jc w:val="center"/>
              <w:rPr>
                <w:rFonts w:ascii="Times New Roman" w:eastAsia="Calibri" w:hAnsi="Times New Roman" w:cs="Times New Roman"/>
                <w:sz w:val="18"/>
                <w:szCs w:val="18"/>
                <w:lang w:val="en-US"/>
              </w:rPr>
            </w:pPr>
          </w:p>
        </w:tc>
        <w:tc>
          <w:tcPr>
            <w:tcW w:w="3406" w:type="dxa"/>
            <w:tcBorders>
              <w:bottom w:val="dashed" w:sz="4" w:space="0" w:color="auto"/>
            </w:tcBorders>
            <w:shd w:val="clear" w:color="auto" w:fill="D0CECE" w:themeFill="background2" w:themeFillShade="E6"/>
          </w:tcPr>
          <w:p w14:paraId="0F876825" w14:textId="35858A2B" w:rsidR="003C045B" w:rsidRPr="00036F88" w:rsidRDefault="003C045B" w:rsidP="003C045B">
            <w:pPr>
              <w:rPr>
                <w:rFonts w:ascii="Times New Roman" w:eastAsia="Calibri" w:hAnsi="Times New Roman" w:cs="Times New Roman"/>
                <w:sz w:val="18"/>
                <w:szCs w:val="18"/>
                <w:lang w:val="en-US"/>
              </w:rPr>
            </w:pPr>
          </w:p>
        </w:tc>
      </w:tr>
      <w:tr w:rsidR="003C045B" w:rsidRPr="00036F88" w14:paraId="69F77E82" w14:textId="77777777" w:rsidTr="007C321D">
        <w:tc>
          <w:tcPr>
            <w:tcW w:w="630" w:type="dxa"/>
          </w:tcPr>
          <w:p w14:paraId="69F19673" w14:textId="7B3D6D02"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95B79AD" w14:textId="77777777" w:rsidR="000916B6" w:rsidRPr="000916B6" w:rsidRDefault="000916B6" w:rsidP="000916B6">
            <w:pPr>
              <w:jc w:val="both"/>
              <w:rPr>
                <w:rFonts w:ascii="Times New Roman" w:eastAsia="Calibri" w:hAnsi="Times New Roman" w:cs="Times New Roman"/>
                <w:iCs/>
                <w:sz w:val="18"/>
                <w:szCs w:val="18"/>
                <w:lang w:val="en-US"/>
              </w:rPr>
            </w:pPr>
          </w:p>
          <w:p w14:paraId="7379828A" w14:textId="2557BF83" w:rsidR="003C045B" w:rsidRPr="00036F88" w:rsidRDefault="000916B6" w:rsidP="000916B6">
            <w:pPr>
              <w:jc w:val="both"/>
              <w:rPr>
                <w:rFonts w:ascii="Times New Roman" w:eastAsia="Calibri" w:hAnsi="Times New Roman" w:cs="Times New Roman"/>
                <w:iCs/>
                <w:sz w:val="18"/>
                <w:szCs w:val="18"/>
                <w:lang w:val="en-US"/>
              </w:rPr>
            </w:pPr>
            <w:r w:rsidRPr="000916B6">
              <w:rPr>
                <w:rFonts w:ascii="Times New Roman" w:eastAsia="Calibri" w:hAnsi="Times New Roman" w:cs="Times New Roman"/>
                <w:iCs/>
                <w:sz w:val="18"/>
                <w:szCs w:val="18"/>
                <w:lang w:val="en-US"/>
              </w:rPr>
              <w:lastRenderedPageBreak/>
              <w:t>'2. Kërkesa e përmendur në nenin 5 mund të përmbajë një kërkesë të arsyetuar për një hetim administrativ. Nëse autoriteti i kërkuar mendon se nuk është i nevojshëm asnjë hetim administrativ, ai duhet të informojë menjëherë autoritetin kërkues për arsyet e kësaj.'</w:t>
            </w:r>
          </w:p>
        </w:tc>
        <w:tc>
          <w:tcPr>
            <w:tcW w:w="540" w:type="dxa"/>
          </w:tcPr>
          <w:p w14:paraId="126B8A65" w14:textId="484EE591" w:rsidR="003C045B" w:rsidRPr="00036F88" w:rsidRDefault="003C045B" w:rsidP="003C045B">
            <w:pPr>
              <w:jc w:val="center"/>
              <w:rPr>
                <w:rFonts w:ascii="Times New Roman" w:eastAsia="Calibri" w:hAnsi="Times New Roman" w:cs="Times New Roman"/>
                <w:sz w:val="18"/>
                <w:szCs w:val="18"/>
              </w:rPr>
            </w:pPr>
          </w:p>
        </w:tc>
        <w:tc>
          <w:tcPr>
            <w:tcW w:w="554" w:type="dxa"/>
          </w:tcPr>
          <w:p w14:paraId="4F71CC44" w14:textId="0D472D49"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5BB63C0C" w14:textId="41D595DF" w:rsidR="003C045B" w:rsidRPr="00036F88" w:rsidRDefault="000916B6" w:rsidP="00BC5DCD">
            <w:pPr>
              <w:ind w:left="360"/>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tcPr>
          <w:p w14:paraId="792A6F0C" w14:textId="0805B5AF"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4266947B" w14:textId="77777777" w:rsidR="00FC5AE0" w:rsidRPr="00FC5AE0" w:rsidRDefault="000916B6" w:rsidP="00FC5AE0">
            <w:pPr>
              <w:rPr>
                <w:rFonts w:ascii="Times New Roman" w:eastAsia="Calibri" w:hAnsi="Times New Roman" w:cs="Times New Roman"/>
                <w:sz w:val="18"/>
                <w:szCs w:val="18"/>
                <w:lang w:val="en-US"/>
              </w:rPr>
            </w:pPr>
            <w:r w:rsidRPr="000916B6">
              <w:rPr>
                <w:rFonts w:ascii="Times New Roman" w:eastAsia="Calibri" w:hAnsi="Times New Roman" w:cs="Times New Roman"/>
                <w:sz w:val="18"/>
                <w:szCs w:val="18"/>
                <w:lang w:val="en-US"/>
              </w:rPr>
              <w:t>Nuk kërkon transpozim.</w:t>
            </w:r>
          </w:p>
          <w:p w14:paraId="745B0208" w14:textId="77777777" w:rsidR="00FC5AE0" w:rsidRPr="00FC5AE0" w:rsidRDefault="00FC5AE0" w:rsidP="00FC5AE0">
            <w:pPr>
              <w:rPr>
                <w:rFonts w:ascii="Times New Roman" w:eastAsia="Calibri" w:hAnsi="Times New Roman" w:cs="Times New Roman"/>
                <w:sz w:val="18"/>
                <w:szCs w:val="18"/>
                <w:lang w:val="en-US"/>
              </w:rPr>
            </w:pPr>
            <w:r w:rsidRPr="00FC5AE0">
              <w:rPr>
                <w:rFonts w:ascii="Times New Roman" w:eastAsia="Calibri" w:hAnsi="Times New Roman" w:cs="Times New Roman"/>
                <w:sz w:val="18"/>
                <w:szCs w:val="18"/>
                <w:lang w:val="en-US"/>
              </w:rPr>
              <w:lastRenderedPageBreak/>
              <w:t>Dispozita procedurale mbi bashkëpunimin administrativ. Mbulohet nga DAC</w:t>
            </w:r>
          </w:p>
          <w:p w14:paraId="60F1FA33" w14:textId="10C3625F" w:rsidR="007903F2" w:rsidRDefault="00FC5AE0" w:rsidP="00FC5AE0">
            <w:pPr>
              <w:rPr>
                <w:rFonts w:ascii="Times New Roman" w:eastAsia="Calibri" w:hAnsi="Times New Roman" w:cs="Times New Roman"/>
                <w:sz w:val="18"/>
                <w:szCs w:val="18"/>
                <w:lang w:val="en-US"/>
              </w:rPr>
            </w:pPr>
            <w:r w:rsidRPr="00FC5AE0">
              <w:rPr>
                <w:rFonts w:ascii="Times New Roman" w:eastAsia="Calibri" w:hAnsi="Times New Roman" w:cs="Times New Roman"/>
                <w:sz w:val="18"/>
                <w:szCs w:val="18"/>
                <w:lang w:val="en-US"/>
              </w:rPr>
              <w:t>Ligji i Përgjithshëm</w:t>
            </w:r>
            <w:r w:rsidR="00622B62">
              <w:rPr>
                <w:rFonts w:ascii="Times New Roman" w:eastAsia="Calibri" w:hAnsi="Times New Roman" w:cs="Times New Roman"/>
                <w:sz w:val="18"/>
                <w:szCs w:val="18"/>
                <w:lang w:val="en-US"/>
              </w:rPr>
              <w:t xml:space="preserve">. </w:t>
            </w:r>
          </w:p>
          <w:p w14:paraId="32A188CA" w14:textId="7A0982A6" w:rsidR="00622B62" w:rsidRDefault="00622B62" w:rsidP="00FC5AE0">
            <w:pPr>
              <w:rPr>
                <w:rFonts w:ascii="Times New Roman" w:eastAsia="Calibri" w:hAnsi="Times New Roman" w:cs="Times New Roman"/>
                <w:sz w:val="18"/>
                <w:szCs w:val="18"/>
                <w:lang w:val="en-US"/>
              </w:rPr>
            </w:pPr>
          </w:p>
          <w:p w14:paraId="1461B00C" w14:textId="77777777" w:rsidR="00622B62" w:rsidRDefault="00622B62"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Neni 4 pika 3 parashikon: </w:t>
            </w:r>
          </w:p>
          <w:p w14:paraId="08161D96" w14:textId="77777777" w:rsidR="00622B62" w:rsidRDefault="00622B62" w:rsidP="00FC5AE0">
            <w:pPr>
              <w:rPr>
                <w:rFonts w:ascii="Times New Roman" w:eastAsia="Calibri" w:hAnsi="Times New Roman" w:cs="Times New Roman"/>
                <w:sz w:val="18"/>
                <w:szCs w:val="18"/>
                <w:lang w:val="en-US"/>
              </w:rPr>
            </w:pPr>
          </w:p>
          <w:p w14:paraId="59E60F44" w14:textId="02AB7E3A" w:rsidR="00622B62" w:rsidRDefault="00622B62" w:rsidP="00FC5AE0">
            <w:pP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3.</w:t>
            </w:r>
            <w:r w:rsidRPr="00622B62">
              <w:rPr>
                <w:rFonts w:ascii="Times New Roman" w:eastAsia="Calibri" w:hAnsi="Times New Roman" w:cs="Times New Roman"/>
                <w:sz w:val="18"/>
                <w:szCs w:val="18"/>
                <w:lang w:val="en-US"/>
              </w:rPr>
              <w:tab/>
              <w:t>Autoriteti Kompetent merr të gjitha masat e nevojshme për të kryer hetimet administrative të kërkuara për sigurimin e informacionit, edhe kur ky informacion nuk i nevojitet për qëllimet e veta tatimore. Me kërkesë të posaçme, ai siguron dokumente origjinale në masën e lejuar nga legjislacioni shqiptar.</w:t>
            </w:r>
          </w:p>
          <w:p w14:paraId="47D8406A" w14:textId="77777777" w:rsidR="007903F2" w:rsidRDefault="007903F2" w:rsidP="00FC5AE0">
            <w:pPr>
              <w:rPr>
                <w:rFonts w:ascii="Times New Roman" w:eastAsia="Calibri" w:hAnsi="Times New Roman" w:cs="Times New Roman"/>
                <w:sz w:val="18"/>
                <w:szCs w:val="18"/>
                <w:lang w:val="en-US"/>
              </w:rPr>
            </w:pPr>
          </w:p>
          <w:p w14:paraId="6BF325A1" w14:textId="04079101" w:rsidR="003C045B" w:rsidRPr="00036F88" w:rsidRDefault="003C045B" w:rsidP="00FC5AE0">
            <w:pPr>
              <w:rPr>
                <w:rFonts w:ascii="Times New Roman" w:eastAsia="Calibri" w:hAnsi="Times New Roman" w:cs="Times New Roman"/>
                <w:sz w:val="18"/>
                <w:szCs w:val="18"/>
                <w:lang w:val="en-US"/>
              </w:rPr>
            </w:pPr>
          </w:p>
        </w:tc>
      </w:tr>
      <w:tr w:rsidR="003C045B" w:rsidRPr="00036F88" w14:paraId="795D9D6B" w14:textId="77777777" w:rsidTr="007C321D">
        <w:tc>
          <w:tcPr>
            <w:tcW w:w="630" w:type="dxa"/>
            <w:shd w:val="clear" w:color="auto" w:fill="D0CECE" w:themeFill="background2" w:themeFillShade="E6"/>
          </w:tcPr>
          <w:p w14:paraId="56BD2627" w14:textId="0304CB92"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2AA16403" w14:textId="77777777" w:rsidR="00FC5AE0" w:rsidRPr="00FC5AE0" w:rsidRDefault="00FC5AE0" w:rsidP="00FC5AE0">
            <w:pPr>
              <w:jc w:val="both"/>
              <w:rPr>
                <w:rFonts w:ascii="Times New Roman" w:eastAsia="Calibri" w:hAnsi="Times New Roman" w:cs="Times New Roman"/>
                <w:i/>
                <w:iCs/>
                <w:sz w:val="18"/>
                <w:szCs w:val="18"/>
                <w:lang w:val="en-US"/>
              </w:rPr>
            </w:pPr>
            <w:r w:rsidRPr="00FC5AE0">
              <w:rPr>
                <w:rFonts w:ascii="Times New Roman" w:eastAsia="Calibri" w:hAnsi="Times New Roman" w:cs="Times New Roman"/>
                <w:i/>
                <w:iCs/>
                <w:sz w:val="18"/>
                <w:szCs w:val="18"/>
                <w:lang w:val="en-US"/>
              </w:rPr>
              <w:t>Neni 1(4) (Direktiva 2021/514/BE)</w:t>
            </w:r>
          </w:p>
          <w:p w14:paraId="316D99B5" w14:textId="0C869FBC" w:rsidR="003C045B" w:rsidRPr="00990A3C" w:rsidRDefault="00FC5AE0" w:rsidP="00FC5AE0">
            <w:pPr>
              <w:jc w:val="both"/>
              <w:rPr>
                <w:rFonts w:ascii="Times New Roman" w:eastAsia="Calibri" w:hAnsi="Times New Roman" w:cs="Times New Roman"/>
                <w:i/>
                <w:iCs/>
                <w:sz w:val="18"/>
                <w:szCs w:val="18"/>
                <w:lang w:val="en-US"/>
              </w:rPr>
            </w:pPr>
            <w:r w:rsidRPr="00FC5AE0">
              <w:rPr>
                <w:rFonts w:ascii="Times New Roman" w:eastAsia="Calibri" w:hAnsi="Times New Roman" w:cs="Times New Roman"/>
                <w:i/>
                <w:iCs/>
                <w:sz w:val="18"/>
                <w:szCs w:val="18"/>
                <w:lang w:val="en-US"/>
              </w:rPr>
              <w:t>Neni 7, paragrafi 1 (Direktiva 2011/16/BE)</w:t>
            </w:r>
          </w:p>
        </w:tc>
        <w:tc>
          <w:tcPr>
            <w:tcW w:w="540" w:type="dxa"/>
            <w:shd w:val="clear" w:color="auto" w:fill="D0CECE" w:themeFill="background2" w:themeFillShade="E6"/>
          </w:tcPr>
          <w:p w14:paraId="68A57B73" w14:textId="19F64D70"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482568F1" w14:textId="58ED12C7" w:rsidR="003C045B" w:rsidRPr="00990A3C"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5E37C130" w14:textId="547CF5C3" w:rsidR="003C045B" w:rsidRPr="00990A3C" w:rsidRDefault="003C045B" w:rsidP="00FC5AE0">
            <w:pPr>
              <w:jc w:val="center"/>
              <w:rPr>
                <w:rFonts w:ascii="Times New Roman" w:eastAsia="Calibri" w:hAnsi="Times New Roman" w:cs="Times New Roman"/>
                <w:i/>
                <w:iCs/>
                <w:sz w:val="18"/>
                <w:szCs w:val="18"/>
                <w:lang w:val="en-US"/>
              </w:rPr>
            </w:pPr>
          </w:p>
        </w:tc>
        <w:tc>
          <w:tcPr>
            <w:tcW w:w="720" w:type="dxa"/>
            <w:shd w:val="clear" w:color="auto" w:fill="D0CECE" w:themeFill="background2" w:themeFillShade="E6"/>
          </w:tcPr>
          <w:p w14:paraId="1BFB2DE6" w14:textId="7E8BCE79" w:rsidR="003C045B" w:rsidRPr="00990A3C"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0E1C93C5"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602A0892" w14:textId="77777777" w:rsidTr="007C321D">
        <w:trPr>
          <w:trHeight w:val="900"/>
        </w:trPr>
        <w:tc>
          <w:tcPr>
            <w:tcW w:w="630" w:type="dxa"/>
          </w:tcPr>
          <w:p w14:paraId="176CFC32" w14:textId="7CC0D92E"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20A1432" w14:textId="77777777" w:rsidR="00FC5AE0" w:rsidRPr="00FC5AE0" w:rsidRDefault="00FC5AE0" w:rsidP="00FC5AE0">
            <w:pPr>
              <w:jc w:val="both"/>
              <w:rPr>
                <w:rFonts w:ascii="Times New Roman" w:eastAsia="Calibri" w:hAnsi="Times New Roman" w:cs="Times New Roman"/>
                <w:iCs/>
                <w:sz w:val="18"/>
                <w:szCs w:val="18"/>
                <w:lang w:val="en-US"/>
              </w:rPr>
            </w:pPr>
          </w:p>
          <w:p w14:paraId="37B59ACE" w14:textId="77777777" w:rsidR="00FC5AE0" w:rsidRPr="00FC5AE0" w:rsidRDefault="00FC5AE0" w:rsidP="00FC5AE0">
            <w:pPr>
              <w:jc w:val="both"/>
              <w:rPr>
                <w:rFonts w:ascii="Times New Roman" w:eastAsia="Calibri" w:hAnsi="Times New Roman" w:cs="Times New Roman"/>
                <w:iCs/>
                <w:sz w:val="18"/>
                <w:szCs w:val="18"/>
                <w:lang w:val="en-US"/>
              </w:rPr>
            </w:pPr>
            <w:r w:rsidRPr="00FC5AE0">
              <w:rPr>
                <w:rFonts w:ascii="Times New Roman" w:eastAsia="Calibri" w:hAnsi="Times New Roman" w:cs="Times New Roman"/>
                <w:iCs/>
                <w:sz w:val="18"/>
                <w:szCs w:val="18"/>
                <w:lang w:val="en-US"/>
              </w:rPr>
              <w:t>'1. Autoriteti i kërkuar duhet të ofrojë informacionin e përmendur në nenin 5 sa më shpejt të jetë e mundur dhe jo më vonë se tre muaj nga data e marrjes së kërkesës. Megjithatë, kur autoriteti i kërkuar nuk është në gjendje t'i përgjigjet kërkesës brenda afatit përkatës kohor, ai duhet të informojë autoritetin kërkues menjëherë dhe në çdo rast brenda tre muajve nga marrja e kërkesës, për arsyet e mosveprimit të tij në këtë drejtim dhe datën deri në të cilën ai konsideron se mund të jetë në gjendje të përgjigjet. Afati kohor nuk duhet të jetë më i gjatë se gjashtë muaj nga data e marrjes së kërkesës.</w:t>
            </w:r>
          </w:p>
          <w:p w14:paraId="4D00A61B" w14:textId="77777777" w:rsidR="00FC5AE0" w:rsidRPr="00FC5AE0" w:rsidRDefault="00FC5AE0" w:rsidP="00FC5AE0">
            <w:pPr>
              <w:jc w:val="both"/>
              <w:rPr>
                <w:rFonts w:ascii="Times New Roman" w:eastAsia="Calibri" w:hAnsi="Times New Roman" w:cs="Times New Roman"/>
                <w:iCs/>
                <w:sz w:val="18"/>
                <w:szCs w:val="18"/>
                <w:lang w:val="en-US"/>
              </w:rPr>
            </w:pPr>
          </w:p>
          <w:p w14:paraId="4B13DA69" w14:textId="2CF12869" w:rsidR="003C045B" w:rsidRPr="00036F88" w:rsidRDefault="00FC5AE0" w:rsidP="00FC5AE0">
            <w:pPr>
              <w:jc w:val="both"/>
              <w:rPr>
                <w:rFonts w:ascii="Times New Roman" w:eastAsia="Calibri" w:hAnsi="Times New Roman" w:cs="Times New Roman"/>
                <w:iCs/>
                <w:sz w:val="18"/>
                <w:szCs w:val="18"/>
                <w:lang w:val="en-US"/>
              </w:rPr>
            </w:pPr>
            <w:r w:rsidRPr="00FC5AE0">
              <w:rPr>
                <w:rFonts w:ascii="Times New Roman" w:eastAsia="Calibri" w:hAnsi="Times New Roman" w:cs="Times New Roman"/>
                <w:iCs/>
                <w:sz w:val="18"/>
                <w:szCs w:val="18"/>
                <w:lang w:val="en-US"/>
              </w:rPr>
              <w:t>Megjithatë, kur autoriteti i kërkuar e zotëron tashmë atë informacion, informacioni duhet të transmetohet brenda dy muajve nga ajo datë.</w:t>
            </w:r>
          </w:p>
        </w:tc>
        <w:tc>
          <w:tcPr>
            <w:tcW w:w="540" w:type="dxa"/>
          </w:tcPr>
          <w:p w14:paraId="08D27D38" w14:textId="022BD9E7" w:rsidR="003C045B" w:rsidRPr="00036F88" w:rsidRDefault="003C045B" w:rsidP="003C045B">
            <w:pPr>
              <w:jc w:val="center"/>
              <w:rPr>
                <w:rFonts w:ascii="Times New Roman" w:eastAsia="Calibri" w:hAnsi="Times New Roman" w:cs="Times New Roman"/>
                <w:sz w:val="18"/>
                <w:szCs w:val="18"/>
              </w:rPr>
            </w:pPr>
          </w:p>
        </w:tc>
        <w:tc>
          <w:tcPr>
            <w:tcW w:w="554" w:type="dxa"/>
          </w:tcPr>
          <w:p w14:paraId="63459AAD" w14:textId="77777777" w:rsidR="00190825" w:rsidRDefault="00190825" w:rsidP="003C045B">
            <w:pPr>
              <w:jc w:val="center"/>
              <w:rPr>
                <w:rFonts w:ascii="Times New Roman" w:eastAsia="Calibri" w:hAnsi="Times New Roman" w:cs="Times New Roman"/>
                <w:sz w:val="18"/>
                <w:szCs w:val="18"/>
                <w:lang w:val="en-US"/>
              </w:rPr>
            </w:pPr>
          </w:p>
          <w:p w14:paraId="76515CA7" w14:textId="69830AE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Borders>
              <w:bottom w:val="dashed" w:sz="4" w:space="0" w:color="auto"/>
            </w:tcBorders>
          </w:tcPr>
          <w:p w14:paraId="2A5C5DAB" w14:textId="1EFE11B0" w:rsidR="003C045B" w:rsidRPr="00036F88" w:rsidRDefault="003C045B" w:rsidP="00FC5AE0">
            <w:pPr>
              <w:jc w:val="center"/>
              <w:rPr>
                <w:rFonts w:ascii="Times New Roman" w:eastAsia="Calibri" w:hAnsi="Times New Roman" w:cs="Times New Roman"/>
                <w:sz w:val="18"/>
                <w:szCs w:val="18"/>
              </w:rPr>
            </w:pPr>
            <w:r w:rsidRPr="00036F88">
              <w:rPr>
                <w:rFonts w:ascii="Times New Roman" w:hAnsi="Times New Roman" w:cs="Times New Roman"/>
                <w:color w:val="000000" w:themeColor="text1"/>
                <w:sz w:val="18"/>
                <w:szCs w:val="18"/>
              </w:rPr>
              <w:br/>
            </w:r>
            <w:r w:rsidR="00FC5AE0">
              <w:rPr>
                <w:rFonts w:ascii="Times New Roman" w:eastAsia="Calibri" w:hAnsi="Times New Roman" w:cs="Times New Roman"/>
                <w:sz w:val="18"/>
                <w:szCs w:val="18"/>
              </w:rPr>
              <w:t>N/A</w:t>
            </w:r>
          </w:p>
        </w:tc>
        <w:tc>
          <w:tcPr>
            <w:tcW w:w="720" w:type="dxa"/>
            <w:tcBorders>
              <w:bottom w:val="dashed" w:sz="4" w:space="0" w:color="auto"/>
            </w:tcBorders>
          </w:tcPr>
          <w:p w14:paraId="782379A0" w14:textId="77777777" w:rsidR="00190825" w:rsidRDefault="00190825" w:rsidP="003C045B">
            <w:pPr>
              <w:jc w:val="center"/>
              <w:rPr>
                <w:rFonts w:ascii="Times New Roman" w:eastAsia="Calibri" w:hAnsi="Times New Roman" w:cs="Times New Roman"/>
                <w:sz w:val="18"/>
                <w:szCs w:val="18"/>
                <w:lang w:val="en-US"/>
              </w:rPr>
            </w:pPr>
          </w:p>
          <w:p w14:paraId="34822B49" w14:textId="5E17A462"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Borders>
              <w:bottom w:val="dashed" w:sz="4" w:space="0" w:color="auto"/>
            </w:tcBorders>
          </w:tcPr>
          <w:p w14:paraId="3A1D598B" w14:textId="77777777" w:rsidR="00622B62" w:rsidRDefault="00BC5DCD" w:rsidP="003C045B">
            <w:pPr>
              <w:rPr>
                <w:rFonts w:ascii="Times New Roman" w:eastAsia="Calibri" w:hAnsi="Times New Roman" w:cs="Times New Roman"/>
                <w:sz w:val="18"/>
                <w:szCs w:val="18"/>
                <w:lang w:val="en-US"/>
              </w:rPr>
            </w:pPr>
            <w:r w:rsidRPr="00BC5DCD">
              <w:rPr>
                <w:rFonts w:ascii="Times New Roman" w:eastAsia="Calibri" w:hAnsi="Times New Roman" w:cs="Times New Roman"/>
                <w:sz w:val="18"/>
                <w:szCs w:val="18"/>
                <w:lang w:val="en-US"/>
              </w:rPr>
              <w:t>Nuk kërkon transpozim. Neni 7(1) ka të bëjë me shkëmbimin e informacionit me kërkesë midis autoriteteve tatimore.</w:t>
            </w:r>
          </w:p>
          <w:p w14:paraId="36033603" w14:textId="77777777" w:rsidR="00622B62" w:rsidRDefault="00622B6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Kjo pike parashikhet nga neni 7 pika 1-3 I ligjit per DAC te pegjithshem</w:t>
            </w:r>
          </w:p>
          <w:p w14:paraId="794EC287" w14:textId="77777777" w:rsidR="00622B62" w:rsidRDefault="00622B62" w:rsidP="003C045B">
            <w:pPr>
              <w:rPr>
                <w:rFonts w:ascii="Times New Roman" w:eastAsia="Calibri" w:hAnsi="Times New Roman" w:cs="Times New Roman"/>
                <w:sz w:val="18"/>
                <w:szCs w:val="18"/>
                <w:lang w:val="en-US"/>
              </w:rPr>
            </w:pPr>
          </w:p>
          <w:p w14:paraId="43599CDA" w14:textId="343BE862" w:rsidR="00AD378F" w:rsidRDefault="00BC5DCD" w:rsidP="003C045B">
            <w:pPr>
              <w:rPr>
                <w:rFonts w:ascii="Times New Roman" w:eastAsia="Calibri" w:hAnsi="Times New Roman" w:cs="Times New Roman"/>
                <w:sz w:val="18"/>
                <w:szCs w:val="18"/>
                <w:lang w:val="en-US"/>
              </w:rPr>
            </w:pPr>
            <w:r w:rsidRPr="00BC5DCD">
              <w:rPr>
                <w:rFonts w:ascii="Times New Roman" w:eastAsia="Calibri" w:hAnsi="Times New Roman" w:cs="Times New Roman"/>
                <w:sz w:val="18"/>
                <w:szCs w:val="18"/>
                <w:lang w:val="en-US"/>
              </w:rPr>
              <w:t xml:space="preserve"> </w:t>
            </w:r>
          </w:p>
          <w:p w14:paraId="6A8EF7F2" w14:textId="77777777" w:rsidR="00622B62" w:rsidRPr="00622B62" w:rsidRDefault="00622B62" w:rsidP="001E2CF7">
            <w:pPr>
              <w:jc w:val="cente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Neni 7</w:t>
            </w:r>
          </w:p>
          <w:p w14:paraId="09CAEE43" w14:textId="77777777" w:rsidR="00622B62" w:rsidRPr="00622B62" w:rsidRDefault="00622B62" w:rsidP="001E2CF7">
            <w:pPr>
              <w:jc w:val="cente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Afatet kohore për shkëmbimin e informacionit sipas kërkesës</w:t>
            </w:r>
          </w:p>
          <w:p w14:paraId="492330AB" w14:textId="77777777" w:rsidR="00622B62" w:rsidRPr="00622B62" w:rsidRDefault="00622B62" w:rsidP="00622B62">
            <w:pPr>
              <w:rPr>
                <w:rFonts w:ascii="Times New Roman" w:eastAsia="Calibri" w:hAnsi="Times New Roman" w:cs="Times New Roman"/>
                <w:sz w:val="18"/>
                <w:szCs w:val="18"/>
                <w:lang w:val="en-US"/>
              </w:rPr>
            </w:pPr>
          </w:p>
          <w:p w14:paraId="660EF007" w14:textId="77777777" w:rsidR="00622B62" w:rsidRPr="00622B62" w:rsidRDefault="00622B62" w:rsidP="00622B62">
            <w:pP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1.</w:t>
            </w:r>
            <w:r w:rsidRPr="00622B62">
              <w:rPr>
                <w:rFonts w:ascii="Times New Roman" w:eastAsia="Calibri" w:hAnsi="Times New Roman" w:cs="Times New Roman"/>
                <w:sz w:val="18"/>
                <w:szCs w:val="18"/>
                <w:lang w:val="en-US"/>
              </w:rPr>
              <w:tab/>
              <w:t>Autoriteti kompetent i kërkuar siguron informacionin e parashikuar në nenin 4 të këtij ligji sa më shpejt që të jetë e mundur dhe, në çdo rast, jo më vonë se 3 (tre) muaj nga data e marrjes së kërkesës.</w:t>
            </w:r>
          </w:p>
          <w:p w14:paraId="661B2990" w14:textId="77777777" w:rsidR="00622B62" w:rsidRPr="00622B62" w:rsidRDefault="00622B62" w:rsidP="00622B62">
            <w:pP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2.</w:t>
            </w:r>
            <w:r w:rsidRPr="00622B62">
              <w:rPr>
                <w:rFonts w:ascii="Times New Roman" w:eastAsia="Calibri" w:hAnsi="Times New Roman" w:cs="Times New Roman"/>
                <w:sz w:val="18"/>
                <w:szCs w:val="18"/>
                <w:lang w:val="en-US"/>
              </w:rPr>
              <w:tab/>
              <w:t xml:space="preserve">Kur autoriteti kompetent i kërkuar nuk është në gjendje të përgjigjet brenda afatit të përcaktuar në pikën 1 të këtij neni, ai njofton autoritetin kompetent kërkues pa vonesë dhe, në çdo rast, brenda 3 (tre) </w:t>
            </w:r>
            <w:r w:rsidRPr="00622B62">
              <w:rPr>
                <w:rFonts w:ascii="Times New Roman" w:eastAsia="Calibri" w:hAnsi="Times New Roman" w:cs="Times New Roman"/>
                <w:sz w:val="18"/>
                <w:szCs w:val="18"/>
                <w:lang w:val="en-US"/>
              </w:rPr>
              <w:lastRenderedPageBreak/>
              <w:t>muajve nga marrja e kërkesës, duke paraqitur arsyet e mosplotësimit të saj, si dhe datën e parashikuar kur mund të japë përgjigje. Në çdo rast, afati përfundimtar për dhënien e përgjigjes nuk duhet të tejkalojë 6 (gjashtë) muaj nga data e marrjes së kërkesës.</w:t>
            </w:r>
          </w:p>
          <w:p w14:paraId="2ACB8D35" w14:textId="3B165E2B" w:rsidR="00AD378F" w:rsidRDefault="00622B62" w:rsidP="00622B62">
            <w:pPr>
              <w:rPr>
                <w:rFonts w:ascii="Times New Roman" w:eastAsia="Calibri" w:hAnsi="Times New Roman" w:cs="Times New Roman"/>
                <w:sz w:val="18"/>
                <w:szCs w:val="18"/>
                <w:lang w:val="en-US"/>
              </w:rPr>
            </w:pPr>
            <w:r w:rsidRPr="00622B62">
              <w:rPr>
                <w:rFonts w:ascii="Times New Roman" w:eastAsia="Calibri" w:hAnsi="Times New Roman" w:cs="Times New Roman"/>
                <w:sz w:val="18"/>
                <w:szCs w:val="18"/>
                <w:lang w:val="en-US"/>
              </w:rPr>
              <w:t>3.</w:t>
            </w:r>
            <w:r w:rsidRPr="00622B62">
              <w:rPr>
                <w:rFonts w:ascii="Times New Roman" w:eastAsia="Calibri" w:hAnsi="Times New Roman" w:cs="Times New Roman"/>
                <w:sz w:val="18"/>
                <w:szCs w:val="18"/>
                <w:lang w:val="en-US"/>
              </w:rPr>
              <w:tab/>
              <w:t>Kur informacioni i kërkuar disponohet tashmë nga autoriteti kompetent i kërkuar, ai transmetohet brenda 2 (dy) muajve nga data e marrjes së kërkesës.</w:t>
            </w:r>
          </w:p>
          <w:p w14:paraId="00C351E9" w14:textId="5379C4E8" w:rsidR="003C045B" w:rsidRPr="00036F88" w:rsidRDefault="003C045B" w:rsidP="003C045B">
            <w:pPr>
              <w:rPr>
                <w:rFonts w:ascii="Times New Roman" w:eastAsia="Calibri" w:hAnsi="Times New Roman" w:cs="Times New Roman"/>
                <w:sz w:val="18"/>
                <w:szCs w:val="18"/>
                <w:lang w:val="en-US"/>
              </w:rPr>
            </w:pPr>
          </w:p>
        </w:tc>
      </w:tr>
      <w:tr w:rsidR="003C045B" w:rsidRPr="00036F88" w14:paraId="5A93F6C3" w14:textId="77777777" w:rsidTr="007C321D">
        <w:trPr>
          <w:trHeight w:val="1097"/>
        </w:trPr>
        <w:tc>
          <w:tcPr>
            <w:tcW w:w="630" w:type="dxa"/>
          </w:tcPr>
          <w:p w14:paraId="4797BA55" w14:textId="598CB9A2"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2F672305" w14:textId="13A56192" w:rsidR="003C045B" w:rsidRPr="006C1526" w:rsidRDefault="00BC5DCD" w:rsidP="003C045B">
            <w:pPr>
              <w:shd w:val="clear" w:color="auto" w:fill="FFFFFF"/>
              <w:spacing w:before="360" w:after="120"/>
              <w:jc w:val="center"/>
              <w:rPr>
                <w:rFonts w:ascii="Times New Roman" w:eastAsia="Times New Roman" w:hAnsi="Times New Roman" w:cs="Times New Roman"/>
                <w:i/>
                <w:iCs/>
                <w:color w:val="333333"/>
                <w:sz w:val="18"/>
                <w:szCs w:val="18"/>
              </w:rPr>
            </w:pPr>
            <w:r w:rsidRPr="00BC5DCD">
              <w:rPr>
                <w:rFonts w:ascii="Times New Roman" w:eastAsia="Times New Roman" w:hAnsi="Times New Roman" w:cs="Times New Roman"/>
                <w:color w:val="333333"/>
                <w:sz w:val="18"/>
                <w:szCs w:val="18"/>
              </w:rPr>
              <w:t>Neni 1(6) (Direktiva 2021/514/BE)</w:t>
            </w:r>
          </w:p>
          <w:p w14:paraId="71A6541F" w14:textId="77777777" w:rsidR="00BC5DCD" w:rsidRPr="00BC5DCD" w:rsidRDefault="00BC5DCD" w:rsidP="00BC5DCD">
            <w:pPr>
              <w:shd w:val="clear" w:color="auto" w:fill="FFFFFF"/>
              <w:spacing w:before="120"/>
              <w:jc w:val="both"/>
              <w:rPr>
                <w:rFonts w:ascii="Times New Roman" w:eastAsia="Times New Roman" w:hAnsi="Times New Roman" w:cs="Times New Roman"/>
                <w:color w:val="333333"/>
                <w:sz w:val="18"/>
                <w:szCs w:val="18"/>
              </w:rPr>
            </w:pPr>
            <w:r w:rsidRPr="00BC5DCD">
              <w:rPr>
                <w:rFonts w:ascii="Times New Roman" w:eastAsia="Times New Roman" w:hAnsi="Times New Roman" w:cs="Times New Roman"/>
                <w:color w:val="333333"/>
                <w:sz w:val="18"/>
                <w:szCs w:val="18"/>
              </w:rPr>
              <w:t>Neni 8, paragrafët 1 dhe 2 (Direktiva 2011/16/BE)</w:t>
            </w:r>
          </w:p>
          <w:p w14:paraId="22D42666" w14:textId="4A55D301" w:rsidR="003C045B" w:rsidRPr="00990A3C" w:rsidRDefault="003C045B" w:rsidP="003C045B">
            <w:pPr>
              <w:jc w:val="both"/>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28D874F5" w14:textId="7BD8E1A8"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0A5D8D1F"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41FBA751" w14:textId="1FA79A58" w:rsidR="003C045B" w:rsidRPr="00990A3C" w:rsidRDefault="003C045B" w:rsidP="00BC5DCD">
            <w:pPr>
              <w:jc w:val="center"/>
              <w:rPr>
                <w:rFonts w:ascii="Times New Roman" w:eastAsia="Calibri" w:hAnsi="Times New Roman" w:cs="Times New Roman"/>
                <w:i/>
                <w:iCs/>
                <w:sz w:val="18"/>
                <w:szCs w:val="18"/>
                <w:lang w:val="en-US"/>
              </w:rPr>
            </w:pPr>
          </w:p>
        </w:tc>
        <w:tc>
          <w:tcPr>
            <w:tcW w:w="720" w:type="dxa"/>
            <w:shd w:val="clear" w:color="auto" w:fill="D0CECE" w:themeFill="background2" w:themeFillShade="E6"/>
          </w:tcPr>
          <w:p w14:paraId="6E4EAC15" w14:textId="0D58B86B" w:rsidR="003C045B" w:rsidRPr="00990A3C"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5B2CA3C7" w14:textId="1DD4A019"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7AB48AF4" w14:textId="77777777" w:rsidTr="007C321D">
        <w:tc>
          <w:tcPr>
            <w:tcW w:w="630" w:type="dxa"/>
          </w:tcPr>
          <w:p w14:paraId="796E7F23" w14:textId="465E4252"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21122E0F" w14:textId="6A8F39B2" w:rsidR="00BC5DCD" w:rsidRPr="00BC5DCD" w:rsidRDefault="003C045B" w:rsidP="00BC5DCD">
            <w:pPr>
              <w:shd w:val="clear" w:color="auto" w:fill="FFFFFF"/>
              <w:spacing w:before="120"/>
              <w:jc w:val="both"/>
              <w:rPr>
                <w:rFonts w:ascii="Times New Roman" w:eastAsia="Times New Roman" w:hAnsi="Times New Roman" w:cs="Times New Roman"/>
                <w:color w:val="333333"/>
                <w:sz w:val="18"/>
                <w:szCs w:val="18"/>
              </w:rPr>
            </w:pPr>
            <w:r w:rsidRPr="006C1526">
              <w:rPr>
                <w:rFonts w:ascii="Times New Roman" w:eastAsia="Times New Roman" w:hAnsi="Times New Roman" w:cs="Times New Roman"/>
                <w:color w:val="333333"/>
                <w:sz w:val="18"/>
                <w:szCs w:val="18"/>
              </w:rPr>
              <w:t xml:space="preserve"> </w:t>
            </w:r>
          </w:p>
          <w:p w14:paraId="5C8440BE" w14:textId="77777777" w:rsidR="00BC5DCD" w:rsidRPr="00BC5DCD" w:rsidRDefault="00BC5DCD" w:rsidP="00BC5DCD">
            <w:pPr>
              <w:shd w:val="clear" w:color="auto" w:fill="FFFFFF"/>
              <w:spacing w:before="120"/>
              <w:jc w:val="both"/>
              <w:rPr>
                <w:rFonts w:ascii="Times New Roman" w:eastAsia="Times New Roman" w:hAnsi="Times New Roman" w:cs="Times New Roman"/>
                <w:color w:val="333333"/>
                <w:sz w:val="18"/>
                <w:szCs w:val="18"/>
              </w:rPr>
            </w:pPr>
          </w:p>
          <w:p w14:paraId="1F105BED" w14:textId="58B4A478" w:rsidR="003C045B" w:rsidRPr="00036F88" w:rsidRDefault="00BC5DCD" w:rsidP="00BC5DCD">
            <w:pPr>
              <w:shd w:val="clear" w:color="auto" w:fill="FFFFFF"/>
              <w:spacing w:before="120"/>
              <w:jc w:val="both"/>
              <w:rPr>
                <w:rFonts w:ascii="Times New Roman" w:eastAsia="Calibri" w:hAnsi="Times New Roman" w:cs="Times New Roman"/>
                <w:iCs/>
                <w:sz w:val="18"/>
                <w:szCs w:val="18"/>
                <w:lang w:val="en-US"/>
              </w:rPr>
            </w:pPr>
            <w:r w:rsidRPr="00BC5DCD">
              <w:rPr>
                <w:rFonts w:ascii="Times New Roman" w:eastAsia="Times New Roman" w:hAnsi="Times New Roman" w:cs="Times New Roman"/>
                <w:color w:val="333333"/>
                <w:sz w:val="18"/>
                <w:szCs w:val="18"/>
              </w:rPr>
              <w:t xml:space="preserve">'1. Autoriteti kompetent i secilit Shtet Anëtar, me anë të shkëmbimit automatik, i komunikon autoritetit kompetent të çdo Shteti tjetër Anëtar të gjithë informacionin që është i disponueshëm në lidhje me banorët e atij Shteti tjetër Anëtar, mbi kategoritë specifike të mëposhtme të të ardhurave dhe kapitalit, siç duhet të kuptohen sipas legjislacionit kombëtar të Shtetit Anëtar që komunikon informacionin: (a) të ardhurat nga punësimi; (b) tarifat e drejtorit; (c) produktet e sigurimit të jetës që nuk mbulohen nga instrumente të tjera ligjore të Bashkimit mbi shkëmbimin e informacionit dhe masa të tjera të ngjashme; (d) pensionet; (e) pronësia dhe të ardhurat nga pasuria e paluajtshme; (f) të drejtat e autorit. Për periudhat tatimore që fillojnë më 1 janar 2024 ose më pas, Shtetet Anëtare duhet të përpiqen të përfshijnë Numrin e Identifikimit Tatimor (NIT) të banorëve të lëshuar nga Shteti Anëtar i rezidencës në komunikimin e informacionit të përmendur në nënparagrafin e parë. Shtetet Anëtare duhet të informojnë Komisionin çdo vit për të paktën dy kategori të të ardhurave dhe kapitalit të listuara në nënparagrafin e parë në lidhje me të cilat ata komunikojnë informacion në lidhje me banorët e një Shteti tjetër Anëtar. 2. Para 1 </w:t>
            </w:r>
            <w:r w:rsidRPr="00BC5DCD">
              <w:rPr>
                <w:rFonts w:ascii="Times New Roman" w:eastAsia="Times New Roman" w:hAnsi="Times New Roman" w:cs="Times New Roman"/>
                <w:color w:val="333333"/>
                <w:sz w:val="18"/>
                <w:szCs w:val="18"/>
              </w:rPr>
              <w:lastRenderedPageBreak/>
              <w:t>janarit 2024, Shtetet Anëtare duhet të informojnë Komisionin për të paktën katër kategori të listuara në nënparagrafin e parë të paragrafit 1, në lidhje me të cilat autoriteti kompetent i secilit Shtet Anëtar, me anë të shkëmbimit automatik, duhet t'i komunikojë autoritetit kompetent të çdo Shteti tjetër Anëtar informacion në lidhje me banorët e atij Shteti tjetër Anëtar. Ky informacion duhet të ketë të bëjë me periudhat tatimore që fillojnë më 1 janar 2025 ose pas kësaj date.</w:t>
            </w:r>
          </w:p>
        </w:tc>
        <w:tc>
          <w:tcPr>
            <w:tcW w:w="540" w:type="dxa"/>
          </w:tcPr>
          <w:p w14:paraId="3E152E78" w14:textId="127DB0ED" w:rsidR="003C045B" w:rsidRPr="00036F88" w:rsidRDefault="003C045B" w:rsidP="003C045B">
            <w:pPr>
              <w:jc w:val="center"/>
              <w:rPr>
                <w:rFonts w:ascii="Times New Roman" w:eastAsia="Calibri" w:hAnsi="Times New Roman" w:cs="Times New Roman"/>
                <w:sz w:val="18"/>
                <w:szCs w:val="18"/>
              </w:rPr>
            </w:pPr>
          </w:p>
        </w:tc>
        <w:tc>
          <w:tcPr>
            <w:tcW w:w="554" w:type="dxa"/>
          </w:tcPr>
          <w:p w14:paraId="0152B602" w14:textId="60B4EB7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5DA75A0D" w14:textId="77777777" w:rsidR="00BC5DCD" w:rsidRDefault="00BC5DCD" w:rsidP="003C045B">
            <w:pPr>
              <w:jc w:val="center"/>
              <w:rPr>
                <w:rFonts w:ascii="Times New Roman" w:hAnsi="Times New Roman" w:cs="Times New Roman"/>
                <w:color w:val="000000" w:themeColor="text1"/>
                <w:sz w:val="18"/>
                <w:szCs w:val="18"/>
              </w:rPr>
            </w:pPr>
          </w:p>
          <w:p w14:paraId="60C707C5" w14:textId="77777777" w:rsidR="00BC5DCD" w:rsidRDefault="00BC5DCD" w:rsidP="003C045B">
            <w:pPr>
              <w:jc w:val="center"/>
              <w:rPr>
                <w:rFonts w:ascii="Times New Roman" w:hAnsi="Times New Roman" w:cs="Times New Roman"/>
                <w:color w:val="000000" w:themeColor="text1"/>
                <w:sz w:val="18"/>
                <w:szCs w:val="18"/>
              </w:rPr>
            </w:pPr>
          </w:p>
          <w:p w14:paraId="0FF9BF8D" w14:textId="7836938A" w:rsidR="003C045B" w:rsidRPr="00036F88" w:rsidRDefault="00BC5DCD" w:rsidP="003C045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N/A</w:t>
            </w:r>
          </w:p>
          <w:p w14:paraId="5D1D16DC" w14:textId="382AF9CE" w:rsidR="003C045B" w:rsidRPr="00036F88" w:rsidRDefault="003C045B" w:rsidP="00BC5DCD">
            <w:pPr>
              <w:ind w:left="1440"/>
              <w:jc w:val="both"/>
              <w:rPr>
                <w:rFonts w:ascii="Times New Roman" w:eastAsia="Calibri" w:hAnsi="Times New Roman" w:cs="Times New Roman"/>
                <w:sz w:val="18"/>
                <w:szCs w:val="18"/>
                <w:lang w:val="en-US"/>
              </w:rPr>
            </w:pPr>
          </w:p>
        </w:tc>
        <w:tc>
          <w:tcPr>
            <w:tcW w:w="720" w:type="dxa"/>
          </w:tcPr>
          <w:p w14:paraId="4002CF3D" w14:textId="4C0A2B14"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55476F6C" w14:textId="77777777" w:rsidR="00622B62" w:rsidRDefault="00BC5DCD" w:rsidP="003C045B">
            <w:pPr>
              <w:rPr>
                <w:rFonts w:ascii="Times New Roman" w:eastAsia="Calibri" w:hAnsi="Times New Roman" w:cs="Times New Roman"/>
                <w:sz w:val="18"/>
                <w:szCs w:val="18"/>
                <w:lang w:val="en-US"/>
              </w:rPr>
            </w:pPr>
            <w:r w:rsidRPr="00BC5DCD">
              <w:rPr>
                <w:rFonts w:ascii="Times New Roman" w:eastAsia="Calibri" w:hAnsi="Times New Roman" w:cs="Times New Roman"/>
                <w:sz w:val="18"/>
                <w:szCs w:val="18"/>
                <w:lang w:val="en-US"/>
              </w:rPr>
              <w:t>Nuk kërkon transpozim. Neni 1(6) lidhet me shkëmbimin automatik të përgjithshëm të DAC-së.</w:t>
            </w:r>
            <w:r w:rsidR="00A02DFB">
              <w:rPr>
                <w:rFonts w:ascii="Times New Roman" w:eastAsia="Calibri" w:hAnsi="Times New Roman" w:cs="Times New Roman"/>
                <w:sz w:val="18"/>
                <w:szCs w:val="18"/>
                <w:lang w:val="en-US"/>
              </w:rPr>
              <w:t xml:space="preserve"> </w:t>
            </w:r>
          </w:p>
          <w:p w14:paraId="47BE8DC8" w14:textId="494DA9D7" w:rsidR="00622B62" w:rsidRDefault="00622B6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Kjo eshte transpozuar ne nenin </w:t>
            </w:r>
            <w:r w:rsidR="005E3878">
              <w:rPr>
                <w:rFonts w:ascii="Times New Roman" w:eastAsia="Calibri" w:hAnsi="Times New Roman" w:cs="Times New Roman"/>
                <w:sz w:val="18"/>
                <w:szCs w:val="18"/>
                <w:lang w:val="en-US"/>
              </w:rPr>
              <w:t>14</w:t>
            </w:r>
            <w:r>
              <w:rPr>
                <w:rFonts w:ascii="Times New Roman" w:eastAsia="Calibri" w:hAnsi="Times New Roman" w:cs="Times New Roman"/>
                <w:sz w:val="18"/>
                <w:szCs w:val="18"/>
                <w:lang w:val="en-US"/>
              </w:rPr>
              <w:t xml:space="preserve"> te ligjit pr DAC e pergjithshem/</w:t>
            </w:r>
          </w:p>
          <w:p w14:paraId="17E79E23" w14:textId="5BE863C1" w:rsidR="00622B62" w:rsidRDefault="00622B62" w:rsidP="00622B62">
            <w:pPr>
              <w:rPr>
                <w:rFonts w:ascii="Times New Roman" w:eastAsia="Calibri" w:hAnsi="Times New Roman" w:cs="Times New Roman"/>
                <w:sz w:val="18"/>
                <w:szCs w:val="18"/>
                <w:lang w:val="en-US"/>
              </w:rPr>
            </w:pPr>
          </w:p>
          <w:p w14:paraId="0DBD0AAB" w14:textId="77777777" w:rsidR="005E3878" w:rsidRPr="005E387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Neni 14</w:t>
            </w:r>
          </w:p>
          <w:p w14:paraId="284F03E9" w14:textId="77777777" w:rsidR="005E3878" w:rsidRPr="005E3878" w:rsidRDefault="005E3878" w:rsidP="005E3878">
            <w:pPr>
              <w:rPr>
                <w:rFonts w:ascii="Times New Roman" w:eastAsia="Calibri" w:hAnsi="Times New Roman" w:cs="Times New Roman"/>
                <w:sz w:val="18"/>
                <w:szCs w:val="18"/>
                <w:lang w:val="en-US"/>
              </w:rPr>
            </w:pPr>
          </w:p>
          <w:p w14:paraId="7A55C78D" w14:textId="77777777" w:rsidR="005E3878" w:rsidRPr="005E387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Numri i Identifikimit të Tatimpaguesit (TIN) dhe cilësia e të dhënave për shkëmbim automatik</w:t>
            </w:r>
          </w:p>
          <w:p w14:paraId="47D5581F" w14:textId="77777777" w:rsidR="005E3878" w:rsidRPr="005E3878" w:rsidRDefault="005E3878" w:rsidP="005E3878">
            <w:pPr>
              <w:rPr>
                <w:rFonts w:ascii="Times New Roman" w:eastAsia="Calibri" w:hAnsi="Times New Roman" w:cs="Times New Roman"/>
                <w:sz w:val="18"/>
                <w:szCs w:val="18"/>
                <w:lang w:val="en-US"/>
              </w:rPr>
            </w:pPr>
          </w:p>
          <w:p w14:paraId="5EA26651" w14:textId="77777777" w:rsidR="005E3878" w:rsidRPr="005E387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1.</w:t>
            </w:r>
            <w:r w:rsidRPr="005E3878">
              <w:rPr>
                <w:rFonts w:ascii="Times New Roman" w:eastAsia="Calibri" w:hAnsi="Times New Roman" w:cs="Times New Roman"/>
                <w:sz w:val="18"/>
                <w:szCs w:val="18"/>
                <w:lang w:val="en-US"/>
              </w:rPr>
              <w:tab/>
              <w:t>Drejtoria e Përgjithshme e Tatimeve përfshin, kur është marrë, numrin e identifikimit tatimor ose ekuivalentin funksional të tij, të lëshuar nga shteti i rezidencës së personit për të cilin komunikohet informacioni, në shkëmbimin automatik të informacionit sipas neneve 11 dhe 12 të këtij ligji</w:t>
            </w:r>
          </w:p>
          <w:p w14:paraId="173C0F17" w14:textId="77777777" w:rsidR="005E3878" w:rsidRPr="005E387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2.</w:t>
            </w:r>
            <w:r w:rsidRPr="005E3878">
              <w:rPr>
                <w:rFonts w:ascii="Times New Roman" w:eastAsia="Calibri" w:hAnsi="Times New Roman" w:cs="Times New Roman"/>
                <w:sz w:val="18"/>
                <w:szCs w:val="18"/>
                <w:lang w:val="en-US"/>
              </w:rPr>
              <w:tab/>
              <w:t xml:space="preserve">Përmes shërbimit elektronik, Drejtoria e Përgjithshme e Tatimeve kryen </w:t>
            </w:r>
            <w:r w:rsidRPr="005E3878">
              <w:rPr>
                <w:rFonts w:ascii="Times New Roman" w:eastAsia="Calibri" w:hAnsi="Times New Roman" w:cs="Times New Roman"/>
                <w:sz w:val="18"/>
                <w:szCs w:val="18"/>
                <w:lang w:val="en-US"/>
              </w:rPr>
              <w:lastRenderedPageBreak/>
              <w:t>verifikimet për vërtetësinë e numrit të identifikimit të individëve dhe subjekteve tatimore dhe kontrollon cilësinë e të dhënave të shkëmbyera sipas Neneve 11 dhe 12, në përputhje me procedurat e përcaktuara me vendim të Këshillit të Ministrave. Ky shërbim u mundëson subjekteve raportuese të marrin konfirmimin elektronik për vlefshmërinë e informacionit mbi numrin e identifikimit të çdo tatimpaguesi që i nënshtrohet shkëmbimit të informacionit.</w:t>
            </w:r>
          </w:p>
          <w:p w14:paraId="761B9AC7" w14:textId="77777777" w:rsidR="005E3878" w:rsidRPr="005E387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3.</w:t>
            </w:r>
            <w:r w:rsidRPr="005E3878">
              <w:rPr>
                <w:rFonts w:ascii="Times New Roman" w:eastAsia="Calibri" w:hAnsi="Times New Roman" w:cs="Times New Roman"/>
                <w:sz w:val="18"/>
                <w:szCs w:val="18"/>
                <w:lang w:val="en-US"/>
              </w:rPr>
              <w:tab/>
              <w:t xml:space="preserve">Drejtoria e Përgjithshme e Tatimeve përgatit dhe i komunikon Komisionit Evropian një vlerësim vjetor të efektivitetit të shkëmbimit automatik të informacionit, përfshirë rezultatet praktike të arritura dhe çdo informacion tjetër të nevojshëm për vlerësimin e bashkëpunimit administrativ në fushën tatimore. </w:t>
            </w:r>
          </w:p>
          <w:p w14:paraId="46D529E2" w14:textId="1C0DB1B1" w:rsidR="003C045B" w:rsidRPr="00036F88" w:rsidRDefault="005E3878" w:rsidP="005E3878">
            <w:pPr>
              <w:rPr>
                <w:rFonts w:ascii="Times New Roman" w:eastAsia="Calibri" w:hAnsi="Times New Roman" w:cs="Times New Roman"/>
                <w:sz w:val="18"/>
                <w:szCs w:val="18"/>
                <w:lang w:val="en-US"/>
              </w:rPr>
            </w:pPr>
            <w:r w:rsidRPr="005E3878">
              <w:rPr>
                <w:rFonts w:ascii="Times New Roman" w:eastAsia="Calibri" w:hAnsi="Times New Roman" w:cs="Times New Roman"/>
                <w:sz w:val="18"/>
                <w:szCs w:val="18"/>
                <w:lang w:val="en-US"/>
              </w:rPr>
              <w:t>4.</w:t>
            </w:r>
            <w:r w:rsidRPr="005E3878">
              <w:rPr>
                <w:rFonts w:ascii="Times New Roman" w:eastAsia="Calibri" w:hAnsi="Times New Roman" w:cs="Times New Roman"/>
                <w:sz w:val="18"/>
                <w:szCs w:val="18"/>
                <w:lang w:val="en-US"/>
              </w:rPr>
              <w:tab/>
              <w:t>Drejtoria e Përgjithshme e Tatimeve mbledh dhe i komunikon Komisionit Evropian statistikat vjetore për shkëmbimet automatike dhe për format e tjera të bashkëpunimit administrativ, sipas listave, formateve dhe afateve të përcaktuara në aktet zbatuese të Bashkimit Evropian dhe në vendimin e Këshillit të Ministrave.</w:t>
            </w:r>
          </w:p>
        </w:tc>
      </w:tr>
      <w:tr w:rsidR="003C045B" w:rsidRPr="00036F88" w14:paraId="1DCD5C89" w14:textId="77777777" w:rsidTr="007C321D">
        <w:tc>
          <w:tcPr>
            <w:tcW w:w="630" w:type="dxa"/>
            <w:shd w:val="clear" w:color="auto" w:fill="D0CECE" w:themeFill="background2" w:themeFillShade="E6"/>
          </w:tcPr>
          <w:p w14:paraId="7B43BA42" w14:textId="7778594C" w:rsidR="003C045B" w:rsidRPr="00036F88" w:rsidRDefault="003C045B" w:rsidP="003C045B">
            <w:pPr>
              <w:jc w:val="center"/>
              <w:rPr>
                <w:rFonts w:ascii="Times New Roman" w:eastAsia="Calibri" w:hAnsi="Times New Roman" w:cs="Times New Roman"/>
                <w:i/>
                <w:iCs/>
                <w:sz w:val="18"/>
                <w:szCs w:val="18"/>
                <w:lang w:val="en-US"/>
              </w:rPr>
            </w:pPr>
          </w:p>
        </w:tc>
        <w:tc>
          <w:tcPr>
            <w:tcW w:w="5400" w:type="dxa"/>
            <w:shd w:val="clear" w:color="auto" w:fill="D0CECE" w:themeFill="background2" w:themeFillShade="E6"/>
          </w:tcPr>
          <w:p w14:paraId="1B89D23B" w14:textId="6320254C" w:rsidR="003C045B" w:rsidRPr="006C1526" w:rsidRDefault="003C045B" w:rsidP="003C045B">
            <w:pPr>
              <w:jc w:val="center"/>
              <w:rPr>
                <w:rFonts w:ascii="Times New Roman" w:eastAsia="Times New Roman" w:hAnsi="Times New Roman" w:cs="Times New Roman"/>
                <w:i/>
                <w:iCs/>
                <w:color w:val="333333"/>
                <w:sz w:val="18"/>
                <w:szCs w:val="18"/>
              </w:rPr>
            </w:pPr>
          </w:p>
          <w:p w14:paraId="178F6F8C" w14:textId="54771548" w:rsidR="003C045B" w:rsidRPr="00036F88" w:rsidRDefault="003C045B" w:rsidP="003C045B">
            <w:pPr>
              <w:jc w:val="center"/>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3947385F" w14:textId="3B8E12E1" w:rsidR="003C045B" w:rsidRPr="00036F88"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2AEEFB19" w14:textId="78CBBFE8" w:rsidR="003C045B" w:rsidRPr="00036F88"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368A282A" w14:textId="42EF7E44" w:rsidR="003C045B" w:rsidRPr="00036F88" w:rsidRDefault="003C045B" w:rsidP="00BC5DCD">
            <w:pPr>
              <w:jc w:val="center"/>
              <w:rPr>
                <w:rFonts w:ascii="Times New Roman" w:eastAsia="Times New Roman" w:hAnsi="Times New Roman" w:cs="Times New Roman"/>
                <w:i/>
                <w:iCs/>
                <w:sz w:val="18"/>
                <w:szCs w:val="18"/>
              </w:rPr>
            </w:pPr>
          </w:p>
        </w:tc>
        <w:tc>
          <w:tcPr>
            <w:tcW w:w="720" w:type="dxa"/>
            <w:shd w:val="clear" w:color="auto" w:fill="D0CECE" w:themeFill="background2" w:themeFillShade="E6"/>
          </w:tcPr>
          <w:p w14:paraId="6D33AE71" w14:textId="29231BD5" w:rsidR="003C045B" w:rsidRPr="00036F88" w:rsidRDefault="003C045B" w:rsidP="003C045B">
            <w:pPr>
              <w:jc w:val="center"/>
              <w:rPr>
                <w:rFonts w:ascii="Times New Roman" w:eastAsia="Calibri" w:hAnsi="Times New Roman" w:cs="Times New Roman"/>
                <w:sz w:val="18"/>
                <w:szCs w:val="18"/>
                <w:highlight w:val="cyan"/>
                <w:lang w:val="en-US"/>
              </w:rPr>
            </w:pPr>
          </w:p>
        </w:tc>
        <w:tc>
          <w:tcPr>
            <w:tcW w:w="3406" w:type="dxa"/>
            <w:shd w:val="clear" w:color="auto" w:fill="D0CECE" w:themeFill="background2" w:themeFillShade="E6"/>
          </w:tcPr>
          <w:p w14:paraId="72B8276C"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27605F4A" w14:textId="77777777" w:rsidTr="007C321D">
        <w:tc>
          <w:tcPr>
            <w:tcW w:w="630" w:type="dxa"/>
            <w:shd w:val="clear" w:color="auto" w:fill="D0CECE" w:themeFill="background2" w:themeFillShade="E6"/>
          </w:tcPr>
          <w:p w14:paraId="544D4079" w14:textId="4E3F96B9" w:rsidR="003C045B" w:rsidRPr="00990A3C" w:rsidRDefault="003C045B" w:rsidP="003C045B">
            <w:pPr>
              <w:rPr>
                <w:rFonts w:ascii="Times New Roman" w:eastAsia="Times New Roman" w:hAnsi="Times New Roman" w:cs="Times New Roman"/>
                <w:sz w:val="18"/>
                <w:szCs w:val="18"/>
                <w:lang w:eastAsia="sq-AL"/>
              </w:rPr>
            </w:pPr>
            <w:r w:rsidRPr="00990A3C">
              <w:rPr>
                <w:rFonts w:ascii="Times New Roman" w:eastAsia="Times New Roman" w:hAnsi="Times New Roman" w:cs="Times New Roman"/>
                <w:sz w:val="18"/>
                <w:szCs w:val="18"/>
                <w:lang w:eastAsia="sq-AL"/>
              </w:rPr>
              <w:t>1</w:t>
            </w:r>
          </w:p>
        </w:tc>
        <w:tc>
          <w:tcPr>
            <w:tcW w:w="5400" w:type="dxa"/>
            <w:shd w:val="clear" w:color="auto" w:fill="D0CECE" w:themeFill="background2" w:themeFillShade="E6"/>
          </w:tcPr>
          <w:p w14:paraId="06FD079B" w14:textId="77777777" w:rsidR="002826E4" w:rsidRPr="002826E4" w:rsidRDefault="002826E4" w:rsidP="002826E4">
            <w:pPr>
              <w:jc w:val="both"/>
              <w:rPr>
                <w:rFonts w:ascii="Times New Roman" w:eastAsia="Times New Roman" w:hAnsi="Times New Roman" w:cs="Times New Roman"/>
                <w:color w:val="333333"/>
                <w:sz w:val="18"/>
                <w:szCs w:val="18"/>
              </w:rPr>
            </w:pPr>
            <w:r w:rsidRPr="002826E4">
              <w:rPr>
                <w:rFonts w:ascii="Times New Roman" w:eastAsia="Times New Roman" w:hAnsi="Times New Roman" w:cs="Times New Roman"/>
                <w:color w:val="333333"/>
                <w:sz w:val="18"/>
                <w:szCs w:val="18"/>
              </w:rPr>
              <w:t>Neni 1(7) (Direktiva 2021/514/BE)</w:t>
            </w:r>
          </w:p>
          <w:p w14:paraId="383B191F" w14:textId="5338264A" w:rsidR="003C045B" w:rsidRPr="002826E4" w:rsidRDefault="002826E4" w:rsidP="002826E4">
            <w:pPr>
              <w:jc w:val="both"/>
              <w:rPr>
                <w:rFonts w:ascii="Times New Roman" w:eastAsia="Times New Roman" w:hAnsi="Times New Roman" w:cs="Times New Roman"/>
                <w:color w:val="333333"/>
                <w:sz w:val="18"/>
                <w:szCs w:val="18"/>
              </w:rPr>
            </w:pPr>
            <w:r w:rsidRPr="002826E4">
              <w:rPr>
                <w:rFonts w:ascii="Times New Roman" w:eastAsia="Times New Roman" w:hAnsi="Times New Roman" w:cs="Times New Roman"/>
                <w:color w:val="333333"/>
                <w:sz w:val="18"/>
                <w:szCs w:val="18"/>
              </w:rPr>
              <w:t>Neni 8a, paragrafi 5, pika (a) (Direktiva 2011/16/BE)</w:t>
            </w:r>
          </w:p>
          <w:p w14:paraId="32AF3B6C" w14:textId="31654630" w:rsidR="003C045B" w:rsidRPr="00990A3C" w:rsidRDefault="003C045B" w:rsidP="003C045B">
            <w:pPr>
              <w:rPr>
                <w:rFonts w:ascii="Times New Roman" w:eastAsia="Times New Roman" w:hAnsi="Times New Roman" w:cs="Times New Roman"/>
                <w:sz w:val="18"/>
                <w:szCs w:val="18"/>
                <w:lang w:eastAsia="sq-AL"/>
              </w:rPr>
            </w:pPr>
          </w:p>
        </w:tc>
        <w:tc>
          <w:tcPr>
            <w:tcW w:w="540" w:type="dxa"/>
            <w:shd w:val="clear" w:color="auto" w:fill="D0CECE" w:themeFill="background2" w:themeFillShade="E6"/>
          </w:tcPr>
          <w:p w14:paraId="4E19E6AD" w14:textId="3144A471"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72640A97" w14:textId="46DD4248" w:rsidR="003C045B" w:rsidRPr="00036F88" w:rsidRDefault="003C045B" w:rsidP="003C045B">
            <w:pPr>
              <w:jc w:val="center"/>
              <w:rPr>
                <w:rFonts w:ascii="Times New Roman" w:eastAsia="Calibri" w:hAnsi="Times New Roman" w:cs="Times New Roman"/>
                <w:sz w:val="18"/>
                <w:szCs w:val="18"/>
                <w:lang w:val="en-US"/>
              </w:rPr>
            </w:pPr>
          </w:p>
        </w:tc>
        <w:tc>
          <w:tcPr>
            <w:tcW w:w="5040" w:type="dxa"/>
            <w:shd w:val="clear" w:color="auto" w:fill="D0CECE" w:themeFill="background2" w:themeFillShade="E6"/>
          </w:tcPr>
          <w:p w14:paraId="02F73593" w14:textId="6CB7163E" w:rsidR="003C045B" w:rsidRPr="00036F88" w:rsidRDefault="003C045B" w:rsidP="002826E4">
            <w:pPr>
              <w:rPr>
                <w:rFonts w:ascii="Times New Roman" w:eastAsia="Calibri" w:hAnsi="Times New Roman" w:cs="Times New Roman"/>
                <w:sz w:val="18"/>
                <w:szCs w:val="18"/>
                <w:lang w:val="en-US"/>
              </w:rPr>
            </w:pPr>
          </w:p>
        </w:tc>
        <w:tc>
          <w:tcPr>
            <w:tcW w:w="720" w:type="dxa"/>
            <w:shd w:val="clear" w:color="auto" w:fill="D0CECE" w:themeFill="background2" w:themeFillShade="E6"/>
          </w:tcPr>
          <w:p w14:paraId="60CEFF79" w14:textId="163E3D01" w:rsidR="003C045B" w:rsidRPr="00036F88"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002BB236"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26A635EE" w14:textId="77777777" w:rsidTr="007C321D">
        <w:trPr>
          <w:trHeight w:val="1875"/>
        </w:trPr>
        <w:tc>
          <w:tcPr>
            <w:tcW w:w="630" w:type="dxa"/>
          </w:tcPr>
          <w:p w14:paraId="37347107" w14:textId="4D5D7C68"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4656593" w14:textId="77777777" w:rsidR="002826E4" w:rsidRPr="002826E4" w:rsidRDefault="002826E4" w:rsidP="002826E4">
            <w:pPr>
              <w:jc w:val="both"/>
              <w:rPr>
                <w:rFonts w:ascii="Times New Roman" w:eastAsia="Times New Roman" w:hAnsi="Times New Roman" w:cs="Times New Roman"/>
                <w:color w:val="333333"/>
                <w:sz w:val="18"/>
                <w:szCs w:val="18"/>
              </w:rPr>
            </w:pPr>
          </w:p>
          <w:p w14:paraId="2C896390" w14:textId="50F68C9F" w:rsidR="003C045B" w:rsidRPr="006C4222" w:rsidRDefault="002826E4" w:rsidP="002826E4">
            <w:pPr>
              <w:shd w:val="clear" w:color="auto" w:fill="FFFFFF"/>
              <w:spacing w:before="120"/>
              <w:jc w:val="both"/>
              <w:rPr>
                <w:rFonts w:ascii="Times New Roman" w:eastAsia="Times New Roman" w:hAnsi="Times New Roman" w:cs="Times New Roman"/>
                <w:vanish/>
                <w:color w:val="333333"/>
                <w:sz w:val="18"/>
                <w:szCs w:val="18"/>
              </w:rPr>
            </w:pPr>
            <w:r w:rsidRPr="002826E4">
              <w:rPr>
                <w:rFonts w:ascii="Times New Roman" w:eastAsia="Times New Roman" w:hAnsi="Times New Roman" w:cs="Times New Roman"/>
                <w:color w:val="333333"/>
                <w:sz w:val="18"/>
                <w:szCs w:val="18"/>
              </w:rPr>
              <w:t>'(a) në lidhje me informacionin e shkëmbyer sipas paragrafit 1 – pa vonesë pasi vendimet paraprake ndërkufitare ose marrëveshjet e çmimeve paraprake të jenë lëshuar, ndryshuar ose rinovuar dhe jo më vonë se tre muaj pas përfundimit të gjysmës së vitit kalendarik gjatë të cilit vendimet paraprake ndërkufitare ose marrëveshjet e çmimeve paraprake janë lëshuar, ndryshuar ose rinovuar;'</w:t>
            </w:r>
          </w:p>
          <w:p w14:paraId="02F6F541" w14:textId="1F16EBB7"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4490F7F0" w14:textId="5E59336E" w:rsidR="003C045B" w:rsidRPr="00036F88" w:rsidRDefault="003C045B" w:rsidP="003C045B">
            <w:pPr>
              <w:jc w:val="center"/>
              <w:rPr>
                <w:rFonts w:ascii="Times New Roman" w:eastAsia="Calibri" w:hAnsi="Times New Roman" w:cs="Times New Roman"/>
                <w:sz w:val="18"/>
                <w:szCs w:val="18"/>
              </w:rPr>
            </w:pPr>
          </w:p>
        </w:tc>
        <w:tc>
          <w:tcPr>
            <w:tcW w:w="554" w:type="dxa"/>
          </w:tcPr>
          <w:p w14:paraId="3A291DFE" w14:textId="0A58977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Borders>
              <w:bottom w:val="dashed" w:sz="4" w:space="0" w:color="auto"/>
            </w:tcBorders>
          </w:tcPr>
          <w:p w14:paraId="0CB73965" w14:textId="77777777" w:rsidR="003C045B" w:rsidRPr="00036F88" w:rsidRDefault="003C045B" w:rsidP="003C045B">
            <w:pPr>
              <w:jc w:val="center"/>
              <w:rPr>
                <w:rFonts w:ascii="Times New Roman" w:eastAsia="Times New Roman" w:hAnsi="Times New Roman" w:cs="Times New Roman"/>
                <w:sz w:val="18"/>
                <w:szCs w:val="18"/>
                <w:lang w:eastAsia="sq-AL"/>
              </w:rPr>
            </w:pPr>
          </w:p>
          <w:p w14:paraId="3486BF7E" w14:textId="217891F3" w:rsidR="003C045B" w:rsidRPr="00036F88" w:rsidRDefault="002826E4" w:rsidP="002826E4">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tcBorders>
              <w:bottom w:val="dashed" w:sz="4" w:space="0" w:color="auto"/>
            </w:tcBorders>
          </w:tcPr>
          <w:p w14:paraId="306D02AA" w14:textId="13E05FB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Borders>
              <w:bottom w:val="dashed" w:sz="4" w:space="0" w:color="auto"/>
            </w:tcBorders>
          </w:tcPr>
          <w:p w14:paraId="7FB5E659" w14:textId="77777777" w:rsidR="002826E4" w:rsidRPr="002826E4" w:rsidRDefault="002826E4" w:rsidP="002826E4">
            <w:pPr>
              <w:rPr>
                <w:rFonts w:ascii="Times New Roman" w:eastAsia="Calibri" w:hAnsi="Times New Roman" w:cs="Times New Roman"/>
                <w:sz w:val="18"/>
                <w:szCs w:val="18"/>
                <w:lang w:val="en-US"/>
              </w:rPr>
            </w:pPr>
            <w:r w:rsidRPr="002826E4">
              <w:rPr>
                <w:rFonts w:ascii="Times New Roman" w:eastAsia="Calibri" w:hAnsi="Times New Roman" w:cs="Times New Roman"/>
                <w:sz w:val="18"/>
                <w:szCs w:val="18"/>
                <w:lang w:val="en-US"/>
              </w:rPr>
              <w:t>Nuk kërkon transpozim.</w:t>
            </w:r>
          </w:p>
          <w:p w14:paraId="610C0EF2" w14:textId="1376BA10" w:rsidR="003C045B" w:rsidRPr="00036F88" w:rsidRDefault="002826E4" w:rsidP="002826E4">
            <w:pPr>
              <w:rPr>
                <w:rFonts w:ascii="Times New Roman" w:eastAsia="Calibri" w:hAnsi="Times New Roman" w:cs="Times New Roman"/>
                <w:sz w:val="18"/>
                <w:szCs w:val="18"/>
                <w:lang w:val="en-US"/>
              </w:rPr>
            </w:pPr>
            <w:r w:rsidRPr="002826E4">
              <w:rPr>
                <w:rFonts w:ascii="Times New Roman" w:eastAsia="Calibri" w:hAnsi="Times New Roman" w:cs="Times New Roman"/>
                <w:sz w:val="18"/>
                <w:szCs w:val="18"/>
                <w:lang w:val="en-US"/>
              </w:rPr>
              <w:t>Fusha e zbatimit të Projektligjit janë operatorët e platformave dhe për këtë arsye nuk pritet të transpozojë Nenin 1(7).</w:t>
            </w:r>
          </w:p>
        </w:tc>
      </w:tr>
      <w:tr w:rsidR="003C045B" w:rsidRPr="00036F88" w14:paraId="6F670772" w14:textId="77777777" w:rsidTr="007C321D">
        <w:trPr>
          <w:trHeight w:val="359"/>
        </w:trPr>
        <w:tc>
          <w:tcPr>
            <w:tcW w:w="630" w:type="dxa"/>
            <w:shd w:val="clear" w:color="auto" w:fill="D0CECE" w:themeFill="background2" w:themeFillShade="E6"/>
          </w:tcPr>
          <w:p w14:paraId="516FA109" w14:textId="662FCCB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0A47D078" w14:textId="77777777" w:rsidR="00B167C6" w:rsidRPr="00B167C6" w:rsidRDefault="00B167C6" w:rsidP="00B167C6">
            <w:pPr>
              <w:contextualSpacing/>
              <w:jc w:val="both"/>
              <w:rPr>
                <w:rFonts w:ascii="Times New Roman" w:eastAsia="Calibri" w:hAnsi="Times New Roman" w:cs="Times New Roman"/>
                <w:iCs/>
                <w:sz w:val="18"/>
                <w:szCs w:val="18"/>
                <w:lang w:val="en-US"/>
              </w:rPr>
            </w:pPr>
            <w:r w:rsidRPr="00B167C6">
              <w:rPr>
                <w:rFonts w:ascii="Times New Roman" w:eastAsia="Calibri" w:hAnsi="Times New Roman" w:cs="Times New Roman"/>
                <w:iCs/>
                <w:sz w:val="18"/>
                <w:szCs w:val="18"/>
                <w:lang w:val="en-US"/>
              </w:rPr>
              <w:t>Neni 1(7) (Direktiva 2021/514/BE)</w:t>
            </w:r>
          </w:p>
          <w:p w14:paraId="14FF2EF8" w14:textId="001544FE" w:rsidR="003C045B" w:rsidRPr="00036F88" w:rsidRDefault="00B167C6" w:rsidP="00B167C6">
            <w:pPr>
              <w:contextualSpacing/>
              <w:jc w:val="both"/>
              <w:rPr>
                <w:rFonts w:ascii="Times New Roman" w:eastAsia="Calibri" w:hAnsi="Times New Roman" w:cs="Times New Roman"/>
                <w:iCs/>
                <w:sz w:val="18"/>
                <w:szCs w:val="18"/>
                <w:lang w:val="en-US"/>
              </w:rPr>
            </w:pPr>
            <w:r w:rsidRPr="00B167C6">
              <w:rPr>
                <w:rFonts w:ascii="Times New Roman" w:eastAsia="Calibri" w:hAnsi="Times New Roman" w:cs="Times New Roman"/>
                <w:iCs/>
                <w:sz w:val="18"/>
                <w:szCs w:val="18"/>
                <w:lang w:val="en-US"/>
              </w:rPr>
              <w:t>Neni 8a, paragrafi 6, pika (b) (Direktiva 2011/16/BE)</w:t>
            </w:r>
          </w:p>
        </w:tc>
        <w:tc>
          <w:tcPr>
            <w:tcW w:w="540" w:type="dxa"/>
            <w:shd w:val="clear" w:color="auto" w:fill="D0CECE" w:themeFill="background2" w:themeFillShade="E6"/>
          </w:tcPr>
          <w:p w14:paraId="5F89BF63" w14:textId="5780ED52"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19D19203" w14:textId="13FC777F" w:rsidR="003C045B" w:rsidRPr="00036F88" w:rsidRDefault="003C045B" w:rsidP="003C045B">
            <w:pPr>
              <w:jc w:val="center"/>
              <w:rPr>
                <w:rFonts w:ascii="Times New Roman" w:eastAsia="Calibri" w:hAnsi="Times New Roman" w:cs="Times New Roman"/>
                <w:sz w:val="18"/>
                <w:szCs w:val="18"/>
                <w:lang w:val="en-US"/>
              </w:rPr>
            </w:pPr>
          </w:p>
        </w:tc>
        <w:tc>
          <w:tcPr>
            <w:tcW w:w="5040" w:type="dxa"/>
            <w:tcBorders>
              <w:bottom w:val="dashed" w:sz="4" w:space="0" w:color="auto"/>
            </w:tcBorders>
            <w:shd w:val="clear" w:color="auto" w:fill="D0CECE" w:themeFill="background2" w:themeFillShade="E6"/>
          </w:tcPr>
          <w:p w14:paraId="58CD9B8B" w14:textId="53D958D5" w:rsidR="003C045B" w:rsidRPr="00036F88" w:rsidRDefault="003C045B" w:rsidP="003C045B">
            <w:pPr>
              <w:jc w:val="center"/>
              <w:rPr>
                <w:rFonts w:ascii="Times New Roman" w:eastAsia="Times New Roman" w:hAnsi="Times New Roman" w:cs="Times New Roman"/>
                <w:sz w:val="18"/>
                <w:szCs w:val="18"/>
                <w:lang w:val="sq-AL" w:eastAsia="sq-AL"/>
              </w:rPr>
            </w:pPr>
            <w:r w:rsidRPr="00036F88">
              <w:rPr>
                <w:rFonts w:ascii="Times New Roman" w:eastAsia="Times New Roman" w:hAnsi="Times New Roman" w:cs="Times New Roman"/>
                <w:sz w:val="18"/>
                <w:szCs w:val="18"/>
                <w:lang w:val="sq-AL" w:eastAsia="sq-AL"/>
              </w:rPr>
              <w:t xml:space="preserve"> </w:t>
            </w:r>
          </w:p>
          <w:p w14:paraId="17DB30F1" w14:textId="77690BF4" w:rsidR="003C045B" w:rsidRPr="00036F88" w:rsidRDefault="003C045B" w:rsidP="003C045B">
            <w:pPr>
              <w:widowControl w:val="0"/>
              <w:tabs>
                <w:tab w:val="left" w:pos="1464"/>
              </w:tabs>
              <w:autoSpaceDE w:val="0"/>
              <w:autoSpaceDN w:val="0"/>
              <w:jc w:val="both"/>
              <w:rPr>
                <w:rFonts w:ascii="Times New Roman" w:hAnsi="Times New Roman" w:cs="Times New Roman"/>
                <w:sz w:val="18"/>
                <w:szCs w:val="18"/>
                <w:lang w:val="en-US"/>
              </w:rPr>
            </w:pPr>
          </w:p>
        </w:tc>
        <w:tc>
          <w:tcPr>
            <w:tcW w:w="720" w:type="dxa"/>
            <w:tcBorders>
              <w:bottom w:val="dashed" w:sz="4" w:space="0" w:color="auto"/>
            </w:tcBorders>
            <w:shd w:val="clear" w:color="auto" w:fill="D0CECE" w:themeFill="background2" w:themeFillShade="E6"/>
          </w:tcPr>
          <w:p w14:paraId="4EF15BB3" w14:textId="167A9313" w:rsidR="003C045B" w:rsidRPr="00036F88" w:rsidRDefault="003C045B" w:rsidP="003C045B">
            <w:pPr>
              <w:jc w:val="center"/>
              <w:rPr>
                <w:rFonts w:ascii="Times New Roman" w:eastAsia="Calibri" w:hAnsi="Times New Roman" w:cs="Times New Roman"/>
                <w:sz w:val="18"/>
                <w:szCs w:val="18"/>
                <w:lang w:val="en-US"/>
              </w:rPr>
            </w:pPr>
          </w:p>
        </w:tc>
        <w:tc>
          <w:tcPr>
            <w:tcW w:w="3406" w:type="dxa"/>
            <w:tcBorders>
              <w:bottom w:val="dashed" w:sz="4" w:space="0" w:color="auto"/>
            </w:tcBorders>
            <w:shd w:val="clear" w:color="auto" w:fill="D0CECE" w:themeFill="background2" w:themeFillShade="E6"/>
          </w:tcPr>
          <w:p w14:paraId="1C57CD2D" w14:textId="70AFF08A" w:rsidR="003C045B" w:rsidRPr="00036F88" w:rsidRDefault="003C045B" w:rsidP="003C045B">
            <w:pPr>
              <w:rPr>
                <w:rFonts w:ascii="Times New Roman" w:eastAsia="Calibri" w:hAnsi="Times New Roman" w:cs="Times New Roman"/>
                <w:sz w:val="18"/>
                <w:szCs w:val="18"/>
                <w:lang w:val="en-US"/>
              </w:rPr>
            </w:pPr>
          </w:p>
        </w:tc>
      </w:tr>
      <w:tr w:rsidR="003C045B" w:rsidRPr="00036F88" w14:paraId="71F4D229" w14:textId="77777777" w:rsidTr="007C321D">
        <w:tc>
          <w:tcPr>
            <w:tcW w:w="630" w:type="dxa"/>
          </w:tcPr>
          <w:p w14:paraId="5E9580EC" w14:textId="38D2E61A"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75716DA" w14:textId="77777777" w:rsidR="00B167C6" w:rsidRPr="00B167C6" w:rsidRDefault="00B167C6" w:rsidP="00B167C6">
            <w:pPr>
              <w:pStyle w:val="Heading2"/>
              <w:spacing w:after="120" w:line="288" w:lineRule="atLeast"/>
              <w:rPr>
                <w:rStyle w:val="legamendingtext"/>
                <w:rFonts w:ascii="Times New Roman" w:hAnsi="Times New Roman" w:cs="Times New Roman"/>
                <w:color w:val="000000"/>
                <w:sz w:val="20"/>
                <w:szCs w:val="19"/>
              </w:rPr>
            </w:pPr>
          </w:p>
          <w:p w14:paraId="1CA8D7E5" w14:textId="13149F96" w:rsidR="003C045B" w:rsidRDefault="00B167C6" w:rsidP="00B167C6">
            <w:pPr>
              <w:pStyle w:val="Heading2"/>
              <w:spacing w:before="0" w:after="120" w:line="288" w:lineRule="atLeast"/>
              <w:rPr>
                <w:rStyle w:val="legamendingtext"/>
                <w:rFonts w:ascii="Times New Roman" w:hAnsi="Times New Roman" w:cs="Times New Roman"/>
                <w:color w:val="000000"/>
                <w:sz w:val="20"/>
                <w:szCs w:val="19"/>
              </w:rPr>
            </w:pPr>
            <w:r w:rsidRPr="00B167C6">
              <w:rPr>
                <w:rStyle w:val="legamendingtext"/>
                <w:rFonts w:ascii="Times New Roman" w:hAnsi="Times New Roman" w:cs="Times New Roman"/>
                <w:color w:val="000000"/>
                <w:sz w:val="20"/>
                <w:szCs w:val="19"/>
              </w:rPr>
              <w:t>'(b) një përmbledhje të vendimit paraprak ndërkufitar ose marrëveshjes paraprake të çmimit, duke përfshirë një përshkrim të aktiviteteve ose transaksioneve përkatëse të biznesit ose serisë së transaksioneve dhe çdo informacion tjetër që mund të ndihmojë autoritetin kompetent në vlerësimin e një rreziku të mundshëm tatimor, pa çuar në zbulimin e një sekreti tregtar, industrial ose profesional ose të një procesi tregtar, ose të informacionit, zbulimi i të cilit do të ishte në kundërshtim me politikën publike;'</w:t>
            </w:r>
          </w:p>
          <w:p w14:paraId="287FB5C7" w14:textId="41F6609D" w:rsidR="003C045B" w:rsidRPr="003C045B" w:rsidRDefault="003C045B" w:rsidP="002826E4">
            <w:pPr>
              <w:pStyle w:val="legclearfix"/>
              <w:shd w:val="clear" w:color="auto" w:fill="FFFFFF"/>
              <w:spacing w:before="0" w:beforeAutospacing="0" w:after="240" w:afterAutospacing="0" w:line="360" w:lineRule="atLeast"/>
              <w:rPr>
                <w:rFonts w:eastAsia="Calibri"/>
                <w:iCs/>
                <w:sz w:val="18"/>
                <w:szCs w:val="18"/>
                <w:lang w:val="en-US"/>
              </w:rPr>
            </w:pPr>
          </w:p>
        </w:tc>
        <w:tc>
          <w:tcPr>
            <w:tcW w:w="540" w:type="dxa"/>
          </w:tcPr>
          <w:p w14:paraId="4801E7A0" w14:textId="1D4E9A6D" w:rsidR="003C045B" w:rsidRPr="00036F88" w:rsidRDefault="003C045B" w:rsidP="003C045B">
            <w:pPr>
              <w:jc w:val="center"/>
              <w:rPr>
                <w:rFonts w:ascii="Times New Roman" w:eastAsia="Calibri" w:hAnsi="Times New Roman" w:cs="Times New Roman"/>
                <w:sz w:val="18"/>
                <w:szCs w:val="18"/>
              </w:rPr>
            </w:pPr>
          </w:p>
        </w:tc>
        <w:tc>
          <w:tcPr>
            <w:tcW w:w="554" w:type="dxa"/>
          </w:tcPr>
          <w:p w14:paraId="6BB648EA" w14:textId="2EBA41F0" w:rsidR="003C045B" w:rsidRPr="003C045B"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611E2320" w14:textId="4840549B" w:rsidR="003C045B" w:rsidRPr="00036F88" w:rsidRDefault="00B167C6" w:rsidP="00B167C6">
            <w:pPr>
              <w:ind w:left="720"/>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tcPr>
          <w:p w14:paraId="5C366860" w14:textId="21C41BB6"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735C3D58" w14:textId="77777777" w:rsidR="00B167C6" w:rsidRPr="00B167C6" w:rsidRDefault="00B167C6" w:rsidP="00B167C6">
            <w:pPr>
              <w:rPr>
                <w:rFonts w:ascii="Times New Roman" w:eastAsia="Calibri" w:hAnsi="Times New Roman" w:cs="Times New Roman"/>
                <w:sz w:val="18"/>
                <w:szCs w:val="18"/>
                <w:lang w:val="en-US"/>
              </w:rPr>
            </w:pPr>
          </w:p>
          <w:p w14:paraId="34AA3F79" w14:textId="77777777" w:rsidR="00B167C6" w:rsidRPr="00B167C6" w:rsidRDefault="00B167C6" w:rsidP="00B167C6">
            <w:pPr>
              <w:rPr>
                <w:rFonts w:ascii="Times New Roman" w:eastAsia="Calibri" w:hAnsi="Times New Roman" w:cs="Times New Roman"/>
                <w:sz w:val="18"/>
                <w:szCs w:val="18"/>
                <w:lang w:val="en-US"/>
              </w:rPr>
            </w:pPr>
            <w:r w:rsidRPr="00B167C6">
              <w:rPr>
                <w:rFonts w:ascii="Times New Roman" w:eastAsia="Calibri" w:hAnsi="Times New Roman" w:cs="Times New Roman"/>
                <w:sz w:val="18"/>
                <w:szCs w:val="18"/>
                <w:lang w:val="en-US"/>
              </w:rPr>
              <w:t>Nuk kërkon transpozim në këtë Ligj.</w:t>
            </w:r>
          </w:p>
          <w:p w14:paraId="0251CB05" w14:textId="77777777" w:rsidR="00B167C6" w:rsidRPr="00B167C6" w:rsidRDefault="00B167C6" w:rsidP="00B167C6">
            <w:pPr>
              <w:rPr>
                <w:rFonts w:ascii="Times New Roman" w:eastAsia="Calibri" w:hAnsi="Times New Roman" w:cs="Times New Roman"/>
                <w:sz w:val="18"/>
                <w:szCs w:val="18"/>
                <w:lang w:val="en-US"/>
              </w:rPr>
            </w:pPr>
          </w:p>
          <w:p w14:paraId="16E62BED" w14:textId="6B2071CC" w:rsidR="00B167C6" w:rsidRPr="00B167C6" w:rsidRDefault="00B167C6" w:rsidP="00B167C6">
            <w:pPr>
              <w:rPr>
                <w:rFonts w:ascii="Times New Roman" w:eastAsia="Calibri" w:hAnsi="Times New Roman" w:cs="Times New Roman"/>
                <w:sz w:val="18"/>
                <w:szCs w:val="18"/>
                <w:lang w:val="en-US"/>
              </w:rPr>
            </w:pPr>
            <w:r w:rsidRPr="00B167C6">
              <w:rPr>
                <w:rFonts w:ascii="Times New Roman" w:eastAsia="Calibri" w:hAnsi="Times New Roman" w:cs="Times New Roman"/>
                <w:sz w:val="18"/>
                <w:szCs w:val="18"/>
                <w:lang w:val="en-US"/>
              </w:rPr>
              <w:t>Kjo dispozitë ka të bëjë me shkëmbimin e paradhënieve ndërkufitare</w:t>
            </w:r>
          </w:p>
          <w:p w14:paraId="172FE3EA" w14:textId="77777777" w:rsidR="00B167C6" w:rsidRPr="00B167C6" w:rsidRDefault="00B167C6" w:rsidP="00B167C6">
            <w:pPr>
              <w:rPr>
                <w:rFonts w:ascii="Times New Roman" w:eastAsia="Calibri" w:hAnsi="Times New Roman" w:cs="Times New Roman"/>
                <w:sz w:val="18"/>
                <w:szCs w:val="18"/>
                <w:lang w:val="en-US"/>
              </w:rPr>
            </w:pPr>
            <w:r w:rsidRPr="00B167C6">
              <w:rPr>
                <w:rFonts w:ascii="Times New Roman" w:eastAsia="Calibri" w:hAnsi="Times New Roman" w:cs="Times New Roman"/>
                <w:sz w:val="18"/>
                <w:szCs w:val="18"/>
                <w:lang w:val="en-US"/>
              </w:rPr>
              <w:t>vendimet dhe marrëveshjet paraprake të çmimeve sipas Nenit 8a të Direktivës</w:t>
            </w:r>
          </w:p>
          <w:p w14:paraId="2C4BC5ED" w14:textId="13569911" w:rsidR="003C045B" w:rsidRPr="00036F88" w:rsidRDefault="00B167C6" w:rsidP="00B167C6">
            <w:pPr>
              <w:rPr>
                <w:rFonts w:ascii="Times New Roman" w:eastAsia="Calibri" w:hAnsi="Times New Roman" w:cs="Times New Roman"/>
                <w:sz w:val="18"/>
                <w:szCs w:val="18"/>
                <w:lang w:val="en-US"/>
              </w:rPr>
            </w:pPr>
            <w:r w:rsidRPr="00B167C6">
              <w:rPr>
                <w:rFonts w:ascii="Times New Roman" w:eastAsia="Calibri" w:hAnsi="Times New Roman" w:cs="Times New Roman"/>
                <w:sz w:val="18"/>
                <w:szCs w:val="18"/>
                <w:lang w:val="en-US"/>
              </w:rPr>
              <w:t>2011/16/BE.</w:t>
            </w:r>
          </w:p>
        </w:tc>
      </w:tr>
      <w:tr w:rsidR="003C045B" w:rsidRPr="00036F88" w14:paraId="5E2E0282" w14:textId="77777777" w:rsidTr="007C321D">
        <w:tc>
          <w:tcPr>
            <w:tcW w:w="630" w:type="dxa"/>
            <w:shd w:val="clear" w:color="auto" w:fill="D0CECE" w:themeFill="background2" w:themeFillShade="E6"/>
          </w:tcPr>
          <w:p w14:paraId="582F7085" w14:textId="1A5C7A5D"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2EFC8173" w14:textId="7C3ADCBE"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AAE473A" w14:textId="129A5E5C"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76B7B6B8" w14:textId="3A7AC312" w:rsidR="003C045B" w:rsidRPr="00036F88" w:rsidRDefault="003C045B" w:rsidP="003C045B">
            <w:pPr>
              <w:jc w:val="center"/>
              <w:rPr>
                <w:rFonts w:ascii="Times New Roman" w:eastAsia="Calibri" w:hAnsi="Times New Roman" w:cs="Times New Roman"/>
                <w:sz w:val="18"/>
                <w:szCs w:val="18"/>
                <w:lang w:val="en-US"/>
              </w:rPr>
            </w:pPr>
          </w:p>
        </w:tc>
        <w:tc>
          <w:tcPr>
            <w:tcW w:w="5040" w:type="dxa"/>
            <w:shd w:val="clear" w:color="auto" w:fill="D0CECE" w:themeFill="background2" w:themeFillShade="E6"/>
          </w:tcPr>
          <w:p w14:paraId="770B5F4C" w14:textId="5944ABAC" w:rsidR="003C045B" w:rsidRPr="00036F88" w:rsidRDefault="003C045B" w:rsidP="00B167C6">
            <w:pPr>
              <w:jc w:val="center"/>
              <w:rPr>
                <w:rFonts w:ascii="Times New Roman" w:eastAsia="Calibri" w:hAnsi="Times New Roman" w:cs="Times New Roman"/>
                <w:sz w:val="18"/>
                <w:szCs w:val="18"/>
                <w:highlight w:val="green"/>
                <w:lang w:val="en-US"/>
              </w:rPr>
            </w:pPr>
          </w:p>
        </w:tc>
        <w:tc>
          <w:tcPr>
            <w:tcW w:w="720" w:type="dxa"/>
            <w:shd w:val="clear" w:color="auto" w:fill="D0CECE" w:themeFill="background2" w:themeFillShade="E6"/>
          </w:tcPr>
          <w:p w14:paraId="0A53E2B2" w14:textId="0DD25647" w:rsidR="003C045B" w:rsidRPr="00036F88"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772B9632"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4C9F021D" w14:textId="77777777" w:rsidTr="007C321D">
        <w:tc>
          <w:tcPr>
            <w:tcW w:w="630" w:type="dxa"/>
          </w:tcPr>
          <w:p w14:paraId="2623294B" w14:textId="316FAF13" w:rsidR="003C045B" w:rsidRPr="00036F88" w:rsidRDefault="003C045B" w:rsidP="003C045B">
            <w:pPr>
              <w:jc w:val="both"/>
              <w:rPr>
                <w:rFonts w:ascii="Times New Roman" w:eastAsia="Calibri" w:hAnsi="Times New Roman" w:cs="Times New Roman"/>
                <w:sz w:val="18"/>
                <w:szCs w:val="18"/>
                <w:lang w:val="en-US"/>
              </w:rPr>
            </w:pPr>
          </w:p>
        </w:tc>
        <w:tc>
          <w:tcPr>
            <w:tcW w:w="5400" w:type="dxa"/>
            <w:vMerge w:val="restart"/>
          </w:tcPr>
          <w:p w14:paraId="54B90540"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Neni 1(8) (Direktiva 2021/514/BE)</w:t>
            </w:r>
          </w:p>
          <w:p w14:paraId="590B4A54"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Neni 8ac (Direktiva 2011/16/BE)</w:t>
            </w:r>
          </w:p>
          <w:p w14:paraId="212F6FCE" w14:textId="77777777" w:rsidR="00703F01" w:rsidRPr="00703F01" w:rsidRDefault="00703F01" w:rsidP="00703F01">
            <w:pPr>
              <w:jc w:val="both"/>
              <w:rPr>
                <w:rFonts w:ascii="Times New Roman" w:eastAsia="Times New Roman" w:hAnsi="Times New Roman" w:cs="Times New Roman"/>
                <w:color w:val="000000"/>
                <w:sz w:val="18"/>
                <w:szCs w:val="18"/>
              </w:rPr>
            </w:pPr>
          </w:p>
          <w:p w14:paraId="33E0EBE8"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Neni 8ac</w:t>
            </w:r>
          </w:p>
          <w:p w14:paraId="56C6F45A"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Fushëveprimi dhe kushtet e shkëmbimit të detyrueshëm automatik të informacionit të raportuar nga Operatorët e Platformës</w:t>
            </w:r>
          </w:p>
          <w:p w14:paraId="29990F11" w14:textId="77777777" w:rsidR="00703F01" w:rsidRPr="00703F01" w:rsidRDefault="00703F01" w:rsidP="00703F01">
            <w:pPr>
              <w:jc w:val="both"/>
              <w:rPr>
                <w:rFonts w:ascii="Times New Roman" w:eastAsia="Times New Roman" w:hAnsi="Times New Roman" w:cs="Times New Roman"/>
                <w:color w:val="000000"/>
                <w:sz w:val="18"/>
                <w:szCs w:val="18"/>
              </w:rPr>
            </w:pPr>
          </w:p>
          <w:p w14:paraId="6FE3C801"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 xml:space="preserve">1. Çdo Shtet Anëtar duhet të marrë masat e nevojshme për t'u kërkuar Operatorëve të Platformës Raportuese të kryejnë procedurat e kujdesit të </w:t>
            </w:r>
            <w:r w:rsidRPr="00703F01">
              <w:rPr>
                <w:rFonts w:ascii="Times New Roman" w:eastAsia="Times New Roman" w:hAnsi="Times New Roman" w:cs="Times New Roman"/>
                <w:color w:val="000000"/>
                <w:sz w:val="18"/>
                <w:szCs w:val="18"/>
              </w:rPr>
              <w:lastRenderedPageBreak/>
              <w:t>duhur dhe të përmbushin kërkesat e raportimit të përcaktuara në Seksionet II dhe III të Shtojcës V. Çdo Shtet Anëtar duhet gjithashtu të sigurojë zbatimin efektiv të masave të tilla dhe pajtueshmërinë me to në përputhje me Seksionin IV të Shtojcës V.</w:t>
            </w:r>
          </w:p>
          <w:p w14:paraId="107CBD7C"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 xml:space="preserve">2. Në përputhje me procedurat e zbatueshme të kujdesit të duhur dhe kërkesat e raportimit të përfshira në Seksionet II dhe III të Shtojcës V, autoriteti kompetent i një Shteti Anëtar ku është kryer raportimi në përputhje me paragrafin 1, me anë të shkëmbimit automatik dhe brenda afatit kohor të përcaktuar në paragrafin 3, do t'i komunikojë autoritetit kompetent të Shtetit Anëtar në të cilin është rezident Shitësi i Raportueshëm, siç përcaktohet në përputhje me paragrafin D të Seksionit II të Shtojcës V dhe, kur Shitësi i Raportueshëm ofron shërbime qiraje të pasurive të paluajtshme, në çdo rast autoritetit kompetent të Shtetit Anëtar në të cilin ndodhet pasuria e paluajtshme, informacionin e mëposhtëm në lidhje me secilin Shitës të Raportueshëm: (a) emrin, adresën e zyrës së regjistruar, NIPT-in dhe, kur është e rëndësishme, numrin individual të identifikimit të caktuar në përputhje me nënparagrafin e parë të paragrafit 4, të Operatorit të Platformës Raportuese, si dhe emrin/emrat e biznesit të Platformës/eve në lidhje me të cilat po raporton Operatori i Platformës Raportuese; (b) emrin dhe mbiemrin e Shitësit të Raportueshëm që është një individ, dhe emrin ligjor të Shitësit të Raportueshëm që është një Entitet; (c) Adresën Kryesore; (d) çdo NIPT i Shitësit të Raportueshëm, duke përfshirë çdo Shtet Anëtar të lëshimit, ose, në mungesë të një NIPT-i, vendin e lindjes së Shitësit të Raportueshëm që është individ; (e) numrin e regjistrimit të biznesit të Shitësit të Raportueshëm që është një Entitet; (f) numrin e identifikimit të TVSH-së të Shitësit të Raportueshëm, kur është i disponueshëm; (g) datën e lindjes së Shitësit të Raportueshëm që është një individ; (h) Identifikuesin e Llogarisë Financiare të cilit i paguhet ose i kreditohet Konsiderata, për aq sa është i disponueshëm për Operatorin e Platformës Raportuese dhe autoritetin kompetent të Shtetit Anëtar ku Shitësi i Raportueshëm është rezident në kuptimin e paragrafit D të Seksionit II të Shtojcës V nuk i ka njoftuar autoritetet kompetente të të gjitha Shteteve të tjera Anëtare se nuk ka ndërmend të përdorë Identifikuesin e Llogarisë Financiare për këtë qëllim; (i) kur është i ndryshëm nga emri i Shitësit të Raportueshëm, përveç Identifikuesit të Llogarisë Financiare, emri i mbajtësit të llogarisë financiare në të cilën paguhet ose kreditohet Konsiderata, në masën që është në dispozicion të Operatorit të Platformës Raportuese, si dhe çdo informacion tjetër </w:t>
            </w:r>
            <w:r w:rsidRPr="00703F01">
              <w:rPr>
                <w:rFonts w:ascii="Times New Roman" w:eastAsia="Times New Roman" w:hAnsi="Times New Roman" w:cs="Times New Roman"/>
                <w:color w:val="000000"/>
                <w:sz w:val="18"/>
                <w:szCs w:val="18"/>
              </w:rPr>
              <w:lastRenderedPageBreak/>
              <w:t>identifikimi financiar në dispozicion të Operatorit të Platformës Raportuese në lidhje me atë mbajtës llogarie; (j) çdo Shtet Anëtar në të cilin është rezident Shitësi i Raportueshëm i përcaktuar në përputhje me paragrafin D të Seksionit II të Shtojcës V; (k) Konsiderata totale e paguar ose e kredituar gjatë çdo tremujori të Periudhës Raportuese dhe numri i Aktiviteteve Përkatëse në lidhje me të cilat është paguar ose kredituar; (l) çdo tarifë, komision ose taksë e mbajtur ose e ngarkuar nga Platforma Raportuese gjatë çdo tremujori të Periudhës Raportuese. Kur Shitësi i Raportueshëm ofron shërbime qiraje të pasurive të paluajtshme, duhet të komunikohet informacioni shtesë i mëposhtëm: (a) adresa e çdo Liste Pronash, e përcaktuar në bazë të procedurave të përcaktuara në paragrafin E të Seksionit II të Shtojcës V dhe numri përkatës i regjistrimit të tokës ose ekuivalenti i tij sipas ligjit kombëtar të Shtetit Anëtar ku ndodhet, kur është në dispozicion; (b) totalin e Konsideratës së paguar ose të kredituar gjatë çdo tremujori të Periudhës Raportuese dhe numrin e Aktiviteteve Përkatëse të ofruara në lidhje me secilën Listë Pronash; (c) kur është e mundur, numrin e ditëve që secila Listë Pronash është marrë me qira gjatë Periudhës Raportuese dhe llojin e secilës Listë Pronash.</w:t>
            </w:r>
          </w:p>
          <w:p w14:paraId="1C7DFFE9"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3. Komunikimi sipas paragrafit 2 të këtij neni duhet të bëhet duke përdorur formatin standard të kompjuterizuar të përmendur në nenin 20(4) brenda dy muajve pas përfundimit të Periudhës së Raportueshme me të cilën lidhen kërkesat e raportimit të zbatueshme për Operatorin e Platformës Raportuese. Informacioni i parë duhet të komunikohet për Periudhat e Raportueshme që nga 1 janari 2023.</w:t>
            </w:r>
          </w:p>
          <w:p w14:paraId="28CF5A86"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 xml:space="preserve">4. Për qëllimin e përmbushjes së kërkesave të raportimit sipas paragrafit 1 të këtij neni, çdo Shtet Anëtar duhet të përcaktojë rregullat e nevojshme për të kërkuar që një Operator Platforme Raportuese, sipas kuptimit të pikës (b) të nënparagrafit A(4) të Seksionit I të Shtojcës V, të regjistrohet brenda Bashkimit. Autoriteti kompetent i Shtetit Anëtar të regjistrimit duhet t'i caktojë një numër identifikimi individual një Operatori të tillë të Platformës Raportuese. Shtetet Anëtare duhet të përcaktojnë rregulla sipas të cilave një Operator Platforme Raportuese mund të zgjedhë të regjistrohet pranë autoritetit kompetent të një Shteti Anëtar të vetëm në përputhje me rregullat e përcaktuara në paragrafin F të Seksionit IV të Shtojcës V. Shtetet Anëtare duhet të marrin masat e nevojshme për të kërkuar që një Operator Platforme Raportuese, sipas kuptimit të pikës (b) të nënparagrafit A(4) të Seksionit I të Shtojcës V, regjistrimi i të cilit është revokuar në përputhje me nënparagrafin F(7) të Seksionit IV të </w:t>
            </w:r>
            <w:r w:rsidRPr="00703F01">
              <w:rPr>
                <w:rFonts w:ascii="Times New Roman" w:eastAsia="Times New Roman" w:hAnsi="Times New Roman" w:cs="Times New Roman"/>
                <w:color w:val="000000"/>
                <w:sz w:val="18"/>
                <w:szCs w:val="18"/>
              </w:rPr>
              <w:lastRenderedPageBreak/>
              <w:t>Shtojcës V, mund të lejohet të riregjistrohet vetëm me kusht që t'u ofrojë autoriteteve të një Shteti Anëtar përkatës siguri të përshtatshme në lidhje me angazhimin e tij për të përmbushur kërkesat e raportimit brenda Bashkimit, duke përfshirë çdo kërkesë raportimi të paplotësuar. Komisioni, me anë të akteve zbatuese, përcakton rregullimet praktike të nevojshme për regjistrimin dhe identifikimin e Operatorëve të Platformës Raportuese. Këto akte zbatuese miratohen në përputhje me procedurën e përmendur në nenin 26(2).</w:t>
            </w:r>
          </w:p>
          <w:p w14:paraId="35D08818"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5. Kur një Operator Platforme konsiderohet të jetë një Operator Platforme i Përjashtuar, autoriteti kompetent i Shtetit Anëtar ku është ofruar demonstrimi në përputhje me nënparagrafin A(3) të Seksionit I të Shtojcës V, duhet të njoftojë autoritetet kompetente të të gjitha Shteteve të tjera Anëtare në përputhje me rrethanat, duke përfshirë çdo ndryshim të mëvonshëm.</w:t>
            </w:r>
          </w:p>
          <w:p w14:paraId="1C01CA27" w14:textId="77777777" w:rsidR="00703F01" w:rsidRPr="00703F01" w:rsidRDefault="00703F01" w:rsidP="00703F01">
            <w:pPr>
              <w:jc w:val="both"/>
              <w:rPr>
                <w:rFonts w:ascii="Times New Roman" w:eastAsia="Times New Roman" w:hAnsi="Times New Roman" w:cs="Times New Roman"/>
                <w:color w:val="000000"/>
                <w:sz w:val="18"/>
                <w:szCs w:val="18"/>
              </w:rPr>
            </w:pPr>
            <w:r w:rsidRPr="00703F01">
              <w:rPr>
                <w:rFonts w:ascii="Times New Roman" w:eastAsia="Times New Roman" w:hAnsi="Times New Roman" w:cs="Times New Roman"/>
                <w:color w:val="000000"/>
                <w:sz w:val="18"/>
                <w:szCs w:val="18"/>
              </w:rPr>
              <w:t>6. Komisioni, deri më 31 dhjetor 2022, do të krijojë një regjistër qendror ku do të regjistrohet informacioni që do të njoftohet në përputhje me paragrafin 5 të këtij neni dhe do të komunikohet në përputhje me nënparagrafin F(2) të Seksionit IV të Shtojcës V. Ky regjistër qendror do të jetë në dispozicion të autoriteteve kompetente të të gjitha Shteteve Anëtare.</w:t>
            </w:r>
          </w:p>
          <w:p w14:paraId="09FD3309" w14:textId="0BB4EDF2" w:rsidR="003C045B" w:rsidRPr="0071079D" w:rsidRDefault="00703F01" w:rsidP="00703F01">
            <w:pPr>
              <w:shd w:val="clear" w:color="auto" w:fill="FFFFFF"/>
              <w:spacing w:before="120"/>
              <w:jc w:val="both"/>
              <w:rPr>
                <w:rFonts w:ascii="Times New Roman" w:eastAsia="Times New Roman" w:hAnsi="Times New Roman" w:cs="Times New Roman"/>
                <w:vanish/>
                <w:color w:val="000000"/>
                <w:sz w:val="18"/>
                <w:szCs w:val="18"/>
              </w:rPr>
            </w:pPr>
            <w:r w:rsidRPr="00703F01">
              <w:rPr>
                <w:rFonts w:ascii="Times New Roman" w:eastAsia="Times New Roman" w:hAnsi="Times New Roman" w:cs="Times New Roman"/>
                <w:color w:val="000000"/>
                <w:sz w:val="18"/>
                <w:szCs w:val="18"/>
              </w:rPr>
              <w:t xml:space="preserve">7. Komisioni, me anë të akteve zbatuese, pas një kërkese të arsyetuar nga një Shtet Anëtar ose me iniciativën e tij, përcakton nëse informacioni që kërkohet të shkëmbehet automatikisht në përputhje me një marrëveshje midis autoriteteve kompetente të Shtetit Anëtar në fjalë dhe një juridiksioni jo-Bashkimi është, sipas kuptimit të nënparagrafit A(7) të Seksionit I të Shtojcës V, ekuivalent me atë të specifikuar në paragrafin B të Seksionit III të Shtojcës V. Këto akte zbatuese miratohen në përputhje me procedurën e përmendur në Nenin 26(2). Një Shtet Anëtar që kërkon masën e përmendur në nënparagrafin e parë i dërgon një kërkesë të arsyetuar Komisionit. Nëse Komisioni konsideron se nuk ka të gjithë informacionin e nevojshëm për vlerësimin e kërkesës, ai duhet të kontaktojë Shtetin Anëtar në fjalë brenda dy muajve nga marrja e kërkesës dhe të specifikojë se çfarë informacioni shtesë kërkohet. Pasi Komisioni të ketë të gjithë informacionin që e konsideron të nevojshëm, ai duhet, brenda një muaji, të njoftojë Shtetin Anëtar kërkues dhe duhet t'ia paraqesë informacionin përkatës Komitetit të përmendur në Nenin 26(2). Kur vepron me iniciativën e vet, Komisioni miraton një akt zbatues siç përmendet në nënparagrafin e parë vetëm pasi një Shtet Anëtar të ketë lidhur një marrëveshje me autoritetin kompetent me një </w:t>
            </w:r>
            <w:r w:rsidRPr="00703F01">
              <w:rPr>
                <w:rFonts w:ascii="Times New Roman" w:eastAsia="Times New Roman" w:hAnsi="Times New Roman" w:cs="Times New Roman"/>
                <w:color w:val="000000"/>
                <w:sz w:val="18"/>
                <w:szCs w:val="18"/>
              </w:rPr>
              <w:lastRenderedPageBreak/>
              <w:t>juridiksion jo-Bashkimi që kërkon shkëmbimin automatik të informacionit mbi shitësit që nxjerrin të ardhura nga aktivitetet e lehtësuara nga Platformat. Kur përcakton nëse informacioni është ekuivalent sipas kuptimit të nënparagrafit të parë në lidhje me një Aktivitet Përkatës, Komisioni merr parasysh masën në të cilën regjimi mbi të cilin bazohet një informacion i tillë korrespondon me atë të përcaktuar në Shtojcën V, në veçanti në lidhje me: (i) përkufizimet e Operatorit të Platformës Raportuese, Shitësit të Raportueshëm, Aktivitetit Përkatës; (ii) procedurat e zbatueshme për qëllimin e identifikimit të Shitësve të Raportueshëm; (iii) kërkesat e raportimit; dhe (iv) rregullat dhe procedurat administrative që juridiksionet jo-Bashkimi duhet të kenë në vend për të siguruar zbatimin efektiv të procedurave të kujdesit të duhur dhe kërkesave të raportimit të përcaktuara në atë regjim. E njëjta procedurë zbatohet për të përcaktuar se informacioni nuk është më ekuivalent.</w:t>
            </w:r>
          </w:p>
          <w:p w14:paraId="2DF3E396" w14:textId="041F37A2" w:rsidR="003C045B" w:rsidRPr="00036F88" w:rsidRDefault="003C045B" w:rsidP="00B167C6">
            <w:pPr>
              <w:shd w:val="clear" w:color="auto" w:fill="FFFFFF"/>
              <w:spacing w:before="120"/>
              <w:jc w:val="both"/>
              <w:rPr>
                <w:rFonts w:ascii="Times New Roman" w:eastAsia="Calibri" w:hAnsi="Times New Roman" w:cs="Times New Roman"/>
                <w:iCs/>
                <w:sz w:val="18"/>
                <w:szCs w:val="18"/>
                <w:lang w:val="en-US"/>
              </w:rPr>
            </w:pPr>
          </w:p>
        </w:tc>
        <w:tc>
          <w:tcPr>
            <w:tcW w:w="540" w:type="dxa"/>
          </w:tcPr>
          <w:p w14:paraId="5C12CE0E" w14:textId="77777777" w:rsidR="003C045B" w:rsidRPr="00036F88" w:rsidRDefault="003C045B" w:rsidP="003C045B">
            <w:pPr>
              <w:jc w:val="center"/>
              <w:rPr>
                <w:rFonts w:ascii="Times New Roman" w:eastAsia="Calibri" w:hAnsi="Times New Roman" w:cs="Times New Roman"/>
                <w:sz w:val="18"/>
                <w:szCs w:val="18"/>
              </w:rPr>
            </w:pPr>
          </w:p>
        </w:tc>
        <w:tc>
          <w:tcPr>
            <w:tcW w:w="554" w:type="dxa"/>
          </w:tcPr>
          <w:p w14:paraId="31FA75E7" w14:textId="4AEF5EC0" w:rsidR="003C045B" w:rsidRPr="00036F88" w:rsidRDefault="003C045B" w:rsidP="003C045B">
            <w:pPr>
              <w:jc w:val="center"/>
              <w:rPr>
                <w:rFonts w:ascii="Times New Roman" w:eastAsia="Calibri" w:hAnsi="Times New Roman" w:cs="Times New Roman"/>
                <w:sz w:val="18"/>
                <w:szCs w:val="18"/>
                <w:lang w:val="en-US"/>
              </w:rPr>
            </w:pPr>
          </w:p>
        </w:tc>
        <w:tc>
          <w:tcPr>
            <w:tcW w:w="5040" w:type="dxa"/>
          </w:tcPr>
          <w:p w14:paraId="0CC43CCB" w14:textId="77777777" w:rsidR="003C045B" w:rsidRPr="00036F88" w:rsidRDefault="003C045B" w:rsidP="003C045B">
            <w:pPr>
              <w:jc w:val="both"/>
              <w:rPr>
                <w:rFonts w:ascii="Times New Roman" w:hAnsi="Times New Roman" w:cs="Times New Roman"/>
                <w:sz w:val="18"/>
                <w:szCs w:val="18"/>
              </w:rPr>
            </w:pPr>
          </w:p>
          <w:p w14:paraId="4A1A120B" w14:textId="56786B3C" w:rsidR="003C045B" w:rsidRPr="00036F88" w:rsidRDefault="003C045B" w:rsidP="00B167C6">
            <w:pPr>
              <w:jc w:val="both"/>
              <w:rPr>
                <w:rFonts w:ascii="Times New Roman" w:hAnsi="Times New Roman" w:cs="Times New Roman"/>
                <w:sz w:val="18"/>
                <w:szCs w:val="18"/>
              </w:rPr>
            </w:pPr>
          </w:p>
          <w:p w14:paraId="7089E5B9" w14:textId="77777777" w:rsidR="003C045B" w:rsidRPr="00036F88" w:rsidRDefault="003C045B" w:rsidP="003C045B">
            <w:pPr>
              <w:rPr>
                <w:rFonts w:ascii="Times New Roman" w:eastAsia="Calibri" w:hAnsi="Times New Roman" w:cs="Times New Roman"/>
                <w:sz w:val="18"/>
                <w:szCs w:val="18"/>
                <w:lang w:val="en-US"/>
              </w:rPr>
            </w:pPr>
          </w:p>
        </w:tc>
        <w:tc>
          <w:tcPr>
            <w:tcW w:w="720" w:type="dxa"/>
          </w:tcPr>
          <w:p w14:paraId="753EE87F" w14:textId="7B67EC1B" w:rsidR="003C045B" w:rsidRPr="00036F88" w:rsidRDefault="003C045B" w:rsidP="003C045B">
            <w:pPr>
              <w:jc w:val="center"/>
              <w:rPr>
                <w:rFonts w:ascii="Times New Roman" w:eastAsia="Calibri" w:hAnsi="Times New Roman" w:cs="Times New Roman"/>
                <w:sz w:val="18"/>
                <w:szCs w:val="18"/>
                <w:lang w:val="en-US"/>
              </w:rPr>
            </w:pPr>
          </w:p>
        </w:tc>
        <w:tc>
          <w:tcPr>
            <w:tcW w:w="3406" w:type="dxa"/>
          </w:tcPr>
          <w:p w14:paraId="096A4328" w14:textId="77777777" w:rsidR="003C045B" w:rsidRPr="00036F88" w:rsidRDefault="003C045B" w:rsidP="00703F01">
            <w:pPr>
              <w:pBdr>
                <w:top w:val="nil"/>
                <w:left w:val="nil"/>
                <w:bottom w:val="nil"/>
                <w:right w:val="nil"/>
                <w:between w:val="nil"/>
              </w:pBdr>
              <w:spacing w:before="120"/>
              <w:jc w:val="both"/>
              <w:rPr>
                <w:rFonts w:ascii="Times New Roman" w:eastAsia="Calibri" w:hAnsi="Times New Roman" w:cs="Times New Roman"/>
                <w:sz w:val="18"/>
                <w:szCs w:val="18"/>
                <w:lang w:val="en-US"/>
              </w:rPr>
            </w:pPr>
          </w:p>
        </w:tc>
      </w:tr>
      <w:tr w:rsidR="003C045B" w:rsidRPr="00036F88" w14:paraId="6BF88948" w14:textId="77777777" w:rsidTr="007C321D">
        <w:tc>
          <w:tcPr>
            <w:tcW w:w="630" w:type="dxa"/>
          </w:tcPr>
          <w:p w14:paraId="0B20EF4D" w14:textId="5065F7F9" w:rsidR="003C045B" w:rsidRPr="00036F88" w:rsidRDefault="003C045B" w:rsidP="003C045B">
            <w:pPr>
              <w:jc w:val="both"/>
              <w:rPr>
                <w:rFonts w:ascii="Times New Roman" w:eastAsia="Calibri" w:hAnsi="Times New Roman" w:cs="Times New Roman"/>
                <w:sz w:val="18"/>
                <w:szCs w:val="18"/>
                <w:lang w:val="en-US"/>
              </w:rPr>
            </w:pPr>
          </w:p>
        </w:tc>
        <w:tc>
          <w:tcPr>
            <w:tcW w:w="5400" w:type="dxa"/>
            <w:vMerge/>
          </w:tcPr>
          <w:p w14:paraId="09890B82" w14:textId="19AB0185"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082FE915" w14:textId="77777777"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1A3D1163" w14:textId="5877D4EA" w:rsidR="003C045B" w:rsidRPr="00036F88" w:rsidRDefault="003C045B" w:rsidP="003C045B">
            <w:pPr>
              <w:jc w:val="center"/>
              <w:rPr>
                <w:rFonts w:ascii="Times New Roman" w:eastAsia="Calibri" w:hAnsi="Times New Roman" w:cs="Times New Roman"/>
                <w:sz w:val="18"/>
                <w:szCs w:val="18"/>
                <w:lang w:val="en-US"/>
              </w:rPr>
            </w:pPr>
          </w:p>
        </w:tc>
        <w:tc>
          <w:tcPr>
            <w:tcW w:w="5040" w:type="dxa"/>
            <w:shd w:val="clear" w:color="auto" w:fill="D0CECE" w:themeFill="background2" w:themeFillShade="E6"/>
          </w:tcPr>
          <w:p w14:paraId="2E9B7F3C" w14:textId="77777777" w:rsidR="00D20ACD" w:rsidRPr="006E4603" w:rsidRDefault="00D20ACD" w:rsidP="006E4603">
            <w:pPr>
              <w:pStyle w:val="NoSpacing"/>
              <w:jc w:val="center"/>
              <w:rPr>
                <w:rFonts w:ascii="Times New Roman" w:hAnsi="Times New Roman" w:cs="Times New Roman"/>
                <w:b/>
                <w:sz w:val="18"/>
                <w:szCs w:val="18"/>
              </w:rPr>
            </w:pPr>
            <w:r w:rsidRPr="006E4603">
              <w:rPr>
                <w:rFonts w:ascii="Times New Roman" w:hAnsi="Times New Roman" w:cs="Times New Roman"/>
                <w:b/>
                <w:sz w:val="18"/>
                <w:szCs w:val="18"/>
              </w:rPr>
              <w:t>Neni 1</w:t>
            </w:r>
          </w:p>
          <w:p w14:paraId="33D0B877" w14:textId="1E6CF1F3" w:rsidR="003C045B" w:rsidRPr="00036F88" w:rsidRDefault="00D20ACD" w:rsidP="006E4603">
            <w:pPr>
              <w:jc w:val="center"/>
              <w:rPr>
                <w:rFonts w:ascii="Times New Roman" w:eastAsia="Calibri" w:hAnsi="Times New Roman" w:cs="Times New Roman"/>
                <w:sz w:val="18"/>
                <w:szCs w:val="18"/>
                <w:lang w:val="en-US"/>
              </w:rPr>
            </w:pPr>
            <w:r w:rsidRPr="006E4603">
              <w:rPr>
                <w:rFonts w:ascii="Times New Roman" w:hAnsi="Times New Roman" w:cs="Times New Roman"/>
                <w:b/>
                <w:sz w:val="18"/>
                <w:szCs w:val="18"/>
              </w:rPr>
              <w:t>Objekti dhe fusha e zbatimit</w:t>
            </w:r>
          </w:p>
        </w:tc>
        <w:tc>
          <w:tcPr>
            <w:tcW w:w="720" w:type="dxa"/>
            <w:shd w:val="clear" w:color="auto" w:fill="D0CECE" w:themeFill="background2" w:themeFillShade="E6"/>
          </w:tcPr>
          <w:p w14:paraId="69417B3B" w14:textId="249C425F" w:rsidR="003C045B" w:rsidRPr="00036F88"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102163A6"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1E24074C" w14:textId="77777777" w:rsidTr="007C321D">
        <w:trPr>
          <w:trHeight w:val="195"/>
        </w:trPr>
        <w:tc>
          <w:tcPr>
            <w:tcW w:w="630" w:type="dxa"/>
          </w:tcPr>
          <w:p w14:paraId="38B76EEA" w14:textId="0FAAC394" w:rsidR="003C045B" w:rsidRPr="00036F88" w:rsidRDefault="003C045B" w:rsidP="003C045B">
            <w:pPr>
              <w:jc w:val="both"/>
              <w:rPr>
                <w:rFonts w:ascii="Times New Roman" w:eastAsia="Calibri" w:hAnsi="Times New Roman" w:cs="Times New Roman"/>
                <w:sz w:val="18"/>
                <w:szCs w:val="18"/>
                <w:lang w:val="en-US"/>
              </w:rPr>
            </w:pPr>
          </w:p>
        </w:tc>
        <w:tc>
          <w:tcPr>
            <w:tcW w:w="5400" w:type="dxa"/>
            <w:vMerge/>
          </w:tcPr>
          <w:p w14:paraId="7026E63D" w14:textId="4E82EC29"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6C8670AB" w14:textId="4A9781CC" w:rsidR="003C045B" w:rsidRPr="00036F88" w:rsidRDefault="003C045B" w:rsidP="003C045B">
            <w:pPr>
              <w:rPr>
                <w:rFonts w:ascii="Times New Roman" w:eastAsia="Calibri" w:hAnsi="Times New Roman" w:cs="Times New Roman"/>
                <w:sz w:val="18"/>
                <w:szCs w:val="18"/>
              </w:rPr>
            </w:pPr>
          </w:p>
        </w:tc>
        <w:tc>
          <w:tcPr>
            <w:tcW w:w="554" w:type="dxa"/>
          </w:tcPr>
          <w:p w14:paraId="60B1392A" w14:textId="7C9F9750" w:rsidR="003C045B" w:rsidRDefault="00113DE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Neni </w:t>
            </w:r>
            <w:r w:rsidR="00190825">
              <w:rPr>
                <w:rFonts w:ascii="Times New Roman" w:eastAsia="Calibri" w:hAnsi="Times New Roman" w:cs="Times New Roman"/>
                <w:sz w:val="18"/>
                <w:szCs w:val="18"/>
                <w:lang w:val="en-US"/>
              </w:rPr>
              <w:t xml:space="preserve">1                       </w:t>
            </w:r>
          </w:p>
          <w:p w14:paraId="127E5A18" w14:textId="77777777" w:rsidR="00190825" w:rsidRDefault="00190825" w:rsidP="003C045B">
            <w:pPr>
              <w:rPr>
                <w:rFonts w:ascii="Times New Roman" w:eastAsia="Calibri" w:hAnsi="Times New Roman" w:cs="Times New Roman"/>
                <w:sz w:val="18"/>
                <w:szCs w:val="18"/>
                <w:lang w:val="en-US"/>
              </w:rPr>
            </w:pPr>
          </w:p>
          <w:p w14:paraId="4DBB03AC" w14:textId="77777777" w:rsidR="00190825" w:rsidRDefault="00190825" w:rsidP="003C045B">
            <w:pPr>
              <w:rPr>
                <w:rFonts w:ascii="Times New Roman" w:eastAsia="Calibri" w:hAnsi="Times New Roman" w:cs="Times New Roman"/>
                <w:sz w:val="18"/>
                <w:szCs w:val="18"/>
                <w:lang w:val="en-US"/>
              </w:rPr>
            </w:pPr>
          </w:p>
          <w:p w14:paraId="1B101488" w14:textId="1B0556DE" w:rsidR="00190825" w:rsidRPr="00036F88" w:rsidRDefault="00113DE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Neni</w:t>
            </w:r>
            <w:r w:rsidR="00190825">
              <w:rPr>
                <w:rFonts w:ascii="Times New Roman" w:eastAsia="Calibri" w:hAnsi="Times New Roman" w:cs="Times New Roman"/>
                <w:sz w:val="18"/>
                <w:szCs w:val="18"/>
                <w:lang w:val="en-US"/>
              </w:rPr>
              <w:t xml:space="preserve"> 14</w:t>
            </w:r>
          </w:p>
        </w:tc>
        <w:tc>
          <w:tcPr>
            <w:tcW w:w="5040" w:type="dxa"/>
            <w:tcBorders>
              <w:bottom w:val="dashed" w:sz="4" w:space="0" w:color="auto"/>
            </w:tcBorders>
          </w:tcPr>
          <w:p w14:paraId="66B1BC9F" w14:textId="77777777" w:rsidR="006E4603" w:rsidRPr="006E4603" w:rsidRDefault="006E4603" w:rsidP="006E4603">
            <w:pPr>
              <w:jc w:val="both"/>
              <w:rPr>
                <w:rFonts w:ascii="Times New Roman" w:hAnsi="Times New Roman" w:cs="Times New Roman"/>
                <w:sz w:val="18"/>
                <w:szCs w:val="18"/>
              </w:rPr>
            </w:pPr>
            <w:r w:rsidRPr="006E4603">
              <w:rPr>
                <w:rFonts w:ascii="Times New Roman" w:hAnsi="Times New Roman" w:cs="Times New Roman"/>
                <w:sz w:val="18"/>
                <w:szCs w:val="18"/>
              </w:rPr>
              <w:lastRenderedPageBreak/>
              <w:t>1.</w:t>
            </w:r>
            <w:r w:rsidRPr="006E4603">
              <w:rPr>
                <w:rFonts w:ascii="Times New Roman" w:hAnsi="Times New Roman" w:cs="Times New Roman"/>
                <w:sz w:val="18"/>
                <w:szCs w:val="18"/>
              </w:rPr>
              <w:tab/>
              <w:t xml:space="preserve">Ky ligj rregullon bashkëpunimin administrativ në fushën tatimore ndërmjet autoriteteve kompetente të shteteve anëtare të Bashkimit Evropian, nëpërmjet shkëmbimit automatik dhe të detyrueshëm të informacionit të mbledhur nga operatorët e </w:t>
            </w:r>
            <w:r w:rsidRPr="006E4603">
              <w:rPr>
                <w:rFonts w:ascii="Times New Roman" w:hAnsi="Times New Roman" w:cs="Times New Roman"/>
                <w:sz w:val="18"/>
                <w:szCs w:val="18"/>
              </w:rPr>
              <w:lastRenderedPageBreak/>
              <w:t>platformave me detyrim raportimi, në përputhje me nenin 8ac të Direktivës 2011/16/BE të Këshillit, siç është ndryshuar.</w:t>
            </w:r>
          </w:p>
          <w:p w14:paraId="4B9E1433" w14:textId="77777777" w:rsidR="006E4603" w:rsidRPr="006E4603" w:rsidRDefault="006E4603" w:rsidP="006E4603">
            <w:pPr>
              <w:jc w:val="both"/>
              <w:rPr>
                <w:rFonts w:ascii="Times New Roman" w:hAnsi="Times New Roman" w:cs="Times New Roman"/>
                <w:sz w:val="18"/>
                <w:szCs w:val="18"/>
              </w:rPr>
            </w:pPr>
          </w:p>
          <w:p w14:paraId="0A79CCB6" w14:textId="77777777" w:rsidR="006E4603" w:rsidRPr="006E4603" w:rsidRDefault="006E4603" w:rsidP="006E4603">
            <w:pPr>
              <w:jc w:val="both"/>
              <w:rPr>
                <w:rFonts w:ascii="Times New Roman" w:hAnsi="Times New Roman" w:cs="Times New Roman"/>
                <w:sz w:val="18"/>
                <w:szCs w:val="18"/>
              </w:rPr>
            </w:pPr>
            <w:r w:rsidRPr="006E4603">
              <w:rPr>
                <w:rFonts w:ascii="Times New Roman" w:hAnsi="Times New Roman" w:cs="Times New Roman"/>
                <w:sz w:val="18"/>
                <w:szCs w:val="18"/>
              </w:rPr>
              <w:t>2.</w:t>
            </w:r>
            <w:r w:rsidRPr="006E4603">
              <w:rPr>
                <w:rFonts w:ascii="Times New Roman" w:hAnsi="Times New Roman" w:cs="Times New Roman"/>
                <w:sz w:val="18"/>
                <w:szCs w:val="18"/>
              </w:rPr>
              <w:tab/>
              <w:t>Ky ligj zbatohet në përputhje me rregullat e bashkëpunimit administrativ në fushën tatimore lidhur me:</w:t>
            </w:r>
          </w:p>
          <w:p w14:paraId="7DAF0FF8" w14:textId="77777777" w:rsidR="006E4603" w:rsidRPr="006E4603" w:rsidRDefault="006E4603" w:rsidP="006E4603">
            <w:pPr>
              <w:jc w:val="both"/>
              <w:rPr>
                <w:rFonts w:ascii="Times New Roman" w:hAnsi="Times New Roman" w:cs="Times New Roman"/>
                <w:sz w:val="18"/>
                <w:szCs w:val="18"/>
              </w:rPr>
            </w:pPr>
            <w:r w:rsidRPr="006E4603">
              <w:rPr>
                <w:rFonts w:ascii="Times New Roman" w:hAnsi="Times New Roman" w:cs="Times New Roman"/>
                <w:sz w:val="18"/>
                <w:szCs w:val="18"/>
              </w:rPr>
              <w:t>a) strukturën dhe funksionimin e shkëmbimit automatik të informacionit;</w:t>
            </w:r>
          </w:p>
          <w:p w14:paraId="4004A397" w14:textId="77777777" w:rsidR="006E4603" w:rsidRPr="006E4603" w:rsidRDefault="006E4603" w:rsidP="006E4603">
            <w:pPr>
              <w:jc w:val="both"/>
              <w:rPr>
                <w:rFonts w:ascii="Times New Roman" w:hAnsi="Times New Roman" w:cs="Times New Roman"/>
                <w:sz w:val="18"/>
                <w:szCs w:val="18"/>
              </w:rPr>
            </w:pPr>
            <w:r w:rsidRPr="006E4603">
              <w:rPr>
                <w:rFonts w:ascii="Times New Roman" w:hAnsi="Times New Roman" w:cs="Times New Roman"/>
                <w:sz w:val="18"/>
                <w:szCs w:val="18"/>
              </w:rPr>
              <w:t>b) mbrojtjen e të dhënave personale dhe konfidencialitetin;</w:t>
            </w:r>
          </w:p>
          <w:p w14:paraId="65FDFDD7" w14:textId="0D04B37F" w:rsidR="003C045B" w:rsidRPr="00036F88" w:rsidRDefault="006E4603" w:rsidP="006E4603">
            <w:pPr>
              <w:jc w:val="both"/>
              <w:rPr>
                <w:rFonts w:ascii="Times New Roman" w:hAnsi="Times New Roman" w:cs="Times New Roman"/>
                <w:sz w:val="18"/>
                <w:szCs w:val="18"/>
              </w:rPr>
            </w:pPr>
            <w:r w:rsidRPr="006E4603">
              <w:rPr>
                <w:rFonts w:ascii="Times New Roman" w:hAnsi="Times New Roman" w:cs="Times New Roman"/>
                <w:sz w:val="18"/>
                <w:szCs w:val="18"/>
              </w:rPr>
              <w:t>c) përdorimin e lejuar të informacionit, sipas përcaktimeve të Direktivës 2011/16/BE, siç është ndryshuar.</w:t>
            </w:r>
          </w:p>
          <w:p w14:paraId="75F308B9" w14:textId="77777777" w:rsidR="005331A6" w:rsidRDefault="005331A6" w:rsidP="006E4603">
            <w:pPr>
              <w:pStyle w:val="NoSpacing"/>
              <w:jc w:val="both"/>
              <w:rPr>
                <w:rFonts w:ascii="Times New Roman" w:hAnsi="Times New Roman" w:cs="Times New Roman"/>
                <w:sz w:val="18"/>
                <w:szCs w:val="18"/>
              </w:rPr>
            </w:pPr>
          </w:p>
          <w:p w14:paraId="5F15A1B1" w14:textId="05EBEFE3" w:rsidR="003C045B" w:rsidRDefault="005331A6" w:rsidP="00703F01">
            <w:pPr>
              <w:pStyle w:val="NoSpacing"/>
              <w:jc w:val="both"/>
              <w:rPr>
                <w:rFonts w:ascii="Times New Roman" w:eastAsia="Calibri" w:hAnsi="Times New Roman" w:cs="Times New Roman"/>
                <w:sz w:val="18"/>
                <w:szCs w:val="18"/>
                <w:lang w:val="en-US"/>
              </w:rPr>
            </w:pPr>
            <w:r>
              <w:rPr>
                <w:rFonts w:ascii="Times New Roman" w:hAnsi="Times New Roman" w:cs="Times New Roman"/>
                <w:sz w:val="18"/>
                <w:szCs w:val="18"/>
              </w:rPr>
              <w:t xml:space="preserve"> </w:t>
            </w:r>
          </w:p>
          <w:p w14:paraId="10EE2EF1" w14:textId="77777777" w:rsidR="00703F01" w:rsidRDefault="00703F01" w:rsidP="00703F01">
            <w:pPr>
              <w:pStyle w:val="NoSpacing"/>
              <w:jc w:val="both"/>
              <w:rPr>
                <w:rFonts w:ascii="Times New Roman" w:eastAsia="Calibri" w:hAnsi="Times New Roman" w:cs="Times New Roman"/>
                <w:sz w:val="18"/>
                <w:szCs w:val="18"/>
                <w:lang w:val="en-US"/>
              </w:rPr>
            </w:pPr>
          </w:p>
          <w:p w14:paraId="48F06F20" w14:textId="77777777" w:rsidR="006E4603" w:rsidRDefault="006E4603" w:rsidP="005331A6">
            <w:pPr>
              <w:pStyle w:val="NoSpacing"/>
              <w:jc w:val="both"/>
              <w:rPr>
                <w:rFonts w:ascii="Times New Roman" w:eastAsia="Calibri" w:hAnsi="Times New Roman" w:cs="Times New Roman"/>
                <w:b/>
                <w:bCs/>
                <w:sz w:val="18"/>
                <w:szCs w:val="18"/>
                <w:lang w:val="en-US"/>
              </w:rPr>
            </w:pPr>
          </w:p>
          <w:p w14:paraId="28E1E655" w14:textId="77777777" w:rsidR="006E4603" w:rsidRDefault="006E4603" w:rsidP="005331A6">
            <w:pPr>
              <w:pStyle w:val="NoSpacing"/>
              <w:jc w:val="both"/>
              <w:rPr>
                <w:rFonts w:ascii="Times New Roman" w:eastAsia="Calibri" w:hAnsi="Times New Roman" w:cs="Times New Roman"/>
                <w:b/>
                <w:bCs/>
                <w:sz w:val="18"/>
                <w:szCs w:val="18"/>
                <w:lang w:val="en-US"/>
              </w:rPr>
            </w:pPr>
          </w:p>
          <w:p w14:paraId="37769473" w14:textId="77777777" w:rsidR="006E4603" w:rsidRDefault="006E4603" w:rsidP="005331A6">
            <w:pPr>
              <w:pStyle w:val="NoSpacing"/>
              <w:jc w:val="both"/>
              <w:rPr>
                <w:rFonts w:ascii="Times New Roman" w:eastAsia="Calibri" w:hAnsi="Times New Roman" w:cs="Times New Roman"/>
                <w:b/>
                <w:bCs/>
                <w:sz w:val="18"/>
                <w:szCs w:val="18"/>
                <w:lang w:val="en-US"/>
              </w:rPr>
            </w:pPr>
          </w:p>
          <w:p w14:paraId="70ADC723" w14:textId="77777777" w:rsidR="006E4603" w:rsidRDefault="006E4603" w:rsidP="005331A6">
            <w:pPr>
              <w:pStyle w:val="NoSpacing"/>
              <w:jc w:val="both"/>
              <w:rPr>
                <w:rFonts w:ascii="Times New Roman" w:eastAsia="Calibri" w:hAnsi="Times New Roman" w:cs="Times New Roman"/>
                <w:b/>
                <w:bCs/>
                <w:sz w:val="18"/>
                <w:szCs w:val="18"/>
                <w:lang w:val="en-US"/>
              </w:rPr>
            </w:pPr>
          </w:p>
          <w:p w14:paraId="2E4A9C26" w14:textId="77777777" w:rsidR="006E4603" w:rsidRPr="006E4603" w:rsidRDefault="006E4603" w:rsidP="006E4603">
            <w:pPr>
              <w:pStyle w:val="NoSpacing"/>
              <w:jc w:val="center"/>
              <w:rPr>
                <w:rFonts w:ascii="Times New Roman" w:eastAsia="Calibri" w:hAnsi="Times New Roman" w:cs="Times New Roman"/>
                <w:b/>
                <w:bCs/>
                <w:sz w:val="18"/>
                <w:szCs w:val="18"/>
                <w:lang w:val="en-US"/>
              </w:rPr>
            </w:pPr>
            <w:r w:rsidRPr="006E4603">
              <w:rPr>
                <w:rFonts w:ascii="Times New Roman" w:eastAsia="Calibri" w:hAnsi="Times New Roman" w:cs="Times New Roman"/>
                <w:b/>
                <w:bCs/>
                <w:sz w:val="18"/>
                <w:szCs w:val="18"/>
                <w:lang w:val="en-US"/>
              </w:rPr>
              <w:t>Neni 14</w:t>
            </w:r>
          </w:p>
          <w:p w14:paraId="7F552775" w14:textId="77777777" w:rsidR="006E4603" w:rsidRPr="006E4603" w:rsidRDefault="006E4603" w:rsidP="006E4603">
            <w:pPr>
              <w:pStyle w:val="NoSpacing"/>
              <w:jc w:val="center"/>
              <w:rPr>
                <w:rFonts w:ascii="Times New Roman" w:eastAsia="Calibri" w:hAnsi="Times New Roman" w:cs="Times New Roman"/>
                <w:b/>
                <w:bCs/>
                <w:sz w:val="18"/>
                <w:szCs w:val="18"/>
                <w:lang w:val="en-US"/>
              </w:rPr>
            </w:pPr>
            <w:r w:rsidRPr="006E4603">
              <w:rPr>
                <w:rFonts w:ascii="Times New Roman" w:eastAsia="Calibri" w:hAnsi="Times New Roman" w:cs="Times New Roman"/>
                <w:b/>
                <w:bCs/>
                <w:sz w:val="18"/>
                <w:szCs w:val="18"/>
                <w:lang w:val="en-US"/>
              </w:rPr>
              <w:t>Shkëmbimi i informacionit</w:t>
            </w:r>
          </w:p>
          <w:p w14:paraId="00D7A28D" w14:textId="77777777" w:rsidR="006E4603" w:rsidRPr="006E4603" w:rsidRDefault="006E4603" w:rsidP="006E4603">
            <w:pPr>
              <w:pStyle w:val="NoSpacing"/>
              <w:jc w:val="both"/>
              <w:rPr>
                <w:rFonts w:ascii="Times New Roman" w:eastAsia="Calibri" w:hAnsi="Times New Roman" w:cs="Times New Roman"/>
                <w:bCs/>
                <w:sz w:val="18"/>
                <w:szCs w:val="18"/>
                <w:lang w:val="en-US"/>
              </w:rPr>
            </w:pPr>
            <w:r w:rsidRPr="006E4603">
              <w:rPr>
                <w:rFonts w:ascii="Times New Roman" w:eastAsia="Calibri" w:hAnsi="Times New Roman" w:cs="Times New Roman"/>
                <w:bCs/>
                <w:sz w:val="18"/>
                <w:szCs w:val="18"/>
                <w:lang w:val="en-US"/>
              </w:rPr>
              <w:t>1.</w:t>
            </w:r>
            <w:r w:rsidRPr="006E4603">
              <w:rPr>
                <w:rFonts w:ascii="Times New Roman" w:eastAsia="Calibri" w:hAnsi="Times New Roman" w:cs="Times New Roman"/>
                <w:bCs/>
                <w:sz w:val="18"/>
                <w:szCs w:val="18"/>
                <w:lang w:val="en-US"/>
              </w:rPr>
              <w:tab/>
              <w:t>Drejtoria e Përgjithshme e Tatimeve shkëmben automatikisht informacionin e përcaktuar në Nenin 13 tek autoritetet kompetente të shtetit anëtar ku shitësi është rezident dhe, kur është e aplikueshme, tek autoritetet kompetente të shtetit anëtar ku ndodhet prona e paluajtshme që jepet me qira.</w:t>
            </w:r>
          </w:p>
          <w:p w14:paraId="6B83B630" w14:textId="77777777" w:rsidR="006E4603" w:rsidRPr="006E4603" w:rsidRDefault="006E4603" w:rsidP="006E4603">
            <w:pPr>
              <w:pStyle w:val="NoSpacing"/>
              <w:jc w:val="both"/>
              <w:rPr>
                <w:rFonts w:ascii="Times New Roman" w:eastAsia="Calibri" w:hAnsi="Times New Roman" w:cs="Times New Roman"/>
                <w:bCs/>
                <w:sz w:val="18"/>
                <w:szCs w:val="18"/>
                <w:lang w:val="en-US"/>
              </w:rPr>
            </w:pPr>
            <w:r w:rsidRPr="006E4603">
              <w:rPr>
                <w:rFonts w:ascii="Times New Roman" w:eastAsia="Calibri" w:hAnsi="Times New Roman" w:cs="Times New Roman"/>
                <w:bCs/>
                <w:sz w:val="18"/>
                <w:szCs w:val="18"/>
                <w:lang w:val="en-US"/>
              </w:rPr>
              <w:t>2.</w:t>
            </w:r>
            <w:r w:rsidRPr="006E4603">
              <w:rPr>
                <w:rFonts w:ascii="Times New Roman" w:eastAsia="Calibri" w:hAnsi="Times New Roman" w:cs="Times New Roman"/>
                <w:bCs/>
                <w:sz w:val="18"/>
                <w:szCs w:val="18"/>
                <w:lang w:val="en-US"/>
              </w:rPr>
              <w:tab/>
              <w:t xml:space="preserve">Dërgimi i informacionit bëhet brenda dy muajve pas përfundimit të vitit kalendarik përkatës; shkëmbimi i parë i informacionit realizohet brenda dy muajve nga përfundimi i vitit të parë të raportimit Drejtoria e Përgjithshme e Tatimeve siguron që të gjitha të dhënat të transmetohen në përputhje me ligjin për bashkëpunimin administrativ në fushën e tatimeve dhe shkëmbimit të informacionit tatimor, </w:t>
            </w:r>
          </w:p>
          <w:p w14:paraId="5F0B4009" w14:textId="36F14DC5" w:rsidR="006E4603" w:rsidRPr="006E4603" w:rsidRDefault="006E4603" w:rsidP="006E4603">
            <w:pPr>
              <w:pStyle w:val="NoSpacing"/>
              <w:jc w:val="both"/>
              <w:rPr>
                <w:rFonts w:ascii="Times New Roman" w:eastAsia="Calibri" w:hAnsi="Times New Roman" w:cs="Times New Roman"/>
                <w:bCs/>
                <w:sz w:val="18"/>
                <w:szCs w:val="18"/>
                <w:lang w:val="en-US"/>
              </w:rPr>
            </w:pPr>
            <w:r w:rsidRPr="006E4603">
              <w:rPr>
                <w:rFonts w:ascii="Times New Roman" w:eastAsia="Calibri" w:hAnsi="Times New Roman" w:cs="Times New Roman"/>
                <w:bCs/>
                <w:sz w:val="18"/>
                <w:szCs w:val="18"/>
                <w:lang w:val="en-US"/>
              </w:rPr>
              <w:t>3.</w:t>
            </w:r>
            <w:r w:rsidRPr="006E4603">
              <w:rPr>
                <w:rFonts w:ascii="Times New Roman" w:eastAsia="Calibri" w:hAnsi="Times New Roman" w:cs="Times New Roman"/>
                <w:bCs/>
                <w:sz w:val="18"/>
                <w:szCs w:val="18"/>
                <w:lang w:val="en-US"/>
              </w:rPr>
              <w:tab/>
              <w:t>Modalitetet, formatet dhe afatet e detajuara të shkëmbimit të informacionit përcaktohen me vendim të këshillit të ministrave, në përputhje me ligjin për bashkëpunimin administrativ në fushën e tatimeve dhe shkëmbimit të informacionit tatimor.</w:t>
            </w:r>
          </w:p>
          <w:p w14:paraId="52F0762E" w14:textId="0CD3341D" w:rsidR="00703F01" w:rsidRPr="00036F88" w:rsidRDefault="00703F01" w:rsidP="005331A6">
            <w:pPr>
              <w:pStyle w:val="NoSpacing"/>
              <w:jc w:val="both"/>
              <w:rPr>
                <w:rFonts w:ascii="Times New Roman" w:eastAsia="Calibri" w:hAnsi="Times New Roman" w:cs="Times New Roman"/>
                <w:sz w:val="18"/>
                <w:szCs w:val="18"/>
                <w:lang w:val="en-US"/>
              </w:rPr>
            </w:pPr>
          </w:p>
        </w:tc>
        <w:tc>
          <w:tcPr>
            <w:tcW w:w="720" w:type="dxa"/>
            <w:tcBorders>
              <w:bottom w:val="dashed" w:sz="4" w:space="0" w:color="auto"/>
            </w:tcBorders>
          </w:tcPr>
          <w:p w14:paraId="6DF29534" w14:textId="1D82E752"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F</w:t>
            </w:r>
          </w:p>
        </w:tc>
        <w:tc>
          <w:tcPr>
            <w:tcW w:w="3406" w:type="dxa"/>
            <w:tcBorders>
              <w:bottom w:val="dashed" w:sz="4" w:space="0" w:color="auto"/>
            </w:tcBorders>
          </w:tcPr>
          <w:p w14:paraId="3D4B4908" w14:textId="77777777" w:rsidR="00A02DFB" w:rsidRPr="00A02DFB" w:rsidRDefault="00A02DFB" w:rsidP="00A02DFB">
            <w:pPr>
              <w:pBdr>
                <w:top w:val="nil"/>
                <w:left w:val="nil"/>
                <w:bottom w:val="nil"/>
                <w:right w:val="nil"/>
                <w:between w:val="nil"/>
              </w:pBdr>
              <w:spacing w:before="120"/>
              <w:ind w:left="360"/>
              <w:jc w:val="both"/>
              <w:rPr>
                <w:rFonts w:ascii="Times New Roman" w:eastAsia="Calibri" w:hAnsi="Times New Roman" w:cs="Times New Roman"/>
                <w:sz w:val="18"/>
                <w:szCs w:val="18"/>
                <w:lang w:val="en-US"/>
              </w:rPr>
            </w:pPr>
          </w:p>
          <w:p w14:paraId="0E52EB92" w14:textId="1582425F" w:rsidR="003C045B" w:rsidRPr="00036F88" w:rsidRDefault="006E4603" w:rsidP="006E4603">
            <w:pPr>
              <w:pBdr>
                <w:top w:val="nil"/>
                <w:left w:val="nil"/>
                <w:bottom w:val="nil"/>
                <w:right w:val="nil"/>
                <w:between w:val="nil"/>
              </w:pBdr>
              <w:spacing w:before="120"/>
              <w:ind w:left="360"/>
              <w:rPr>
                <w:rFonts w:ascii="Times New Roman" w:eastAsia="Calibri" w:hAnsi="Times New Roman" w:cs="Times New Roman"/>
                <w:sz w:val="18"/>
                <w:szCs w:val="18"/>
                <w:lang w:val="en-US"/>
              </w:rPr>
            </w:pPr>
            <w:r w:rsidRPr="006E4603">
              <w:rPr>
                <w:rFonts w:ascii="Times New Roman" w:eastAsia="Calibri" w:hAnsi="Times New Roman" w:cs="Times New Roman"/>
                <w:sz w:val="18"/>
                <w:szCs w:val="18"/>
                <w:lang w:val="en-US"/>
              </w:rPr>
              <w:lastRenderedPageBreak/>
              <w:t>Neni 1(8) i Direktivës (BE) 2021/514, që prezanton Nenin 8ac dhe Shtojcën V në Direktivën 2011/16/BE, zbatohet përmes projektligjit në tërësi. Nenet 2–17 vendosin në mënyrë kolektive detyrimet për kujdesin e duhur, kërkesat për raportim, procedurat e regjistrimit, masat e zbatimit dhe sanksionet e kërkuara sipas Shtojcës V.</w:t>
            </w:r>
          </w:p>
        </w:tc>
      </w:tr>
      <w:tr w:rsidR="003C045B" w:rsidRPr="00036F88" w14:paraId="7CCF4510" w14:textId="77777777" w:rsidTr="007C321D">
        <w:trPr>
          <w:trHeight w:val="269"/>
        </w:trPr>
        <w:tc>
          <w:tcPr>
            <w:tcW w:w="630" w:type="dxa"/>
          </w:tcPr>
          <w:p w14:paraId="6738BE7B" w14:textId="7C2C631E"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59C8C178" w14:textId="77777777" w:rsidR="00FE6EDB" w:rsidRPr="00FE6EDB" w:rsidRDefault="00FE6EDB" w:rsidP="00FE6EDB">
            <w:pPr>
              <w:jc w:val="both"/>
              <w:rPr>
                <w:rFonts w:ascii="Times New Roman" w:eastAsia="Calibri" w:hAnsi="Times New Roman" w:cs="Times New Roman"/>
                <w:iCs/>
                <w:sz w:val="18"/>
                <w:szCs w:val="18"/>
                <w:lang w:val="en-US"/>
              </w:rPr>
            </w:pPr>
            <w:r w:rsidRPr="00FE6EDB">
              <w:rPr>
                <w:rFonts w:ascii="Times New Roman" w:eastAsia="Calibri" w:hAnsi="Times New Roman" w:cs="Times New Roman"/>
                <w:iCs/>
                <w:sz w:val="18"/>
                <w:szCs w:val="18"/>
                <w:lang w:val="en-US"/>
              </w:rPr>
              <w:t>Neni 1(9) (Direktiva 2021/514/BE)</w:t>
            </w:r>
          </w:p>
          <w:p w14:paraId="05B2F968" w14:textId="77777777" w:rsidR="00FE6EDB" w:rsidRPr="00FE6EDB" w:rsidRDefault="00FE6EDB" w:rsidP="00FE6EDB">
            <w:pPr>
              <w:jc w:val="both"/>
              <w:rPr>
                <w:rFonts w:ascii="Times New Roman" w:eastAsia="Calibri" w:hAnsi="Times New Roman" w:cs="Times New Roman"/>
                <w:iCs/>
                <w:sz w:val="18"/>
                <w:szCs w:val="18"/>
                <w:lang w:val="en-US"/>
              </w:rPr>
            </w:pPr>
            <w:r w:rsidRPr="00FE6EDB">
              <w:rPr>
                <w:rFonts w:ascii="Times New Roman" w:eastAsia="Calibri" w:hAnsi="Times New Roman" w:cs="Times New Roman"/>
                <w:iCs/>
                <w:sz w:val="18"/>
                <w:szCs w:val="18"/>
                <w:lang w:val="en-US"/>
              </w:rPr>
              <w:t>Neni 8b, paragrafi 1 (Direktiva 2011/16/BE)</w:t>
            </w:r>
          </w:p>
          <w:p w14:paraId="06F066A7" w14:textId="4677C77A"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9CED585" w14:textId="7F7BABB9"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1B0652E2" w14:textId="4486B933" w:rsidR="003C045B" w:rsidRPr="00036F88" w:rsidRDefault="003C045B" w:rsidP="003C045B">
            <w:pPr>
              <w:jc w:val="center"/>
              <w:rPr>
                <w:rFonts w:ascii="Times New Roman" w:eastAsia="Calibri" w:hAnsi="Times New Roman" w:cs="Times New Roman"/>
                <w:sz w:val="18"/>
                <w:szCs w:val="18"/>
                <w:lang w:val="en-US"/>
              </w:rPr>
            </w:pPr>
          </w:p>
        </w:tc>
        <w:tc>
          <w:tcPr>
            <w:tcW w:w="5040" w:type="dxa"/>
            <w:tcBorders>
              <w:bottom w:val="dashed" w:sz="4" w:space="0" w:color="auto"/>
            </w:tcBorders>
            <w:shd w:val="clear" w:color="auto" w:fill="D0CECE" w:themeFill="background2" w:themeFillShade="E6"/>
          </w:tcPr>
          <w:p w14:paraId="5CA65582" w14:textId="0176C596" w:rsidR="003C045B" w:rsidRPr="00036F88" w:rsidRDefault="003C045B" w:rsidP="00FE6EDB">
            <w:pPr>
              <w:jc w:val="center"/>
              <w:rPr>
                <w:rFonts w:ascii="Times New Roman" w:eastAsia="Calibri" w:hAnsi="Times New Roman" w:cs="Times New Roman"/>
                <w:sz w:val="18"/>
                <w:szCs w:val="18"/>
                <w:lang w:val="en-US"/>
              </w:rPr>
            </w:pPr>
          </w:p>
        </w:tc>
        <w:tc>
          <w:tcPr>
            <w:tcW w:w="720" w:type="dxa"/>
            <w:tcBorders>
              <w:bottom w:val="dashed" w:sz="4" w:space="0" w:color="auto"/>
            </w:tcBorders>
            <w:shd w:val="clear" w:color="auto" w:fill="D0CECE" w:themeFill="background2" w:themeFillShade="E6"/>
          </w:tcPr>
          <w:p w14:paraId="742B38E9" w14:textId="251DC0B6" w:rsidR="003C045B" w:rsidRPr="00036F88" w:rsidRDefault="003C045B" w:rsidP="003C045B">
            <w:pPr>
              <w:jc w:val="center"/>
              <w:rPr>
                <w:rFonts w:ascii="Times New Roman" w:eastAsia="Calibri" w:hAnsi="Times New Roman" w:cs="Times New Roman"/>
                <w:sz w:val="18"/>
                <w:szCs w:val="18"/>
                <w:lang w:val="en-US"/>
              </w:rPr>
            </w:pPr>
          </w:p>
        </w:tc>
        <w:tc>
          <w:tcPr>
            <w:tcW w:w="3406" w:type="dxa"/>
            <w:tcBorders>
              <w:bottom w:val="dashed" w:sz="4" w:space="0" w:color="auto"/>
            </w:tcBorders>
            <w:shd w:val="clear" w:color="auto" w:fill="D0CECE" w:themeFill="background2" w:themeFillShade="E6"/>
          </w:tcPr>
          <w:p w14:paraId="393336EF"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12DBA1A2" w14:textId="77777777" w:rsidTr="007C321D">
        <w:tc>
          <w:tcPr>
            <w:tcW w:w="630" w:type="dxa"/>
          </w:tcPr>
          <w:p w14:paraId="369979A3" w14:textId="79F430B9"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4A87F8E8" w14:textId="77777777" w:rsidR="00FE6EDB" w:rsidRPr="00FE6EDB" w:rsidRDefault="00FE6EDB" w:rsidP="00FE6EDB">
            <w:pPr>
              <w:jc w:val="both"/>
              <w:rPr>
                <w:rFonts w:ascii="Times New Roman" w:eastAsia="Calibri" w:hAnsi="Times New Roman" w:cs="Times New Roman"/>
                <w:iCs/>
                <w:sz w:val="18"/>
                <w:szCs w:val="18"/>
                <w:lang w:val="en-US"/>
              </w:rPr>
            </w:pPr>
          </w:p>
          <w:p w14:paraId="38DC41C0" w14:textId="5D64B5D2" w:rsidR="003C045B" w:rsidRPr="00FE6EDB" w:rsidRDefault="00FE6EDB" w:rsidP="00FE6EDB">
            <w:pPr>
              <w:jc w:val="both"/>
              <w:rPr>
                <w:rFonts w:ascii="Times New Roman" w:eastAsia="Calibri" w:hAnsi="Times New Roman" w:cs="Times New Roman"/>
                <w:iCs/>
                <w:sz w:val="18"/>
                <w:szCs w:val="18"/>
                <w:lang w:val="en-US"/>
              </w:rPr>
            </w:pPr>
            <w:r w:rsidRPr="00FE6EDB">
              <w:rPr>
                <w:rFonts w:ascii="Times New Roman" w:eastAsia="Calibri" w:hAnsi="Times New Roman" w:cs="Times New Roman"/>
                <w:iCs/>
                <w:sz w:val="18"/>
                <w:szCs w:val="18"/>
                <w:lang w:val="en-US"/>
              </w:rPr>
              <w:t>'1. Shtetet Anëtare i japin Komisionit çdo vit statistika mbi vëllimin e shkëmbimeve automatike sipas neneve 8(1), 8(3a), 8aa dhe 8ac dhe informacion mbi kostot dhe përfitimet administrative dhe të tjera përkatëse që lidhen me shkëmbimet që kanë ndodhur dhe çdo ndryshim të mundshëm, si për administratat tatimore ashtu edhe për palët e treta.'</w:t>
            </w:r>
          </w:p>
        </w:tc>
        <w:tc>
          <w:tcPr>
            <w:tcW w:w="540" w:type="dxa"/>
          </w:tcPr>
          <w:p w14:paraId="565A294E" w14:textId="77777777" w:rsidR="003C045B" w:rsidRPr="00036F88" w:rsidRDefault="003C045B" w:rsidP="003C045B">
            <w:pPr>
              <w:jc w:val="center"/>
              <w:rPr>
                <w:rFonts w:ascii="Times New Roman" w:eastAsia="Calibri" w:hAnsi="Times New Roman" w:cs="Times New Roman"/>
                <w:sz w:val="18"/>
                <w:szCs w:val="18"/>
              </w:rPr>
            </w:pPr>
          </w:p>
        </w:tc>
        <w:tc>
          <w:tcPr>
            <w:tcW w:w="554" w:type="dxa"/>
          </w:tcPr>
          <w:p w14:paraId="1D58BF6A" w14:textId="77777777" w:rsidR="00D2162C" w:rsidRDefault="00D2162C" w:rsidP="003C045B">
            <w:pPr>
              <w:jc w:val="center"/>
              <w:rPr>
                <w:rFonts w:ascii="Times New Roman" w:eastAsia="Calibri" w:hAnsi="Times New Roman" w:cs="Times New Roman"/>
                <w:sz w:val="18"/>
                <w:szCs w:val="18"/>
                <w:lang w:val="en-US"/>
              </w:rPr>
            </w:pPr>
          </w:p>
          <w:p w14:paraId="646F798E" w14:textId="48BD32F5"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7DADCA8E" w14:textId="77777777" w:rsidR="00FE6EDB" w:rsidRDefault="00FE6EDB" w:rsidP="00FE6EDB">
            <w:pPr>
              <w:spacing w:before="100" w:beforeAutospacing="1" w:after="100" w:afterAutospacing="1"/>
              <w:jc w:val="center"/>
              <w:rPr>
                <w:rFonts w:ascii="Times New Roman" w:eastAsia="Calibri" w:hAnsi="Times New Roman" w:cs="Times New Roman"/>
                <w:sz w:val="18"/>
                <w:szCs w:val="18"/>
                <w:lang w:val="en-US"/>
              </w:rPr>
            </w:pPr>
          </w:p>
          <w:p w14:paraId="2397275C" w14:textId="2837BF2C" w:rsidR="003C045B" w:rsidRPr="00036F88" w:rsidRDefault="00FE6EDB" w:rsidP="00FE6EDB">
            <w:pPr>
              <w:spacing w:before="100" w:beforeAutospacing="1" w:after="100" w:afterAutospacing="1"/>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tcPr>
          <w:p w14:paraId="485FF3CC" w14:textId="77777777" w:rsidR="00D2162C" w:rsidRDefault="00D2162C" w:rsidP="003C045B">
            <w:pPr>
              <w:jc w:val="center"/>
              <w:rPr>
                <w:rFonts w:ascii="Times New Roman" w:eastAsia="Calibri" w:hAnsi="Times New Roman" w:cs="Times New Roman"/>
                <w:sz w:val="18"/>
                <w:szCs w:val="18"/>
                <w:lang w:val="en-US"/>
              </w:rPr>
            </w:pPr>
          </w:p>
          <w:p w14:paraId="78CDC80A" w14:textId="41F103C4"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5D6C08E4" w14:textId="68268135" w:rsidR="00FE6EDB" w:rsidRPr="00FE6EDB" w:rsidRDefault="00FE6EDB" w:rsidP="00FE6EDB">
            <w:pPr>
              <w:rPr>
                <w:rFonts w:ascii="Times New Roman" w:eastAsia="Calibri" w:hAnsi="Times New Roman" w:cs="Times New Roman"/>
                <w:iCs/>
                <w:sz w:val="18"/>
                <w:szCs w:val="18"/>
                <w:lang w:val="en-US"/>
              </w:rPr>
            </w:pPr>
            <w:r w:rsidRPr="00FE6EDB">
              <w:rPr>
                <w:rFonts w:ascii="Times New Roman" w:eastAsia="Calibri" w:hAnsi="Times New Roman" w:cs="Times New Roman"/>
                <w:iCs/>
                <w:sz w:val="18"/>
                <w:szCs w:val="18"/>
                <w:lang w:val="en-US"/>
              </w:rPr>
              <w:t>Nuk kërkon transpozim</w:t>
            </w:r>
          </w:p>
          <w:p w14:paraId="09801CC0" w14:textId="64191FA4" w:rsidR="003C045B" w:rsidRPr="00036F88" w:rsidRDefault="00FE6EDB" w:rsidP="003C045B">
            <w:pPr>
              <w:rPr>
                <w:rFonts w:ascii="Times New Roman" w:eastAsia="Calibri" w:hAnsi="Times New Roman" w:cs="Times New Roman"/>
                <w:sz w:val="18"/>
                <w:szCs w:val="18"/>
                <w:lang w:val="en-US"/>
              </w:rPr>
            </w:pPr>
            <w:r w:rsidRPr="00FE6EDB">
              <w:rPr>
                <w:rFonts w:ascii="Times New Roman" w:eastAsia="Calibri" w:hAnsi="Times New Roman" w:cs="Times New Roman"/>
                <w:sz w:val="18"/>
                <w:szCs w:val="18"/>
                <w:lang w:val="en-US"/>
              </w:rPr>
              <w:t xml:space="preserve">Projektligji rregullon vetëm shkëmbimin automatik të informacionit </w:t>
            </w:r>
            <w:r w:rsidR="006E4603">
              <w:rPr>
                <w:rFonts w:ascii="Times New Roman" w:eastAsia="Calibri" w:hAnsi="Times New Roman" w:cs="Times New Roman"/>
                <w:sz w:val="18"/>
                <w:szCs w:val="18"/>
                <w:lang w:val="en-US"/>
              </w:rPr>
              <w:t>për</w:t>
            </w:r>
            <w:r w:rsidRPr="00FE6EDB">
              <w:rPr>
                <w:rFonts w:ascii="Times New Roman" w:eastAsia="Calibri" w:hAnsi="Times New Roman" w:cs="Times New Roman"/>
                <w:sz w:val="18"/>
                <w:szCs w:val="18"/>
                <w:lang w:val="en-US"/>
              </w:rPr>
              <w:t xml:space="preserve"> operatorët e platformave raportuese sipas Nenit 8ac / Shtojcës V.</w:t>
            </w:r>
          </w:p>
        </w:tc>
      </w:tr>
      <w:tr w:rsidR="003C045B" w:rsidRPr="00036F88" w14:paraId="0355879C" w14:textId="77777777" w:rsidTr="007C321D">
        <w:tc>
          <w:tcPr>
            <w:tcW w:w="630" w:type="dxa"/>
            <w:shd w:val="clear" w:color="auto" w:fill="D0CECE" w:themeFill="background2" w:themeFillShade="E6"/>
          </w:tcPr>
          <w:p w14:paraId="0ED479F4"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5400" w:type="dxa"/>
            <w:shd w:val="clear" w:color="auto" w:fill="D0CECE" w:themeFill="background2" w:themeFillShade="E6"/>
          </w:tcPr>
          <w:p w14:paraId="048B4E5D" w14:textId="77777777" w:rsidR="00A40F57" w:rsidRPr="00A40F57" w:rsidRDefault="00A40F57" w:rsidP="00A40F57">
            <w:pPr>
              <w:pStyle w:val="Heading1"/>
              <w:rPr>
                <w:rFonts w:ascii="Times New Roman" w:eastAsia="Calibri" w:hAnsi="Times New Roman" w:cs="Times New Roman"/>
                <w:iCs/>
                <w:color w:val="auto"/>
                <w:sz w:val="18"/>
                <w:szCs w:val="18"/>
                <w:lang w:val="en-US"/>
              </w:rPr>
            </w:pPr>
            <w:r w:rsidRPr="00A40F57">
              <w:rPr>
                <w:rFonts w:ascii="Times New Roman" w:eastAsia="Calibri" w:hAnsi="Times New Roman" w:cs="Times New Roman"/>
                <w:iCs/>
                <w:color w:val="auto"/>
                <w:sz w:val="18"/>
                <w:szCs w:val="18"/>
                <w:lang w:val="en-US"/>
              </w:rPr>
              <w:t>Neni 1(10) (Direktiva 2021/514/BE)</w:t>
            </w:r>
          </w:p>
          <w:p w14:paraId="08573EAA" w14:textId="6F49EC39" w:rsidR="003C045B" w:rsidRPr="00990A3C" w:rsidRDefault="00A40F57" w:rsidP="00A40F57">
            <w:pPr>
              <w:pStyle w:val="Heading1"/>
              <w:rPr>
                <w:rFonts w:ascii="Times New Roman" w:eastAsia="Calibri" w:hAnsi="Times New Roman" w:cs="Times New Roman"/>
                <w:i/>
                <w:iCs/>
                <w:color w:val="auto"/>
                <w:sz w:val="18"/>
                <w:szCs w:val="18"/>
                <w:lang w:val="en-US"/>
              </w:rPr>
            </w:pPr>
            <w:r w:rsidRPr="00A40F57">
              <w:rPr>
                <w:rFonts w:ascii="Times New Roman" w:eastAsia="Calibri" w:hAnsi="Times New Roman" w:cs="Times New Roman"/>
                <w:iCs/>
                <w:color w:val="auto"/>
                <w:sz w:val="18"/>
                <w:szCs w:val="18"/>
                <w:lang w:val="en-US"/>
              </w:rPr>
              <w:t>Neni 11, paragrafi 1 (Direktiva 2011/16/BE)</w:t>
            </w:r>
          </w:p>
        </w:tc>
        <w:tc>
          <w:tcPr>
            <w:tcW w:w="540" w:type="dxa"/>
            <w:shd w:val="clear" w:color="auto" w:fill="D0CECE" w:themeFill="background2" w:themeFillShade="E6"/>
          </w:tcPr>
          <w:p w14:paraId="0C241C0A" w14:textId="77777777"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5B382756" w14:textId="5BEF7338" w:rsidR="003C045B" w:rsidRPr="00990A3C"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1449F832" w14:textId="77777777" w:rsidR="003C045B" w:rsidRPr="00990A3C" w:rsidRDefault="003C045B" w:rsidP="00A40F57">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74C3437E"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020134DC" w14:textId="77777777"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07041DF6" w14:textId="77777777" w:rsidTr="007C321D">
        <w:tc>
          <w:tcPr>
            <w:tcW w:w="630" w:type="dxa"/>
            <w:shd w:val="clear" w:color="auto" w:fill="F2F2F2"/>
          </w:tcPr>
          <w:p w14:paraId="03401B2F" w14:textId="77777777" w:rsidR="003C045B" w:rsidRPr="00036F88" w:rsidRDefault="003C045B" w:rsidP="003C045B">
            <w:pPr>
              <w:jc w:val="center"/>
              <w:rPr>
                <w:rFonts w:ascii="Times New Roman" w:eastAsia="Calibri" w:hAnsi="Times New Roman" w:cs="Times New Roman"/>
                <w:i/>
                <w:sz w:val="18"/>
                <w:szCs w:val="18"/>
                <w:lang w:val="en-US"/>
              </w:rPr>
            </w:pPr>
          </w:p>
        </w:tc>
        <w:tc>
          <w:tcPr>
            <w:tcW w:w="5400" w:type="dxa"/>
            <w:shd w:val="clear" w:color="auto" w:fill="F2F2F2"/>
          </w:tcPr>
          <w:p w14:paraId="7429B579" w14:textId="6CAFE8A4" w:rsidR="00A40F57" w:rsidRPr="00A40F57" w:rsidRDefault="00A40F57" w:rsidP="00A40F57">
            <w:pPr>
              <w:pStyle w:val="oj-normal"/>
              <w:shd w:val="clear" w:color="auto" w:fill="FFFFFF"/>
              <w:spacing w:before="120" w:after="0"/>
              <w:jc w:val="both"/>
              <w:rPr>
                <w:rFonts w:eastAsia="Calibri"/>
                <w:iCs/>
                <w:sz w:val="18"/>
                <w:szCs w:val="18"/>
                <w:lang w:val="en-US"/>
              </w:rPr>
            </w:pPr>
          </w:p>
          <w:p w14:paraId="7F23E627" w14:textId="77777777" w:rsidR="00A40F57" w:rsidRPr="00A40F57" w:rsidRDefault="00A40F57" w:rsidP="00A40F57">
            <w:pPr>
              <w:pStyle w:val="oj-normal"/>
              <w:shd w:val="clear" w:color="auto" w:fill="FFFFFF"/>
              <w:spacing w:before="120" w:after="0"/>
              <w:jc w:val="both"/>
              <w:rPr>
                <w:rFonts w:eastAsia="Calibri"/>
                <w:iCs/>
                <w:sz w:val="18"/>
                <w:szCs w:val="18"/>
                <w:lang w:val="en-US"/>
              </w:rPr>
            </w:pPr>
          </w:p>
          <w:p w14:paraId="4D5F8454" w14:textId="1F416878" w:rsidR="003C045B" w:rsidRPr="00036F88" w:rsidRDefault="00A40F57" w:rsidP="00A40F57">
            <w:pPr>
              <w:pStyle w:val="oj-normal"/>
              <w:shd w:val="clear" w:color="auto" w:fill="FFFFFF"/>
              <w:spacing w:before="120" w:beforeAutospacing="0" w:after="0" w:afterAutospacing="0"/>
              <w:jc w:val="both"/>
              <w:rPr>
                <w:rFonts w:eastAsia="Calibri"/>
                <w:iCs/>
                <w:sz w:val="18"/>
                <w:szCs w:val="18"/>
                <w:lang w:val="en-US"/>
              </w:rPr>
            </w:pPr>
            <w:r w:rsidRPr="00A40F57">
              <w:rPr>
                <w:rFonts w:eastAsia="Calibri"/>
                <w:iCs/>
                <w:sz w:val="18"/>
                <w:szCs w:val="18"/>
                <w:lang w:val="en-US"/>
              </w:rPr>
              <w:t xml:space="preserve">'1. Me qëllim shkëmbimin e informacionit të përmendur në nenin 1(1), autoriteti kompetent i një Shteti Anëtar mund t'i kërkojë autoritetit kompetent të një Shteti tjetër Anëtar që zyrtarët e autorizuar nga i pari dhe në përputhje me rregullimet procedurale të përcaktuara nga i dyti: (a) të jenë të pranishëm në zyrat ku autoritetet administrative të Shtetit Anëtar të kërkuar kryejnë detyrat e tyre; (b) të jenë të pranishëm gjatë </w:t>
            </w:r>
            <w:r w:rsidRPr="00A40F57">
              <w:rPr>
                <w:rFonts w:eastAsia="Calibri"/>
                <w:iCs/>
                <w:sz w:val="18"/>
                <w:szCs w:val="18"/>
                <w:lang w:val="en-US"/>
              </w:rPr>
              <w:lastRenderedPageBreak/>
              <w:t>hetimeve administrative të kryera në territorin e Shtetit Anëtar të kërkuar; (c) të marrin pjesë në hetimet administrative të kryera nga Shteti Anëtar i kërkuar nëpërmjet përdorimit të mjeteve elektronike të komunikimit, kur është e përshtatshme. Autoriteti i kërkuar duhet t'i përgjigjet një kërkese në përputhje me nënparagrafin e parë brenda 60 ditëve nga marrja e kërkesës, për të konfirmuar pëlqimin e tij ose për të komunikuar refuzimin e tij të arsyetuar autoritetit kërkues. Kur informacioni i kërkuar përmbahet në dokumentacionin në të cilin zyrtarët e autoritetit të kërkuar kanë qasje, zyrtarëve të autoritetit kërkues duhet t'u jepen kopje të tij.'</w:t>
            </w:r>
          </w:p>
        </w:tc>
        <w:tc>
          <w:tcPr>
            <w:tcW w:w="540" w:type="dxa"/>
          </w:tcPr>
          <w:p w14:paraId="20E57A6E" w14:textId="77777777" w:rsidR="003C045B" w:rsidRPr="00036F88" w:rsidRDefault="003C045B" w:rsidP="003C045B">
            <w:pPr>
              <w:jc w:val="center"/>
              <w:rPr>
                <w:rFonts w:ascii="Times New Roman" w:eastAsia="Calibri" w:hAnsi="Times New Roman" w:cs="Times New Roman"/>
                <w:i/>
                <w:sz w:val="18"/>
                <w:szCs w:val="18"/>
              </w:rPr>
            </w:pPr>
          </w:p>
        </w:tc>
        <w:tc>
          <w:tcPr>
            <w:tcW w:w="554" w:type="dxa"/>
            <w:shd w:val="clear" w:color="auto" w:fill="F2F2F2"/>
          </w:tcPr>
          <w:p w14:paraId="17DE0C2D" w14:textId="77777777" w:rsidR="00D2162C" w:rsidRDefault="00D2162C" w:rsidP="003C045B">
            <w:pPr>
              <w:jc w:val="center"/>
              <w:rPr>
                <w:rFonts w:ascii="Times New Roman" w:eastAsia="Calibri" w:hAnsi="Times New Roman" w:cs="Times New Roman"/>
                <w:sz w:val="18"/>
                <w:szCs w:val="18"/>
                <w:lang w:val="en-US"/>
              </w:rPr>
            </w:pPr>
          </w:p>
          <w:p w14:paraId="74330973" w14:textId="77777777" w:rsidR="00D2162C" w:rsidRDefault="00D2162C" w:rsidP="003C045B">
            <w:pPr>
              <w:jc w:val="center"/>
              <w:rPr>
                <w:rFonts w:ascii="Times New Roman" w:eastAsia="Calibri" w:hAnsi="Times New Roman" w:cs="Times New Roman"/>
                <w:sz w:val="18"/>
                <w:szCs w:val="18"/>
                <w:lang w:val="en-US"/>
              </w:rPr>
            </w:pPr>
          </w:p>
          <w:p w14:paraId="7BD59961" w14:textId="3C85CDC0" w:rsidR="003C045B" w:rsidRPr="006E4603"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shd w:val="clear" w:color="auto" w:fill="F2F2F2"/>
          </w:tcPr>
          <w:p w14:paraId="13F62F97" w14:textId="77777777" w:rsidR="003C045B" w:rsidRPr="00036F88" w:rsidRDefault="003C045B" w:rsidP="003C045B">
            <w:pPr>
              <w:jc w:val="center"/>
              <w:rPr>
                <w:rFonts w:ascii="Times New Roman" w:hAnsi="Times New Roman" w:cs="Times New Roman"/>
                <w:sz w:val="18"/>
                <w:szCs w:val="18"/>
              </w:rPr>
            </w:pPr>
          </w:p>
          <w:p w14:paraId="5C51FE4B" w14:textId="77777777" w:rsidR="00A40F57" w:rsidRDefault="00A40F57" w:rsidP="00A40F57">
            <w:pPr>
              <w:jc w:val="center"/>
              <w:rPr>
                <w:rFonts w:ascii="Times New Roman" w:eastAsia="Calibri" w:hAnsi="Times New Roman" w:cs="Times New Roman"/>
                <w:sz w:val="18"/>
                <w:szCs w:val="18"/>
                <w:lang w:val="en-US"/>
              </w:rPr>
            </w:pPr>
          </w:p>
          <w:p w14:paraId="4C6A0FC1" w14:textId="47E5F76D" w:rsidR="003C045B" w:rsidRPr="00A40F57" w:rsidRDefault="00A40F57" w:rsidP="00A40F57">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shd w:val="clear" w:color="auto" w:fill="F2F2F2"/>
          </w:tcPr>
          <w:p w14:paraId="1333C886" w14:textId="562A3AE9" w:rsidR="003C045B" w:rsidRDefault="003C045B" w:rsidP="003C045B">
            <w:pPr>
              <w:jc w:val="center"/>
              <w:rPr>
                <w:rFonts w:ascii="Times New Roman" w:eastAsia="Calibri" w:hAnsi="Times New Roman" w:cs="Times New Roman"/>
                <w:i/>
                <w:sz w:val="18"/>
                <w:szCs w:val="18"/>
                <w:lang w:val="en-US"/>
              </w:rPr>
            </w:pPr>
          </w:p>
          <w:p w14:paraId="58663270" w14:textId="77777777" w:rsidR="00D2162C" w:rsidRDefault="00D2162C" w:rsidP="003C045B">
            <w:pPr>
              <w:jc w:val="center"/>
              <w:rPr>
                <w:rFonts w:ascii="Times New Roman" w:eastAsia="Calibri" w:hAnsi="Times New Roman" w:cs="Times New Roman"/>
                <w:i/>
                <w:sz w:val="18"/>
                <w:szCs w:val="18"/>
                <w:lang w:val="en-US"/>
              </w:rPr>
            </w:pPr>
          </w:p>
          <w:p w14:paraId="1BEB4026" w14:textId="66D95853" w:rsidR="00D2162C" w:rsidRPr="006E4603"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shd w:val="clear" w:color="auto" w:fill="F2F2F2"/>
          </w:tcPr>
          <w:p w14:paraId="62F2BCC3" w14:textId="77777777" w:rsidR="00A40F57" w:rsidRPr="00A40F57" w:rsidRDefault="00A40F57" w:rsidP="00A40F57">
            <w:pPr>
              <w:pStyle w:val="NormalWeb"/>
              <w:spacing w:line="240" w:lineRule="auto"/>
              <w:jc w:val="both"/>
              <w:rPr>
                <w:rFonts w:eastAsia="Calibri"/>
                <w:sz w:val="18"/>
                <w:szCs w:val="18"/>
              </w:rPr>
            </w:pPr>
          </w:p>
          <w:p w14:paraId="66795176" w14:textId="50955A16" w:rsidR="00A40F57" w:rsidRPr="00A40F57" w:rsidRDefault="00A40F57" w:rsidP="00A40F57">
            <w:pPr>
              <w:pStyle w:val="NormalWeb"/>
              <w:spacing w:line="240" w:lineRule="auto"/>
              <w:jc w:val="both"/>
              <w:rPr>
                <w:rFonts w:eastAsia="Calibri"/>
                <w:sz w:val="18"/>
                <w:szCs w:val="18"/>
              </w:rPr>
            </w:pPr>
            <w:r w:rsidRPr="00A40F57">
              <w:rPr>
                <w:rFonts w:eastAsia="Calibri"/>
                <w:sz w:val="18"/>
                <w:szCs w:val="18"/>
              </w:rPr>
              <w:t>Nuk kërkon transpozim në këtë Ligj.</w:t>
            </w:r>
          </w:p>
          <w:p w14:paraId="291EDCF2" w14:textId="77777777" w:rsidR="00A40F57" w:rsidRPr="00A40F57" w:rsidRDefault="00A40F57" w:rsidP="00A40F57">
            <w:pPr>
              <w:pStyle w:val="NormalWeb"/>
              <w:spacing w:line="240" w:lineRule="auto"/>
              <w:jc w:val="both"/>
              <w:rPr>
                <w:rFonts w:eastAsia="Calibri"/>
                <w:sz w:val="18"/>
                <w:szCs w:val="18"/>
              </w:rPr>
            </w:pPr>
          </w:p>
          <w:p w14:paraId="556141D0" w14:textId="77777777" w:rsidR="003C045B" w:rsidRDefault="00A40F57" w:rsidP="00A40F57">
            <w:pPr>
              <w:pStyle w:val="NormalWeb"/>
              <w:spacing w:line="240" w:lineRule="auto"/>
              <w:jc w:val="both"/>
              <w:rPr>
                <w:rFonts w:eastAsia="Calibri"/>
                <w:sz w:val="18"/>
                <w:szCs w:val="18"/>
              </w:rPr>
            </w:pPr>
            <w:r w:rsidRPr="00A40F57">
              <w:rPr>
                <w:rFonts w:eastAsia="Calibri"/>
                <w:sz w:val="18"/>
                <w:szCs w:val="18"/>
              </w:rPr>
              <w:t xml:space="preserve">Dispozitë procedurale mbi bashkëpunimin administrativ midis autoriteteve kompetente. Jashtë fushëveprimit të Shtojcës V dhe e mbuluar nga DAC e Përgjithshme. Nuk </w:t>
            </w:r>
            <w:r w:rsidRPr="00A40F57">
              <w:rPr>
                <w:rFonts w:eastAsia="Calibri"/>
                <w:sz w:val="18"/>
                <w:szCs w:val="18"/>
              </w:rPr>
              <w:lastRenderedPageBreak/>
              <w:t>kërkohet transpozim në ligjin specifik të DAC 7.</w:t>
            </w:r>
          </w:p>
          <w:p w14:paraId="0531086A" w14:textId="55D60488" w:rsidR="005E3878" w:rsidRDefault="006E4603" w:rsidP="00A40F57">
            <w:pPr>
              <w:pStyle w:val="NormalWeb"/>
              <w:spacing w:line="240" w:lineRule="auto"/>
              <w:jc w:val="both"/>
              <w:rPr>
                <w:rFonts w:eastAsia="Calibri"/>
                <w:sz w:val="18"/>
                <w:szCs w:val="18"/>
              </w:rPr>
            </w:pPr>
            <w:r w:rsidRPr="006E4603">
              <w:rPr>
                <w:rFonts w:eastAsia="Calibri"/>
                <w:sz w:val="18"/>
                <w:szCs w:val="18"/>
              </w:rPr>
              <w:t>Ky kërkim transpozohet në bazë të Nenit 16 të projektligjit të përgjithshëm për DAC.</w:t>
            </w:r>
          </w:p>
          <w:p w14:paraId="3E77BDC2" w14:textId="1C22AC74"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Neni 16</w:t>
            </w:r>
            <w:r>
              <w:rPr>
                <w:rFonts w:eastAsia="Calibri"/>
                <w:sz w:val="18"/>
                <w:szCs w:val="18"/>
              </w:rPr>
              <w:t xml:space="preserve"> i ligjit per DAC te pergjithshem parashikon qe: </w:t>
            </w:r>
          </w:p>
          <w:p w14:paraId="12B7819D" w14:textId="77777777"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Prania në zyrat administrative dhe pjesëmarrja në hetimet administrative</w:t>
            </w:r>
          </w:p>
          <w:p w14:paraId="24F4181D" w14:textId="77777777"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1.</w:t>
            </w:r>
            <w:r w:rsidRPr="005E3878">
              <w:rPr>
                <w:rFonts w:eastAsia="Calibri"/>
                <w:sz w:val="18"/>
                <w:szCs w:val="18"/>
              </w:rPr>
              <w:tab/>
              <w:t>Për qëllime të bashkëpunimit administrativ sipas këtij ligji, dhe bazuar në marrëveshje me Autoritetin Kompetent dhe sipas rregullave të tij, nëpunësit e autorizuar të autoritetit kërkues mund të kërkojnë të jenë të pranishëm në zyrat e administratës tatimore në Republikën e Shqipërisë ose të marrin pjesë në hetimet administrative të kryera në Shqipëri, përfshirë përmes mjeteve elektronike të komunikimit, kur është e përshtatshme.</w:t>
            </w:r>
          </w:p>
          <w:p w14:paraId="434DCD3A" w14:textId="77777777"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2.</w:t>
            </w:r>
            <w:r w:rsidRPr="005E3878">
              <w:rPr>
                <w:rFonts w:eastAsia="Calibri"/>
                <w:sz w:val="18"/>
                <w:szCs w:val="18"/>
              </w:rPr>
              <w:tab/>
              <w:t>Drejtoria e Përgjithshme e Tatimeve i përgjigjet kërkesës sipas pikës 1 të këtij neni brenda 60 ditëve nga marrja e saj, duke konfirmuar pranimin ose duke komunikuar refuzimin e arsyetuar.</w:t>
            </w:r>
          </w:p>
          <w:p w14:paraId="1AC708DB" w14:textId="77777777"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3.</w:t>
            </w:r>
            <w:r w:rsidRPr="005E3878">
              <w:rPr>
                <w:rFonts w:eastAsia="Calibri"/>
                <w:sz w:val="18"/>
                <w:szCs w:val="18"/>
              </w:rPr>
              <w:tab/>
              <w:t xml:space="preserve">Kur informacioni i kërkuar gjendet në dokumente të aksesueshme nga Autoriteti Kompetent, kopje të këtyre dokumenteve vihen në dispozicion të nëpunësve të autorizuar të autoritetit kërkues. Në përputhje me legjislacionin shqiptar, këta nëpunës mund të intervistojnë </w:t>
            </w:r>
            <w:r w:rsidRPr="005E3878">
              <w:rPr>
                <w:rFonts w:eastAsia="Calibri"/>
                <w:sz w:val="18"/>
                <w:szCs w:val="18"/>
              </w:rPr>
              <w:lastRenderedPageBreak/>
              <w:t>individë dhe të shqyrtojnë të dhëna në regjistra të caktuar.</w:t>
            </w:r>
          </w:p>
          <w:p w14:paraId="60AB8AC7" w14:textId="77777777" w:rsidR="005E3878" w:rsidRPr="005E3878" w:rsidRDefault="005E3878" w:rsidP="005E3878">
            <w:pPr>
              <w:pStyle w:val="NormalWeb"/>
              <w:spacing w:line="240" w:lineRule="auto"/>
              <w:jc w:val="both"/>
              <w:rPr>
                <w:rFonts w:eastAsia="Calibri"/>
                <w:sz w:val="18"/>
                <w:szCs w:val="18"/>
              </w:rPr>
            </w:pPr>
            <w:r w:rsidRPr="005E3878">
              <w:rPr>
                <w:rFonts w:eastAsia="Calibri"/>
                <w:sz w:val="18"/>
                <w:szCs w:val="18"/>
              </w:rPr>
              <w:t>4.</w:t>
            </w:r>
            <w:r w:rsidRPr="005E3878">
              <w:rPr>
                <w:rFonts w:eastAsia="Calibri"/>
                <w:sz w:val="18"/>
                <w:szCs w:val="18"/>
              </w:rPr>
              <w:tab/>
              <w:t>Mosrespektimi nga personi nën hetim i masave të ndërmarra në prani të nëpunësve të autoritetit kërkues trajtohet në të njëjtën mënyrë si mosrespektimi ndaj nëpunësve të Autoritetit Kompetent.</w:t>
            </w:r>
          </w:p>
          <w:p w14:paraId="2B08ADE6" w14:textId="2FF7F09A" w:rsidR="005E3878" w:rsidRPr="00A40F57" w:rsidRDefault="005E3878" w:rsidP="005E3878">
            <w:pPr>
              <w:pStyle w:val="NormalWeb"/>
              <w:spacing w:line="240" w:lineRule="auto"/>
              <w:jc w:val="both"/>
              <w:rPr>
                <w:rFonts w:eastAsia="Calibri"/>
                <w:sz w:val="18"/>
                <w:szCs w:val="18"/>
              </w:rPr>
            </w:pPr>
            <w:r w:rsidRPr="005E3878">
              <w:rPr>
                <w:rFonts w:eastAsia="Calibri"/>
                <w:sz w:val="18"/>
                <w:szCs w:val="18"/>
              </w:rPr>
              <w:t>5.</w:t>
            </w:r>
            <w:r w:rsidRPr="005E3878">
              <w:rPr>
                <w:rFonts w:eastAsia="Calibri"/>
                <w:sz w:val="18"/>
                <w:szCs w:val="18"/>
              </w:rPr>
              <w:tab/>
              <w:t>Nëpunësit e autorizuar të autoritetit kërkues që janë të pranishëm në territorin e Republikës së Shqipërisë duhet të jenë në çdo kohë në gjendje të paraqesin një autorizim me shkrim që vërteton identitetin dhe cilësinë e tyre zyrtare.</w:t>
            </w:r>
          </w:p>
        </w:tc>
      </w:tr>
      <w:tr w:rsidR="003C045B" w:rsidRPr="00036F88" w14:paraId="01DB1503" w14:textId="77777777" w:rsidTr="007C321D">
        <w:tc>
          <w:tcPr>
            <w:tcW w:w="630" w:type="dxa"/>
          </w:tcPr>
          <w:p w14:paraId="43FE0BD5" w14:textId="1FA8AC90"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F9A891A" w14:textId="77777777" w:rsidR="00A40F57" w:rsidRPr="00A40F57" w:rsidRDefault="00A40F57" w:rsidP="00A40F57">
            <w:pPr>
              <w:jc w:val="both"/>
              <w:rPr>
                <w:rFonts w:ascii="Times New Roman" w:eastAsia="Calibri" w:hAnsi="Times New Roman" w:cs="Times New Roman"/>
                <w:iCs/>
                <w:sz w:val="18"/>
                <w:szCs w:val="18"/>
                <w:lang w:val="en-US"/>
              </w:rPr>
            </w:pPr>
            <w:r w:rsidRPr="00A40F57">
              <w:rPr>
                <w:rFonts w:ascii="Times New Roman" w:eastAsia="Calibri" w:hAnsi="Times New Roman" w:cs="Times New Roman"/>
                <w:iCs/>
                <w:sz w:val="18"/>
                <w:szCs w:val="18"/>
                <w:lang w:val="en-US"/>
              </w:rPr>
              <w:t>Neni 1(10) (Direktiva 2021/514/BE)</w:t>
            </w:r>
          </w:p>
          <w:p w14:paraId="168AAA5A" w14:textId="77777777" w:rsidR="00A40F57" w:rsidRPr="00A40F57" w:rsidRDefault="00A40F57" w:rsidP="00A40F57">
            <w:pPr>
              <w:jc w:val="both"/>
              <w:rPr>
                <w:rFonts w:ascii="Times New Roman" w:eastAsia="Calibri" w:hAnsi="Times New Roman" w:cs="Times New Roman"/>
                <w:iCs/>
                <w:sz w:val="18"/>
                <w:szCs w:val="18"/>
                <w:lang w:val="en-US"/>
              </w:rPr>
            </w:pPr>
            <w:r w:rsidRPr="00A40F57">
              <w:rPr>
                <w:rFonts w:ascii="Times New Roman" w:eastAsia="Calibri" w:hAnsi="Times New Roman" w:cs="Times New Roman"/>
                <w:iCs/>
                <w:sz w:val="18"/>
                <w:szCs w:val="18"/>
                <w:lang w:val="en-US"/>
              </w:rPr>
              <w:t>Neni 11, paragrafi 2, nënparagrafi i parë (Direktiva 2011/16/BE)</w:t>
            </w:r>
          </w:p>
          <w:p w14:paraId="0418BD54" w14:textId="3482F974"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12D30A9E" w14:textId="6584D8ED" w:rsidR="003C045B" w:rsidRPr="00036F88" w:rsidRDefault="003C045B" w:rsidP="003C045B">
            <w:pPr>
              <w:jc w:val="center"/>
              <w:rPr>
                <w:rFonts w:ascii="Times New Roman" w:eastAsia="Calibri" w:hAnsi="Times New Roman" w:cs="Times New Roman"/>
                <w:sz w:val="18"/>
                <w:szCs w:val="18"/>
              </w:rPr>
            </w:pPr>
          </w:p>
        </w:tc>
        <w:tc>
          <w:tcPr>
            <w:tcW w:w="554" w:type="dxa"/>
            <w:shd w:val="clear" w:color="auto" w:fill="D0CECE" w:themeFill="background2" w:themeFillShade="E6"/>
          </w:tcPr>
          <w:p w14:paraId="589A5FA3" w14:textId="77777777" w:rsidR="003C045B" w:rsidRPr="00036F88" w:rsidRDefault="003C045B" w:rsidP="003C045B">
            <w:pPr>
              <w:jc w:val="center"/>
              <w:rPr>
                <w:rFonts w:ascii="Times New Roman" w:eastAsia="Calibri" w:hAnsi="Times New Roman" w:cs="Times New Roman"/>
                <w:sz w:val="18"/>
                <w:szCs w:val="18"/>
                <w:lang w:val="en-US"/>
              </w:rPr>
            </w:pPr>
          </w:p>
        </w:tc>
        <w:tc>
          <w:tcPr>
            <w:tcW w:w="5040" w:type="dxa"/>
            <w:shd w:val="clear" w:color="auto" w:fill="D0CECE" w:themeFill="background2" w:themeFillShade="E6"/>
          </w:tcPr>
          <w:p w14:paraId="1C82C4D0" w14:textId="45593865" w:rsidR="003C045B" w:rsidRPr="00036F88" w:rsidRDefault="003C045B" w:rsidP="003C045B">
            <w:pPr>
              <w:jc w:val="center"/>
              <w:rPr>
                <w:rFonts w:ascii="Times New Roman" w:hAnsi="Times New Roman" w:cs="Times New Roman"/>
                <w:sz w:val="18"/>
                <w:szCs w:val="18"/>
              </w:rPr>
            </w:pPr>
          </w:p>
          <w:p w14:paraId="5759BAC5" w14:textId="44E6CE4A" w:rsidR="003C045B" w:rsidRPr="00036F88" w:rsidRDefault="003C045B" w:rsidP="003C045B">
            <w:pPr>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285F00D8" w14:textId="315C81A8" w:rsidR="003C045B" w:rsidRPr="00036F88"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5FB019CF"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0A280824" w14:textId="77777777" w:rsidTr="007C321D">
        <w:tc>
          <w:tcPr>
            <w:tcW w:w="630" w:type="dxa"/>
          </w:tcPr>
          <w:p w14:paraId="4CC1BC67" w14:textId="654A2C67"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7B474F75" w14:textId="77777777" w:rsidR="00A40F57" w:rsidRPr="00A40F57" w:rsidRDefault="00A40F57" w:rsidP="00A40F57">
            <w:pPr>
              <w:jc w:val="both"/>
              <w:rPr>
                <w:rFonts w:ascii="Times New Roman" w:eastAsia="Calibri" w:hAnsi="Times New Roman" w:cs="Times New Roman"/>
                <w:iCs/>
                <w:sz w:val="18"/>
                <w:szCs w:val="18"/>
                <w:lang w:val="en-US"/>
              </w:rPr>
            </w:pPr>
          </w:p>
          <w:p w14:paraId="3F658A9F" w14:textId="79C04452" w:rsidR="003C045B" w:rsidRPr="00036F88" w:rsidRDefault="00A40F57" w:rsidP="00A40F57">
            <w:pPr>
              <w:jc w:val="both"/>
              <w:rPr>
                <w:rFonts w:ascii="Times New Roman" w:eastAsia="Calibri" w:hAnsi="Times New Roman" w:cs="Times New Roman"/>
                <w:iCs/>
                <w:sz w:val="18"/>
                <w:szCs w:val="18"/>
                <w:lang w:val="en-US"/>
              </w:rPr>
            </w:pPr>
            <w:r w:rsidRPr="00A40F57">
              <w:rPr>
                <w:rFonts w:ascii="Times New Roman" w:eastAsia="Calibri" w:hAnsi="Times New Roman" w:cs="Times New Roman"/>
                <w:iCs/>
                <w:sz w:val="18"/>
                <w:szCs w:val="18"/>
                <w:lang w:val="en-US"/>
              </w:rPr>
              <w:t>"Kur zyrtarët e autoritetit kërkues janë të pranishëm gjatë hetimeve administrative ose marrin pjesë në hetimet administrative përmes përdorimit të mjeteve elektronike të komunikimit, ata mund të intervistojnë individë dhe të shqyrtojnë të dhënat në përputhje me rregullimet procedurale të përcaktuara nga Shteti Anëtar i kërkuar."</w:t>
            </w:r>
          </w:p>
        </w:tc>
        <w:tc>
          <w:tcPr>
            <w:tcW w:w="540" w:type="dxa"/>
          </w:tcPr>
          <w:p w14:paraId="68B1A8F1" w14:textId="6488B5E5" w:rsidR="003C045B" w:rsidRPr="00036F88" w:rsidRDefault="003C045B" w:rsidP="003C045B">
            <w:pPr>
              <w:jc w:val="center"/>
              <w:rPr>
                <w:rFonts w:ascii="Times New Roman" w:eastAsia="Calibri" w:hAnsi="Times New Roman" w:cs="Times New Roman"/>
                <w:sz w:val="18"/>
                <w:szCs w:val="18"/>
              </w:rPr>
            </w:pPr>
          </w:p>
        </w:tc>
        <w:tc>
          <w:tcPr>
            <w:tcW w:w="554" w:type="dxa"/>
          </w:tcPr>
          <w:p w14:paraId="129A8AC4" w14:textId="22137A88"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tcPr>
          <w:p w14:paraId="4A28735B" w14:textId="77777777" w:rsidR="003C045B" w:rsidRPr="00036F88" w:rsidRDefault="003C045B" w:rsidP="003C045B">
            <w:pPr>
              <w:jc w:val="center"/>
              <w:rPr>
                <w:rFonts w:ascii="Times New Roman" w:hAnsi="Times New Roman" w:cs="Times New Roman"/>
                <w:sz w:val="18"/>
                <w:szCs w:val="18"/>
              </w:rPr>
            </w:pPr>
          </w:p>
          <w:p w14:paraId="5AA6CCE5" w14:textId="6C1B69EB" w:rsidR="003C045B" w:rsidRPr="00A40F57" w:rsidRDefault="00A40F57" w:rsidP="00A40F57">
            <w:pPr>
              <w:jc w:val="cente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N/A</w:t>
            </w:r>
          </w:p>
        </w:tc>
        <w:tc>
          <w:tcPr>
            <w:tcW w:w="720" w:type="dxa"/>
          </w:tcPr>
          <w:p w14:paraId="4C0F418F" w14:textId="2D22EC24"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7699D7EC" w14:textId="77777777" w:rsidR="00CE6B7A" w:rsidRPr="00CE6B7A" w:rsidRDefault="00CE6B7A" w:rsidP="00CE6B7A">
            <w:pPr>
              <w:rPr>
                <w:rFonts w:ascii="Times New Roman" w:eastAsia="Calibri" w:hAnsi="Times New Roman" w:cs="Times New Roman"/>
                <w:sz w:val="18"/>
                <w:szCs w:val="18"/>
                <w:lang w:val="en-US"/>
              </w:rPr>
            </w:pPr>
          </w:p>
          <w:p w14:paraId="06FD823B" w14:textId="77777777" w:rsidR="00CE6B7A" w:rsidRPr="00CE6B7A" w:rsidRDefault="00CE6B7A" w:rsidP="00CE6B7A">
            <w:pPr>
              <w:rPr>
                <w:rFonts w:ascii="Times New Roman" w:eastAsia="Calibri" w:hAnsi="Times New Roman" w:cs="Times New Roman"/>
                <w:sz w:val="18"/>
                <w:szCs w:val="18"/>
                <w:lang w:val="en-US"/>
              </w:rPr>
            </w:pPr>
            <w:r w:rsidRPr="00CE6B7A">
              <w:rPr>
                <w:rFonts w:ascii="Times New Roman" w:eastAsia="Calibri" w:hAnsi="Times New Roman" w:cs="Times New Roman"/>
                <w:sz w:val="18"/>
                <w:szCs w:val="18"/>
                <w:lang w:val="en-US"/>
              </w:rPr>
              <w:t>Dispozita procedurale mbi bashkëpunimin administrativ midis organeve kompetente</w:t>
            </w:r>
          </w:p>
          <w:p w14:paraId="4679D0E6" w14:textId="47FA2DBE" w:rsidR="00CE6B7A" w:rsidRPr="00CE6B7A" w:rsidRDefault="00CE6B7A" w:rsidP="00CE6B7A">
            <w:pPr>
              <w:rPr>
                <w:rFonts w:ascii="Times New Roman" w:eastAsia="Calibri" w:hAnsi="Times New Roman" w:cs="Times New Roman"/>
                <w:sz w:val="18"/>
                <w:szCs w:val="18"/>
                <w:lang w:val="en-US"/>
              </w:rPr>
            </w:pPr>
            <w:r w:rsidRPr="00CE6B7A">
              <w:rPr>
                <w:rFonts w:ascii="Times New Roman" w:eastAsia="Calibri" w:hAnsi="Times New Roman" w:cs="Times New Roman"/>
                <w:sz w:val="18"/>
                <w:szCs w:val="18"/>
                <w:lang w:val="en-US"/>
              </w:rPr>
              <w:t>autoritetet. Jashtë fushëveprimit të Shtojcës V dhe i mbuluar nga DAC i Përgjithshëm.</w:t>
            </w:r>
          </w:p>
          <w:p w14:paraId="155ADC57" w14:textId="315F8451" w:rsidR="00A40F57" w:rsidRDefault="00CE6B7A" w:rsidP="00CE6B7A">
            <w:pPr>
              <w:rPr>
                <w:rFonts w:ascii="Times New Roman" w:eastAsia="Calibri" w:hAnsi="Times New Roman" w:cs="Times New Roman"/>
                <w:sz w:val="18"/>
                <w:szCs w:val="18"/>
                <w:lang w:val="en-US"/>
              </w:rPr>
            </w:pPr>
            <w:r w:rsidRPr="00CE6B7A">
              <w:rPr>
                <w:rFonts w:ascii="Times New Roman" w:eastAsia="Calibri" w:hAnsi="Times New Roman" w:cs="Times New Roman"/>
                <w:sz w:val="18"/>
                <w:szCs w:val="18"/>
                <w:lang w:val="en-US"/>
              </w:rPr>
              <w:t>Nuk kërkohet transpozim në ligjin specifik të DAC 7.</w:t>
            </w:r>
          </w:p>
          <w:p w14:paraId="3863E713" w14:textId="25BFEE23" w:rsidR="00A86815" w:rsidRDefault="00A86815" w:rsidP="00CE6B7A">
            <w:pPr>
              <w:rPr>
                <w:rFonts w:ascii="Times New Roman" w:eastAsia="Calibri" w:hAnsi="Times New Roman" w:cs="Times New Roman"/>
                <w:sz w:val="18"/>
                <w:szCs w:val="18"/>
                <w:lang w:val="en-US"/>
              </w:rPr>
            </w:pPr>
          </w:p>
          <w:p w14:paraId="0902AEB2" w14:textId="77777777" w:rsidR="003C045B"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Kjo transpozohet na neni 16 i ligjit per DAC e pergjithshem:</w:t>
            </w:r>
          </w:p>
          <w:p w14:paraId="3155E78F" w14:textId="77777777" w:rsidR="004D4126" w:rsidRDefault="004D4126" w:rsidP="004D4126">
            <w:pPr>
              <w:rPr>
                <w:rFonts w:ascii="Times New Roman" w:eastAsia="Calibri" w:hAnsi="Times New Roman" w:cs="Times New Roman"/>
                <w:sz w:val="18"/>
                <w:szCs w:val="18"/>
                <w:lang w:val="en-US"/>
              </w:rPr>
            </w:pPr>
          </w:p>
          <w:p w14:paraId="0052F906" w14:textId="034A9F08" w:rsidR="004D4126" w:rsidRPr="00036F88"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3.</w:t>
            </w:r>
            <w:r w:rsidRPr="004D4126">
              <w:rPr>
                <w:rFonts w:ascii="Times New Roman" w:eastAsia="Calibri" w:hAnsi="Times New Roman" w:cs="Times New Roman"/>
                <w:sz w:val="18"/>
                <w:szCs w:val="18"/>
                <w:lang w:val="en-US"/>
              </w:rPr>
              <w:tab/>
              <w:t>Kur informacioni i kërkuar gjendet në dokumente të aksesueshme nga Autoriteti Kompetent, kopje të këtyre dokumenteve vihen në dispozicion të nëpunësve të autorizuar të autoritetit kërkues. Në përputhje me legjislacionin shqiptar, këta nëpunës mund të intervistojnë individë dhe të shqyrtojnë të dhëna në regjistra të caktuar.</w:t>
            </w:r>
          </w:p>
        </w:tc>
      </w:tr>
      <w:tr w:rsidR="003C045B" w:rsidRPr="00036F88" w14:paraId="42D63892" w14:textId="77777777" w:rsidTr="007C321D">
        <w:trPr>
          <w:trHeight w:val="1008"/>
        </w:trPr>
        <w:tc>
          <w:tcPr>
            <w:tcW w:w="630" w:type="dxa"/>
          </w:tcPr>
          <w:p w14:paraId="3CCCFFF5" w14:textId="3D21E7E1" w:rsidR="003C045B" w:rsidRPr="00036F88" w:rsidRDefault="003C045B" w:rsidP="003C045B">
            <w:pPr>
              <w:jc w:val="both"/>
              <w:rPr>
                <w:rFonts w:ascii="Times New Roman" w:eastAsia="Calibri" w:hAnsi="Times New Roman" w:cs="Times New Roman"/>
                <w:sz w:val="18"/>
                <w:szCs w:val="18"/>
                <w:lang w:val="en-US"/>
              </w:rPr>
            </w:pPr>
            <w:bookmarkStart w:id="1" w:name="_Hlk227911050"/>
          </w:p>
        </w:tc>
        <w:tc>
          <w:tcPr>
            <w:tcW w:w="5400" w:type="dxa"/>
            <w:shd w:val="clear" w:color="auto" w:fill="D0CECE" w:themeFill="background2" w:themeFillShade="E6"/>
          </w:tcPr>
          <w:p w14:paraId="3FA686A5" w14:textId="77777777" w:rsidR="00CE6B7A" w:rsidRPr="00CE6B7A" w:rsidRDefault="00CE6B7A" w:rsidP="00CE6B7A">
            <w:pPr>
              <w:spacing w:line="276" w:lineRule="auto"/>
              <w:rPr>
                <w:rFonts w:ascii="Times New Roman" w:eastAsia="Calibri" w:hAnsi="Times New Roman" w:cs="Times New Roman"/>
                <w:iCs/>
                <w:sz w:val="18"/>
                <w:szCs w:val="18"/>
                <w:lang w:val="en-US"/>
              </w:rPr>
            </w:pPr>
            <w:r w:rsidRPr="00CE6B7A">
              <w:rPr>
                <w:rFonts w:ascii="Times New Roman" w:eastAsia="Calibri" w:hAnsi="Times New Roman" w:cs="Times New Roman"/>
                <w:iCs/>
                <w:sz w:val="18"/>
                <w:szCs w:val="18"/>
                <w:lang w:val="en-US"/>
              </w:rPr>
              <w:t>Neni 1(11) (Direktiva 2021/514/BE)</w:t>
            </w:r>
          </w:p>
          <w:p w14:paraId="1F8428AC" w14:textId="7288515D" w:rsidR="003C045B" w:rsidRPr="00036F88" w:rsidRDefault="00CE6B7A" w:rsidP="00CE6B7A">
            <w:pPr>
              <w:spacing w:line="276" w:lineRule="auto"/>
              <w:rPr>
                <w:rFonts w:ascii="Times New Roman" w:eastAsia="Calibri" w:hAnsi="Times New Roman" w:cs="Times New Roman"/>
                <w:iCs/>
                <w:sz w:val="18"/>
                <w:szCs w:val="18"/>
                <w:lang w:val="en-US"/>
              </w:rPr>
            </w:pPr>
            <w:r w:rsidRPr="00CE6B7A">
              <w:rPr>
                <w:rFonts w:ascii="Times New Roman" w:eastAsia="Calibri" w:hAnsi="Times New Roman" w:cs="Times New Roman"/>
                <w:iCs/>
                <w:sz w:val="18"/>
                <w:szCs w:val="18"/>
                <w:lang w:val="en-US"/>
              </w:rPr>
              <w:t>Neni 12, paragrafi 3 (Direktiva 2011/16/BE)</w:t>
            </w:r>
          </w:p>
        </w:tc>
        <w:tc>
          <w:tcPr>
            <w:tcW w:w="540" w:type="dxa"/>
            <w:shd w:val="clear" w:color="auto" w:fill="D0CECE" w:themeFill="background2" w:themeFillShade="E6"/>
          </w:tcPr>
          <w:p w14:paraId="7A167751" w14:textId="4D6AA9CF" w:rsidR="003C045B" w:rsidRPr="00036F88" w:rsidRDefault="003C045B" w:rsidP="003C045B">
            <w:pPr>
              <w:rPr>
                <w:rFonts w:ascii="Times New Roman" w:eastAsia="Calibri" w:hAnsi="Times New Roman" w:cs="Times New Roman"/>
                <w:sz w:val="18"/>
                <w:szCs w:val="18"/>
              </w:rPr>
            </w:pPr>
          </w:p>
        </w:tc>
        <w:tc>
          <w:tcPr>
            <w:tcW w:w="554" w:type="dxa"/>
            <w:shd w:val="clear" w:color="auto" w:fill="D0CECE" w:themeFill="background2" w:themeFillShade="E6"/>
          </w:tcPr>
          <w:p w14:paraId="584A3692" w14:textId="0563BE3A" w:rsidR="003C045B" w:rsidRPr="00036F88" w:rsidRDefault="003C045B" w:rsidP="003C045B">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321C5EE0" w14:textId="55324A93" w:rsidR="003C045B" w:rsidRPr="00036F88" w:rsidRDefault="003C045B" w:rsidP="003C045B">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05707711" w14:textId="4644B721" w:rsidR="003C045B" w:rsidRPr="00036F88"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1F1D51C2" w14:textId="572A6EB9" w:rsidR="003C045B" w:rsidRPr="00036F88" w:rsidRDefault="003C045B" w:rsidP="003C045B">
            <w:pPr>
              <w:rPr>
                <w:rFonts w:ascii="Times New Roman" w:eastAsia="Calibri" w:hAnsi="Times New Roman" w:cs="Times New Roman"/>
                <w:sz w:val="18"/>
                <w:szCs w:val="18"/>
                <w:lang w:val="en-US"/>
              </w:rPr>
            </w:pPr>
          </w:p>
        </w:tc>
      </w:tr>
      <w:bookmarkEnd w:id="1"/>
      <w:tr w:rsidR="003C045B" w:rsidRPr="00036F88" w14:paraId="1E7B05E8" w14:textId="77777777" w:rsidTr="007C321D">
        <w:tc>
          <w:tcPr>
            <w:tcW w:w="630" w:type="dxa"/>
          </w:tcPr>
          <w:p w14:paraId="2F45229D" w14:textId="00C2B9F7"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35674A15" w14:textId="77777777" w:rsidR="003C045B" w:rsidRPr="003C045B" w:rsidRDefault="003C045B" w:rsidP="003C045B">
            <w:pPr>
              <w:jc w:val="both"/>
              <w:rPr>
                <w:rFonts w:ascii="Times New Roman" w:eastAsia="Calibri" w:hAnsi="Times New Roman" w:cs="Times New Roman"/>
                <w:iCs/>
                <w:sz w:val="18"/>
                <w:szCs w:val="18"/>
                <w:lang w:val="en-US"/>
              </w:rPr>
            </w:pPr>
          </w:p>
          <w:p w14:paraId="3369DF66" w14:textId="77777777" w:rsidR="00CE6B7A" w:rsidRPr="00CE6B7A" w:rsidRDefault="00CE6B7A" w:rsidP="00CE6B7A">
            <w:pPr>
              <w:rPr>
                <w:rFonts w:ascii="Times New Roman" w:eastAsia="Calibri" w:hAnsi="Times New Roman" w:cs="Times New Roman"/>
                <w:iCs/>
                <w:sz w:val="18"/>
                <w:szCs w:val="18"/>
                <w:lang w:val="en-US"/>
              </w:rPr>
            </w:pPr>
          </w:p>
          <w:p w14:paraId="62A25992" w14:textId="7FAC1C39" w:rsidR="003C045B" w:rsidRPr="003C045B" w:rsidRDefault="00CE6B7A" w:rsidP="00CE6B7A">
            <w:pPr>
              <w:rPr>
                <w:rFonts w:ascii="Times New Roman" w:eastAsia="Calibri" w:hAnsi="Times New Roman" w:cs="Times New Roman"/>
                <w:iCs/>
                <w:sz w:val="18"/>
                <w:szCs w:val="18"/>
                <w:lang w:val="en-US"/>
              </w:rPr>
            </w:pPr>
            <w:r w:rsidRPr="00CE6B7A">
              <w:rPr>
                <w:rFonts w:ascii="Times New Roman" w:eastAsia="Calibri" w:hAnsi="Times New Roman" w:cs="Times New Roman"/>
                <w:iCs/>
                <w:sz w:val="18"/>
                <w:szCs w:val="18"/>
                <w:lang w:val="en-US"/>
              </w:rPr>
              <w:t>'3. Autoriteti kompetent i secilit Shtet Anëtar të interesuar vendos nëse dëshiron të marrë pjesë në kontrolle të njëkohshme. Ai konfirmon pëlqimin e tij ose i komunikon refuzimin e tij të arsyetuar autoritetit që propozoi një kontroll të njëkohshëm brenda 60 ditëve nga marrja e propozimit.'</w:t>
            </w:r>
          </w:p>
        </w:tc>
        <w:tc>
          <w:tcPr>
            <w:tcW w:w="540" w:type="dxa"/>
          </w:tcPr>
          <w:p w14:paraId="696A29FD" w14:textId="61FB2EF3" w:rsidR="003C045B" w:rsidRPr="00036F88" w:rsidRDefault="003C045B" w:rsidP="003C045B">
            <w:pPr>
              <w:jc w:val="center"/>
              <w:rPr>
                <w:rFonts w:ascii="Times New Roman" w:eastAsia="Calibri" w:hAnsi="Times New Roman" w:cs="Times New Roman"/>
                <w:sz w:val="18"/>
                <w:szCs w:val="18"/>
              </w:rPr>
            </w:pPr>
          </w:p>
        </w:tc>
        <w:tc>
          <w:tcPr>
            <w:tcW w:w="554" w:type="dxa"/>
          </w:tcPr>
          <w:p w14:paraId="6FC3B718" w14:textId="77777777" w:rsidR="00D2162C" w:rsidRDefault="00D2162C" w:rsidP="003C045B">
            <w:pPr>
              <w:jc w:val="center"/>
              <w:rPr>
                <w:rFonts w:ascii="Times New Roman" w:eastAsia="Calibri" w:hAnsi="Times New Roman" w:cs="Times New Roman"/>
                <w:sz w:val="18"/>
                <w:szCs w:val="18"/>
                <w:lang w:val="en-US"/>
              </w:rPr>
            </w:pPr>
          </w:p>
          <w:p w14:paraId="2D314635" w14:textId="77777777" w:rsidR="00D2162C" w:rsidRDefault="00D2162C" w:rsidP="003C045B">
            <w:pPr>
              <w:jc w:val="center"/>
              <w:rPr>
                <w:rFonts w:ascii="Times New Roman" w:eastAsia="Calibri" w:hAnsi="Times New Roman" w:cs="Times New Roman"/>
                <w:sz w:val="18"/>
                <w:szCs w:val="18"/>
                <w:lang w:val="en-US"/>
              </w:rPr>
            </w:pPr>
          </w:p>
          <w:p w14:paraId="56E1EAE1" w14:textId="42540ADB" w:rsidR="003C045B" w:rsidRPr="003C045B" w:rsidRDefault="00D2162C" w:rsidP="003C045B">
            <w:pPr>
              <w:jc w:val="center"/>
              <w:rPr>
                <w:rFonts w:ascii="Times New Roman" w:eastAsia="Calibri" w:hAnsi="Times New Roman" w:cs="Times New Roman"/>
                <w:sz w:val="18"/>
                <w:szCs w:val="18"/>
                <w:highlight w:val="yellow"/>
                <w:lang w:val="en-US"/>
              </w:rPr>
            </w:pPr>
            <w:r w:rsidRPr="006E4603">
              <w:rPr>
                <w:rFonts w:ascii="Times New Roman" w:eastAsia="Calibri" w:hAnsi="Times New Roman" w:cs="Times New Roman"/>
                <w:sz w:val="18"/>
                <w:szCs w:val="18"/>
              </w:rPr>
              <w:t>N/A</w:t>
            </w:r>
          </w:p>
        </w:tc>
        <w:tc>
          <w:tcPr>
            <w:tcW w:w="5040" w:type="dxa"/>
          </w:tcPr>
          <w:p w14:paraId="60414E92" w14:textId="77777777" w:rsidR="003C045B" w:rsidRPr="00036F88" w:rsidRDefault="003C045B" w:rsidP="003C045B">
            <w:pPr>
              <w:jc w:val="center"/>
              <w:rPr>
                <w:rFonts w:ascii="Times New Roman" w:hAnsi="Times New Roman" w:cs="Times New Roman"/>
                <w:sz w:val="18"/>
                <w:szCs w:val="18"/>
              </w:rPr>
            </w:pPr>
          </w:p>
          <w:p w14:paraId="1A60EA75" w14:textId="77777777" w:rsidR="00D2162C" w:rsidRDefault="00D2162C" w:rsidP="00CE6B7A">
            <w:pPr>
              <w:jc w:val="center"/>
              <w:rPr>
                <w:rFonts w:ascii="Times New Roman" w:hAnsi="Times New Roman" w:cs="Times New Roman"/>
                <w:sz w:val="18"/>
                <w:szCs w:val="18"/>
              </w:rPr>
            </w:pPr>
          </w:p>
          <w:p w14:paraId="3AEFC702" w14:textId="565F2024" w:rsidR="003C045B" w:rsidRPr="00036F88" w:rsidRDefault="00CE6B7A" w:rsidP="00CE6B7A">
            <w:pPr>
              <w:jc w:val="center"/>
              <w:rPr>
                <w:rFonts w:ascii="Times New Roman" w:hAnsi="Times New Roman" w:cs="Times New Roman"/>
                <w:sz w:val="18"/>
                <w:szCs w:val="18"/>
              </w:rPr>
            </w:pPr>
            <w:r>
              <w:rPr>
                <w:rFonts w:ascii="Times New Roman" w:hAnsi="Times New Roman" w:cs="Times New Roman"/>
                <w:sz w:val="18"/>
                <w:szCs w:val="18"/>
              </w:rPr>
              <w:t>N/A</w:t>
            </w:r>
          </w:p>
          <w:p w14:paraId="7AD350A7" w14:textId="77777777" w:rsidR="003C045B" w:rsidRPr="00036F88" w:rsidRDefault="003C045B" w:rsidP="003C045B">
            <w:pPr>
              <w:jc w:val="center"/>
              <w:rPr>
                <w:rFonts w:ascii="Times New Roman" w:eastAsia="Calibri" w:hAnsi="Times New Roman" w:cs="Times New Roman"/>
                <w:sz w:val="18"/>
                <w:szCs w:val="18"/>
                <w:lang w:val="sq-AL"/>
              </w:rPr>
            </w:pPr>
          </w:p>
        </w:tc>
        <w:tc>
          <w:tcPr>
            <w:tcW w:w="720" w:type="dxa"/>
          </w:tcPr>
          <w:p w14:paraId="6FD059B5" w14:textId="77777777" w:rsidR="00D2162C" w:rsidRDefault="00D2162C" w:rsidP="003C045B">
            <w:pPr>
              <w:jc w:val="center"/>
              <w:rPr>
                <w:rFonts w:ascii="Times New Roman" w:eastAsia="Calibri" w:hAnsi="Times New Roman" w:cs="Times New Roman"/>
                <w:sz w:val="18"/>
                <w:szCs w:val="18"/>
                <w:lang w:val="en-US"/>
              </w:rPr>
            </w:pPr>
          </w:p>
          <w:p w14:paraId="4F27C58C" w14:textId="77777777" w:rsidR="00D2162C" w:rsidRDefault="00D2162C" w:rsidP="003C045B">
            <w:pPr>
              <w:jc w:val="center"/>
              <w:rPr>
                <w:rFonts w:ascii="Times New Roman" w:eastAsia="Calibri" w:hAnsi="Times New Roman" w:cs="Times New Roman"/>
                <w:sz w:val="18"/>
                <w:szCs w:val="18"/>
                <w:lang w:val="en-US"/>
              </w:rPr>
            </w:pPr>
          </w:p>
          <w:p w14:paraId="17CA02B8" w14:textId="2FC9DF58"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5189D3D5" w14:textId="77777777" w:rsidR="00A86815" w:rsidRDefault="00A86815" w:rsidP="00CE6B7A">
            <w:pPr>
              <w:rPr>
                <w:rFonts w:ascii="Times New Roman" w:eastAsia="Calibri" w:hAnsi="Times New Roman" w:cs="Times New Roman"/>
                <w:sz w:val="18"/>
                <w:szCs w:val="18"/>
                <w:lang w:val="en-US"/>
              </w:rPr>
            </w:pPr>
          </w:p>
          <w:p w14:paraId="3CBB8881" w14:textId="77777777" w:rsidR="004D4126" w:rsidRDefault="004D4126"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Kjo transpozohet nga neni 17 i ligjit te pergjithshme: </w:t>
            </w:r>
          </w:p>
          <w:p w14:paraId="5940B2D1" w14:textId="77777777" w:rsidR="004D4126" w:rsidRDefault="004D4126" w:rsidP="00CE6B7A">
            <w:pPr>
              <w:rPr>
                <w:rFonts w:ascii="Times New Roman" w:eastAsia="Calibri" w:hAnsi="Times New Roman" w:cs="Times New Roman"/>
                <w:sz w:val="18"/>
                <w:szCs w:val="18"/>
                <w:lang w:val="en-US"/>
              </w:rPr>
            </w:pPr>
          </w:p>
          <w:p w14:paraId="2CA73F50"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 </w:t>
            </w:r>
            <w:r w:rsidRPr="004D4126">
              <w:rPr>
                <w:rFonts w:ascii="Times New Roman" w:eastAsia="Calibri" w:hAnsi="Times New Roman" w:cs="Times New Roman"/>
                <w:sz w:val="18"/>
                <w:szCs w:val="18"/>
                <w:lang w:val="en-US"/>
              </w:rPr>
              <w:t>Neni 17</w:t>
            </w:r>
          </w:p>
          <w:p w14:paraId="2734A453" w14:textId="77777777" w:rsidR="004D4126" w:rsidRPr="004D4126" w:rsidRDefault="004D4126" w:rsidP="004D4126">
            <w:pPr>
              <w:rPr>
                <w:rFonts w:ascii="Times New Roman" w:eastAsia="Calibri" w:hAnsi="Times New Roman" w:cs="Times New Roman"/>
                <w:sz w:val="18"/>
                <w:szCs w:val="18"/>
                <w:lang w:val="en-US"/>
              </w:rPr>
            </w:pPr>
          </w:p>
          <w:p w14:paraId="2990C9D6" w14:textId="77777777" w:rsidR="004D4126" w:rsidRPr="004D4126"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Kontrollet e njëkohshme dhe auditimet e përbashkëta</w:t>
            </w:r>
          </w:p>
          <w:p w14:paraId="329BEDBC" w14:textId="77777777" w:rsidR="004D4126" w:rsidRPr="004D4126" w:rsidRDefault="004D4126" w:rsidP="004D4126">
            <w:pPr>
              <w:rPr>
                <w:rFonts w:ascii="Times New Roman" w:eastAsia="Calibri" w:hAnsi="Times New Roman" w:cs="Times New Roman"/>
                <w:sz w:val="18"/>
                <w:szCs w:val="18"/>
                <w:lang w:val="en-US"/>
              </w:rPr>
            </w:pPr>
          </w:p>
          <w:p w14:paraId="22FC1AB8" w14:textId="77777777" w:rsidR="004D4126" w:rsidRPr="004D4126"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1.</w:t>
            </w:r>
            <w:r w:rsidRPr="004D4126">
              <w:rPr>
                <w:rFonts w:ascii="Times New Roman" w:eastAsia="Calibri" w:hAnsi="Times New Roman" w:cs="Times New Roman"/>
                <w:sz w:val="18"/>
                <w:szCs w:val="18"/>
                <w:lang w:val="en-US"/>
              </w:rPr>
              <w:tab/>
              <w:t>Kur Shqipëria dhe shtetet e tjera anëtare bien dakord të kryejnë kontrolle të njëkohshme në territorin e tyre për një ose më shumë persona me interes të përbashkët, zbatohet procedura si vijon:</w:t>
            </w:r>
          </w:p>
          <w:p w14:paraId="3C99BB04" w14:textId="77777777" w:rsidR="004D4126" w:rsidRPr="004D4126"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a) Autoriteti kompetent iniciues identifikon personat për të cilët propozon një kontroll të njëkohshëm;</w:t>
            </w:r>
          </w:p>
          <w:p w14:paraId="70A86ECD" w14:textId="77777777" w:rsidR="004D4126" w:rsidRPr="004D4126"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b) Njofton shtetet e tjera anëtare për veprimin e propozuar, arsyet dhe periudhën kohore të kontrollit;</w:t>
            </w:r>
          </w:p>
          <w:p w14:paraId="08AFB353" w14:textId="77777777" w:rsidR="004D4126" w:rsidRPr="004D4126"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c) Çdo autoritet i konfirmon ose refuzon propozimin brenda 60 ditëve nga marrja e tij;</w:t>
            </w:r>
          </w:p>
          <w:p w14:paraId="547A3C29" w14:textId="577F2C93" w:rsidR="00A86815" w:rsidRDefault="004D4126" w:rsidP="004D4126">
            <w:pPr>
              <w:rPr>
                <w:rFonts w:ascii="Times New Roman" w:eastAsia="Calibri" w:hAnsi="Times New Roman" w:cs="Times New Roman"/>
                <w:sz w:val="18"/>
                <w:szCs w:val="18"/>
                <w:lang w:val="en-US"/>
              </w:rPr>
            </w:pPr>
            <w:r w:rsidRPr="004D4126">
              <w:rPr>
                <w:rFonts w:ascii="Times New Roman" w:eastAsia="Calibri" w:hAnsi="Times New Roman" w:cs="Times New Roman"/>
                <w:sz w:val="18"/>
                <w:szCs w:val="18"/>
                <w:lang w:val="en-US"/>
              </w:rPr>
              <w:t>d) Çdo autoritet cakton një përfaqësues për mbikëqyrjen dhe koordinimin e operacionit.</w:t>
            </w:r>
          </w:p>
          <w:p w14:paraId="18140AF7" w14:textId="77777777" w:rsidR="00A86815" w:rsidRDefault="00A86815" w:rsidP="00CE6B7A">
            <w:pPr>
              <w:rPr>
                <w:rFonts w:ascii="Times New Roman" w:eastAsia="Calibri" w:hAnsi="Times New Roman" w:cs="Times New Roman"/>
                <w:sz w:val="18"/>
                <w:szCs w:val="18"/>
                <w:lang w:val="en-US"/>
              </w:rPr>
            </w:pPr>
          </w:p>
          <w:p w14:paraId="62277331" w14:textId="44DDF0CC" w:rsidR="003C045B" w:rsidRPr="00036F88" w:rsidRDefault="003C045B" w:rsidP="00CE6B7A">
            <w:pPr>
              <w:rPr>
                <w:rFonts w:ascii="Times New Roman" w:eastAsia="Calibri" w:hAnsi="Times New Roman" w:cs="Times New Roman"/>
                <w:sz w:val="18"/>
                <w:szCs w:val="18"/>
                <w:lang w:val="en-US"/>
              </w:rPr>
            </w:pPr>
          </w:p>
        </w:tc>
      </w:tr>
      <w:tr w:rsidR="003C045B" w:rsidRPr="00036F88" w14:paraId="4DDC655C" w14:textId="77777777" w:rsidTr="007C321D">
        <w:tc>
          <w:tcPr>
            <w:tcW w:w="630" w:type="dxa"/>
          </w:tcPr>
          <w:p w14:paraId="709E465B" w14:textId="36F5F544"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9572B9B"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1(12) (Direktiva 2021/514/BE)</w:t>
            </w:r>
          </w:p>
          <w:p w14:paraId="5030CEDF"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SEKSIONI IIa (Direktiva 2011/16/BE)</w:t>
            </w:r>
          </w:p>
          <w:p w14:paraId="02FE104A" w14:textId="3B9DFCBF" w:rsidR="003C045B" w:rsidRPr="00CE6B7A"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43C9614A" w14:textId="12E6CEF3" w:rsidR="003C045B" w:rsidRPr="00990A3C"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05BDF9B8" w14:textId="7E6F679C" w:rsidR="003C045B" w:rsidRPr="006E4603" w:rsidRDefault="003C045B" w:rsidP="003C045B">
            <w:pPr>
              <w:rPr>
                <w:rFonts w:ascii="Times New Roman" w:eastAsia="Calibri" w:hAnsi="Times New Roman" w:cs="Times New Roman"/>
                <w:iCs/>
                <w:sz w:val="18"/>
                <w:szCs w:val="18"/>
                <w:highlight w:val="cyan"/>
                <w:lang w:val="en-US"/>
              </w:rPr>
            </w:pPr>
          </w:p>
        </w:tc>
        <w:tc>
          <w:tcPr>
            <w:tcW w:w="5040" w:type="dxa"/>
            <w:shd w:val="clear" w:color="auto" w:fill="D0CECE" w:themeFill="background2" w:themeFillShade="E6"/>
          </w:tcPr>
          <w:p w14:paraId="48D826B2" w14:textId="77777777" w:rsidR="003C045B" w:rsidRPr="00990A3C" w:rsidRDefault="003C045B" w:rsidP="003C045B">
            <w:pPr>
              <w:jc w:val="both"/>
              <w:rPr>
                <w:rFonts w:ascii="Times New Roman" w:hAnsi="Times New Roman" w:cs="Times New Roman"/>
                <w:i/>
                <w:iCs/>
                <w:sz w:val="18"/>
                <w:szCs w:val="18"/>
                <w:lang w:val="sq-AL"/>
              </w:rPr>
            </w:pPr>
          </w:p>
          <w:p w14:paraId="275147D8" w14:textId="2434B74C" w:rsidR="003C045B" w:rsidRPr="00990A3C" w:rsidRDefault="003C045B" w:rsidP="003C045B">
            <w:pPr>
              <w:jc w:val="center"/>
              <w:rPr>
                <w:rFonts w:ascii="Times New Roman" w:hAnsi="Times New Roman" w:cs="Times New Roman"/>
                <w:i/>
                <w:iCs/>
                <w:sz w:val="18"/>
                <w:szCs w:val="18"/>
              </w:rPr>
            </w:pPr>
          </w:p>
          <w:p w14:paraId="18A13A99" w14:textId="194EC885" w:rsidR="003C045B" w:rsidRPr="00990A3C" w:rsidRDefault="003C045B" w:rsidP="003C045B">
            <w:pPr>
              <w:jc w:val="both"/>
              <w:rPr>
                <w:rFonts w:ascii="Times New Roman" w:eastAsia="Calibri" w:hAnsi="Times New Roman" w:cs="Times New Roman"/>
                <w:i/>
                <w:iCs/>
                <w:sz w:val="18"/>
                <w:szCs w:val="18"/>
                <w:lang w:val="en-US"/>
              </w:rPr>
            </w:pPr>
          </w:p>
        </w:tc>
        <w:tc>
          <w:tcPr>
            <w:tcW w:w="720" w:type="dxa"/>
            <w:shd w:val="clear" w:color="auto" w:fill="D0CECE" w:themeFill="background2" w:themeFillShade="E6"/>
          </w:tcPr>
          <w:p w14:paraId="7C51AE8F" w14:textId="4141EDDB" w:rsidR="003C045B" w:rsidRPr="00990A3C"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64A29FE1" w14:textId="473745A6"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6A9A6B6E" w14:textId="77777777" w:rsidTr="007C321D">
        <w:trPr>
          <w:trHeight w:val="2204"/>
        </w:trPr>
        <w:tc>
          <w:tcPr>
            <w:tcW w:w="630" w:type="dxa"/>
          </w:tcPr>
          <w:p w14:paraId="1B296679" w14:textId="655FEA8B"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3947AB33" w14:textId="77777777" w:rsidR="00CE6B7A" w:rsidRPr="001725D0" w:rsidRDefault="00CE6B7A" w:rsidP="00CE6B7A">
            <w:pPr>
              <w:jc w:val="both"/>
              <w:rPr>
                <w:rFonts w:ascii="Times New Roman" w:eastAsia="Calibri" w:hAnsi="Times New Roman" w:cs="Times New Roman"/>
                <w:iCs/>
                <w:sz w:val="18"/>
                <w:szCs w:val="18"/>
                <w:lang w:val="en-US"/>
              </w:rPr>
            </w:pPr>
          </w:p>
          <w:p w14:paraId="0D7F8DC9"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'SEKSIONI IIa</w:t>
            </w:r>
          </w:p>
          <w:p w14:paraId="716F0BB8"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Auditime të përbashkëta</w:t>
            </w:r>
          </w:p>
          <w:p w14:paraId="4C21786C" w14:textId="77777777" w:rsidR="00CE6B7A" w:rsidRPr="001725D0" w:rsidRDefault="00CE6B7A" w:rsidP="00CE6B7A">
            <w:pPr>
              <w:jc w:val="both"/>
              <w:rPr>
                <w:rFonts w:ascii="Times New Roman" w:eastAsia="Calibri" w:hAnsi="Times New Roman" w:cs="Times New Roman"/>
                <w:iCs/>
                <w:sz w:val="18"/>
                <w:szCs w:val="18"/>
                <w:lang w:val="en-US"/>
              </w:rPr>
            </w:pPr>
          </w:p>
          <w:p w14:paraId="3B159456"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12a</w:t>
            </w:r>
          </w:p>
          <w:p w14:paraId="45E87D8F"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Auditime të përbashkëta</w:t>
            </w:r>
          </w:p>
          <w:p w14:paraId="0325BA62" w14:textId="77777777" w:rsidR="00CE6B7A" w:rsidRPr="001725D0" w:rsidRDefault="00CE6B7A" w:rsidP="00CE6B7A">
            <w:pPr>
              <w:jc w:val="both"/>
              <w:rPr>
                <w:rFonts w:ascii="Times New Roman" w:eastAsia="Calibri" w:hAnsi="Times New Roman" w:cs="Times New Roman"/>
                <w:iCs/>
                <w:sz w:val="18"/>
                <w:szCs w:val="18"/>
                <w:lang w:val="en-US"/>
              </w:rPr>
            </w:pPr>
          </w:p>
          <w:p w14:paraId="596BF680"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Autoriteti kompetent i një ose më shumë Shteteve Anëtare mund t'i kërkojë autoritetit kompetent të një Shteti tjetër Anëtar (ose Shteteve të tjera Anëtare) të kryejë një auditim të përbashkët. Autoritetet kompetente të kërkuara duhet t'i përgjigjen kërkesës për një auditim të përbashkët brenda 60 ditëve nga marrja e kërkesës. Autoritetet kompetente të kërkuara mund të refuzojnë një kërkesë për një auditim të përbashkët nga autoriteti kompetent i një Shteti Anëtar për arsye të justifikuara.</w:t>
            </w:r>
          </w:p>
          <w:p w14:paraId="1DDC6F7C" w14:textId="77777777" w:rsidR="00CE6B7A" w:rsidRPr="001725D0" w:rsidRDefault="00CE6B7A" w:rsidP="00CE6B7A">
            <w:pPr>
              <w:jc w:val="both"/>
              <w:rPr>
                <w:rFonts w:ascii="Times New Roman" w:eastAsia="Calibri" w:hAnsi="Times New Roman" w:cs="Times New Roman"/>
                <w:iCs/>
                <w:sz w:val="18"/>
                <w:szCs w:val="18"/>
                <w:lang w:val="en-US"/>
              </w:rPr>
            </w:pPr>
          </w:p>
          <w:p w14:paraId="2CADB081"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Auditimet e përbashkëta kryhen në një mënyrë të paracaktuar dhe të koordinuar, duke përfshirë rregullimet gjuhësore, nga autoritetet kompetente të Shteteve Anëtare kërkuese dhe të Shteteve Anëtare të kërkuara, dhe në përputhje me ligjet dhe kërkesat procedurale të Shtetit Anëtar ku zhvillohen aktivitetet e një auditimi të përbashkët. Në secilin Shtet Anëtar ku zhvillohen aktivitetet e një auditimi të përbashkët, autoriteti kompetent i atij Shteti Anëtar emëron një përfaqësues me përgjegjësi për mbikëqyrjen dhe koordinimin e auditimit të përbashkët në atë Shtet Anëtar. Të drejtat dhe detyrimet e zyrtarëve të Shteteve Anëtare që marrin pjesë në auditimin e përbashkët, kur ata janë të pranishëm në aktivitete të kryera në një Shtet Anëtar tjetër, përcaktohen në përputhje me ligjet e Shtetit Anëtar ku zhvillohen aktivitetet e auditimit të përbashkët. Ndërsa përmbushin ligjet e Shtetit Anëtar ku zhvillohen aktivitetet e auditimit të përbashkët, zyrtarët e një Shteti tjetër Anëtar nuk duhet të ushtrojnë asnjë pushtet që do të tejkalonte fushëveprimin e pushteteve që u janë dhënë atyre sipas ligjeve të Shtetit të tyre Anëtar.</w:t>
            </w:r>
          </w:p>
          <w:p w14:paraId="1E591125" w14:textId="77777777" w:rsidR="00CE6B7A" w:rsidRPr="001725D0" w:rsidRDefault="00CE6B7A" w:rsidP="00CE6B7A">
            <w:pPr>
              <w:jc w:val="both"/>
              <w:rPr>
                <w:rFonts w:ascii="Times New Roman" w:eastAsia="Calibri" w:hAnsi="Times New Roman" w:cs="Times New Roman"/>
                <w:iCs/>
                <w:sz w:val="18"/>
                <w:szCs w:val="18"/>
                <w:lang w:val="en-US"/>
              </w:rPr>
            </w:pPr>
          </w:p>
          <w:p w14:paraId="59F36878"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3. Pa cenuar paragrafin 2, një Shtet Anëtar ku zhvillohen aktivitetet e auditimit të përbashkët duhet të marrë masat e nevojshme për të: (a) lejuar që zyrtarët e Shteteve të tjera Anëtare që marrin pjesë në aktivitetet e auditimit të përbashkët të intervistojnë individë dhe të shqyrtojnë të dhënat së bashku me zyrtarët e Shtetit Anëtar ku zhvillohen aktivitetet e auditimit të përbashkët, në varësi të rregullimeve procedurale të </w:t>
            </w:r>
            <w:r w:rsidRPr="001725D0">
              <w:rPr>
                <w:rFonts w:ascii="Times New Roman" w:eastAsia="Calibri" w:hAnsi="Times New Roman" w:cs="Times New Roman"/>
                <w:iCs/>
                <w:sz w:val="18"/>
                <w:szCs w:val="18"/>
                <w:lang w:val="en-US"/>
              </w:rPr>
              <w:lastRenderedPageBreak/>
              <w:t>përcaktuara nga Shteti Anëtar ku zhvillohen këto aktivitete; (b) siguruar që provat e mbledhura gjatë aktiviteteve të auditimit të përbashkët mund të vlerësohen, duke përfshirë edhe pranueshmërinë e tyre, sipas të njëjtave kushte ligjore si në rastin e një auditimi të kryer në atë Shtet Anëtar ku marrin pjesë vetëm zyrtarët e atij Shteti Anëtar, duke përfshirë edhe gjatë çdo procesi ankese, shqyrtimi ose apelimi; dhe (c) siguruar që personi/personat që i nënshtrohen një auditimi të përbashkët ose të prekur prej tij gëzojnë të njëjtat të drejta dhe kanë të njëjtat detyrime si në rastin e një auditimi ku marrin pjesë vetëm zyrtarët e atij Shteti Anëtar, duke përfshirë edhe gjatë çdo procesi ankese, shqyrtimi ose apelimi.</w:t>
            </w:r>
          </w:p>
          <w:p w14:paraId="69FBADFD" w14:textId="77777777" w:rsidR="00CE6B7A"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 </w:t>
            </w:r>
          </w:p>
          <w:p w14:paraId="1E4CE096" w14:textId="774EC069" w:rsidR="003C045B" w:rsidRPr="001725D0" w:rsidRDefault="00CE6B7A" w:rsidP="00CE6B7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Kur autoritetet kompetente të dy ose më shumë Shteteve Anëtare kryejnë një auditim të përbashkët, ato duhet të përpiqen të bien dakord mbi faktet dhe rrethanat përkatëse për auditimin e përbashkët dhe të përpiqen të arrijnë një marrëveshje mbi pozicionin tatimor të personit/personave të audituar bazuar në rezultatet e auditimit të përbashkët. Gjetjet e auditimit të përbashkët duhet të përfshihen në një raport përfundimtar. Çështjet për të cilat bien dakord autoritetet kompetente duhet të pasqyrohen në raportin përfundimtar dhe të merren parasysh në instrumentet përkatëse të lëshuara nga autoritetet kompetente të Shteteve Anëtare pjesëmarrëse pas atij auditimi të përbashkët. Në varësi të nënparagrafit të parë, veprimet nga autoritetet kompetente të një Shteti Anëtar ose ndonjë prej zyrtarëve të tij pas një auditimi të përbashkët dhe çdo proces i mëtejshëm që zhvillohet në atë Shtet Anëtar, siç është një vendim i autoriteteve tatimore, procesi i apelimit ose zgjidhja që lidhet me të, duhet të zhvillohen në përputhje me ligjin kombëtar të atij Shteti Anëtar. 5. Personi/personat e audituar duhet të informohen për rezultatin e auditimit të përbashkët, duke përfshirë një kopje të raportit përfundimtar brenda 60 ditëve nga lëshimi i raportit përfundimtar.</w:t>
            </w:r>
          </w:p>
        </w:tc>
        <w:tc>
          <w:tcPr>
            <w:tcW w:w="540" w:type="dxa"/>
          </w:tcPr>
          <w:p w14:paraId="44F88698" w14:textId="77777777" w:rsidR="003C045B" w:rsidRPr="00036F88" w:rsidRDefault="003C045B" w:rsidP="003C045B">
            <w:pPr>
              <w:jc w:val="center"/>
              <w:rPr>
                <w:rFonts w:ascii="Times New Roman" w:eastAsia="Calibri" w:hAnsi="Times New Roman" w:cs="Times New Roman"/>
                <w:sz w:val="18"/>
                <w:szCs w:val="18"/>
                <w:highlight w:val="cyan"/>
              </w:rPr>
            </w:pPr>
          </w:p>
        </w:tc>
        <w:tc>
          <w:tcPr>
            <w:tcW w:w="554" w:type="dxa"/>
          </w:tcPr>
          <w:p w14:paraId="058EB7DB" w14:textId="77777777" w:rsidR="003C045B" w:rsidRDefault="003C045B" w:rsidP="003C045B">
            <w:pPr>
              <w:jc w:val="center"/>
              <w:rPr>
                <w:rFonts w:ascii="Times New Roman" w:eastAsia="Calibri" w:hAnsi="Times New Roman" w:cs="Times New Roman"/>
                <w:sz w:val="18"/>
                <w:szCs w:val="18"/>
                <w:highlight w:val="cyan"/>
                <w:lang w:val="en-US"/>
              </w:rPr>
            </w:pPr>
          </w:p>
          <w:p w14:paraId="14A3F5B4" w14:textId="77777777" w:rsidR="00D2162C" w:rsidRDefault="00D2162C" w:rsidP="003C045B">
            <w:pPr>
              <w:jc w:val="center"/>
              <w:rPr>
                <w:rFonts w:ascii="Times New Roman" w:eastAsia="Calibri" w:hAnsi="Times New Roman" w:cs="Times New Roman"/>
                <w:sz w:val="18"/>
                <w:szCs w:val="18"/>
                <w:lang w:val="en-US"/>
              </w:rPr>
            </w:pPr>
          </w:p>
          <w:p w14:paraId="6B2B87BF" w14:textId="77777777" w:rsidR="00D2162C" w:rsidRDefault="00D2162C" w:rsidP="003C045B">
            <w:pPr>
              <w:jc w:val="center"/>
              <w:rPr>
                <w:rFonts w:ascii="Times New Roman" w:eastAsia="Calibri" w:hAnsi="Times New Roman" w:cs="Times New Roman"/>
                <w:sz w:val="18"/>
                <w:szCs w:val="18"/>
                <w:lang w:val="en-US"/>
              </w:rPr>
            </w:pPr>
          </w:p>
          <w:p w14:paraId="60795A2E" w14:textId="7115C4CB"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02CB4B68" w14:textId="77777777" w:rsidR="003C045B" w:rsidRPr="00036F88" w:rsidRDefault="003C045B" w:rsidP="003C045B">
            <w:pPr>
              <w:jc w:val="both"/>
              <w:rPr>
                <w:rFonts w:ascii="Times New Roman" w:hAnsi="Times New Roman" w:cs="Times New Roman"/>
                <w:sz w:val="18"/>
                <w:szCs w:val="18"/>
              </w:rPr>
            </w:pPr>
          </w:p>
          <w:p w14:paraId="59E8D475" w14:textId="77777777" w:rsidR="00CE6B7A" w:rsidRDefault="00CE6B7A" w:rsidP="00CE6B7A">
            <w:pPr>
              <w:jc w:val="center"/>
              <w:rPr>
                <w:rFonts w:ascii="Times New Roman" w:eastAsia="Calibri" w:hAnsi="Times New Roman" w:cs="Times New Roman"/>
                <w:sz w:val="18"/>
                <w:szCs w:val="18"/>
              </w:rPr>
            </w:pPr>
          </w:p>
          <w:p w14:paraId="51B1CCB1" w14:textId="77777777" w:rsidR="00D2162C" w:rsidRDefault="00D2162C" w:rsidP="00CE6B7A">
            <w:pPr>
              <w:jc w:val="center"/>
              <w:rPr>
                <w:rFonts w:ascii="Times New Roman" w:eastAsia="Calibri" w:hAnsi="Times New Roman" w:cs="Times New Roman"/>
                <w:sz w:val="18"/>
                <w:szCs w:val="18"/>
              </w:rPr>
            </w:pPr>
          </w:p>
          <w:p w14:paraId="2A857D11" w14:textId="29B2F6C6" w:rsidR="003C045B" w:rsidRPr="00036F88" w:rsidRDefault="00CE6B7A" w:rsidP="00CE6B7A">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720" w:type="dxa"/>
          </w:tcPr>
          <w:p w14:paraId="7ABC6860" w14:textId="77777777" w:rsidR="00D2162C" w:rsidRDefault="00D2162C" w:rsidP="003C045B">
            <w:pPr>
              <w:jc w:val="center"/>
              <w:rPr>
                <w:rFonts w:ascii="Times New Roman" w:eastAsia="Calibri" w:hAnsi="Times New Roman" w:cs="Times New Roman"/>
                <w:sz w:val="18"/>
                <w:szCs w:val="18"/>
                <w:lang w:val="en-US"/>
              </w:rPr>
            </w:pPr>
          </w:p>
          <w:p w14:paraId="0168B9F7" w14:textId="77777777" w:rsidR="00D2162C" w:rsidRDefault="00D2162C" w:rsidP="00D2162C">
            <w:pPr>
              <w:jc w:val="center"/>
              <w:rPr>
                <w:rFonts w:ascii="Times New Roman" w:eastAsia="Calibri" w:hAnsi="Times New Roman" w:cs="Times New Roman"/>
                <w:sz w:val="18"/>
                <w:szCs w:val="18"/>
                <w:lang w:val="en-US"/>
              </w:rPr>
            </w:pPr>
          </w:p>
          <w:p w14:paraId="6DA5A955" w14:textId="77777777" w:rsidR="00D2162C" w:rsidRDefault="00D2162C" w:rsidP="00D2162C">
            <w:pPr>
              <w:jc w:val="center"/>
              <w:rPr>
                <w:rFonts w:ascii="Times New Roman" w:eastAsia="Calibri" w:hAnsi="Times New Roman" w:cs="Times New Roman"/>
                <w:sz w:val="18"/>
                <w:szCs w:val="18"/>
                <w:lang w:val="en-US"/>
              </w:rPr>
            </w:pPr>
          </w:p>
          <w:p w14:paraId="5E1BAD4C" w14:textId="6E8A0AA2" w:rsidR="003C045B" w:rsidRPr="00036F88" w:rsidRDefault="00D2162C">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406" w:type="dxa"/>
          </w:tcPr>
          <w:p w14:paraId="5B56DC0D" w14:textId="77777777" w:rsidR="00A86815" w:rsidRDefault="00A86815" w:rsidP="00CE6B7A">
            <w:pPr>
              <w:rPr>
                <w:rFonts w:ascii="Times New Roman" w:eastAsia="Calibri" w:hAnsi="Times New Roman" w:cs="Times New Roman"/>
                <w:sz w:val="18"/>
                <w:szCs w:val="18"/>
                <w:lang w:val="en-US"/>
              </w:rPr>
            </w:pPr>
          </w:p>
          <w:p w14:paraId="2190CE23" w14:textId="3FBA522C" w:rsidR="00A86815" w:rsidRDefault="00A86815" w:rsidP="00CE6B7A">
            <w:pPr>
              <w:rPr>
                <w:rFonts w:ascii="Times New Roman" w:eastAsia="Calibri" w:hAnsi="Times New Roman" w:cs="Times New Roman"/>
                <w:sz w:val="18"/>
                <w:szCs w:val="18"/>
                <w:lang w:val="en-US"/>
              </w:rPr>
            </w:pPr>
          </w:p>
          <w:p w14:paraId="5594B8C6" w14:textId="77777777" w:rsidR="00A86815" w:rsidRDefault="00A86815" w:rsidP="00CE6B7A">
            <w:pPr>
              <w:rPr>
                <w:rFonts w:ascii="Times New Roman" w:eastAsia="Calibri" w:hAnsi="Times New Roman" w:cs="Times New Roman"/>
                <w:sz w:val="18"/>
                <w:szCs w:val="18"/>
                <w:lang w:val="en-US"/>
              </w:rPr>
            </w:pPr>
          </w:p>
          <w:p w14:paraId="04BB43BB" w14:textId="37F55A4B" w:rsidR="00CE6B7A" w:rsidRPr="00CE6B7A" w:rsidRDefault="00CE6B7A" w:rsidP="00CE6B7A">
            <w:pPr>
              <w:rPr>
                <w:rFonts w:ascii="Times New Roman" w:eastAsia="Calibri" w:hAnsi="Times New Roman" w:cs="Times New Roman"/>
                <w:sz w:val="18"/>
                <w:szCs w:val="18"/>
                <w:lang w:val="en-US"/>
              </w:rPr>
            </w:pPr>
            <w:r w:rsidRPr="00CE6B7A">
              <w:rPr>
                <w:rFonts w:ascii="Times New Roman" w:eastAsia="Calibri" w:hAnsi="Times New Roman" w:cs="Times New Roman"/>
                <w:sz w:val="18"/>
                <w:szCs w:val="18"/>
                <w:lang w:val="en-US"/>
              </w:rPr>
              <w:t>Dispozita procedurale mbi auditimet e përbashkëta midis autoriteteve kompetente. Jashtë</w:t>
            </w:r>
            <w:r w:rsidR="004D4126">
              <w:rPr>
                <w:rFonts w:ascii="Times New Roman" w:eastAsia="Calibri" w:hAnsi="Times New Roman" w:cs="Times New Roman"/>
                <w:sz w:val="18"/>
                <w:szCs w:val="18"/>
                <w:lang w:val="en-US"/>
              </w:rPr>
              <w:t xml:space="preserve"> </w:t>
            </w:r>
            <w:r w:rsidRPr="00CE6B7A">
              <w:rPr>
                <w:rFonts w:ascii="Times New Roman" w:eastAsia="Calibri" w:hAnsi="Times New Roman" w:cs="Times New Roman"/>
                <w:sz w:val="18"/>
                <w:szCs w:val="18"/>
                <w:lang w:val="en-US"/>
              </w:rPr>
              <w:t xml:space="preserve">fushëveprimi i Shtojcës V dhe i mbuluar nga DAC i Përgjithshëm. </w:t>
            </w:r>
            <w:r w:rsidR="004D4126">
              <w:rPr>
                <w:rFonts w:ascii="Times New Roman" w:eastAsia="Calibri" w:hAnsi="Times New Roman" w:cs="Times New Roman"/>
                <w:sz w:val="18"/>
                <w:szCs w:val="18"/>
                <w:lang w:val="en-US"/>
              </w:rPr>
              <w:t>Nuk kerkon tanspozim.</w:t>
            </w:r>
          </w:p>
          <w:p w14:paraId="0FC616EE" w14:textId="3D6A65AE" w:rsidR="00A86815" w:rsidRDefault="00A86815" w:rsidP="00CE6B7A">
            <w:pPr>
              <w:rPr>
                <w:rFonts w:ascii="Times New Roman" w:eastAsia="Calibri" w:hAnsi="Times New Roman" w:cs="Times New Roman"/>
                <w:sz w:val="18"/>
                <w:szCs w:val="18"/>
                <w:lang w:val="en-US"/>
              </w:rPr>
            </w:pPr>
          </w:p>
          <w:p w14:paraId="35CB870C" w14:textId="5C08B219" w:rsidR="00A86815" w:rsidRDefault="00A86815" w:rsidP="00CE6B7A">
            <w:pPr>
              <w:rPr>
                <w:rFonts w:ascii="Times New Roman" w:eastAsia="Calibri" w:hAnsi="Times New Roman" w:cs="Times New Roman"/>
                <w:sz w:val="18"/>
                <w:szCs w:val="18"/>
                <w:lang w:val="en-US"/>
              </w:rPr>
            </w:pPr>
          </w:p>
          <w:p w14:paraId="54A541A5" w14:textId="77777777" w:rsidR="00A86815" w:rsidRDefault="00A86815" w:rsidP="00CE6B7A">
            <w:pPr>
              <w:rPr>
                <w:rFonts w:ascii="Times New Roman" w:eastAsia="Calibri" w:hAnsi="Times New Roman" w:cs="Times New Roman"/>
                <w:sz w:val="18"/>
                <w:szCs w:val="18"/>
                <w:lang w:val="en-US"/>
              </w:rPr>
            </w:pPr>
          </w:p>
          <w:p w14:paraId="2F2FAEC5" w14:textId="3470D364" w:rsidR="00A86815" w:rsidRDefault="004D4126" w:rsidP="00CE6B7A">
            <w:pP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lang w:val="en-US"/>
              </w:rPr>
              <w:t xml:space="preserve">Kjo transpozohet nga neni 17 I ligjit per DAC e pergjithshem. </w:t>
            </w:r>
          </w:p>
          <w:p w14:paraId="511F7AE4" w14:textId="77777777" w:rsidR="00A86815" w:rsidRDefault="00A86815" w:rsidP="00CE6B7A">
            <w:pPr>
              <w:rPr>
                <w:rFonts w:ascii="Times New Roman" w:eastAsia="Calibri" w:hAnsi="Times New Roman" w:cs="Times New Roman"/>
                <w:sz w:val="18"/>
                <w:szCs w:val="18"/>
                <w:highlight w:val="yellow"/>
                <w:lang w:val="en-US"/>
              </w:rPr>
            </w:pPr>
          </w:p>
          <w:p w14:paraId="051AF232"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Neni 17</w:t>
            </w:r>
          </w:p>
          <w:p w14:paraId="75CA19EA" w14:textId="77777777" w:rsidR="008D434B" w:rsidRPr="008D434B" w:rsidRDefault="008D434B" w:rsidP="008D434B">
            <w:pPr>
              <w:rPr>
                <w:rFonts w:ascii="Times New Roman" w:eastAsia="Calibri" w:hAnsi="Times New Roman" w:cs="Times New Roman"/>
                <w:sz w:val="18"/>
                <w:szCs w:val="18"/>
                <w:lang w:val="en-US"/>
              </w:rPr>
            </w:pPr>
          </w:p>
          <w:p w14:paraId="65511739"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Kontrollet e njëkohshme dhe auditimet e përbashkëta</w:t>
            </w:r>
          </w:p>
          <w:p w14:paraId="72F4D13A" w14:textId="77777777" w:rsidR="008D434B" w:rsidRPr="008D434B" w:rsidRDefault="008D434B" w:rsidP="008D434B">
            <w:pPr>
              <w:rPr>
                <w:rFonts w:ascii="Times New Roman" w:eastAsia="Calibri" w:hAnsi="Times New Roman" w:cs="Times New Roman"/>
                <w:sz w:val="18"/>
                <w:szCs w:val="18"/>
                <w:lang w:val="en-US"/>
              </w:rPr>
            </w:pPr>
          </w:p>
          <w:p w14:paraId="350B9103"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1.</w:t>
            </w:r>
            <w:r w:rsidRPr="008D434B">
              <w:rPr>
                <w:rFonts w:ascii="Times New Roman" w:eastAsia="Calibri" w:hAnsi="Times New Roman" w:cs="Times New Roman"/>
                <w:sz w:val="18"/>
                <w:szCs w:val="18"/>
                <w:lang w:val="en-US"/>
              </w:rPr>
              <w:tab/>
              <w:t>Kur Shqipëria dhe shtetet e tjera anëtare bien dakord të kryejnë kontrolle të njëkohshme në territorin e tyre për një ose më shumë persona me interes të përbashkët, zbatohet procedura si vijon:</w:t>
            </w:r>
          </w:p>
          <w:p w14:paraId="17C6EC25"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a) Autoriteti kompetent iniciues identifikon personat për të cilët propozon një kontroll të njëkohshëm;</w:t>
            </w:r>
          </w:p>
          <w:p w14:paraId="455E08EE"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b) Njofton shtetet e tjera anëtare për veprimin e propozuar, arsyet dhe periudhën kohore të kontrollit;</w:t>
            </w:r>
          </w:p>
          <w:p w14:paraId="438962DC"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c) Çdo autoritet i konfirmon ose refuzon propozimin brenda 60 ditëve nga marrja e tij;</w:t>
            </w:r>
          </w:p>
          <w:p w14:paraId="08A267F1"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d) Çdo autoritet cakton një përfaqësues për mbikëqyrjen dhe koordinimin e operacionit.</w:t>
            </w:r>
          </w:p>
          <w:p w14:paraId="597A501B"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2.</w:t>
            </w:r>
            <w:r w:rsidRPr="008D434B">
              <w:rPr>
                <w:rFonts w:ascii="Times New Roman" w:eastAsia="Calibri" w:hAnsi="Times New Roman" w:cs="Times New Roman"/>
                <w:sz w:val="18"/>
                <w:szCs w:val="18"/>
                <w:lang w:val="en-US"/>
              </w:rPr>
              <w:tab/>
              <w:t xml:space="preserve">Drejtoria e Përgjithshme e Tatimeve mund të kërkojë që një ose më shumë autoritete kompetente nga shtetet e tjera anëtare të kryejnë një auditim të </w:t>
            </w:r>
            <w:r w:rsidRPr="008D434B">
              <w:rPr>
                <w:rFonts w:ascii="Times New Roman" w:eastAsia="Calibri" w:hAnsi="Times New Roman" w:cs="Times New Roman"/>
                <w:sz w:val="18"/>
                <w:szCs w:val="18"/>
                <w:lang w:val="en-US"/>
              </w:rPr>
              <w:lastRenderedPageBreak/>
              <w:t>përbashkët së bashku me Drejtorinë e Përgjithshme të Tatimeve.</w:t>
            </w:r>
          </w:p>
          <w:p w14:paraId="4460078E"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3.</w:t>
            </w:r>
            <w:r w:rsidRPr="008D434B">
              <w:rPr>
                <w:rFonts w:ascii="Times New Roman" w:eastAsia="Calibri" w:hAnsi="Times New Roman" w:cs="Times New Roman"/>
                <w:sz w:val="18"/>
                <w:szCs w:val="18"/>
                <w:lang w:val="en-US"/>
              </w:rPr>
              <w:tab/>
              <w:t>Kur Drejtoria e Përgjithshme e Tatimeve merr një kërkesë për auditim të përbashkët, i përgjigjet brenda 60 ditëve dhe mund të refuzojë kërkesën për arsyet e saj të arsyeshme.</w:t>
            </w:r>
          </w:p>
          <w:p w14:paraId="330EB412"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4.</w:t>
            </w:r>
            <w:r w:rsidRPr="008D434B">
              <w:rPr>
                <w:rFonts w:ascii="Times New Roman" w:eastAsia="Calibri" w:hAnsi="Times New Roman" w:cs="Times New Roman"/>
                <w:sz w:val="18"/>
                <w:szCs w:val="18"/>
                <w:lang w:val="en-US"/>
              </w:rPr>
              <w:tab/>
              <w:t>Autoritetet pjesëmarrëse bien dakord paraprakisht mbi mënyrën e kryerjes së auditimit, duke përcaktuar edhe gjuhën e komunikimit, i cili zhvillohet në përputhje me legjislacionin dhe procedurat e shtetit anëtar ku kryhet.</w:t>
            </w:r>
          </w:p>
          <w:p w14:paraId="561ED614"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5.</w:t>
            </w:r>
            <w:r w:rsidRPr="008D434B">
              <w:rPr>
                <w:rFonts w:ascii="Times New Roman" w:eastAsia="Calibri" w:hAnsi="Times New Roman" w:cs="Times New Roman"/>
                <w:sz w:val="18"/>
                <w:szCs w:val="18"/>
                <w:lang w:val="en-US"/>
              </w:rPr>
              <w:tab/>
              <w:t>Zyrtarët nga një autoritet tjetër kompetent që marrin pjesë në auditim në Shqipëri kanë të njëjtat të drejta dhe detyrime si zyrtarët e Drejtorisë së Përgjithshme të Tatimeve.</w:t>
            </w:r>
          </w:p>
          <w:p w14:paraId="7807984D"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6.</w:t>
            </w:r>
            <w:r w:rsidRPr="008D434B">
              <w:rPr>
                <w:rFonts w:ascii="Times New Roman" w:eastAsia="Calibri" w:hAnsi="Times New Roman" w:cs="Times New Roman"/>
                <w:sz w:val="18"/>
                <w:szCs w:val="18"/>
                <w:lang w:val="en-US"/>
              </w:rPr>
              <w:tab/>
              <w:t>Zyrtarët e Drejtorisë së Përgjithshme të Tatimeve që marrin pjesë në auditim jashtë Shqipërisë duhet të respektojnë legjislacionin e shtetit anëtar ku kryhet auditimi, pa ushtuar kompetenca që nuk i kanë sipas ligjit shqiptar.</w:t>
            </w:r>
          </w:p>
          <w:p w14:paraId="566AB669"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7.</w:t>
            </w:r>
            <w:r w:rsidRPr="008D434B">
              <w:rPr>
                <w:rFonts w:ascii="Times New Roman" w:eastAsia="Calibri" w:hAnsi="Times New Roman" w:cs="Times New Roman"/>
                <w:sz w:val="18"/>
                <w:szCs w:val="18"/>
                <w:lang w:val="en-US"/>
              </w:rPr>
              <w:tab/>
              <w:t>Kur auditimi i përbashkët zhvillohet në Shqipëri, Drejtoria e Përgjithshme e Tatimeve cakton një përfaqësues përgjegjës për koordinimin. Zyrtarët e shteteve të tjera mund të intervistojnë individë dhe të shqyrtojnë dokumente së bashku me zyrtarët shqiptarë. Provat e mbledhura vlerësohen sipas legjislacionit shqiptar, duke përfshirë çdo proces ankimi, shqyrtimi dhe apelimi. Personat e audituar gëzojnë të njëjtat të drejta dhe detyrime si në auditimet e brendshme.</w:t>
            </w:r>
          </w:p>
          <w:p w14:paraId="56E4BE79"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8.</w:t>
            </w:r>
            <w:r w:rsidRPr="008D434B">
              <w:rPr>
                <w:rFonts w:ascii="Times New Roman" w:eastAsia="Calibri" w:hAnsi="Times New Roman" w:cs="Times New Roman"/>
                <w:sz w:val="18"/>
                <w:szCs w:val="18"/>
                <w:lang w:val="en-US"/>
              </w:rPr>
              <w:tab/>
              <w:t xml:space="preserve">Autoritetet pjesëmarrëse përpiqen të bien dakord mbi faktet dhe rrethanat </w:t>
            </w:r>
            <w:r w:rsidRPr="008D434B">
              <w:rPr>
                <w:rFonts w:ascii="Times New Roman" w:eastAsia="Calibri" w:hAnsi="Times New Roman" w:cs="Times New Roman"/>
                <w:sz w:val="18"/>
                <w:szCs w:val="18"/>
                <w:lang w:val="en-US"/>
              </w:rPr>
              <w:lastRenderedPageBreak/>
              <w:t xml:space="preserve">përkatëse të auditimit të përbashkët dhe, bazuar në rezultatet e auditimit, përpiqen të arrijnë marrëveshje mbi pozicionin tatimor të personit ose personave të audituar. Gjetjet e auditimit të përbashkët përfshihen në raportin përfundimtar. Çështjet për të cilat autoritetet pjesëmarrëse bien dakord pasqyrohen në raportin përfundimtar dhe merren në konsideratë në aktet përkatëse që nxirren nga autoritetet kompetente pjesëmarrëse pas auditimit të përbashkët. </w:t>
            </w:r>
          </w:p>
          <w:p w14:paraId="206C0A1E"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9.</w:t>
            </w:r>
            <w:r w:rsidRPr="008D434B">
              <w:rPr>
                <w:rFonts w:ascii="Times New Roman" w:eastAsia="Calibri" w:hAnsi="Times New Roman" w:cs="Times New Roman"/>
                <w:sz w:val="18"/>
                <w:szCs w:val="18"/>
                <w:lang w:val="en-US"/>
              </w:rPr>
              <w:tab/>
              <w:t>Çdo veprim i Drejtorisë së Përgjithshme të Tatimeve pas auditimit të përbashkët, përfshirë vendimet tatimore dhe proceset e apelimit, zhvillohet sipas ligjit kombëtar të Shqipërisë.</w:t>
            </w:r>
          </w:p>
          <w:p w14:paraId="6BCCD26C" w14:textId="77777777" w:rsidR="008D434B" w:rsidRPr="008D434B" w:rsidRDefault="008D434B" w:rsidP="008D434B">
            <w:pPr>
              <w:rPr>
                <w:rFonts w:ascii="Times New Roman" w:eastAsia="Calibri" w:hAnsi="Times New Roman" w:cs="Times New Roman"/>
                <w:sz w:val="18"/>
                <w:szCs w:val="18"/>
                <w:lang w:val="en-US"/>
              </w:rPr>
            </w:pPr>
            <w:r w:rsidRPr="008D434B">
              <w:rPr>
                <w:rFonts w:ascii="Times New Roman" w:eastAsia="Calibri" w:hAnsi="Times New Roman" w:cs="Times New Roman"/>
                <w:sz w:val="18"/>
                <w:szCs w:val="18"/>
                <w:lang w:val="en-US"/>
              </w:rPr>
              <w:t>10.</w:t>
            </w:r>
            <w:r w:rsidRPr="008D434B">
              <w:rPr>
                <w:rFonts w:ascii="Times New Roman" w:eastAsia="Calibri" w:hAnsi="Times New Roman" w:cs="Times New Roman"/>
                <w:sz w:val="18"/>
                <w:szCs w:val="18"/>
                <w:lang w:val="en-US"/>
              </w:rPr>
              <w:tab/>
              <w:t>Personat e audituar duhet të informohen për rezultatin e auditimit dhe të marrin një kopje të raportit përfundimtar brenda 60 ditëve nga lëshimi i tij.</w:t>
            </w:r>
          </w:p>
          <w:p w14:paraId="71B5E837" w14:textId="2BB17BE9" w:rsidR="00A86815" w:rsidRPr="00036F88" w:rsidRDefault="008D434B" w:rsidP="008D434B">
            <w:pPr>
              <w:rPr>
                <w:rFonts w:ascii="Times New Roman" w:eastAsia="Calibri" w:hAnsi="Times New Roman" w:cs="Times New Roman"/>
                <w:sz w:val="18"/>
                <w:szCs w:val="18"/>
                <w:highlight w:val="yellow"/>
                <w:lang w:val="en-US"/>
              </w:rPr>
            </w:pPr>
            <w:r w:rsidRPr="008D434B">
              <w:rPr>
                <w:rFonts w:ascii="Times New Roman" w:eastAsia="Calibri" w:hAnsi="Times New Roman" w:cs="Times New Roman"/>
                <w:sz w:val="18"/>
                <w:szCs w:val="18"/>
                <w:lang w:val="en-US"/>
              </w:rPr>
              <w:t>11.</w:t>
            </w:r>
            <w:r w:rsidRPr="008D434B">
              <w:rPr>
                <w:rFonts w:ascii="Times New Roman" w:eastAsia="Calibri" w:hAnsi="Times New Roman" w:cs="Times New Roman"/>
                <w:sz w:val="18"/>
                <w:szCs w:val="18"/>
                <w:lang w:val="en-US"/>
              </w:rPr>
              <w:tab/>
              <w:t>Kontrollet e njëkohshme dhe auditimet e përbashkëta kryhen sipas rregullave teknike të përcaktuara në vendimin e Këshillit të Ministrave.</w:t>
            </w:r>
          </w:p>
        </w:tc>
      </w:tr>
      <w:tr w:rsidR="00AD61E7" w:rsidRPr="00036F88" w14:paraId="52A8CC74" w14:textId="77777777" w:rsidTr="007C321D">
        <w:trPr>
          <w:trHeight w:val="1008"/>
        </w:trPr>
        <w:tc>
          <w:tcPr>
            <w:tcW w:w="630" w:type="dxa"/>
          </w:tcPr>
          <w:p w14:paraId="190CA677" w14:textId="77777777" w:rsidR="00AD61E7" w:rsidRPr="00036F88" w:rsidRDefault="00AD61E7" w:rsidP="00AF6E05">
            <w:pPr>
              <w:jc w:val="both"/>
              <w:rPr>
                <w:rFonts w:ascii="Times New Roman" w:eastAsia="Calibri" w:hAnsi="Times New Roman" w:cs="Times New Roman"/>
                <w:sz w:val="18"/>
                <w:szCs w:val="18"/>
                <w:lang w:val="en-US"/>
              </w:rPr>
            </w:pPr>
            <w:bookmarkStart w:id="2" w:name="_Hlk227914978"/>
          </w:p>
        </w:tc>
        <w:tc>
          <w:tcPr>
            <w:tcW w:w="5400" w:type="dxa"/>
            <w:shd w:val="clear" w:color="auto" w:fill="D0CECE" w:themeFill="background2" w:themeFillShade="E6"/>
          </w:tcPr>
          <w:p w14:paraId="152B73D1" w14:textId="77777777" w:rsidR="00654FB9" w:rsidRPr="00654FB9" w:rsidRDefault="00654FB9" w:rsidP="00654FB9">
            <w:pPr>
              <w:spacing w:line="276" w:lineRule="auto"/>
              <w:rPr>
                <w:rFonts w:ascii="Times New Roman" w:eastAsia="Calibri" w:hAnsi="Times New Roman" w:cs="Times New Roman"/>
                <w:iCs/>
                <w:sz w:val="18"/>
                <w:szCs w:val="18"/>
                <w:lang w:val="en-US"/>
              </w:rPr>
            </w:pPr>
            <w:r w:rsidRPr="00654FB9">
              <w:rPr>
                <w:rFonts w:ascii="Times New Roman" w:eastAsia="Calibri" w:hAnsi="Times New Roman" w:cs="Times New Roman"/>
                <w:iCs/>
                <w:sz w:val="18"/>
                <w:szCs w:val="18"/>
                <w:lang w:val="en-US"/>
              </w:rPr>
              <w:t>Neni 1(13) (Direktiva 2021/514/BE)</w:t>
            </w:r>
          </w:p>
          <w:p w14:paraId="5902AE64" w14:textId="39570B2B" w:rsidR="00AD61E7" w:rsidRPr="00036F88" w:rsidRDefault="00654FB9" w:rsidP="00654FB9">
            <w:pPr>
              <w:spacing w:line="276" w:lineRule="auto"/>
              <w:rPr>
                <w:rFonts w:ascii="Times New Roman" w:eastAsia="Calibri" w:hAnsi="Times New Roman" w:cs="Times New Roman"/>
                <w:iCs/>
                <w:sz w:val="18"/>
                <w:szCs w:val="18"/>
                <w:lang w:val="en-US"/>
              </w:rPr>
            </w:pPr>
            <w:r w:rsidRPr="00654FB9">
              <w:rPr>
                <w:rFonts w:ascii="Times New Roman" w:eastAsia="Calibri" w:hAnsi="Times New Roman" w:cs="Times New Roman"/>
                <w:iCs/>
                <w:sz w:val="18"/>
                <w:szCs w:val="18"/>
                <w:lang w:val="en-US"/>
              </w:rPr>
              <w:t>Neni 16, paragrafi 1, nënparagrafi i parë dhe paragrafi 2 (Direktiva 2011/16/BE)</w:t>
            </w:r>
          </w:p>
        </w:tc>
        <w:tc>
          <w:tcPr>
            <w:tcW w:w="540" w:type="dxa"/>
            <w:shd w:val="clear" w:color="auto" w:fill="D0CECE" w:themeFill="background2" w:themeFillShade="E6"/>
          </w:tcPr>
          <w:p w14:paraId="56E9111D" w14:textId="77777777" w:rsidR="00AD61E7" w:rsidRPr="00036F88" w:rsidRDefault="00AD61E7"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464256C2" w14:textId="77777777" w:rsidR="00AD61E7" w:rsidRPr="00036F88" w:rsidRDefault="00AD61E7"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7A07266B" w14:textId="77777777" w:rsidR="00AD61E7" w:rsidRPr="00036F88" w:rsidRDefault="00AD61E7"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7F59BDD2" w14:textId="77777777" w:rsidR="00AD61E7" w:rsidRPr="00036F88" w:rsidRDefault="00AD61E7"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0D4114F" w14:textId="77777777" w:rsidR="00AD61E7" w:rsidRPr="00036F88" w:rsidRDefault="00AD61E7" w:rsidP="00AF6E05">
            <w:pPr>
              <w:rPr>
                <w:rFonts w:ascii="Times New Roman" w:eastAsia="Calibri" w:hAnsi="Times New Roman" w:cs="Times New Roman"/>
                <w:sz w:val="18"/>
                <w:szCs w:val="18"/>
                <w:lang w:val="en-US"/>
              </w:rPr>
            </w:pPr>
          </w:p>
        </w:tc>
      </w:tr>
      <w:bookmarkEnd w:id="2"/>
      <w:tr w:rsidR="00E172D2" w:rsidRPr="00036F88" w14:paraId="5B377569" w14:textId="77777777" w:rsidTr="007C321D">
        <w:trPr>
          <w:trHeight w:val="2204"/>
        </w:trPr>
        <w:tc>
          <w:tcPr>
            <w:tcW w:w="630" w:type="dxa"/>
          </w:tcPr>
          <w:p w14:paraId="316BEC04"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28A4F862" w14:textId="77777777" w:rsidR="00654FB9" w:rsidRPr="001725D0" w:rsidRDefault="00654FB9" w:rsidP="00654FB9">
            <w:pPr>
              <w:jc w:val="both"/>
              <w:rPr>
                <w:rFonts w:ascii="Times New Roman" w:eastAsia="Calibri" w:hAnsi="Times New Roman" w:cs="Times New Roman"/>
                <w:iCs/>
                <w:sz w:val="18"/>
                <w:szCs w:val="18"/>
                <w:lang w:val="en-US"/>
              </w:rPr>
            </w:pPr>
          </w:p>
          <w:p w14:paraId="5BD98D49" w14:textId="77777777" w:rsidR="00654FB9" w:rsidRPr="001725D0" w:rsidRDefault="00654FB9" w:rsidP="00654FB9">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Informacioni i komunikuar midis Shteteve Anëtare në çdo formë në përputhje me këtë Direktivë mbulohet nga detyrimi i sekretit zyrtar dhe gëzon mbrojtjen e dhënë për informacione të ngjashme sipas ligjit kombëtar të Shtetit Anëtar që e ka marrë atë. Një informacion i tillë mund të përdoret për vlerësimin, administrimin dhe zbatimin e ligjit kombëtar të Shteteve Anëtare në lidhje me taksat e përmendura në Nenin 2, si dhe TVSH-në dhe taksat e tjera indirekte.'</w:t>
            </w:r>
          </w:p>
          <w:p w14:paraId="440E0083" w14:textId="77777777" w:rsidR="00654FB9" w:rsidRPr="001725D0" w:rsidRDefault="00654FB9" w:rsidP="00654FB9">
            <w:pPr>
              <w:jc w:val="both"/>
              <w:rPr>
                <w:rFonts w:ascii="Times New Roman" w:eastAsia="Calibri" w:hAnsi="Times New Roman" w:cs="Times New Roman"/>
                <w:iCs/>
                <w:sz w:val="18"/>
                <w:szCs w:val="18"/>
                <w:lang w:val="en-US"/>
              </w:rPr>
            </w:pPr>
          </w:p>
          <w:p w14:paraId="68367702" w14:textId="77777777" w:rsidR="00654FB9" w:rsidRPr="001725D0" w:rsidRDefault="00654FB9" w:rsidP="00654FB9">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lastRenderedPageBreak/>
              <w:t>'2. Me lejen e autoritetit kompetent të Shtetit Anëtar që komunikon informacionin në përputhje me këtë Direktivë, dhe vetëm për aq sa kjo lejohet sipas ligjit kombëtar të Shtetit Anëtar të autoritetit kompetent që merr informacionin, informacioni dhe dokumentet e marra në përputhje me këtë Direktivë mund të përdoren për qëllime të tjera nga ato të përmendura në paragrafin 1. Një leje e tillë do të jepet nëse informacioni mund të përdoret për qëllime të ngjashme në Shtetin Anëtar të autoritetit kompetent që komunikon informacionin.</w:t>
            </w:r>
          </w:p>
          <w:p w14:paraId="0C806444" w14:textId="77777777" w:rsidR="00654FB9" w:rsidRPr="001725D0" w:rsidRDefault="00654FB9" w:rsidP="00654FB9">
            <w:pPr>
              <w:jc w:val="both"/>
              <w:rPr>
                <w:rFonts w:ascii="Times New Roman" w:eastAsia="Calibri" w:hAnsi="Times New Roman" w:cs="Times New Roman"/>
                <w:iCs/>
                <w:sz w:val="18"/>
                <w:szCs w:val="18"/>
                <w:lang w:val="en-US"/>
              </w:rPr>
            </w:pPr>
          </w:p>
          <w:p w14:paraId="144A1F56" w14:textId="349344B1" w:rsidR="00E172D2" w:rsidRPr="001725D0" w:rsidRDefault="00654FB9" w:rsidP="00654FB9">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Autoriteti kompetent i secilit Shtet Anëtar mund t'u komunikojë autoriteteve kompetente të të gjitha Shteteve të tjera Anëtare një listë të qëllimeve për të cilat, në përputhje me ligjin e tij kombëtar, mund të përdoren informacione dhe dokumente, përveç atyre të përmendura në paragrafin 1. Autoriteti kompetent që merr informacione dhe dokumente mund të përdorë informacionin dhe dokumentet e marra pa lejen e përmendur në nënparagrafin e parë të këtij paragrafi për çdo qëllim të listuar nga Shteti Anëtar komunikues.</w:t>
            </w:r>
          </w:p>
        </w:tc>
        <w:tc>
          <w:tcPr>
            <w:tcW w:w="540" w:type="dxa"/>
          </w:tcPr>
          <w:p w14:paraId="7AA0DD76"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22A0EF0F" w14:textId="77777777" w:rsidR="00E172D2" w:rsidRDefault="00E172D2" w:rsidP="003C045B">
            <w:pPr>
              <w:jc w:val="center"/>
              <w:rPr>
                <w:rFonts w:ascii="Times New Roman" w:eastAsia="Calibri" w:hAnsi="Times New Roman" w:cs="Times New Roman"/>
                <w:sz w:val="18"/>
                <w:szCs w:val="18"/>
                <w:highlight w:val="cyan"/>
                <w:lang w:val="en-US"/>
              </w:rPr>
            </w:pPr>
          </w:p>
          <w:p w14:paraId="085CF30E" w14:textId="34B7BA88"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22DCECB4" w14:textId="77777777" w:rsidR="00654FB9" w:rsidRDefault="00654FB9" w:rsidP="00654FB9">
            <w:pPr>
              <w:jc w:val="center"/>
              <w:rPr>
                <w:rFonts w:ascii="Times New Roman" w:hAnsi="Times New Roman" w:cs="Times New Roman"/>
                <w:sz w:val="18"/>
                <w:szCs w:val="18"/>
              </w:rPr>
            </w:pPr>
          </w:p>
          <w:p w14:paraId="6ED8A461" w14:textId="77777777" w:rsidR="00654FB9" w:rsidRDefault="00654FB9" w:rsidP="00654FB9">
            <w:pPr>
              <w:jc w:val="center"/>
              <w:rPr>
                <w:rFonts w:ascii="Times New Roman" w:hAnsi="Times New Roman" w:cs="Times New Roman"/>
                <w:sz w:val="18"/>
                <w:szCs w:val="18"/>
              </w:rPr>
            </w:pPr>
          </w:p>
          <w:p w14:paraId="5ED812D9" w14:textId="77777777" w:rsidR="00654FB9" w:rsidRDefault="00654FB9" w:rsidP="00654FB9">
            <w:pPr>
              <w:jc w:val="center"/>
              <w:rPr>
                <w:rFonts w:ascii="Times New Roman" w:hAnsi="Times New Roman" w:cs="Times New Roman"/>
                <w:sz w:val="18"/>
                <w:szCs w:val="18"/>
              </w:rPr>
            </w:pPr>
          </w:p>
          <w:p w14:paraId="70E504E0" w14:textId="08271833" w:rsidR="00E172D2" w:rsidRPr="00036F88" w:rsidRDefault="00654FB9" w:rsidP="00654FB9">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780DCE6B" w14:textId="40C6D69F" w:rsidR="00E172D2" w:rsidRDefault="00E172D2" w:rsidP="003C045B">
            <w:pPr>
              <w:jc w:val="center"/>
              <w:rPr>
                <w:rFonts w:ascii="Times New Roman" w:eastAsia="Calibri" w:hAnsi="Times New Roman" w:cs="Times New Roman"/>
                <w:sz w:val="18"/>
                <w:szCs w:val="18"/>
              </w:rPr>
            </w:pPr>
          </w:p>
          <w:p w14:paraId="671B8D76" w14:textId="77777777" w:rsidR="00D2162C" w:rsidRDefault="00D2162C" w:rsidP="003C045B">
            <w:pPr>
              <w:jc w:val="center"/>
              <w:rPr>
                <w:rFonts w:ascii="Times New Roman" w:eastAsia="Calibri" w:hAnsi="Times New Roman" w:cs="Times New Roman"/>
                <w:sz w:val="18"/>
                <w:szCs w:val="18"/>
              </w:rPr>
            </w:pPr>
          </w:p>
          <w:p w14:paraId="1CF8E656" w14:textId="565C6DA3"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406" w:type="dxa"/>
          </w:tcPr>
          <w:p w14:paraId="5B465FA1" w14:textId="77777777" w:rsidR="008036D5" w:rsidRPr="008036D5" w:rsidRDefault="008036D5" w:rsidP="008036D5">
            <w:pPr>
              <w:rPr>
                <w:rFonts w:ascii="Times New Roman" w:eastAsia="Calibri" w:hAnsi="Times New Roman" w:cs="Times New Roman"/>
                <w:sz w:val="18"/>
                <w:szCs w:val="18"/>
              </w:rPr>
            </w:pPr>
          </w:p>
          <w:p w14:paraId="35CF8C50"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Nuk kërkon transpozim në këtë Ligj.</w:t>
            </w:r>
          </w:p>
          <w:p w14:paraId="7646B752" w14:textId="77777777" w:rsidR="008036D5" w:rsidRPr="008036D5" w:rsidRDefault="008036D5" w:rsidP="008036D5">
            <w:pPr>
              <w:rPr>
                <w:rFonts w:ascii="Times New Roman" w:eastAsia="Calibri" w:hAnsi="Times New Roman" w:cs="Times New Roman"/>
                <w:sz w:val="18"/>
                <w:szCs w:val="18"/>
              </w:rPr>
            </w:pPr>
          </w:p>
          <w:p w14:paraId="11F3B1F6"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Kjo dispozitë ka të bëjë me detyrimin e sekretit zyrtar dhe të lejuarën</w:t>
            </w:r>
          </w:p>
          <w:p w14:paraId="44ACD319" w14:textId="0900DE01" w:rsidR="00E172D2"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përdorimin e informacionit të shkëmbyer midis autoriteteve kompetente në përputhje me</w:t>
            </w:r>
            <w:r w:rsidR="008D434B">
              <w:rPr>
                <w:rFonts w:ascii="Times New Roman" w:eastAsia="Calibri" w:hAnsi="Times New Roman" w:cs="Times New Roman"/>
                <w:sz w:val="18"/>
                <w:szCs w:val="18"/>
              </w:rPr>
              <w:t xml:space="preserve"> </w:t>
            </w:r>
            <w:r w:rsidRPr="008036D5">
              <w:rPr>
                <w:rFonts w:ascii="Times New Roman" w:eastAsia="Calibri" w:hAnsi="Times New Roman" w:cs="Times New Roman"/>
                <w:sz w:val="18"/>
                <w:szCs w:val="18"/>
              </w:rPr>
              <w:t>Direktiva 2011/16/BE. Ajo rregullon vetëm mekanizmat e bashkëpunimit administrativ</w:t>
            </w:r>
            <w:r w:rsidR="008D434B">
              <w:rPr>
                <w:rFonts w:ascii="Times New Roman" w:eastAsia="Calibri" w:hAnsi="Times New Roman" w:cs="Times New Roman"/>
                <w:sz w:val="18"/>
                <w:szCs w:val="18"/>
              </w:rPr>
              <w:t xml:space="preserve"> </w:t>
            </w:r>
            <w:r w:rsidRPr="008036D5">
              <w:rPr>
                <w:rFonts w:ascii="Times New Roman" w:eastAsia="Calibri" w:hAnsi="Times New Roman" w:cs="Times New Roman"/>
                <w:sz w:val="18"/>
                <w:szCs w:val="18"/>
              </w:rPr>
              <w:t xml:space="preserve">dhe nuk përcakton detyrime </w:t>
            </w:r>
            <w:r w:rsidRPr="008036D5">
              <w:rPr>
                <w:rFonts w:ascii="Times New Roman" w:eastAsia="Calibri" w:hAnsi="Times New Roman" w:cs="Times New Roman"/>
                <w:sz w:val="18"/>
                <w:szCs w:val="18"/>
              </w:rPr>
              <w:lastRenderedPageBreak/>
              <w:t>për raportimin e operatorëve ose shitësve të platformës.</w:t>
            </w:r>
          </w:p>
          <w:p w14:paraId="59201CCF" w14:textId="77777777" w:rsidR="009F62F6" w:rsidRDefault="009F62F6" w:rsidP="008036D5">
            <w:pPr>
              <w:rPr>
                <w:rFonts w:ascii="Times New Roman" w:eastAsia="Calibri" w:hAnsi="Times New Roman" w:cs="Times New Roman"/>
                <w:sz w:val="18"/>
                <w:szCs w:val="18"/>
              </w:rPr>
            </w:pPr>
          </w:p>
          <w:p w14:paraId="30993626" w14:textId="1BFFBB50" w:rsidR="009F62F6" w:rsidRDefault="008D434B" w:rsidP="008036D5">
            <w:pPr>
              <w:rPr>
                <w:rFonts w:ascii="Times New Roman" w:eastAsia="Calibri" w:hAnsi="Times New Roman" w:cs="Times New Roman"/>
                <w:sz w:val="18"/>
                <w:szCs w:val="18"/>
              </w:rPr>
            </w:pPr>
            <w:r>
              <w:rPr>
                <w:rFonts w:ascii="Times New Roman" w:eastAsia="Calibri" w:hAnsi="Times New Roman" w:cs="Times New Roman"/>
                <w:sz w:val="18"/>
                <w:szCs w:val="18"/>
              </w:rPr>
              <w:t>Kjo transpozoht nga neni 19 i ligjit per DAC te pergjithshem.</w:t>
            </w:r>
          </w:p>
          <w:p w14:paraId="3C0491C9" w14:textId="77777777" w:rsidR="008D434B" w:rsidRDefault="008D434B" w:rsidP="008036D5">
            <w:pPr>
              <w:rPr>
                <w:rFonts w:ascii="Times New Roman" w:eastAsia="Calibri" w:hAnsi="Times New Roman" w:cs="Times New Roman"/>
                <w:sz w:val="18"/>
                <w:szCs w:val="18"/>
              </w:rPr>
            </w:pPr>
          </w:p>
          <w:p w14:paraId="5E7915FB" w14:textId="77777777" w:rsidR="008D434B" w:rsidRPr="008D434B" w:rsidRDefault="008D434B" w:rsidP="008D434B">
            <w:pPr>
              <w:jc w:val="center"/>
              <w:rPr>
                <w:rFonts w:ascii="Times New Roman" w:eastAsia="Calibri" w:hAnsi="Times New Roman" w:cs="Times New Roman"/>
                <w:sz w:val="18"/>
                <w:szCs w:val="18"/>
              </w:rPr>
            </w:pPr>
            <w:r w:rsidRPr="008D434B">
              <w:rPr>
                <w:rFonts w:ascii="Times New Roman" w:eastAsia="Calibri" w:hAnsi="Times New Roman" w:cs="Times New Roman"/>
                <w:sz w:val="18"/>
                <w:szCs w:val="18"/>
              </w:rPr>
              <w:t>Neni 19</w:t>
            </w:r>
          </w:p>
          <w:p w14:paraId="664D30E6" w14:textId="3CC1A3E2" w:rsidR="008D434B" w:rsidRPr="008D434B" w:rsidRDefault="008D434B" w:rsidP="008D434B">
            <w:pPr>
              <w:jc w:val="center"/>
              <w:rPr>
                <w:rFonts w:ascii="Times New Roman" w:eastAsia="Calibri" w:hAnsi="Times New Roman" w:cs="Times New Roman"/>
                <w:sz w:val="18"/>
                <w:szCs w:val="18"/>
              </w:rPr>
            </w:pPr>
          </w:p>
          <w:p w14:paraId="3A59C4EA" w14:textId="77777777" w:rsidR="008D434B" w:rsidRPr="008D434B" w:rsidRDefault="008D434B" w:rsidP="008D434B">
            <w:pPr>
              <w:jc w:val="center"/>
              <w:rPr>
                <w:rFonts w:ascii="Times New Roman" w:eastAsia="Calibri" w:hAnsi="Times New Roman" w:cs="Times New Roman"/>
                <w:sz w:val="18"/>
                <w:szCs w:val="18"/>
              </w:rPr>
            </w:pPr>
            <w:r w:rsidRPr="008D434B">
              <w:rPr>
                <w:rFonts w:ascii="Times New Roman" w:eastAsia="Calibri" w:hAnsi="Times New Roman" w:cs="Times New Roman"/>
                <w:sz w:val="18"/>
                <w:szCs w:val="18"/>
              </w:rPr>
              <w:t>Konfidencialiteti dhe përdorimet e lejuara</w:t>
            </w:r>
          </w:p>
          <w:p w14:paraId="20E42B4A" w14:textId="77777777" w:rsidR="008D434B" w:rsidRPr="008D434B" w:rsidRDefault="008D434B" w:rsidP="008D434B">
            <w:pPr>
              <w:rPr>
                <w:rFonts w:ascii="Times New Roman" w:eastAsia="Calibri" w:hAnsi="Times New Roman" w:cs="Times New Roman"/>
                <w:sz w:val="18"/>
                <w:szCs w:val="18"/>
              </w:rPr>
            </w:pPr>
          </w:p>
          <w:p w14:paraId="6C5D6709"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1.</w:t>
            </w:r>
            <w:r w:rsidRPr="008D434B">
              <w:rPr>
                <w:rFonts w:ascii="Times New Roman" w:eastAsia="Calibri" w:hAnsi="Times New Roman" w:cs="Times New Roman"/>
                <w:sz w:val="18"/>
                <w:szCs w:val="18"/>
              </w:rPr>
              <w:tab/>
              <w:t xml:space="preserve">Informacioni i komunikuar ndërmjet Republikës së Shqipërisë dhe shteteve anëtare në çdo formë sipas këtij ligji i nënshtrohet sekretit zyrtar dhe gëzon të njëjtën mbrojtje si informacioni i ngjashëm sipas legjislacionit shqiptar. Ky informacion mund të përdoret për vlerësimin, administrimin dhe zbatimin e tatimeve të mbuluara nga ky ligj, si dhe për tatimin mbi vlerën e shtuar, tatime të tjera indirekte, detyrime doganore dhe për qëllime të parandalimit të pastrimit të parave dhe kundër financimit të terrorizmit. </w:t>
            </w:r>
          </w:p>
          <w:p w14:paraId="5646A41A"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2.</w:t>
            </w:r>
            <w:r w:rsidRPr="008D434B">
              <w:rPr>
                <w:rFonts w:ascii="Times New Roman" w:eastAsia="Calibri" w:hAnsi="Times New Roman" w:cs="Times New Roman"/>
                <w:sz w:val="18"/>
                <w:szCs w:val="18"/>
              </w:rPr>
              <w:tab/>
              <w:t xml:space="preserve">Informacioni mund të përdoret gjithashtu për vlerësimin dhe zbatimin e tatimeve, taksave, detyrimeve dhe masave të tjera që mbulohen nga legjislacioni për ndihmën e ndërsjellë në rikuperimin e pretendimeve, si dhe për vlerësimin dhe zbatimin e kontributeve të detyrueshme të sigurimeve shoqërore dhe shëndetësore. Informacioni mund të përdoret edhe në procedura administrative ose gjyqësore që mund të çojnë në sanksione, të nisura si pasojë e shkeljeve të legjislacionit tatimor, pa cenuar rregullat për të drejtat e të pandehurve, palëve dhe dëshmitarëve në këto procedura. </w:t>
            </w:r>
          </w:p>
          <w:p w14:paraId="6F125F92"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lastRenderedPageBreak/>
              <w:t>3.</w:t>
            </w:r>
            <w:r w:rsidRPr="008D434B">
              <w:rPr>
                <w:rFonts w:ascii="Times New Roman" w:eastAsia="Calibri" w:hAnsi="Times New Roman" w:cs="Times New Roman"/>
                <w:sz w:val="18"/>
                <w:szCs w:val="18"/>
              </w:rPr>
              <w:tab/>
              <w:t xml:space="preserve">Me lejen e autoritetit kompetent të shtetit anëtar që ka komunikuar informacionin dhe vetëm në masën që lejohet nga legjislacioni shqiptar, informacioni dhe dokumentet e marra sipas këtij ligji mund të përdoren për qëllime të tjera nga ato të përcaktuara në pikat 1 dhe 2 të këtij neni. Leja jepet kur informacioni mund të përdoret për qëllime të ngjashme sipas legjislacionit të shtetit anëtar që ka komunikuar informacionin. Kur shteti anëtar që ka komunikuar informacionin ka njoftuar një listë qëllimesh për të cilat informacioni mund të përdoret pa leje të veçantë, Drejtoria e Përgjithshme e Tatimeve mund ta përdorë informacionin për këto qëllime. Informacioni mund të përdoret pa leje të veçantë edhe për qëllime të mbuluara nga një akt i miratuar në bazë të nenit 215 të Traktatit për Funksionimin e Bashkimit Evropian, lidhur me masat kufizuese, dhe mund të ndahet për këtë qëllim me autoritetin kompetent për masat kufizuese. </w:t>
            </w:r>
          </w:p>
          <w:p w14:paraId="2EE953FC"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4.</w:t>
            </w:r>
            <w:r w:rsidRPr="008D434B">
              <w:rPr>
                <w:rFonts w:ascii="Times New Roman" w:eastAsia="Calibri" w:hAnsi="Times New Roman" w:cs="Times New Roman"/>
                <w:sz w:val="18"/>
                <w:szCs w:val="18"/>
              </w:rPr>
              <w:tab/>
              <w:t xml:space="preserve">Kur Drejtoria e Përgjithshme e Tatimeve vlerëson se informacioni i marrë nga autoriteti kompetent i një shteti anëtar mund të jetë i dobishëm për autoritetin kompetent të një shteti anëtar të tretë, ajo mund t’ia transmetojë këtë informacion këtij shteti anëtar të tretë, në përputhje me rregullat dhe procedurat e këtij ligji. Drejtoria e Përgjithshme e Tatimeve njofton paraprakisht autoritetin kompetent të shtetit anëtar nga i cili buron informacioni, i cili mund të kundërshtojë transmetimin brenda 15 ditëve kalendarike nga marrja e njoftimit. </w:t>
            </w:r>
          </w:p>
          <w:p w14:paraId="13A92685" w14:textId="4847AC69" w:rsidR="008D434B" w:rsidRPr="00036F88"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lastRenderedPageBreak/>
              <w:t>5.</w:t>
            </w:r>
            <w:r w:rsidRPr="008D434B">
              <w:rPr>
                <w:rFonts w:ascii="Times New Roman" w:eastAsia="Calibri" w:hAnsi="Times New Roman" w:cs="Times New Roman"/>
                <w:sz w:val="18"/>
                <w:szCs w:val="18"/>
              </w:rPr>
              <w:tab/>
              <w:t>Informacioni, raportet, deklaratat dhe çdo dokument tjetër, kopjet e vërtetuara ose ekstraktet e tyre, të marra dhe të komunikuara sipas këtij ligji, mund të përdoren si provë nga organet kompetente në të njëjtat kushte si informacioni, raportet, deklaratat dhe dokumentet e ngjashme të siguruara nga autoritetet shqiptare.</w:t>
            </w:r>
          </w:p>
        </w:tc>
      </w:tr>
      <w:tr w:rsidR="008036D5" w:rsidRPr="00036F88" w14:paraId="0DB00269" w14:textId="77777777" w:rsidTr="007C321D">
        <w:trPr>
          <w:trHeight w:val="1008"/>
        </w:trPr>
        <w:tc>
          <w:tcPr>
            <w:tcW w:w="630" w:type="dxa"/>
          </w:tcPr>
          <w:p w14:paraId="54D98BCA" w14:textId="77777777" w:rsidR="008036D5" w:rsidRPr="00036F88" w:rsidRDefault="008036D5" w:rsidP="00AF6E05">
            <w:pPr>
              <w:jc w:val="both"/>
              <w:rPr>
                <w:rFonts w:ascii="Times New Roman" w:eastAsia="Calibri" w:hAnsi="Times New Roman" w:cs="Times New Roman"/>
                <w:sz w:val="18"/>
                <w:szCs w:val="18"/>
                <w:lang w:val="en-US"/>
              </w:rPr>
            </w:pPr>
            <w:bookmarkStart w:id="3" w:name="_Hlk227915243"/>
          </w:p>
        </w:tc>
        <w:tc>
          <w:tcPr>
            <w:tcW w:w="5400" w:type="dxa"/>
            <w:shd w:val="clear" w:color="auto" w:fill="D0CECE" w:themeFill="background2" w:themeFillShade="E6"/>
          </w:tcPr>
          <w:p w14:paraId="299A4825"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1(14) (Direktiva 2021/514/BE)</w:t>
            </w:r>
          </w:p>
          <w:p w14:paraId="1ECE8112"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20, paragrafi 2, nënparagrafi i parë dhe paragrafët 3 dhe 4 (Direktiva 2011/16/BE)</w:t>
            </w:r>
          </w:p>
          <w:p w14:paraId="5008DF67" w14:textId="34592B32" w:rsidR="008036D5" w:rsidRPr="00036F88" w:rsidRDefault="008036D5" w:rsidP="00AF6E05">
            <w:pPr>
              <w:spacing w:line="276" w:lineRule="auto"/>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F6F601C" w14:textId="77777777" w:rsidR="008036D5" w:rsidRPr="00036F88" w:rsidRDefault="008036D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6EC70F60" w14:textId="77777777" w:rsidR="008036D5" w:rsidRPr="00036F88" w:rsidRDefault="008036D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5A5C3CB" w14:textId="77777777" w:rsidR="008036D5" w:rsidRPr="00036F88" w:rsidRDefault="008036D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23552E92" w14:textId="77777777" w:rsidR="008036D5" w:rsidRPr="00036F88" w:rsidRDefault="008036D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15E85921" w14:textId="77777777" w:rsidR="008036D5" w:rsidRPr="00036F88" w:rsidRDefault="008036D5" w:rsidP="00AF6E05">
            <w:pPr>
              <w:rPr>
                <w:rFonts w:ascii="Times New Roman" w:eastAsia="Calibri" w:hAnsi="Times New Roman" w:cs="Times New Roman"/>
                <w:sz w:val="18"/>
                <w:szCs w:val="18"/>
                <w:lang w:val="en-US"/>
              </w:rPr>
            </w:pPr>
          </w:p>
        </w:tc>
      </w:tr>
      <w:bookmarkEnd w:id="3"/>
      <w:tr w:rsidR="00E172D2" w:rsidRPr="00036F88" w14:paraId="613C1CFC" w14:textId="77777777" w:rsidTr="007C321D">
        <w:trPr>
          <w:trHeight w:val="4013"/>
        </w:trPr>
        <w:tc>
          <w:tcPr>
            <w:tcW w:w="630" w:type="dxa"/>
          </w:tcPr>
          <w:p w14:paraId="06AC66D3"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8A58C88" w14:textId="77777777" w:rsidR="008036D5" w:rsidRPr="001725D0" w:rsidRDefault="008036D5" w:rsidP="008036D5">
            <w:pPr>
              <w:jc w:val="both"/>
              <w:rPr>
                <w:rFonts w:ascii="Times New Roman" w:eastAsia="Calibri" w:hAnsi="Times New Roman" w:cs="Times New Roman"/>
                <w:iCs/>
                <w:sz w:val="18"/>
                <w:szCs w:val="18"/>
                <w:lang w:val="en-US"/>
              </w:rPr>
            </w:pPr>
          </w:p>
          <w:p w14:paraId="020D391E"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Formulari standard i përmendur në paragrafin 1 duhet të përfshijë të paktën informacionin e mëposhtëm që duhet të ofrohet nga autoriteti kërkues: (a) identitetin e personit nën shqyrtim ose hetim dhe, në rastin e kërkesave në grup siç përmendet në nenin 5a(3), përshkrim të detajuar të grupit; (b) qëllimin tatimor për të cilin kërkohet informacioni.'</w:t>
            </w:r>
          </w:p>
          <w:p w14:paraId="5054E32D" w14:textId="77777777" w:rsidR="008036D5" w:rsidRPr="001725D0" w:rsidRDefault="008036D5" w:rsidP="008036D5">
            <w:pPr>
              <w:jc w:val="both"/>
              <w:rPr>
                <w:rFonts w:ascii="Times New Roman" w:eastAsia="Calibri" w:hAnsi="Times New Roman" w:cs="Times New Roman"/>
                <w:iCs/>
                <w:sz w:val="18"/>
                <w:szCs w:val="18"/>
                <w:lang w:val="en-US"/>
              </w:rPr>
            </w:pPr>
          </w:p>
          <w:p w14:paraId="639C26CA"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Informacioni spontan dhe konfirmimi i tij sipas neneve 9 dhe 10 përkatësisht, kërkesat për njoftime administrative sipas nenit 13, informacioni i reagimit sipas nenit 14 dhe komunikimet sipas nenit 16(2) dhe (3) dhe nenit 24(2) duhet të dërgohen duke përdorur formularët standardë të miratuar nga Komisioni në përputhje me procedurën e përmendur në nenin 26(2).</w:t>
            </w:r>
          </w:p>
          <w:p w14:paraId="7889045F" w14:textId="77777777" w:rsidR="008036D5" w:rsidRPr="001725D0" w:rsidRDefault="008036D5" w:rsidP="008036D5">
            <w:pPr>
              <w:jc w:val="both"/>
              <w:rPr>
                <w:rFonts w:ascii="Times New Roman" w:eastAsia="Calibri" w:hAnsi="Times New Roman" w:cs="Times New Roman"/>
                <w:iCs/>
                <w:sz w:val="18"/>
                <w:szCs w:val="18"/>
                <w:lang w:val="en-US"/>
              </w:rPr>
            </w:pPr>
          </w:p>
          <w:p w14:paraId="1EF17064" w14:textId="3B79AD6B" w:rsidR="00E172D2"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Shkëmbimi automatik i informacionit në përputhje me nenet 8 dhe 8ac kryhet duke përdorur një format standard të kompjuterizuar që synon lehtësimin e një shkëmbimi të tillë automatik, të miratuar nga Komisioni në përputhje me procedurën e përmendur në nenin 26(2).';</w:t>
            </w:r>
          </w:p>
        </w:tc>
        <w:tc>
          <w:tcPr>
            <w:tcW w:w="540" w:type="dxa"/>
          </w:tcPr>
          <w:p w14:paraId="2F716799"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5E1ABD3F" w14:textId="77777777" w:rsidR="00E172D2" w:rsidRDefault="00E172D2" w:rsidP="003C045B">
            <w:pPr>
              <w:jc w:val="center"/>
              <w:rPr>
                <w:rFonts w:ascii="Times New Roman" w:eastAsia="Calibri" w:hAnsi="Times New Roman" w:cs="Times New Roman"/>
                <w:sz w:val="18"/>
                <w:szCs w:val="18"/>
                <w:highlight w:val="cyan"/>
                <w:lang w:val="en-US"/>
              </w:rPr>
            </w:pPr>
          </w:p>
          <w:p w14:paraId="65D60BF4" w14:textId="77777777" w:rsidR="00D2162C" w:rsidRDefault="00D2162C" w:rsidP="003C045B">
            <w:pPr>
              <w:jc w:val="center"/>
              <w:rPr>
                <w:rFonts w:ascii="Times New Roman" w:eastAsia="Calibri" w:hAnsi="Times New Roman" w:cs="Times New Roman"/>
                <w:sz w:val="18"/>
                <w:szCs w:val="18"/>
                <w:highlight w:val="cyan"/>
                <w:lang w:val="en-US"/>
              </w:rPr>
            </w:pPr>
          </w:p>
          <w:p w14:paraId="2CA0260F" w14:textId="1D914416"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24B5DAB2" w14:textId="77777777" w:rsidR="008036D5" w:rsidRDefault="008036D5" w:rsidP="008036D5">
            <w:pPr>
              <w:jc w:val="center"/>
              <w:rPr>
                <w:rFonts w:ascii="Times New Roman" w:hAnsi="Times New Roman" w:cs="Times New Roman"/>
                <w:sz w:val="18"/>
                <w:szCs w:val="18"/>
              </w:rPr>
            </w:pPr>
          </w:p>
          <w:p w14:paraId="0CC19096" w14:textId="77777777" w:rsidR="008036D5" w:rsidRDefault="008036D5" w:rsidP="008036D5">
            <w:pPr>
              <w:jc w:val="center"/>
              <w:rPr>
                <w:rFonts w:ascii="Times New Roman" w:hAnsi="Times New Roman" w:cs="Times New Roman"/>
                <w:sz w:val="18"/>
                <w:szCs w:val="18"/>
              </w:rPr>
            </w:pPr>
          </w:p>
          <w:p w14:paraId="16E0E03F" w14:textId="6F939B81" w:rsidR="00E172D2" w:rsidRPr="00036F88" w:rsidRDefault="008036D5" w:rsidP="008036D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4C2A9D69" w14:textId="27246FA6" w:rsidR="00E172D2" w:rsidRDefault="00E172D2" w:rsidP="003C045B">
            <w:pPr>
              <w:jc w:val="center"/>
              <w:rPr>
                <w:rFonts w:ascii="Times New Roman" w:eastAsia="Calibri" w:hAnsi="Times New Roman" w:cs="Times New Roman"/>
                <w:sz w:val="18"/>
                <w:szCs w:val="18"/>
              </w:rPr>
            </w:pPr>
          </w:p>
          <w:p w14:paraId="17C949F7" w14:textId="77777777" w:rsidR="00D2162C" w:rsidRDefault="00D2162C" w:rsidP="003C045B">
            <w:pPr>
              <w:jc w:val="center"/>
              <w:rPr>
                <w:rFonts w:ascii="Times New Roman" w:eastAsia="Calibri" w:hAnsi="Times New Roman" w:cs="Times New Roman"/>
                <w:sz w:val="18"/>
                <w:szCs w:val="18"/>
              </w:rPr>
            </w:pPr>
          </w:p>
          <w:p w14:paraId="4C079FB6" w14:textId="31A2965E"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406" w:type="dxa"/>
          </w:tcPr>
          <w:p w14:paraId="7371BE0A" w14:textId="77777777" w:rsidR="008036D5" w:rsidRPr="008036D5" w:rsidRDefault="008036D5" w:rsidP="008036D5">
            <w:pPr>
              <w:rPr>
                <w:rFonts w:ascii="Times New Roman" w:eastAsia="Calibri" w:hAnsi="Times New Roman" w:cs="Times New Roman"/>
                <w:sz w:val="18"/>
                <w:szCs w:val="18"/>
              </w:rPr>
            </w:pPr>
          </w:p>
          <w:p w14:paraId="6D9471C0"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Nuk kërkon transpozim në këtë Ligj.</w:t>
            </w:r>
          </w:p>
          <w:p w14:paraId="72DCD725" w14:textId="77777777" w:rsidR="008036D5" w:rsidRPr="008036D5" w:rsidRDefault="008036D5" w:rsidP="008036D5">
            <w:pPr>
              <w:rPr>
                <w:rFonts w:ascii="Times New Roman" w:eastAsia="Calibri" w:hAnsi="Times New Roman" w:cs="Times New Roman"/>
                <w:sz w:val="18"/>
                <w:szCs w:val="18"/>
              </w:rPr>
            </w:pPr>
          </w:p>
          <w:p w14:paraId="1D36A526"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Kjo dispozitë rregullon format standarde dhe formatet elektronike të standardizuara.</w:t>
            </w:r>
          </w:p>
          <w:p w14:paraId="546A5C46"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për bashkëpunim administrativ dhe shkëmbim automatik të informacionit midis</w:t>
            </w:r>
          </w:p>
          <w:p w14:paraId="16FE2487" w14:textId="77777777" w:rsidR="00E172D2"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autoriteti kompetent</w:t>
            </w:r>
          </w:p>
          <w:p w14:paraId="67A2AAC8" w14:textId="77777777" w:rsidR="009F62F6" w:rsidRDefault="009F62F6" w:rsidP="008036D5">
            <w:pPr>
              <w:rPr>
                <w:rFonts w:ascii="Times New Roman" w:eastAsia="Calibri" w:hAnsi="Times New Roman" w:cs="Times New Roman"/>
                <w:sz w:val="18"/>
                <w:szCs w:val="18"/>
              </w:rPr>
            </w:pPr>
          </w:p>
          <w:p w14:paraId="667EB264" w14:textId="30115431" w:rsidR="009F62F6" w:rsidRDefault="008D434B" w:rsidP="009F62F6">
            <w:pP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lang w:val="en-US"/>
              </w:rPr>
              <w:t xml:space="preserve">Kjo transpozohet nga neni 22 dhe 23 i ligjit te DAC te pergjithshem </w:t>
            </w:r>
          </w:p>
          <w:p w14:paraId="222A0B3D" w14:textId="77777777" w:rsidR="009F62F6" w:rsidRDefault="009F62F6" w:rsidP="008036D5">
            <w:pPr>
              <w:rPr>
                <w:rFonts w:ascii="Times New Roman" w:eastAsia="Calibri" w:hAnsi="Times New Roman" w:cs="Times New Roman"/>
                <w:sz w:val="18"/>
                <w:szCs w:val="18"/>
              </w:rPr>
            </w:pPr>
          </w:p>
          <w:p w14:paraId="0BB4AAF2"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Neni 22</w:t>
            </w:r>
          </w:p>
          <w:p w14:paraId="2D0EB33F"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Formularët Standardë, Formatet e Kompjuterizuara dhe Gjuhët</w:t>
            </w:r>
          </w:p>
          <w:p w14:paraId="27FF4D9B"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1.</w:t>
            </w:r>
            <w:r w:rsidRPr="008D434B">
              <w:rPr>
                <w:rFonts w:ascii="Times New Roman" w:eastAsia="Calibri" w:hAnsi="Times New Roman" w:cs="Times New Roman"/>
                <w:sz w:val="18"/>
                <w:szCs w:val="18"/>
              </w:rPr>
              <w:tab/>
              <w:t xml:space="preserve">Të gjitha kërkesat për informacion, kërkesat administrative dhe përgjigjet e tyre, përfshirë konfirmimet, kërkesat për informacion shtesë dhe njoftimet për pamundësi ose refuzim, dërgohen, sa më shumë që është e mundur, duke përdorur formularët standardë të parashikuar në Vendimin e Këshillit të Ministrave. Kjo siguron që çdo komunikim </w:t>
            </w:r>
            <w:r w:rsidRPr="008D434B">
              <w:rPr>
                <w:rFonts w:ascii="Times New Roman" w:eastAsia="Calibri" w:hAnsi="Times New Roman" w:cs="Times New Roman"/>
                <w:sz w:val="18"/>
                <w:szCs w:val="18"/>
              </w:rPr>
              <w:lastRenderedPageBreak/>
              <w:t>të kryhet në mënyrë të harmonizuar dhe të strukturuar, duke lehtësuar shkëmbimin e informacionit mes autoriteteve kompetente.</w:t>
            </w:r>
          </w:p>
          <w:p w14:paraId="0851055C"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2.</w:t>
            </w:r>
            <w:r w:rsidRPr="008D434B">
              <w:rPr>
                <w:rFonts w:ascii="Times New Roman" w:eastAsia="Calibri" w:hAnsi="Times New Roman" w:cs="Times New Roman"/>
                <w:sz w:val="18"/>
                <w:szCs w:val="18"/>
              </w:rPr>
              <w:tab/>
              <w:t>Shkëmbimet spontane, kërkesat për njoftim administrativ dhe vlerësimet gjithashtu përdorin formularët standardë të parashikuar në Vendimin e Këshillit të Ministrave, duke garantuar uniformitet dhe qartësi në të gjithë proceset administrative.</w:t>
            </w:r>
          </w:p>
          <w:p w14:paraId="274749EE"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3.</w:t>
            </w:r>
            <w:r w:rsidRPr="008D434B">
              <w:rPr>
                <w:rFonts w:ascii="Times New Roman" w:eastAsia="Calibri" w:hAnsi="Times New Roman" w:cs="Times New Roman"/>
                <w:sz w:val="18"/>
                <w:szCs w:val="18"/>
              </w:rPr>
              <w:tab/>
              <w:t>Komunikimet sipas këtij ligji mund të bëhen në çdo gjuhë të rënë dakord midis autoritetit kompetent dhe autoritetit tjetër përkatës. Për pjesët kryesore, Drejtoria e Përgjithshme e Tatimeve do të pranojë përdorimin e gjuhës angleze, kur kjo parashikohet nga aktet zbatuese të Bashkimit Evropian.</w:t>
            </w:r>
          </w:p>
          <w:p w14:paraId="74EBE914"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4.</w:t>
            </w:r>
            <w:r w:rsidRPr="008D434B">
              <w:rPr>
                <w:rFonts w:ascii="Times New Roman" w:eastAsia="Calibri" w:hAnsi="Times New Roman" w:cs="Times New Roman"/>
                <w:sz w:val="18"/>
                <w:szCs w:val="18"/>
              </w:rPr>
              <w:tab/>
              <w:t>Referencat për aktet zbatuese të Bashkimit Evropian i referohen këtyre akteve, ndërsa Vendimi i Këshillit të Ministrave mund të përditësojë lidhje me aktet e tjera sipas nevojës.</w:t>
            </w:r>
          </w:p>
          <w:p w14:paraId="19599842"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5.</w:t>
            </w:r>
            <w:r w:rsidRPr="008D434B">
              <w:rPr>
                <w:rFonts w:ascii="Times New Roman" w:eastAsia="Calibri" w:hAnsi="Times New Roman" w:cs="Times New Roman"/>
                <w:sz w:val="18"/>
                <w:szCs w:val="18"/>
              </w:rPr>
              <w:tab/>
              <w:t>Për shkëmbimet automatike sipas Nenit 11, fushat minimale të të dhënave, verifikimet, formatet dhe kalendari përcaktohen nga Aneksi 1 dhe Aneksi 2 i Vendimit të Këshillit të Ministrave, duke siguruar standardizim, saktësi dhe transparencë në raportimin dhe shkëmbimin e informacionit.</w:t>
            </w:r>
          </w:p>
          <w:p w14:paraId="411098C9" w14:textId="77777777" w:rsidR="008D434B" w:rsidRDefault="008D434B" w:rsidP="008D434B">
            <w:pPr>
              <w:rPr>
                <w:rFonts w:ascii="Times New Roman" w:eastAsia="Calibri" w:hAnsi="Times New Roman" w:cs="Times New Roman"/>
                <w:sz w:val="18"/>
                <w:szCs w:val="18"/>
              </w:rPr>
            </w:pPr>
          </w:p>
          <w:p w14:paraId="1D32D659" w14:textId="2F573ECA"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Neni 23</w:t>
            </w:r>
          </w:p>
          <w:p w14:paraId="4255DAEA"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Regjistrat qendrorë të sigurt, ndërfaqet qendrore dhe sistemet evropiane të shkëmbimit të informacionit</w:t>
            </w:r>
          </w:p>
          <w:p w14:paraId="72BC20E4"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1.</w:t>
            </w:r>
            <w:r w:rsidRPr="008D434B">
              <w:rPr>
                <w:rFonts w:ascii="Times New Roman" w:eastAsia="Calibri" w:hAnsi="Times New Roman" w:cs="Times New Roman"/>
                <w:sz w:val="18"/>
                <w:szCs w:val="18"/>
              </w:rPr>
              <w:tab/>
              <w:t xml:space="preserve">Kur legjislacioni i Bashkimit Evropian parashikon përdorimin e drejtorive qendrore ose sistemeve të tjera elektronike për shkëmbimin ose vënien në </w:t>
            </w:r>
            <w:r w:rsidRPr="008D434B">
              <w:rPr>
                <w:rFonts w:ascii="Times New Roman" w:eastAsia="Calibri" w:hAnsi="Times New Roman" w:cs="Times New Roman"/>
                <w:sz w:val="18"/>
                <w:szCs w:val="18"/>
              </w:rPr>
              <w:lastRenderedPageBreak/>
              <w:t>dispozicion të informacionit për qëllimet e këtij ligji, Drejtoria e Përgjithshme e Tatimeve përdor këto sisteme përmes rrjetit CCN, në përputhje me marrëveshjet praktike të miratuara në nivel të Bashkimit Evropian.</w:t>
            </w:r>
          </w:p>
          <w:p w14:paraId="3646BB85" w14:textId="77777777" w:rsidR="008D434B" w:rsidRPr="008D434B"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2.</w:t>
            </w:r>
            <w:r w:rsidRPr="008D434B">
              <w:rPr>
                <w:rFonts w:ascii="Times New Roman" w:eastAsia="Calibri" w:hAnsi="Times New Roman" w:cs="Times New Roman"/>
                <w:sz w:val="18"/>
                <w:szCs w:val="18"/>
              </w:rPr>
              <w:tab/>
              <w:t>Drejtoria e Përgjithshme e Tatimeve siguron që informacioni dhe dokumentet e transmetuara nëpërmjet këtyre sistemeve të jenë të sakta, të plota, të dorëzuara në kohë dhe të disponueshme për autoritetet kompetente të shteteve anëtare, në përputhje me këtë ligj.</w:t>
            </w:r>
          </w:p>
          <w:p w14:paraId="5B86E640" w14:textId="5294BE59" w:rsidR="008D434B" w:rsidRPr="00036F88" w:rsidRDefault="008D434B" w:rsidP="008D434B">
            <w:pPr>
              <w:rPr>
                <w:rFonts w:ascii="Times New Roman" w:eastAsia="Calibri" w:hAnsi="Times New Roman" w:cs="Times New Roman"/>
                <w:sz w:val="18"/>
                <w:szCs w:val="18"/>
              </w:rPr>
            </w:pPr>
            <w:r w:rsidRPr="008D434B">
              <w:rPr>
                <w:rFonts w:ascii="Times New Roman" w:eastAsia="Calibri" w:hAnsi="Times New Roman" w:cs="Times New Roman"/>
                <w:sz w:val="18"/>
                <w:szCs w:val="18"/>
              </w:rPr>
              <w:t>3.</w:t>
            </w:r>
            <w:r w:rsidRPr="008D434B">
              <w:rPr>
                <w:rFonts w:ascii="Times New Roman" w:eastAsia="Calibri" w:hAnsi="Times New Roman" w:cs="Times New Roman"/>
                <w:sz w:val="18"/>
                <w:szCs w:val="18"/>
              </w:rPr>
              <w:tab/>
              <w:t>Detajet teknike, procedurale dhe organizative për përdorimin e këtyre sistemeve, përfshirë aksesin dhe shkëmbimin e informacionit, përcaktohen me Vendim të Këshillit të Ministrave, në përputhje me aktet e Bashkimit Evropian.</w:t>
            </w:r>
          </w:p>
        </w:tc>
      </w:tr>
      <w:tr w:rsidR="008036D5" w:rsidRPr="00036F88" w14:paraId="74829C0D" w14:textId="77777777" w:rsidTr="007C321D">
        <w:trPr>
          <w:trHeight w:val="1008"/>
        </w:trPr>
        <w:tc>
          <w:tcPr>
            <w:tcW w:w="630" w:type="dxa"/>
          </w:tcPr>
          <w:p w14:paraId="01EC6987" w14:textId="77777777" w:rsidR="008036D5" w:rsidRPr="00036F88" w:rsidRDefault="008036D5" w:rsidP="00AF6E05">
            <w:pPr>
              <w:jc w:val="both"/>
              <w:rPr>
                <w:rFonts w:ascii="Times New Roman" w:eastAsia="Calibri" w:hAnsi="Times New Roman" w:cs="Times New Roman"/>
                <w:sz w:val="18"/>
                <w:szCs w:val="18"/>
                <w:lang w:val="en-US"/>
              </w:rPr>
            </w:pPr>
            <w:bookmarkStart w:id="4" w:name="_Hlk227915506"/>
          </w:p>
        </w:tc>
        <w:tc>
          <w:tcPr>
            <w:tcW w:w="5400" w:type="dxa"/>
            <w:shd w:val="clear" w:color="auto" w:fill="D0CECE" w:themeFill="background2" w:themeFillShade="E6"/>
          </w:tcPr>
          <w:p w14:paraId="682E86F7"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1(15) (Direktiva 2021/514/BE)</w:t>
            </w:r>
          </w:p>
          <w:p w14:paraId="5BFC917D" w14:textId="77777777" w:rsidR="008036D5"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21, paragrafi 7 (Direktiva 2011/16/BE)</w:t>
            </w:r>
          </w:p>
          <w:p w14:paraId="417807AF" w14:textId="77777777" w:rsidR="008036D5" w:rsidRPr="00036F88" w:rsidRDefault="008036D5" w:rsidP="008036D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4CB9C51" w14:textId="77777777" w:rsidR="008036D5" w:rsidRPr="00036F88" w:rsidRDefault="008036D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02389DCE" w14:textId="77777777" w:rsidR="008036D5" w:rsidRPr="00036F88" w:rsidRDefault="008036D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510A9B29" w14:textId="77777777" w:rsidR="008036D5" w:rsidRPr="00036F88" w:rsidRDefault="008036D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1EEF5DFF" w14:textId="77777777" w:rsidR="008036D5" w:rsidRPr="00036F88" w:rsidRDefault="008036D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5FF5D1E8" w14:textId="77777777" w:rsidR="008036D5" w:rsidRPr="00036F88" w:rsidRDefault="008036D5" w:rsidP="00AF6E05">
            <w:pPr>
              <w:rPr>
                <w:rFonts w:ascii="Times New Roman" w:eastAsia="Calibri" w:hAnsi="Times New Roman" w:cs="Times New Roman"/>
                <w:sz w:val="18"/>
                <w:szCs w:val="18"/>
                <w:lang w:val="en-US"/>
              </w:rPr>
            </w:pPr>
          </w:p>
        </w:tc>
      </w:tr>
      <w:bookmarkEnd w:id="4"/>
      <w:tr w:rsidR="00E172D2" w:rsidRPr="00036F88" w14:paraId="54D572E0" w14:textId="77777777" w:rsidTr="007C321D">
        <w:trPr>
          <w:trHeight w:val="2204"/>
        </w:trPr>
        <w:tc>
          <w:tcPr>
            <w:tcW w:w="630" w:type="dxa"/>
          </w:tcPr>
          <w:p w14:paraId="24CACEBA"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EDDCC2C" w14:textId="77777777" w:rsidR="008036D5" w:rsidRPr="001725D0" w:rsidRDefault="008036D5" w:rsidP="008036D5">
            <w:pPr>
              <w:jc w:val="both"/>
              <w:rPr>
                <w:rFonts w:ascii="Times New Roman" w:eastAsia="Calibri" w:hAnsi="Times New Roman" w:cs="Times New Roman"/>
                <w:iCs/>
                <w:sz w:val="18"/>
                <w:szCs w:val="18"/>
                <w:lang w:val="en-US"/>
              </w:rPr>
            </w:pPr>
          </w:p>
          <w:p w14:paraId="136978BF" w14:textId="1DEEBEAE" w:rsidR="00E172D2" w:rsidRPr="001725D0" w:rsidRDefault="008036D5" w:rsidP="00803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"7. Komisioni zhvillon dhe ofron mbështetje teknike dhe logjistike për një ndërfaqe qendrore të sigurt mbi bashkëpunimin administrativ në fushën e taksimit, ku Shtetet Anëtare komunikojnë duke përdorur formularë standardë sipas nenit 20(1) dhe (3). Autoritetet kompetente të të gjitha Shteteve Anëtare kanë qasje në atë ndërfaqe. Për qëllime të mbledhjes së statistikave, Komisioni ka qasje në informacionin rreth shkëmbimeve të regjistruara në ndërfaqe dhe të cilat mund të nxirren automatikisht. Komisioni ka qasje vetëm në të dhëna anonime dhe të agreguara. Qasja nga Komisioni nuk cenon detyrimin e Shteteve Anëtare për të ofruar statistika mbi shkëmbimet e informacionit në përputhje me nenin 23(4). Komisioni, me anë të akteve zbatuese, përcakton rregullimet e nevojshme praktike. Këto akte zbatuese miratohen në përputhje me procedurën e përmendur në nenin 26(2)."</w:t>
            </w:r>
          </w:p>
        </w:tc>
        <w:tc>
          <w:tcPr>
            <w:tcW w:w="540" w:type="dxa"/>
          </w:tcPr>
          <w:p w14:paraId="5049F7F0"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03864333" w14:textId="77777777" w:rsidR="00E172D2" w:rsidRDefault="00E172D2" w:rsidP="003C045B">
            <w:pPr>
              <w:jc w:val="center"/>
              <w:rPr>
                <w:rFonts w:ascii="Times New Roman" w:eastAsia="Calibri" w:hAnsi="Times New Roman" w:cs="Times New Roman"/>
                <w:sz w:val="18"/>
                <w:szCs w:val="18"/>
                <w:highlight w:val="cyan"/>
                <w:lang w:val="en-US"/>
              </w:rPr>
            </w:pPr>
          </w:p>
          <w:p w14:paraId="40B98B64" w14:textId="43882860"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437308C7" w14:textId="77777777" w:rsidR="008036D5" w:rsidRDefault="008036D5" w:rsidP="008036D5">
            <w:pPr>
              <w:jc w:val="center"/>
              <w:rPr>
                <w:rFonts w:ascii="Times New Roman" w:hAnsi="Times New Roman" w:cs="Times New Roman"/>
                <w:sz w:val="18"/>
                <w:szCs w:val="18"/>
              </w:rPr>
            </w:pPr>
          </w:p>
          <w:p w14:paraId="29900B4F" w14:textId="77777777" w:rsidR="008036D5" w:rsidRDefault="008036D5" w:rsidP="008036D5">
            <w:pPr>
              <w:jc w:val="center"/>
              <w:rPr>
                <w:rFonts w:ascii="Times New Roman" w:hAnsi="Times New Roman" w:cs="Times New Roman"/>
                <w:sz w:val="18"/>
                <w:szCs w:val="18"/>
              </w:rPr>
            </w:pPr>
          </w:p>
          <w:p w14:paraId="29254B5A" w14:textId="2F2495B5" w:rsidR="00E172D2" w:rsidRPr="00036F88" w:rsidRDefault="008036D5" w:rsidP="008036D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60E6235A" w14:textId="3BDBFDA2" w:rsidR="00E172D2" w:rsidRDefault="00E172D2" w:rsidP="003C045B">
            <w:pPr>
              <w:jc w:val="center"/>
              <w:rPr>
                <w:rFonts w:ascii="Times New Roman" w:eastAsia="Calibri" w:hAnsi="Times New Roman" w:cs="Times New Roman"/>
                <w:sz w:val="18"/>
                <w:szCs w:val="18"/>
                <w:lang w:val="en-US"/>
              </w:rPr>
            </w:pPr>
          </w:p>
          <w:p w14:paraId="77946034" w14:textId="77777777" w:rsidR="00D2162C" w:rsidRDefault="00D2162C" w:rsidP="003C045B">
            <w:pPr>
              <w:jc w:val="center"/>
              <w:rPr>
                <w:rFonts w:ascii="Times New Roman" w:eastAsia="Calibri" w:hAnsi="Times New Roman" w:cs="Times New Roman"/>
                <w:sz w:val="18"/>
                <w:szCs w:val="18"/>
              </w:rPr>
            </w:pPr>
          </w:p>
          <w:p w14:paraId="16C8953D" w14:textId="5CE86355"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406" w:type="dxa"/>
          </w:tcPr>
          <w:p w14:paraId="79853612" w14:textId="77777777" w:rsidR="008036D5" w:rsidRPr="008036D5" w:rsidRDefault="008036D5" w:rsidP="008036D5">
            <w:pPr>
              <w:rPr>
                <w:rFonts w:ascii="Times New Roman" w:eastAsia="Calibri" w:hAnsi="Times New Roman" w:cs="Times New Roman"/>
                <w:sz w:val="18"/>
                <w:szCs w:val="18"/>
              </w:rPr>
            </w:pPr>
          </w:p>
          <w:p w14:paraId="067838FE"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Sigurimi institucional dhe teknik në një ndërfaqe qendrore të sigurt të menaxhuar</w:t>
            </w:r>
          </w:p>
          <w:p w14:paraId="4D2F23D7" w14:textId="77777777" w:rsidR="008036D5" w:rsidRPr="008036D5"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nga Komisioni Evropian. Jashtë fushëveprimit të Shtojcës V dhe nuk kërkon</w:t>
            </w:r>
          </w:p>
          <w:p w14:paraId="2811FAF6" w14:textId="05838C69" w:rsidR="00E172D2" w:rsidRPr="00036F88" w:rsidRDefault="008036D5" w:rsidP="008036D5">
            <w:pPr>
              <w:rPr>
                <w:rFonts w:ascii="Times New Roman" w:eastAsia="Calibri" w:hAnsi="Times New Roman" w:cs="Times New Roman"/>
                <w:sz w:val="18"/>
                <w:szCs w:val="18"/>
              </w:rPr>
            </w:pPr>
            <w:r w:rsidRPr="008036D5">
              <w:rPr>
                <w:rFonts w:ascii="Times New Roman" w:eastAsia="Calibri" w:hAnsi="Times New Roman" w:cs="Times New Roman"/>
                <w:sz w:val="18"/>
                <w:szCs w:val="18"/>
              </w:rPr>
              <w:t>transpozimi në ligjin DAC 7.</w:t>
            </w:r>
          </w:p>
        </w:tc>
      </w:tr>
      <w:tr w:rsidR="000B5E85" w:rsidRPr="00036F88" w14:paraId="2E0CDEA6" w14:textId="77777777" w:rsidTr="007C321D">
        <w:trPr>
          <w:trHeight w:val="1008"/>
        </w:trPr>
        <w:tc>
          <w:tcPr>
            <w:tcW w:w="630" w:type="dxa"/>
          </w:tcPr>
          <w:p w14:paraId="04ADE44C" w14:textId="77777777" w:rsidR="000B5E85" w:rsidRPr="00036F88" w:rsidRDefault="000B5E85" w:rsidP="00AF6E05">
            <w:pPr>
              <w:jc w:val="both"/>
              <w:rPr>
                <w:rFonts w:ascii="Times New Roman" w:eastAsia="Calibri" w:hAnsi="Times New Roman" w:cs="Times New Roman"/>
                <w:sz w:val="18"/>
                <w:szCs w:val="18"/>
                <w:lang w:val="en-US"/>
              </w:rPr>
            </w:pPr>
            <w:bookmarkStart w:id="5" w:name="_Hlk227916334"/>
          </w:p>
        </w:tc>
        <w:tc>
          <w:tcPr>
            <w:tcW w:w="5400" w:type="dxa"/>
            <w:shd w:val="clear" w:color="auto" w:fill="D0CECE" w:themeFill="background2" w:themeFillShade="E6"/>
          </w:tcPr>
          <w:p w14:paraId="30E5735B" w14:textId="51353EF9" w:rsidR="000B5E85" w:rsidRPr="001725D0" w:rsidRDefault="000B5E85" w:rsidP="000B5E85">
            <w:pPr>
              <w:jc w:val="both"/>
              <w:rPr>
                <w:rFonts w:ascii="Times New Roman" w:eastAsia="Calibri" w:hAnsi="Times New Roman" w:cs="Times New Roman"/>
                <w:iCs/>
                <w:sz w:val="18"/>
                <w:szCs w:val="18"/>
                <w:lang w:val="en-US"/>
              </w:rPr>
            </w:pPr>
          </w:p>
          <w:p w14:paraId="2D117079" w14:textId="77777777" w:rsidR="000B5E85" w:rsidRPr="001725D0" w:rsidRDefault="000B5E85" w:rsidP="000B5E8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1(16) (Direktiva 2021/514/BE)</w:t>
            </w:r>
          </w:p>
          <w:p w14:paraId="11149698" w14:textId="77777777" w:rsidR="000B5E85" w:rsidRPr="001725D0" w:rsidRDefault="000B5E85" w:rsidP="000B5E8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22, paragrafi 1a (Direktiva 2011/16/BE)</w:t>
            </w:r>
          </w:p>
          <w:p w14:paraId="6D872746" w14:textId="77777777" w:rsidR="000B5E85" w:rsidRPr="00036F88" w:rsidRDefault="000B5E8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4FA91A0" w14:textId="77777777" w:rsidR="000B5E85" w:rsidRPr="00036F88" w:rsidRDefault="000B5E8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4BB1A83A" w14:textId="77777777" w:rsidR="000B5E85" w:rsidRPr="00036F88" w:rsidRDefault="000B5E8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798F91B5" w14:textId="77777777" w:rsidR="000B5E85" w:rsidRPr="00036F88" w:rsidRDefault="000B5E8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13D5C863" w14:textId="77777777" w:rsidR="000B5E85" w:rsidRPr="00036F88" w:rsidRDefault="000B5E8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0B754CB8" w14:textId="77777777" w:rsidR="000B5E85" w:rsidRPr="00036F88" w:rsidRDefault="000B5E85" w:rsidP="00AF6E05">
            <w:pPr>
              <w:rPr>
                <w:rFonts w:ascii="Times New Roman" w:eastAsia="Calibri" w:hAnsi="Times New Roman" w:cs="Times New Roman"/>
                <w:sz w:val="18"/>
                <w:szCs w:val="18"/>
                <w:lang w:val="en-US"/>
              </w:rPr>
            </w:pPr>
          </w:p>
        </w:tc>
      </w:tr>
      <w:bookmarkEnd w:id="5"/>
      <w:tr w:rsidR="00E172D2" w:rsidRPr="00036F88" w14:paraId="2BBC9583" w14:textId="77777777" w:rsidTr="007C321D">
        <w:trPr>
          <w:trHeight w:val="2204"/>
        </w:trPr>
        <w:tc>
          <w:tcPr>
            <w:tcW w:w="630" w:type="dxa"/>
          </w:tcPr>
          <w:p w14:paraId="36644701"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009268CC" w14:textId="77777777" w:rsidR="000B5E85" w:rsidRPr="001725D0" w:rsidRDefault="000B5E85" w:rsidP="000B5E85">
            <w:pPr>
              <w:jc w:val="both"/>
              <w:rPr>
                <w:rFonts w:ascii="Times New Roman" w:eastAsia="Calibri" w:hAnsi="Times New Roman" w:cs="Times New Roman"/>
                <w:iCs/>
                <w:sz w:val="18"/>
                <w:szCs w:val="18"/>
                <w:lang w:val="en-US"/>
              </w:rPr>
            </w:pPr>
          </w:p>
          <w:p w14:paraId="4004C5F5" w14:textId="0BCAF7B6" w:rsidR="00E172D2" w:rsidRPr="001725D0" w:rsidRDefault="000B5E85" w:rsidP="000B5E8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'1a. Për qëllimet e zbatimit dhe zbatimit të ligjeve të Shteteve Anëtare që i japin fuqi kësaj Direktive dhe për të siguruar funksionimin e bashkëpunimit administrativ që ajo përcakton, Shtetet Anëtare parashikojnë me ligj aksesin e autoriteteve tatimore në mekanizmat, procedurat, dokumentet dhe informacionin e përmendur në nenet 13, 30, 31, 32a dhe 40 të Direktivës (BE) 2015/849 të Parlamentit Evropian dhe të Këshillit.'</w:t>
            </w:r>
          </w:p>
        </w:tc>
        <w:tc>
          <w:tcPr>
            <w:tcW w:w="540" w:type="dxa"/>
          </w:tcPr>
          <w:p w14:paraId="122B249E"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24EAA7FA" w14:textId="77777777" w:rsidR="00E172D2" w:rsidRDefault="00E172D2" w:rsidP="003C045B">
            <w:pPr>
              <w:jc w:val="center"/>
              <w:rPr>
                <w:rFonts w:ascii="Times New Roman" w:eastAsia="Calibri" w:hAnsi="Times New Roman" w:cs="Times New Roman"/>
                <w:sz w:val="18"/>
                <w:szCs w:val="18"/>
                <w:highlight w:val="cyan"/>
                <w:lang w:val="en-US"/>
              </w:rPr>
            </w:pPr>
          </w:p>
          <w:p w14:paraId="440C7424" w14:textId="77777777" w:rsidR="00D2162C" w:rsidRDefault="00D2162C" w:rsidP="003C045B">
            <w:pPr>
              <w:jc w:val="center"/>
              <w:rPr>
                <w:rFonts w:ascii="Times New Roman" w:eastAsia="Calibri" w:hAnsi="Times New Roman" w:cs="Times New Roman"/>
                <w:sz w:val="18"/>
                <w:szCs w:val="18"/>
                <w:highlight w:val="cyan"/>
                <w:lang w:val="en-US"/>
              </w:rPr>
            </w:pPr>
          </w:p>
          <w:p w14:paraId="1C28885C" w14:textId="6A8C1F28"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6344DA57" w14:textId="77777777" w:rsidR="000B5E85" w:rsidRDefault="000B5E85" w:rsidP="000B5E85">
            <w:pPr>
              <w:jc w:val="center"/>
              <w:rPr>
                <w:rFonts w:ascii="Times New Roman" w:hAnsi="Times New Roman" w:cs="Times New Roman"/>
                <w:sz w:val="18"/>
                <w:szCs w:val="18"/>
              </w:rPr>
            </w:pPr>
          </w:p>
          <w:p w14:paraId="39520FE7" w14:textId="77777777" w:rsidR="000B5E85" w:rsidRDefault="000B5E85" w:rsidP="000B5E85">
            <w:pPr>
              <w:jc w:val="center"/>
              <w:rPr>
                <w:rFonts w:ascii="Times New Roman" w:hAnsi="Times New Roman" w:cs="Times New Roman"/>
                <w:sz w:val="18"/>
                <w:szCs w:val="18"/>
              </w:rPr>
            </w:pPr>
          </w:p>
          <w:p w14:paraId="5A03E56C" w14:textId="63792374" w:rsidR="00E172D2" w:rsidRPr="00036F88" w:rsidRDefault="000B5E85" w:rsidP="000B5E8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0EC2529B" w14:textId="77777777" w:rsidR="00D2162C" w:rsidRDefault="00D2162C" w:rsidP="003C045B">
            <w:pPr>
              <w:jc w:val="center"/>
              <w:rPr>
                <w:rFonts w:ascii="Times New Roman" w:eastAsia="Calibri" w:hAnsi="Times New Roman" w:cs="Times New Roman"/>
                <w:sz w:val="18"/>
                <w:szCs w:val="18"/>
                <w:lang w:val="en-US"/>
              </w:rPr>
            </w:pPr>
          </w:p>
          <w:p w14:paraId="09D570ED" w14:textId="77777777" w:rsidR="00D2162C" w:rsidRDefault="00D2162C" w:rsidP="003C045B">
            <w:pPr>
              <w:jc w:val="center"/>
              <w:rPr>
                <w:rFonts w:ascii="Times New Roman" w:eastAsia="Calibri" w:hAnsi="Times New Roman" w:cs="Times New Roman"/>
                <w:sz w:val="18"/>
                <w:szCs w:val="18"/>
                <w:lang w:val="en-US"/>
              </w:rPr>
            </w:pPr>
          </w:p>
          <w:p w14:paraId="62853C52" w14:textId="019E10E3"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N/A</w:t>
            </w:r>
          </w:p>
        </w:tc>
        <w:tc>
          <w:tcPr>
            <w:tcW w:w="3406" w:type="dxa"/>
          </w:tcPr>
          <w:p w14:paraId="41ECB9D7" w14:textId="77777777" w:rsidR="000B5E85" w:rsidRPr="000B5E85" w:rsidRDefault="000B5E85" w:rsidP="000B5E85">
            <w:pPr>
              <w:rPr>
                <w:rFonts w:ascii="Times New Roman" w:eastAsia="Calibri" w:hAnsi="Times New Roman" w:cs="Times New Roman"/>
                <w:sz w:val="18"/>
                <w:szCs w:val="18"/>
              </w:rPr>
            </w:pPr>
          </w:p>
          <w:p w14:paraId="31A24C0A" w14:textId="6EC2F92A" w:rsidR="000B5E85" w:rsidRPr="000B5E85" w:rsidRDefault="000B5E85" w:rsidP="000B5E85">
            <w:pPr>
              <w:rPr>
                <w:rFonts w:ascii="Times New Roman" w:eastAsia="Calibri" w:hAnsi="Times New Roman" w:cs="Times New Roman"/>
                <w:sz w:val="18"/>
                <w:szCs w:val="18"/>
              </w:rPr>
            </w:pPr>
            <w:r>
              <w:rPr>
                <w:rFonts w:ascii="Times New Roman" w:eastAsia="Calibri" w:hAnsi="Times New Roman" w:cs="Times New Roman"/>
                <w:sz w:val="18"/>
                <w:szCs w:val="18"/>
              </w:rPr>
              <w:t>Nuk kërkon transpozim në këtë Ligj.</w:t>
            </w:r>
          </w:p>
          <w:p w14:paraId="3A4BFACB" w14:textId="77777777" w:rsidR="000B5E85" w:rsidRPr="000B5E85" w:rsidRDefault="000B5E85" w:rsidP="000B5E85">
            <w:pPr>
              <w:rPr>
                <w:rFonts w:ascii="Times New Roman" w:eastAsia="Calibri" w:hAnsi="Times New Roman" w:cs="Times New Roman"/>
                <w:sz w:val="18"/>
                <w:szCs w:val="18"/>
              </w:rPr>
            </w:pPr>
          </w:p>
          <w:p w14:paraId="625720AE" w14:textId="7AC31370" w:rsidR="000B5E85" w:rsidRPr="000B5E85" w:rsidRDefault="000B5E85" w:rsidP="000B5E85">
            <w:pPr>
              <w:rPr>
                <w:rFonts w:ascii="Times New Roman" w:eastAsia="Calibri" w:hAnsi="Times New Roman" w:cs="Times New Roman"/>
                <w:sz w:val="18"/>
                <w:szCs w:val="18"/>
              </w:rPr>
            </w:pPr>
            <w:r w:rsidRPr="000B5E85">
              <w:rPr>
                <w:rFonts w:ascii="Times New Roman" w:eastAsia="Calibri" w:hAnsi="Times New Roman" w:cs="Times New Roman"/>
                <w:sz w:val="18"/>
                <w:szCs w:val="18"/>
              </w:rPr>
              <w:t>Kjo dispozitë ka të bëjë me aksesin e autoriteteve tatimore në mekanizma, procedura, dokumente dhe informacione në përputhje me Direktivën (BE) 2015/849, për qëllime të bashkëpunimit administrativ. Është e natyrës institucionale dhe horizontale dhe nuk përcakton detyrime për raportim.</w:t>
            </w:r>
          </w:p>
          <w:p w14:paraId="2C67F8B2" w14:textId="438DA062" w:rsidR="00E172D2" w:rsidRPr="00036F88" w:rsidRDefault="000B5E85" w:rsidP="000B5E85">
            <w:pPr>
              <w:rPr>
                <w:rFonts w:ascii="Times New Roman" w:eastAsia="Calibri" w:hAnsi="Times New Roman" w:cs="Times New Roman"/>
                <w:sz w:val="18"/>
                <w:szCs w:val="18"/>
              </w:rPr>
            </w:pPr>
            <w:r w:rsidRPr="000B5E85">
              <w:rPr>
                <w:rFonts w:ascii="Times New Roman" w:eastAsia="Calibri" w:hAnsi="Times New Roman" w:cs="Times New Roman"/>
                <w:sz w:val="18"/>
                <w:szCs w:val="18"/>
              </w:rPr>
              <w:t>operatorët e platformës.</w:t>
            </w:r>
          </w:p>
        </w:tc>
      </w:tr>
      <w:tr w:rsidR="00F763F5" w:rsidRPr="00036F88" w14:paraId="3EBFAD9B" w14:textId="77777777" w:rsidTr="007C321D">
        <w:trPr>
          <w:trHeight w:val="854"/>
        </w:trPr>
        <w:tc>
          <w:tcPr>
            <w:tcW w:w="630" w:type="dxa"/>
          </w:tcPr>
          <w:p w14:paraId="7626D77D" w14:textId="77777777" w:rsidR="00F763F5" w:rsidRPr="00036F88" w:rsidRDefault="00F763F5" w:rsidP="00AF6E05">
            <w:pPr>
              <w:jc w:val="both"/>
              <w:rPr>
                <w:rFonts w:ascii="Times New Roman" w:eastAsia="Calibri" w:hAnsi="Times New Roman" w:cs="Times New Roman"/>
                <w:sz w:val="18"/>
                <w:szCs w:val="18"/>
                <w:lang w:val="en-US"/>
              </w:rPr>
            </w:pPr>
            <w:bookmarkStart w:id="6" w:name="_Hlk227916690"/>
          </w:p>
        </w:tc>
        <w:tc>
          <w:tcPr>
            <w:tcW w:w="5400" w:type="dxa"/>
            <w:shd w:val="clear" w:color="auto" w:fill="D0CECE" w:themeFill="background2" w:themeFillShade="E6"/>
          </w:tcPr>
          <w:p w14:paraId="733927B6" w14:textId="77777777" w:rsidR="00F763F5" w:rsidRPr="00F763F5" w:rsidRDefault="00F763F5" w:rsidP="00F763F5">
            <w:pPr>
              <w:jc w:val="both"/>
              <w:rPr>
                <w:rFonts w:ascii="Times New Roman" w:eastAsia="Calibri" w:hAnsi="Times New Roman" w:cs="Times New Roman"/>
                <w:iCs/>
                <w:sz w:val="18"/>
                <w:szCs w:val="18"/>
                <w:lang w:val="en-US"/>
              </w:rPr>
            </w:pPr>
            <w:r w:rsidRPr="00F763F5">
              <w:rPr>
                <w:rFonts w:ascii="Times New Roman" w:eastAsia="Calibri" w:hAnsi="Times New Roman" w:cs="Times New Roman"/>
                <w:iCs/>
                <w:sz w:val="18"/>
                <w:szCs w:val="18"/>
                <w:lang w:val="en-US"/>
              </w:rPr>
              <w:t>Neni 1(17) (Direktiva 2021/514/BE)</w:t>
            </w:r>
          </w:p>
          <w:p w14:paraId="4ABC4DB3" w14:textId="72B56973" w:rsidR="00F763F5" w:rsidRPr="00036F88" w:rsidRDefault="00F763F5" w:rsidP="00F763F5">
            <w:pPr>
              <w:jc w:val="both"/>
              <w:rPr>
                <w:rFonts w:ascii="Times New Roman" w:eastAsia="Calibri" w:hAnsi="Times New Roman" w:cs="Times New Roman"/>
                <w:iCs/>
                <w:sz w:val="18"/>
                <w:szCs w:val="18"/>
                <w:lang w:val="en-US"/>
              </w:rPr>
            </w:pPr>
            <w:r w:rsidRPr="00F763F5">
              <w:rPr>
                <w:rFonts w:ascii="Times New Roman" w:eastAsia="Calibri" w:hAnsi="Times New Roman" w:cs="Times New Roman"/>
                <w:iCs/>
                <w:sz w:val="18"/>
                <w:szCs w:val="18"/>
                <w:lang w:val="en-US"/>
              </w:rPr>
              <w:t>Neni 23a, paragrafi 2 (Direktiva 2011/16/BE)</w:t>
            </w:r>
          </w:p>
        </w:tc>
        <w:tc>
          <w:tcPr>
            <w:tcW w:w="540" w:type="dxa"/>
            <w:shd w:val="clear" w:color="auto" w:fill="D0CECE" w:themeFill="background2" w:themeFillShade="E6"/>
          </w:tcPr>
          <w:p w14:paraId="34FDB9B9" w14:textId="77777777" w:rsidR="00F763F5" w:rsidRPr="00036F88" w:rsidRDefault="00F763F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04CAC50E" w14:textId="77777777" w:rsidR="00F763F5" w:rsidRPr="00036F88" w:rsidRDefault="00F763F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71F64B34" w14:textId="77777777" w:rsidR="00F763F5" w:rsidRPr="00036F88" w:rsidRDefault="00F763F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10AFEEAC" w14:textId="77777777" w:rsidR="00F763F5" w:rsidRPr="00036F88" w:rsidRDefault="00F763F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4863FBCC" w14:textId="77777777" w:rsidR="00F763F5" w:rsidRPr="00036F88" w:rsidRDefault="00F763F5" w:rsidP="00AF6E05">
            <w:pPr>
              <w:rPr>
                <w:rFonts w:ascii="Times New Roman" w:eastAsia="Calibri" w:hAnsi="Times New Roman" w:cs="Times New Roman"/>
                <w:sz w:val="18"/>
                <w:szCs w:val="18"/>
                <w:lang w:val="en-US"/>
              </w:rPr>
            </w:pPr>
          </w:p>
        </w:tc>
      </w:tr>
      <w:bookmarkEnd w:id="6"/>
      <w:tr w:rsidR="00E172D2" w:rsidRPr="00036F88" w14:paraId="5F79805F" w14:textId="77777777" w:rsidTr="007C321D">
        <w:trPr>
          <w:trHeight w:val="2204"/>
        </w:trPr>
        <w:tc>
          <w:tcPr>
            <w:tcW w:w="630" w:type="dxa"/>
          </w:tcPr>
          <w:p w14:paraId="2C1AD6B9"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F008401" w14:textId="77777777" w:rsidR="00F763F5" w:rsidRPr="001725D0" w:rsidRDefault="00F763F5" w:rsidP="00F763F5">
            <w:pPr>
              <w:jc w:val="both"/>
              <w:rPr>
                <w:rFonts w:ascii="Times New Roman" w:eastAsia="Calibri" w:hAnsi="Times New Roman" w:cs="Times New Roman"/>
                <w:iCs/>
                <w:sz w:val="18"/>
                <w:szCs w:val="18"/>
                <w:lang w:val="en-US"/>
              </w:rPr>
            </w:pPr>
          </w:p>
          <w:p w14:paraId="51D50D27" w14:textId="4646618E"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Informacioni i komunikuar Komisionit nga një Shtet Anëtar sipas Nenit 23, si dhe çdo raport ose dokument i prodhuar nga Komisioni duke përdorur informacion të tillë, mund t'u transmetohet Shteteve të tjera Anëtare. Informacioni i tillë i transmetuar mbulohet nga detyrimi i sekretit zyrtar dhe gëzon mbrojtjen e dhënë për informacion të ngjashëm sipas ligjit kombëtar të Shtetit Anëtar që e ka marrë atë.</w:t>
            </w:r>
          </w:p>
          <w:p w14:paraId="7566757E" w14:textId="77777777" w:rsidR="00F763F5" w:rsidRPr="001725D0" w:rsidRDefault="00F763F5" w:rsidP="00F763F5">
            <w:pPr>
              <w:jc w:val="both"/>
              <w:rPr>
                <w:rFonts w:ascii="Times New Roman" w:eastAsia="Calibri" w:hAnsi="Times New Roman" w:cs="Times New Roman"/>
                <w:iCs/>
                <w:sz w:val="18"/>
                <w:szCs w:val="18"/>
                <w:lang w:val="en-US"/>
              </w:rPr>
            </w:pPr>
          </w:p>
          <w:p w14:paraId="76B66B4A"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Raportet dhe dokumentet e prodhuara nga Komisioni, të përmendura në nënparagrafin e parë, mund të përdoren nga Shtetet Anëtare vetëm për qëllime analitike dhe nuk duhet të publikohen ose të vihen në dispozicion të ndonjë personi ose organi tjetër pa pëlqimin e shprehur të Komisionit.</w:t>
            </w:r>
          </w:p>
          <w:p w14:paraId="4F3EF449" w14:textId="77777777" w:rsidR="00F763F5" w:rsidRPr="001725D0" w:rsidRDefault="00F763F5" w:rsidP="00F763F5">
            <w:pPr>
              <w:jc w:val="both"/>
              <w:rPr>
                <w:rFonts w:ascii="Times New Roman" w:eastAsia="Calibri" w:hAnsi="Times New Roman" w:cs="Times New Roman"/>
                <w:iCs/>
                <w:sz w:val="18"/>
                <w:szCs w:val="18"/>
                <w:lang w:val="en-US"/>
              </w:rPr>
            </w:pPr>
          </w:p>
          <w:p w14:paraId="1CAC38C6" w14:textId="349B5631" w:rsidR="00E172D2"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Pavarësisht nënparagrafëve të parë dhe të dytë, Komisioni mund të publikojë çdo vit përmbledhje anonime të të dhënave statistikore që Shtetet Anëtare i komunikojnë atij në përputhje me nenin 23(4).</w:t>
            </w:r>
          </w:p>
        </w:tc>
        <w:tc>
          <w:tcPr>
            <w:tcW w:w="540" w:type="dxa"/>
          </w:tcPr>
          <w:p w14:paraId="160AB4F0"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0026CFE0" w14:textId="77777777" w:rsidR="00E172D2" w:rsidRDefault="00E172D2" w:rsidP="003C045B">
            <w:pPr>
              <w:jc w:val="center"/>
              <w:rPr>
                <w:rFonts w:ascii="Times New Roman" w:eastAsia="Calibri" w:hAnsi="Times New Roman" w:cs="Times New Roman"/>
                <w:sz w:val="18"/>
                <w:szCs w:val="18"/>
                <w:highlight w:val="cyan"/>
                <w:lang w:val="en-US"/>
              </w:rPr>
            </w:pPr>
          </w:p>
          <w:p w14:paraId="25306275" w14:textId="77777777" w:rsidR="00D2162C" w:rsidRDefault="00D2162C" w:rsidP="003C045B">
            <w:pPr>
              <w:jc w:val="center"/>
              <w:rPr>
                <w:rFonts w:ascii="Times New Roman" w:eastAsia="Calibri" w:hAnsi="Times New Roman" w:cs="Times New Roman"/>
                <w:sz w:val="18"/>
                <w:szCs w:val="18"/>
                <w:highlight w:val="cyan"/>
                <w:lang w:val="en-US"/>
              </w:rPr>
            </w:pPr>
          </w:p>
          <w:p w14:paraId="33CC06B9" w14:textId="50FA1625" w:rsidR="00D2162C" w:rsidRPr="001725D0" w:rsidRDefault="00D2162C"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304D29D8" w14:textId="77777777" w:rsidR="00D2162C" w:rsidRDefault="00D2162C" w:rsidP="00D2162C">
            <w:pPr>
              <w:jc w:val="center"/>
              <w:rPr>
                <w:rFonts w:ascii="Times New Roman" w:hAnsi="Times New Roman" w:cs="Times New Roman"/>
                <w:sz w:val="18"/>
                <w:szCs w:val="18"/>
              </w:rPr>
            </w:pPr>
          </w:p>
          <w:p w14:paraId="29B64822" w14:textId="77777777" w:rsidR="00D2162C" w:rsidRDefault="00D2162C" w:rsidP="00D2162C">
            <w:pPr>
              <w:jc w:val="center"/>
              <w:rPr>
                <w:rFonts w:ascii="Times New Roman" w:hAnsi="Times New Roman" w:cs="Times New Roman"/>
                <w:sz w:val="18"/>
                <w:szCs w:val="18"/>
              </w:rPr>
            </w:pPr>
          </w:p>
          <w:p w14:paraId="352AAF24" w14:textId="1B4B101F" w:rsidR="00E172D2" w:rsidRPr="00036F88" w:rsidRDefault="00D2162C" w:rsidP="006E4603">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7A9EBEA2" w14:textId="77777777" w:rsidR="00D2162C" w:rsidRDefault="00D2162C" w:rsidP="003C045B">
            <w:pPr>
              <w:jc w:val="center"/>
              <w:rPr>
                <w:rFonts w:ascii="Times New Roman" w:eastAsia="Calibri" w:hAnsi="Times New Roman" w:cs="Times New Roman"/>
                <w:sz w:val="18"/>
                <w:szCs w:val="18"/>
              </w:rPr>
            </w:pPr>
          </w:p>
          <w:p w14:paraId="3974B633" w14:textId="77777777" w:rsidR="00D2162C" w:rsidRDefault="00D2162C" w:rsidP="003C045B">
            <w:pPr>
              <w:jc w:val="center"/>
              <w:rPr>
                <w:rFonts w:ascii="Times New Roman" w:eastAsia="Calibri" w:hAnsi="Times New Roman" w:cs="Times New Roman"/>
                <w:sz w:val="18"/>
                <w:szCs w:val="18"/>
              </w:rPr>
            </w:pPr>
          </w:p>
          <w:p w14:paraId="418DB9F1" w14:textId="3704426A"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406" w:type="dxa"/>
          </w:tcPr>
          <w:p w14:paraId="5A5BD24F" w14:textId="77777777" w:rsidR="00F763F5" w:rsidRPr="00F763F5" w:rsidRDefault="00F763F5" w:rsidP="00F763F5">
            <w:pPr>
              <w:rPr>
                <w:rFonts w:ascii="Times New Roman" w:eastAsia="Calibri" w:hAnsi="Times New Roman" w:cs="Times New Roman"/>
                <w:sz w:val="18"/>
                <w:szCs w:val="18"/>
              </w:rPr>
            </w:pPr>
          </w:p>
          <w:p w14:paraId="0FA00C26" w14:textId="1A1FA9C7" w:rsidR="00F763F5" w:rsidRPr="00F763F5" w:rsidRDefault="00F763F5" w:rsidP="00F763F5">
            <w:pPr>
              <w:rPr>
                <w:rFonts w:ascii="Times New Roman" w:eastAsia="Calibri" w:hAnsi="Times New Roman" w:cs="Times New Roman"/>
                <w:sz w:val="18"/>
                <w:szCs w:val="18"/>
              </w:rPr>
            </w:pPr>
            <w:r>
              <w:rPr>
                <w:rFonts w:ascii="Times New Roman" w:eastAsia="Calibri" w:hAnsi="Times New Roman" w:cs="Times New Roman"/>
                <w:sz w:val="18"/>
                <w:szCs w:val="18"/>
              </w:rPr>
              <w:t>Nuk kërkon transpozim në këtë Ligj.</w:t>
            </w:r>
          </w:p>
          <w:p w14:paraId="09FED36B" w14:textId="77777777" w:rsidR="00F763F5" w:rsidRPr="00F763F5" w:rsidRDefault="00F763F5" w:rsidP="00F763F5">
            <w:pPr>
              <w:rPr>
                <w:rFonts w:ascii="Times New Roman" w:eastAsia="Calibri" w:hAnsi="Times New Roman" w:cs="Times New Roman"/>
                <w:sz w:val="18"/>
                <w:szCs w:val="18"/>
              </w:rPr>
            </w:pPr>
          </w:p>
          <w:p w14:paraId="75231F6D" w14:textId="6E864203" w:rsidR="00E172D2" w:rsidRPr="00036F88" w:rsidRDefault="00F763F5" w:rsidP="00F763F5">
            <w:pPr>
              <w:rPr>
                <w:rFonts w:ascii="Times New Roman" w:eastAsia="Calibri" w:hAnsi="Times New Roman" w:cs="Times New Roman"/>
                <w:sz w:val="18"/>
                <w:szCs w:val="18"/>
              </w:rPr>
            </w:pPr>
            <w:r w:rsidRPr="00F763F5">
              <w:rPr>
                <w:rFonts w:ascii="Times New Roman" w:eastAsia="Calibri" w:hAnsi="Times New Roman" w:cs="Times New Roman"/>
                <w:sz w:val="18"/>
                <w:szCs w:val="18"/>
              </w:rPr>
              <w:t>Kjo dispozitë rregullon konfidencialitetin dhe përdorimin analitik të informacionit statistikor dhe raporteve të prodhuara nga Komisioni Evropian në kontekstin e bashkëpunimit administrativ.</w:t>
            </w:r>
          </w:p>
        </w:tc>
      </w:tr>
      <w:tr w:rsidR="00F763F5" w:rsidRPr="00036F88" w14:paraId="150C6D17" w14:textId="77777777" w:rsidTr="007C321D">
        <w:trPr>
          <w:trHeight w:val="854"/>
        </w:trPr>
        <w:tc>
          <w:tcPr>
            <w:tcW w:w="630" w:type="dxa"/>
          </w:tcPr>
          <w:p w14:paraId="7FD72FAA" w14:textId="77777777" w:rsidR="00F763F5" w:rsidRPr="00036F88" w:rsidRDefault="00F763F5" w:rsidP="00AF6E05">
            <w:pPr>
              <w:jc w:val="both"/>
              <w:rPr>
                <w:rFonts w:ascii="Times New Roman" w:eastAsia="Calibri" w:hAnsi="Times New Roman" w:cs="Times New Roman"/>
                <w:sz w:val="18"/>
                <w:szCs w:val="18"/>
                <w:lang w:val="en-US"/>
              </w:rPr>
            </w:pPr>
            <w:bookmarkStart w:id="7" w:name="_Hlk227917922"/>
          </w:p>
        </w:tc>
        <w:tc>
          <w:tcPr>
            <w:tcW w:w="5400" w:type="dxa"/>
            <w:shd w:val="clear" w:color="auto" w:fill="D0CECE" w:themeFill="background2" w:themeFillShade="E6"/>
          </w:tcPr>
          <w:p w14:paraId="7D4C786D" w14:textId="0AD3E478" w:rsidR="00F763F5" w:rsidRPr="00036F88" w:rsidRDefault="00F763F5" w:rsidP="00F763F5">
            <w:pPr>
              <w:jc w:val="both"/>
              <w:rPr>
                <w:rFonts w:ascii="Times New Roman" w:eastAsia="Calibri" w:hAnsi="Times New Roman" w:cs="Times New Roman"/>
                <w:iCs/>
                <w:sz w:val="18"/>
                <w:szCs w:val="18"/>
                <w:lang w:val="en-US"/>
              </w:rPr>
            </w:pPr>
          </w:p>
          <w:p w14:paraId="5A272086"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1(18) (Direktiva 2021/514/BE)</w:t>
            </w:r>
          </w:p>
          <w:p w14:paraId="2A17AAC5"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25 (Direktiva 2011/16/BE)</w:t>
            </w:r>
          </w:p>
          <w:p w14:paraId="79B4EE8C" w14:textId="18C1B698" w:rsidR="00F763F5" w:rsidRPr="00036F88" w:rsidRDefault="00F763F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2D3061ED" w14:textId="77777777" w:rsidR="00F763F5" w:rsidRPr="00036F88" w:rsidRDefault="00F763F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34299EAF" w14:textId="77777777" w:rsidR="00F763F5" w:rsidRPr="00036F88" w:rsidRDefault="00F763F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5B1D63C9" w14:textId="77777777" w:rsidR="005331A6" w:rsidRPr="006E4603" w:rsidRDefault="005331A6" w:rsidP="0084600B">
            <w:pPr>
              <w:jc w:val="center"/>
              <w:rPr>
                <w:rFonts w:ascii="Times New Roman" w:hAnsi="Times New Roman" w:cs="Times New Roman"/>
                <w:b/>
                <w:sz w:val="18"/>
                <w:szCs w:val="18"/>
              </w:rPr>
            </w:pPr>
            <w:r w:rsidRPr="006E4603">
              <w:rPr>
                <w:rFonts w:ascii="Times New Roman" w:hAnsi="Times New Roman" w:cs="Times New Roman"/>
                <w:b/>
                <w:sz w:val="18"/>
                <w:szCs w:val="18"/>
              </w:rPr>
              <w:t>Neni 16</w:t>
            </w:r>
          </w:p>
          <w:p w14:paraId="3BB97465" w14:textId="0FCB895C" w:rsidR="00F763F5" w:rsidRPr="00036F88" w:rsidRDefault="005331A6" w:rsidP="0084600B">
            <w:pPr>
              <w:widowControl w:val="0"/>
              <w:tabs>
                <w:tab w:val="left" w:pos="742"/>
                <w:tab w:val="left" w:pos="744"/>
              </w:tabs>
              <w:autoSpaceDE w:val="0"/>
              <w:autoSpaceDN w:val="0"/>
              <w:ind w:right="15"/>
              <w:jc w:val="center"/>
              <w:rPr>
                <w:rFonts w:ascii="Times New Roman" w:eastAsia="Calibri" w:hAnsi="Times New Roman" w:cs="Times New Roman"/>
                <w:sz w:val="18"/>
                <w:szCs w:val="18"/>
                <w:lang w:val="en-US"/>
              </w:rPr>
            </w:pPr>
            <w:r w:rsidRPr="006E4603">
              <w:rPr>
                <w:rFonts w:ascii="Times New Roman" w:hAnsi="Times New Roman" w:cs="Times New Roman"/>
                <w:b/>
                <w:sz w:val="18"/>
                <w:szCs w:val="18"/>
              </w:rPr>
              <w:t>Mbrojtja e të dhënave</w:t>
            </w:r>
          </w:p>
        </w:tc>
        <w:tc>
          <w:tcPr>
            <w:tcW w:w="720" w:type="dxa"/>
            <w:shd w:val="clear" w:color="auto" w:fill="D0CECE" w:themeFill="background2" w:themeFillShade="E6"/>
          </w:tcPr>
          <w:p w14:paraId="54B311D8" w14:textId="77777777" w:rsidR="00F763F5" w:rsidRPr="00036F88" w:rsidRDefault="00F763F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74C06C6C" w14:textId="77777777" w:rsidR="00F763F5" w:rsidRPr="00036F88" w:rsidRDefault="00F763F5" w:rsidP="00AF6E05">
            <w:pPr>
              <w:rPr>
                <w:rFonts w:ascii="Times New Roman" w:eastAsia="Calibri" w:hAnsi="Times New Roman" w:cs="Times New Roman"/>
                <w:sz w:val="18"/>
                <w:szCs w:val="18"/>
                <w:lang w:val="en-US"/>
              </w:rPr>
            </w:pPr>
          </w:p>
        </w:tc>
      </w:tr>
      <w:bookmarkEnd w:id="7"/>
      <w:tr w:rsidR="00E172D2" w:rsidRPr="00036F88" w14:paraId="0663FD53" w14:textId="77777777" w:rsidTr="007C321D">
        <w:trPr>
          <w:trHeight w:val="2204"/>
        </w:trPr>
        <w:tc>
          <w:tcPr>
            <w:tcW w:w="630" w:type="dxa"/>
          </w:tcPr>
          <w:p w14:paraId="50118096"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67A4ABBE" w14:textId="77777777" w:rsidR="00F763F5" w:rsidRPr="001725D0" w:rsidRDefault="00F763F5" w:rsidP="00F763F5">
            <w:pPr>
              <w:jc w:val="both"/>
              <w:rPr>
                <w:rFonts w:ascii="Times New Roman" w:eastAsia="Calibri" w:hAnsi="Times New Roman" w:cs="Times New Roman"/>
                <w:iCs/>
                <w:sz w:val="18"/>
                <w:szCs w:val="18"/>
                <w:lang w:val="en-US"/>
              </w:rPr>
            </w:pPr>
          </w:p>
          <w:p w14:paraId="335D8306"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25</w:t>
            </w:r>
          </w:p>
          <w:p w14:paraId="25783F58"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Mbrojtja e të dhënave</w:t>
            </w:r>
          </w:p>
          <w:p w14:paraId="1122D55C" w14:textId="77777777" w:rsidR="00F763F5" w:rsidRPr="001725D0" w:rsidRDefault="00F763F5" w:rsidP="00F763F5">
            <w:pPr>
              <w:jc w:val="both"/>
              <w:rPr>
                <w:rFonts w:ascii="Times New Roman" w:eastAsia="Calibri" w:hAnsi="Times New Roman" w:cs="Times New Roman"/>
                <w:iCs/>
                <w:sz w:val="18"/>
                <w:szCs w:val="18"/>
                <w:lang w:val="en-US"/>
              </w:rPr>
            </w:pPr>
          </w:p>
          <w:p w14:paraId="005FDB5B"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Çdo shkëmbim informacioni në përputhje me këtë Direktivë i nënshtrohet Rregullores (BE) 2016/679 të Parlamentit Evropian dhe të Këshillit (*). Megjithatë, Shtetet Anëtare, për qëllime të zbatimit të saktë të kësaj Direktive, kufizojnë fushëveprimin e detyrimeve dhe të drejtave të parashikuara në nenin 13, nenin 14(1) dhe nenin 15 të Rregullores (BE) 2016/679, në masën e nevojshme për të mbrojtur interesat e përmendura në pikën (e) të nenit 23(1) të asaj Rregulloreje.</w:t>
            </w:r>
          </w:p>
          <w:p w14:paraId="786ED69F" w14:textId="77777777" w:rsidR="00F763F5" w:rsidRPr="001725D0" w:rsidRDefault="00F763F5" w:rsidP="00F763F5">
            <w:pPr>
              <w:jc w:val="both"/>
              <w:rPr>
                <w:rFonts w:ascii="Times New Roman" w:eastAsia="Calibri" w:hAnsi="Times New Roman" w:cs="Times New Roman"/>
                <w:iCs/>
                <w:sz w:val="18"/>
                <w:szCs w:val="18"/>
                <w:lang w:val="en-US"/>
              </w:rPr>
            </w:pPr>
          </w:p>
          <w:p w14:paraId="4F2C842E"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Rregullorja (BE) 2018/1725 e Parlamentit Evropian dhe e Këshillit (**) zbatohet për çdo përpunim të të dhënave personale sipas kësaj Direktive nga institucionet, organet, zyrat dhe agjencitë e Bashkimit. Megjithatë, për qëllimet e zbatimit të saktë të kësaj Direktive, fushëveprimi i detyrimeve dhe të drejtave të parashikuara në nenin 15, nenin 16(1) dhe nenet 17 deri në 21 të Rregullores (BE) 2018/1725, kufizohet në masën e nevojshme për të mbrojtur interesat e përmendura në pikën (c) të nenit 25(1) të asaj Rregulloreje.</w:t>
            </w:r>
          </w:p>
          <w:p w14:paraId="79D7A8A8" w14:textId="77777777" w:rsidR="00F763F5" w:rsidRPr="001725D0" w:rsidRDefault="00F763F5" w:rsidP="00F763F5">
            <w:pPr>
              <w:jc w:val="both"/>
              <w:rPr>
                <w:rFonts w:ascii="Times New Roman" w:eastAsia="Calibri" w:hAnsi="Times New Roman" w:cs="Times New Roman"/>
                <w:iCs/>
                <w:sz w:val="18"/>
                <w:szCs w:val="18"/>
                <w:lang w:val="en-US"/>
              </w:rPr>
            </w:pPr>
          </w:p>
          <w:p w14:paraId="616E2DF7"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Institucionet Financiare Raportuese, ndërmjetësit, Operatorët e Platformës Raportuese dhe autoritetet kompetente të Shteteve Anëtare konsiderohen kontrollues të të dhënave kur, duke vepruar vetëm ose bashkërisht, përcaktojnë qëllimet dhe mjetet e përpunimit të të dhënave personale sipas kuptimit të Rregullores (BE) 2016/679.</w:t>
            </w:r>
          </w:p>
          <w:p w14:paraId="5AE63D29" w14:textId="77777777" w:rsidR="00F763F5" w:rsidRPr="001725D0" w:rsidRDefault="00F763F5" w:rsidP="00F763F5">
            <w:pPr>
              <w:jc w:val="both"/>
              <w:rPr>
                <w:rFonts w:ascii="Times New Roman" w:eastAsia="Calibri" w:hAnsi="Times New Roman" w:cs="Times New Roman"/>
                <w:iCs/>
                <w:sz w:val="18"/>
                <w:szCs w:val="18"/>
                <w:lang w:val="en-US"/>
              </w:rPr>
            </w:pPr>
          </w:p>
          <w:p w14:paraId="4DC54554"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4. Pavarësisht paragrafit 1, çdo Shtet Anëtar duhet të sigurojë që çdo Institucion Financiar Raportues ose ndërmjetës ose Operator Platforme Raportuese, sipas rastit, që është nën juridiksionin e tij: (a) informon çdo individ të interesuar se informacioni në lidhje me atë individ do të mblidhet dhe transferohet në përputhje me këtë Direktivë; dhe (b) i ofron çdo individi të interesuar të gjithë informacionin që individi ka të drejtë të marrë nga kontrolluesi i të dhënave në kohë të mjaftueshme që ai individ të ushtrojë të drejtat e tij/saj të mbrojtjes së të dhënave dhe, në </w:t>
            </w:r>
            <w:r w:rsidRPr="001725D0">
              <w:rPr>
                <w:rFonts w:ascii="Times New Roman" w:eastAsia="Calibri" w:hAnsi="Times New Roman" w:cs="Times New Roman"/>
                <w:iCs/>
                <w:sz w:val="18"/>
                <w:szCs w:val="18"/>
                <w:lang w:val="en-US"/>
              </w:rPr>
              <w:lastRenderedPageBreak/>
              <w:t>çdo rast, para se informacioni të raportohet. Pavarësisht pikës (b) të nënparagrafit të parë, çdo Shtet Anëtar duhet të vendosë rregulla që i detyrojnë Operatorët e Platformës Raportuese të informojnë Shitësit e Raportueshëm për Konsideratën e raportuar.</w:t>
            </w:r>
          </w:p>
          <w:p w14:paraId="240195E3" w14:textId="77777777" w:rsidR="00F763F5" w:rsidRPr="001725D0" w:rsidRDefault="00F763F5" w:rsidP="00F763F5">
            <w:pPr>
              <w:jc w:val="both"/>
              <w:rPr>
                <w:rFonts w:ascii="Times New Roman" w:eastAsia="Calibri" w:hAnsi="Times New Roman" w:cs="Times New Roman"/>
                <w:iCs/>
                <w:sz w:val="18"/>
                <w:szCs w:val="18"/>
                <w:lang w:val="en-US"/>
              </w:rPr>
            </w:pPr>
          </w:p>
          <w:p w14:paraId="6BDFEE4B"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5. Informacioni i përpunuar në përputhje me këtë Direktivë do të ruhet jo më gjatë se sa është e nevojshme për të arritur qëllimet e kësaj Direktive dhe, në çdo rast, në përputhje me rregullat e brendshme të secilit kontrollues të të dhënave mbi parashkrimin.</w:t>
            </w:r>
          </w:p>
          <w:p w14:paraId="08C5A25E" w14:textId="77777777" w:rsidR="00F763F5" w:rsidRPr="001725D0" w:rsidRDefault="00F763F5" w:rsidP="00F763F5">
            <w:pPr>
              <w:jc w:val="both"/>
              <w:rPr>
                <w:rFonts w:ascii="Times New Roman" w:eastAsia="Calibri" w:hAnsi="Times New Roman" w:cs="Times New Roman"/>
                <w:iCs/>
                <w:sz w:val="18"/>
                <w:szCs w:val="18"/>
                <w:lang w:val="en-US"/>
              </w:rPr>
            </w:pPr>
          </w:p>
          <w:p w14:paraId="20F2B203"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6. Një Shtet Anëtar ku ka ndodhur një shkelje e të dhënave, duhet ta raportojë shkeljen e të dhënave dhe çdo veprim korrigjues pasues te Komisioni pa vonesë. Komisioni duhet t'i informojë të gjitha Shtetet Anëtare pa vonesë për shkeljen e të dhënave që i është raportuar ose për të cilën është në dijeni dhe çdo veprim korrigjues. Çdo Shtet Anëtar mund të pezullojë shkëmbimin e informacionit me Shtetin/Shtetet Anëtar/e ku ka ndodhur shkelja e të dhënave duke njoftuar me shkrim Komisionin dhe Shtetin/Shtetet Anëtar/e përkatës. Një pezullim i tillë do të ketë efekt të menjëhershëm. Shteti/Shtetet Anëtar/e ku ka ndodhur shkelja e të dhënave duhet të hetojë, përmbajë dhe korrigjojë shkeljen e të dhënave dhe, duke njoftuar me shkrim Komisionin, duhet të kërkojë pezullimin e aksesit CCN për qëllimet e kësaj Direktive, nëse shkelja e të dhënave nuk mund të përmbahet menjëherë dhe në mënyrë të përshtatshme. Me një kërkesë të tillë, Komisioni duhet të pezullojë aksesin CCN të këtij/këtyre Shteti/Shteteve Anëtare për qëllimet e kësaj Direktive.</w:t>
            </w:r>
          </w:p>
          <w:p w14:paraId="19A3E9F8" w14:textId="77777777" w:rsidR="00F763F5"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Pas raportimit nga Shteti Anëtar ku ka ndodhur shkelja e të dhënave për korrigjimin e shkeljes së të dhënave, Komisioni do të rifillojë aksesin në CCN të Shtetit/Shteteve Anëtare përkatëse për qëllimet e kësaj Direktive. Në rast se një ose më shumë Shtete Anëtare i kërkojnë Komisionit të verifikojë së bashku nëse korrigjimi i shkeljes së të dhënave ka qenë i suksesshëm, Komisioni do të rifillojë aksesin në CCN të këtij/këtyre Shteti/Shteteve Anëtare për qëllimet e kësaj Direktive pas një verifikimi të tillë. Kur ndodh një shkelje e të dhënave në drejtorinë qendrore ose CCN për qëllimet e kësaj Direktive dhe kur shkëmbimet e Shteteve Anëtare përmes CCN mund të preken potencialisht, Komisioni do të informojë Shtetet Anëtare për shkeljen e të dhënave dhe çdo veprim korrigjues të ndërmarrë pa vonesë të panevojshme. Veprime të tilla korrigjuese mund të përfshijnë pezullimin e aksesit në drejtorinë </w:t>
            </w:r>
            <w:r w:rsidRPr="001725D0">
              <w:rPr>
                <w:rFonts w:ascii="Times New Roman" w:eastAsia="Calibri" w:hAnsi="Times New Roman" w:cs="Times New Roman"/>
                <w:iCs/>
                <w:sz w:val="18"/>
                <w:szCs w:val="18"/>
                <w:lang w:val="en-US"/>
              </w:rPr>
              <w:lastRenderedPageBreak/>
              <w:t>qendrore ose CCN për qëllimet e kësaj Direktive derisa të korrigjohet shkelja e të dhënave.</w:t>
            </w:r>
          </w:p>
          <w:p w14:paraId="40539082" w14:textId="77777777" w:rsidR="00F763F5" w:rsidRPr="001725D0" w:rsidRDefault="00F763F5" w:rsidP="00F763F5">
            <w:pPr>
              <w:jc w:val="both"/>
              <w:rPr>
                <w:rFonts w:ascii="Times New Roman" w:eastAsia="Calibri" w:hAnsi="Times New Roman" w:cs="Times New Roman"/>
                <w:iCs/>
                <w:sz w:val="18"/>
                <w:szCs w:val="18"/>
                <w:lang w:val="en-US"/>
              </w:rPr>
            </w:pPr>
          </w:p>
          <w:p w14:paraId="4A7EDA53" w14:textId="60DB94A8" w:rsidR="00E172D2" w:rsidRPr="001725D0" w:rsidRDefault="00F763F5" w:rsidP="00F763F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7. Shtetet Anëtare, të ndihmuara nga Komisioni, bien dakord mbi rregullimet praktike të nevojshme për zbatimin e këtij Neni, duke përfshirë proceset e menaxhimit të shkeljeve të të dhënave të cilat janë në përputhje me praktikat e mira të njohura ndërkombëtarisht dhe, kur është e përshtatshme, një marrëveshje të përbashkët kontrolluesi të të dhënave, një marrëveshje përpunuesi të dhënash - kontrolluesi i të dhënave ose modele të tyre.</w:t>
            </w:r>
          </w:p>
        </w:tc>
        <w:tc>
          <w:tcPr>
            <w:tcW w:w="540" w:type="dxa"/>
          </w:tcPr>
          <w:p w14:paraId="7F8A8833" w14:textId="77777777" w:rsidR="00E172D2" w:rsidRPr="00036F88" w:rsidRDefault="00E172D2" w:rsidP="003C045B">
            <w:pPr>
              <w:jc w:val="center"/>
              <w:rPr>
                <w:rFonts w:ascii="Times New Roman" w:eastAsia="Calibri" w:hAnsi="Times New Roman" w:cs="Times New Roman"/>
                <w:sz w:val="18"/>
                <w:szCs w:val="18"/>
                <w:highlight w:val="cyan"/>
              </w:rPr>
            </w:pPr>
          </w:p>
        </w:tc>
        <w:tc>
          <w:tcPr>
            <w:tcW w:w="554" w:type="dxa"/>
          </w:tcPr>
          <w:p w14:paraId="6EFC3530" w14:textId="77777777" w:rsidR="00767E95" w:rsidRDefault="00767E95" w:rsidP="003C045B">
            <w:pPr>
              <w:jc w:val="center"/>
              <w:rPr>
                <w:rFonts w:ascii="Times New Roman" w:eastAsia="Calibri" w:hAnsi="Times New Roman" w:cs="Times New Roman"/>
                <w:sz w:val="18"/>
                <w:szCs w:val="18"/>
              </w:rPr>
            </w:pPr>
          </w:p>
          <w:p w14:paraId="50CB67A3" w14:textId="77777777" w:rsidR="00767E95" w:rsidRDefault="00767E95" w:rsidP="003C045B">
            <w:pPr>
              <w:jc w:val="center"/>
              <w:rPr>
                <w:rFonts w:ascii="Times New Roman" w:eastAsia="Calibri" w:hAnsi="Times New Roman" w:cs="Times New Roman"/>
                <w:sz w:val="18"/>
                <w:szCs w:val="18"/>
              </w:rPr>
            </w:pPr>
          </w:p>
          <w:p w14:paraId="00981BDF" w14:textId="5C91648D" w:rsidR="00E172D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 16</w:t>
            </w:r>
          </w:p>
        </w:tc>
        <w:tc>
          <w:tcPr>
            <w:tcW w:w="5040" w:type="dxa"/>
          </w:tcPr>
          <w:p w14:paraId="63D319DC" w14:textId="77777777" w:rsidR="00F763F5" w:rsidRDefault="00F763F5" w:rsidP="00F763F5">
            <w:pPr>
              <w:jc w:val="center"/>
              <w:rPr>
                <w:rFonts w:ascii="Times New Roman" w:hAnsi="Times New Roman" w:cs="Times New Roman"/>
                <w:sz w:val="18"/>
                <w:szCs w:val="18"/>
              </w:rPr>
            </w:pPr>
          </w:p>
          <w:p w14:paraId="61894142" w14:textId="77777777" w:rsidR="00057F15" w:rsidRPr="00057F15" w:rsidRDefault="00057F15" w:rsidP="00057F15">
            <w:pPr>
              <w:spacing w:line="276" w:lineRule="auto"/>
              <w:jc w:val="both"/>
              <w:rPr>
                <w:rFonts w:ascii="Times New Roman" w:hAnsi="Times New Roman" w:cs="Times New Roman"/>
                <w:sz w:val="18"/>
                <w:szCs w:val="18"/>
              </w:rPr>
            </w:pPr>
          </w:p>
          <w:p w14:paraId="6671D98E" w14:textId="69995BCA" w:rsidR="00E172D2" w:rsidRPr="00036F88" w:rsidRDefault="00057F15" w:rsidP="00057F15">
            <w:pPr>
              <w:spacing w:line="276" w:lineRule="auto"/>
              <w:jc w:val="both"/>
              <w:rPr>
                <w:rFonts w:ascii="Times New Roman" w:hAnsi="Times New Roman" w:cs="Times New Roman"/>
                <w:sz w:val="18"/>
                <w:szCs w:val="18"/>
              </w:rPr>
            </w:pPr>
            <w:r w:rsidRPr="00057F15">
              <w:rPr>
                <w:rFonts w:ascii="Times New Roman" w:hAnsi="Times New Roman" w:cs="Times New Roman"/>
                <w:sz w:val="18"/>
                <w:szCs w:val="18"/>
              </w:rPr>
              <w:t>1.</w:t>
            </w:r>
            <w:r w:rsidRPr="00057F15">
              <w:rPr>
                <w:rFonts w:ascii="Times New Roman" w:hAnsi="Times New Roman" w:cs="Times New Roman"/>
                <w:sz w:val="18"/>
                <w:szCs w:val="18"/>
              </w:rPr>
              <w:tab/>
              <w:t>Dispozitat mbi mbrojtjen e të dhënave personale të parashikuara në ligjin “Për bashkëpunimin administrativ në fushën e tatimeve dhe shkëmbimit të informacionit tatimor” , zbatohen edhe për këtë ligj.</w:t>
            </w:r>
          </w:p>
        </w:tc>
        <w:tc>
          <w:tcPr>
            <w:tcW w:w="720" w:type="dxa"/>
          </w:tcPr>
          <w:p w14:paraId="37F5F7FD" w14:textId="77777777" w:rsidR="00424D4A" w:rsidRDefault="00424D4A" w:rsidP="003C045B">
            <w:pPr>
              <w:jc w:val="center"/>
              <w:rPr>
                <w:rFonts w:ascii="Times New Roman" w:eastAsia="Calibri" w:hAnsi="Times New Roman" w:cs="Times New Roman"/>
                <w:sz w:val="18"/>
                <w:szCs w:val="18"/>
              </w:rPr>
            </w:pPr>
          </w:p>
          <w:p w14:paraId="38B4087C" w14:textId="27FA908F"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524BA8E8" w14:textId="77777777" w:rsidR="00E16BA5" w:rsidRPr="00E16BA5" w:rsidRDefault="00E16BA5" w:rsidP="00E16BA5">
            <w:pPr>
              <w:rPr>
                <w:rFonts w:ascii="Times New Roman" w:eastAsia="Calibri" w:hAnsi="Times New Roman" w:cs="Times New Roman"/>
                <w:sz w:val="18"/>
                <w:szCs w:val="18"/>
              </w:rPr>
            </w:pPr>
          </w:p>
          <w:p w14:paraId="336C14ED" w14:textId="77777777" w:rsidR="00E16BA5" w:rsidRPr="00E16BA5" w:rsidRDefault="00E16BA5" w:rsidP="00E16BA5">
            <w:pPr>
              <w:rPr>
                <w:rFonts w:ascii="Times New Roman" w:eastAsia="Calibri" w:hAnsi="Times New Roman" w:cs="Times New Roman"/>
                <w:sz w:val="18"/>
                <w:szCs w:val="18"/>
              </w:rPr>
            </w:pPr>
          </w:p>
          <w:p w14:paraId="6DB65190" w14:textId="6060E957" w:rsidR="00E172D2" w:rsidRPr="00036F88" w:rsidRDefault="00E172D2" w:rsidP="00E16BA5">
            <w:pPr>
              <w:rPr>
                <w:rFonts w:ascii="Times New Roman" w:eastAsia="Calibri" w:hAnsi="Times New Roman" w:cs="Times New Roman"/>
                <w:sz w:val="18"/>
                <w:szCs w:val="18"/>
              </w:rPr>
            </w:pPr>
          </w:p>
        </w:tc>
      </w:tr>
      <w:tr w:rsidR="00424D4A" w:rsidRPr="00036F88" w14:paraId="33BA812D" w14:textId="77777777" w:rsidTr="007C321D">
        <w:trPr>
          <w:trHeight w:val="854"/>
        </w:trPr>
        <w:tc>
          <w:tcPr>
            <w:tcW w:w="630" w:type="dxa"/>
          </w:tcPr>
          <w:p w14:paraId="543E031D" w14:textId="77777777" w:rsidR="00424D4A" w:rsidRPr="00036F88" w:rsidRDefault="00424D4A" w:rsidP="00AF6E05">
            <w:pPr>
              <w:jc w:val="both"/>
              <w:rPr>
                <w:rFonts w:ascii="Times New Roman" w:eastAsia="Calibri" w:hAnsi="Times New Roman" w:cs="Times New Roman"/>
                <w:sz w:val="18"/>
                <w:szCs w:val="18"/>
                <w:lang w:val="en-US"/>
              </w:rPr>
            </w:pPr>
            <w:bookmarkStart w:id="8" w:name="_Hlk227918983"/>
          </w:p>
        </w:tc>
        <w:tc>
          <w:tcPr>
            <w:tcW w:w="5400" w:type="dxa"/>
            <w:shd w:val="clear" w:color="auto" w:fill="D0CECE" w:themeFill="background2" w:themeFillShade="E6"/>
          </w:tcPr>
          <w:p w14:paraId="6F6C6CD2" w14:textId="77777777" w:rsidR="00424D4A" w:rsidRPr="00424D4A" w:rsidRDefault="00424D4A" w:rsidP="00424D4A">
            <w:pPr>
              <w:jc w:val="both"/>
              <w:rPr>
                <w:rFonts w:ascii="Times New Roman" w:eastAsia="Calibri" w:hAnsi="Times New Roman" w:cs="Times New Roman"/>
                <w:iCs/>
                <w:sz w:val="18"/>
                <w:szCs w:val="18"/>
                <w:lang w:val="en-US"/>
              </w:rPr>
            </w:pPr>
            <w:r w:rsidRPr="00424D4A">
              <w:rPr>
                <w:rFonts w:ascii="Times New Roman" w:eastAsia="Calibri" w:hAnsi="Times New Roman" w:cs="Times New Roman"/>
                <w:iCs/>
                <w:sz w:val="18"/>
                <w:szCs w:val="18"/>
                <w:lang w:val="en-US"/>
              </w:rPr>
              <w:t>Neni 1(19) (Direktiva 2021/514/BE)</w:t>
            </w:r>
          </w:p>
          <w:p w14:paraId="1226FD18" w14:textId="2D97A3A2" w:rsidR="00424D4A" w:rsidRPr="00036F88" w:rsidRDefault="00424D4A" w:rsidP="00424D4A">
            <w:pPr>
              <w:jc w:val="both"/>
              <w:rPr>
                <w:rFonts w:ascii="Times New Roman" w:eastAsia="Calibri" w:hAnsi="Times New Roman" w:cs="Times New Roman"/>
                <w:iCs/>
                <w:sz w:val="18"/>
                <w:szCs w:val="18"/>
                <w:lang w:val="en-US"/>
              </w:rPr>
            </w:pPr>
            <w:r w:rsidRPr="00424D4A">
              <w:rPr>
                <w:rFonts w:ascii="Times New Roman" w:eastAsia="Calibri" w:hAnsi="Times New Roman" w:cs="Times New Roman"/>
                <w:iCs/>
                <w:sz w:val="18"/>
                <w:szCs w:val="18"/>
                <w:lang w:val="en-US"/>
              </w:rPr>
              <w:t>Neni 25a (Direktiva 2011/16/BE)</w:t>
            </w:r>
          </w:p>
        </w:tc>
        <w:tc>
          <w:tcPr>
            <w:tcW w:w="540" w:type="dxa"/>
            <w:shd w:val="clear" w:color="auto" w:fill="D0CECE" w:themeFill="background2" w:themeFillShade="E6"/>
          </w:tcPr>
          <w:p w14:paraId="7CC84FB7" w14:textId="77777777" w:rsidR="00424D4A" w:rsidRPr="00036F88" w:rsidRDefault="00424D4A"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2BA7230E" w14:textId="77777777" w:rsidR="00424D4A" w:rsidRPr="00036F88" w:rsidRDefault="00424D4A"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44149891" w14:textId="77777777" w:rsidR="005331A6" w:rsidRPr="00EF43AB" w:rsidRDefault="005331A6" w:rsidP="005331A6">
            <w:pPr>
              <w:jc w:val="center"/>
              <w:rPr>
                <w:rFonts w:ascii="Times New Roman" w:hAnsi="Times New Roman" w:cs="Times New Roman"/>
                <w:b/>
                <w:sz w:val="18"/>
                <w:szCs w:val="18"/>
              </w:rPr>
            </w:pPr>
            <w:r w:rsidRPr="00EF43AB">
              <w:rPr>
                <w:rFonts w:ascii="Times New Roman" w:hAnsi="Times New Roman" w:cs="Times New Roman"/>
                <w:b/>
                <w:sz w:val="18"/>
                <w:szCs w:val="18"/>
              </w:rPr>
              <w:t>Neni 17</w:t>
            </w:r>
          </w:p>
          <w:p w14:paraId="26D8AB25" w14:textId="652DCF23" w:rsidR="00424D4A" w:rsidRPr="00036F88" w:rsidRDefault="005331A6" w:rsidP="005331A6">
            <w:pPr>
              <w:jc w:val="center"/>
              <w:rPr>
                <w:rFonts w:ascii="Times New Roman" w:eastAsia="Calibri" w:hAnsi="Times New Roman" w:cs="Times New Roman"/>
                <w:sz w:val="18"/>
                <w:szCs w:val="18"/>
                <w:lang w:val="en-US"/>
              </w:rPr>
            </w:pPr>
            <w:r w:rsidRPr="00EF43AB">
              <w:rPr>
                <w:rFonts w:ascii="Times New Roman" w:hAnsi="Times New Roman" w:cs="Times New Roman"/>
                <w:b/>
                <w:sz w:val="18"/>
                <w:szCs w:val="18"/>
              </w:rPr>
              <w:t>Sanksionet dhe masat për përmbushjen e detyrimeve</w:t>
            </w:r>
          </w:p>
        </w:tc>
        <w:tc>
          <w:tcPr>
            <w:tcW w:w="720" w:type="dxa"/>
            <w:shd w:val="clear" w:color="auto" w:fill="D0CECE" w:themeFill="background2" w:themeFillShade="E6"/>
          </w:tcPr>
          <w:p w14:paraId="612A713F" w14:textId="77777777" w:rsidR="00424D4A" w:rsidRPr="00036F88" w:rsidRDefault="00424D4A"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44770AE" w14:textId="77777777" w:rsidR="00424D4A" w:rsidRPr="00036F88" w:rsidRDefault="00424D4A" w:rsidP="00AF6E05">
            <w:pPr>
              <w:rPr>
                <w:rFonts w:ascii="Times New Roman" w:eastAsia="Calibri" w:hAnsi="Times New Roman" w:cs="Times New Roman"/>
                <w:sz w:val="18"/>
                <w:szCs w:val="18"/>
                <w:lang w:val="en-US"/>
              </w:rPr>
            </w:pPr>
          </w:p>
        </w:tc>
      </w:tr>
      <w:bookmarkEnd w:id="8"/>
      <w:tr w:rsidR="00424D4A" w:rsidRPr="00036F88" w14:paraId="70A20DEC" w14:textId="77777777" w:rsidTr="007C321D">
        <w:trPr>
          <w:trHeight w:val="2204"/>
        </w:trPr>
        <w:tc>
          <w:tcPr>
            <w:tcW w:w="630" w:type="dxa"/>
          </w:tcPr>
          <w:p w14:paraId="67379463" w14:textId="77777777" w:rsidR="00424D4A" w:rsidRPr="00036F88" w:rsidRDefault="00424D4A" w:rsidP="003C045B">
            <w:pPr>
              <w:jc w:val="both"/>
              <w:rPr>
                <w:rFonts w:ascii="Times New Roman" w:eastAsia="Calibri" w:hAnsi="Times New Roman" w:cs="Times New Roman"/>
                <w:sz w:val="18"/>
                <w:szCs w:val="18"/>
              </w:rPr>
            </w:pPr>
          </w:p>
        </w:tc>
        <w:tc>
          <w:tcPr>
            <w:tcW w:w="5400" w:type="dxa"/>
          </w:tcPr>
          <w:p w14:paraId="721D52D7" w14:textId="77777777" w:rsidR="00424D4A" w:rsidRPr="001725D0" w:rsidRDefault="00424D4A" w:rsidP="00424D4A">
            <w:pPr>
              <w:jc w:val="both"/>
              <w:rPr>
                <w:rFonts w:ascii="Times New Roman" w:eastAsia="Calibri" w:hAnsi="Times New Roman" w:cs="Times New Roman"/>
                <w:iCs/>
                <w:sz w:val="18"/>
                <w:szCs w:val="18"/>
                <w:lang w:val="en-US"/>
              </w:rPr>
            </w:pPr>
          </w:p>
          <w:p w14:paraId="69FFFDA9" w14:textId="77777777" w:rsidR="00424D4A" w:rsidRPr="001725D0" w:rsidRDefault="00424D4A" w:rsidP="00424D4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25a</w:t>
            </w:r>
          </w:p>
          <w:p w14:paraId="1CB32A77" w14:textId="77777777" w:rsidR="00424D4A" w:rsidRPr="001725D0" w:rsidRDefault="00424D4A" w:rsidP="00424D4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Penalitete</w:t>
            </w:r>
          </w:p>
          <w:p w14:paraId="2070EA8E" w14:textId="77777777" w:rsidR="00424D4A" w:rsidRPr="001725D0" w:rsidRDefault="00424D4A" w:rsidP="00424D4A">
            <w:pPr>
              <w:jc w:val="both"/>
              <w:rPr>
                <w:rFonts w:ascii="Times New Roman" w:eastAsia="Calibri" w:hAnsi="Times New Roman" w:cs="Times New Roman"/>
                <w:iCs/>
                <w:sz w:val="18"/>
                <w:szCs w:val="18"/>
                <w:lang w:val="en-US"/>
              </w:rPr>
            </w:pPr>
          </w:p>
          <w:p w14:paraId="5A447527" w14:textId="26E2FC77" w:rsidR="00424D4A" w:rsidRPr="001725D0" w:rsidRDefault="00424D4A" w:rsidP="00424D4A">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Shtetet Anëtare përcaktojnë rregullat mbi sanksionet e zbatueshme për shkeljet e dispozitave kombëtare të miratuara në përputhje me këtë Direktivë dhe në lidhje me Nenet 8aa, 8ab dhe 8ac, dhe marrin të gjitha masat e nevojshme për të siguruar që ato të zbatohen. Sanksionet e parashikuara duhet të jenë efektive, proporcionale dhe dekurajuese.</w:t>
            </w:r>
          </w:p>
        </w:tc>
        <w:tc>
          <w:tcPr>
            <w:tcW w:w="540" w:type="dxa"/>
          </w:tcPr>
          <w:p w14:paraId="0F4F352F" w14:textId="77777777" w:rsidR="00424D4A" w:rsidRPr="00036F88" w:rsidRDefault="00424D4A" w:rsidP="003C045B">
            <w:pPr>
              <w:jc w:val="center"/>
              <w:rPr>
                <w:rFonts w:ascii="Times New Roman" w:eastAsia="Calibri" w:hAnsi="Times New Roman" w:cs="Times New Roman"/>
                <w:sz w:val="18"/>
                <w:szCs w:val="18"/>
                <w:highlight w:val="cyan"/>
              </w:rPr>
            </w:pPr>
          </w:p>
        </w:tc>
        <w:tc>
          <w:tcPr>
            <w:tcW w:w="554" w:type="dxa"/>
          </w:tcPr>
          <w:p w14:paraId="6CB801A5" w14:textId="628D2716" w:rsidR="00424D4A" w:rsidRPr="001725D0" w:rsidRDefault="00113DE2"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17</w:t>
            </w:r>
          </w:p>
        </w:tc>
        <w:tc>
          <w:tcPr>
            <w:tcW w:w="5040" w:type="dxa"/>
          </w:tcPr>
          <w:p w14:paraId="772CB3E3" w14:textId="7A14A50E" w:rsidR="00EF43AB" w:rsidRDefault="00EF43AB" w:rsidP="00EF43AB">
            <w:pPr>
              <w:jc w:val="both"/>
              <w:rPr>
                <w:rFonts w:ascii="Times New Roman" w:hAnsi="Times New Roman" w:cs="Times New Roman"/>
                <w:sz w:val="18"/>
                <w:szCs w:val="18"/>
              </w:rPr>
            </w:pPr>
          </w:p>
          <w:p w14:paraId="1AFB6ED8" w14:textId="77777777" w:rsidR="00345A6C" w:rsidRPr="00345A6C" w:rsidRDefault="00345A6C" w:rsidP="00345A6C">
            <w:pPr>
              <w:spacing w:line="276" w:lineRule="auto"/>
              <w:jc w:val="both"/>
              <w:rPr>
                <w:rFonts w:ascii="Times New Roman" w:hAnsi="Times New Roman" w:cs="Times New Roman"/>
                <w:sz w:val="18"/>
                <w:szCs w:val="18"/>
              </w:rPr>
            </w:pPr>
          </w:p>
          <w:p w14:paraId="3AD81429"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1.</w:t>
            </w:r>
            <w:r w:rsidRPr="00345A6C">
              <w:rPr>
                <w:rFonts w:ascii="Times New Roman" w:hAnsi="Times New Roman" w:cs="Times New Roman"/>
                <w:sz w:val="18"/>
                <w:szCs w:val="18"/>
              </w:rPr>
              <w:tab/>
              <w:t xml:space="preserve">Operatori i platformës parashikon në kontratën e bashkëpunimit me shitësin një klauzolë detyruese, sipas së cilës, në rast se shitësi nuk paraqet informacionin e kërkuar pas dy njoftimeve brenda afatit 60-ditor nga data e njoftimit të parë, profili i tij në platformë mbyllet deri në plotësimin e detyrimit përkatës. </w:t>
            </w:r>
          </w:p>
          <w:p w14:paraId="0E8A2B82" w14:textId="77777777" w:rsidR="00345A6C" w:rsidRPr="00345A6C" w:rsidRDefault="00345A6C" w:rsidP="00345A6C">
            <w:pPr>
              <w:spacing w:line="276" w:lineRule="auto"/>
              <w:jc w:val="both"/>
              <w:rPr>
                <w:rFonts w:ascii="Times New Roman" w:hAnsi="Times New Roman" w:cs="Times New Roman"/>
                <w:sz w:val="18"/>
                <w:szCs w:val="18"/>
              </w:rPr>
            </w:pPr>
          </w:p>
          <w:p w14:paraId="65B3E00F"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2.</w:t>
            </w:r>
            <w:r w:rsidRPr="00345A6C">
              <w:rPr>
                <w:rFonts w:ascii="Times New Roman" w:hAnsi="Times New Roman" w:cs="Times New Roman"/>
                <w:sz w:val="18"/>
                <w:szCs w:val="18"/>
              </w:rPr>
              <w:tab/>
              <w:t>Nëse kontrata me shitësin parashikon shpërblim, ajo mund të mbahet pezull deri në dorëzimin e informacionit të plotë. Në rast të mosbashkëpunimit të vazhdueshëm, operatori i platformës duhet të ndalojë riregjistrimin e shitësit, t’i mbyllë aksesin në platformë ose ta përjashtojë shitësin nga platforma për aktivitetet e raportueshme, deri në përmbushjen e plotë të detyrimeve ligjore.</w:t>
            </w:r>
          </w:p>
          <w:p w14:paraId="40A78461" w14:textId="77777777" w:rsidR="00345A6C" w:rsidRPr="00345A6C" w:rsidRDefault="00345A6C" w:rsidP="00345A6C">
            <w:pPr>
              <w:spacing w:line="276" w:lineRule="auto"/>
              <w:jc w:val="both"/>
              <w:rPr>
                <w:rFonts w:ascii="Times New Roman" w:hAnsi="Times New Roman" w:cs="Times New Roman"/>
                <w:sz w:val="18"/>
                <w:szCs w:val="18"/>
              </w:rPr>
            </w:pPr>
          </w:p>
          <w:p w14:paraId="758E4A69"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3.</w:t>
            </w:r>
            <w:r w:rsidRPr="00345A6C">
              <w:rPr>
                <w:rFonts w:ascii="Times New Roman" w:hAnsi="Times New Roman" w:cs="Times New Roman"/>
                <w:sz w:val="18"/>
                <w:szCs w:val="18"/>
              </w:rPr>
              <w:tab/>
              <w:t>Për qëllimet e këtij ligji përbëjnë kundërvajtje administrative, të kryera nga operatori i platformës me detyrim raportimi, shkeljet të cilat dënohen si më poshtë:</w:t>
            </w:r>
          </w:p>
          <w:p w14:paraId="6EC9A1CA"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 xml:space="preserve">a) Mospërmbushja e detyrimit për paraqitjen e raportimit vjetor brenda afateve të përcaktuara nga ky ligj, dënohet me gjobë në </w:t>
            </w:r>
            <w:r w:rsidRPr="00345A6C">
              <w:rPr>
                <w:rFonts w:ascii="Times New Roman" w:hAnsi="Times New Roman" w:cs="Times New Roman"/>
                <w:sz w:val="18"/>
                <w:szCs w:val="18"/>
              </w:rPr>
              <w:lastRenderedPageBreak/>
              <w:t>vlerën nga 100.000 lekë deri në 1.000.000 lekë për çdo periudhë raportimi.</w:t>
            </w:r>
          </w:p>
          <w:p w14:paraId="4850C821"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b) Paraqitja e raportimit vjetor që përmban të dhëna thelbësisht të paplota, të pasakta ose të pavërteta, dënohet me gjobë në vlerën nga 100.000 lekë deri në 500.000 lekë për çdo periudhë raportimi.</w:t>
            </w:r>
          </w:p>
          <w:p w14:paraId="5E1A7CAB"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c) Mospërmbushja, në tërësi ose pjesërisht, e detyrimit për zbatimin e procedurave të verifikimit të duhur, në përputhje me parashikimet e këtij ligji dhe vendimit të këshillit të ministrave në zbatim të tij, dënohet me gjobë në vlerën nga 100.000 lekë deri në 750.000 lekë për çdo periudhë raportimi.</w:t>
            </w:r>
          </w:p>
          <w:p w14:paraId="392D8E6E"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ç) Mospërmbushja e detyrimit për ruajtjen e dokumentacionit, të dhënave dhe provave për periudhën e përcaktuar nga ky ligj, dënohet me gjobë në vlerën nga 50.000 lekë deri në 300.000 lekë për çdo periudhë raportimi.</w:t>
            </w:r>
          </w:p>
          <w:p w14:paraId="23BDD16D"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d) Mospërmbushja e detyrimit për zbatimin e masave të zbatimit efektiv ndaj shitësve jo-bashkëpunues, përfshirë dërgimin e kujtesave, pezullimin e llogarive, mbylljen e aksesit në platformë, përjashtimin nga platforma ose ndalimin e riregjistrimit, sipas parashikimeve të këtij ligji, dënohet me gjobë në vlerën nga 100.000 lekë deri në 500.000 lekë për çdo periudhë raportimi.</w:t>
            </w:r>
          </w:p>
          <w:p w14:paraId="441816AB"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 xml:space="preserve">dh) Mosregjistrimi i operatorit të platformës sipas këtij ligji, dënohet me gjobë në vlerën 1.000.000 lekë. </w:t>
            </w:r>
          </w:p>
          <w:p w14:paraId="6B2A7051"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4. Për shkeljet e parashikuara në pikën 3 të këtij neni, Drejtoria e Përgjithshme e Tatimeve, sipas rastit dhe në përputhje me parimin e proporcionalitetit, vendos një ose më shumë nga masat administrative të mëposhtme:</w:t>
            </w:r>
          </w:p>
          <w:p w14:paraId="5623B73B"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a) nxjerrjen e urdhrit për përmbushjen e detyrimit të shkelur, duke përcaktuar një afat konkret për zbatimin e tij;</w:t>
            </w:r>
          </w:p>
          <w:p w14:paraId="33392A2D"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b) në rast të përsëritjes së shkeljes ose të moszbatimit të urdhrit për përmbushje, vendosjen e masës së pezullimit të statusit të operatorit të platformës për qëllime raportimi sipas këtij ligji, deri në përmbushjen e plotë të detyrimeve.</w:t>
            </w:r>
          </w:p>
          <w:p w14:paraId="3313CEB9" w14:textId="77777777" w:rsidR="00345A6C" w:rsidRPr="00345A6C" w:rsidRDefault="00345A6C" w:rsidP="00345A6C">
            <w:pPr>
              <w:spacing w:line="276" w:lineRule="auto"/>
              <w:jc w:val="both"/>
              <w:rPr>
                <w:rFonts w:ascii="Times New Roman" w:hAnsi="Times New Roman" w:cs="Times New Roman"/>
                <w:sz w:val="18"/>
                <w:szCs w:val="18"/>
              </w:rPr>
            </w:pPr>
          </w:p>
          <w:p w14:paraId="19EE68E6" w14:textId="77777777" w:rsidR="00345A6C" w:rsidRPr="00345A6C"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lastRenderedPageBreak/>
              <w:t>5. Gjoba vendoset nga titullari i Drejtorisë së Përgjithshme të Tatimeve sipas legjislacionit në fuqi për kundërvajtjet administrative dhe duhet të jetë efektive, proporcionale dhe dekurajuese.</w:t>
            </w:r>
          </w:p>
          <w:p w14:paraId="6A3B034A" w14:textId="77777777" w:rsidR="00345A6C" w:rsidRPr="00345A6C" w:rsidRDefault="00345A6C" w:rsidP="00345A6C">
            <w:pPr>
              <w:spacing w:line="276" w:lineRule="auto"/>
              <w:jc w:val="both"/>
              <w:rPr>
                <w:rFonts w:ascii="Times New Roman" w:hAnsi="Times New Roman" w:cs="Times New Roman"/>
                <w:sz w:val="18"/>
                <w:szCs w:val="18"/>
              </w:rPr>
            </w:pPr>
          </w:p>
          <w:p w14:paraId="6A241245" w14:textId="74FA0F83" w:rsidR="00424D4A" w:rsidRDefault="00345A6C" w:rsidP="00345A6C">
            <w:pPr>
              <w:spacing w:line="276" w:lineRule="auto"/>
              <w:jc w:val="both"/>
              <w:rPr>
                <w:rFonts w:ascii="Times New Roman" w:hAnsi="Times New Roman" w:cs="Times New Roman"/>
                <w:sz w:val="18"/>
                <w:szCs w:val="18"/>
              </w:rPr>
            </w:pPr>
            <w:r w:rsidRPr="00345A6C">
              <w:rPr>
                <w:rFonts w:ascii="Times New Roman" w:hAnsi="Times New Roman" w:cs="Times New Roman"/>
                <w:sz w:val="18"/>
                <w:szCs w:val="18"/>
              </w:rPr>
              <w:t>6. Kundër vendimit për vendosjen e gjobës mund të bëhet ankim pranë gjykatës administrative kompetente, në përputhje me legjislacionin në fuqi për gjykatat administrative dhe gjykimin e mosmarrëveshjeve administrative.</w:t>
            </w:r>
          </w:p>
        </w:tc>
        <w:tc>
          <w:tcPr>
            <w:tcW w:w="720" w:type="dxa"/>
          </w:tcPr>
          <w:p w14:paraId="04DDE0AC" w14:textId="78BF4522" w:rsidR="00424D4A" w:rsidRDefault="00080E02"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4F00E6C6" w14:textId="1CD83B75" w:rsidR="00424D4A" w:rsidRPr="00E16BA5" w:rsidRDefault="00080E02" w:rsidP="00E16BA5">
            <w:pPr>
              <w:rPr>
                <w:rFonts w:ascii="Times New Roman" w:eastAsia="Calibri" w:hAnsi="Times New Roman" w:cs="Times New Roman"/>
                <w:sz w:val="18"/>
                <w:szCs w:val="18"/>
              </w:rPr>
            </w:pPr>
            <w:r w:rsidRPr="00080E02">
              <w:rPr>
                <w:rFonts w:ascii="Times New Roman" w:eastAsia="Calibri" w:hAnsi="Times New Roman" w:cs="Times New Roman"/>
                <w:sz w:val="18"/>
                <w:szCs w:val="18"/>
              </w:rPr>
              <w:t>Përputhet. Neni 17 i Projektligjit ("Sanksionet dhe Masat për Përmbushjen e Detyrimeve") përfshin: • gjoba për mosdorëzimin e raporteve vjetore në kohë; • gjoba për raporte në thelb të paplota, të rreme ose të pasakta; • gjoba për moszbatimin e saktë të procedurave të kujdesit të duhur.</w:t>
            </w:r>
          </w:p>
        </w:tc>
      </w:tr>
      <w:tr w:rsidR="00080E02" w:rsidRPr="00036F88" w14:paraId="2D42599A" w14:textId="77777777" w:rsidTr="007C321D">
        <w:trPr>
          <w:trHeight w:val="854"/>
        </w:trPr>
        <w:tc>
          <w:tcPr>
            <w:tcW w:w="630" w:type="dxa"/>
          </w:tcPr>
          <w:p w14:paraId="4C0910AA" w14:textId="77777777" w:rsidR="00080E02" w:rsidRPr="00036F88" w:rsidRDefault="00080E02" w:rsidP="00AF6E05">
            <w:pPr>
              <w:jc w:val="both"/>
              <w:rPr>
                <w:rFonts w:ascii="Times New Roman" w:eastAsia="Calibri" w:hAnsi="Times New Roman" w:cs="Times New Roman"/>
                <w:sz w:val="18"/>
                <w:szCs w:val="18"/>
                <w:lang w:val="en-US"/>
              </w:rPr>
            </w:pPr>
            <w:bookmarkStart w:id="9" w:name="_Hlk227920533"/>
          </w:p>
        </w:tc>
        <w:tc>
          <w:tcPr>
            <w:tcW w:w="5400" w:type="dxa"/>
            <w:shd w:val="clear" w:color="auto" w:fill="D0CECE" w:themeFill="background2" w:themeFillShade="E6"/>
          </w:tcPr>
          <w:p w14:paraId="687ABC84" w14:textId="77777777"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Neni 1(20) (Direktiva 2021/514/BE)</w:t>
            </w:r>
          </w:p>
          <w:p w14:paraId="479EFBE1" w14:textId="77777777"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Shtojca V (Direktiva 2011/16/BE)</w:t>
            </w:r>
          </w:p>
          <w:p w14:paraId="7EADFAF6" w14:textId="65743C0A" w:rsidR="00080E02" w:rsidRPr="00036F88" w:rsidRDefault="00080E02"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381BBEE" w14:textId="77777777" w:rsidR="00080E02" w:rsidRPr="00036F88" w:rsidRDefault="00080E02"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5313905F" w14:textId="77777777" w:rsidR="00080E02" w:rsidRPr="00036F88" w:rsidRDefault="00080E02"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3A099CAB" w14:textId="77777777" w:rsidR="00080E02" w:rsidRPr="00036F88" w:rsidRDefault="00080E02" w:rsidP="00080E02">
            <w:pPr>
              <w:jc w:val="center"/>
              <w:rPr>
                <w:rFonts w:ascii="Times New Roman" w:eastAsia="Calibri" w:hAnsi="Times New Roman" w:cs="Times New Roman"/>
                <w:sz w:val="18"/>
                <w:szCs w:val="18"/>
                <w:lang w:val="en-US"/>
              </w:rPr>
            </w:pPr>
          </w:p>
        </w:tc>
        <w:tc>
          <w:tcPr>
            <w:tcW w:w="720" w:type="dxa"/>
            <w:shd w:val="clear" w:color="auto" w:fill="D0CECE" w:themeFill="background2" w:themeFillShade="E6"/>
          </w:tcPr>
          <w:p w14:paraId="1DCC26F0" w14:textId="77777777" w:rsidR="00080E02" w:rsidRPr="00036F88" w:rsidRDefault="00080E02"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BFE7E5C" w14:textId="77777777" w:rsidR="00080E02" w:rsidRPr="00036F88" w:rsidRDefault="00080E02" w:rsidP="00AF6E05">
            <w:pPr>
              <w:rPr>
                <w:rFonts w:ascii="Times New Roman" w:eastAsia="Calibri" w:hAnsi="Times New Roman" w:cs="Times New Roman"/>
                <w:sz w:val="18"/>
                <w:szCs w:val="18"/>
                <w:lang w:val="en-US"/>
              </w:rPr>
            </w:pPr>
          </w:p>
        </w:tc>
      </w:tr>
      <w:bookmarkEnd w:id="9"/>
      <w:tr w:rsidR="00080E02" w:rsidRPr="00036F88" w14:paraId="5AAB20EA" w14:textId="77777777" w:rsidTr="007C321D">
        <w:trPr>
          <w:trHeight w:val="2204"/>
        </w:trPr>
        <w:tc>
          <w:tcPr>
            <w:tcW w:w="630" w:type="dxa"/>
          </w:tcPr>
          <w:p w14:paraId="7B8114C7" w14:textId="77777777" w:rsidR="00080E02" w:rsidRPr="00036F88" w:rsidRDefault="00080E02" w:rsidP="003C045B">
            <w:pPr>
              <w:jc w:val="both"/>
              <w:rPr>
                <w:rFonts w:ascii="Times New Roman" w:eastAsia="Calibri" w:hAnsi="Times New Roman" w:cs="Times New Roman"/>
                <w:sz w:val="18"/>
                <w:szCs w:val="18"/>
              </w:rPr>
            </w:pPr>
          </w:p>
        </w:tc>
        <w:tc>
          <w:tcPr>
            <w:tcW w:w="5400" w:type="dxa"/>
          </w:tcPr>
          <w:p w14:paraId="0FC617E8" w14:textId="77777777" w:rsidR="00080E02" w:rsidRPr="001725D0" w:rsidRDefault="00080E02" w:rsidP="00080E02">
            <w:pPr>
              <w:jc w:val="both"/>
              <w:rPr>
                <w:rFonts w:ascii="Times New Roman" w:eastAsia="Calibri" w:hAnsi="Times New Roman" w:cs="Times New Roman"/>
                <w:iCs/>
                <w:sz w:val="18"/>
                <w:szCs w:val="18"/>
                <w:lang w:val="en-US"/>
              </w:rPr>
            </w:pPr>
          </w:p>
          <w:p w14:paraId="3D8FCC50" w14:textId="77777777"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SHTOJCA V</w:t>
            </w:r>
          </w:p>
          <w:p w14:paraId="509DF945" w14:textId="77777777" w:rsidR="00080E02" w:rsidRPr="001725D0" w:rsidRDefault="00080E02" w:rsidP="00080E02">
            <w:pPr>
              <w:jc w:val="both"/>
              <w:rPr>
                <w:rFonts w:ascii="Times New Roman" w:eastAsia="Calibri" w:hAnsi="Times New Roman" w:cs="Times New Roman"/>
                <w:iCs/>
                <w:sz w:val="18"/>
                <w:szCs w:val="18"/>
                <w:lang w:val="en-US"/>
              </w:rPr>
            </w:pPr>
          </w:p>
          <w:p w14:paraId="5770AE99" w14:textId="77777777"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PROCEDURAT E SHQYRTIMEVE TË DUHURA, KËRKESAT E RAPORTIMIT DHE RREGULLAT E TJERA PËR OPERATORËT E PLATFORMËS</w:t>
            </w:r>
          </w:p>
          <w:p w14:paraId="18E6F7F4" w14:textId="77777777" w:rsidR="00080E02" w:rsidRPr="001725D0" w:rsidRDefault="00080E02" w:rsidP="00080E02">
            <w:pPr>
              <w:jc w:val="both"/>
              <w:rPr>
                <w:rFonts w:ascii="Times New Roman" w:eastAsia="Calibri" w:hAnsi="Times New Roman" w:cs="Times New Roman"/>
                <w:iCs/>
                <w:sz w:val="18"/>
                <w:szCs w:val="18"/>
                <w:lang w:val="en-US"/>
              </w:rPr>
            </w:pPr>
          </w:p>
          <w:p w14:paraId="6FC31358" w14:textId="77777777"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Ky Shtojcë përcakton procedurat e kujdesit të duhur, kërkesat e raportimit dhe rregullat e tjera që do të zbatohen nga Operatorët e Platformës Raportuese në mënyrë që Shtetet Anëtare të mundësojnë komunikimin, me anë të shkëmbimit automatik, të informacionit të përmendur në Nenin 8ac të kësaj Direktive.</w:t>
            </w:r>
          </w:p>
          <w:p w14:paraId="29CA10A7" w14:textId="77777777" w:rsidR="00080E02" w:rsidRPr="001725D0" w:rsidRDefault="00080E02" w:rsidP="00080E02">
            <w:pPr>
              <w:jc w:val="both"/>
              <w:rPr>
                <w:rFonts w:ascii="Times New Roman" w:eastAsia="Calibri" w:hAnsi="Times New Roman" w:cs="Times New Roman"/>
                <w:iCs/>
                <w:sz w:val="18"/>
                <w:szCs w:val="18"/>
                <w:lang w:val="en-US"/>
              </w:rPr>
            </w:pPr>
          </w:p>
          <w:p w14:paraId="220711C7" w14:textId="47EDAFE8" w:rsidR="00080E02" w:rsidRPr="001725D0" w:rsidRDefault="00080E02" w:rsidP="00080E0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Ky Aneks përcakton gjithashtu rregullat dhe procedurat administrative që Shtetet Anëtare duhet të kenë në fuqi për të siguruar zbatimin efektiv dhe pajtueshmërinë me procedurat e kujdesit të duhur dhe kërkesat e raportimit të përcaktuara në të.</w:t>
            </w:r>
          </w:p>
        </w:tc>
        <w:tc>
          <w:tcPr>
            <w:tcW w:w="540" w:type="dxa"/>
          </w:tcPr>
          <w:p w14:paraId="0441BFF6" w14:textId="77777777" w:rsidR="00080E02" w:rsidRPr="00036F88" w:rsidRDefault="00080E02" w:rsidP="003C045B">
            <w:pPr>
              <w:jc w:val="center"/>
              <w:rPr>
                <w:rFonts w:ascii="Times New Roman" w:eastAsia="Calibri" w:hAnsi="Times New Roman" w:cs="Times New Roman"/>
                <w:sz w:val="18"/>
                <w:szCs w:val="18"/>
                <w:highlight w:val="cyan"/>
              </w:rPr>
            </w:pPr>
          </w:p>
        </w:tc>
        <w:tc>
          <w:tcPr>
            <w:tcW w:w="554" w:type="dxa"/>
          </w:tcPr>
          <w:p w14:paraId="696DEA7A" w14:textId="732D1CC2" w:rsidR="00080E0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Nga neni 2 deir ne nenin 17</w:t>
            </w:r>
          </w:p>
        </w:tc>
        <w:tc>
          <w:tcPr>
            <w:tcW w:w="5040" w:type="dxa"/>
          </w:tcPr>
          <w:p w14:paraId="2FC7E141" w14:textId="77777777" w:rsidR="00080E02" w:rsidRDefault="00080E02" w:rsidP="00080E02">
            <w:pPr>
              <w:jc w:val="center"/>
              <w:rPr>
                <w:rFonts w:ascii="Times New Roman" w:hAnsi="Times New Roman" w:cs="Times New Roman"/>
                <w:sz w:val="18"/>
                <w:szCs w:val="18"/>
              </w:rPr>
            </w:pPr>
          </w:p>
          <w:p w14:paraId="38C9274F" w14:textId="1C4C222D" w:rsidR="00080E02" w:rsidRPr="00FE09EE" w:rsidRDefault="00080E02" w:rsidP="00080E02">
            <w:pPr>
              <w:jc w:val="center"/>
              <w:rPr>
                <w:rFonts w:ascii="Times New Roman" w:hAnsi="Times New Roman" w:cs="Times New Roman"/>
                <w:sz w:val="18"/>
                <w:szCs w:val="18"/>
              </w:rPr>
            </w:pPr>
            <w:r w:rsidRPr="00080E02">
              <w:rPr>
                <w:rFonts w:ascii="Times New Roman" w:hAnsi="Times New Roman" w:cs="Times New Roman"/>
                <w:sz w:val="18"/>
                <w:szCs w:val="18"/>
              </w:rPr>
              <w:t>“Nenet 2–17 të Projektligjit”</w:t>
            </w:r>
          </w:p>
        </w:tc>
        <w:tc>
          <w:tcPr>
            <w:tcW w:w="720" w:type="dxa"/>
          </w:tcPr>
          <w:p w14:paraId="17F5C523" w14:textId="62F24D4E" w:rsidR="00080E02"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34EE10C9" w14:textId="77777777" w:rsidR="004E0D2B" w:rsidRPr="004E0D2B" w:rsidRDefault="004E0D2B" w:rsidP="004E0D2B">
            <w:pPr>
              <w:rPr>
                <w:rFonts w:ascii="Times New Roman" w:eastAsia="Calibri" w:hAnsi="Times New Roman" w:cs="Times New Roman"/>
                <w:sz w:val="18"/>
                <w:szCs w:val="18"/>
              </w:rPr>
            </w:pPr>
          </w:p>
          <w:p w14:paraId="4A989579" w14:textId="4C2C84DF" w:rsidR="00080E02" w:rsidRPr="00080E02" w:rsidRDefault="004E0D2B" w:rsidP="004E0D2B">
            <w:pPr>
              <w:rPr>
                <w:rFonts w:ascii="Times New Roman" w:eastAsia="Calibri" w:hAnsi="Times New Roman" w:cs="Times New Roman"/>
                <w:sz w:val="18"/>
                <w:szCs w:val="18"/>
              </w:rPr>
            </w:pPr>
            <w:r w:rsidRPr="004E0D2B">
              <w:rPr>
                <w:rFonts w:ascii="Times New Roman" w:eastAsia="Calibri" w:hAnsi="Times New Roman" w:cs="Times New Roman"/>
                <w:sz w:val="18"/>
                <w:szCs w:val="18"/>
              </w:rPr>
              <w:t>Këto kërkesa zbatohen në të gjithë Projektligjin, i cili i kushtohet tërësisht transpozimit të Shtojcës V.</w:t>
            </w:r>
          </w:p>
        </w:tc>
      </w:tr>
      <w:tr w:rsidR="00F11DDC" w:rsidRPr="00036F88" w14:paraId="3C8948EF" w14:textId="77777777" w:rsidTr="007C321D">
        <w:trPr>
          <w:trHeight w:val="854"/>
        </w:trPr>
        <w:tc>
          <w:tcPr>
            <w:tcW w:w="630" w:type="dxa"/>
          </w:tcPr>
          <w:p w14:paraId="498A0570" w14:textId="77777777" w:rsidR="00F11DDC" w:rsidRPr="00036F88" w:rsidRDefault="00F11DDC" w:rsidP="00AF6E05">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72C15102" w14:textId="77777777" w:rsidR="00F11DDC" w:rsidRPr="00F11DDC" w:rsidRDefault="00F11DDC" w:rsidP="00F11DDC">
            <w:pPr>
              <w:jc w:val="both"/>
              <w:rPr>
                <w:rFonts w:ascii="Times New Roman" w:eastAsia="Calibri" w:hAnsi="Times New Roman" w:cs="Times New Roman"/>
                <w:iCs/>
                <w:sz w:val="18"/>
                <w:szCs w:val="18"/>
                <w:lang w:val="en-US"/>
              </w:rPr>
            </w:pPr>
            <w:r w:rsidRPr="00F11DDC">
              <w:rPr>
                <w:rFonts w:ascii="Times New Roman" w:eastAsia="Calibri" w:hAnsi="Times New Roman" w:cs="Times New Roman"/>
                <w:iCs/>
                <w:sz w:val="18"/>
                <w:szCs w:val="18"/>
                <w:lang w:val="en-US"/>
              </w:rPr>
              <w:t>SEKSIONI I</w:t>
            </w:r>
          </w:p>
          <w:p w14:paraId="7D4D9CC7" w14:textId="77777777" w:rsidR="00F11DDC" w:rsidRPr="00F11DDC" w:rsidRDefault="00F11DDC" w:rsidP="00F11DDC">
            <w:pPr>
              <w:jc w:val="both"/>
              <w:rPr>
                <w:rFonts w:ascii="Times New Roman" w:eastAsia="Calibri" w:hAnsi="Times New Roman" w:cs="Times New Roman"/>
                <w:iCs/>
                <w:sz w:val="18"/>
                <w:szCs w:val="18"/>
                <w:lang w:val="en-US"/>
              </w:rPr>
            </w:pPr>
            <w:r w:rsidRPr="00F11DDC">
              <w:rPr>
                <w:rFonts w:ascii="Times New Roman" w:eastAsia="Calibri" w:hAnsi="Times New Roman" w:cs="Times New Roman"/>
                <w:iCs/>
                <w:sz w:val="18"/>
                <w:szCs w:val="18"/>
                <w:lang w:val="en-US"/>
              </w:rPr>
              <w:t>TERMA TË PËRCAKTUARA</w:t>
            </w:r>
          </w:p>
          <w:p w14:paraId="50C742E9" w14:textId="25848398" w:rsidR="00F11DDC" w:rsidRPr="00036F88" w:rsidRDefault="00F11DDC" w:rsidP="00F11DDC">
            <w:pPr>
              <w:jc w:val="both"/>
              <w:rPr>
                <w:rFonts w:ascii="Times New Roman" w:eastAsia="Calibri" w:hAnsi="Times New Roman" w:cs="Times New Roman"/>
                <w:iCs/>
                <w:sz w:val="18"/>
                <w:szCs w:val="18"/>
                <w:lang w:val="en-US"/>
              </w:rPr>
            </w:pPr>
            <w:r w:rsidRPr="00F11DDC">
              <w:rPr>
                <w:rFonts w:ascii="Times New Roman" w:eastAsia="Calibri" w:hAnsi="Times New Roman" w:cs="Times New Roman"/>
                <w:iCs/>
                <w:sz w:val="18"/>
                <w:szCs w:val="18"/>
                <w:lang w:val="en-US"/>
              </w:rPr>
              <w:t>Termat e mëposhtëm kanë kuptimin e përcaktuar më poshtë:</w:t>
            </w:r>
          </w:p>
        </w:tc>
        <w:tc>
          <w:tcPr>
            <w:tcW w:w="540" w:type="dxa"/>
            <w:shd w:val="clear" w:color="auto" w:fill="D0CECE" w:themeFill="background2" w:themeFillShade="E6"/>
          </w:tcPr>
          <w:p w14:paraId="075ECCCC" w14:textId="77777777" w:rsidR="00F11DDC" w:rsidRPr="00036F88" w:rsidRDefault="00F11DDC"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5AE37404" w14:textId="77777777" w:rsidR="00F11DDC" w:rsidRPr="00036F88" w:rsidRDefault="00F11DDC"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2E6A959" w14:textId="77777777" w:rsidR="00F11DDC" w:rsidRPr="00036F88" w:rsidRDefault="00F11DDC" w:rsidP="00AF6E05">
            <w:pPr>
              <w:jc w:val="center"/>
              <w:rPr>
                <w:rFonts w:ascii="Times New Roman" w:eastAsia="Calibri" w:hAnsi="Times New Roman" w:cs="Times New Roman"/>
                <w:sz w:val="18"/>
                <w:szCs w:val="18"/>
                <w:lang w:val="en-US"/>
              </w:rPr>
            </w:pPr>
          </w:p>
        </w:tc>
        <w:tc>
          <w:tcPr>
            <w:tcW w:w="720" w:type="dxa"/>
            <w:shd w:val="clear" w:color="auto" w:fill="D0CECE" w:themeFill="background2" w:themeFillShade="E6"/>
          </w:tcPr>
          <w:p w14:paraId="45FBAAC0" w14:textId="77777777" w:rsidR="00F11DDC" w:rsidRPr="00036F88" w:rsidRDefault="00F11DDC"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62D26569" w14:textId="77777777" w:rsidR="00F11DDC" w:rsidRPr="00036F88" w:rsidRDefault="00F11DDC" w:rsidP="00AF6E05">
            <w:pPr>
              <w:rPr>
                <w:rFonts w:ascii="Times New Roman" w:eastAsia="Calibri" w:hAnsi="Times New Roman" w:cs="Times New Roman"/>
                <w:sz w:val="18"/>
                <w:szCs w:val="18"/>
                <w:lang w:val="en-US"/>
              </w:rPr>
            </w:pPr>
          </w:p>
        </w:tc>
      </w:tr>
      <w:tr w:rsidR="00080E02" w:rsidRPr="00036F88" w14:paraId="69140D85" w14:textId="77777777" w:rsidTr="007C321D">
        <w:trPr>
          <w:trHeight w:val="2204"/>
        </w:trPr>
        <w:tc>
          <w:tcPr>
            <w:tcW w:w="630" w:type="dxa"/>
          </w:tcPr>
          <w:p w14:paraId="46D55F9A" w14:textId="77777777" w:rsidR="00080E02" w:rsidRPr="00036F88" w:rsidRDefault="00080E02" w:rsidP="003C045B">
            <w:pPr>
              <w:jc w:val="both"/>
              <w:rPr>
                <w:rFonts w:ascii="Times New Roman" w:eastAsia="Calibri" w:hAnsi="Times New Roman" w:cs="Times New Roman"/>
                <w:sz w:val="18"/>
                <w:szCs w:val="18"/>
              </w:rPr>
            </w:pPr>
          </w:p>
        </w:tc>
        <w:tc>
          <w:tcPr>
            <w:tcW w:w="5400" w:type="dxa"/>
          </w:tcPr>
          <w:p w14:paraId="230DAF59" w14:textId="77777777"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"Platformë" do të thotë çdo program kompjuterik, duke përfshirë një faqe interneti ose një pjesë të saj dhe aplikacione, duke përfshirë aplikacionet mobile, të arritshme nga përdoruesit dhe që u lejon Shitësve të lidhen me përdorues të tjerë me qëllim kryerjen e një Aktiviteti Përkatës, drejtpërdrejt ose tërthorazi, për përdorues të tillë. Gjithashtu përfshin çdo marrëveshje për mbledhjen dhe pagesën e një Shpërblimi në lidhje me Aktivitetin Përkatës.</w:t>
            </w:r>
          </w:p>
          <w:p w14:paraId="5F0CA533" w14:textId="77777777" w:rsidR="00F11DDC" w:rsidRPr="001725D0" w:rsidRDefault="00F11DDC" w:rsidP="00F11DDC">
            <w:pPr>
              <w:jc w:val="both"/>
              <w:rPr>
                <w:rFonts w:ascii="Times New Roman" w:eastAsia="Calibri" w:hAnsi="Times New Roman" w:cs="Times New Roman"/>
                <w:iCs/>
                <w:sz w:val="18"/>
                <w:szCs w:val="18"/>
                <w:lang w:val="en-US"/>
              </w:rPr>
            </w:pPr>
          </w:p>
          <w:p w14:paraId="02C17270" w14:textId="032A7464" w:rsidR="00080E02"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Termi "Platformë" nuk përfshin softuer që pa ndonjë ndërhyrje të mëtejshme në kryerjen e një Aktiviteti Përkatës lejon ekskluzivisht ndonjë nga sa vijon: (a) përpunimin e pagesave në lidhje me Aktivitetin Përkatës; (b) përdoruesit të listojnë ose reklamojnë një Aktivitet Përkatës; (c) ridrejtimin ose transferimin e përdoruesve në një Platformë.</w:t>
            </w:r>
          </w:p>
        </w:tc>
        <w:tc>
          <w:tcPr>
            <w:tcW w:w="540" w:type="dxa"/>
          </w:tcPr>
          <w:p w14:paraId="524FDDD8" w14:textId="77777777" w:rsidR="00080E02" w:rsidRPr="00036F88" w:rsidRDefault="00080E02" w:rsidP="003C045B">
            <w:pPr>
              <w:jc w:val="center"/>
              <w:rPr>
                <w:rFonts w:ascii="Times New Roman" w:eastAsia="Calibri" w:hAnsi="Times New Roman" w:cs="Times New Roman"/>
                <w:sz w:val="18"/>
                <w:szCs w:val="18"/>
                <w:highlight w:val="cyan"/>
              </w:rPr>
            </w:pPr>
          </w:p>
        </w:tc>
        <w:tc>
          <w:tcPr>
            <w:tcW w:w="554" w:type="dxa"/>
          </w:tcPr>
          <w:p w14:paraId="5CFE9949" w14:textId="0FB82881" w:rsidR="00080E0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 2</w:t>
            </w:r>
          </w:p>
        </w:tc>
        <w:tc>
          <w:tcPr>
            <w:tcW w:w="5040" w:type="dxa"/>
          </w:tcPr>
          <w:p w14:paraId="728922CD" w14:textId="77777777" w:rsidR="005331A6" w:rsidRPr="005331A6" w:rsidRDefault="005331A6" w:rsidP="005331A6">
            <w:pPr>
              <w:jc w:val="both"/>
              <w:rPr>
                <w:rFonts w:ascii="Times New Roman" w:hAnsi="Times New Roman" w:cs="Times New Roman"/>
                <w:sz w:val="18"/>
                <w:szCs w:val="18"/>
              </w:rPr>
            </w:pPr>
            <w:r w:rsidRPr="005331A6">
              <w:rPr>
                <w:rFonts w:ascii="Times New Roman" w:hAnsi="Times New Roman" w:cs="Times New Roman"/>
                <w:sz w:val="18"/>
                <w:szCs w:val="18"/>
              </w:rPr>
              <w:t>Për qëllimet e këtij Ligji, termat e mëposhtëm kanë kuptimet e mëposhtme:</w:t>
            </w:r>
          </w:p>
          <w:p w14:paraId="2B83BB9A" w14:textId="77777777" w:rsidR="00EF43AB" w:rsidRDefault="00EF43AB" w:rsidP="00EF43AB">
            <w:pPr>
              <w:spacing w:line="276" w:lineRule="auto"/>
              <w:jc w:val="both"/>
              <w:rPr>
                <w:rFonts w:ascii="Times New Roman" w:hAnsi="Times New Roman" w:cs="Times New Roman"/>
                <w:sz w:val="18"/>
                <w:szCs w:val="18"/>
              </w:rPr>
            </w:pPr>
          </w:p>
          <w:p w14:paraId="26F8D497" w14:textId="09AF7763"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 xml:space="preserve"> a) “Platformë” është çdo softuer i aksesueshëm nga përdoruesit, përfshirë faqet e internetit, pjesët përkatëse të tyre dhe aplikacionet, përfshirë ato mobile, që u mundëson shitësve të lidhen me përdorues të tjerë, drejtpërdrejt ose tërthorazi, me qëllim kryerjen e një aktiviteti të raportueshëm.</w:t>
            </w:r>
          </w:p>
          <w:p w14:paraId="33006213"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 xml:space="preserve">Për qëllimet e këtij ligji, në këtë përkufizim përfshihet edhe çdo mekanizëm i integruar në platformë që mundëson mbledhjen ose pagesën e shpërblimit në lidhje me aktivitetin e  raportueshëm. </w:t>
            </w:r>
          </w:p>
          <w:p w14:paraId="30BF35BD"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Nuk përfshihen softuerët që, pa ndërhyrje të mëtejshme për kryerjen e aktivitetit të raportueshëm, kryejnë vetëm njërën nga veprimtaritë e mëposhtme:</w:t>
            </w:r>
          </w:p>
          <w:p w14:paraId="327D6E66"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përpunimin e pagesave;</w:t>
            </w:r>
          </w:p>
          <w:p w14:paraId="110117A0"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 katalogimin ose reklamimin e aktivitetit;</w:t>
            </w:r>
          </w:p>
          <w:p w14:paraId="2E4B72FE" w14:textId="71F3FD0F" w:rsidR="00080E02"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iii. ridrejtimin ose transferimin e përdoruesve drejt një platforme tjetër.</w:t>
            </w:r>
          </w:p>
        </w:tc>
        <w:tc>
          <w:tcPr>
            <w:tcW w:w="720" w:type="dxa"/>
          </w:tcPr>
          <w:p w14:paraId="1F873C36" w14:textId="0BD89872" w:rsidR="00080E02"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221DB777" w14:textId="77777777" w:rsidR="00080E02" w:rsidRPr="00080E02" w:rsidRDefault="00080E02" w:rsidP="00E16BA5">
            <w:pPr>
              <w:rPr>
                <w:rFonts w:ascii="Times New Roman" w:eastAsia="Calibri" w:hAnsi="Times New Roman" w:cs="Times New Roman"/>
                <w:sz w:val="18"/>
                <w:szCs w:val="18"/>
              </w:rPr>
            </w:pPr>
          </w:p>
        </w:tc>
      </w:tr>
      <w:tr w:rsidR="00F11DDC" w:rsidRPr="00036F88" w14:paraId="67D07670" w14:textId="77777777" w:rsidTr="007C321D">
        <w:trPr>
          <w:trHeight w:val="2204"/>
        </w:trPr>
        <w:tc>
          <w:tcPr>
            <w:tcW w:w="630" w:type="dxa"/>
          </w:tcPr>
          <w:p w14:paraId="64BD27CC"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7AC972C" w14:textId="401B98AE"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"Operator Platforme" do të thotë një Entitet që lidh kontratë me Shitësit për t'ua vënë në dispozicion të gjithë ose një pjesë të një Platforme këtyre Shitësve.</w:t>
            </w:r>
          </w:p>
        </w:tc>
        <w:tc>
          <w:tcPr>
            <w:tcW w:w="540" w:type="dxa"/>
          </w:tcPr>
          <w:p w14:paraId="43305990"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30E8B657" w14:textId="637C263A"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2 </w:t>
            </w:r>
          </w:p>
        </w:tc>
        <w:tc>
          <w:tcPr>
            <w:tcW w:w="5040" w:type="dxa"/>
          </w:tcPr>
          <w:p w14:paraId="6A89EE63" w14:textId="77777777" w:rsidR="00EF43AB" w:rsidRPr="00EF43AB" w:rsidRDefault="00EF43AB" w:rsidP="00EF43AB">
            <w:pPr>
              <w:jc w:val="both"/>
              <w:rPr>
                <w:rFonts w:ascii="Times New Roman" w:hAnsi="Times New Roman" w:cs="Times New Roman"/>
                <w:sz w:val="18"/>
                <w:szCs w:val="18"/>
              </w:rPr>
            </w:pPr>
            <w:r w:rsidRPr="00EF43AB">
              <w:rPr>
                <w:rFonts w:ascii="Times New Roman" w:hAnsi="Times New Roman" w:cs="Times New Roman"/>
                <w:sz w:val="18"/>
                <w:szCs w:val="18"/>
              </w:rPr>
              <w:t>b) “Operator i platformës” është një entitet që lidh kontratë me shitësit për t’u vënë në dispozicion këtyre të fundit të gjithë ose një pjesë të platformës.</w:t>
            </w:r>
          </w:p>
          <w:p w14:paraId="488B3FCE" w14:textId="77777777" w:rsidR="00EF43AB" w:rsidRPr="00EF43AB" w:rsidRDefault="00EF43AB" w:rsidP="00EF43AB">
            <w:pPr>
              <w:jc w:val="both"/>
              <w:rPr>
                <w:rFonts w:ascii="Times New Roman" w:hAnsi="Times New Roman" w:cs="Times New Roman"/>
                <w:sz w:val="18"/>
                <w:szCs w:val="18"/>
              </w:rPr>
            </w:pPr>
            <w:r w:rsidRPr="00EF43AB">
              <w:rPr>
                <w:rFonts w:ascii="Times New Roman" w:hAnsi="Times New Roman" w:cs="Times New Roman"/>
                <w:sz w:val="18"/>
                <w:szCs w:val="18"/>
              </w:rPr>
              <w:t>Në rastet kur një platformë përmban funksione të përziera, çdo funksionalitet që mbështet një aktivitet të raportueshëm konsiderohet pjesë e platformës, sipas këtij ligji.</w:t>
            </w:r>
          </w:p>
          <w:p w14:paraId="1C33248E" w14:textId="54482BFD" w:rsidR="00EF43AB" w:rsidRPr="00F11DDC" w:rsidRDefault="00EF43AB" w:rsidP="00EF43AB">
            <w:pPr>
              <w:jc w:val="both"/>
              <w:rPr>
                <w:rFonts w:ascii="Times New Roman" w:hAnsi="Times New Roman" w:cs="Times New Roman"/>
                <w:sz w:val="18"/>
                <w:szCs w:val="18"/>
              </w:rPr>
            </w:pPr>
          </w:p>
          <w:p w14:paraId="6AA7F6F4" w14:textId="77C0C3FB" w:rsidR="00F11DDC" w:rsidRPr="00F11DDC" w:rsidRDefault="00F11DDC" w:rsidP="005331A6">
            <w:pPr>
              <w:jc w:val="both"/>
              <w:rPr>
                <w:rFonts w:ascii="Times New Roman" w:hAnsi="Times New Roman" w:cs="Times New Roman"/>
                <w:sz w:val="18"/>
                <w:szCs w:val="18"/>
              </w:rPr>
            </w:pPr>
          </w:p>
        </w:tc>
        <w:tc>
          <w:tcPr>
            <w:tcW w:w="720" w:type="dxa"/>
          </w:tcPr>
          <w:p w14:paraId="48B9D631" w14:textId="78B94E0F"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C5AF0B1" w14:textId="77777777" w:rsidR="00F11DDC" w:rsidRPr="00080E02" w:rsidRDefault="00F11DDC" w:rsidP="00E16BA5">
            <w:pPr>
              <w:rPr>
                <w:rFonts w:ascii="Times New Roman" w:eastAsia="Calibri" w:hAnsi="Times New Roman" w:cs="Times New Roman"/>
                <w:sz w:val="18"/>
                <w:szCs w:val="18"/>
              </w:rPr>
            </w:pPr>
          </w:p>
        </w:tc>
      </w:tr>
      <w:tr w:rsidR="00F11DDC" w:rsidRPr="00036F88" w14:paraId="5BB58EFE" w14:textId="77777777" w:rsidTr="007C321D">
        <w:trPr>
          <w:trHeight w:val="2204"/>
        </w:trPr>
        <w:tc>
          <w:tcPr>
            <w:tcW w:w="630" w:type="dxa"/>
          </w:tcPr>
          <w:p w14:paraId="05DFE67D"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7999FF21" w14:textId="3340BDD7"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"Operator i Platformës së Përjashtuar" do të thotë një Operator Platforme i cili ka demonstruar paraprakisht dhe në bazë vjetore në përputhje me autoritetin kompetent të Shtetit Anëtar, të cilit, në përputhje me rregullat e përcaktuara në nënparagrafët A(1) deri në A(3) të Seksionit III, Operatori i Platformës përndryshe do t'i ishte dashur të raportonte se i gjithë modeli i biznesit të Platformës është i tillë që nuk ka Shitës të Raportueshëm.</w:t>
            </w:r>
          </w:p>
        </w:tc>
        <w:tc>
          <w:tcPr>
            <w:tcW w:w="540" w:type="dxa"/>
          </w:tcPr>
          <w:p w14:paraId="23DD9E42"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080D1AD4" w14:textId="3D4E7208"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 2</w:t>
            </w:r>
            <w:r w:rsidR="008C3267" w:rsidRPr="006E4603">
              <w:rPr>
                <w:rFonts w:ascii="Times New Roman" w:eastAsia="Calibri" w:hAnsi="Times New Roman" w:cs="Times New Roman"/>
                <w:sz w:val="18"/>
                <w:szCs w:val="18"/>
              </w:rPr>
              <w:t xml:space="preserve"> </w:t>
            </w:r>
          </w:p>
        </w:tc>
        <w:tc>
          <w:tcPr>
            <w:tcW w:w="5040" w:type="dxa"/>
          </w:tcPr>
          <w:p w14:paraId="6DC7DAA2" w14:textId="35FB62FE" w:rsidR="00EF43AB" w:rsidRPr="00F11DDC" w:rsidRDefault="00EF43AB" w:rsidP="00EF43AB">
            <w:pPr>
              <w:jc w:val="both"/>
              <w:rPr>
                <w:rFonts w:ascii="Times New Roman" w:hAnsi="Times New Roman" w:cs="Times New Roman"/>
                <w:sz w:val="18"/>
                <w:szCs w:val="18"/>
              </w:rPr>
            </w:pPr>
          </w:p>
          <w:p w14:paraId="79CAEA1D" w14:textId="46567421" w:rsidR="00F11DDC" w:rsidRPr="00F11DDC" w:rsidRDefault="00EF43AB" w:rsidP="005331A6">
            <w:pPr>
              <w:jc w:val="both"/>
              <w:rPr>
                <w:rFonts w:ascii="Times New Roman" w:hAnsi="Times New Roman" w:cs="Times New Roman"/>
                <w:sz w:val="18"/>
                <w:szCs w:val="18"/>
              </w:rPr>
            </w:pPr>
            <w:r w:rsidRPr="00EF43AB">
              <w:rPr>
                <w:rFonts w:ascii="Times New Roman" w:hAnsi="Times New Roman" w:cs="Times New Roman"/>
                <w:sz w:val="18"/>
                <w:szCs w:val="18"/>
              </w:rPr>
              <w:t>c) “Operator i platformës i përjashtuar” është një operator i platformës i cili, provon paraprakisht dhe në baza vjetore, se i gjithë modeli i tij i biznesit është i tillë që nuk ka shitës të raportueshëm.</w:t>
            </w:r>
          </w:p>
        </w:tc>
        <w:tc>
          <w:tcPr>
            <w:tcW w:w="720" w:type="dxa"/>
          </w:tcPr>
          <w:p w14:paraId="78845617" w14:textId="77F48D42"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7E79E6E" w14:textId="77777777" w:rsidR="00F11DDC" w:rsidRPr="00080E02" w:rsidRDefault="00F11DDC" w:rsidP="00E16BA5">
            <w:pPr>
              <w:rPr>
                <w:rFonts w:ascii="Times New Roman" w:eastAsia="Calibri" w:hAnsi="Times New Roman" w:cs="Times New Roman"/>
                <w:sz w:val="18"/>
                <w:szCs w:val="18"/>
              </w:rPr>
            </w:pPr>
          </w:p>
        </w:tc>
      </w:tr>
      <w:tr w:rsidR="00F11DDC" w:rsidRPr="00036F88" w14:paraId="2BE8D685" w14:textId="77777777" w:rsidTr="007C321D">
        <w:trPr>
          <w:trHeight w:val="2204"/>
        </w:trPr>
        <w:tc>
          <w:tcPr>
            <w:tcW w:w="630" w:type="dxa"/>
          </w:tcPr>
          <w:p w14:paraId="260F0D40"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70FCE5F" w14:textId="77777777"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"Operator i Platformës Raportuese" do të thotë çdo Operator Platforme, përveç një Operatori të Platformës së Përjashtuar, i cili ndodhet në njërën nga situatat e mëposhtme:</w:t>
            </w:r>
          </w:p>
          <w:p w14:paraId="446CE04A" w14:textId="77777777" w:rsidR="00F11DDC" w:rsidRPr="001725D0" w:rsidRDefault="00F11DDC" w:rsidP="00F11DDC">
            <w:pPr>
              <w:jc w:val="both"/>
              <w:rPr>
                <w:rFonts w:ascii="Times New Roman" w:eastAsia="Calibri" w:hAnsi="Times New Roman" w:cs="Times New Roman"/>
                <w:iCs/>
                <w:sz w:val="18"/>
                <w:szCs w:val="18"/>
                <w:lang w:val="en-US"/>
              </w:rPr>
            </w:pPr>
          </w:p>
          <w:p w14:paraId="1FE53F31" w14:textId="77777777"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 është rezident për qëllime tatimore në një Shtet Anëtar ose, kur një Operator i tillë Platforme nuk ka rezidencë për qëllime tatimore në një Shtet Anëtar, ai përmbush ndonjë nga kushtet e mëposhtme: (i) është themeluar sipas ligjeve të një Shteti Anëtar; (ii) ka vendin e tij të menaxhimit (përfshirë menaxhimin efektiv) në një Shtet Anëtar; (iii) ka një seli të përhershme në një Shtet Anëtar dhe nuk është një Operator Platforme i Kualifikuar Jo-Bashkimi;</w:t>
            </w:r>
          </w:p>
          <w:p w14:paraId="38B5F924" w14:textId="77777777" w:rsidR="00F11DDC" w:rsidRPr="001725D0" w:rsidRDefault="00F11DDC" w:rsidP="00F11DDC">
            <w:pPr>
              <w:jc w:val="both"/>
              <w:rPr>
                <w:rFonts w:ascii="Times New Roman" w:eastAsia="Calibri" w:hAnsi="Times New Roman" w:cs="Times New Roman"/>
                <w:iCs/>
                <w:sz w:val="18"/>
                <w:szCs w:val="18"/>
                <w:lang w:val="en-US"/>
              </w:rPr>
            </w:pPr>
          </w:p>
          <w:p w14:paraId="2A7C1B7B" w14:textId="3823B8B7"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(b) nuk është as rezident për qëllime tatimore, as i themeluar ose i menaxhuar në një Shtet Anëtar, as nuk ka një seli të përhershme në një Shtet Anëtar, por lehtëson kryerjen e një Aktiviteti Përkatës nga Shitësit e Raportueshëm ose një Aktiviteti Përkatës që përfshin dhënien me qira të pasurisë së paluajtshme të vendosur në një Shtet Anëtar dhe nuk është një Operator Platforme i Kualifikuar Jo-Bashkimi.</w:t>
            </w:r>
          </w:p>
        </w:tc>
        <w:tc>
          <w:tcPr>
            <w:tcW w:w="540" w:type="dxa"/>
          </w:tcPr>
          <w:p w14:paraId="7636FF3E"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36EAEB41" w14:textId="6E3B6535"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 2</w:t>
            </w:r>
            <w:r w:rsidR="008C3267" w:rsidRPr="006E4603">
              <w:rPr>
                <w:rFonts w:ascii="Times New Roman" w:eastAsia="Calibri" w:hAnsi="Times New Roman" w:cs="Times New Roman"/>
                <w:sz w:val="18"/>
                <w:szCs w:val="18"/>
              </w:rPr>
              <w:t xml:space="preserve"> </w:t>
            </w:r>
          </w:p>
        </w:tc>
        <w:tc>
          <w:tcPr>
            <w:tcW w:w="5040" w:type="dxa"/>
          </w:tcPr>
          <w:p w14:paraId="50592F26"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ç) “Operator raportues i platformës” është çdo operator i platformës, i ndryshëm nga ai i përjashtuar, që ndodhet në një nga situatat e mëposhtme:</w:t>
            </w:r>
          </w:p>
          <w:p w14:paraId="0872ADC8"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1. Operator rezident për qëllime tatimore në Republikën e Shqipërisë ose në një Shtet Anëtar, në mungesë të rezidencës tatimore, që përmbush njërën nga kushtet e mëposhtme:</w:t>
            </w:r>
          </w:p>
          <w:p w14:paraId="3281977E"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është themeluar sipas ligjit shqiptar;</w:t>
            </w:r>
          </w:p>
          <w:p w14:paraId="309D7B57"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 ka vendin e tij të menaxhimit dhe qendrën efektive të drejtimit në Shqipëri ose në një Shtet Anëtar;</w:t>
            </w:r>
          </w:p>
          <w:p w14:paraId="249185C9"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 xml:space="preserve">iii. ka një seli të përhershme në Shqipëri ose në një Shtet Anëtar dhe nuk është operator i platformës i kualifikuar jo-BE. </w:t>
            </w:r>
          </w:p>
          <w:p w14:paraId="7DC626F0" w14:textId="77777777" w:rsidR="00EF43AB" w:rsidRPr="00EF43AB" w:rsidRDefault="00EF43AB" w:rsidP="00EF43AB">
            <w:pPr>
              <w:spacing w:line="276" w:lineRule="auto"/>
              <w:jc w:val="both"/>
              <w:rPr>
                <w:rFonts w:ascii="Times New Roman" w:hAnsi="Times New Roman" w:cs="Times New Roman"/>
                <w:sz w:val="18"/>
                <w:szCs w:val="18"/>
              </w:rPr>
            </w:pPr>
          </w:p>
          <w:p w14:paraId="454301FD" w14:textId="35D0CADC" w:rsidR="00EF43AB" w:rsidRPr="00F11DDC"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2. Operator që nuk është rezident, nuk është i themeluar ose i menaxhuar në Shqipëri ose në një Shtet Anëtar, dhe që nuk është operator i platformës i kualifikuar jo-BE, as nuk ka një seli të përhershme në një Shtet Anëtar, por lehtëson kryerjen e aktiviteteve të raportueshme nga shitës, përfshirë rastet që lidhen me dhënien me qira të pasurive të paluajtshme në territorin e Republikës së Shqipërisë.</w:t>
            </w:r>
          </w:p>
          <w:p w14:paraId="6D4FEEA8" w14:textId="05797B65" w:rsidR="00F11DDC" w:rsidRPr="00F11DDC" w:rsidRDefault="00F11DDC" w:rsidP="005331A6">
            <w:pPr>
              <w:jc w:val="both"/>
              <w:rPr>
                <w:rFonts w:ascii="Times New Roman" w:hAnsi="Times New Roman" w:cs="Times New Roman"/>
                <w:sz w:val="18"/>
                <w:szCs w:val="18"/>
              </w:rPr>
            </w:pPr>
          </w:p>
        </w:tc>
        <w:tc>
          <w:tcPr>
            <w:tcW w:w="720" w:type="dxa"/>
          </w:tcPr>
          <w:p w14:paraId="2E839F44" w14:textId="7BDC07E5"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A81AD7A" w14:textId="77777777" w:rsidR="00F11DDC" w:rsidRPr="00080E02" w:rsidRDefault="00F11DDC" w:rsidP="00E16BA5">
            <w:pPr>
              <w:rPr>
                <w:rFonts w:ascii="Times New Roman" w:eastAsia="Calibri" w:hAnsi="Times New Roman" w:cs="Times New Roman"/>
                <w:sz w:val="18"/>
                <w:szCs w:val="18"/>
              </w:rPr>
            </w:pPr>
          </w:p>
        </w:tc>
      </w:tr>
      <w:tr w:rsidR="00F11DDC" w:rsidRPr="00036F88" w14:paraId="4862D5F2" w14:textId="77777777" w:rsidTr="007C321D">
        <w:trPr>
          <w:trHeight w:val="2204"/>
        </w:trPr>
        <w:tc>
          <w:tcPr>
            <w:tcW w:w="630" w:type="dxa"/>
          </w:tcPr>
          <w:p w14:paraId="5E495E12"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3FAABB38" w14:textId="119B1048" w:rsidR="00F11DDC" w:rsidRPr="001725D0" w:rsidRDefault="00F11DDC"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5. "Operator Platforme i Kualifikuar Jo-Bashkimi" do të thotë një Operator Platforme për të cilin të gjitha Aktivitetet Relevante që ai lehtëson janë gjithashtu Aktivitete Relevante të Kualifikuara dhe që është rezident për qëllime tatimore në një Juridiksion të Kualifikuar Jo-Bashkimi ose, kur një Operator i tillë Platforme nuk ka një rezidencë për qëllime tatimore në një Juridiksion të Kualifikuar Jo-Bashkimi, ai përmbush ndonjë nga kushtet e mëposhtme: (a) është inkorporuar sipas ligjeve të një Juridiksioni të Kualifikuar Jo-Bashkimi; ose (b) ka vendin e tij të menaxhimit (përfshirë menaxhimin efektiv) në një Juridiksion të Kualifikuar Jo-Bashkimi.</w:t>
            </w:r>
          </w:p>
        </w:tc>
        <w:tc>
          <w:tcPr>
            <w:tcW w:w="540" w:type="dxa"/>
          </w:tcPr>
          <w:p w14:paraId="13DD35A7"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28600722" w14:textId="6B22C302"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 2</w:t>
            </w:r>
            <w:r w:rsidR="008C3267" w:rsidRPr="006E4603">
              <w:rPr>
                <w:rFonts w:ascii="Times New Roman" w:eastAsia="Calibri" w:hAnsi="Times New Roman" w:cs="Times New Roman"/>
                <w:sz w:val="18"/>
                <w:szCs w:val="18"/>
              </w:rPr>
              <w:t xml:space="preserve"> </w:t>
            </w:r>
          </w:p>
        </w:tc>
        <w:tc>
          <w:tcPr>
            <w:tcW w:w="5040" w:type="dxa"/>
          </w:tcPr>
          <w:p w14:paraId="5649205C"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 xml:space="preserve">d) “Operator i platformës i kualifikuar jo-BE” është operatori i platformës që lehtëson aktivitetet  e raportueshme të kualifikuara të përcaktuara në këtë ligj dhe që nuk ka rezidencë tatimore në një Shtet Anëtar, por që është rezident për qëllime tatimore në një juridiksion jo‑BE të kualifikuar,  ose që, në mungesë të rezidencës tatimore, përmbush një nga kushtet e mëposhtme: </w:t>
            </w:r>
          </w:p>
          <w:p w14:paraId="4E6B5BFD"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është inkorporuar sipas legjislacionit të një juridiksioni jo-BE i kualifikuar;</w:t>
            </w:r>
          </w:p>
          <w:p w14:paraId="2488EC75" w14:textId="07B4C857" w:rsidR="00EF43AB" w:rsidRPr="00F11DDC"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 ka vendin e tij të menaxhimit dhe qendrën efektive të drejtimit, në një juridiksion i kualifikuar jo-BE.</w:t>
            </w:r>
          </w:p>
          <w:p w14:paraId="06FE776D" w14:textId="77A68E4C" w:rsidR="00F11DDC" w:rsidRPr="00F11DDC" w:rsidRDefault="00F11DDC" w:rsidP="005331A6">
            <w:pPr>
              <w:jc w:val="both"/>
              <w:rPr>
                <w:rFonts w:ascii="Times New Roman" w:hAnsi="Times New Roman" w:cs="Times New Roman"/>
                <w:sz w:val="18"/>
                <w:szCs w:val="18"/>
              </w:rPr>
            </w:pPr>
          </w:p>
        </w:tc>
        <w:tc>
          <w:tcPr>
            <w:tcW w:w="720" w:type="dxa"/>
          </w:tcPr>
          <w:p w14:paraId="6B383C6E" w14:textId="5B72FE9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67732BC3" w14:textId="77777777" w:rsidR="00F11DDC" w:rsidRPr="00080E02" w:rsidRDefault="00F11DDC" w:rsidP="00E16BA5">
            <w:pPr>
              <w:rPr>
                <w:rFonts w:ascii="Times New Roman" w:eastAsia="Calibri" w:hAnsi="Times New Roman" w:cs="Times New Roman"/>
                <w:sz w:val="18"/>
                <w:szCs w:val="18"/>
              </w:rPr>
            </w:pPr>
          </w:p>
        </w:tc>
      </w:tr>
      <w:tr w:rsidR="00F11DDC" w:rsidRPr="00036F88" w14:paraId="1667F8DF" w14:textId="77777777" w:rsidTr="007C321D">
        <w:trPr>
          <w:trHeight w:val="2204"/>
        </w:trPr>
        <w:tc>
          <w:tcPr>
            <w:tcW w:w="630" w:type="dxa"/>
          </w:tcPr>
          <w:p w14:paraId="2127C901"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0E56FCBD" w14:textId="11177CC1" w:rsidR="00F11DDC"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6. "Jurisdiksion i Kualifikuar Jo-Bashkimi" do të thotë një juridiksion jo-Bashkimi që ka në fuqi një Marrëveshje të Autoritetit Kompetent Kualifikues Efektiv me autoritetet kompetente të të gjitha Shteteve Anëtare të cilat identifikohen si juridiksione të raportueshme në një listë të publikuar nga juridiksioni jo-Bashkimi.</w:t>
            </w:r>
          </w:p>
        </w:tc>
        <w:tc>
          <w:tcPr>
            <w:tcW w:w="540" w:type="dxa"/>
          </w:tcPr>
          <w:p w14:paraId="3A2A9C2D"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0FB6490F" w14:textId="16860069"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5F1D8EB4" w14:textId="74695152" w:rsidR="00F11DDC" w:rsidRPr="00F11DDC"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dh) “Juridiksion i kualifikuar jo-BE” është çdo juridiksion jashtë Bashkimit Evropian, cili ka në fuqi një marrëveshje efektive kualifikuese ndërmjet autoriteteve kompetente të të gjitha Shteteve Anëtare që janë identifikuar si juridiksione raportuese në një listë të publikuar nga vetë juridiksioni jo‑BE.</w:t>
            </w:r>
          </w:p>
        </w:tc>
        <w:tc>
          <w:tcPr>
            <w:tcW w:w="720" w:type="dxa"/>
          </w:tcPr>
          <w:p w14:paraId="0BF86975" w14:textId="0F3D059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53F26DB7" w14:textId="77777777" w:rsidR="00F11DDC" w:rsidRPr="00080E02" w:rsidRDefault="00F11DDC" w:rsidP="00E16BA5">
            <w:pPr>
              <w:rPr>
                <w:rFonts w:ascii="Times New Roman" w:eastAsia="Calibri" w:hAnsi="Times New Roman" w:cs="Times New Roman"/>
                <w:sz w:val="18"/>
                <w:szCs w:val="18"/>
              </w:rPr>
            </w:pPr>
          </w:p>
        </w:tc>
      </w:tr>
      <w:tr w:rsidR="00F11DDC" w:rsidRPr="00036F88" w14:paraId="6E72927B" w14:textId="77777777" w:rsidTr="007C321D">
        <w:trPr>
          <w:trHeight w:val="2204"/>
        </w:trPr>
        <w:tc>
          <w:tcPr>
            <w:tcW w:w="630" w:type="dxa"/>
          </w:tcPr>
          <w:p w14:paraId="2F113FCC"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3C9419C" w14:textId="1E8A558D" w:rsidR="00F11DDC"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7. "Marrëveshje efektive e Autoritetit Kompetent Kualifikues" do të thotë një marrëveshje midis autoriteteve kompetente të një Shteti Anëtar dhe një juridiksioni jo-Bashkimi që kërkon shkëmbimin automatik të informacionit ekuivalent me atë të specifikuar në paragrafin B të Seksionit III të këtij Aneksi, siç konfirmohet nga një akt zbatues në përputhje me Nenin 8ac(7).</w:t>
            </w:r>
          </w:p>
        </w:tc>
        <w:tc>
          <w:tcPr>
            <w:tcW w:w="540" w:type="dxa"/>
          </w:tcPr>
          <w:p w14:paraId="1AE6E8F9"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27845021" w14:textId="2549B406"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1A02DA42" w14:textId="16C4033B" w:rsidR="00F11DDC" w:rsidRPr="00F11DDC"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e) “Marrëveshje efektive kualifikuese” është çdo marrëveshje ndërmjet autoritetit kompetent dhe një juridiksioni jo-BE, që parashikon shkëmbimin automatik të informacionit tatimor të përcaktuar në këtë ligj dhe i konfirmuar nëpërmjet një akti zbatues në përputhje me nenin 8ac (7) të Direktivës 2011/16/BE.</w:t>
            </w:r>
          </w:p>
        </w:tc>
        <w:tc>
          <w:tcPr>
            <w:tcW w:w="720" w:type="dxa"/>
          </w:tcPr>
          <w:p w14:paraId="7A7BC866" w14:textId="481496E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9C3FA9F" w14:textId="77777777" w:rsidR="00F11DDC" w:rsidRPr="00080E02" w:rsidRDefault="00F11DDC" w:rsidP="00E16BA5">
            <w:pPr>
              <w:rPr>
                <w:rFonts w:ascii="Times New Roman" w:eastAsia="Calibri" w:hAnsi="Times New Roman" w:cs="Times New Roman"/>
                <w:sz w:val="18"/>
                <w:szCs w:val="18"/>
              </w:rPr>
            </w:pPr>
          </w:p>
        </w:tc>
      </w:tr>
      <w:tr w:rsidR="00F11DDC" w:rsidRPr="00036F88" w14:paraId="5AC645F9" w14:textId="77777777" w:rsidTr="007C321D">
        <w:trPr>
          <w:trHeight w:val="2204"/>
        </w:trPr>
        <w:tc>
          <w:tcPr>
            <w:tcW w:w="630" w:type="dxa"/>
          </w:tcPr>
          <w:p w14:paraId="43D7968E"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242DE219" w14:textId="77777777" w:rsidR="005D1762" w:rsidRPr="001725D0" w:rsidRDefault="005D1762" w:rsidP="005D176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8. "Aktivitet i rëndësishëm" do të thotë një aktivitet i kryer për konsideratë dhe që është një nga sa vijon:</w:t>
            </w:r>
          </w:p>
          <w:p w14:paraId="0F479315" w14:textId="77777777" w:rsidR="005D1762" w:rsidRPr="001725D0" w:rsidRDefault="005D1762" w:rsidP="005D1762">
            <w:pPr>
              <w:jc w:val="both"/>
              <w:rPr>
                <w:rFonts w:ascii="Times New Roman" w:eastAsia="Calibri" w:hAnsi="Times New Roman" w:cs="Times New Roman"/>
                <w:iCs/>
                <w:sz w:val="18"/>
                <w:szCs w:val="18"/>
                <w:lang w:val="en-US"/>
              </w:rPr>
            </w:pPr>
          </w:p>
          <w:p w14:paraId="47E23BDF" w14:textId="77777777" w:rsidR="005D1762" w:rsidRPr="001725D0" w:rsidRDefault="005D1762" w:rsidP="005D176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 dhënia me qira e pasurisë së paluajtshme, duke përfshirë si pronën banesore ashtu edhe atë komerciale, si dhe çdo pasuri tjetër të paluajtshme dhe vende parkimi; (b) një Shërbim Personal; (c) shitja e Mallrave; (d) dhënia me qira e çdo mënyre transporti.</w:t>
            </w:r>
          </w:p>
          <w:p w14:paraId="4D1FB4C9" w14:textId="77777777" w:rsidR="005D1762" w:rsidRPr="001725D0" w:rsidRDefault="005D1762" w:rsidP="005D1762">
            <w:pPr>
              <w:jc w:val="both"/>
              <w:rPr>
                <w:rFonts w:ascii="Times New Roman" w:eastAsia="Calibri" w:hAnsi="Times New Roman" w:cs="Times New Roman"/>
                <w:iCs/>
                <w:sz w:val="18"/>
                <w:szCs w:val="18"/>
                <w:lang w:val="en-US"/>
              </w:rPr>
            </w:pPr>
          </w:p>
          <w:p w14:paraId="40B7AD23" w14:textId="54677236" w:rsidR="00F11DDC" w:rsidRPr="001725D0" w:rsidRDefault="005D1762" w:rsidP="005D1762">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Termi "Aktivitet Përkatës" nuk përfshin një aktivitet të kryer nga një Shitës që vepron si punonjës i Operatorit të Platformës ose një Entiteti të lidhur me Operatorin e Platformës.</w:t>
            </w:r>
          </w:p>
        </w:tc>
        <w:tc>
          <w:tcPr>
            <w:tcW w:w="540" w:type="dxa"/>
          </w:tcPr>
          <w:p w14:paraId="6179F29A"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1E5CE473" w14:textId="22A254D9"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24C746E9" w14:textId="127DC8DB" w:rsidR="00EF43AB" w:rsidRPr="00F11DDC" w:rsidRDefault="00EF43AB" w:rsidP="00EF43AB">
            <w:pPr>
              <w:jc w:val="both"/>
              <w:rPr>
                <w:rFonts w:ascii="Times New Roman" w:hAnsi="Times New Roman" w:cs="Times New Roman"/>
                <w:sz w:val="18"/>
                <w:szCs w:val="18"/>
              </w:rPr>
            </w:pPr>
          </w:p>
          <w:p w14:paraId="31D5F79C"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ë) “Aktivitet i raportueshëm” është çdo aktivitet i kryer nga një shitës për përfitim shpërblimi,ndër të tjera:</w:t>
            </w:r>
          </w:p>
          <w:p w14:paraId="7888F6EE"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dhënien me qira të pasurive të paluajtshme;</w:t>
            </w:r>
          </w:p>
          <w:p w14:paraId="397611CE"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 dhënien me qira të mjeteve të transporit;</w:t>
            </w:r>
          </w:p>
          <w:p w14:paraId="0195E3BB"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iii. ofrimin e shërbimeve personale;</w:t>
            </w:r>
          </w:p>
          <w:p w14:paraId="6E4E32E1"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iv. shitjen e mallrave.</w:t>
            </w:r>
          </w:p>
          <w:p w14:paraId="4902D98D" w14:textId="77777777" w:rsidR="00EF43AB" w:rsidRPr="00EF43AB" w:rsidRDefault="00EF43AB" w:rsidP="00EF43AB">
            <w:pPr>
              <w:spacing w:line="276" w:lineRule="auto"/>
              <w:jc w:val="both"/>
              <w:rPr>
                <w:rFonts w:ascii="Times New Roman" w:hAnsi="Times New Roman" w:cs="Times New Roman"/>
                <w:sz w:val="18"/>
                <w:szCs w:val="18"/>
              </w:rPr>
            </w:pPr>
          </w:p>
          <w:p w14:paraId="6CB4D5D5" w14:textId="0D60C653" w:rsidR="00F11DDC" w:rsidRPr="00F11DDC"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Nuk konsiderohet “Aktivitet i raportueshëm” një aktivitet i kryer nga një shitës që vepron si punëmarrës i Operatorit të Platformës ose i një Entiteti të lidhur me Operatorin e Platformës, kur këto aktivitete kanë natyrë administrative, menaxheriale ose mbështetëse.</w:t>
            </w:r>
          </w:p>
        </w:tc>
        <w:tc>
          <w:tcPr>
            <w:tcW w:w="720" w:type="dxa"/>
          </w:tcPr>
          <w:p w14:paraId="707C4636" w14:textId="0566323C"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6A9E6CF1" w14:textId="77777777" w:rsidR="00F11DDC" w:rsidRPr="00080E02" w:rsidRDefault="00F11DDC" w:rsidP="00E16BA5">
            <w:pPr>
              <w:rPr>
                <w:rFonts w:ascii="Times New Roman" w:eastAsia="Calibri" w:hAnsi="Times New Roman" w:cs="Times New Roman"/>
                <w:sz w:val="18"/>
                <w:szCs w:val="18"/>
              </w:rPr>
            </w:pPr>
          </w:p>
        </w:tc>
      </w:tr>
      <w:tr w:rsidR="00F11DDC" w:rsidRPr="00036F88" w14:paraId="11ECAD20" w14:textId="77777777" w:rsidTr="007C321D">
        <w:trPr>
          <w:trHeight w:val="2204"/>
        </w:trPr>
        <w:tc>
          <w:tcPr>
            <w:tcW w:w="630" w:type="dxa"/>
          </w:tcPr>
          <w:p w14:paraId="53D0142D"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70A2E267" w14:textId="3ED8D714" w:rsidR="00F11DDC"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9. "Aktivitete të Kualifikuara Relevante" do të thotë çdo Aktivitet Relevant i mbuluar nga shkëmbimi automatik në përputhje me një Marrëveshje Fuqie të Autoritetit Kompetent Kualifikues.</w:t>
            </w:r>
          </w:p>
        </w:tc>
        <w:tc>
          <w:tcPr>
            <w:tcW w:w="540" w:type="dxa"/>
          </w:tcPr>
          <w:p w14:paraId="33D48460"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7AE7338F" w14:textId="7792861D"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12B1E93E" w14:textId="710FCCAD" w:rsidR="00F11DDC" w:rsidRPr="00F11DDC" w:rsidRDefault="00EF43AB" w:rsidP="00F11DDC">
            <w:pPr>
              <w:jc w:val="both"/>
              <w:rPr>
                <w:rFonts w:ascii="Times New Roman" w:hAnsi="Times New Roman" w:cs="Times New Roman"/>
                <w:sz w:val="18"/>
                <w:szCs w:val="18"/>
              </w:rPr>
            </w:pPr>
            <w:r w:rsidRPr="00EF43AB">
              <w:rPr>
                <w:rFonts w:ascii="Times New Roman" w:hAnsi="Times New Roman" w:cs="Times New Roman"/>
                <w:sz w:val="18"/>
                <w:szCs w:val="18"/>
              </w:rPr>
              <w:t>f) “Aktivitet i raportueshëm i kualifikuar” është çdo aktivitet i raportueshëm që është subjekt i shkëmbimit automatik të informacionit tatimor sipas një marrëveshjeje efektive kualifikuese.</w:t>
            </w:r>
          </w:p>
        </w:tc>
        <w:tc>
          <w:tcPr>
            <w:tcW w:w="720" w:type="dxa"/>
          </w:tcPr>
          <w:p w14:paraId="4E4D9F67" w14:textId="60798B2D"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2E90EE2" w14:textId="77777777" w:rsidR="00F11DDC" w:rsidRPr="00080E02" w:rsidRDefault="00F11DDC" w:rsidP="00E16BA5">
            <w:pPr>
              <w:rPr>
                <w:rFonts w:ascii="Times New Roman" w:eastAsia="Calibri" w:hAnsi="Times New Roman" w:cs="Times New Roman"/>
                <w:sz w:val="18"/>
                <w:szCs w:val="18"/>
              </w:rPr>
            </w:pPr>
          </w:p>
        </w:tc>
      </w:tr>
      <w:tr w:rsidR="00F11DDC" w:rsidRPr="00036F88" w14:paraId="742D86C0" w14:textId="77777777" w:rsidTr="007C321D">
        <w:trPr>
          <w:trHeight w:val="2204"/>
        </w:trPr>
        <w:tc>
          <w:tcPr>
            <w:tcW w:w="630" w:type="dxa"/>
          </w:tcPr>
          <w:p w14:paraId="298E606E"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56162727" w14:textId="071EDAEC" w:rsidR="00F11DDC"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10. "Shpërblim" do të thotë kompensim në çdo formë, zbritur nga çdo tarifë, komision ose taksë e mbajtur ose e ngarkuar nga Operatori i Platformës Raportuese, që i paguhet ose i kreditohet një Shitësi në lidhje me Aktivitetin Përkatës, shuma e të cilit është e njohur ose e ditur në mënyrë të arsyeshme nga Operatori i Platformës.</w:t>
            </w:r>
          </w:p>
        </w:tc>
        <w:tc>
          <w:tcPr>
            <w:tcW w:w="540" w:type="dxa"/>
          </w:tcPr>
          <w:p w14:paraId="2AE8D46E" w14:textId="77777777" w:rsidR="00F11DDC" w:rsidRPr="00036F88" w:rsidRDefault="00F11DDC" w:rsidP="003C045B">
            <w:pPr>
              <w:jc w:val="center"/>
              <w:rPr>
                <w:rFonts w:ascii="Times New Roman" w:eastAsia="Calibri" w:hAnsi="Times New Roman" w:cs="Times New Roman"/>
                <w:sz w:val="18"/>
                <w:szCs w:val="18"/>
                <w:highlight w:val="cyan"/>
              </w:rPr>
            </w:pPr>
          </w:p>
        </w:tc>
        <w:tc>
          <w:tcPr>
            <w:tcW w:w="554" w:type="dxa"/>
          </w:tcPr>
          <w:p w14:paraId="412A463E" w14:textId="54001A33"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2 </w:t>
            </w:r>
          </w:p>
        </w:tc>
        <w:tc>
          <w:tcPr>
            <w:tcW w:w="5040" w:type="dxa"/>
          </w:tcPr>
          <w:p w14:paraId="0DD5A0E7" w14:textId="0880F7A3" w:rsidR="00F11DDC" w:rsidRPr="00F11DDC" w:rsidRDefault="00EF43AB" w:rsidP="00F11DDC">
            <w:pPr>
              <w:jc w:val="both"/>
              <w:rPr>
                <w:rFonts w:ascii="Times New Roman" w:hAnsi="Times New Roman" w:cs="Times New Roman"/>
                <w:sz w:val="18"/>
                <w:szCs w:val="18"/>
              </w:rPr>
            </w:pPr>
            <w:r w:rsidRPr="00EF43AB">
              <w:rPr>
                <w:rFonts w:ascii="Times New Roman" w:hAnsi="Times New Roman" w:cs="Times New Roman"/>
                <w:sz w:val="18"/>
                <w:szCs w:val="18"/>
              </w:rPr>
              <w:t>g) “Shpërblim” është çdo kompensim, tarifë, ose tatim, të mbajtura nga operatori i platformës, i paguar ose kredituar një shitësi për aktivitetin e raportueshëm, në çdo formë, përfshirë para, kredi ose përfitime të tjera ekonomike, shuma e së cilës është e njohur ose e arsyeshme për t’u njohur nga operatori i platformës.</w:t>
            </w:r>
          </w:p>
        </w:tc>
        <w:tc>
          <w:tcPr>
            <w:tcW w:w="720" w:type="dxa"/>
          </w:tcPr>
          <w:p w14:paraId="578A725E" w14:textId="657BF7FF"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5525FAE" w14:textId="77777777" w:rsidR="00F11DDC" w:rsidRPr="00080E02" w:rsidRDefault="00F11DDC" w:rsidP="00E16BA5">
            <w:pPr>
              <w:rPr>
                <w:rFonts w:ascii="Times New Roman" w:eastAsia="Calibri" w:hAnsi="Times New Roman" w:cs="Times New Roman"/>
                <w:sz w:val="18"/>
                <w:szCs w:val="18"/>
              </w:rPr>
            </w:pPr>
          </w:p>
        </w:tc>
      </w:tr>
      <w:tr w:rsidR="005D1762" w:rsidRPr="00036F88" w14:paraId="0A6072A7" w14:textId="77777777" w:rsidTr="007C321D">
        <w:trPr>
          <w:trHeight w:val="2204"/>
        </w:trPr>
        <w:tc>
          <w:tcPr>
            <w:tcW w:w="630" w:type="dxa"/>
          </w:tcPr>
          <w:p w14:paraId="637A9BDC"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71BA4360" w14:textId="0C97BA25" w:rsidR="005D1762"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11. "Shërbim Personal" do të thotë një shërbim që përfshin punë të bazuar në kohë ose detyrë të kryer nga një ose më shumë individë, që veprojnë në mënyrë të pavarur ose në emër të një Entiteti, dhe që kryhet me kërkesë të një përdoruesi, qoftë në internet ose fizikisht jashtë linje, pasi të jetë lehtësuar nëpërmjet një Platforme.</w:t>
            </w:r>
          </w:p>
        </w:tc>
        <w:tc>
          <w:tcPr>
            <w:tcW w:w="540" w:type="dxa"/>
          </w:tcPr>
          <w:p w14:paraId="11B7AEC4" w14:textId="77777777" w:rsidR="005D1762" w:rsidRPr="00036F88" w:rsidRDefault="005D1762" w:rsidP="003C045B">
            <w:pPr>
              <w:jc w:val="center"/>
              <w:rPr>
                <w:rFonts w:ascii="Times New Roman" w:eastAsia="Calibri" w:hAnsi="Times New Roman" w:cs="Times New Roman"/>
                <w:sz w:val="18"/>
                <w:szCs w:val="18"/>
                <w:highlight w:val="cyan"/>
              </w:rPr>
            </w:pPr>
          </w:p>
        </w:tc>
        <w:tc>
          <w:tcPr>
            <w:tcW w:w="554" w:type="dxa"/>
          </w:tcPr>
          <w:p w14:paraId="4EB85677" w14:textId="0B08C88C"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10D9F517" w14:textId="308EA3F4" w:rsidR="005D1762" w:rsidRPr="005D1762" w:rsidRDefault="00EF43AB" w:rsidP="00F11DDC">
            <w:pPr>
              <w:jc w:val="both"/>
              <w:rPr>
                <w:rFonts w:ascii="Times New Roman" w:hAnsi="Times New Roman" w:cs="Times New Roman"/>
                <w:sz w:val="18"/>
                <w:szCs w:val="18"/>
              </w:rPr>
            </w:pPr>
            <w:r w:rsidRPr="00EF43AB">
              <w:rPr>
                <w:rFonts w:ascii="Times New Roman" w:hAnsi="Times New Roman" w:cs="Times New Roman"/>
                <w:sz w:val="18"/>
                <w:szCs w:val="18"/>
              </w:rPr>
              <w:t>gj) “Shërbim personal” është shërbim i ofruar online ose fizikisht nga një ose më shumë persona të pavarur ose për llogari të një entiteti, i kryer me kërkesë të përdoruesit dhe i lehtësuar nga platforma.</w:t>
            </w:r>
          </w:p>
        </w:tc>
        <w:tc>
          <w:tcPr>
            <w:tcW w:w="720" w:type="dxa"/>
          </w:tcPr>
          <w:p w14:paraId="149C2F60" w14:textId="22AB0262"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46D23C4F" w14:textId="77777777" w:rsidR="005D1762" w:rsidRPr="00080E02" w:rsidRDefault="005D1762" w:rsidP="00E16BA5">
            <w:pPr>
              <w:rPr>
                <w:rFonts w:ascii="Times New Roman" w:eastAsia="Calibri" w:hAnsi="Times New Roman" w:cs="Times New Roman"/>
                <w:sz w:val="18"/>
                <w:szCs w:val="18"/>
              </w:rPr>
            </w:pPr>
          </w:p>
        </w:tc>
      </w:tr>
      <w:tr w:rsidR="005D1762" w:rsidRPr="00036F88" w14:paraId="7EBCBA1E" w14:textId="77777777" w:rsidTr="007C321D">
        <w:trPr>
          <w:trHeight w:val="2204"/>
        </w:trPr>
        <w:tc>
          <w:tcPr>
            <w:tcW w:w="630" w:type="dxa"/>
          </w:tcPr>
          <w:p w14:paraId="3C45FF5B"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64621A47" w14:textId="622F970C" w:rsidR="005D1762" w:rsidRPr="001725D0" w:rsidRDefault="005D1762"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"Shitës" do të thotë një përdorues i Platformës, qoftë një individ apo një Entitet, që është i regjistruar në çdo moment gjatë Periudhës së Raportueshme në Platformë dhe kryen një Aktivitet Përkatës.</w:t>
            </w:r>
          </w:p>
        </w:tc>
        <w:tc>
          <w:tcPr>
            <w:tcW w:w="540" w:type="dxa"/>
          </w:tcPr>
          <w:p w14:paraId="2296F5EE" w14:textId="77777777" w:rsidR="005D1762" w:rsidRPr="00036F88" w:rsidRDefault="005D1762" w:rsidP="003C045B">
            <w:pPr>
              <w:jc w:val="center"/>
              <w:rPr>
                <w:rFonts w:ascii="Times New Roman" w:eastAsia="Calibri" w:hAnsi="Times New Roman" w:cs="Times New Roman"/>
                <w:sz w:val="18"/>
                <w:szCs w:val="18"/>
                <w:highlight w:val="cyan"/>
              </w:rPr>
            </w:pPr>
          </w:p>
        </w:tc>
        <w:tc>
          <w:tcPr>
            <w:tcW w:w="554" w:type="dxa"/>
          </w:tcPr>
          <w:p w14:paraId="146560AA" w14:textId="018D7C9A"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2 </w:t>
            </w:r>
          </w:p>
        </w:tc>
        <w:tc>
          <w:tcPr>
            <w:tcW w:w="5040" w:type="dxa"/>
          </w:tcPr>
          <w:p w14:paraId="103A0BE3" w14:textId="426A511E" w:rsidR="005D1762" w:rsidRPr="005D1762" w:rsidRDefault="00EF43AB" w:rsidP="00F11DDC">
            <w:pPr>
              <w:jc w:val="both"/>
              <w:rPr>
                <w:rFonts w:ascii="Times New Roman" w:hAnsi="Times New Roman" w:cs="Times New Roman"/>
                <w:sz w:val="18"/>
                <w:szCs w:val="18"/>
              </w:rPr>
            </w:pPr>
            <w:r w:rsidRPr="00EF43AB">
              <w:rPr>
                <w:rFonts w:ascii="Times New Roman" w:hAnsi="Times New Roman" w:cs="Times New Roman"/>
                <w:sz w:val="18"/>
                <w:szCs w:val="18"/>
              </w:rPr>
              <w:t>h) “Shitës” është çdo përdorues i platformës që kryen një aktivitet të raportueshëm, që është regjistruar në platformë në çdo moment gjatë periudhës së raportimit dhe kryen një aktivitet të raportueshëm.</w:t>
            </w:r>
          </w:p>
        </w:tc>
        <w:tc>
          <w:tcPr>
            <w:tcW w:w="720" w:type="dxa"/>
          </w:tcPr>
          <w:p w14:paraId="1DE6CACD" w14:textId="65F43779"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39FECAF4" w14:textId="77777777" w:rsidR="005D1762" w:rsidRPr="00080E02" w:rsidRDefault="005D1762" w:rsidP="00E16BA5">
            <w:pPr>
              <w:rPr>
                <w:rFonts w:ascii="Times New Roman" w:eastAsia="Calibri" w:hAnsi="Times New Roman" w:cs="Times New Roman"/>
                <w:sz w:val="18"/>
                <w:szCs w:val="18"/>
              </w:rPr>
            </w:pPr>
          </w:p>
        </w:tc>
      </w:tr>
      <w:tr w:rsidR="005D1762" w:rsidRPr="00036F88" w14:paraId="2F872405" w14:textId="77777777" w:rsidTr="007C321D">
        <w:trPr>
          <w:trHeight w:val="2204"/>
        </w:trPr>
        <w:tc>
          <w:tcPr>
            <w:tcW w:w="630" w:type="dxa"/>
          </w:tcPr>
          <w:p w14:paraId="7DA123B4"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29E3BD2F" w14:textId="64A33682" w:rsidR="005D1762" w:rsidRPr="001725D0" w:rsidRDefault="002234E1"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"Shitës Aktiv" do të thotë çdo Shitës që ose ofron një Aktivitet Relevant gjatë Periudhës së Raportueshme ose i paguhet ose i kreditohet Konsideratë në lidhje me një Aktivitet Relevant gjatë Periudhës së Raportueshme.</w:t>
            </w:r>
          </w:p>
        </w:tc>
        <w:tc>
          <w:tcPr>
            <w:tcW w:w="540" w:type="dxa"/>
          </w:tcPr>
          <w:p w14:paraId="20DD733E" w14:textId="77777777" w:rsidR="005D1762" w:rsidRPr="00036F88" w:rsidRDefault="005D1762" w:rsidP="003C045B">
            <w:pPr>
              <w:jc w:val="center"/>
              <w:rPr>
                <w:rFonts w:ascii="Times New Roman" w:eastAsia="Calibri" w:hAnsi="Times New Roman" w:cs="Times New Roman"/>
                <w:sz w:val="18"/>
                <w:szCs w:val="18"/>
                <w:highlight w:val="cyan"/>
              </w:rPr>
            </w:pPr>
          </w:p>
        </w:tc>
        <w:tc>
          <w:tcPr>
            <w:tcW w:w="554" w:type="dxa"/>
          </w:tcPr>
          <w:p w14:paraId="6A9AC9B8" w14:textId="337570A9"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2 </w:t>
            </w:r>
          </w:p>
        </w:tc>
        <w:tc>
          <w:tcPr>
            <w:tcW w:w="5040" w:type="dxa"/>
          </w:tcPr>
          <w:p w14:paraId="4F397A86" w14:textId="40659B2E" w:rsidR="005D1762" w:rsidRPr="005D1762"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“Shitës aktiv” është shitës që kryen aktivitet të raportueshëm ose merr shpërblim gjatë periudhës së raportimit.</w:t>
            </w:r>
          </w:p>
        </w:tc>
        <w:tc>
          <w:tcPr>
            <w:tcW w:w="720" w:type="dxa"/>
          </w:tcPr>
          <w:p w14:paraId="6B1E48FC" w14:textId="0799E1E7"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3E2D161" w14:textId="77777777" w:rsidR="005D1762" w:rsidRPr="00080E02" w:rsidRDefault="005D1762" w:rsidP="00E16BA5">
            <w:pPr>
              <w:rPr>
                <w:rFonts w:ascii="Times New Roman" w:eastAsia="Calibri" w:hAnsi="Times New Roman" w:cs="Times New Roman"/>
                <w:sz w:val="18"/>
                <w:szCs w:val="18"/>
              </w:rPr>
            </w:pPr>
          </w:p>
        </w:tc>
      </w:tr>
      <w:tr w:rsidR="005D1762" w:rsidRPr="00036F88" w14:paraId="05A35841" w14:textId="77777777" w:rsidTr="007C321D">
        <w:trPr>
          <w:trHeight w:val="2204"/>
        </w:trPr>
        <w:tc>
          <w:tcPr>
            <w:tcW w:w="630" w:type="dxa"/>
          </w:tcPr>
          <w:p w14:paraId="13AF72CA"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4CD3670E" w14:textId="79805BA8" w:rsidR="005D1762" w:rsidRPr="001725D0" w:rsidRDefault="002234E1" w:rsidP="00F11DDC">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"Shitës i Raportueshëm" do të thotë çdo Shitës Aktiv, përveç një Shitësi të Përjashtuar, që është rezident në një Shtet Anëtar ose që ka dhënë me qira pasuri të paluajtshme të vendosura në një Shtet Anëtar.</w:t>
            </w:r>
          </w:p>
        </w:tc>
        <w:tc>
          <w:tcPr>
            <w:tcW w:w="540" w:type="dxa"/>
          </w:tcPr>
          <w:p w14:paraId="65255C59" w14:textId="77777777" w:rsidR="005D1762" w:rsidRPr="00036F88" w:rsidRDefault="005D1762" w:rsidP="003C045B">
            <w:pPr>
              <w:jc w:val="center"/>
              <w:rPr>
                <w:rFonts w:ascii="Times New Roman" w:eastAsia="Calibri" w:hAnsi="Times New Roman" w:cs="Times New Roman"/>
                <w:sz w:val="18"/>
                <w:szCs w:val="18"/>
                <w:highlight w:val="cyan"/>
              </w:rPr>
            </w:pPr>
          </w:p>
        </w:tc>
        <w:tc>
          <w:tcPr>
            <w:tcW w:w="554" w:type="dxa"/>
          </w:tcPr>
          <w:p w14:paraId="6554C17C" w14:textId="5BE7C787"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2 </w:t>
            </w:r>
          </w:p>
        </w:tc>
        <w:tc>
          <w:tcPr>
            <w:tcW w:w="5040" w:type="dxa"/>
          </w:tcPr>
          <w:p w14:paraId="7F8F9540" w14:textId="31D78CA1" w:rsidR="005D1762" w:rsidRPr="005D1762"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j) “Shitës i raportueshëm” është çdo shitës aktiv, përveç një shitësi të përjashtuar, i cili është rezident për qëllime tatimore në një Shtet Anëtar, ose që ka dhënë me qira pasuri të paluajtshme të vendosura në territorin e një Shteti Anëtar.</w:t>
            </w:r>
          </w:p>
        </w:tc>
        <w:tc>
          <w:tcPr>
            <w:tcW w:w="720" w:type="dxa"/>
          </w:tcPr>
          <w:p w14:paraId="425DA4F9" w14:textId="7F9E63BC"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D8EAD84" w14:textId="77777777" w:rsidR="005D1762" w:rsidRPr="00080E02" w:rsidRDefault="005D1762" w:rsidP="00E16BA5">
            <w:pPr>
              <w:rPr>
                <w:rFonts w:ascii="Times New Roman" w:eastAsia="Calibri" w:hAnsi="Times New Roman" w:cs="Times New Roman"/>
                <w:sz w:val="18"/>
                <w:szCs w:val="18"/>
              </w:rPr>
            </w:pPr>
          </w:p>
        </w:tc>
      </w:tr>
      <w:tr w:rsidR="005D1762" w:rsidRPr="00036F88" w14:paraId="66FF321E" w14:textId="77777777" w:rsidTr="007C321D">
        <w:trPr>
          <w:trHeight w:val="2204"/>
        </w:trPr>
        <w:tc>
          <w:tcPr>
            <w:tcW w:w="630" w:type="dxa"/>
          </w:tcPr>
          <w:p w14:paraId="59AC9CDD"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68C94565" w14:textId="77777777"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"Shitës i Përjashtuar" do të thotë çdo Shitës (a) që është një Entitet Qeveritar; (b) që është një Entitet aksionet e të cilit tregtohen rregullisht në një treg të themeluar letrash me vlerë ose një Entitet i lidhur me një Entitet aksionet e të cilit tregtohen rregullisht në një treg të themeluar letrash me vlerë; ENGazeta Zyrtare e Bashkimit Evropian 25.3.2021 L 104/19</w:t>
            </w:r>
          </w:p>
          <w:p w14:paraId="4E0AB4E8" w14:textId="0C78292F" w:rsidR="005D1762"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(c) që është një Entitet për të cilin Operatori i Platformës ka lehtësuar më shumë se 2 000 Aktivitete Relevante me anë të dhënies me qira të pasurisë së paluajtshme në lidhje me një Pronë të Listuar gjatë Periudhës së Raportimit; ose (d) për të cilën Operatori i Platformës ka lehtësuar më pak se 30 Aktivitete Relevante me anë të shitjes së Mallrave dhe për të cilën shuma totale e Konsiderimit të paguar ose të kredituar nuk i kaloi 2 000 EUR gjatë Periudhës së Raportimit.</w:t>
            </w:r>
          </w:p>
        </w:tc>
        <w:tc>
          <w:tcPr>
            <w:tcW w:w="540" w:type="dxa"/>
          </w:tcPr>
          <w:p w14:paraId="0BCB1455" w14:textId="77777777" w:rsidR="005D1762" w:rsidRPr="00036F88" w:rsidRDefault="005D1762" w:rsidP="003C045B">
            <w:pPr>
              <w:jc w:val="center"/>
              <w:rPr>
                <w:rFonts w:ascii="Times New Roman" w:eastAsia="Calibri" w:hAnsi="Times New Roman" w:cs="Times New Roman"/>
                <w:sz w:val="18"/>
                <w:szCs w:val="18"/>
                <w:highlight w:val="cyan"/>
              </w:rPr>
            </w:pPr>
          </w:p>
        </w:tc>
        <w:tc>
          <w:tcPr>
            <w:tcW w:w="554" w:type="dxa"/>
          </w:tcPr>
          <w:p w14:paraId="08D7B183" w14:textId="457BB3A6"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2 </w:t>
            </w:r>
          </w:p>
        </w:tc>
        <w:tc>
          <w:tcPr>
            <w:tcW w:w="5040" w:type="dxa"/>
          </w:tcPr>
          <w:p w14:paraId="74DD7E71"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k) “Shitës i përjashtuar” është një shitës që nuk i nënshtrohet detyrimeve të raportimit sipas këtij ligji, përfshirë:</w:t>
            </w:r>
          </w:p>
          <w:p w14:paraId="7048BE2B"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 Institucionet publike dhe personat juridikë publikë;</w:t>
            </w:r>
          </w:p>
          <w:p w14:paraId="31B4610C"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 Një entitet, aksionet e të cilit tregtohen rregullisht në një treg të rregulluar letrash me vlerë, ose një entitet i lidhur me një entitet, aksionet e të cilit tregtohen rregullisht në një treg të rregulluar letrash me vlerë.</w:t>
            </w:r>
          </w:p>
          <w:p w14:paraId="6FFBD2B6" w14:textId="77777777" w:rsidR="00EF43AB" w:rsidRPr="00EF43AB"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iii. shitësit që, gjatë periudhës raportuese, kanë kryer jo më shumë se 30 aktivitete të raportueshme përmes shitjes së mallrave dhe për të cilët shuma totale e kundërshpërblimit të paguar ose kredituar nuk ka tejkaluar 2000 euro;</w:t>
            </w:r>
          </w:p>
          <w:p w14:paraId="55C19DA5" w14:textId="2ACF89A7" w:rsidR="005D1762" w:rsidRPr="005D1762"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iv. entitetet për të cilët Operatori i Platformës ka lehtësuar, gjatë periudhës raportuese, më shumë se 2 000 aktivitete përkatëse përmes dhënies me qira të pasurive të paluajtshme për të njëjtin listim të pronës.</w:t>
            </w:r>
          </w:p>
        </w:tc>
        <w:tc>
          <w:tcPr>
            <w:tcW w:w="720" w:type="dxa"/>
          </w:tcPr>
          <w:p w14:paraId="7FC99F79" w14:textId="6B41E4A8"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4F7F1AB" w14:textId="77777777" w:rsidR="005D1762" w:rsidRPr="00080E02" w:rsidRDefault="005D1762" w:rsidP="00E16BA5">
            <w:pPr>
              <w:rPr>
                <w:rFonts w:ascii="Times New Roman" w:eastAsia="Calibri" w:hAnsi="Times New Roman" w:cs="Times New Roman"/>
                <w:sz w:val="18"/>
                <w:szCs w:val="18"/>
              </w:rPr>
            </w:pPr>
          </w:p>
        </w:tc>
      </w:tr>
      <w:tr w:rsidR="002234E1" w:rsidRPr="00036F88" w14:paraId="498965D3" w14:textId="77777777" w:rsidTr="007C321D">
        <w:trPr>
          <w:trHeight w:val="2204"/>
        </w:trPr>
        <w:tc>
          <w:tcPr>
            <w:tcW w:w="630" w:type="dxa"/>
          </w:tcPr>
          <w:p w14:paraId="7A5DF21B"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7209C476" w14:textId="77777777" w:rsidR="002234E1" w:rsidRPr="001725D0" w:rsidRDefault="002234E1" w:rsidP="00EF43AB">
            <w:pPr>
              <w:spacing w:line="276" w:lineRule="auto"/>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1. "Entitet" do të thotë një person juridik ose një marrëveshje ligjore, siç është një korporatë, partneritet, trust ose fondacion. Një Entitet është një Entitet i lidhur me një Entitet tjetër nëse njëri Entitet kontrollon Entitetin tjetër, ose të dy Entitetet janë nën kontroll të përbashkët. Për këtë qëllim, kontrolli përfshin pronësinë e drejtpërdrejtë ose të tërthortë të më shumë se 50% të votave dhe vlerës në një Entitet. Në pjesëmarrjen e tërthortë, përmbushja e kërkesës për mbajtjen e më shumë se 50% të së drejtës së pronësisë në kapitalin e Entitetit tjetër përcaktohet duke shumëzuar normat e mbajtjes përmes niveleve të njëpasnjëshme. Një person që </w:t>
            </w:r>
            <w:r w:rsidRPr="001725D0">
              <w:rPr>
                <w:rFonts w:ascii="Times New Roman" w:eastAsia="Calibri" w:hAnsi="Times New Roman" w:cs="Times New Roman"/>
                <w:iCs/>
                <w:sz w:val="18"/>
                <w:szCs w:val="18"/>
                <w:lang w:val="en-US"/>
              </w:rPr>
              <w:lastRenderedPageBreak/>
              <w:t>mban më shumë se 50% të të drejtave të votës konsiderohet se mban 100%.</w:t>
            </w:r>
          </w:p>
          <w:p w14:paraId="011DEA67" w14:textId="7BC2CFF6" w:rsidR="002234E1" w:rsidRPr="001725D0" w:rsidRDefault="002234E1" w:rsidP="00EF43AB">
            <w:pPr>
              <w:spacing w:line="276" w:lineRule="auto"/>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"Entitet Qeveritar" do të thotë qeveria e një Shteti Anëtar ose juridiksioni tjetër, çdo nënndarje politike e një Shteti Anëtar ose juridiksioni tjetër (që përfshin një shtet, provincë, qark ose bashki), ose çdo agjenci ose instrument në pronësi të plotë të një Shteti Anëtar ose juridiksioni tjetër ose të njërit ose më shumë prej të lartpërmendurve (secili, një "Entitet Qeveritar").</w:t>
            </w:r>
          </w:p>
        </w:tc>
        <w:tc>
          <w:tcPr>
            <w:tcW w:w="540" w:type="dxa"/>
          </w:tcPr>
          <w:p w14:paraId="73B616CE"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2B95CF2E" w14:textId="7D5168E7" w:rsidR="002234E1"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 2</w:t>
            </w:r>
          </w:p>
        </w:tc>
        <w:tc>
          <w:tcPr>
            <w:tcW w:w="5040" w:type="dxa"/>
          </w:tcPr>
          <w:p w14:paraId="2D39DDC5" w14:textId="68BFA1CC" w:rsidR="002234E1" w:rsidRPr="002234E1" w:rsidRDefault="00EF43AB" w:rsidP="00EF43AB">
            <w:pPr>
              <w:spacing w:line="276" w:lineRule="auto"/>
              <w:jc w:val="both"/>
              <w:rPr>
                <w:rFonts w:ascii="Times New Roman" w:hAnsi="Times New Roman" w:cs="Times New Roman"/>
                <w:sz w:val="18"/>
                <w:szCs w:val="18"/>
              </w:rPr>
            </w:pPr>
            <w:r w:rsidRPr="00EF43AB">
              <w:rPr>
                <w:rFonts w:ascii="Times New Roman" w:hAnsi="Times New Roman" w:cs="Times New Roman"/>
                <w:sz w:val="18"/>
                <w:szCs w:val="18"/>
              </w:rPr>
              <w:t xml:space="preserve">l) “Entitet” është çdo person juridik, si shoqëri, trust ose organizatë jofitimprurëse, si dhe çdo formë tjetër organizimi. Një Entitet konsiderohet si Entitet i lidhur i një Entiteti tjetër nëse njëri prej Entiteteve administron tjetrin, ose nëse dy Entitetet janë nën një administrim të përbashkët. Për këtë qëllim, administrimi parashikon zotërimin e më shumë se 50% të kapitalit ose të drejtave të votës së një Entiteti. Në pjesëmarrjen indirekte, përmbushja e detyrimeve për zotërimin e më shumë se 50% të së drejtës së pronësisë të kapitalit të Entitetit tjetër përkufizohet duke shumëzuar normën e pjesëmarrjes me përqindjen e njëpasnjëshme të pjesëmarrjes. Një </w:t>
            </w:r>
            <w:r w:rsidRPr="00EF43AB">
              <w:rPr>
                <w:rFonts w:ascii="Times New Roman" w:hAnsi="Times New Roman" w:cs="Times New Roman"/>
                <w:sz w:val="18"/>
                <w:szCs w:val="18"/>
              </w:rPr>
              <w:lastRenderedPageBreak/>
              <w:t>person që zotëron më shumë se 50% të të drejtave të votimit konsiderohet si zotërues i 100% të të drejtave.</w:t>
            </w:r>
          </w:p>
        </w:tc>
        <w:tc>
          <w:tcPr>
            <w:tcW w:w="720" w:type="dxa"/>
          </w:tcPr>
          <w:p w14:paraId="1FFDA20A" w14:textId="4C95A63B"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603E1A72" w14:textId="77777777" w:rsidR="002234E1" w:rsidRPr="00080E02" w:rsidRDefault="002234E1" w:rsidP="00E16BA5">
            <w:pPr>
              <w:rPr>
                <w:rFonts w:ascii="Times New Roman" w:eastAsia="Calibri" w:hAnsi="Times New Roman" w:cs="Times New Roman"/>
                <w:sz w:val="18"/>
                <w:szCs w:val="18"/>
              </w:rPr>
            </w:pPr>
          </w:p>
        </w:tc>
      </w:tr>
      <w:tr w:rsidR="002234E1" w:rsidRPr="00036F88" w14:paraId="01FD25F3" w14:textId="77777777" w:rsidTr="007C321D">
        <w:trPr>
          <w:trHeight w:val="2204"/>
        </w:trPr>
        <w:tc>
          <w:tcPr>
            <w:tcW w:w="630" w:type="dxa"/>
          </w:tcPr>
          <w:p w14:paraId="143B87F9"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4ADC226A" w14:textId="0DDA23DB"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"NIPT" do të thotë një Numër Identifikimi të Tatimpaguesit, i lëshuar nga një Shtet Anëtar, ose ekuivalent funksional në mungesë të një Numri Identifikimi të Tatimpaguesit.</w:t>
            </w:r>
          </w:p>
        </w:tc>
        <w:tc>
          <w:tcPr>
            <w:tcW w:w="540" w:type="dxa"/>
          </w:tcPr>
          <w:p w14:paraId="7A2116DE"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62774519" w14:textId="47277CB7" w:rsidR="002234E1"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14A2B311" w14:textId="03CC7C85" w:rsidR="002234E1" w:rsidRPr="002234E1" w:rsidRDefault="00EF43AB" w:rsidP="002234E1">
            <w:pPr>
              <w:jc w:val="both"/>
              <w:rPr>
                <w:rFonts w:ascii="Times New Roman" w:hAnsi="Times New Roman" w:cs="Times New Roman"/>
                <w:sz w:val="18"/>
                <w:szCs w:val="18"/>
              </w:rPr>
            </w:pPr>
            <w:r w:rsidRPr="00EF43AB">
              <w:rPr>
                <w:rFonts w:ascii="Times New Roman" w:hAnsi="Times New Roman" w:cs="Times New Roman"/>
                <w:sz w:val="18"/>
                <w:szCs w:val="18"/>
              </w:rPr>
              <w:t>n) “NIPT”  Numri i Identifikimit për Personin e Tatueshëm është numri unik i dhënë nga autoriteti kompetent për identifikimin e tatimpaguesit.</w:t>
            </w:r>
          </w:p>
        </w:tc>
        <w:tc>
          <w:tcPr>
            <w:tcW w:w="720" w:type="dxa"/>
          </w:tcPr>
          <w:p w14:paraId="40BC44A1" w14:textId="747832C0"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1A1A9D6" w14:textId="77777777" w:rsidR="002234E1" w:rsidRPr="00080E02" w:rsidRDefault="002234E1" w:rsidP="00E16BA5">
            <w:pPr>
              <w:rPr>
                <w:rFonts w:ascii="Times New Roman" w:eastAsia="Calibri" w:hAnsi="Times New Roman" w:cs="Times New Roman"/>
                <w:sz w:val="18"/>
                <w:szCs w:val="18"/>
              </w:rPr>
            </w:pPr>
          </w:p>
        </w:tc>
      </w:tr>
      <w:tr w:rsidR="002234E1" w:rsidRPr="00036F88" w14:paraId="539C53C5" w14:textId="77777777" w:rsidTr="007C321D">
        <w:trPr>
          <w:trHeight w:val="2204"/>
        </w:trPr>
        <w:tc>
          <w:tcPr>
            <w:tcW w:w="630" w:type="dxa"/>
          </w:tcPr>
          <w:p w14:paraId="40D00D0D"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089185CA" w14:textId="69C742EF"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"Entitet Qeveritar" do të thotë qeveria e një Shteti Anëtar ose juridiksioni tjetër, çdo nënndarje politike e një Shteti Anëtar ose juridiksioni tjetër (që përfshin një shtet, provincë, qark ose bashki), ose çdo agjenci ose instrument në pronësi të plotë të një Shteti Anëtar ose juridiksioni tjetër ose të njërit ose më shumë prej të lartpërmendurve (secili, një "Entitet Qeveritar").</w:t>
            </w:r>
          </w:p>
        </w:tc>
        <w:tc>
          <w:tcPr>
            <w:tcW w:w="540" w:type="dxa"/>
          </w:tcPr>
          <w:p w14:paraId="51C65698"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40F4F89C" w14:textId="3CAE56BF"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10F24806" w14:textId="5F095DE8"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ll) Entitet publik: është çdo organ i administratës shtetërore qendrore ose vendore, përfshirë institucionet, agjencitë dhe personat juridikë publikë, që janë në pronësi ose nën kontroll të plotë të shtetit.</w:t>
            </w:r>
          </w:p>
        </w:tc>
        <w:tc>
          <w:tcPr>
            <w:tcW w:w="720" w:type="dxa"/>
          </w:tcPr>
          <w:p w14:paraId="39C1CF5E" w14:textId="5C74C37E"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5B3D2409" w14:textId="77777777" w:rsidR="002234E1" w:rsidRPr="00080E02" w:rsidRDefault="002234E1" w:rsidP="00E16BA5">
            <w:pPr>
              <w:rPr>
                <w:rFonts w:ascii="Times New Roman" w:eastAsia="Calibri" w:hAnsi="Times New Roman" w:cs="Times New Roman"/>
                <w:sz w:val="18"/>
                <w:szCs w:val="18"/>
              </w:rPr>
            </w:pPr>
          </w:p>
        </w:tc>
      </w:tr>
      <w:tr w:rsidR="002234E1" w:rsidRPr="00036F88" w14:paraId="6525AF8F" w14:textId="77777777" w:rsidTr="007C321D">
        <w:trPr>
          <w:trHeight w:val="2204"/>
        </w:trPr>
        <w:tc>
          <w:tcPr>
            <w:tcW w:w="630" w:type="dxa"/>
          </w:tcPr>
          <w:p w14:paraId="1162D0DF"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16F3A9B2" w14:textId="3E15B3CD"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"Numri i identifikimit të TVSH-së" do të thotë numri unik që identifikon një person të tatueshëm ose një person juridik jo të tatueshëm që është i regjistruar për qëllime të tatimit mbi vlerën e shtuar.</w:t>
            </w:r>
          </w:p>
        </w:tc>
        <w:tc>
          <w:tcPr>
            <w:tcW w:w="540" w:type="dxa"/>
          </w:tcPr>
          <w:p w14:paraId="1CC1CB5C"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51A35D04" w14:textId="61E0A9F1"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03343F12" w14:textId="02D23B6D"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nj) “Numri indetifikues i TVSH-së” është numri unik identifikues për qëllime të tatimit mbi vlerën e shtuar.</w:t>
            </w:r>
          </w:p>
        </w:tc>
        <w:tc>
          <w:tcPr>
            <w:tcW w:w="720" w:type="dxa"/>
          </w:tcPr>
          <w:p w14:paraId="06643623" w14:textId="4A2041D8"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4D7D90B8" w14:textId="77777777" w:rsidR="002234E1" w:rsidRPr="00080E02" w:rsidRDefault="002234E1" w:rsidP="00E16BA5">
            <w:pPr>
              <w:rPr>
                <w:rFonts w:ascii="Times New Roman" w:eastAsia="Calibri" w:hAnsi="Times New Roman" w:cs="Times New Roman"/>
                <w:sz w:val="18"/>
                <w:szCs w:val="18"/>
              </w:rPr>
            </w:pPr>
          </w:p>
        </w:tc>
      </w:tr>
      <w:tr w:rsidR="002234E1" w:rsidRPr="00036F88" w14:paraId="33046966" w14:textId="77777777" w:rsidTr="007C321D">
        <w:trPr>
          <w:trHeight w:val="2204"/>
        </w:trPr>
        <w:tc>
          <w:tcPr>
            <w:tcW w:w="630" w:type="dxa"/>
          </w:tcPr>
          <w:p w14:paraId="05EB081C"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24A2C7A8" w14:textId="6724FB1F"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5. "Adresa Kryesore" do të thotë adresa që është vendbanimi kryesor i një Shitësi që është një individ, si dhe adresa që është zyra e regjistruar e një Shitësi që është një Entitet.</w:t>
            </w:r>
          </w:p>
        </w:tc>
        <w:tc>
          <w:tcPr>
            <w:tcW w:w="540" w:type="dxa"/>
          </w:tcPr>
          <w:p w14:paraId="13D23553"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02547AF6" w14:textId="0E03FB79" w:rsidR="002234E1" w:rsidRPr="001725D0" w:rsidRDefault="00057F15"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7DFDDF9E" w14:textId="11DBC869"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o) “Adresa kryesore” është adresa e banimit për shitësit që janë individ ose adresa e selisë për shitësit që janë persona juridikë.</w:t>
            </w:r>
          </w:p>
        </w:tc>
        <w:tc>
          <w:tcPr>
            <w:tcW w:w="720" w:type="dxa"/>
          </w:tcPr>
          <w:p w14:paraId="0F78AFB5" w14:textId="3E6D9B9A"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23F96E2D" w14:textId="77777777" w:rsidR="002234E1" w:rsidRPr="00080E02" w:rsidRDefault="002234E1" w:rsidP="00E16BA5">
            <w:pPr>
              <w:rPr>
                <w:rFonts w:ascii="Times New Roman" w:eastAsia="Calibri" w:hAnsi="Times New Roman" w:cs="Times New Roman"/>
                <w:sz w:val="18"/>
                <w:szCs w:val="18"/>
              </w:rPr>
            </w:pPr>
          </w:p>
        </w:tc>
      </w:tr>
      <w:tr w:rsidR="002234E1" w:rsidRPr="00036F88" w14:paraId="22AC2B2D" w14:textId="77777777" w:rsidTr="007C321D">
        <w:trPr>
          <w:trHeight w:val="2204"/>
        </w:trPr>
        <w:tc>
          <w:tcPr>
            <w:tcW w:w="630" w:type="dxa"/>
          </w:tcPr>
          <w:p w14:paraId="7BEA283A"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61162C4F" w14:textId="6F9B8D43"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6. "Periudha e Raportueshme" do të thotë viti kalendarik në lidhje me të cilin po kryhet raportimi në përputhje me Seksionin III.</w:t>
            </w:r>
          </w:p>
        </w:tc>
        <w:tc>
          <w:tcPr>
            <w:tcW w:w="540" w:type="dxa"/>
          </w:tcPr>
          <w:p w14:paraId="2AAEBAA0"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0C3A637F" w14:textId="34D72CF2"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Neni </w:t>
            </w:r>
            <w:r w:rsidR="008C3267" w:rsidRPr="00915678">
              <w:rPr>
                <w:rFonts w:ascii="Times New Roman" w:eastAsia="Calibri" w:hAnsi="Times New Roman" w:cs="Times New Roman"/>
                <w:sz w:val="18"/>
                <w:szCs w:val="18"/>
                <w:lang w:val="en-US"/>
              </w:rPr>
              <w:t>2</w:t>
            </w:r>
          </w:p>
        </w:tc>
        <w:tc>
          <w:tcPr>
            <w:tcW w:w="5040" w:type="dxa"/>
          </w:tcPr>
          <w:p w14:paraId="3707AAAC" w14:textId="603283D4"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p) “Periudha e raportimit” është viti kalendarik për të cilin operatori i platformës është i detyruar të mbledhë dhe raportojë të dhënat për shitësit raportues.</w:t>
            </w:r>
          </w:p>
        </w:tc>
        <w:tc>
          <w:tcPr>
            <w:tcW w:w="720" w:type="dxa"/>
          </w:tcPr>
          <w:p w14:paraId="3C2B506B" w14:textId="0C22BF30"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64B8DABB" w14:textId="77777777" w:rsidR="002234E1" w:rsidRPr="00080E02" w:rsidRDefault="002234E1" w:rsidP="00E16BA5">
            <w:pPr>
              <w:rPr>
                <w:rFonts w:ascii="Times New Roman" w:eastAsia="Calibri" w:hAnsi="Times New Roman" w:cs="Times New Roman"/>
                <w:sz w:val="18"/>
                <w:szCs w:val="18"/>
              </w:rPr>
            </w:pPr>
          </w:p>
        </w:tc>
      </w:tr>
      <w:tr w:rsidR="002234E1" w:rsidRPr="00036F88" w14:paraId="0ABE86D3" w14:textId="77777777" w:rsidTr="007C321D">
        <w:trPr>
          <w:trHeight w:val="2204"/>
        </w:trPr>
        <w:tc>
          <w:tcPr>
            <w:tcW w:w="630" w:type="dxa"/>
          </w:tcPr>
          <w:p w14:paraId="561B4F69"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70C25784" w14:textId="7A054AA2"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7. "Lista e Pronës" do të thotë të gjitha njësitë e pasurive të paluajtshme të vendosura në të njëjtën adresë rruge, në pronësi të të njëjtit pronar dhe të ofruara me qira në një Platformë nga i njëjti Shitës.</w:t>
            </w:r>
          </w:p>
        </w:tc>
        <w:tc>
          <w:tcPr>
            <w:tcW w:w="540" w:type="dxa"/>
          </w:tcPr>
          <w:p w14:paraId="6AA46421"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3FA22586" w14:textId="08DFA9E4"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2</w:t>
            </w:r>
          </w:p>
        </w:tc>
        <w:tc>
          <w:tcPr>
            <w:tcW w:w="5040" w:type="dxa"/>
          </w:tcPr>
          <w:p w14:paraId="4A864FDC" w14:textId="045194EB"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q) “Pasuri e listuar” janë të gjitha njësitë e pasurive të paluajtshme në të njëjtën adresë, në pronësi të të njëjtit pronar dhe të ofruara me qira në platformë nga i njëjti shitës.</w:t>
            </w:r>
          </w:p>
        </w:tc>
        <w:tc>
          <w:tcPr>
            <w:tcW w:w="720" w:type="dxa"/>
          </w:tcPr>
          <w:p w14:paraId="1DB27E05" w14:textId="475DAC1D"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63994A26" w14:textId="77777777" w:rsidR="002234E1" w:rsidRPr="00080E02" w:rsidRDefault="002234E1" w:rsidP="00E16BA5">
            <w:pPr>
              <w:rPr>
                <w:rFonts w:ascii="Times New Roman" w:eastAsia="Calibri" w:hAnsi="Times New Roman" w:cs="Times New Roman"/>
                <w:sz w:val="18"/>
                <w:szCs w:val="18"/>
              </w:rPr>
            </w:pPr>
          </w:p>
        </w:tc>
      </w:tr>
      <w:tr w:rsidR="002234E1" w:rsidRPr="00036F88" w14:paraId="75503625" w14:textId="77777777" w:rsidTr="007C321D">
        <w:trPr>
          <w:trHeight w:val="2204"/>
        </w:trPr>
        <w:tc>
          <w:tcPr>
            <w:tcW w:w="630" w:type="dxa"/>
          </w:tcPr>
          <w:p w14:paraId="2B7EA4F4"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348AF0D8" w14:textId="3D9B827E"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8. "Identifikues i Llogarisë Financiare" do të thotë numri unik identifikues ose referenca në dispozicion të Operatorit të Platformës të llogarisë bankare ose llogarisë tjetër të ngjashme të shërbimeve të pagesave në të cilën paguhet ose kreditohet Konsiderata.</w:t>
            </w:r>
          </w:p>
        </w:tc>
        <w:tc>
          <w:tcPr>
            <w:tcW w:w="540" w:type="dxa"/>
          </w:tcPr>
          <w:p w14:paraId="51465DE4"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138CE25A" w14:textId="1AFDD6A0"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1ED4471A" w14:textId="12C743B8" w:rsidR="002234E1" w:rsidRPr="002234E1"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r) “Identifikues i Llogarisë Financiare” nënkupton numrin unik identifikues ose referencën që vihet në dispozicion të Operatorit të Platformës për llogarinë bankare ose llogari tjetër të ngjashme të shërbimeve të pagesave, në të cilën shpërblimi paguhet ose kreditohet.</w:t>
            </w:r>
          </w:p>
        </w:tc>
        <w:tc>
          <w:tcPr>
            <w:tcW w:w="720" w:type="dxa"/>
          </w:tcPr>
          <w:p w14:paraId="50B870F5" w14:textId="2A979732"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4ED24FE7" w14:textId="77777777" w:rsidR="002234E1" w:rsidRPr="00080E02" w:rsidRDefault="002234E1" w:rsidP="00E16BA5">
            <w:pPr>
              <w:rPr>
                <w:rFonts w:ascii="Times New Roman" w:eastAsia="Calibri" w:hAnsi="Times New Roman" w:cs="Times New Roman"/>
                <w:sz w:val="18"/>
                <w:szCs w:val="18"/>
              </w:rPr>
            </w:pPr>
          </w:p>
        </w:tc>
      </w:tr>
      <w:tr w:rsidR="002234E1" w:rsidRPr="00036F88" w14:paraId="4F6DAE32" w14:textId="77777777" w:rsidTr="007C321D">
        <w:trPr>
          <w:trHeight w:val="2204"/>
        </w:trPr>
        <w:tc>
          <w:tcPr>
            <w:tcW w:w="630" w:type="dxa"/>
          </w:tcPr>
          <w:p w14:paraId="224D4A03"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0A1D2784" w14:textId="656F0C75" w:rsidR="002234E1" w:rsidRPr="001725D0" w:rsidRDefault="002234E1" w:rsidP="002234E1">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9. "Mallra" do të thotë çdo pronë e prekshme.</w:t>
            </w:r>
          </w:p>
        </w:tc>
        <w:tc>
          <w:tcPr>
            <w:tcW w:w="540" w:type="dxa"/>
          </w:tcPr>
          <w:p w14:paraId="1B819EF0" w14:textId="77777777" w:rsidR="002234E1" w:rsidRPr="00036F88" w:rsidRDefault="002234E1" w:rsidP="003C045B">
            <w:pPr>
              <w:jc w:val="center"/>
              <w:rPr>
                <w:rFonts w:ascii="Times New Roman" w:eastAsia="Calibri" w:hAnsi="Times New Roman" w:cs="Times New Roman"/>
                <w:sz w:val="18"/>
                <w:szCs w:val="18"/>
                <w:highlight w:val="cyan"/>
              </w:rPr>
            </w:pPr>
          </w:p>
        </w:tc>
        <w:tc>
          <w:tcPr>
            <w:tcW w:w="554" w:type="dxa"/>
          </w:tcPr>
          <w:p w14:paraId="56BB2890" w14:textId="57BEEE4E"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6510122C" w14:textId="371237FD" w:rsidR="002234E1" w:rsidRPr="002234E1" w:rsidRDefault="005331A6" w:rsidP="002234E1">
            <w:pPr>
              <w:jc w:val="both"/>
              <w:rPr>
                <w:rFonts w:ascii="Times New Roman" w:hAnsi="Times New Roman" w:cs="Times New Roman"/>
                <w:sz w:val="18"/>
                <w:szCs w:val="18"/>
              </w:rPr>
            </w:pPr>
            <w:r w:rsidRPr="005331A6">
              <w:rPr>
                <w:rFonts w:ascii="Times New Roman" w:hAnsi="Times New Roman" w:cs="Times New Roman"/>
                <w:sz w:val="18"/>
                <w:szCs w:val="18"/>
              </w:rPr>
              <w:t>rr) "Mallra" janë çdo pasuri materiale.</w:t>
            </w:r>
          </w:p>
        </w:tc>
        <w:tc>
          <w:tcPr>
            <w:tcW w:w="720" w:type="dxa"/>
          </w:tcPr>
          <w:p w14:paraId="34961779" w14:textId="442A3962"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D0F4F99" w14:textId="77777777" w:rsidR="002234E1" w:rsidRPr="00080E02" w:rsidRDefault="002234E1" w:rsidP="00E16BA5">
            <w:pPr>
              <w:rPr>
                <w:rFonts w:ascii="Times New Roman" w:eastAsia="Calibri" w:hAnsi="Times New Roman" w:cs="Times New Roman"/>
                <w:sz w:val="18"/>
                <w:szCs w:val="18"/>
              </w:rPr>
            </w:pPr>
          </w:p>
        </w:tc>
      </w:tr>
      <w:tr w:rsidR="00714583" w:rsidRPr="00036F88" w14:paraId="62F1DDB0" w14:textId="77777777" w:rsidTr="007C321D">
        <w:trPr>
          <w:trHeight w:val="2204"/>
        </w:trPr>
        <w:tc>
          <w:tcPr>
            <w:tcW w:w="630" w:type="dxa"/>
          </w:tcPr>
          <w:p w14:paraId="079257D1"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3FA32187" w14:textId="77777777" w:rsidR="00A20927" w:rsidRPr="001725D0" w:rsidRDefault="00A20927" w:rsidP="00A20927">
            <w:pPr>
              <w:jc w:val="center"/>
              <w:rPr>
                <w:rFonts w:ascii="Times New Roman" w:eastAsia="Calibri" w:hAnsi="Times New Roman" w:cs="Times New Roman"/>
                <w:iCs/>
                <w:sz w:val="18"/>
                <w:szCs w:val="18"/>
                <w:lang w:val="en-US"/>
              </w:rPr>
            </w:pPr>
          </w:p>
          <w:p w14:paraId="143FA1E7" w14:textId="6AE3C901" w:rsidR="00714583" w:rsidRPr="002234E1" w:rsidRDefault="00A20927" w:rsidP="00A20927">
            <w:pPr>
              <w:jc w:val="center"/>
              <w:rPr>
                <w:rFonts w:ascii="Times New Roman" w:eastAsia="Calibri" w:hAnsi="Times New Roman" w:cs="Times New Roman"/>
                <w:iCs/>
                <w:sz w:val="18"/>
                <w:szCs w:val="18"/>
                <w:lang w:val="it-CH"/>
              </w:rPr>
            </w:pPr>
            <w:r>
              <w:rPr>
                <w:rFonts w:ascii="Times New Roman" w:eastAsia="Calibri" w:hAnsi="Times New Roman" w:cs="Times New Roman"/>
                <w:iCs/>
                <w:sz w:val="18"/>
                <w:szCs w:val="18"/>
                <w:lang w:val="it-CH"/>
              </w:rPr>
              <w:t>N/A</w:t>
            </w:r>
          </w:p>
        </w:tc>
        <w:tc>
          <w:tcPr>
            <w:tcW w:w="540" w:type="dxa"/>
          </w:tcPr>
          <w:p w14:paraId="6832DE80" w14:textId="77777777" w:rsidR="00714583" w:rsidRPr="00036F88" w:rsidRDefault="00714583" w:rsidP="003C045B">
            <w:pPr>
              <w:jc w:val="center"/>
              <w:rPr>
                <w:rFonts w:ascii="Times New Roman" w:eastAsia="Calibri" w:hAnsi="Times New Roman" w:cs="Times New Roman"/>
                <w:sz w:val="18"/>
                <w:szCs w:val="18"/>
                <w:highlight w:val="cyan"/>
              </w:rPr>
            </w:pPr>
          </w:p>
        </w:tc>
        <w:tc>
          <w:tcPr>
            <w:tcW w:w="554" w:type="dxa"/>
          </w:tcPr>
          <w:p w14:paraId="028ECE90" w14:textId="7DEBB132" w:rsidR="00714583" w:rsidRPr="00036F88" w:rsidRDefault="009A64FF" w:rsidP="003C045B">
            <w:pPr>
              <w:jc w:val="center"/>
              <w:rPr>
                <w:rFonts w:ascii="Times New Roman" w:eastAsia="Calibri" w:hAnsi="Times New Roman" w:cs="Times New Roman"/>
                <w:sz w:val="18"/>
                <w:szCs w:val="18"/>
                <w:highlight w:val="cyan"/>
                <w:lang w:val="it-CH"/>
              </w:rPr>
            </w:pPr>
            <w:r>
              <w:rPr>
                <w:rFonts w:ascii="Times New Roman" w:eastAsia="Calibri" w:hAnsi="Times New Roman" w:cs="Times New Roman"/>
                <w:sz w:val="18"/>
                <w:szCs w:val="18"/>
                <w:lang w:val="en-US"/>
              </w:rPr>
              <w:t xml:space="preserve">Neni </w:t>
            </w:r>
            <w:r w:rsidR="008C3267" w:rsidRPr="00915678">
              <w:rPr>
                <w:rFonts w:ascii="Times New Roman" w:eastAsia="Calibri" w:hAnsi="Times New Roman" w:cs="Times New Roman"/>
                <w:sz w:val="18"/>
                <w:szCs w:val="18"/>
                <w:lang w:val="en-US"/>
              </w:rPr>
              <w:t>2</w:t>
            </w:r>
          </w:p>
        </w:tc>
        <w:tc>
          <w:tcPr>
            <w:tcW w:w="5040" w:type="dxa"/>
          </w:tcPr>
          <w:p w14:paraId="3B9719AB" w14:textId="49A142FD" w:rsidR="00714583" w:rsidRPr="00714583" w:rsidRDefault="00714583" w:rsidP="002234E1">
            <w:pPr>
              <w:jc w:val="both"/>
              <w:rPr>
                <w:rFonts w:ascii="Times New Roman" w:hAnsi="Times New Roman" w:cs="Times New Roman"/>
                <w:sz w:val="18"/>
                <w:szCs w:val="18"/>
              </w:rPr>
            </w:pPr>
            <w:r w:rsidRPr="00714583">
              <w:rPr>
                <w:rFonts w:ascii="Times New Roman" w:hAnsi="Times New Roman" w:cs="Times New Roman"/>
                <w:sz w:val="18"/>
                <w:szCs w:val="18"/>
              </w:rPr>
              <w:t>s) "Autoriteti Kompetent" për qëllimet e këtij Ligji është Drejtoria e Përgjithshme e Tatimeve.</w:t>
            </w:r>
          </w:p>
        </w:tc>
        <w:tc>
          <w:tcPr>
            <w:tcW w:w="720" w:type="dxa"/>
          </w:tcPr>
          <w:p w14:paraId="2EC0872C" w14:textId="77777777" w:rsidR="00714583" w:rsidRDefault="00714583" w:rsidP="003C045B">
            <w:pPr>
              <w:jc w:val="center"/>
              <w:rPr>
                <w:rFonts w:ascii="Times New Roman" w:eastAsia="Calibri" w:hAnsi="Times New Roman" w:cs="Times New Roman"/>
                <w:sz w:val="18"/>
                <w:szCs w:val="18"/>
              </w:rPr>
            </w:pPr>
          </w:p>
        </w:tc>
        <w:tc>
          <w:tcPr>
            <w:tcW w:w="3406" w:type="dxa"/>
          </w:tcPr>
          <w:p w14:paraId="2947A0AB" w14:textId="77777777" w:rsidR="00A20927" w:rsidRPr="00A20927" w:rsidRDefault="00A20927" w:rsidP="00A20927">
            <w:pPr>
              <w:rPr>
                <w:rFonts w:ascii="Times New Roman" w:eastAsia="Calibri" w:hAnsi="Times New Roman" w:cs="Times New Roman"/>
                <w:sz w:val="18"/>
                <w:szCs w:val="18"/>
              </w:rPr>
            </w:pPr>
          </w:p>
          <w:p w14:paraId="3BEB88BA" w14:textId="77777777" w:rsidR="00A20927" w:rsidRPr="00A20927" w:rsidRDefault="00A20927" w:rsidP="00A20927">
            <w:pPr>
              <w:rPr>
                <w:rFonts w:ascii="Times New Roman" w:eastAsia="Calibri" w:hAnsi="Times New Roman" w:cs="Times New Roman"/>
                <w:sz w:val="18"/>
                <w:szCs w:val="18"/>
              </w:rPr>
            </w:pPr>
            <w:r w:rsidRPr="00A20927">
              <w:rPr>
                <w:rFonts w:ascii="Times New Roman" w:eastAsia="Calibri" w:hAnsi="Times New Roman" w:cs="Times New Roman"/>
                <w:sz w:val="18"/>
                <w:szCs w:val="18"/>
              </w:rPr>
              <w:t>Direktiva 2011/16/BE kërkon që Shtetet Anëtare të caktojnë një autoritet kompetent</w:t>
            </w:r>
          </w:p>
          <w:p w14:paraId="2B0E697E" w14:textId="55E921C8" w:rsidR="00714583" w:rsidRPr="00080E02" w:rsidRDefault="00A20927" w:rsidP="00A20927">
            <w:pPr>
              <w:rPr>
                <w:rFonts w:ascii="Times New Roman" w:eastAsia="Calibri" w:hAnsi="Times New Roman" w:cs="Times New Roman"/>
                <w:sz w:val="18"/>
                <w:szCs w:val="18"/>
              </w:rPr>
            </w:pPr>
            <w:r w:rsidRPr="00A20927">
              <w:rPr>
                <w:rFonts w:ascii="Times New Roman" w:eastAsia="Calibri" w:hAnsi="Times New Roman" w:cs="Times New Roman"/>
                <w:sz w:val="18"/>
                <w:szCs w:val="18"/>
              </w:rPr>
              <w:t>përgjegjës për zbatimin e Direktivës.</w:t>
            </w:r>
          </w:p>
        </w:tc>
      </w:tr>
      <w:tr w:rsidR="00714583" w:rsidRPr="00036F88" w14:paraId="0BCF5F39" w14:textId="77777777" w:rsidTr="007C321D">
        <w:trPr>
          <w:trHeight w:val="2204"/>
        </w:trPr>
        <w:tc>
          <w:tcPr>
            <w:tcW w:w="630" w:type="dxa"/>
          </w:tcPr>
          <w:p w14:paraId="2B72A93C"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54596CC2" w14:textId="77777777" w:rsidR="00714583" w:rsidRPr="001725D0" w:rsidRDefault="00714583" w:rsidP="00714583">
            <w:pPr>
              <w:jc w:val="center"/>
              <w:rPr>
                <w:rFonts w:ascii="Times New Roman" w:eastAsia="Calibri" w:hAnsi="Times New Roman" w:cs="Times New Roman"/>
                <w:iCs/>
                <w:sz w:val="18"/>
                <w:szCs w:val="18"/>
                <w:lang w:val="en-US"/>
              </w:rPr>
            </w:pPr>
          </w:p>
          <w:p w14:paraId="08DF93FA" w14:textId="77777777" w:rsidR="00714583" w:rsidRPr="001725D0" w:rsidRDefault="00714583" w:rsidP="00714583">
            <w:pPr>
              <w:jc w:val="center"/>
              <w:rPr>
                <w:rFonts w:ascii="Times New Roman" w:eastAsia="Calibri" w:hAnsi="Times New Roman" w:cs="Times New Roman"/>
                <w:iCs/>
                <w:sz w:val="18"/>
                <w:szCs w:val="18"/>
                <w:lang w:val="en-US"/>
              </w:rPr>
            </w:pPr>
          </w:p>
          <w:p w14:paraId="68D33A3C" w14:textId="05AE4026" w:rsidR="00714583" w:rsidRPr="002234E1" w:rsidRDefault="00714583" w:rsidP="00714583">
            <w:pPr>
              <w:jc w:val="center"/>
              <w:rPr>
                <w:rFonts w:ascii="Times New Roman" w:eastAsia="Calibri" w:hAnsi="Times New Roman" w:cs="Times New Roman"/>
                <w:iCs/>
                <w:sz w:val="18"/>
                <w:szCs w:val="18"/>
                <w:lang w:val="it-CH"/>
              </w:rPr>
            </w:pPr>
            <w:r>
              <w:rPr>
                <w:rFonts w:ascii="Times New Roman" w:eastAsia="Calibri" w:hAnsi="Times New Roman" w:cs="Times New Roman"/>
                <w:iCs/>
                <w:sz w:val="18"/>
                <w:szCs w:val="18"/>
                <w:lang w:val="it-CH"/>
              </w:rPr>
              <w:t>N/A</w:t>
            </w:r>
          </w:p>
        </w:tc>
        <w:tc>
          <w:tcPr>
            <w:tcW w:w="540" w:type="dxa"/>
          </w:tcPr>
          <w:p w14:paraId="0A6E0F07" w14:textId="77777777" w:rsidR="00714583" w:rsidRPr="00036F88" w:rsidRDefault="00714583" w:rsidP="003C045B">
            <w:pPr>
              <w:jc w:val="center"/>
              <w:rPr>
                <w:rFonts w:ascii="Times New Roman" w:eastAsia="Calibri" w:hAnsi="Times New Roman" w:cs="Times New Roman"/>
                <w:sz w:val="18"/>
                <w:szCs w:val="18"/>
                <w:highlight w:val="cyan"/>
              </w:rPr>
            </w:pPr>
          </w:p>
        </w:tc>
        <w:tc>
          <w:tcPr>
            <w:tcW w:w="554" w:type="dxa"/>
          </w:tcPr>
          <w:p w14:paraId="3B43435B" w14:textId="537A45D5" w:rsidR="00714583" w:rsidRPr="00036F88" w:rsidRDefault="009A64FF" w:rsidP="003C045B">
            <w:pPr>
              <w:jc w:val="center"/>
              <w:rPr>
                <w:rFonts w:ascii="Times New Roman" w:eastAsia="Calibri" w:hAnsi="Times New Roman" w:cs="Times New Roman"/>
                <w:sz w:val="18"/>
                <w:szCs w:val="18"/>
                <w:highlight w:val="cyan"/>
                <w:lang w:val="it-CH"/>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1E7BBC4C" w14:textId="1623A494" w:rsidR="00714583" w:rsidRPr="00714583" w:rsidRDefault="009A64FF" w:rsidP="009A64FF">
            <w:pPr>
              <w:spacing w:line="276" w:lineRule="auto"/>
              <w:jc w:val="both"/>
              <w:rPr>
                <w:rFonts w:ascii="Times New Roman" w:hAnsi="Times New Roman" w:cs="Times New Roman"/>
                <w:sz w:val="18"/>
                <w:szCs w:val="18"/>
              </w:rPr>
            </w:pPr>
            <w:r>
              <w:rPr>
                <w:rFonts w:ascii="Times New Roman" w:hAnsi="Times New Roman" w:cs="Times New Roman"/>
                <w:sz w:val="18"/>
                <w:szCs w:val="18"/>
              </w:rPr>
              <w:t>sh</w:t>
            </w:r>
            <w:r w:rsidRPr="009A64FF">
              <w:rPr>
                <w:rFonts w:ascii="Times New Roman" w:hAnsi="Times New Roman" w:cs="Times New Roman"/>
                <w:sz w:val="18"/>
                <w:szCs w:val="18"/>
              </w:rPr>
              <w:t>) “Shërbim identifikimi” është një proces elektronik falas, i ofruar nga një Shtet Anëtar ose nga Bashkimi Evropian, që mundëson operatorin e platformës të verifikojë identitetin dhe rezidencën tatimore të një shitësi, sipas legjislacionit tatimor. Përdorimi i këtij shërbimi nuk e heq detyrimin e operatorit për të mbledhur dhe raportuar të gjitha të dhënat e kërkuara nga ky ligj dhe aktet nënligjore, përveç rasteve të parashikuara si përjashtime nga rregullorja përkatëse e BE-së për shërbimet e identifikimit elektronik.</w:t>
            </w:r>
          </w:p>
        </w:tc>
        <w:tc>
          <w:tcPr>
            <w:tcW w:w="720" w:type="dxa"/>
          </w:tcPr>
          <w:p w14:paraId="0BF378F8" w14:textId="77777777" w:rsidR="00714583" w:rsidRDefault="00714583" w:rsidP="003C045B">
            <w:pPr>
              <w:jc w:val="center"/>
              <w:rPr>
                <w:rFonts w:ascii="Times New Roman" w:eastAsia="Calibri" w:hAnsi="Times New Roman" w:cs="Times New Roman"/>
                <w:sz w:val="18"/>
                <w:szCs w:val="18"/>
              </w:rPr>
            </w:pPr>
          </w:p>
        </w:tc>
        <w:tc>
          <w:tcPr>
            <w:tcW w:w="3406" w:type="dxa"/>
          </w:tcPr>
          <w:p w14:paraId="485D9885" w14:textId="77777777" w:rsidR="00714583" w:rsidRPr="00714583" w:rsidRDefault="00714583" w:rsidP="00714583">
            <w:pPr>
              <w:rPr>
                <w:rFonts w:ascii="Times New Roman" w:eastAsia="Calibri" w:hAnsi="Times New Roman" w:cs="Times New Roman"/>
                <w:sz w:val="18"/>
                <w:szCs w:val="18"/>
              </w:rPr>
            </w:pPr>
          </w:p>
          <w:p w14:paraId="24A803FE" w14:textId="5B722160" w:rsidR="00714583" w:rsidRPr="00714583" w:rsidRDefault="00714583" w:rsidP="00714583">
            <w:pPr>
              <w:rPr>
                <w:rFonts w:ascii="Times New Roman" w:eastAsia="Calibri" w:hAnsi="Times New Roman" w:cs="Times New Roman"/>
                <w:sz w:val="18"/>
                <w:szCs w:val="18"/>
              </w:rPr>
            </w:pPr>
            <w:r w:rsidRPr="00714583">
              <w:rPr>
                <w:rFonts w:ascii="Times New Roman" w:eastAsia="Calibri" w:hAnsi="Times New Roman" w:cs="Times New Roman"/>
                <w:sz w:val="18"/>
                <w:szCs w:val="18"/>
              </w:rPr>
              <w:t>Koncepti i një “Shërbimi Identifikimi” nuk është përcaktuar në mënyrë të qartë në Direktivën (BE) 2021/514. Projektligji prezanton një përkufizim për këtë term për</w:t>
            </w:r>
          </w:p>
          <w:p w14:paraId="16746EE7" w14:textId="44775776" w:rsidR="00714583" w:rsidRPr="00080E02" w:rsidRDefault="00714583" w:rsidP="00714583">
            <w:pPr>
              <w:rPr>
                <w:rFonts w:ascii="Times New Roman" w:eastAsia="Calibri" w:hAnsi="Times New Roman" w:cs="Times New Roman"/>
                <w:sz w:val="18"/>
                <w:szCs w:val="18"/>
              </w:rPr>
            </w:pPr>
            <w:r w:rsidRPr="00714583">
              <w:rPr>
                <w:rFonts w:ascii="Times New Roman" w:eastAsia="Calibri" w:hAnsi="Times New Roman" w:cs="Times New Roman"/>
                <w:sz w:val="18"/>
                <w:szCs w:val="18"/>
              </w:rPr>
              <w:t>qartësi dhe konsistencë me mekanizmat e identifikimit elektronik të BE-së.</w:t>
            </w:r>
          </w:p>
        </w:tc>
      </w:tr>
      <w:tr w:rsidR="00714583" w:rsidRPr="00036F88" w14:paraId="622F21C1" w14:textId="77777777" w:rsidTr="007C321D">
        <w:trPr>
          <w:trHeight w:val="2204"/>
        </w:trPr>
        <w:tc>
          <w:tcPr>
            <w:tcW w:w="630" w:type="dxa"/>
          </w:tcPr>
          <w:p w14:paraId="4E5AD9FE"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06B991DD" w14:textId="77777777" w:rsidR="00714583" w:rsidRPr="001725D0" w:rsidRDefault="00714583" w:rsidP="00714583">
            <w:pPr>
              <w:jc w:val="center"/>
              <w:rPr>
                <w:rFonts w:ascii="Times New Roman" w:eastAsia="Calibri" w:hAnsi="Times New Roman" w:cs="Times New Roman"/>
                <w:iCs/>
                <w:sz w:val="18"/>
                <w:szCs w:val="18"/>
                <w:lang w:val="en-US"/>
              </w:rPr>
            </w:pPr>
          </w:p>
          <w:p w14:paraId="0E69CF30" w14:textId="0EEF205F" w:rsidR="00714583" w:rsidRPr="00714583" w:rsidRDefault="00714583" w:rsidP="00714583">
            <w:pPr>
              <w:jc w:val="center"/>
              <w:rPr>
                <w:rFonts w:ascii="Times New Roman" w:eastAsia="Calibri" w:hAnsi="Times New Roman" w:cs="Times New Roman"/>
                <w:iCs/>
                <w:sz w:val="18"/>
                <w:szCs w:val="18"/>
                <w:lang w:val="it-CH"/>
              </w:rPr>
            </w:pPr>
            <w:r w:rsidRPr="00714583">
              <w:rPr>
                <w:rFonts w:ascii="Times New Roman" w:eastAsia="Calibri" w:hAnsi="Times New Roman" w:cs="Times New Roman"/>
                <w:iCs/>
                <w:sz w:val="18"/>
                <w:szCs w:val="18"/>
                <w:lang w:val="it-CH"/>
              </w:rPr>
              <w:t>N/A</w:t>
            </w:r>
          </w:p>
        </w:tc>
        <w:tc>
          <w:tcPr>
            <w:tcW w:w="540" w:type="dxa"/>
          </w:tcPr>
          <w:p w14:paraId="0C3E216F" w14:textId="77777777" w:rsidR="00714583" w:rsidRPr="00036F88" w:rsidRDefault="00714583" w:rsidP="003C045B">
            <w:pPr>
              <w:jc w:val="center"/>
              <w:rPr>
                <w:rFonts w:ascii="Times New Roman" w:eastAsia="Calibri" w:hAnsi="Times New Roman" w:cs="Times New Roman"/>
                <w:sz w:val="18"/>
                <w:szCs w:val="18"/>
                <w:highlight w:val="cyan"/>
              </w:rPr>
            </w:pPr>
          </w:p>
        </w:tc>
        <w:tc>
          <w:tcPr>
            <w:tcW w:w="554" w:type="dxa"/>
          </w:tcPr>
          <w:p w14:paraId="46954D41" w14:textId="15521C4C" w:rsidR="00714583" w:rsidRPr="00036F88" w:rsidRDefault="009A64FF" w:rsidP="003C045B">
            <w:pPr>
              <w:jc w:val="center"/>
              <w:rPr>
                <w:rFonts w:ascii="Times New Roman" w:eastAsia="Calibri" w:hAnsi="Times New Roman" w:cs="Times New Roman"/>
                <w:sz w:val="18"/>
                <w:szCs w:val="18"/>
                <w:highlight w:val="cyan"/>
                <w:lang w:val="it-CH"/>
              </w:rPr>
            </w:pPr>
            <w:r>
              <w:rPr>
                <w:rFonts w:ascii="Times New Roman" w:eastAsia="Calibri" w:hAnsi="Times New Roman" w:cs="Times New Roman"/>
                <w:sz w:val="18"/>
                <w:szCs w:val="18"/>
                <w:lang w:val="en-US"/>
              </w:rPr>
              <w:t>Neni</w:t>
            </w:r>
            <w:r w:rsidR="008C3267" w:rsidRPr="00915678">
              <w:rPr>
                <w:rFonts w:ascii="Times New Roman" w:eastAsia="Calibri" w:hAnsi="Times New Roman" w:cs="Times New Roman"/>
                <w:sz w:val="18"/>
                <w:szCs w:val="18"/>
                <w:lang w:val="en-US"/>
              </w:rPr>
              <w:t xml:space="preserve"> 2</w:t>
            </w:r>
          </w:p>
        </w:tc>
        <w:tc>
          <w:tcPr>
            <w:tcW w:w="5040" w:type="dxa"/>
          </w:tcPr>
          <w:p w14:paraId="68C19DB6" w14:textId="5281CDD8" w:rsidR="00714583" w:rsidRPr="00714583" w:rsidRDefault="009A64FF" w:rsidP="002234E1">
            <w:pPr>
              <w:jc w:val="both"/>
              <w:rPr>
                <w:rFonts w:ascii="Times New Roman" w:hAnsi="Times New Roman" w:cs="Times New Roman"/>
                <w:sz w:val="18"/>
                <w:szCs w:val="18"/>
              </w:rPr>
            </w:pPr>
            <w:r w:rsidRPr="009A64FF">
              <w:rPr>
                <w:rFonts w:ascii="Times New Roman" w:hAnsi="Times New Roman" w:cs="Times New Roman"/>
                <w:sz w:val="18"/>
                <w:szCs w:val="18"/>
              </w:rPr>
              <w:t>t) “shkelje e të dhënave” ka të njëjtin kuptim siç është përcaktuar në ligjin ‘Për bashkëpunimin administrativ në fushën e tatimeve dhe shkëmbimit të informacionit tatimor”.</w:t>
            </w:r>
          </w:p>
        </w:tc>
        <w:tc>
          <w:tcPr>
            <w:tcW w:w="720" w:type="dxa"/>
          </w:tcPr>
          <w:p w14:paraId="66CC4CEB" w14:textId="77777777" w:rsidR="00714583" w:rsidRDefault="00714583" w:rsidP="003C045B">
            <w:pPr>
              <w:jc w:val="center"/>
              <w:rPr>
                <w:rFonts w:ascii="Times New Roman" w:eastAsia="Calibri" w:hAnsi="Times New Roman" w:cs="Times New Roman"/>
                <w:sz w:val="18"/>
                <w:szCs w:val="18"/>
              </w:rPr>
            </w:pPr>
          </w:p>
        </w:tc>
        <w:tc>
          <w:tcPr>
            <w:tcW w:w="3406" w:type="dxa"/>
          </w:tcPr>
          <w:p w14:paraId="6316C608" w14:textId="77777777" w:rsidR="00714583" w:rsidRPr="00714583" w:rsidRDefault="00714583" w:rsidP="00714583">
            <w:pPr>
              <w:rPr>
                <w:rFonts w:ascii="Times New Roman" w:eastAsia="Calibri" w:hAnsi="Times New Roman" w:cs="Times New Roman"/>
                <w:sz w:val="18"/>
                <w:szCs w:val="18"/>
              </w:rPr>
            </w:pPr>
          </w:p>
          <w:p w14:paraId="7BB7FF50" w14:textId="77777777" w:rsidR="00714583" w:rsidRPr="00714583" w:rsidRDefault="00714583" w:rsidP="00714583">
            <w:pPr>
              <w:rPr>
                <w:rFonts w:ascii="Times New Roman" w:eastAsia="Calibri" w:hAnsi="Times New Roman" w:cs="Times New Roman"/>
                <w:sz w:val="18"/>
                <w:szCs w:val="18"/>
              </w:rPr>
            </w:pPr>
            <w:r w:rsidRPr="00714583">
              <w:rPr>
                <w:rFonts w:ascii="Times New Roman" w:eastAsia="Calibri" w:hAnsi="Times New Roman" w:cs="Times New Roman"/>
                <w:sz w:val="18"/>
                <w:szCs w:val="18"/>
              </w:rPr>
              <w:t>Koncepti i "shkeljes së të dhënave" nuk është përcaktuar shprehimisht në Direktivën (BE) 2021/514.</w:t>
            </w:r>
          </w:p>
          <w:p w14:paraId="65495591" w14:textId="547781AE" w:rsidR="00714583" w:rsidRPr="00714583" w:rsidRDefault="00714583" w:rsidP="00714583">
            <w:pPr>
              <w:rPr>
                <w:rFonts w:ascii="Times New Roman" w:eastAsia="Calibri" w:hAnsi="Times New Roman" w:cs="Times New Roman"/>
                <w:sz w:val="18"/>
                <w:szCs w:val="18"/>
              </w:rPr>
            </w:pPr>
            <w:r w:rsidRPr="00714583">
              <w:rPr>
                <w:rFonts w:ascii="Times New Roman" w:eastAsia="Calibri" w:hAnsi="Times New Roman" w:cs="Times New Roman"/>
                <w:sz w:val="18"/>
                <w:szCs w:val="18"/>
              </w:rPr>
              <w:t>Për të siguruar qartësi ligjore dhe përputhshmëri me legjislacionin kombëtar ekzistues,</w:t>
            </w:r>
            <w:r w:rsidR="009A64FF">
              <w:rPr>
                <w:rFonts w:ascii="Times New Roman" w:eastAsia="Calibri" w:hAnsi="Times New Roman" w:cs="Times New Roman"/>
                <w:sz w:val="18"/>
                <w:szCs w:val="18"/>
              </w:rPr>
              <w:t xml:space="preserve"> </w:t>
            </w:r>
            <w:r w:rsidRPr="00714583">
              <w:rPr>
                <w:rFonts w:ascii="Times New Roman" w:eastAsia="Calibri" w:hAnsi="Times New Roman" w:cs="Times New Roman"/>
                <w:sz w:val="18"/>
                <w:szCs w:val="18"/>
              </w:rPr>
              <w:t xml:space="preserve">kornizës mbi bashkëpunimin administrativ, </w:t>
            </w:r>
            <w:r w:rsidR="009A64FF">
              <w:rPr>
                <w:rFonts w:ascii="Times New Roman" w:eastAsia="Calibri" w:hAnsi="Times New Roman" w:cs="Times New Roman"/>
                <w:sz w:val="18"/>
                <w:szCs w:val="18"/>
              </w:rPr>
              <w:t>p</w:t>
            </w:r>
            <w:r w:rsidRPr="00714583">
              <w:rPr>
                <w:rFonts w:ascii="Times New Roman" w:eastAsia="Calibri" w:hAnsi="Times New Roman" w:cs="Times New Roman"/>
                <w:sz w:val="18"/>
                <w:szCs w:val="18"/>
              </w:rPr>
              <w:t>rojektligji i referohet përkufizimit</w:t>
            </w:r>
            <w:r w:rsidR="009A64FF">
              <w:rPr>
                <w:rFonts w:ascii="Times New Roman" w:eastAsia="Calibri" w:hAnsi="Times New Roman" w:cs="Times New Roman"/>
                <w:sz w:val="18"/>
                <w:szCs w:val="18"/>
              </w:rPr>
              <w:t xml:space="preserve"> </w:t>
            </w:r>
            <w:r w:rsidRPr="00714583">
              <w:rPr>
                <w:rFonts w:ascii="Times New Roman" w:eastAsia="Calibri" w:hAnsi="Times New Roman" w:cs="Times New Roman"/>
                <w:sz w:val="18"/>
                <w:szCs w:val="18"/>
              </w:rPr>
              <w:t>e “shkeljes së të dhënave” siç është përcaktuar tashmë në Ligjin “Për Bashkëpunimin Administrativ</w:t>
            </w:r>
          </w:p>
          <w:p w14:paraId="46AFD299" w14:textId="49649908" w:rsidR="00714583" w:rsidRPr="00080E02" w:rsidRDefault="00714583" w:rsidP="00714583">
            <w:pPr>
              <w:rPr>
                <w:rFonts w:ascii="Times New Roman" w:eastAsia="Calibri" w:hAnsi="Times New Roman" w:cs="Times New Roman"/>
                <w:sz w:val="18"/>
                <w:szCs w:val="18"/>
              </w:rPr>
            </w:pPr>
            <w:r w:rsidRPr="00714583">
              <w:rPr>
                <w:rFonts w:ascii="Times New Roman" w:eastAsia="Calibri" w:hAnsi="Times New Roman" w:cs="Times New Roman"/>
                <w:sz w:val="18"/>
                <w:szCs w:val="18"/>
              </w:rPr>
              <w:t>në Fushën e Taksave dhe Shkëmbimit të Informacionit Tatimor”.</w:t>
            </w:r>
          </w:p>
        </w:tc>
      </w:tr>
      <w:tr w:rsidR="00FC68D3" w:rsidRPr="00036F88" w14:paraId="54A5379B" w14:textId="77777777" w:rsidTr="007C321D">
        <w:trPr>
          <w:trHeight w:val="854"/>
        </w:trPr>
        <w:tc>
          <w:tcPr>
            <w:tcW w:w="630" w:type="dxa"/>
          </w:tcPr>
          <w:p w14:paraId="6507A054" w14:textId="77777777" w:rsidR="00FC68D3" w:rsidRPr="00036F88" w:rsidRDefault="00FC68D3" w:rsidP="00AF6E05">
            <w:pPr>
              <w:jc w:val="both"/>
              <w:rPr>
                <w:rFonts w:ascii="Times New Roman" w:eastAsia="Calibri" w:hAnsi="Times New Roman" w:cs="Times New Roman"/>
                <w:sz w:val="18"/>
                <w:szCs w:val="18"/>
                <w:lang w:val="en-US"/>
              </w:rPr>
            </w:pPr>
            <w:bookmarkStart w:id="10" w:name="_Hlk227922509"/>
          </w:p>
        </w:tc>
        <w:tc>
          <w:tcPr>
            <w:tcW w:w="5400" w:type="dxa"/>
            <w:shd w:val="clear" w:color="auto" w:fill="D0CECE" w:themeFill="background2" w:themeFillShade="E6"/>
          </w:tcPr>
          <w:p w14:paraId="4E41AAE5"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 Shitësit nuk i nënshtrohen shqyrtimit</w:t>
            </w:r>
          </w:p>
          <w:p w14:paraId="3584056D"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24D0EBAF" w14:textId="77777777" w:rsidR="00FC68D3" w:rsidRPr="00036F88" w:rsidRDefault="00FC68D3"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7DEE5E2E" w14:textId="77777777" w:rsidR="00FC68D3" w:rsidRPr="00036F88" w:rsidRDefault="00FC68D3"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B9BB5F1" w14:textId="77777777" w:rsidR="005331A6" w:rsidRPr="00294727" w:rsidRDefault="005331A6" w:rsidP="005331A6">
            <w:pPr>
              <w:jc w:val="center"/>
              <w:rPr>
                <w:rFonts w:ascii="Times New Roman" w:hAnsi="Times New Roman" w:cs="Times New Roman"/>
                <w:b/>
                <w:sz w:val="18"/>
                <w:szCs w:val="18"/>
              </w:rPr>
            </w:pPr>
            <w:r w:rsidRPr="00294727">
              <w:rPr>
                <w:rFonts w:ascii="Times New Roman" w:hAnsi="Times New Roman" w:cs="Times New Roman"/>
                <w:b/>
                <w:sz w:val="18"/>
                <w:szCs w:val="18"/>
              </w:rPr>
              <w:t>Neni 3</w:t>
            </w:r>
          </w:p>
          <w:p w14:paraId="3CA00119" w14:textId="4F9FD5C3" w:rsidR="00FC68D3" w:rsidRPr="00036F88" w:rsidRDefault="005331A6" w:rsidP="005331A6">
            <w:pPr>
              <w:jc w:val="center"/>
              <w:rPr>
                <w:rFonts w:ascii="Times New Roman" w:eastAsia="Calibri" w:hAnsi="Times New Roman" w:cs="Times New Roman"/>
                <w:sz w:val="18"/>
                <w:szCs w:val="18"/>
                <w:lang w:val="en-US"/>
              </w:rPr>
            </w:pPr>
            <w:r w:rsidRPr="00294727">
              <w:rPr>
                <w:rFonts w:ascii="Times New Roman" w:hAnsi="Times New Roman" w:cs="Times New Roman"/>
                <w:b/>
                <w:sz w:val="18"/>
                <w:szCs w:val="18"/>
              </w:rPr>
              <w:t>Identifikimi i shitësve të përjashtuar</w:t>
            </w:r>
          </w:p>
        </w:tc>
        <w:tc>
          <w:tcPr>
            <w:tcW w:w="720" w:type="dxa"/>
            <w:shd w:val="clear" w:color="auto" w:fill="D0CECE" w:themeFill="background2" w:themeFillShade="E6"/>
          </w:tcPr>
          <w:p w14:paraId="6156F59F" w14:textId="77777777" w:rsidR="00FC68D3" w:rsidRPr="00036F88" w:rsidRDefault="00FC68D3"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6019B0EC" w14:textId="77777777" w:rsidR="00FC68D3" w:rsidRPr="00036F88" w:rsidRDefault="00FC68D3" w:rsidP="00AF6E05">
            <w:pPr>
              <w:rPr>
                <w:rFonts w:ascii="Times New Roman" w:eastAsia="Calibri" w:hAnsi="Times New Roman" w:cs="Times New Roman"/>
                <w:sz w:val="18"/>
                <w:szCs w:val="18"/>
                <w:lang w:val="en-US"/>
              </w:rPr>
            </w:pPr>
          </w:p>
        </w:tc>
      </w:tr>
      <w:bookmarkEnd w:id="10"/>
      <w:tr w:rsidR="00FC68D3" w:rsidRPr="00036F88" w14:paraId="4CFD47F4" w14:textId="77777777" w:rsidTr="007C321D">
        <w:trPr>
          <w:trHeight w:val="2204"/>
        </w:trPr>
        <w:tc>
          <w:tcPr>
            <w:tcW w:w="630" w:type="dxa"/>
          </w:tcPr>
          <w:p w14:paraId="33EDC2A7"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69272E8D" w14:textId="77777777" w:rsidR="00FC68D3" w:rsidRPr="001725D0" w:rsidRDefault="00FC68D3" w:rsidP="00FC68D3">
            <w:pPr>
              <w:jc w:val="both"/>
              <w:rPr>
                <w:rFonts w:ascii="Times New Roman" w:eastAsia="Calibri" w:hAnsi="Times New Roman" w:cs="Times New Roman"/>
                <w:iCs/>
                <w:sz w:val="18"/>
                <w:szCs w:val="18"/>
                <w:lang w:val="en-US"/>
              </w:rPr>
            </w:pPr>
          </w:p>
          <w:p w14:paraId="43513FD5" w14:textId="1F31C0B9"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Për qëllimin e përcaktimit nëse një Shitës që është një Entitet kualifikohet si Shitës i Përjashtuar i përshkruar në pikat (a) dhe (b) të nënparagrafit B(4) të Seksionit I, një Operator Platforme Raportuese mund të mbështetet në informacionin e disponueshëm publikisht ose në një konfirmim nga Shitësi që është një Entitet. Për qëllimin e përcaktimit nëse një Shitës kualifikohet si Shitës i Përjashtuar i përshkruar në pikat (c) dhe (d) të nënparagrafit B(4) të Seksionit I, një Operator Platforme Raportuese mund të mbështetet në të dhënat e tij të disponueshme.</w:t>
            </w:r>
          </w:p>
        </w:tc>
        <w:tc>
          <w:tcPr>
            <w:tcW w:w="540" w:type="dxa"/>
          </w:tcPr>
          <w:p w14:paraId="1F0AACF1" w14:textId="77777777" w:rsidR="00FC68D3" w:rsidRPr="00036F88" w:rsidRDefault="00FC68D3" w:rsidP="003C045B">
            <w:pPr>
              <w:jc w:val="center"/>
              <w:rPr>
                <w:rFonts w:ascii="Times New Roman" w:eastAsia="Calibri" w:hAnsi="Times New Roman" w:cs="Times New Roman"/>
                <w:sz w:val="18"/>
                <w:szCs w:val="18"/>
                <w:highlight w:val="cyan"/>
              </w:rPr>
            </w:pPr>
          </w:p>
        </w:tc>
        <w:tc>
          <w:tcPr>
            <w:tcW w:w="554" w:type="dxa"/>
          </w:tcPr>
          <w:p w14:paraId="779955DD" w14:textId="18EBEC1D"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3</w:t>
            </w:r>
          </w:p>
        </w:tc>
        <w:tc>
          <w:tcPr>
            <w:tcW w:w="5040" w:type="dxa"/>
          </w:tcPr>
          <w:p w14:paraId="36E1B62F"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1.</w:t>
            </w:r>
            <w:r w:rsidRPr="00294727">
              <w:rPr>
                <w:rFonts w:ascii="Times New Roman" w:hAnsi="Times New Roman" w:cs="Times New Roman"/>
                <w:sz w:val="18"/>
                <w:szCs w:val="18"/>
              </w:rPr>
              <w:tab/>
              <w:t>Operatori i platformës me detyrim raportimi kryen procedurat e verifikimit të duhur për të identifikuar shitësit e përjashtuar.</w:t>
            </w:r>
          </w:p>
          <w:p w14:paraId="0C16F1C2"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 xml:space="preserve">      2. Për të përcaktuar nëse një shitës që është entitet, është i përjashtuar, operatori raportues i platformës mbështetet në informacionin e disponueshëm publikisht ose në konfirmimin e shtiësit që është entitet. </w:t>
            </w:r>
          </w:p>
          <w:p w14:paraId="67455A4B"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 xml:space="preserve">      3. Për të përcaktuar nëse një shitës është i përjashtuar, operatori raportues i platformës mbështetet në të dhënat që disponon.</w:t>
            </w:r>
          </w:p>
          <w:p w14:paraId="6AA5DFA3" w14:textId="77777777" w:rsidR="00294727" w:rsidRPr="00294727" w:rsidRDefault="00294727" w:rsidP="00294727">
            <w:pPr>
              <w:jc w:val="both"/>
              <w:rPr>
                <w:rFonts w:ascii="Times New Roman" w:hAnsi="Times New Roman" w:cs="Times New Roman"/>
                <w:sz w:val="18"/>
                <w:szCs w:val="18"/>
              </w:rPr>
            </w:pPr>
          </w:p>
          <w:p w14:paraId="508007F4" w14:textId="78815BBC" w:rsidR="00FC68D3" w:rsidRPr="002234E1"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 xml:space="preserve"> 4. Modalitetet e verifikimit të përjashtimit, detajet e dokumenteve dhe informacionit që përdoren për të vërtetuar statusin e një shitësi si i përjashtuar, si dhe format e regjistrimit të këtyre të dhënave, përcaktohen me Vendim të Këshillit të Ministrave.</w:t>
            </w:r>
          </w:p>
        </w:tc>
        <w:tc>
          <w:tcPr>
            <w:tcW w:w="720" w:type="dxa"/>
          </w:tcPr>
          <w:p w14:paraId="5ABE0178" w14:textId="112CFE44"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464B2CAA" w14:textId="77777777" w:rsidR="00FC68D3" w:rsidRPr="00080E02" w:rsidRDefault="00FC68D3" w:rsidP="00E16BA5">
            <w:pPr>
              <w:rPr>
                <w:rFonts w:ascii="Times New Roman" w:eastAsia="Calibri" w:hAnsi="Times New Roman" w:cs="Times New Roman"/>
                <w:sz w:val="18"/>
                <w:szCs w:val="18"/>
              </w:rPr>
            </w:pPr>
          </w:p>
        </w:tc>
      </w:tr>
      <w:tr w:rsidR="00FC68D3" w:rsidRPr="00036F88" w14:paraId="5F7DCA8A" w14:textId="77777777" w:rsidTr="007C321D">
        <w:trPr>
          <w:trHeight w:val="854"/>
        </w:trPr>
        <w:tc>
          <w:tcPr>
            <w:tcW w:w="630" w:type="dxa"/>
          </w:tcPr>
          <w:p w14:paraId="2CAE455F" w14:textId="77777777" w:rsidR="00FC68D3" w:rsidRPr="00036F88" w:rsidRDefault="00FC68D3" w:rsidP="00AF6E05">
            <w:pPr>
              <w:jc w:val="both"/>
              <w:rPr>
                <w:rFonts w:ascii="Times New Roman" w:eastAsia="Calibri" w:hAnsi="Times New Roman" w:cs="Times New Roman"/>
                <w:sz w:val="18"/>
                <w:szCs w:val="18"/>
                <w:lang w:val="en-US"/>
              </w:rPr>
            </w:pPr>
            <w:bookmarkStart w:id="11" w:name="_Hlk227922680"/>
          </w:p>
        </w:tc>
        <w:tc>
          <w:tcPr>
            <w:tcW w:w="5400" w:type="dxa"/>
            <w:shd w:val="clear" w:color="auto" w:fill="D0CECE" w:themeFill="background2" w:themeFillShade="E6"/>
          </w:tcPr>
          <w:p w14:paraId="34A80F3A" w14:textId="0643EBE3" w:rsidR="00FC68D3" w:rsidRPr="00FC68D3" w:rsidRDefault="00FC68D3" w:rsidP="00AF6E05">
            <w:pPr>
              <w:jc w:val="both"/>
              <w:rPr>
                <w:rFonts w:ascii="Times New Roman" w:eastAsia="Calibri" w:hAnsi="Times New Roman" w:cs="Times New Roman"/>
                <w:iCs/>
                <w:sz w:val="18"/>
                <w:szCs w:val="18"/>
                <w:lang w:val="it-CH"/>
              </w:rPr>
            </w:pPr>
          </w:p>
          <w:p w14:paraId="620AB1F9" w14:textId="77777777" w:rsidR="00FC68D3" w:rsidRPr="00FC68D3" w:rsidRDefault="00FC68D3" w:rsidP="00FC68D3">
            <w:pPr>
              <w:jc w:val="both"/>
              <w:rPr>
                <w:rFonts w:ascii="Times New Roman" w:eastAsia="Calibri" w:hAnsi="Times New Roman" w:cs="Times New Roman"/>
                <w:iCs/>
                <w:sz w:val="18"/>
                <w:szCs w:val="18"/>
                <w:lang w:val="it-CH"/>
              </w:rPr>
            </w:pPr>
            <w:r w:rsidRPr="00FC68D3">
              <w:rPr>
                <w:rFonts w:ascii="Times New Roman" w:eastAsia="Calibri" w:hAnsi="Times New Roman" w:cs="Times New Roman"/>
                <w:iCs/>
                <w:sz w:val="18"/>
                <w:szCs w:val="18"/>
                <w:lang w:val="it-CH"/>
              </w:rPr>
              <w:t>B. Mbledhja e informacionit të Shitësit</w:t>
            </w:r>
          </w:p>
          <w:p w14:paraId="2E5CE303"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C7DB3BF" w14:textId="77777777" w:rsidR="00FC68D3" w:rsidRPr="00036F88" w:rsidRDefault="00FC68D3"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3D656F11" w14:textId="77777777" w:rsidR="00FC68D3" w:rsidRPr="00036F88" w:rsidRDefault="00FC68D3"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13A238DA" w14:textId="77777777" w:rsidR="00294727" w:rsidRPr="00294727" w:rsidRDefault="00294727" w:rsidP="00294727">
            <w:pPr>
              <w:jc w:val="center"/>
              <w:rPr>
                <w:rFonts w:ascii="Times New Roman" w:eastAsia="Calibri" w:hAnsi="Times New Roman" w:cs="Times New Roman"/>
                <w:b/>
                <w:sz w:val="18"/>
                <w:szCs w:val="18"/>
                <w:lang w:val="en-US"/>
              </w:rPr>
            </w:pPr>
            <w:r w:rsidRPr="00294727">
              <w:rPr>
                <w:rFonts w:ascii="Times New Roman" w:eastAsia="Calibri" w:hAnsi="Times New Roman" w:cs="Times New Roman"/>
                <w:b/>
                <w:sz w:val="18"/>
                <w:szCs w:val="18"/>
                <w:lang w:val="en-US"/>
              </w:rPr>
              <w:t>Neni 4</w:t>
            </w:r>
          </w:p>
          <w:p w14:paraId="516BAFB4" w14:textId="77777777" w:rsidR="00294727" w:rsidRPr="00294727" w:rsidRDefault="00294727" w:rsidP="00294727">
            <w:pPr>
              <w:jc w:val="center"/>
              <w:rPr>
                <w:rFonts w:ascii="Times New Roman" w:eastAsia="Calibri" w:hAnsi="Times New Roman" w:cs="Times New Roman"/>
                <w:b/>
                <w:sz w:val="18"/>
                <w:szCs w:val="18"/>
                <w:lang w:val="en-US"/>
              </w:rPr>
            </w:pPr>
            <w:r w:rsidRPr="00294727">
              <w:rPr>
                <w:rFonts w:ascii="Times New Roman" w:eastAsia="Calibri" w:hAnsi="Times New Roman" w:cs="Times New Roman"/>
                <w:b/>
                <w:sz w:val="18"/>
                <w:szCs w:val="18"/>
                <w:lang w:val="en-US"/>
              </w:rPr>
              <w:t>Identifikimi i shitësve që duhet të raportohet</w:t>
            </w:r>
          </w:p>
          <w:p w14:paraId="49E04E4D" w14:textId="5ED3015A" w:rsidR="00FC68D3" w:rsidRPr="00036F88" w:rsidRDefault="00FC68D3" w:rsidP="005331A6">
            <w:pPr>
              <w:jc w:val="center"/>
              <w:rPr>
                <w:rFonts w:ascii="Times New Roman" w:eastAsia="Calibri" w:hAnsi="Times New Roman" w:cs="Times New Roman"/>
                <w:sz w:val="18"/>
                <w:szCs w:val="18"/>
                <w:lang w:val="en-US"/>
              </w:rPr>
            </w:pPr>
          </w:p>
        </w:tc>
        <w:tc>
          <w:tcPr>
            <w:tcW w:w="720" w:type="dxa"/>
            <w:shd w:val="clear" w:color="auto" w:fill="D0CECE" w:themeFill="background2" w:themeFillShade="E6"/>
          </w:tcPr>
          <w:p w14:paraId="3D28AC8D" w14:textId="77777777" w:rsidR="00FC68D3" w:rsidRPr="00036F88" w:rsidRDefault="00FC68D3"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5C706920" w14:textId="77777777" w:rsidR="00FC68D3" w:rsidRPr="00036F88" w:rsidRDefault="00FC68D3" w:rsidP="00AF6E05">
            <w:pPr>
              <w:rPr>
                <w:rFonts w:ascii="Times New Roman" w:eastAsia="Calibri" w:hAnsi="Times New Roman" w:cs="Times New Roman"/>
                <w:sz w:val="18"/>
                <w:szCs w:val="18"/>
                <w:lang w:val="en-US"/>
              </w:rPr>
            </w:pPr>
          </w:p>
        </w:tc>
      </w:tr>
      <w:bookmarkEnd w:id="11"/>
      <w:tr w:rsidR="00FC68D3" w:rsidRPr="00036F88" w14:paraId="38B0A545" w14:textId="77777777" w:rsidTr="007C321D">
        <w:trPr>
          <w:trHeight w:val="2204"/>
        </w:trPr>
        <w:tc>
          <w:tcPr>
            <w:tcW w:w="630" w:type="dxa"/>
          </w:tcPr>
          <w:p w14:paraId="7D86CCC2"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37C5664A" w14:textId="77777777" w:rsidR="00FC68D3" w:rsidRPr="001725D0" w:rsidRDefault="00FC68D3" w:rsidP="00FC68D3">
            <w:pPr>
              <w:jc w:val="both"/>
              <w:rPr>
                <w:rFonts w:ascii="Times New Roman" w:eastAsia="Calibri" w:hAnsi="Times New Roman" w:cs="Times New Roman"/>
                <w:iCs/>
                <w:sz w:val="18"/>
                <w:szCs w:val="18"/>
                <w:lang w:val="en-US"/>
              </w:rPr>
            </w:pPr>
          </w:p>
          <w:p w14:paraId="2AF1FFB3"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Operatori i Platformës Raportuese duhet të mbledhë të gjitha informacionet e mëposhtme për secilin Shitës që është individ dhe jo Shitës i Përjashtuar: (a) emri dhe mbiemri; (b) Adresa Kryesore; (c) çdo Numër Identifikimi Tatimor (NIPT) i lëshuar atij Shitësi, duke përfshirë çdo Shtet Anëtar të lëshimit, dhe në mungesë të një Numri Identifikimi Tatimor, vendin e lindjes së atij Shitësi; (d) numrin e identifikimit të TVSH-së të atij Shitësi, kur është i disponueshëm; (e) datën e lindjes.</w:t>
            </w:r>
          </w:p>
          <w:p w14:paraId="20EB2F33" w14:textId="77777777" w:rsidR="00FC68D3" w:rsidRPr="001725D0" w:rsidRDefault="00FC68D3" w:rsidP="00FC68D3">
            <w:pPr>
              <w:jc w:val="both"/>
              <w:rPr>
                <w:rFonts w:ascii="Times New Roman" w:eastAsia="Calibri" w:hAnsi="Times New Roman" w:cs="Times New Roman"/>
                <w:iCs/>
                <w:sz w:val="18"/>
                <w:szCs w:val="18"/>
                <w:lang w:val="en-US"/>
              </w:rPr>
            </w:pPr>
          </w:p>
          <w:p w14:paraId="797E81B4"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Operatori i Platformës Raportuese duhet të mbledhë të gjitha informacionet e mëposhtme për secilin Shitës që është një Entitet dhe jo një Shitës i Përjashtuar: (a) emri ligjor; (b) Adresa Kryesore; (c) çdo Numër i të Dhënave Personale i lëshuar atij Shitësi, duke përfshirë çdo Shtet Anëtar të lëshimit; (d) numri i identifikimit të TVSH-së së atij Shitësi, kur është i disponueshëm; (e) numri i regjistrimit të biznesit; (f) ekzistenca e çdo selie të përhershme përmes së cilës kryhen Aktivitete Përkatëse në Bashkim, kur është i disponueshëm, duke treguar secilin Shtet Anëtar përkatës, ku ndodhet një seli e tillë e përhershme.</w:t>
            </w:r>
          </w:p>
          <w:p w14:paraId="0542CFDA" w14:textId="77777777" w:rsidR="00FC68D3" w:rsidRPr="001725D0" w:rsidRDefault="00FC68D3" w:rsidP="00FC68D3">
            <w:pPr>
              <w:jc w:val="both"/>
              <w:rPr>
                <w:rFonts w:ascii="Times New Roman" w:eastAsia="Calibri" w:hAnsi="Times New Roman" w:cs="Times New Roman"/>
                <w:iCs/>
                <w:sz w:val="18"/>
                <w:szCs w:val="18"/>
                <w:lang w:val="en-US"/>
              </w:rPr>
            </w:pPr>
          </w:p>
          <w:p w14:paraId="6F2CA29A"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3. Pavarësisht nënparagrafëve B(1) dhe (2), Operatori i Platformës Raportuese nuk do të jetë i detyruar të mbledhë informacionin e </w:t>
            </w:r>
            <w:r w:rsidRPr="001725D0">
              <w:rPr>
                <w:rFonts w:ascii="Times New Roman" w:eastAsia="Calibri" w:hAnsi="Times New Roman" w:cs="Times New Roman"/>
                <w:iCs/>
                <w:sz w:val="18"/>
                <w:szCs w:val="18"/>
                <w:lang w:val="en-US"/>
              </w:rPr>
              <w:lastRenderedPageBreak/>
              <w:t>përmendur në pikat (b) deri në (e) të nënparagrafit B(1) dhe pikat (b) deri në (f) të nënparagrafit B(2) kur mbështetet në konfirmimin e drejtpërdrejtë të identitetit dhe vendbanimit të Shitësit përmes një shërbimi identifikimi të vënë në dispozicion nga një Shtet Anëtar ose Bashkimi për të përcaktuar identitetin dhe vendbanimin tatimor të Shitësit.</w:t>
            </w:r>
          </w:p>
          <w:p w14:paraId="1E66E7EE" w14:textId="77777777" w:rsidR="00FC68D3" w:rsidRPr="001725D0" w:rsidRDefault="00FC68D3" w:rsidP="00FC68D3">
            <w:pPr>
              <w:jc w:val="both"/>
              <w:rPr>
                <w:rFonts w:ascii="Times New Roman" w:eastAsia="Calibri" w:hAnsi="Times New Roman" w:cs="Times New Roman"/>
                <w:iCs/>
                <w:sz w:val="18"/>
                <w:szCs w:val="18"/>
                <w:lang w:val="en-US"/>
              </w:rPr>
            </w:pPr>
          </w:p>
          <w:p w14:paraId="376A326D" w14:textId="6CDC6435"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Pavarësisht pikës (c) të nënparagrafit B(1) dhe pikave (c) dhe (e) të nënparagrafit B(2), Operatori i Platformës Raportuese nuk do të jetë i detyruar të mbledhë NIPT-in ose numrin e regjistrimit të biznesit, sipas rastit, në asnjë nga situatat e mëposhtme: (a) Shteti Anëtar i rezidencës së Shitësit nuk i lëshon një NIPT ose numër regjistrimi biznesi Shitësit; (b) Shteti Anëtar i rezidencës së Shitësit nuk kërkon mbledhjen e NIPT-it të lëshuar Shitësit.</w:t>
            </w:r>
          </w:p>
        </w:tc>
        <w:tc>
          <w:tcPr>
            <w:tcW w:w="540" w:type="dxa"/>
          </w:tcPr>
          <w:p w14:paraId="001D547F" w14:textId="77777777" w:rsidR="00FC68D3" w:rsidRPr="00036F88" w:rsidRDefault="00FC68D3" w:rsidP="003C045B">
            <w:pPr>
              <w:jc w:val="center"/>
              <w:rPr>
                <w:rFonts w:ascii="Times New Roman" w:eastAsia="Calibri" w:hAnsi="Times New Roman" w:cs="Times New Roman"/>
                <w:sz w:val="18"/>
                <w:szCs w:val="18"/>
                <w:highlight w:val="cyan"/>
              </w:rPr>
            </w:pPr>
          </w:p>
        </w:tc>
        <w:tc>
          <w:tcPr>
            <w:tcW w:w="554" w:type="dxa"/>
          </w:tcPr>
          <w:p w14:paraId="003F37E6" w14:textId="00107494"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4</w:t>
            </w:r>
          </w:p>
        </w:tc>
        <w:tc>
          <w:tcPr>
            <w:tcW w:w="5040" w:type="dxa"/>
          </w:tcPr>
          <w:p w14:paraId="1E6A8361" w14:textId="77777777" w:rsidR="00FC68D3" w:rsidRPr="00FC68D3" w:rsidRDefault="00FC68D3" w:rsidP="00FC68D3">
            <w:pPr>
              <w:jc w:val="both"/>
              <w:rPr>
                <w:rFonts w:ascii="Times New Roman" w:hAnsi="Times New Roman" w:cs="Times New Roman"/>
                <w:sz w:val="18"/>
                <w:szCs w:val="18"/>
              </w:rPr>
            </w:pPr>
          </w:p>
          <w:p w14:paraId="5E873604" w14:textId="37822C9D" w:rsidR="00DA527B" w:rsidRPr="00294727" w:rsidRDefault="00DA527B" w:rsidP="00294727">
            <w:pPr>
              <w:jc w:val="both"/>
              <w:rPr>
                <w:rFonts w:ascii="Times New Roman" w:hAnsi="Times New Roman" w:cs="Times New Roman"/>
              </w:rPr>
            </w:pPr>
          </w:p>
          <w:p w14:paraId="30C817FB" w14:textId="5BBD0B01" w:rsidR="00294727" w:rsidRPr="00294727" w:rsidRDefault="00294727" w:rsidP="00294727">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1. </w:t>
            </w:r>
            <w:r w:rsidRPr="00294727">
              <w:rPr>
                <w:rFonts w:ascii="Times New Roman" w:hAnsi="Times New Roman" w:cs="Times New Roman"/>
                <w:sz w:val="18"/>
                <w:szCs w:val="18"/>
              </w:rPr>
              <w:t>Operatori i platformës me detyrim raportimi kryen procedurat e verifikimit të duhur tatimor për të identifikuar shitësit e raportueshëm.</w:t>
            </w:r>
          </w:p>
          <w:p w14:paraId="074CB8A0" w14:textId="77777777" w:rsidR="00294727" w:rsidRPr="00294727" w:rsidRDefault="00294727" w:rsidP="00294727">
            <w:pPr>
              <w:spacing w:line="276" w:lineRule="auto"/>
              <w:jc w:val="both"/>
              <w:rPr>
                <w:rFonts w:ascii="Times New Roman" w:hAnsi="Times New Roman" w:cs="Times New Roman"/>
                <w:sz w:val="18"/>
                <w:szCs w:val="18"/>
              </w:rPr>
            </w:pPr>
          </w:p>
          <w:p w14:paraId="25538DB2"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2. Për çdo shitës që është individ ose person fizik dhe që nuk është shitës i përjashtuar, operatori i platformës me detyrim raportimi mbledh dhe verifikon, duke përdorur përpjekje të arsyeshme, këto të dhëna:</w:t>
            </w:r>
          </w:p>
          <w:p w14:paraId="116FA8A7"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emrin dhe mbiemrin;</w:t>
            </w:r>
          </w:p>
          <w:p w14:paraId="03A5D0FC"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adresën kryesore të banimit;</w:t>
            </w:r>
          </w:p>
          <w:p w14:paraId="0B4EFD83"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c) çdo numër identifikimi për personin e tatueshëm (NIPT) të lëshuar për shitësin, duke treguar shtetin që e ka lëshuar dhe, në mungesë të tij, vendin e lindjes së shitësit;</w:t>
            </w:r>
          </w:p>
          <w:p w14:paraId="70603346"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d) numrin identifikues për TVSH, nëse është i disponueshëm;</w:t>
            </w:r>
          </w:p>
          <w:p w14:paraId="359BF679"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e) datën e lindjes.</w:t>
            </w:r>
          </w:p>
          <w:p w14:paraId="3B4B451E"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lastRenderedPageBreak/>
              <w:t>3. Për çdo shitës që është entitet dhe që nuk është shitës i përjashtuar, operatori i platformës me detyrim raportimi mbledh dhe verifikon, duke përdorur përpjekje të arsyeshme, këto të dhëna:</w:t>
            </w:r>
          </w:p>
          <w:p w14:paraId="51A75C79"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emrin ligjor të subjektit;</w:t>
            </w:r>
          </w:p>
          <w:p w14:paraId="1C93803A"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adresën kryesore të selisë;</w:t>
            </w:r>
          </w:p>
          <w:p w14:paraId="61AAE49F"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c) çdo numër identifikimi për personin e tatueshëm (NIPT) të lëshuar për shitësin, duke treguar shtetin që e ka lëshuar;</w:t>
            </w:r>
          </w:p>
          <w:p w14:paraId="74118066"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d) numrin identifikues për TVSH, nëse është i disponueshëm;</w:t>
            </w:r>
          </w:p>
          <w:p w14:paraId="5E77C4AF"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e) numrin e regjistrimit të biznesit;</w:t>
            </w:r>
          </w:p>
          <w:p w14:paraId="33C162B0"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f) informacion mbi ekzistencën e çdo selie të përhershme përmes së cilës shitësi kryen veprimtari përkatëse brenda Bashkimit Evropian, duke treguar shtetin anëtar ku ndodhet ajo seli, nëse është e aplikueshme.</w:t>
            </w:r>
          </w:p>
          <w:p w14:paraId="1CF3D01C"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4. Pavarësisht pikave 2 dhe 3 të këtij neni, operatori i platformës me detyrim raportimi mund të mbështetet në një konfirmim të drejtpërdrejtë të identitetit dhe rezidencës tatimore të shitësit përmes një shërbimi identifikimi të ofruar nga një shtet anëtar ose nga Bashkimi Evropian, për qëllime të verifikimit të identitetit dhe rezidencës tatimore të shitësit. Në këto raste, operatori i platformës mund të mos mbledhë veçmas të dhënat e përcaktuara në pikën 2, shkronjat b) deri e), dhe në pikën 3, shkronjat b) deri f), për aq sa këto të dhëna janë të mbuluara nga shërbimi i identifikimit të përdorur dhe janë të disponueshme për qëllimet e këtij ligji.</w:t>
            </w:r>
          </w:p>
          <w:p w14:paraId="5083714D" w14:textId="77777777" w:rsidR="00294727" w:rsidRPr="00294727" w:rsidRDefault="00294727" w:rsidP="00294727">
            <w:pPr>
              <w:spacing w:line="276" w:lineRule="auto"/>
              <w:jc w:val="both"/>
              <w:rPr>
                <w:rFonts w:ascii="Times New Roman" w:hAnsi="Times New Roman" w:cs="Times New Roman"/>
                <w:sz w:val="18"/>
                <w:szCs w:val="18"/>
              </w:rPr>
            </w:pPr>
          </w:p>
          <w:p w14:paraId="5D9E7A7A"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5. Pavarësisht pikës 2, gërma c), dhe pikës 3, gërmat c) dhe e), operatori i platformës me detyrim raportimi nuk është i detyruar të mbledhë numrin e identifikimit për personin e tatueshëm (NIPT) ose numrin e regjistrimit të biznesit, sipas rastit, kur plotësohet një nga kushtet e mëposhtme:</w:t>
            </w:r>
          </w:p>
          <w:p w14:paraId="23CD7C8E"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shteti i rezidencës tatimore të shitësit nuk lëshon një numër identifikimi për personin e tatueshëm ose numër regjistrimi biznesi për atë shitës;</w:t>
            </w:r>
          </w:p>
          <w:p w14:paraId="1D300C16"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shteti i rezidencës tatimore të shitësit nuk kërkon mbledhjen e numrit të identifikimit për personin e tatueshëm për atë shitës.</w:t>
            </w:r>
          </w:p>
          <w:p w14:paraId="574C59D2"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lastRenderedPageBreak/>
              <w:t>6. Operatori i platformës me detyrim raportimi vlerëson besueshmërinë e informacionit të mbledhur sipas këtij neni, nenit 6 dhe nenit 7 të këtij ligji, duke përdorur informacionet dhe dokumentet që ka në arkivat e veta, si dhe çdo ndërfaqe ose shërbim elektronik verifikimi të vënë në dispozicion pa pagesë nga një shtet ose nga Bashkimi Evropian.</w:t>
            </w:r>
          </w:p>
          <w:p w14:paraId="271E9F1D"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7. Për shitësit që janë regjistruar në platformë në momentin e hyrjes në fuqi të këtij ligji ose në momentin kur operatori i platformës bëhet operator i platformës me detyrim raportimi, operatori i platformës me detyrim raportimi vlerëson besueshmërinë e informacionit të mbledhur sipas këtij neni, nenit 6 dhe nenit 7 të këtij ligji, duke përdorur informacionin dhe dokumentacionin që ka në dispozicion, përfshirë informacionin e mbajtur në regjistrat elektronikë të kërkueshëm të tij.</w:t>
            </w:r>
          </w:p>
          <w:p w14:paraId="5CCADC7F"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8. Kur operatori i platformës ka arsye të besojë se ndonjë nga informacionet e mbledhura sipas këtij neni, nenit 6 dhe nenit 7 është i pasaktë, ai kërkon nga shitësi korrigjimin e informacionit dhe sigurimin e dokumenteve, të dhënave ose informacionit mbështetës nga një burim i pavarur, përfshirë, sipas rastit:</w:t>
            </w:r>
          </w:p>
          <w:p w14:paraId="6D79E07B"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një dokument identifikimi të vlefshëm të lëshuar nga autoritetet shtetërore;</w:t>
            </w:r>
          </w:p>
          <w:p w14:paraId="5360D19E" w14:textId="77A5C18C" w:rsidR="005331A6"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një certifikatë rezidence tatimore me datë të afërt.</w:t>
            </w:r>
          </w:p>
          <w:p w14:paraId="14502908" w14:textId="1E315588" w:rsidR="00FC68D3" w:rsidRPr="00FC68D3" w:rsidRDefault="005331A6" w:rsidP="00294727">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tcPr>
          <w:p w14:paraId="6242DBC7" w14:textId="0C6DF6A8"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39F64B39" w14:textId="77777777" w:rsidR="00FC68D3" w:rsidRPr="00080E02" w:rsidRDefault="00FC68D3" w:rsidP="00E16BA5">
            <w:pPr>
              <w:rPr>
                <w:rFonts w:ascii="Times New Roman" w:eastAsia="Calibri" w:hAnsi="Times New Roman" w:cs="Times New Roman"/>
                <w:sz w:val="18"/>
                <w:szCs w:val="18"/>
              </w:rPr>
            </w:pPr>
          </w:p>
        </w:tc>
      </w:tr>
      <w:tr w:rsidR="00FC68D3" w:rsidRPr="00036F88" w14:paraId="2AE8CE05" w14:textId="77777777" w:rsidTr="007C321D">
        <w:trPr>
          <w:trHeight w:val="854"/>
        </w:trPr>
        <w:tc>
          <w:tcPr>
            <w:tcW w:w="630" w:type="dxa"/>
          </w:tcPr>
          <w:p w14:paraId="68921CAE" w14:textId="77777777" w:rsidR="00FC68D3" w:rsidRPr="00036F88" w:rsidRDefault="00FC68D3" w:rsidP="00AF6E05">
            <w:pPr>
              <w:jc w:val="both"/>
              <w:rPr>
                <w:rFonts w:ascii="Times New Roman" w:eastAsia="Calibri" w:hAnsi="Times New Roman" w:cs="Times New Roman"/>
                <w:sz w:val="18"/>
                <w:szCs w:val="18"/>
                <w:lang w:val="en-US"/>
              </w:rPr>
            </w:pPr>
            <w:bookmarkStart w:id="12" w:name="_Hlk227922937"/>
          </w:p>
        </w:tc>
        <w:tc>
          <w:tcPr>
            <w:tcW w:w="5400" w:type="dxa"/>
            <w:shd w:val="clear" w:color="auto" w:fill="D0CECE" w:themeFill="background2" w:themeFillShade="E6"/>
          </w:tcPr>
          <w:p w14:paraId="486338E5" w14:textId="77777777" w:rsidR="00FC68D3" w:rsidRPr="00FC68D3" w:rsidRDefault="00FC68D3" w:rsidP="00AF6E05">
            <w:pPr>
              <w:jc w:val="both"/>
              <w:rPr>
                <w:rFonts w:ascii="Times New Roman" w:eastAsia="Calibri" w:hAnsi="Times New Roman" w:cs="Times New Roman"/>
                <w:iCs/>
                <w:sz w:val="18"/>
                <w:szCs w:val="18"/>
                <w:lang w:val="it-CH"/>
              </w:rPr>
            </w:pPr>
          </w:p>
          <w:p w14:paraId="2F49D2E6" w14:textId="77777777" w:rsidR="00FC68D3" w:rsidRPr="00FC68D3" w:rsidRDefault="00FC68D3" w:rsidP="00FC68D3">
            <w:pPr>
              <w:jc w:val="both"/>
              <w:rPr>
                <w:rFonts w:ascii="Times New Roman" w:eastAsia="Calibri" w:hAnsi="Times New Roman" w:cs="Times New Roman"/>
                <w:iCs/>
                <w:sz w:val="18"/>
                <w:szCs w:val="18"/>
                <w:lang w:val="it-CH"/>
              </w:rPr>
            </w:pPr>
            <w:r w:rsidRPr="00FC68D3">
              <w:rPr>
                <w:rFonts w:ascii="Times New Roman" w:eastAsia="Calibri" w:hAnsi="Times New Roman" w:cs="Times New Roman"/>
                <w:iCs/>
                <w:sz w:val="18"/>
                <w:szCs w:val="18"/>
                <w:lang w:val="it-CH"/>
              </w:rPr>
              <w:t>C. Verifikimi i informacionit të Shitësit</w:t>
            </w:r>
          </w:p>
          <w:p w14:paraId="218A826F" w14:textId="32F7BC62" w:rsidR="00FC68D3" w:rsidRPr="00FC68D3" w:rsidRDefault="00FC68D3" w:rsidP="00AF6E05">
            <w:pPr>
              <w:jc w:val="both"/>
              <w:rPr>
                <w:rFonts w:ascii="Times New Roman" w:eastAsia="Calibri" w:hAnsi="Times New Roman" w:cs="Times New Roman"/>
                <w:iCs/>
                <w:sz w:val="18"/>
                <w:szCs w:val="18"/>
                <w:lang w:val="it-CH"/>
              </w:rPr>
            </w:pPr>
          </w:p>
          <w:p w14:paraId="59BA9C9D"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67170707" w14:textId="77777777" w:rsidR="00FC68D3" w:rsidRPr="00036F88" w:rsidRDefault="00FC68D3"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79758922" w14:textId="77777777" w:rsidR="00FC68D3" w:rsidRPr="00036F88" w:rsidRDefault="00FC68D3"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277D92EC" w14:textId="77777777" w:rsidR="00BA0D16" w:rsidRPr="00294727" w:rsidRDefault="00BA0D16" w:rsidP="00BA0D16">
            <w:pPr>
              <w:jc w:val="center"/>
              <w:rPr>
                <w:rFonts w:ascii="Times New Roman" w:eastAsia="Calibri" w:hAnsi="Times New Roman" w:cs="Times New Roman"/>
                <w:b/>
                <w:sz w:val="18"/>
                <w:szCs w:val="18"/>
                <w:lang w:val="en-US"/>
              </w:rPr>
            </w:pPr>
            <w:r w:rsidRPr="00294727">
              <w:rPr>
                <w:rFonts w:ascii="Times New Roman" w:eastAsia="Calibri" w:hAnsi="Times New Roman" w:cs="Times New Roman"/>
                <w:b/>
                <w:sz w:val="18"/>
                <w:szCs w:val="18"/>
                <w:lang w:val="en-US"/>
              </w:rPr>
              <w:t>Neni 4</w:t>
            </w:r>
          </w:p>
          <w:p w14:paraId="770F0C3B" w14:textId="177A3C7B" w:rsidR="00FC68D3" w:rsidRPr="00036F88" w:rsidRDefault="00BA0D16" w:rsidP="00BA0D16">
            <w:pPr>
              <w:jc w:val="center"/>
              <w:rPr>
                <w:rFonts w:ascii="Times New Roman" w:eastAsia="Calibri" w:hAnsi="Times New Roman" w:cs="Times New Roman"/>
                <w:sz w:val="18"/>
                <w:szCs w:val="18"/>
                <w:lang w:val="en-US"/>
              </w:rPr>
            </w:pPr>
            <w:r w:rsidRPr="00294727">
              <w:rPr>
                <w:rFonts w:ascii="Times New Roman" w:eastAsia="Calibri" w:hAnsi="Times New Roman" w:cs="Times New Roman"/>
                <w:b/>
                <w:sz w:val="18"/>
                <w:szCs w:val="18"/>
                <w:lang w:val="en-US"/>
              </w:rPr>
              <w:t>Identifikimi i shitësve për t'u raportuar</w:t>
            </w:r>
          </w:p>
        </w:tc>
        <w:tc>
          <w:tcPr>
            <w:tcW w:w="720" w:type="dxa"/>
            <w:shd w:val="clear" w:color="auto" w:fill="D0CECE" w:themeFill="background2" w:themeFillShade="E6"/>
          </w:tcPr>
          <w:p w14:paraId="175532AA" w14:textId="77777777" w:rsidR="00FC68D3" w:rsidRPr="00036F88" w:rsidRDefault="00FC68D3"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A8567B8" w14:textId="77777777" w:rsidR="00FC68D3" w:rsidRPr="00036F88" w:rsidRDefault="00FC68D3" w:rsidP="00AF6E05">
            <w:pPr>
              <w:rPr>
                <w:rFonts w:ascii="Times New Roman" w:eastAsia="Calibri" w:hAnsi="Times New Roman" w:cs="Times New Roman"/>
                <w:sz w:val="18"/>
                <w:szCs w:val="18"/>
                <w:lang w:val="en-US"/>
              </w:rPr>
            </w:pPr>
          </w:p>
        </w:tc>
      </w:tr>
      <w:bookmarkEnd w:id="12"/>
      <w:tr w:rsidR="00FC68D3" w:rsidRPr="00036F88" w14:paraId="03A909BD" w14:textId="77777777" w:rsidTr="007C321D">
        <w:trPr>
          <w:trHeight w:val="2204"/>
        </w:trPr>
        <w:tc>
          <w:tcPr>
            <w:tcW w:w="630" w:type="dxa"/>
          </w:tcPr>
          <w:p w14:paraId="425296D7"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6A3E8152" w14:textId="77777777" w:rsidR="00FC68D3" w:rsidRPr="001725D0" w:rsidRDefault="00FC68D3" w:rsidP="00FC68D3">
            <w:pPr>
              <w:jc w:val="both"/>
              <w:rPr>
                <w:rFonts w:ascii="Times New Roman" w:eastAsia="Calibri" w:hAnsi="Times New Roman" w:cs="Times New Roman"/>
                <w:iCs/>
                <w:sz w:val="18"/>
                <w:szCs w:val="18"/>
                <w:lang w:val="en-US"/>
              </w:rPr>
            </w:pPr>
          </w:p>
          <w:p w14:paraId="7AF42929"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Operatori i Platformës Raportuese përcakton nëse informacioni i mbledhur sipas paragrafit A, nënparagrafit B(1), pikave (a) deri në (e) të nënparagrafit B(2) dhe paragrafit E është i besueshëm, duke përdorur të gjithë informacionin dhe dokumentet në dispozicion të Operatorit të Platformës Raportuese në të dhënat e tij, si dhe çdo ndërfaqe elektronike të vënë në dispozicion nga një Shtet Anëtar ose Bashkimi pa pagesë për të vërtetuar vlefshmërinë e numrit të identifikimit të TVSH-së dhe/ose TVSH-së.</w:t>
            </w:r>
          </w:p>
          <w:p w14:paraId="03DC0C33" w14:textId="77777777" w:rsidR="00FC68D3" w:rsidRPr="001725D0" w:rsidRDefault="00FC68D3" w:rsidP="00FC68D3">
            <w:pPr>
              <w:jc w:val="both"/>
              <w:rPr>
                <w:rFonts w:ascii="Times New Roman" w:eastAsia="Calibri" w:hAnsi="Times New Roman" w:cs="Times New Roman"/>
                <w:iCs/>
                <w:sz w:val="18"/>
                <w:szCs w:val="18"/>
                <w:lang w:val="en-US"/>
              </w:rPr>
            </w:pPr>
          </w:p>
          <w:p w14:paraId="2BCCAF36" w14:textId="77777777"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Pavarësisht nënparagrafit C(1), për përfundimin e procedurave të kujdesit të duhur sipas nënparagrafit F(2), Operatori i Platformës Raportuese mund të përcaktojë nëse informacioni i mbledhur sipas paragrafit A, nënparagrafit B(1), pikave (a) deri në (e) të nënparagrafit B(2) dhe paragrafit E është i besueshëm, duke përdorur informacionin dhe dokumentet në dispozicion të Operatorit të Platformës Raportuese në të dhënat e tij të kërkueshme elektronikisht.</w:t>
            </w:r>
          </w:p>
          <w:p w14:paraId="666A644F" w14:textId="77777777" w:rsidR="00FC68D3" w:rsidRPr="001725D0" w:rsidRDefault="00FC68D3" w:rsidP="00FC68D3">
            <w:pPr>
              <w:jc w:val="both"/>
              <w:rPr>
                <w:rFonts w:ascii="Times New Roman" w:eastAsia="Calibri" w:hAnsi="Times New Roman" w:cs="Times New Roman"/>
                <w:iCs/>
                <w:sz w:val="18"/>
                <w:szCs w:val="18"/>
                <w:lang w:val="en-US"/>
              </w:rPr>
            </w:pPr>
          </w:p>
          <w:p w14:paraId="75718F7E" w14:textId="1A9725A9" w:rsidR="00FC68D3" w:rsidRPr="001725D0" w:rsidRDefault="00FC68D3" w:rsidP="00FC68D3">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Në zbatim të pikës (b) të nënparagrafit F(3) dhe pavarësisht nënparagrafëve C(1) dhe C(2), në rastet kur Operatori i Platformës Raportuese ka arsye të dijë se ndonjë nga informacionet e përshkruara në paragrafin B ose E mund të jetë i pasaktë për shkak të informacionit të ofruar nga autoriteti kompetent i një Shteti Anëtar në një kërkesë që ka të bëjë me një Shitës specifik, ai duhet t'i kërkojë Shitësit të korrigjojë informacionet që janë gjetur të pasakta dhe të ofrojë dokumente, të dhëna ose informacione mbështetëse , të cilat janë të besueshme dhe me burim të pavarur, të tilla si: (a) dokument identifikimi i vlefshëm i lëshuar nga qeveria, (b) certifikatë e fundit e rezidencës tatimore.</w:t>
            </w:r>
          </w:p>
        </w:tc>
        <w:tc>
          <w:tcPr>
            <w:tcW w:w="540" w:type="dxa"/>
          </w:tcPr>
          <w:p w14:paraId="209AC95D" w14:textId="77777777" w:rsidR="00FC68D3" w:rsidRPr="00036F88" w:rsidRDefault="00FC68D3" w:rsidP="003C045B">
            <w:pPr>
              <w:jc w:val="center"/>
              <w:rPr>
                <w:rFonts w:ascii="Times New Roman" w:eastAsia="Calibri" w:hAnsi="Times New Roman" w:cs="Times New Roman"/>
                <w:sz w:val="18"/>
                <w:szCs w:val="18"/>
                <w:highlight w:val="cyan"/>
              </w:rPr>
            </w:pPr>
          </w:p>
        </w:tc>
        <w:tc>
          <w:tcPr>
            <w:tcW w:w="554" w:type="dxa"/>
          </w:tcPr>
          <w:p w14:paraId="6D2BC089" w14:textId="3FF31086"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4</w:t>
            </w:r>
          </w:p>
        </w:tc>
        <w:tc>
          <w:tcPr>
            <w:tcW w:w="5040" w:type="dxa"/>
          </w:tcPr>
          <w:p w14:paraId="583C6983"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5. Pavarësisht pikës 2, gërma c), dhe pikës 3, gërmat c) dhe e), operatori i platformës me detyrim raportimi nuk është i detyruar të mbledhë numrin e identifikimit për personin e tatueshëm (NIPT) ose numrin e regjistrimit të biznesit, sipas rastit, kur plotësohet një nga kushtet e mëposhtme:</w:t>
            </w:r>
          </w:p>
          <w:p w14:paraId="20A89CFC"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shteti i rezidencës tatimore të shitësit nuk lëshon një numër identifikimi për personin e tatueshëm ose numër regjistrimi biznesi për atë shitës;</w:t>
            </w:r>
          </w:p>
          <w:p w14:paraId="7F9B3394"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shteti i rezidencës tatimore të shitësit nuk kërkon mbledhjen e numrit të identifikimit për personin e tatueshëm për atë shitës.</w:t>
            </w:r>
          </w:p>
          <w:p w14:paraId="0016B246"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6. Operatori i platformës me detyrim raportimi vlerëson besueshmërinë e informacionit të mbledhur sipas këtij neni, nenit 6 dhe nenit 7 të këtij ligji, duke përdorur informacionet dhe dokumentet që ka në arkivat e veta, si dhe çdo ndërfaqe ose shërbim elektronik verifikimi të vënë në dispozicion pa pagesë nga një shtet ose nga Bashkimi Evropian.</w:t>
            </w:r>
          </w:p>
          <w:p w14:paraId="01C1E480"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7. Për shitësit që janë regjistruar në platformë në momentin e hyrjes në fuqi të këtij ligji ose në momentin kur operatori i platformës bëhet operator i platformës me detyrim raportimi, operatori i platformës me detyrim raportimi vlerëson besueshmërinë e informacionit të mbledhur sipas këtij neni, nenit 6 dhe nenit 7 të këtij ligji, duke përdorur informacionin dhe dokumentacionin që ka në dispozicion, përfshirë informacionin e mbajtur në regjistrat elektronikë të kërkueshëm të tij.</w:t>
            </w:r>
          </w:p>
          <w:p w14:paraId="0667B768"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8. Kur operatori i platformës ka arsye të besojë se ndonjë nga informacionet e mbledhura sipas këtij neni, nenit 6 dhe nenit 7 është i pasaktë, ai kërkon nga shitësi korrigjimin e informacionit dhe sigurimin e dokumenteve, të dhënave ose informacionit mbështetës nga një burim i pavarur, përfshirë, sipas rastit:</w:t>
            </w:r>
          </w:p>
          <w:p w14:paraId="53F3B4B1"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 një dokument identifikimi të vlefshëm të lëshuar nga autoritetet shtetërore;</w:t>
            </w:r>
          </w:p>
          <w:p w14:paraId="42863A1C" w14:textId="4767BC84" w:rsidR="00FC68D3" w:rsidRPr="00FC68D3"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b) një certifikatë rezidence tatimore me datë të afërt.</w:t>
            </w:r>
          </w:p>
        </w:tc>
        <w:tc>
          <w:tcPr>
            <w:tcW w:w="720" w:type="dxa"/>
          </w:tcPr>
          <w:p w14:paraId="32702535" w14:textId="6B54B934"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3501E59" w14:textId="77777777" w:rsidR="00FC68D3" w:rsidRPr="00080E02" w:rsidRDefault="00FC68D3" w:rsidP="00E16BA5">
            <w:pPr>
              <w:rPr>
                <w:rFonts w:ascii="Times New Roman" w:eastAsia="Calibri" w:hAnsi="Times New Roman" w:cs="Times New Roman"/>
                <w:sz w:val="18"/>
                <w:szCs w:val="18"/>
              </w:rPr>
            </w:pPr>
          </w:p>
        </w:tc>
      </w:tr>
      <w:tr w:rsidR="00AF6E05" w:rsidRPr="00036F88" w14:paraId="3BAB2CAD" w14:textId="77777777" w:rsidTr="007C321D">
        <w:trPr>
          <w:trHeight w:val="854"/>
        </w:trPr>
        <w:tc>
          <w:tcPr>
            <w:tcW w:w="630" w:type="dxa"/>
          </w:tcPr>
          <w:p w14:paraId="4EF003A6" w14:textId="77777777" w:rsidR="00AF6E05" w:rsidRPr="00036F88" w:rsidRDefault="00AF6E05" w:rsidP="00AF6E05">
            <w:pPr>
              <w:jc w:val="both"/>
              <w:rPr>
                <w:rFonts w:ascii="Times New Roman" w:eastAsia="Calibri" w:hAnsi="Times New Roman" w:cs="Times New Roman"/>
                <w:sz w:val="18"/>
                <w:szCs w:val="18"/>
                <w:lang w:val="en-US"/>
              </w:rPr>
            </w:pPr>
            <w:bookmarkStart w:id="13" w:name="_Hlk227923076"/>
          </w:p>
        </w:tc>
        <w:tc>
          <w:tcPr>
            <w:tcW w:w="5400" w:type="dxa"/>
            <w:shd w:val="clear" w:color="auto" w:fill="D0CECE" w:themeFill="background2" w:themeFillShade="E6"/>
          </w:tcPr>
          <w:p w14:paraId="68C8CD05" w14:textId="77777777" w:rsidR="00AF6E05" w:rsidRPr="001725D0" w:rsidRDefault="00AF6E05" w:rsidP="00AF6E05">
            <w:pPr>
              <w:jc w:val="both"/>
              <w:rPr>
                <w:rFonts w:ascii="Times New Roman" w:eastAsia="Calibri" w:hAnsi="Times New Roman" w:cs="Times New Roman"/>
                <w:iCs/>
                <w:sz w:val="18"/>
                <w:szCs w:val="18"/>
                <w:lang w:val="en-US"/>
              </w:rPr>
            </w:pPr>
          </w:p>
          <w:p w14:paraId="79051D50"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D. Përcaktimi i Shtetit/Shteteve Anëtare të rezidencës së Shitësit për qëllimet e kësaj Direktive</w:t>
            </w:r>
          </w:p>
          <w:p w14:paraId="7A6E3139" w14:textId="3D1EC905" w:rsidR="00AF6E05" w:rsidRPr="001725D0" w:rsidRDefault="00AF6E05" w:rsidP="00AF6E05">
            <w:pPr>
              <w:jc w:val="both"/>
              <w:rPr>
                <w:rFonts w:ascii="Times New Roman" w:eastAsia="Calibri" w:hAnsi="Times New Roman" w:cs="Times New Roman"/>
                <w:iCs/>
                <w:sz w:val="18"/>
                <w:szCs w:val="18"/>
                <w:lang w:val="en-US"/>
              </w:rPr>
            </w:pPr>
          </w:p>
          <w:p w14:paraId="706353EF" w14:textId="77777777" w:rsidR="00AF6E05" w:rsidRPr="001725D0" w:rsidRDefault="00AF6E05" w:rsidP="00AF6E05">
            <w:pPr>
              <w:jc w:val="both"/>
              <w:rPr>
                <w:rFonts w:ascii="Times New Roman" w:eastAsia="Calibri" w:hAnsi="Times New Roman" w:cs="Times New Roman"/>
                <w:iCs/>
                <w:sz w:val="18"/>
                <w:szCs w:val="18"/>
                <w:lang w:val="en-US"/>
              </w:rPr>
            </w:pPr>
          </w:p>
          <w:p w14:paraId="2D97FE52"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B046B6D" w14:textId="77777777" w:rsidR="00AF6E05" w:rsidRPr="00036F88" w:rsidRDefault="00AF6E0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339A140F" w14:textId="77777777" w:rsidR="00AF6E05" w:rsidRPr="00036F88" w:rsidRDefault="00AF6E0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FFC0051" w14:textId="77777777" w:rsidR="00294727" w:rsidRPr="00294727" w:rsidRDefault="00294727" w:rsidP="00294727">
            <w:pPr>
              <w:jc w:val="center"/>
              <w:rPr>
                <w:rFonts w:ascii="Times New Roman" w:eastAsia="Calibri" w:hAnsi="Times New Roman" w:cs="Times New Roman"/>
                <w:b/>
                <w:sz w:val="18"/>
                <w:szCs w:val="18"/>
                <w:lang w:val="en-US"/>
              </w:rPr>
            </w:pPr>
            <w:r w:rsidRPr="00294727">
              <w:rPr>
                <w:rFonts w:ascii="Times New Roman" w:eastAsia="Calibri" w:hAnsi="Times New Roman" w:cs="Times New Roman"/>
                <w:b/>
                <w:sz w:val="18"/>
                <w:szCs w:val="18"/>
                <w:lang w:val="en-US"/>
              </w:rPr>
              <w:t>Neni 6</w:t>
            </w:r>
          </w:p>
          <w:p w14:paraId="5AA3989C" w14:textId="31A51D43" w:rsidR="00AF6E05" w:rsidRPr="00036F88" w:rsidRDefault="00294727" w:rsidP="00294727">
            <w:pPr>
              <w:jc w:val="center"/>
              <w:rPr>
                <w:rFonts w:ascii="Times New Roman" w:eastAsia="Calibri" w:hAnsi="Times New Roman" w:cs="Times New Roman"/>
                <w:sz w:val="18"/>
                <w:szCs w:val="18"/>
                <w:lang w:val="en-US"/>
              </w:rPr>
            </w:pPr>
            <w:r w:rsidRPr="00294727">
              <w:rPr>
                <w:rFonts w:ascii="Times New Roman" w:eastAsia="Calibri" w:hAnsi="Times New Roman" w:cs="Times New Roman"/>
                <w:b/>
                <w:sz w:val="18"/>
                <w:szCs w:val="18"/>
                <w:lang w:val="en-US"/>
              </w:rPr>
              <w:t>Përcaktimi i shtetit ose shteteve të rezidencës së shitësit</w:t>
            </w:r>
          </w:p>
        </w:tc>
        <w:tc>
          <w:tcPr>
            <w:tcW w:w="720" w:type="dxa"/>
            <w:shd w:val="clear" w:color="auto" w:fill="D0CECE" w:themeFill="background2" w:themeFillShade="E6"/>
          </w:tcPr>
          <w:p w14:paraId="512282FF" w14:textId="77777777" w:rsidR="00AF6E05" w:rsidRPr="00036F88" w:rsidRDefault="00AF6E0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40840D0" w14:textId="77777777" w:rsidR="00AF6E05" w:rsidRPr="00036F88" w:rsidRDefault="00AF6E05" w:rsidP="00AF6E05">
            <w:pPr>
              <w:rPr>
                <w:rFonts w:ascii="Times New Roman" w:eastAsia="Calibri" w:hAnsi="Times New Roman" w:cs="Times New Roman"/>
                <w:sz w:val="18"/>
                <w:szCs w:val="18"/>
                <w:lang w:val="en-US"/>
              </w:rPr>
            </w:pPr>
          </w:p>
        </w:tc>
      </w:tr>
      <w:bookmarkEnd w:id="13"/>
      <w:tr w:rsidR="00AF6E05" w:rsidRPr="00036F88" w14:paraId="75C7E130" w14:textId="77777777" w:rsidTr="007C321D">
        <w:trPr>
          <w:trHeight w:val="2204"/>
        </w:trPr>
        <w:tc>
          <w:tcPr>
            <w:tcW w:w="630" w:type="dxa"/>
          </w:tcPr>
          <w:p w14:paraId="548945EB"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2AF9BB17" w14:textId="77777777" w:rsidR="00AF6E05" w:rsidRPr="001725D0" w:rsidRDefault="00AF6E05" w:rsidP="00AF6E05">
            <w:pPr>
              <w:jc w:val="both"/>
              <w:rPr>
                <w:rFonts w:ascii="Times New Roman" w:eastAsia="Calibri" w:hAnsi="Times New Roman" w:cs="Times New Roman"/>
                <w:iCs/>
                <w:sz w:val="18"/>
                <w:szCs w:val="18"/>
                <w:lang w:val="en-US"/>
              </w:rPr>
            </w:pPr>
          </w:p>
          <w:p w14:paraId="498B1FFF"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Një Operator Platforme Raportuese duhet ta konsiderojë një Shitës rezident në Shtetin Anëtar të Adresës Kryesore të Shitësit. Kur është i ndryshëm nga Shteti Anëtar i Adresës Kryesore të Shitësit, një Operator Platforme Raportuese duhet ta konsiderojë Shitësin rezident edhe në Shtetin Anëtar të lëshimit të Numrit të të Dhënave Personale (NIPT). Kur Shitësi ka dhënë informacion në lidhje me ekzistencën e një selie të përhershme sipas pikës (f) të nënparagrafit B(2), një Operator Platforme Raportuese duhet ta konsiderojë një Shitës rezident edhe në Shtetin Anëtar përkatës, siç specifikohet nga Shitësi.</w:t>
            </w:r>
          </w:p>
          <w:p w14:paraId="79574DC7" w14:textId="77777777" w:rsidR="00AF6E05" w:rsidRPr="001725D0" w:rsidRDefault="00AF6E05" w:rsidP="00AF6E05">
            <w:pPr>
              <w:jc w:val="both"/>
              <w:rPr>
                <w:rFonts w:ascii="Times New Roman" w:eastAsia="Calibri" w:hAnsi="Times New Roman" w:cs="Times New Roman"/>
                <w:iCs/>
                <w:sz w:val="18"/>
                <w:szCs w:val="18"/>
                <w:lang w:val="en-US"/>
              </w:rPr>
            </w:pPr>
          </w:p>
          <w:p w14:paraId="314C328C" w14:textId="254FCAD3"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Pavarësisht nënparagrafit D(1), një Operator Platforme Raportuese do të konsiderojë një Shitës rezident në çdo Shtet Anëtar të konfirmuar nga një shërbim identifikimi elektronik i vënë në dispozicion nga një Shtet Anëtar ose Bashkimi në përputhje me nënparagrafin B(3).</w:t>
            </w:r>
          </w:p>
        </w:tc>
        <w:tc>
          <w:tcPr>
            <w:tcW w:w="540" w:type="dxa"/>
          </w:tcPr>
          <w:p w14:paraId="533BE718" w14:textId="77777777" w:rsidR="00AF6E05" w:rsidRPr="00036F88" w:rsidRDefault="00AF6E05" w:rsidP="003C045B">
            <w:pPr>
              <w:jc w:val="center"/>
              <w:rPr>
                <w:rFonts w:ascii="Times New Roman" w:eastAsia="Calibri" w:hAnsi="Times New Roman" w:cs="Times New Roman"/>
                <w:sz w:val="18"/>
                <w:szCs w:val="18"/>
                <w:highlight w:val="cyan"/>
              </w:rPr>
            </w:pPr>
          </w:p>
        </w:tc>
        <w:tc>
          <w:tcPr>
            <w:tcW w:w="554" w:type="dxa"/>
          </w:tcPr>
          <w:p w14:paraId="3C1D7370" w14:textId="33741A0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 xml:space="preserve"> 6 </w:t>
            </w:r>
          </w:p>
        </w:tc>
        <w:tc>
          <w:tcPr>
            <w:tcW w:w="5040" w:type="dxa"/>
          </w:tcPr>
          <w:p w14:paraId="6FB30844"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1. Operatori i platformës me detyrim raportimi e konsideron një shitës rezident në shtetin ku ndodhet adresa kryesore e shitësit.</w:t>
            </w:r>
          </w:p>
          <w:p w14:paraId="42510F77" w14:textId="77777777" w:rsidR="00294727" w:rsidRPr="00294727" w:rsidRDefault="00294727" w:rsidP="00294727">
            <w:pPr>
              <w:spacing w:line="276" w:lineRule="auto"/>
              <w:jc w:val="both"/>
              <w:rPr>
                <w:rFonts w:ascii="Times New Roman" w:hAnsi="Times New Roman" w:cs="Times New Roman"/>
                <w:sz w:val="18"/>
                <w:szCs w:val="18"/>
              </w:rPr>
            </w:pPr>
          </w:p>
          <w:p w14:paraId="3ACB1E53"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2. Kur adresa kryesore e shitësit ndryshon nga shteti që ka lëshuar numrin e identifikimit për personin e tatueshëm (NIPT) të shitësit, operatori e konsideron shitësin gjithashtu rezident në shtetin që ka lëshuar këtë NIPT.</w:t>
            </w:r>
          </w:p>
          <w:p w14:paraId="1D5724AE"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ab/>
            </w:r>
          </w:p>
          <w:p w14:paraId="3326E879" w14:textId="77777777" w:rsidR="00294727" w:rsidRPr="00294727"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3. Kur shitësi ka dhënë informacion mbi ekzistencën e një selie të përhershme, operatori e konsideron shitësin gjithashtu rezident në shtetin ku ndodhet selia e përhershme e deklaruar, përputhje me nenin 4, pika 3, germa f).</w:t>
            </w:r>
          </w:p>
          <w:p w14:paraId="76B14BCF" w14:textId="77777777" w:rsidR="00294727" w:rsidRPr="00294727" w:rsidRDefault="00294727" w:rsidP="00294727">
            <w:pPr>
              <w:spacing w:line="276" w:lineRule="auto"/>
              <w:jc w:val="both"/>
              <w:rPr>
                <w:rFonts w:ascii="Times New Roman" w:hAnsi="Times New Roman" w:cs="Times New Roman"/>
                <w:sz w:val="18"/>
                <w:szCs w:val="18"/>
              </w:rPr>
            </w:pPr>
          </w:p>
          <w:p w14:paraId="50E262DB" w14:textId="0AB64CF2" w:rsidR="00AF6E05" w:rsidRPr="00FC68D3" w:rsidRDefault="00294727" w:rsidP="00294727">
            <w:pPr>
              <w:spacing w:line="276" w:lineRule="auto"/>
              <w:jc w:val="both"/>
              <w:rPr>
                <w:rFonts w:ascii="Times New Roman" w:hAnsi="Times New Roman" w:cs="Times New Roman"/>
                <w:sz w:val="18"/>
                <w:szCs w:val="18"/>
              </w:rPr>
            </w:pPr>
            <w:r w:rsidRPr="00294727">
              <w:rPr>
                <w:rFonts w:ascii="Times New Roman" w:hAnsi="Times New Roman" w:cs="Times New Roman"/>
                <w:sz w:val="18"/>
                <w:szCs w:val="18"/>
              </w:rPr>
              <w:t>4.Pavarësisht pikave 1 deri në 3, operatori i platformës me detyrim raportimi e konsideron një shitës rezident në çdo shtet për të cilin rezidenca e shitësit është konfirmuar përmes një shërbimi elektronik identifikimi, të vënë në dispozicion nga një shtet ose nga Bashkimi Evropian, në përputhje me nenin 4 pika 4.</w:t>
            </w:r>
          </w:p>
        </w:tc>
        <w:tc>
          <w:tcPr>
            <w:tcW w:w="720" w:type="dxa"/>
          </w:tcPr>
          <w:p w14:paraId="17F75D3A" w14:textId="1DE44F4C"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7C0429B" w14:textId="77777777" w:rsidR="00AF6E05" w:rsidRPr="00080E02" w:rsidRDefault="00AF6E05" w:rsidP="00E16BA5">
            <w:pPr>
              <w:rPr>
                <w:rFonts w:ascii="Times New Roman" w:eastAsia="Calibri" w:hAnsi="Times New Roman" w:cs="Times New Roman"/>
                <w:sz w:val="18"/>
                <w:szCs w:val="18"/>
              </w:rPr>
            </w:pPr>
          </w:p>
        </w:tc>
      </w:tr>
      <w:tr w:rsidR="00AF6E05" w:rsidRPr="00036F88" w14:paraId="41873863" w14:textId="77777777" w:rsidTr="007C321D">
        <w:trPr>
          <w:trHeight w:val="854"/>
        </w:trPr>
        <w:tc>
          <w:tcPr>
            <w:tcW w:w="630" w:type="dxa"/>
          </w:tcPr>
          <w:p w14:paraId="7050930A" w14:textId="77777777" w:rsidR="00AF6E05" w:rsidRPr="00036F88" w:rsidRDefault="00AF6E05" w:rsidP="00AF6E05">
            <w:pPr>
              <w:jc w:val="both"/>
              <w:rPr>
                <w:rFonts w:ascii="Times New Roman" w:eastAsia="Calibri" w:hAnsi="Times New Roman" w:cs="Times New Roman"/>
                <w:sz w:val="18"/>
                <w:szCs w:val="18"/>
                <w:lang w:val="en-US"/>
              </w:rPr>
            </w:pPr>
            <w:bookmarkStart w:id="14" w:name="_Hlk227923227"/>
          </w:p>
        </w:tc>
        <w:tc>
          <w:tcPr>
            <w:tcW w:w="5400" w:type="dxa"/>
            <w:shd w:val="clear" w:color="auto" w:fill="D0CECE" w:themeFill="background2" w:themeFillShade="E6"/>
          </w:tcPr>
          <w:p w14:paraId="6C6C3036" w14:textId="10CA41C7" w:rsidR="00AF6E05" w:rsidRPr="001725D0" w:rsidRDefault="00AF6E05" w:rsidP="00AF6E05">
            <w:pPr>
              <w:jc w:val="both"/>
              <w:rPr>
                <w:rFonts w:ascii="Times New Roman" w:eastAsia="Calibri" w:hAnsi="Times New Roman" w:cs="Times New Roman"/>
                <w:iCs/>
                <w:sz w:val="18"/>
                <w:szCs w:val="18"/>
                <w:lang w:val="en-US"/>
              </w:rPr>
            </w:pPr>
          </w:p>
          <w:p w14:paraId="0D82808E" w14:textId="77777777" w:rsidR="00AF6E05" w:rsidRPr="001725D0" w:rsidRDefault="00AF6E05" w:rsidP="00AF6E05">
            <w:pPr>
              <w:jc w:val="both"/>
              <w:rPr>
                <w:rFonts w:ascii="Times New Roman" w:eastAsia="Calibri" w:hAnsi="Times New Roman" w:cs="Times New Roman"/>
                <w:iCs/>
                <w:sz w:val="18"/>
                <w:szCs w:val="18"/>
                <w:lang w:val="en-US"/>
              </w:rPr>
            </w:pPr>
          </w:p>
          <w:p w14:paraId="53226D37"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E. Mbledhja e informacionit mbi pasurinë e paluajtshme të dhënë me qira</w:t>
            </w:r>
          </w:p>
          <w:p w14:paraId="769CDB1A"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A8E62D0" w14:textId="77777777" w:rsidR="00AF6E05" w:rsidRPr="00036F88" w:rsidRDefault="00AF6E0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4371B4D5" w14:textId="77777777" w:rsidR="00AF6E05" w:rsidRPr="00036F88" w:rsidRDefault="00AF6E0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7C331F2D" w14:textId="77777777" w:rsidR="00AF6E05" w:rsidRDefault="00AF6E05" w:rsidP="00AF6E05">
            <w:pPr>
              <w:jc w:val="center"/>
              <w:rPr>
                <w:rFonts w:ascii="Times New Roman" w:eastAsia="Calibri" w:hAnsi="Times New Roman" w:cs="Times New Roman"/>
                <w:sz w:val="18"/>
                <w:szCs w:val="18"/>
                <w:lang w:val="en-US"/>
              </w:rPr>
            </w:pPr>
          </w:p>
          <w:p w14:paraId="571CD95B" w14:textId="77777777" w:rsidR="00294727" w:rsidRPr="00294727" w:rsidRDefault="00294727" w:rsidP="00294727">
            <w:pPr>
              <w:jc w:val="center"/>
              <w:rPr>
                <w:rFonts w:ascii="Times New Roman" w:eastAsia="Calibri" w:hAnsi="Times New Roman" w:cs="Times New Roman"/>
                <w:b/>
                <w:sz w:val="20"/>
                <w:szCs w:val="18"/>
                <w:lang w:val="en-US"/>
              </w:rPr>
            </w:pPr>
            <w:r w:rsidRPr="00294727">
              <w:rPr>
                <w:rFonts w:ascii="Times New Roman" w:eastAsia="Calibri" w:hAnsi="Times New Roman" w:cs="Times New Roman"/>
                <w:b/>
                <w:sz w:val="20"/>
                <w:szCs w:val="18"/>
                <w:lang w:val="en-US"/>
              </w:rPr>
              <w:t>Neni 7</w:t>
            </w:r>
          </w:p>
          <w:p w14:paraId="3F5AD47E" w14:textId="08CB54E6" w:rsidR="00AF6E05" w:rsidRPr="00036F88" w:rsidRDefault="00294727" w:rsidP="00294727">
            <w:pPr>
              <w:jc w:val="center"/>
              <w:rPr>
                <w:rFonts w:ascii="Times New Roman" w:eastAsia="Calibri" w:hAnsi="Times New Roman" w:cs="Times New Roman"/>
                <w:sz w:val="18"/>
                <w:szCs w:val="18"/>
                <w:lang w:val="en-US"/>
              </w:rPr>
            </w:pPr>
            <w:r w:rsidRPr="00294727">
              <w:rPr>
                <w:rFonts w:ascii="Times New Roman" w:eastAsia="Calibri" w:hAnsi="Times New Roman" w:cs="Times New Roman"/>
                <w:b/>
                <w:sz w:val="20"/>
                <w:szCs w:val="18"/>
                <w:lang w:val="en-US"/>
              </w:rPr>
              <w:t>Mbledhja e informacionit mbi pasuritë e paluajtshme të dhëna me qira</w:t>
            </w:r>
          </w:p>
        </w:tc>
        <w:tc>
          <w:tcPr>
            <w:tcW w:w="720" w:type="dxa"/>
            <w:shd w:val="clear" w:color="auto" w:fill="D0CECE" w:themeFill="background2" w:themeFillShade="E6"/>
          </w:tcPr>
          <w:p w14:paraId="1A96CE87" w14:textId="77777777" w:rsidR="00AF6E05" w:rsidRPr="00036F88" w:rsidRDefault="00AF6E0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267DC1F9" w14:textId="77777777" w:rsidR="00AF6E05" w:rsidRPr="00036F88" w:rsidRDefault="00AF6E05" w:rsidP="00AF6E05">
            <w:pPr>
              <w:rPr>
                <w:rFonts w:ascii="Times New Roman" w:eastAsia="Calibri" w:hAnsi="Times New Roman" w:cs="Times New Roman"/>
                <w:sz w:val="18"/>
                <w:szCs w:val="18"/>
                <w:lang w:val="en-US"/>
              </w:rPr>
            </w:pPr>
          </w:p>
        </w:tc>
      </w:tr>
      <w:bookmarkEnd w:id="14"/>
      <w:tr w:rsidR="00AF6E05" w:rsidRPr="00036F88" w14:paraId="5F94EEB0" w14:textId="77777777" w:rsidTr="007C321D">
        <w:trPr>
          <w:trHeight w:val="2204"/>
        </w:trPr>
        <w:tc>
          <w:tcPr>
            <w:tcW w:w="630" w:type="dxa"/>
          </w:tcPr>
          <w:p w14:paraId="31E31C4F"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48543F0A" w14:textId="77777777" w:rsidR="00AF6E05" w:rsidRPr="001725D0" w:rsidRDefault="00AF6E05" w:rsidP="00AF6E05">
            <w:pPr>
              <w:jc w:val="both"/>
              <w:rPr>
                <w:rFonts w:ascii="Times New Roman" w:eastAsia="Calibri" w:hAnsi="Times New Roman" w:cs="Times New Roman"/>
                <w:iCs/>
                <w:sz w:val="18"/>
                <w:szCs w:val="18"/>
                <w:lang w:val="en-US"/>
              </w:rPr>
            </w:pPr>
          </w:p>
          <w:p w14:paraId="70C1C622" w14:textId="63032E89"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Kur një Shitës është i angazhuar në një Aktivitet Përkatës që përfshin qiradhënien e pasurisë së paluajtshme, Operatori i Platformës Raportuese duhet të mbledhë adresën e secilës Listë Pronash dhe, kur lëshohet, numrin përkatës të regjistrimit të tokës ose ekuivalentin e tij sipas ligjit kombëtar të Shtetit Anëtar ku ndodhet. Kur një Operator i Platformës Raportuese ka lehtësuar më shumë se 2,000 Aktivitete Përkatëse me anë të qiradhënies së një Liste Pronash për të njëjtin Shitës që është një Entitet, Operatori i Platformës Raportuese duhet të mbledhë dokumente mbështetëse, të dhëna ose informacione që Lista e Pronave është në pronësi të të njëjtit pronar.</w:t>
            </w:r>
          </w:p>
        </w:tc>
        <w:tc>
          <w:tcPr>
            <w:tcW w:w="540" w:type="dxa"/>
          </w:tcPr>
          <w:p w14:paraId="54DAF279" w14:textId="77777777" w:rsidR="00AF6E05" w:rsidRPr="00036F88" w:rsidRDefault="00AF6E05" w:rsidP="003C045B">
            <w:pPr>
              <w:jc w:val="center"/>
              <w:rPr>
                <w:rFonts w:ascii="Times New Roman" w:eastAsia="Calibri" w:hAnsi="Times New Roman" w:cs="Times New Roman"/>
                <w:sz w:val="18"/>
                <w:szCs w:val="18"/>
                <w:highlight w:val="cyan"/>
              </w:rPr>
            </w:pPr>
          </w:p>
        </w:tc>
        <w:tc>
          <w:tcPr>
            <w:tcW w:w="554" w:type="dxa"/>
          </w:tcPr>
          <w:p w14:paraId="6E94E9FD" w14:textId="3A952FA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7 </w:t>
            </w:r>
          </w:p>
        </w:tc>
        <w:tc>
          <w:tcPr>
            <w:tcW w:w="5040" w:type="dxa"/>
          </w:tcPr>
          <w:p w14:paraId="3F7DADAB"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1.</w:t>
            </w:r>
            <w:r w:rsidRPr="00294727">
              <w:rPr>
                <w:rFonts w:ascii="Times New Roman" w:hAnsi="Times New Roman" w:cs="Times New Roman"/>
                <w:sz w:val="18"/>
                <w:szCs w:val="18"/>
              </w:rPr>
              <w:tab/>
              <w:t>Për qëllimin e mbledhjes së informacionit mbi pasuritë e paluajtshme të dhëna me qira, operatori i platformës me detyrim raportimi mbledh adresën e çdo pasurie të listuar dhe kur është i disponueshëm, numrin e regjistrimit në regjistrin kadastral ose një identifikues ekuivalent të parashikuar nga kuadri ligjor në fuqi.</w:t>
            </w:r>
          </w:p>
          <w:p w14:paraId="537C4134"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2.</w:t>
            </w:r>
            <w:r w:rsidRPr="00294727">
              <w:rPr>
                <w:rFonts w:ascii="Times New Roman" w:hAnsi="Times New Roman" w:cs="Times New Roman"/>
                <w:sz w:val="18"/>
                <w:szCs w:val="18"/>
              </w:rPr>
              <w:tab/>
              <w:t>Për çdo shitës që ka kryer aktivitete të raportueshme qiraje lidhur me një pronë të shpallur përmes platformës, operatori i platformës me detyrim raportimi mbledh dokumentet mbështetëse, të dhënat ose informacionin që vërtetojnë se prona e shpallur i përket të njëjtit pronar, në masën që këto të dhëna janë të disponueshme dhe të arsyeshme për t’u marrë.</w:t>
            </w:r>
          </w:p>
          <w:p w14:paraId="60DE37B0"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3.</w:t>
            </w:r>
            <w:r w:rsidRPr="00294727">
              <w:rPr>
                <w:rFonts w:ascii="Times New Roman" w:hAnsi="Times New Roman" w:cs="Times New Roman"/>
                <w:sz w:val="18"/>
                <w:szCs w:val="18"/>
              </w:rPr>
              <w:tab/>
              <w:t>Për shitës që ofrojnë qira, operatori i platformës mund të mbledh dokumentacionin provues, kur kjo kërkohet për qëllime verifikimi që lidhet me pronësinë ose të drejtën e përdorimit për pronën e shpallur, sipas rregullave të përcaktuara në aktin nënligjor.</w:t>
            </w:r>
          </w:p>
          <w:p w14:paraId="61E18D8A" w14:textId="480B45EF" w:rsidR="00AF6E05" w:rsidRPr="00FC68D3"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4.</w:t>
            </w:r>
            <w:r w:rsidRPr="00294727">
              <w:rPr>
                <w:rFonts w:ascii="Times New Roman" w:hAnsi="Times New Roman" w:cs="Times New Roman"/>
                <w:sz w:val="18"/>
                <w:szCs w:val="18"/>
              </w:rPr>
              <w:tab/>
              <w:t>Kur për të njëjtën pasuri të paluajtshme regjistrohen listime të shumta, ose kur një shitës që është entitet ofron më shume se 2000 aktivitete të raportueshme për të njëjtën pasuri, operatori i platformës me detyrim raportimi është i detyruar të kërkojë nga shitësi dokumentacion që vërteton të drejtën e pronësisë ose të përdorimit të pasurisë, dhe të ruajë prova përkatëse për qëllime verifikimi dhe raportimi.</w:t>
            </w:r>
          </w:p>
        </w:tc>
        <w:tc>
          <w:tcPr>
            <w:tcW w:w="720" w:type="dxa"/>
          </w:tcPr>
          <w:p w14:paraId="24FFC013" w14:textId="3DC66869"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27863AF" w14:textId="77777777" w:rsidR="00AF6E05" w:rsidRPr="00080E02" w:rsidRDefault="00AF6E05" w:rsidP="00E16BA5">
            <w:pPr>
              <w:rPr>
                <w:rFonts w:ascii="Times New Roman" w:eastAsia="Calibri" w:hAnsi="Times New Roman" w:cs="Times New Roman"/>
                <w:sz w:val="18"/>
                <w:szCs w:val="18"/>
              </w:rPr>
            </w:pPr>
          </w:p>
        </w:tc>
      </w:tr>
      <w:tr w:rsidR="00AF6E05" w:rsidRPr="00036F88" w14:paraId="7EF76BDA" w14:textId="77777777" w:rsidTr="007C321D">
        <w:trPr>
          <w:trHeight w:val="854"/>
        </w:trPr>
        <w:tc>
          <w:tcPr>
            <w:tcW w:w="630" w:type="dxa"/>
          </w:tcPr>
          <w:p w14:paraId="570F5894" w14:textId="77777777" w:rsidR="00AF6E05" w:rsidRPr="00036F88" w:rsidRDefault="00AF6E05" w:rsidP="00AF6E05">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02C5F87E" w14:textId="77777777" w:rsidR="00AF6E05" w:rsidRPr="001725D0" w:rsidRDefault="00AF6E05" w:rsidP="00AF6E05">
            <w:pPr>
              <w:jc w:val="both"/>
              <w:rPr>
                <w:rFonts w:ascii="Times New Roman" w:eastAsia="Calibri" w:hAnsi="Times New Roman" w:cs="Times New Roman"/>
                <w:iCs/>
                <w:sz w:val="18"/>
                <w:szCs w:val="18"/>
                <w:lang w:val="en-US"/>
              </w:rPr>
            </w:pPr>
          </w:p>
          <w:p w14:paraId="401D4FD3"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F. Kohëzgjatja dhe vlefshmëria e procedurave të kujdesit të duhur</w:t>
            </w:r>
          </w:p>
          <w:p w14:paraId="7FDA9B43" w14:textId="77777777" w:rsidR="00AF6E05" w:rsidRPr="001725D0" w:rsidRDefault="00AF6E05" w:rsidP="00AF6E05">
            <w:pPr>
              <w:jc w:val="both"/>
              <w:rPr>
                <w:rFonts w:ascii="Times New Roman" w:eastAsia="Calibri" w:hAnsi="Times New Roman" w:cs="Times New Roman"/>
                <w:iCs/>
                <w:sz w:val="18"/>
                <w:szCs w:val="18"/>
                <w:lang w:val="en-US"/>
              </w:rPr>
            </w:pPr>
          </w:p>
          <w:p w14:paraId="4B2BA571"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6476C55A" w14:textId="77777777" w:rsidR="00AF6E05" w:rsidRPr="00036F88" w:rsidRDefault="00AF6E0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3B7E092E" w14:textId="77777777" w:rsidR="00AF6E05" w:rsidRPr="00036F88" w:rsidRDefault="00AF6E05"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D32EA5F" w14:textId="77777777" w:rsidR="00AF6E05" w:rsidRDefault="00AF6E05" w:rsidP="00AF6E05">
            <w:pPr>
              <w:jc w:val="center"/>
              <w:rPr>
                <w:rFonts w:ascii="Times New Roman" w:eastAsia="Calibri" w:hAnsi="Times New Roman" w:cs="Times New Roman"/>
                <w:sz w:val="18"/>
                <w:szCs w:val="18"/>
                <w:lang w:val="en-US"/>
              </w:rPr>
            </w:pPr>
          </w:p>
          <w:p w14:paraId="131F154F" w14:textId="77777777" w:rsidR="00BA0D16" w:rsidRPr="00294727" w:rsidRDefault="00BA0D16" w:rsidP="00294727">
            <w:pPr>
              <w:jc w:val="center"/>
              <w:rPr>
                <w:rFonts w:ascii="Times New Roman" w:hAnsi="Times New Roman" w:cs="Times New Roman"/>
                <w:b/>
                <w:sz w:val="18"/>
                <w:szCs w:val="18"/>
              </w:rPr>
            </w:pPr>
            <w:r w:rsidRPr="00294727">
              <w:rPr>
                <w:rFonts w:ascii="Times New Roman" w:hAnsi="Times New Roman" w:cs="Times New Roman"/>
                <w:b/>
                <w:sz w:val="18"/>
                <w:szCs w:val="18"/>
              </w:rPr>
              <w:t>Neni 8</w:t>
            </w:r>
          </w:p>
          <w:p w14:paraId="0805F0F8" w14:textId="2A812C3A" w:rsidR="00AF6E05" w:rsidRPr="00036F88" w:rsidRDefault="00BA0D16" w:rsidP="00294727">
            <w:pPr>
              <w:jc w:val="center"/>
              <w:rPr>
                <w:rFonts w:ascii="Times New Roman" w:eastAsia="Calibri" w:hAnsi="Times New Roman" w:cs="Times New Roman"/>
                <w:sz w:val="18"/>
                <w:szCs w:val="18"/>
                <w:lang w:val="en-US"/>
              </w:rPr>
            </w:pPr>
            <w:r w:rsidRPr="00294727">
              <w:rPr>
                <w:rFonts w:ascii="Times New Roman" w:hAnsi="Times New Roman" w:cs="Times New Roman"/>
                <w:b/>
                <w:sz w:val="18"/>
                <w:szCs w:val="18"/>
              </w:rPr>
              <w:t>Afatet dhe vlefshmëria e procedurave</w:t>
            </w:r>
          </w:p>
        </w:tc>
        <w:tc>
          <w:tcPr>
            <w:tcW w:w="720" w:type="dxa"/>
            <w:shd w:val="clear" w:color="auto" w:fill="D0CECE" w:themeFill="background2" w:themeFillShade="E6"/>
          </w:tcPr>
          <w:p w14:paraId="66FA179C" w14:textId="77777777" w:rsidR="00AF6E05" w:rsidRPr="00036F88" w:rsidRDefault="00AF6E05"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23689A62" w14:textId="77777777" w:rsidR="00AF6E05" w:rsidRPr="00036F88" w:rsidRDefault="00AF6E05" w:rsidP="00AF6E05">
            <w:pPr>
              <w:rPr>
                <w:rFonts w:ascii="Times New Roman" w:eastAsia="Calibri" w:hAnsi="Times New Roman" w:cs="Times New Roman"/>
                <w:sz w:val="18"/>
                <w:szCs w:val="18"/>
                <w:lang w:val="en-US"/>
              </w:rPr>
            </w:pPr>
          </w:p>
        </w:tc>
      </w:tr>
      <w:tr w:rsidR="00AF6E05" w:rsidRPr="00036F88" w14:paraId="701D9574" w14:textId="77777777" w:rsidTr="007C321D">
        <w:trPr>
          <w:trHeight w:val="2204"/>
        </w:trPr>
        <w:tc>
          <w:tcPr>
            <w:tcW w:w="630" w:type="dxa"/>
          </w:tcPr>
          <w:p w14:paraId="659811A2"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22B068FE" w14:textId="77777777" w:rsidR="00AF6E05" w:rsidRPr="001725D0" w:rsidRDefault="00AF6E05" w:rsidP="00AF6E05">
            <w:pPr>
              <w:jc w:val="both"/>
              <w:rPr>
                <w:rFonts w:ascii="Times New Roman" w:eastAsia="Calibri" w:hAnsi="Times New Roman" w:cs="Times New Roman"/>
                <w:iCs/>
                <w:sz w:val="18"/>
                <w:szCs w:val="18"/>
                <w:lang w:val="en-US"/>
              </w:rPr>
            </w:pPr>
          </w:p>
          <w:p w14:paraId="64B88EE5"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Një Operator Platforme Raportuese duhet të përfundojë procedurat e kujdesit të duhur të përcaktuara në paragrafët A deri në E deri më 31 dhjetor të Periudhës së Raportueshme.</w:t>
            </w:r>
          </w:p>
          <w:p w14:paraId="174ED0FE" w14:textId="77777777"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Pavarësisht nënparagrafit F(1), për Shitësit që ishin regjistruar tashmë në Platformë që nga 1 Janari 2023 ose që nga data në të cilën një Entitet bëhet Operator i Platformës Raportuese, procedurat e kujdesit të duhur të përcaktuara në paragrafët A deri në E duhet të përfundojnë deri më 31 Dhjetor të Periudhës së dytë Raportuese për Operatorin e Platformës Raportuese.</w:t>
            </w:r>
          </w:p>
          <w:p w14:paraId="45B46608" w14:textId="77777777" w:rsidR="00AF6E05" w:rsidRPr="001725D0" w:rsidRDefault="00AF6E05" w:rsidP="00AF6E05">
            <w:pPr>
              <w:jc w:val="both"/>
              <w:rPr>
                <w:rFonts w:ascii="Times New Roman" w:eastAsia="Calibri" w:hAnsi="Times New Roman" w:cs="Times New Roman"/>
                <w:iCs/>
                <w:sz w:val="18"/>
                <w:szCs w:val="18"/>
                <w:lang w:val="en-US"/>
              </w:rPr>
            </w:pPr>
          </w:p>
          <w:p w14:paraId="15E96093" w14:textId="34BB1EDE" w:rsidR="00AF6E05" w:rsidRPr="001725D0" w:rsidRDefault="00AF6E05" w:rsidP="00AF6E0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3. Pavarësisht nënparagrafit F(1), një Operator Platforme Raportuese mund të mbështetet në procedurat e kujdesit të duhur të kryera në lidhje </w:t>
            </w:r>
            <w:r w:rsidRPr="001725D0">
              <w:rPr>
                <w:rFonts w:ascii="Times New Roman" w:eastAsia="Calibri" w:hAnsi="Times New Roman" w:cs="Times New Roman"/>
                <w:iCs/>
                <w:sz w:val="18"/>
                <w:szCs w:val="18"/>
                <w:lang w:val="en-US"/>
              </w:rPr>
              <w:lastRenderedPageBreak/>
              <w:t>me Periudhat e mëparshme të Raportueshme, me kusht që: (a) informacioni i Shitësit i kërkuar në nënparagrafët B(1) dhe B(2) të jetë mbledhur dhe verifikuar ose konfirmuar brenda 36 muajve të fundit; dhe (b) Operatori i Platformës Raportuese nuk ka arsye të dijë se informacioni i mbledhur në përputhje me paragrafët A, B dhe E është ose është bërë i pabesueshëm ose i pasaktë.</w:t>
            </w:r>
          </w:p>
        </w:tc>
        <w:tc>
          <w:tcPr>
            <w:tcW w:w="540" w:type="dxa"/>
          </w:tcPr>
          <w:p w14:paraId="352AB062" w14:textId="77777777" w:rsidR="00AF6E05" w:rsidRPr="00036F88" w:rsidRDefault="00AF6E05" w:rsidP="003C045B">
            <w:pPr>
              <w:jc w:val="center"/>
              <w:rPr>
                <w:rFonts w:ascii="Times New Roman" w:eastAsia="Calibri" w:hAnsi="Times New Roman" w:cs="Times New Roman"/>
                <w:sz w:val="18"/>
                <w:szCs w:val="18"/>
                <w:highlight w:val="cyan"/>
              </w:rPr>
            </w:pPr>
          </w:p>
        </w:tc>
        <w:tc>
          <w:tcPr>
            <w:tcW w:w="554" w:type="dxa"/>
          </w:tcPr>
          <w:p w14:paraId="41BD764B" w14:textId="1070DB6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8 </w:t>
            </w:r>
          </w:p>
        </w:tc>
        <w:tc>
          <w:tcPr>
            <w:tcW w:w="5040" w:type="dxa"/>
          </w:tcPr>
          <w:p w14:paraId="4A381453"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1.</w:t>
            </w:r>
            <w:r w:rsidRPr="00294727">
              <w:rPr>
                <w:rFonts w:ascii="Times New Roman" w:hAnsi="Times New Roman" w:cs="Times New Roman"/>
                <w:sz w:val="18"/>
                <w:szCs w:val="18"/>
              </w:rPr>
              <w:tab/>
              <w:t>Operatori i platformës me detyrim raportimi kryen procedurat e verifikimit të duhur, sipas Neneve 3, 4, 5, 6 dhe 7, brenda datës 31 dhjetor të periudhës së raportimit.</w:t>
            </w:r>
          </w:p>
          <w:p w14:paraId="64708646"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Përjashtimisht këtij rregulli, procedurat e verifikimit të duhur kryhen brenda datës 31 dhjetor të periudhës së dytë të raportimit, në rastet kur:</w:t>
            </w:r>
          </w:p>
          <w:p w14:paraId="4BDC0844" w14:textId="77777777" w:rsidR="00294727" w:rsidRPr="00294727" w:rsidRDefault="00294727" w:rsidP="00294727">
            <w:pPr>
              <w:jc w:val="both"/>
              <w:rPr>
                <w:rFonts w:ascii="Times New Roman" w:hAnsi="Times New Roman" w:cs="Times New Roman"/>
                <w:sz w:val="18"/>
                <w:szCs w:val="18"/>
              </w:rPr>
            </w:pPr>
          </w:p>
          <w:p w14:paraId="5335F490"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a) shitësit kanë qenë të regjistruar në platformë në datën e hyrjes në fuqi të këtij ligji; ose</w:t>
            </w:r>
          </w:p>
          <w:p w14:paraId="57F42CAD"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b) një entitet bëhet për herë të parë operator i platformës me detyrim raportimi.</w:t>
            </w:r>
          </w:p>
          <w:p w14:paraId="4D62C60F" w14:textId="77777777" w:rsidR="00294727" w:rsidRPr="00294727" w:rsidRDefault="00294727" w:rsidP="00294727">
            <w:pPr>
              <w:jc w:val="both"/>
              <w:rPr>
                <w:rFonts w:ascii="Times New Roman" w:hAnsi="Times New Roman" w:cs="Times New Roman"/>
                <w:sz w:val="18"/>
                <w:szCs w:val="18"/>
              </w:rPr>
            </w:pPr>
          </w:p>
          <w:p w14:paraId="615505CA"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lastRenderedPageBreak/>
              <w:t>2.</w:t>
            </w:r>
            <w:r w:rsidRPr="00294727">
              <w:rPr>
                <w:rFonts w:ascii="Times New Roman" w:hAnsi="Times New Roman" w:cs="Times New Roman"/>
                <w:sz w:val="18"/>
                <w:szCs w:val="18"/>
              </w:rPr>
              <w:tab/>
              <w:t>Përjashtimisht parashikimit në pikën 1, operatori i platformës me detyrim raportimi mund të bazohet në të dhënat e mbledhura nga procedurat e verifikimit të duhur tatimor të kryera për periudha të mëparshme raportimi, për sa kohë që plotësohen të gjitha kushtet e mëposhtme:</w:t>
            </w:r>
          </w:p>
          <w:p w14:paraId="15CBF625"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a) informacionet mbi shitësin, sipas Nenit 4, pikave 1 dhe 2, janë mbledhur dhe verifikuar ose konfirmuar brenda 36 muajve të fundit;</w:t>
            </w:r>
          </w:p>
          <w:p w14:paraId="4CAEA229"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b) operatori i platformës me detyrim raportimi nuk ka arsye të besojë se informacionet e mbledhura sipas Neneve 3, 4, 6 dhe 7 janë të pasakta, të paplota ose të pabesueshme.</w:t>
            </w:r>
          </w:p>
          <w:p w14:paraId="628FEBFD" w14:textId="77777777" w:rsidR="00294727" w:rsidRPr="00294727" w:rsidRDefault="00294727" w:rsidP="00294727">
            <w:pPr>
              <w:jc w:val="both"/>
              <w:rPr>
                <w:rFonts w:ascii="Times New Roman" w:hAnsi="Times New Roman" w:cs="Times New Roman"/>
                <w:sz w:val="18"/>
                <w:szCs w:val="18"/>
              </w:rPr>
            </w:pPr>
          </w:p>
          <w:p w14:paraId="465D34BB"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3.</w:t>
            </w:r>
            <w:r w:rsidRPr="00294727">
              <w:rPr>
                <w:rFonts w:ascii="Times New Roman" w:hAnsi="Times New Roman" w:cs="Times New Roman"/>
                <w:sz w:val="18"/>
                <w:szCs w:val="18"/>
              </w:rPr>
              <w:tab/>
              <w:t>Raportimet e refuzuara për shkaqe teknike ose administrative në kuadër të procedurave të komunikimit të të dhënave mund të ri-dorëzohen brenda 30 ditëve kalendarike nga data e njoftimit të refuzimit, duke ruajtur identifikuesin unik të raportimit.</w:t>
            </w:r>
          </w:p>
          <w:p w14:paraId="1C6FFB28" w14:textId="00BCD263" w:rsidR="00AF6E05" w:rsidRPr="00AF6E05"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Në rastet e parashikuara nga rregullat e verifikimit të të dhënave, mund të përdoret procedura e korrigjimit të raportimit, e cila mundëson korrigjimin ose zëvendësimin e raportimit të mëparshëm me të dhëna të sakta dhe të plota, sipas modaliteteve të përcaktuara në aktet nënligjore në zbatim të këtij ligji.</w:t>
            </w:r>
          </w:p>
        </w:tc>
        <w:tc>
          <w:tcPr>
            <w:tcW w:w="720" w:type="dxa"/>
          </w:tcPr>
          <w:p w14:paraId="0F02F431" w14:textId="3913E2AA"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7F5EBA4A" w14:textId="77777777" w:rsidR="00AF6E05" w:rsidRPr="00080E02" w:rsidRDefault="00AF6E05" w:rsidP="00E16BA5">
            <w:pPr>
              <w:rPr>
                <w:rFonts w:ascii="Times New Roman" w:eastAsia="Calibri" w:hAnsi="Times New Roman" w:cs="Times New Roman"/>
                <w:sz w:val="18"/>
                <w:szCs w:val="18"/>
              </w:rPr>
            </w:pPr>
          </w:p>
        </w:tc>
      </w:tr>
      <w:tr w:rsidR="00AF6E05" w:rsidRPr="00036F88" w14:paraId="7AD9602D" w14:textId="77777777" w:rsidTr="007C321D">
        <w:trPr>
          <w:trHeight w:val="854"/>
        </w:trPr>
        <w:tc>
          <w:tcPr>
            <w:tcW w:w="630" w:type="dxa"/>
          </w:tcPr>
          <w:p w14:paraId="2A582143" w14:textId="77777777" w:rsidR="00AF6E05" w:rsidRPr="00036F88" w:rsidRDefault="00AF6E05" w:rsidP="00AF6E05">
            <w:pPr>
              <w:jc w:val="both"/>
              <w:rPr>
                <w:rFonts w:ascii="Times New Roman" w:eastAsia="Calibri" w:hAnsi="Times New Roman" w:cs="Times New Roman"/>
                <w:sz w:val="18"/>
                <w:szCs w:val="18"/>
              </w:rPr>
            </w:pPr>
            <w:bookmarkStart w:id="15" w:name="_Hlk227923525"/>
          </w:p>
        </w:tc>
        <w:tc>
          <w:tcPr>
            <w:tcW w:w="5400" w:type="dxa"/>
            <w:shd w:val="clear" w:color="auto" w:fill="D0CECE" w:themeFill="background2" w:themeFillShade="E6"/>
          </w:tcPr>
          <w:p w14:paraId="5AA51299"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G. Zbatimi i procedurave të kujdesit të duhur vetëm për Shitësit Aktivë</w:t>
            </w:r>
          </w:p>
          <w:p w14:paraId="1200DE7C" w14:textId="77777777" w:rsidR="00AF6E05" w:rsidRPr="001725D0"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4663F80A" w14:textId="77777777" w:rsidR="00AF6E05" w:rsidRPr="00036F88" w:rsidRDefault="00AF6E05"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042F6BEE" w14:textId="77777777" w:rsidR="00AF6E05" w:rsidRPr="00036F88" w:rsidRDefault="00AF6E05" w:rsidP="00AF6E05">
            <w:pPr>
              <w:rPr>
                <w:rFonts w:ascii="Times New Roman" w:eastAsia="Calibri" w:hAnsi="Times New Roman" w:cs="Times New Roman"/>
                <w:sz w:val="18"/>
                <w:szCs w:val="18"/>
              </w:rPr>
            </w:pPr>
          </w:p>
        </w:tc>
        <w:tc>
          <w:tcPr>
            <w:tcW w:w="5040" w:type="dxa"/>
            <w:shd w:val="clear" w:color="auto" w:fill="D0CECE" w:themeFill="background2" w:themeFillShade="E6"/>
          </w:tcPr>
          <w:p w14:paraId="0AF44B6B" w14:textId="77777777" w:rsidR="00294727" w:rsidRPr="00BA0D16" w:rsidRDefault="00294727" w:rsidP="00294727">
            <w:pPr>
              <w:jc w:val="center"/>
              <w:rPr>
                <w:rFonts w:ascii="Times New Roman" w:hAnsi="Times New Roman" w:cs="Times New Roman"/>
                <w:b/>
                <w:sz w:val="18"/>
                <w:szCs w:val="18"/>
              </w:rPr>
            </w:pPr>
            <w:r w:rsidRPr="00BA0D16">
              <w:rPr>
                <w:rFonts w:ascii="Times New Roman" w:hAnsi="Times New Roman" w:cs="Times New Roman"/>
                <w:b/>
                <w:sz w:val="18"/>
                <w:szCs w:val="18"/>
              </w:rPr>
              <w:t>Neni 9</w:t>
            </w:r>
          </w:p>
          <w:p w14:paraId="58FDEC0F" w14:textId="77777777" w:rsidR="00294727" w:rsidRPr="00BA0D16" w:rsidRDefault="00294727" w:rsidP="00294727">
            <w:pPr>
              <w:jc w:val="center"/>
              <w:rPr>
                <w:rFonts w:ascii="Times New Roman" w:hAnsi="Times New Roman" w:cs="Times New Roman"/>
                <w:b/>
                <w:sz w:val="18"/>
                <w:szCs w:val="18"/>
              </w:rPr>
            </w:pPr>
            <w:r w:rsidRPr="00BA0D16">
              <w:rPr>
                <w:rFonts w:ascii="Times New Roman" w:hAnsi="Times New Roman" w:cs="Times New Roman"/>
                <w:b/>
                <w:sz w:val="18"/>
                <w:szCs w:val="18"/>
              </w:rPr>
              <w:t>Zbatimi i procedurave të verifikimit vetëm për shitësit aktivë</w:t>
            </w:r>
          </w:p>
          <w:p w14:paraId="2A4C4A33" w14:textId="2055F163" w:rsidR="00AF6E05" w:rsidRDefault="00AF6E05" w:rsidP="00294727">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4BC75DF8" w14:textId="77777777" w:rsidR="00AF6E05" w:rsidRPr="00036F88" w:rsidRDefault="00AF6E05" w:rsidP="00294727">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3A6CCBF6" w14:textId="77777777" w:rsidR="00AF6E05" w:rsidRPr="00036F88" w:rsidRDefault="00AF6E05" w:rsidP="00294727">
            <w:pPr>
              <w:jc w:val="center"/>
              <w:rPr>
                <w:rFonts w:ascii="Times New Roman" w:eastAsia="Calibri" w:hAnsi="Times New Roman" w:cs="Times New Roman"/>
                <w:sz w:val="18"/>
                <w:szCs w:val="18"/>
              </w:rPr>
            </w:pPr>
          </w:p>
        </w:tc>
      </w:tr>
      <w:bookmarkEnd w:id="15"/>
      <w:tr w:rsidR="00AF6E05" w:rsidRPr="00036F88" w14:paraId="7948150D" w14:textId="77777777" w:rsidTr="007C321D">
        <w:trPr>
          <w:trHeight w:val="2204"/>
        </w:trPr>
        <w:tc>
          <w:tcPr>
            <w:tcW w:w="630" w:type="dxa"/>
          </w:tcPr>
          <w:p w14:paraId="38D19C59"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406FE6BD" w14:textId="77777777" w:rsidR="00D026D5" w:rsidRPr="001725D0" w:rsidRDefault="00D026D5" w:rsidP="00D026D5">
            <w:pPr>
              <w:jc w:val="both"/>
              <w:rPr>
                <w:rFonts w:ascii="Times New Roman" w:eastAsia="Calibri" w:hAnsi="Times New Roman" w:cs="Times New Roman"/>
                <w:iCs/>
                <w:sz w:val="18"/>
                <w:szCs w:val="18"/>
                <w:lang w:val="en-US"/>
              </w:rPr>
            </w:pPr>
          </w:p>
          <w:p w14:paraId="5C67E23D" w14:textId="1FF3C8BD" w:rsidR="00AF6E0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Një Operator Platforme Raportuese mund të zgjedhë të përfundojë procedurat e kujdesit të duhur sipas paragrafëve A deri në F vetëm në lidhje me Shitësit Aktivë.</w:t>
            </w:r>
          </w:p>
        </w:tc>
        <w:tc>
          <w:tcPr>
            <w:tcW w:w="540" w:type="dxa"/>
          </w:tcPr>
          <w:p w14:paraId="185F2B2F" w14:textId="77777777" w:rsidR="00AF6E05" w:rsidRPr="00036F88" w:rsidRDefault="00AF6E05" w:rsidP="003C045B">
            <w:pPr>
              <w:jc w:val="center"/>
              <w:rPr>
                <w:rFonts w:ascii="Times New Roman" w:eastAsia="Calibri" w:hAnsi="Times New Roman" w:cs="Times New Roman"/>
                <w:sz w:val="18"/>
                <w:szCs w:val="18"/>
                <w:highlight w:val="cyan"/>
              </w:rPr>
            </w:pPr>
          </w:p>
        </w:tc>
        <w:tc>
          <w:tcPr>
            <w:tcW w:w="554" w:type="dxa"/>
          </w:tcPr>
          <w:p w14:paraId="16086891" w14:textId="3763F3A3"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9 </w:t>
            </w:r>
          </w:p>
        </w:tc>
        <w:tc>
          <w:tcPr>
            <w:tcW w:w="5040" w:type="dxa"/>
          </w:tcPr>
          <w:p w14:paraId="24F44EDA" w14:textId="77777777" w:rsidR="00294727" w:rsidRPr="00294727" w:rsidRDefault="00D026D5" w:rsidP="00294727">
            <w:pPr>
              <w:jc w:val="both"/>
              <w:rPr>
                <w:rFonts w:ascii="Times New Roman" w:hAnsi="Times New Roman" w:cs="Times New Roman"/>
                <w:sz w:val="18"/>
                <w:szCs w:val="18"/>
              </w:rPr>
            </w:pPr>
            <w:r w:rsidRPr="00D026D5">
              <w:rPr>
                <w:rFonts w:ascii="Times New Roman" w:hAnsi="Times New Roman" w:cs="Times New Roman"/>
                <w:sz w:val="18"/>
                <w:szCs w:val="18"/>
              </w:rPr>
              <w:t xml:space="preserve">  </w:t>
            </w:r>
            <w:r w:rsidR="00294727" w:rsidRPr="00294727">
              <w:rPr>
                <w:rFonts w:ascii="Times New Roman" w:hAnsi="Times New Roman" w:cs="Times New Roman"/>
                <w:sz w:val="18"/>
                <w:szCs w:val="18"/>
              </w:rPr>
              <w:t>1.</w:t>
            </w:r>
            <w:r w:rsidR="00294727" w:rsidRPr="00294727">
              <w:rPr>
                <w:rFonts w:ascii="Times New Roman" w:hAnsi="Times New Roman" w:cs="Times New Roman"/>
                <w:sz w:val="18"/>
                <w:szCs w:val="18"/>
              </w:rPr>
              <w:tab/>
              <w:t>Operatori i platformës me detyrim raportimi është i detyruar të kryejë procedurat e verifikimit të duhur për identifikimin dhe mbledhjen e të dhënave minimale, sipas neneve 3 deri në 7 të këtij ligji, vetëm për shitësit aktivë gjatë periudhës së raportimit, të cilët kanë kryer aktivitete të raportueshme në platformë.</w:t>
            </w:r>
          </w:p>
          <w:p w14:paraId="4B81C00F" w14:textId="77777777" w:rsidR="00294727" w:rsidRPr="00294727" w:rsidRDefault="00294727" w:rsidP="00294727">
            <w:pPr>
              <w:jc w:val="both"/>
              <w:rPr>
                <w:rFonts w:ascii="Times New Roman" w:hAnsi="Times New Roman" w:cs="Times New Roman"/>
                <w:sz w:val="18"/>
                <w:szCs w:val="18"/>
              </w:rPr>
            </w:pPr>
          </w:p>
          <w:p w14:paraId="4BB1E880"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2.</w:t>
            </w:r>
            <w:r w:rsidRPr="00294727">
              <w:rPr>
                <w:rFonts w:ascii="Times New Roman" w:hAnsi="Times New Roman" w:cs="Times New Roman"/>
                <w:sz w:val="18"/>
                <w:szCs w:val="18"/>
              </w:rPr>
              <w:tab/>
              <w:t xml:space="preserve">Nëse, brenda periudhës së raportimit ose brenda afatit të parashikuar ne neni 17 pika 1, për përfundimin e procedurave të verifikimit, shitësi nuk ka vënë në dispozicion të gjitha të dhënat e nevojshme për përmbushjen e kërkesave të këtij ligji, operatori i platformës me detyrim raportimi merr masa të arsyeshme për të parandaluar kryerjen e aktiviteteve të raportueshme ose për të pezulluar pagesën e shpërblimit përmes platformës deri në </w:t>
            </w:r>
            <w:r w:rsidRPr="00294727">
              <w:rPr>
                <w:rFonts w:ascii="Times New Roman" w:hAnsi="Times New Roman" w:cs="Times New Roman"/>
                <w:sz w:val="18"/>
                <w:szCs w:val="18"/>
              </w:rPr>
              <w:lastRenderedPageBreak/>
              <w:t>përmbushjen e kërkesave të verifikimit dhe dokumentojnë masat e marra.</w:t>
            </w:r>
          </w:p>
          <w:p w14:paraId="0331434E" w14:textId="77777777" w:rsidR="00294727" w:rsidRPr="00294727" w:rsidRDefault="00294727" w:rsidP="00294727">
            <w:pPr>
              <w:jc w:val="both"/>
              <w:rPr>
                <w:rFonts w:ascii="Times New Roman" w:hAnsi="Times New Roman" w:cs="Times New Roman"/>
                <w:sz w:val="18"/>
                <w:szCs w:val="18"/>
              </w:rPr>
            </w:pPr>
          </w:p>
          <w:p w14:paraId="13EFC1C8"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3.</w:t>
            </w:r>
            <w:r w:rsidRPr="00294727">
              <w:rPr>
                <w:rFonts w:ascii="Times New Roman" w:hAnsi="Times New Roman" w:cs="Times New Roman"/>
                <w:sz w:val="18"/>
                <w:szCs w:val="18"/>
              </w:rPr>
              <w:tab/>
              <w:t>Operatori i platformës është përgjegjës për ruajtjen e të dhënave dhe dokumentacionit të përdorur për verifikim dhe komunikim me shitësin, deri më 31 dhjetor të vitit të pestë pas vitit në të cilin është kryer komunikimi ose raportimi.</w:t>
            </w:r>
          </w:p>
          <w:p w14:paraId="6FE9E335" w14:textId="77777777" w:rsidR="00294727" w:rsidRPr="00294727" w:rsidRDefault="00294727" w:rsidP="00294727">
            <w:pPr>
              <w:jc w:val="both"/>
              <w:rPr>
                <w:rFonts w:ascii="Times New Roman" w:hAnsi="Times New Roman" w:cs="Times New Roman"/>
                <w:sz w:val="18"/>
                <w:szCs w:val="18"/>
              </w:rPr>
            </w:pPr>
          </w:p>
          <w:p w14:paraId="7ABE5905" w14:textId="77777777" w:rsidR="00294727" w:rsidRPr="00294727"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4.</w:t>
            </w:r>
            <w:r w:rsidRPr="00294727">
              <w:rPr>
                <w:rFonts w:ascii="Times New Roman" w:hAnsi="Times New Roman" w:cs="Times New Roman"/>
                <w:sz w:val="18"/>
                <w:szCs w:val="18"/>
              </w:rPr>
              <w:tab/>
              <w:t xml:space="preserve">Për shitësit individë, zbatohen kërkesat e nenit 4, pika 1. </w:t>
            </w:r>
          </w:p>
          <w:p w14:paraId="7369FCE4" w14:textId="77777777" w:rsidR="00294727" w:rsidRPr="00294727" w:rsidRDefault="00294727" w:rsidP="00294727">
            <w:pPr>
              <w:jc w:val="both"/>
              <w:rPr>
                <w:rFonts w:ascii="Times New Roman" w:hAnsi="Times New Roman" w:cs="Times New Roman"/>
                <w:sz w:val="18"/>
                <w:szCs w:val="18"/>
              </w:rPr>
            </w:pPr>
          </w:p>
          <w:p w14:paraId="5BA048E2" w14:textId="44179C35" w:rsidR="00AF6E05" w:rsidRPr="00AF6E05" w:rsidRDefault="00294727" w:rsidP="00294727">
            <w:pPr>
              <w:jc w:val="both"/>
              <w:rPr>
                <w:rFonts w:ascii="Times New Roman" w:hAnsi="Times New Roman" w:cs="Times New Roman"/>
                <w:sz w:val="18"/>
                <w:szCs w:val="18"/>
              </w:rPr>
            </w:pPr>
            <w:r w:rsidRPr="00294727">
              <w:rPr>
                <w:rFonts w:ascii="Times New Roman" w:hAnsi="Times New Roman" w:cs="Times New Roman"/>
                <w:sz w:val="18"/>
                <w:szCs w:val="18"/>
              </w:rPr>
              <w:t>5.</w:t>
            </w:r>
            <w:r w:rsidRPr="00294727">
              <w:rPr>
                <w:rFonts w:ascii="Times New Roman" w:hAnsi="Times New Roman" w:cs="Times New Roman"/>
                <w:sz w:val="18"/>
                <w:szCs w:val="18"/>
              </w:rPr>
              <w:tab/>
              <w:t>Kur operatori i platformës me detyrim raportimi përdor Shërbimin e Identifikimit të ofruar nga autoriteti kompetent ose nga Bashkimi Evropian, ai mund të mbështetet në rezultatet e këtij shërbimi vetëm për qëllim të verifikimit të identitetit dhe rezidencës së shitësit raportues, në përputhje me kushtet dhe kufijtë e përcaktuar në aktet përkatëse nënligjore. Megjithatë, operatori i platformës mbetet i detyruar të raportojë të gjitha elementet e informacionit të kërkuara nga ky ligj dhe aktet nënligjore, edhe kur këto të dhëna janë gjeneruar ose verifikuar përmes Shërbimit të Identifikimit</w:t>
            </w:r>
          </w:p>
        </w:tc>
        <w:tc>
          <w:tcPr>
            <w:tcW w:w="720" w:type="dxa"/>
          </w:tcPr>
          <w:p w14:paraId="2F18E782" w14:textId="341A9A70"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69764529" w14:textId="77777777" w:rsidR="00AF6E05" w:rsidRPr="00080E02" w:rsidRDefault="00AF6E05" w:rsidP="00E16BA5">
            <w:pPr>
              <w:rPr>
                <w:rFonts w:ascii="Times New Roman" w:eastAsia="Calibri" w:hAnsi="Times New Roman" w:cs="Times New Roman"/>
                <w:sz w:val="18"/>
                <w:szCs w:val="18"/>
              </w:rPr>
            </w:pPr>
          </w:p>
        </w:tc>
      </w:tr>
      <w:tr w:rsidR="00D026D5" w:rsidRPr="00036F88" w14:paraId="1AA2BD57" w14:textId="77777777" w:rsidTr="007C321D">
        <w:trPr>
          <w:trHeight w:val="854"/>
        </w:trPr>
        <w:tc>
          <w:tcPr>
            <w:tcW w:w="630" w:type="dxa"/>
          </w:tcPr>
          <w:p w14:paraId="1EA7ABA6" w14:textId="77777777" w:rsidR="00D026D5" w:rsidRPr="00036F88" w:rsidRDefault="00D026D5" w:rsidP="005331A6">
            <w:pPr>
              <w:jc w:val="both"/>
              <w:rPr>
                <w:rFonts w:ascii="Times New Roman" w:eastAsia="Calibri" w:hAnsi="Times New Roman" w:cs="Times New Roman"/>
                <w:sz w:val="18"/>
                <w:szCs w:val="18"/>
              </w:rPr>
            </w:pPr>
            <w:bookmarkStart w:id="16" w:name="_Hlk227923691"/>
          </w:p>
        </w:tc>
        <w:tc>
          <w:tcPr>
            <w:tcW w:w="5400" w:type="dxa"/>
            <w:shd w:val="clear" w:color="auto" w:fill="D0CECE" w:themeFill="background2" w:themeFillShade="E6"/>
          </w:tcPr>
          <w:p w14:paraId="2170B87A" w14:textId="5939D49E" w:rsidR="00D026D5" w:rsidRPr="001725D0" w:rsidRDefault="00D026D5" w:rsidP="005331A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 </w:t>
            </w:r>
          </w:p>
          <w:p w14:paraId="784EF7EA"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H. Përfundimi i procedurave të verifikimit të kujdesit të duhur nga palët e treta</w:t>
            </w:r>
          </w:p>
          <w:p w14:paraId="7C61EA7F" w14:textId="77777777" w:rsidR="00D026D5" w:rsidRPr="001725D0" w:rsidRDefault="00D026D5" w:rsidP="005331A6">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536E0398" w14:textId="77777777" w:rsidR="00D026D5" w:rsidRPr="00036F88" w:rsidRDefault="00D026D5" w:rsidP="005331A6">
            <w:pPr>
              <w:rPr>
                <w:rFonts w:ascii="Times New Roman" w:eastAsia="Calibri" w:hAnsi="Times New Roman" w:cs="Times New Roman"/>
                <w:sz w:val="18"/>
                <w:szCs w:val="18"/>
              </w:rPr>
            </w:pPr>
          </w:p>
        </w:tc>
        <w:tc>
          <w:tcPr>
            <w:tcW w:w="554" w:type="dxa"/>
            <w:shd w:val="clear" w:color="auto" w:fill="D0CECE" w:themeFill="background2" w:themeFillShade="E6"/>
          </w:tcPr>
          <w:p w14:paraId="3E8CC8FE" w14:textId="77777777" w:rsidR="00D026D5" w:rsidRPr="00036F88" w:rsidRDefault="00D026D5" w:rsidP="005331A6">
            <w:pPr>
              <w:rPr>
                <w:rFonts w:ascii="Times New Roman" w:eastAsia="Calibri" w:hAnsi="Times New Roman" w:cs="Times New Roman"/>
                <w:sz w:val="18"/>
                <w:szCs w:val="18"/>
              </w:rPr>
            </w:pPr>
          </w:p>
        </w:tc>
        <w:tc>
          <w:tcPr>
            <w:tcW w:w="5040" w:type="dxa"/>
            <w:shd w:val="clear" w:color="auto" w:fill="D0CECE" w:themeFill="background2" w:themeFillShade="E6"/>
          </w:tcPr>
          <w:p w14:paraId="7066D048" w14:textId="77777777" w:rsidR="00BA0D16" w:rsidRPr="00462428" w:rsidRDefault="00BA0D16" w:rsidP="00BA0D16">
            <w:pPr>
              <w:jc w:val="center"/>
              <w:rPr>
                <w:rFonts w:ascii="Times New Roman" w:hAnsi="Times New Roman" w:cs="Times New Roman"/>
                <w:b/>
                <w:sz w:val="18"/>
                <w:szCs w:val="18"/>
              </w:rPr>
            </w:pPr>
            <w:r w:rsidRPr="00462428">
              <w:rPr>
                <w:rFonts w:ascii="Times New Roman" w:hAnsi="Times New Roman" w:cs="Times New Roman"/>
                <w:b/>
                <w:sz w:val="18"/>
                <w:szCs w:val="18"/>
              </w:rPr>
              <w:t>Neni 10</w:t>
            </w:r>
          </w:p>
          <w:p w14:paraId="3A078BE5" w14:textId="33513E30" w:rsidR="00D026D5" w:rsidRDefault="00BA0D16" w:rsidP="00BA0D16">
            <w:pPr>
              <w:jc w:val="center"/>
              <w:rPr>
                <w:rFonts w:ascii="Times New Roman" w:eastAsia="Calibri" w:hAnsi="Times New Roman" w:cs="Times New Roman"/>
                <w:sz w:val="18"/>
                <w:szCs w:val="18"/>
              </w:rPr>
            </w:pPr>
            <w:r w:rsidRPr="00462428">
              <w:rPr>
                <w:rFonts w:ascii="Times New Roman" w:hAnsi="Times New Roman" w:cs="Times New Roman"/>
                <w:b/>
                <w:sz w:val="18"/>
                <w:szCs w:val="18"/>
              </w:rPr>
              <w:t>Kryerja e procedurave nga palët e treta</w:t>
            </w:r>
          </w:p>
        </w:tc>
        <w:tc>
          <w:tcPr>
            <w:tcW w:w="720" w:type="dxa"/>
            <w:shd w:val="clear" w:color="auto" w:fill="D0CECE" w:themeFill="background2" w:themeFillShade="E6"/>
          </w:tcPr>
          <w:p w14:paraId="4E8E9EF1" w14:textId="77777777" w:rsidR="00D026D5" w:rsidRPr="00036F88" w:rsidRDefault="00D026D5" w:rsidP="005331A6">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507459B8" w14:textId="77777777" w:rsidR="00D026D5" w:rsidRPr="00036F88" w:rsidRDefault="00D026D5" w:rsidP="005331A6">
            <w:pPr>
              <w:rPr>
                <w:rFonts w:ascii="Times New Roman" w:eastAsia="Calibri" w:hAnsi="Times New Roman" w:cs="Times New Roman"/>
                <w:sz w:val="18"/>
                <w:szCs w:val="18"/>
              </w:rPr>
            </w:pPr>
          </w:p>
        </w:tc>
      </w:tr>
      <w:bookmarkEnd w:id="16"/>
      <w:tr w:rsidR="00D026D5" w:rsidRPr="00036F88" w14:paraId="07E1C9A1" w14:textId="77777777" w:rsidTr="007C321D">
        <w:trPr>
          <w:trHeight w:val="2204"/>
        </w:trPr>
        <w:tc>
          <w:tcPr>
            <w:tcW w:w="630" w:type="dxa"/>
          </w:tcPr>
          <w:p w14:paraId="4DCEE55B" w14:textId="77777777" w:rsidR="00D026D5" w:rsidRPr="00036F88" w:rsidRDefault="00D026D5" w:rsidP="003C045B">
            <w:pPr>
              <w:jc w:val="both"/>
              <w:rPr>
                <w:rFonts w:ascii="Times New Roman" w:eastAsia="Calibri" w:hAnsi="Times New Roman" w:cs="Times New Roman"/>
                <w:sz w:val="18"/>
                <w:szCs w:val="18"/>
              </w:rPr>
            </w:pPr>
          </w:p>
        </w:tc>
        <w:tc>
          <w:tcPr>
            <w:tcW w:w="5400" w:type="dxa"/>
          </w:tcPr>
          <w:p w14:paraId="570BECE7" w14:textId="77777777" w:rsidR="00D026D5" w:rsidRPr="001725D0" w:rsidRDefault="00D026D5" w:rsidP="00D026D5">
            <w:pPr>
              <w:jc w:val="both"/>
              <w:rPr>
                <w:rFonts w:ascii="Times New Roman" w:eastAsia="Calibri" w:hAnsi="Times New Roman" w:cs="Times New Roman"/>
                <w:iCs/>
                <w:sz w:val="18"/>
                <w:szCs w:val="18"/>
                <w:lang w:val="en-US"/>
              </w:rPr>
            </w:pPr>
          </w:p>
          <w:p w14:paraId="7F8C34BA"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Një Operator Platforme Raportuese mund të mbështetet te një ofrues shërbimesh i palës së tretë për të përmbushur detyrimet e kujdesit të duhur të përcaktuara në këtë Seksion, por detyrime të tilla do të mbeten përgjegjësi e Operatorit të Platformës Raportuese.</w:t>
            </w:r>
          </w:p>
          <w:p w14:paraId="40CFC978" w14:textId="77777777" w:rsidR="00D026D5" w:rsidRPr="001725D0" w:rsidRDefault="00D026D5" w:rsidP="00D026D5">
            <w:pPr>
              <w:jc w:val="both"/>
              <w:rPr>
                <w:rFonts w:ascii="Times New Roman" w:eastAsia="Calibri" w:hAnsi="Times New Roman" w:cs="Times New Roman"/>
                <w:iCs/>
                <w:sz w:val="18"/>
                <w:szCs w:val="18"/>
                <w:lang w:val="en-US"/>
              </w:rPr>
            </w:pPr>
          </w:p>
          <w:p w14:paraId="1541C042" w14:textId="7E70CAD8"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Kur një Operator Platforme përmbush detyrimet e kujdesit të duhur për një Operator Platforme Raportues në lidhje me të njëjtën Platformë sipas nënparagrafit H(1), një Operator i tillë Platforme duhet të kryejë procedurat e kujdesit të duhur në përputhje me rregullat e përcaktuara në këtë Seksion. Detyrimet e kujdesit të duhur do të mbeten përgjegjësi e Operatorit të Platformës Raportuese.</w:t>
            </w:r>
          </w:p>
        </w:tc>
        <w:tc>
          <w:tcPr>
            <w:tcW w:w="540" w:type="dxa"/>
          </w:tcPr>
          <w:p w14:paraId="1679628B" w14:textId="77777777" w:rsidR="00D026D5" w:rsidRPr="00036F88" w:rsidRDefault="00D026D5" w:rsidP="003C045B">
            <w:pPr>
              <w:jc w:val="center"/>
              <w:rPr>
                <w:rFonts w:ascii="Times New Roman" w:eastAsia="Calibri" w:hAnsi="Times New Roman" w:cs="Times New Roman"/>
                <w:sz w:val="18"/>
                <w:szCs w:val="18"/>
                <w:highlight w:val="cyan"/>
              </w:rPr>
            </w:pPr>
          </w:p>
        </w:tc>
        <w:tc>
          <w:tcPr>
            <w:tcW w:w="554" w:type="dxa"/>
          </w:tcPr>
          <w:p w14:paraId="49C63BAC" w14:textId="6A56F969" w:rsidR="00D026D5"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10</w:t>
            </w:r>
          </w:p>
        </w:tc>
        <w:tc>
          <w:tcPr>
            <w:tcW w:w="5040" w:type="dxa"/>
          </w:tcPr>
          <w:p w14:paraId="08B8B9D8" w14:textId="77777777" w:rsidR="00D026D5" w:rsidRDefault="00D026D5" w:rsidP="00BA0D16">
            <w:pPr>
              <w:jc w:val="both"/>
              <w:rPr>
                <w:rFonts w:ascii="Times New Roman" w:hAnsi="Times New Roman" w:cs="Times New Roman"/>
                <w:sz w:val="18"/>
                <w:szCs w:val="18"/>
              </w:rPr>
            </w:pPr>
          </w:p>
          <w:p w14:paraId="667D79DF" w14:textId="77777777" w:rsidR="00462428" w:rsidRPr="00462428" w:rsidRDefault="00462428" w:rsidP="00462428">
            <w:pPr>
              <w:jc w:val="both"/>
              <w:rPr>
                <w:rFonts w:ascii="Times New Roman" w:hAnsi="Times New Roman" w:cs="Times New Roman"/>
                <w:sz w:val="18"/>
                <w:szCs w:val="18"/>
              </w:rPr>
            </w:pPr>
          </w:p>
          <w:p w14:paraId="76B9574B"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1.</w:t>
            </w:r>
            <w:r w:rsidRPr="00462428">
              <w:rPr>
                <w:rFonts w:ascii="Times New Roman" w:hAnsi="Times New Roman" w:cs="Times New Roman"/>
                <w:sz w:val="18"/>
                <w:szCs w:val="18"/>
              </w:rPr>
              <w:tab/>
              <w:t xml:space="preserve">Operatori i platformës me detyrim raportimi mund t’i besojë një ofruesi shërbimesh të tretë ose një operatori tjetër platforme detyrën për të përmbushur detyrimin e verifikimit të duhur  sipas neneve 3 deri 9, vetëm për shitësit që janë aktivë gjatë periudhës së raportimit. </w:t>
            </w:r>
          </w:p>
          <w:p w14:paraId="3F56DF0B"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2.</w:t>
            </w:r>
            <w:r w:rsidRPr="00462428">
              <w:rPr>
                <w:rFonts w:ascii="Times New Roman" w:hAnsi="Times New Roman" w:cs="Times New Roman"/>
                <w:sz w:val="18"/>
                <w:szCs w:val="18"/>
              </w:rPr>
              <w:tab/>
              <w:t>Pavarësisht përcaktimit në pikën 1 të këtij neni, përgjegjësia për përmbushjen e këtyre detyrimeve mbetet tek operatori i platformës me detyrim raportimi.</w:t>
            </w:r>
          </w:p>
          <w:p w14:paraId="02B77A26"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3.</w:t>
            </w:r>
            <w:r w:rsidRPr="00462428">
              <w:rPr>
                <w:rFonts w:ascii="Times New Roman" w:hAnsi="Times New Roman" w:cs="Times New Roman"/>
                <w:sz w:val="18"/>
                <w:szCs w:val="18"/>
              </w:rPr>
              <w:tab/>
              <w:t xml:space="preserve"> Operatori i platformës me detyrim raportimi mban përgjegjësinë për ruajtjen e regjistrave të auditimit dhe të provave që dokumentojnë kryerjen e procedurave të verifikimit të detyrueshëm, edhe kur detyra është deleguar tek palë të treta.</w:t>
            </w:r>
          </w:p>
          <w:p w14:paraId="54EC12C5" w14:textId="53D5AC6A" w:rsidR="00462428" w:rsidRPr="00D026D5"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lastRenderedPageBreak/>
              <w:t>4.</w:t>
            </w:r>
            <w:r w:rsidRPr="00462428">
              <w:rPr>
                <w:rFonts w:ascii="Times New Roman" w:hAnsi="Times New Roman" w:cs="Times New Roman"/>
                <w:sz w:val="18"/>
                <w:szCs w:val="18"/>
              </w:rPr>
              <w:tab/>
              <w:t>Mënyrat dhe format e komunikimit ndërmjet operatorëve të platformës me detyrim raportimi dhe palëve të treta të ngarkuara për kryerjen e procedurave përcaktohen me vendim të këshillit të ministrave, duke garantuar sigurinë, konfidencialitetin dhe integritetin e të dhënave të shkëmbyera.</w:t>
            </w:r>
          </w:p>
        </w:tc>
        <w:tc>
          <w:tcPr>
            <w:tcW w:w="720" w:type="dxa"/>
          </w:tcPr>
          <w:p w14:paraId="7F98EEDF" w14:textId="1BEB667F" w:rsidR="00D026D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2910E304" w14:textId="77777777" w:rsidR="00D026D5" w:rsidRPr="00080E02" w:rsidRDefault="00D026D5" w:rsidP="00E16BA5">
            <w:pPr>
              <w:rPr>
                <w:rFonts w:ascii="Times New Roman" w:eastAsia="Calibri" w:hAnsi="Times New Roman" w:cs="Times New Roman"/>
                <w:sz w:val="18"/>
                <w:szCs w:val="18"/>
              </w:rPr>
            </w:pPr>
          </w:p>
        </w:tc>
      </w:tr>
      <w:tr w:rsidR="00D026D5" w:rsidRPr="00036F88" w14:paraId="76DFC7FC" w14:textId="77777777" w:rsidTr="007C321D">
        <w:trPr>
          <w:trHeight w:val="854"/>
        </w:trPr>
        <w:tc>
          <w:tcPr>
            <w:tcW w:w="630" w:type="dxa"/>
          </w:tcPr>
          <w:p w14:paraId="4F6804BA" w14:textId="77777777" w:rsidR="00D026D5" w:rsidRPr="00036F88" w:rsidRDefault="00D026D5" w:rsidP="005331A6">
            <w:pPr>
              <w:jc w:val="both"/>
              <w:rPr>
                <w:rFonts w:ascii="Times New Roman" w:eastAsia="Calibri" w:hAnsi="Times New Roman" w:cs="Times New Roman"/>
                <w:sz w:val="18"/>
                <w:szCs w:val="18"/>
              </w:rPr>
            </w:pPr>
            <w:bookmarkStart w:id="17" w:name="_Hlk227924092"/>
          </w:p>
        </w:tc>
        <w:tc>
          <w:tcPr>
            <w:tcW w:w="5400" w:type="dxa"/>
            <w:shd w:val="clear" w:color="auto" w:fill="D0CECE" w:themeFill="background2" w:themeFillShade="E6"/>
          </w:tcPr>
          <w:p w14:paraId="22509A17" w14:textId="37E38BCC" w:rsidR="00D026D5" w:rsidRPr="00D026D5" w:rsidRDefault="00D026D5" w:rsidP="005331A6">
            <w:pPr>
              <w:jc w:val="both"/>
              <w:rPr>
                <w:rFonts w:ascii="Times New Roman" w:eastAsia="Calibri" w:hAnsi="Times New Roman" w:cs="Times New Roman"/>
                <w:iCs/>
                <w:sz w:val="18"/>
                <w:szCs w:val="18"/>
                <w:lang w:val="it-CH"/>
              </w:rPr>
            </w:pPr>
            <w:r w:rsidRPr="00D026D5">
              <w:rPr>
                <w:rFonts w:ascii="Times New Roman" w:eastAsia="Calibri" w:hAnsi="Times New Roman" w:cs="Times New Roman"/>
                <w:iCs/>
                <w:sz w:val="18"/>
                <w:szCs w:val="18"/>
                <w:lang w:val="it-CH"/>
              </w:rPr>
              <w:t xml:space="preserve"> </w:t>
            </w:r>
          </w:p>
          <w:p w14:paraId="2E2DBCCB" w14:textId="77777777" w:rsidR="00D026D5" w:rsidRDefault="00D026D5" w:rsidP="00D026D5">
            <w:pPr>
              <w:spacing w:line="276" w:lineRule="auto"/>
              <w:jc w:val="center"/>
              <w:rPr>
                <w:rFonts w:ascii="Times New Roman" w:hAnsi="Times New Roman" w:cs="Times New Roman"/>
                <w:lang w:val="en-GB"/>
              </w:rPr>
            </w:pPr>
            <w:r>
              <w:rPr>
                <w:rFonts w:ascii="Times New Roman" w:hAnsi="Times New Roman" w:cs="Times New Roman"/>
                <w:lang w:val="en-GB"/>
              </w:rPr>
              <w:t>SEKSIONI III</w:t>
            </w:r>
          </w:p>
          <w:p w14:paraId="0934179C" w14:textId="2BB09628" w:rsidR="00D026D5" w:rsidRPr="00AF6E05" w:rsidRDefault="00D026D5" w:rsidP="00D026D5">
            <w:pPr>
              <w:jc w:val="center"/>
              <w:rPr>
                <w:rFonts w:ascii="Times New Roman" w:eastAsia="Calibri" w:hAnsi="Times New Roman" w:cs="Times New Roman"/>
                <w:iCs/>
                <w:sz w:val="18"/>
                <w:szCs w:val="18"/>
                <w:lang w:val="it-CH"/>
              </w:rPr>
            </w:pPr>
            <w:r>
              <w:rPr>
                <w:rFonts w:ascii="Times New Roman" w:hAnsi="Times New Roman" w:cs="Times New Roman"/>
                <w:b/>
                <w:bCs/>
                <w:lang w:val="en-GB"/>
              </w:rPr>
              <w:t>KËRKESAT E RAPORTIMIT</w:t>
            </w:r>
          </w:p>
        </w:tc>
        <w:tc>
          <w:tcPr>
            <w:tcW w:w="540" w:type="dxa"/>
            <w:shd w:val="clear" w:color="auto" w:fill="D0CECE" w:themeFill="background2" w:themeFillShade="E6"/>
          </w:tcPr>
          <w:p w14:paraId="2E7A7871" w14:textId="77777777" w:rsidR="00D026D5" w:rsidRPr="00036F88" w:rsidRDefault="00D026D5" w:rsidP="005331A6">
            <w:pPr>
              <w:rPr>
                <w:rFonts w:ascii="Times New Roman" w:eastAsia="Calibri" w:hAnsi="Times New Roman" w:cs="Times New Roman"/>
                <w:sz w:val="18"/>
                <w:szCs w:val="18"/>
              </w:rPr>
            </w:pPr>
          </w:p>
        </w:tc>
        <w:tc>
          <w:tcPr>
            <w:tcW w:w="554" w:type="dxa"/>
            <w:shd w:val="clear" w:color="auto" w:fill="D0CECE" w:themeFill="background2" w:themeFillShade="E6"/>
          </w:tcPr>
          <w:p w14:paraId="2B6B4671" w14:textId="77777777" w:rsidR="00D026D5" w:rsidRPr="00036F88" w:rsidRDefault="00D026D5" w:rsidP="005331A6">
            <w:pPr>
              <w:rPr>
                <w:rFonts w:ascii="Times New Roman" w:eastAsia="Calibri" w:hAnsi="Times New Roman" w:cs="Times New Roman"/>
                <w:sz w:val="18"/>
                <w:szCs w:val="18"/>
              </w:rPr>
            </w:pPr>
          </w:p>
        </w:tc>
        <w:tc>
          <w:tcPr>
            <w:tcW w:w="5040" w:type="dxa"/>
            <w:shd w:val="clear" w:color="auto" w:fill="D0CECE" w:themeFill="background2" w:themeFillShade="E6"/>
          </w:tcPr>
          <w:p w14:paraId="60950F4B" w14:textId="77777777" w:rsidR="00462428" w:rsidRPr="009D338E" w:rsidRDefault="00462428" w:rsidP="00462428">
            <w:pPr>
              <w:spacing w:line="276" w:lineRule="auto"/>
              <w:jc w:val="center"/>
              <w:rPr>
                <w:rFonts w:ascii="Times New Roman" w:hAnsi="Times New Roman" w:cs="Times New Roman"/>
                <w:b/>
                <w:bCs/>
                <w:color w:val="000000" w:themeColor="text1"/>
                <w:lang w:val="sq-AL"/>
              </w:rPr>
            </w:pPr>
            <w:r w:rsidRPr="009D338E">
              <w:rPr>
                <w:rFonts w:ascii="Times New Roman" w:hAnsi="Times New Roman" w:cs="Times New Roman"/>
                <w:b/>
                <w:bCs/>
                <w:color w:val="000000" w:themeColor="text1"/>
                <w:lang w:val="sq-AL"/>
              </w:rPr>
              <w:t xml:space="preserve">Neni 11 </w:t>
            </w:r>
          </w:p>
          <w:p w14:paraId="5178AAC1" w14:textId="77777777" w:rsidR="00462428" w:rsidRPr="009D338E" w:rsidRDefault="00462428" w:rsidP="00462428">
            <w:pPr>
              <w:spacing w:line="276" w:lineRule="auto"/>
              <w:jc w:val="center"/>
              <w:rPr>
                <w:rFonts w:ascii="Times New Roman" w:hAnsi="Times New Roman" w:cs="Times New Roman"/>
                <w:b/>
                <w:bCs/>
                <w:color w:val="000000" w:themeColor="text1"/>
                <w:lang w:val="sq-AL"/>
              </w:rPr>
            </w:pPr>
            <w:r w:rsidRPr="009D338E">
              <w:rPr>
                <w:rFonts w:ascii="Times New Roman" w:hAnsi="Times New Roman" w:cs="Times New Roman"/>
                <w:b/>
                <w:bCs/>
                <w:color w:val="000000" w:themeColor="text1"/>
                <w:lang w:val="sq-AL"/>
              </w:rPr>
              <w:t>Detyrimet e komunikimit dhe përjashtimet</w:t>
            </w:r>
          </w:p>
          <w:p w14:paraId="12A9A87B" w14:textId="25AB0FB5" w:rsidR="00D026D5" w:rsidRDefault="00D026D5" w:rsidP="00462428">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11B12B96" w14:textId="77777777" w:rsidR="00D026D5" w:rsidRPr="00036F88" w:rsidRDefault="00D026D5" w:rsidP="005331A6">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54E1D61C" w14:textId="77777777" w:rsidR="00D026D5" w:rsidRPr="00036F88" w:rsidRDefault="00D026D5" w:rsidP="005331A6">
            <w:pPr>
              <w:rPr>
                <w:rFonts w:ascii="Times New Roman" w:eastAsia="Calibri" w:hAnsi="Times New Roman" w:cs="Times New Roman"/>
                <w:sz w:val="18"/>
                <w:szCs w:val="18"/>
              </w:rPr>
            </w:pPr>
          </w:p>
        </w:tc>
      </w:tr>
      <w:bookmarkEnd w:id="17"/>
      <w:tr w:rsidR="00D026D5" w:rsidRPr="00036F88" w14:paraId="2F4FD058" w14:textId="77777777" w:rsidTr="007C321D">
        <w:trPr>
          <w:trHeight w:val="2204"/>
        </w:trPr>
        <w:tc>
          <w:tcPr>
            <w:tcW w:w="630" w:type="dxa"/>
          </w:tcPr>
          <w:p w14:paraId="03AED221" w14:textId="77777777" w:rsidR="00D026D5" w:rsidRPr="00036F88" w:rsidRDefault="00D026D5" w:rsidP="003C045B">
            <w:pPr>
              <w:jc w:val="both"/>
              <w:rPr>
                <w:rFonts w:ascii="Times New Roman" w:eastAsia="Calibri" w:hAnsi="Times New Roman" w:cs="Times New Roman"/>
                <w:sz w:val="18"/>
                <w:szCs w:val="18"/>
              </w:rPr>
            </w:pPr>
          </w:p>
        </w:tc>
        <w:tc>
          <w:tcPr>
            <w:tcW w:w="5400" w:type="dxa"/>
          </w:tcPr>
          <w:p w14:paraId="3929C9B6"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 Koha dhe mënyra e raportimit</w:t>
            </w:r>
          </w:p>
          <w:p w14:paraId="132C1C31" w14:textId="77777777" w:rsidR="00D026D5" w:rsidRPr="001725D0" w:rsidRDefault="00D026D5" w:rsidP="00D026D5">
            <w:pPr>
              <w:jc w:val="both"/>
              <w:rPr>
                <w:rFonts w:ascii="Times New Roman" w:eastAsia="Calibri" w:hAnsi="Times New Roman" w:cs="Times New Roman"/>
                <w:iCs/>
                <w:sz w:val="18"/>
                <w:szCs w:val="18"/>
                <w:lang w:val="en-US"/>
              </w:rPr>
            </w:pPr>
          </w:p>
          <w:p w14:paraId="1E424BCF"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Një Operator Platforme Raportuese sipas kuptimit të pikës (a) të nënparagrafit A(4) të Seksionit I duhet t'i raportojë autoritetit kompetent të Shtetit Anëtar të përcaktuar në përputhje me pikën (a) të nënparagrafit A(4) të Seksionit I informacionin e përcaktuar në paragrafin B të këtij Seksioni në lidhje me Periudhën e Raportueshme jo më vonë se 31 Janari i vitit pas vitit kalendarik në të cilin Shitësi identifikohet si Shitës i Raportueshëm. Kur ka më shumë se një Operator Platforme Raportuese, secili prej atyre Operatorëve të Platformës Raportuese do të përjashtohet nga raportimi i informacionit nëse ka prova, në përputhje me ligjin kombëtar, se i njëjti informacion është raportuar nga një Operator tjetër Platforme Raportuese.</w:t>
            </w:r>
          </w:p>
          <w:p w14:paraId="70630D07" w14:textId="77777777" w:rsidR="00D026D5" w:rsidRPr="001725D0" w:rsidRDefault="00D026D5" w:rsidP="00D026D5">
            <w:pPr>
              <w:jc w:val="both"/>
              <w:rPr>
                <w:rFonts w:ascii="Times New Roman" w:eastAsia="Calibri" w:hAnsi="Times New Roman" w:cs="Times New Roman"/>
                <w:iCs/>
                <w:sz w:val="18"/>
                <w:szCs w:val="18"/>
                <w:lang w:val="en-US"/>
              </w:rPr>
            </w:pPr>
          </w:p>
          <w:p w14:paraId="22F7B4AA"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2. Nëse një Operator Platforme Raportuese sipas kuptimit të pikës (a) të nënparagrafit A(4) të Seksionit I përmbush ndonjë nga kushtet e listuara aty në më shumë se një Shtet Anëtar, ai do të zgjedhë një nga ato Shtete Anëtare në të cilat do të përmbushë kërkesat e raportimit të përcaktuara në këtë Seksion. Një Operator i tillë Platforme Raportuese do të raportojë informacionin e listuar në paragrafin B të këtij Seksioni në lidhje me Periudhën Raportuese tek autoriteti kompetent i Shtetit Anëtar të zgjedhjes, siç përcaktohet në përputhje me paragrafin E të Seksionit IV, jo më vonë se 31 Janari i vitit pas vitit kalendarik në të cilin Shitësi identifikohet si Shitës i Raportueshëm. Kur ka më shumë se një Operator </w:t>
            </w:r>
            <w:r w:rsidRPr="001725D0">
              <w:rPr>
                <w:rFonts w:ascii="Times New Roman" w:eastAsia="Calibri" w:hAnsi="Times New Roman" w:cs="Times New Roman"/>
                <w:iCs/>
                <w:sz w:val="18"/>
                <w:szCs w:val="18"/>
                <w:lang w:val="en-US"/>
              </w:rPr>
              <w:lastRenderedPageBreak/>
              <w:t>Platforme Raportuese, cilido prej atyre Operatorëve të Platformës Raportuese do të përjashtohet nga raportimi i informacionit nëse ka prova, në përputhje me ligjin kombëtar, se i njëjti informacion është raportuar nga një Operator tjetër Platforme Raportuese në një Shtet tjetër Anëtar.</w:t>
            </w:r>
          </w:p>
          <w:p w14:paraId="13DA9F9F" w14:textId="77777777" w:rsidR="00D026D5" w:rsidRPr="001725D0" w:rsidRDefault="00D026D5" w:rsidP="00D026D5">
            <w:pPr>
              <w:jc w:val="both"/>
              <w:rPr>
                <w:rFonts w:ascii="Times New Roman" w:eastAsia="Calibri" w:hAnsi="Times New Roman" w:cs="Times New Roman"/>
                <w:iCs/>
                <w:sz w:val="18"/>
                <w:szCs w:val="18"/>
                <w:lang w:val="en-US"/>
              </w:rPr>
            </w:pPr>
          </w:p>
          <w:p w14:paraId="452A63A3"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Një Operator Platforme Raportuese sipas kuptimit të pikës (b) të nënparagrafit A(4) të Seksionit I duhet të raportojë informacionin e përcaktuar në paragrafin B të këtij Seksioni në lidhje me Periudhën e Raportueshme tek autoriteti kompetent i Shtetit Anëtar të regjistrimit, siç përcaktohet në përputhje me nënparagrafin F(1) të Seksionit IV, jo më vonë se 31 Janari i vitit pas vitit kalendarik në të cilin Shitësi identifikohet si Shitës i Raportueshëm.</w:t>
            </w:r>
          </w:p>
          <w:p w14:paraId="063D4BFF" w14:textId="77777777" w:rsidR="00D026D5" w:rsidRPr="001725D0" w:rsidRDefault="00D026D5" w:rsidP="00D026D5">
            <w:pPr>
              <w:jc w:val="both"/>
              <w:rPr>
                <w:rFonts w:ascii="Times New Roman" w:eastAsia="Calibri" w:hAnsi="Times New Roman" w:cs="Times New Roman"/>
                <w:iCs/>
                <w:sz w:val="18"/>
                <w:szCs w:val="18"/>
                <w:lang w:val="en-US"/>
              </w:rPr>
            </w:pPr>
          </w:p>
          <w:p w14:paraId="789918B3"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Pavarësisht nënparagrafit A(3) të këtij Seksioni, një Operator Platforme Raportuese sipas kuptimit të pikës (b) të nënparagrafit A(4) të Seksionit I nuk do të kërkohet të ofrojë informacionin e përcaktuar në paragrafin B të këtij Seksioni në lidhje me Aktivitetet e Kualifikuara Relevante, të mbuluara nga një Marrëveshje Efektive e Autoritetit Kompetent Kualifikues, e cila tashmë parashikon shkëmbimin automatik të informacionit ekuivalent me një Shtet Anëtar mbi Shitësit e Raportueshëm rezidentë në atë Shtet Anëtar.</w:t>
            </w:r>
          </w:p>
          <w:p w14:paraId="24558B88" w14:textId="77777777" w:rsidR="00D026D5" w:rsidRPr="001725D0" w:rsidRDefault="00D026D5" w:rsidP="00D026D5">
            <w:pPr>
              <w:jc w:val="both"/>
              <w:rPr>
                <w:rFonts w:ascii="Times New Roman" w:eastAsia="Calibri" w:hAnsi="Times New Roman" w:cs="Times New Roman"/>
                <w:iCs/>
                <w:sz w:val="18"/>
                <w:szCs w:val="18"/>
                <w:lang w:val="en-US"/>
              </w:rPr>
            </w:pPr>
          </w:p>
          <w:p w14:paraId="00D6A7AB"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5. Një Operator Platforme Raportuese duhet gjithashtu t'i ofrojë informacionin e përcaktuar në nënparagrafët B(2) dhe B(3) Shitësit të Raportueshëm me të cilin lidhet, jo më vonë se 31 Janari i vitit pas vitit kalendarik në të cilin Shitësi identifikohet si Shitës i Raportueshëm.</w:t>
            </w:r>
          </w:p>
          <w:p w14:paraId="45EAF4A2" w14:textId="77777777" w:rsidR="00D026D5" w:rsidRPr="001725D0" w:rsidRDefault="00D026D5" w:rsidP="00D026D5">
            <w:pPr>
              <w:jc w:val="both"/>
              <w:rPr>
                <w:rFonts w:ascii="Times New Roman" w:eastAsia="Calibri" w:hAnsi="Times New Roman" w:cs="Times New Roman"/>
                <w:iCs/>
                <w:sz w:val="18"/>
                <w:szCs w:val="18"/>
                <w:lang w:val="en-US"/>
              </w:rPr>
            </w:pPr>
          </w:p>
          <w:p w14:paraId="61B7B674" w14:textId="77777777"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6. Informacioni në lidhje me Konsideratën e paguar ose të kredituar në një monedhë fiat duhet të raportohet në monedhën në të cilën është paguar ose kredituar. Në rast se Konsiderata është paguar ose kredituar në një formë tjetër përveç monedhës fiat, ajo duhet të raportohet në monedhën vendase, e konvertuar ose e vlerësuar në një mënyrë që përcaktohet vazhdimisht nga Operatori i Platformës Raportuese.</w:t>
            </w:r>
          </w:p>
          <w:p w14:paraId="5FDF7002" w14:textId="77777777" w:rsidR="00D026D5" w:rsidRPr="001725D0" w:rsidRDefault="00D026D5" w:rsidP="00D026D5">
            <w:pPr>
              <w:jc w:val="both"/>
              <w:rPr>
                <w:rFonts w:ascii="Times New Roman" w:eastAsia="Calibri" w:hAnsi="Times New Roman" w:cs="Times New Roman"/>
                <w:iCs/>
                <w:sz w:val="18"/>
                <w:szCs w:val="18"/>
                <w:lang w:val="en-US"/>
              </w:rPr>
            </w:pPr>
          </w:p>
          <w:p w14:paraId="64BFF515" w14:textId="19D8DDD6" w:rsidR="00D026D5" w:rsidRPr="001725D0" w:rsidRDefault="00D026D5" w:rsidP="00D026D5">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7. Informacioni në lidhje me Shpërblimin dhe shumat e tjera duhet të raportohet në lidhje me tremujorin e Periudhës së Raportueshme në të cilën është paguar ose kredituar Shpërblimi.</w:t>
            </w:r>
          </w:p>
        </w:tc>
        <w:tc>
          <w:tcPr>
            <w:tcW w:w="540" w:type="dxa"/>
          </w:tcPr>
          <w:p w14:paraId="332A1034" w14:textId="77777777" w:rsidR="00D026D5" w:rsidRPr="00036F88" w:rsidRDefault="00D026D5" w:rsidP="003C045B">
            <w:pPr>
              <w:jc w:val="center"/>
              <w:rPr>
                <w:rFonts w:ascii="Times New Roman" w:eastAsia="Calibri" w:hAnsi="Times New Roman" w:cs="Times New Roman"/>
                <w:sz w:val="18"/>
                <w:szCs w:val="18"/>
                <w:highlight w:val="cyan"/>
              </w:rPr>
            </w:pPr>
          </w:p>
        </w:tc>
        <w:tc>
          <w:tcPr>
            <w:tcW w:w="554" w:type="dxa"/>
          </w:tcPr>
          <w:p w14:paraId="527CED06" w14:textId="0E79E695" w:rsidR="00D026D5" w:rsidRPr="006E4603" w:rsidRDefault="008C3267"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highlight w:val="cyan"/>
                <w:lang w:val="en-US"/>
              </w:rPr>
              <w:t xml:space="preserve"> </w:t>
            </w:r>
            <w:r w:rsidR="00462428">
              <w:rPr>
                <w:rFonts w:ascii="Times New Roman" w:eastAsia="Calibri" w:hAnsi="Times New Roman" w:cs="Times New Roman"/>
                <w:sz w:val="18"/>
                <w:szCs w:val="18"/>
              </w:rPr>
              <w:t>Neni</w:t>
            </w:r>
            <w:r w:rsidRPr="006E4603">
              <w:rPr>
                <w:rFonts w:ascii="Times New Roman" w:eastAsia="Calibri" w:hAnsi="Times New Roman" w:cs="Times New Roman"/>
                <w:sz w:val="18"/>
                <w:szCs w:val="18"/>
              </w:rPr>
              <w:t xml:space="preserve"> 11 </w:t>
            </w:r>
          </w:p>
          <w:p w14:paraId="73FBFA9D" w14:textId="24CA41B6" w:rsidR="008C3267" w:rsidRPr="006E4603" w:rsidRDefault="008C3267" w:rsidP="003C045B">
            <w:pPr>
              <w:jc w:val="center"/>
              <w:rPr>
                <w:rFonts w:ascii="Times New Roman" w:eastAsia="Calibri" w:hAnsi="Times New Roman" w:cs="Times New Roman"/>
                <w:sz w:val="18"/>
                <w:szCs w:val="18"/>
                <w:lang w:val="en-US"/>
              </w:rPr>
            </w:pPr>
          </w:p>
          <w:p w14:paraId="7E47B383" w14:textId="65CBA0DB" w:rsidR="008C3267" w:rsidRPr="006E4603" w:rsidRDefault="00462428"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12</w:t>
            </w:r>
          </w:p>
          <w:p w14:paraId="4B452A5E" w14:textId="77777777" w:rsidR="008C3267" w:rsidRDefault="008C3267" w:rsidP="003C045B">
            <w:pPr>
              <w:jc w:val="center"/>
              <w:rPr>
                <w:rFonts w:ascii="Times New Roman" w:eastAsia="Calibri" w:hAnsi="Times New Roman" w:cs="Times New Roman"/>
                <w:sz w:val="18"/>
                <w:szCs w:val="18"/>
                <w:highlight w:val="cyan"/>
                <w:lang w:val="en-US"/>
              </w:rPr>
            </w:pPr>
          </w:p>
          <w:p w14:paraId="6FBC721B" w14:textId="1D9DD6C6" w:rsidR="008C3267" w:rsidRPr="001725D0" w:rsidRDefault="008C3267" w:rsidP="003C045B">
            <w:pPr>
              <w:jc w:val="center"/>
              <w:rPr>
                <w:rFonts w:ascii="Times New Roman" w:eastAsia="Calibri" w:hAnsi="Times New Roman" w:cs="Times New Roman"/>
                <w:sz w:val="18"/>
                <w:szCs w:val="18"/>
                <w:highlight w:val="cyan"/>
                <w:lang w:val="en-US"/>
              </w:rPr>
            </w:pPr>
          </w:p>
        </w:tc>
        <w:tc>
          <w:tcPr>
            <w:tcW w:w="5040" w:type="dxa"/>
          </w:tcPr>
          <w:p w14:paraId="196A87E8" w14:textId="2CAA668A" w:rsidR="00D026D5" w:rsidRDefault="00D026D5" w:rsidP="00462428">
            <w:pPr>
              <w:rPr>
                <w:rFonts w:ascii="Times New Roman" w:hAnsi="Times New Roman" w:cs="Times New Roman"/>
                <w:sz w:val="18"/>
                <w:szCs w:val="18"/>
              </w:rPr>
            </w:pPr>
          </w:p>
          <w:p w14:paraId="11BA2E09"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1.</w:t>
            </w:r>
            <w:r w:rsidRPr="00462428">
              <w:rPr>
                <w:rFonts w:ascii="Times New Roman" w:hAnsi="Times New Roman" w:cs="Times New Roman"/>
                <w:sz w:val="18"/>
                <w:szCs w:val="18"/>
              </w:rPr>
              <w:tab/>
              <w:t>Operatori i platformës me detyrim raportimi, sipas nenit 2, gërma “ç”, komunikon tek autoriteti kompetent informacionet e përcaktuara në nenin 12 dhe 13 të këtij ligji, për çdo shitës që duhet të raportohet, në kuadër të raportimit vjetor, jo më vonë se data 31 janar e vitit pasardhës të periudhës së raportimit, në të cilën shitësi indetifikohet si shitës i raportueshëm.</w:t>
            </w:r>
          </w:p>
          <w:p w14:paraId="2E84C7C4"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2.</w:t>
            </w:r>
            <w:r w:rsidRPr="00462428">
              <w:rPr>
                <w:rFonts w:ascii="Times New Roman" w:hAnsi="Times New Roman" w:cs="Times New Roman"/>
                <w:sz w:val="18"/>
                <w:szCs w:val="18"/>
              </w:rPr>
              <w:tab/>
              <w:t>Nëse për të njëjtin shitës ekzistojnë më shumë se një operatorë platformash me detyrim raportimi, përjashtohen nga detyrimi i raportimit ata operatorë që mund të vërtetojnë, mbi bazën e provave përkatëse, se të njëjtat informacione janë komunikuar tashmë nga një operator tjetër, qoftë brenda territorit të Republikës së Shqipërisë, qoftë në një shtet tjetër.</w:t>
            </w:r>
          </w:p>
          <w:p w14:paraId="36F08265"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3.</w:t>
            </w:r>
            <w:r w:rsidRPr="00462428">
              <w:rPr>
                <w:rFonts w:ascii="Times New Roman" w:hAnsi="Times New Roman" w:cs="Times New Roman"/>
                <w:sz w:val="18"/>
                <w:szCs w:val="18"/>
              </w:rPr>
              <w:tab/>
              <w:t>Kur operatori i platformës me detyrim raportimi është i detyruar të raportoj në më shumë se një shtet dhe zgjedh të përmbushë detyrimin e raportimit në Republikën e Shqipërisë, ai komunikon informacionet pranë Autoritetit Tatimor jo më vonë se data 31 janar të vitit pasardhës të periudhës së raportimit, në përputhje me mënyrat dhe kriteret e përcaktuara në nenin 13 të këtij ligji.</w:t>
            </w:r>
          </w:p>
          <w:p w14:paraId="43C72E83"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4.</w:t>
            </w:r>
            <w:r w:rsidRPr="00462428">
              <w:rPr>
                <w:rFonts w:ascii="Times New Roman" w:hAnsi="Times New Roman" w:cs="Times New Roman"/>
                <w:sz w:val="18"/>
                <w:szCs w:val="18"/>
              </w:rPr>
              <w:tab/>
              <w:t xml:space="preserve">Përjashtimisht nga pika 3 e këtij neni, operatorët e platformës nuk janë të detyruar të raportojnë informacionet për aktivitetet që mbulohen nga një marrëveshje kualifikuese efektive ndërmjet autoriteteve kompetente, e cila parashikon shkëmbim </w:t>
            </w:r>
            <w:r w:rsidRPr="00462428">
              <w:rPr>
                <w:rFonts w:ascii="Times New Roman" w:hAnsi="Times New Roman" w:cs="Times New Roman"/>
                <w:sz w:val="18"/>
                <w:szCs w:val="18"/>
              </w:rPr>
              <w:lastRenderedPageBreak/>
              <w:t>automatik të informacionit tatimor me Republikën e Shqipërisë, për shitësit rezidentë në Republikën e Shqipërisë, me kusht që këto informacione të raportohen dhe të shkëmbehen realisht në kuadër të kësaj marrëveshjeje.</w:t>
            </w:r>
          </w:p>
          <w:p w14:paraId="4B503EEA"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5.</w:t>
            </w:r>
            <w:r w:rsidRPr="00462428">
              <w:rPr>
                <w:rFonts w:ascii="Times New Roman" w:hAnsi="Times New Roman" w:cs="Times New Roman"/>
                <w:sz w:val="18"/>
                <w:szCs w:val="18"/>
              </w:rPr>
              <w:tab/>
              <w:t>Operatorët e platformës me detyrim raportimi vënë në dispozicion të autoritetit kompetent dhe të shitësve të raportushëm informacionet e përcaktuara në këtë nen, pika 1, jo më vonë se data 31 janar e vitit pasardhës të periudhës së raportimit, sipas mënyrës së përcaktuar në aktet nënligjore.  Informacioni në lidhje me shpërblimin e paguar ose të kredituar në një monedhë fiat duhet të raportohet në monedhën në të cilën është paguar ose kredituar. Në rast se shpërblimi është paguar ose kredituar në një formë të ndryshme nga monedha fiat, ai duhet të raportohet në monedhën vendase, e konvertuar ose e vlerësuar sipas një metode të përcaktuar rregullisht nga Operatori Raportues i Platformës..</w:t>
            </w:r>
          </w:p>
          <w:p w14:paraId="608A835A"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6.</w:t>
            </w:r>
            <w:r w:rsidRPr="00462428">
              <w:rPr>
                <w:rFonts w:ascii="Times New Roman" w:hAnsi="Times New Roman" w:cs="Times New Roman"/>
                <w:sz w:val="18"/>
                <w:szCs w:val="18"/>
              </w:rPr>
              <w:tab/>
              <w:t>Informacionet mbi përfitimet dhe të dhënat e tjera raportohen si pjesë përbërëse e raportimit vjetor, në lidhje me tremujorin e periudhës së raportimit gjatë të cilit përfitimi është paguar ose kredituar .</w:t>
            </w:r>
          </w:p>
          <w:p w14:paraId="44E6F54D" w14:textId="3CDE0690" w:rsidR="00BA0D16"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7.</w:t>
            </w:r>
            <w:r w:rsidRPr="00462428">
              <w:rPr>
                <w:rFonts w:ascii="Times New Roman" w:hAnsi="Times New Roman" w:cs="Times New Roman"/>
                <w:sz w:val="18"/>
                <w:szCs w:val="18"/>
              </w:rPr>
              <w:tab/>
              <w:t>Operatorët e platformave jo‑BE, që nuk janë operatorë të kualifikuar jo‑BE dhe që i nënshtrohen detyrimeve të raportimit sipas këtij ligji, regjistrohen në një shtet të vetëm. Kur Republika e Shqipërisë është shteti i regjistrimit, ata regjistrohen pranë Drejtorisë së Përgjithshme të Tatimeve dhe përmbushin detyrimet e raportimit sipas këtij ligji.</w:t>
            </w:r>
          </w:p>
          <w:p w14:paraId="76E628C5" w14:textId="77777777" w:rsidR="00BA0D16" w:rsidRDefault="00BA0D16" w:rsidP="00BA0D16">
            <w:pPr>
              <w:jc w:val="both"/>
              <w:rPr>
                <w:rFonts w:ascii="Times New Roman" w:hAnsi="Times New Roman" w:cs="Times New Roman"/>
                <w:sz w:val="18"/>
                <w:szCs w:val="18"/>
              </w:rPr>
            </w:pPr>
          </w:p>
          <w:p w14:paraId="59C33490" w14:textId="77777777" w:rsidR="00462428" w:rsidRPr="00462428" w:rsidRDefault="00462428" w:rsidP="00462428">
            <w:pPr>
              <w:jc w:val="center"/>
              <w:rPr>
                <w:rFonts w:ascii="Times New Roman" w:hAnsi="Times New Roman" w:cs="Times New Roman"/>
                <w:b/>
                <w:sz w:val="20"/>
                <w:szCs w:val="18"/>
              </w:rPr>
            </w:pPr>
            <w:r w:rsidRPr="00462428">
              <w:rPr>
                <w:rFonts w:ascii="Times New Roman" w:hAnsi="Times New Roman" w:cs="Times New Roman"/>
                <w:b/>
                <w:sz w:val="20"/>
                <w:szCs w:val="18"/>
              </w:rPr>
              <w:t>Neni 12</w:t>
            </w:r>
          </w:p>
          <w:p w14:paraId="7FB89244" w14:textId="773A0C35" w:rsidR="00BA0D16" w:rsidRDefault="00462428" w:rsidP="00462428">
            <w:pPr>
              <w:jc w:val="center"/>
              <w:rPr>
                <w:rFonts w:ascii="Times New Roman" w:hAnsi="Times New Roman" w:cs="Times New Roman"/>
                <w:b/>
                <w:sz w:val="20"/>
                <w:szCs w:val="18"/>
              </w:rPr>
            </w:pPr>
            <w:r w:rsidRPr="00462428">
              <w:rPr>
                <w:rFonts w:ascii="Times New Roman" w:hAnsi="Times New Roman" w:cs="Times New Roman"/>
                <w:b/>
                <w:sz w:val="20"/>
                <w:szCs w:val="18"/>
              </w:rPr>
              <w:t>Raportimi vjetor dhe shmangia e dyfishimit të të dhënave</w:t>
            </w:r>
          </w:p>
          <w:p w14:paraId="08F3400C" w14:textId="77777777" w:rsidR="00462428" w:rsidRPr="00462428" w:rsidRDefault="00462428" w:rsidP="00462428">
            <w:pPr>
              <w:jc w:val="center"/>
              <w:rPr>
                <w:rFonts w:ascii="Times New Roman" w:hAnsi="Times New Roman" w:cs="Times New Roman"/>
                <w:b/>
                <w:sz w:val="20"/>
                <w:szCs w:val="18"/>
              </w:rPr>
            </w:pPr>
          </w:p>
          <w:p w14:paraId="751AB44E" w14:textId="77777777" w:rsidR="00D026D5" w:rsidRDefault="00D026D5" w:rsidP="00462428">
            <w:pPr>
              <w:rPr>
                <w:rFonts w:ascii="Times New Roman" w:hAnsi="Times New Roman" w:cs="Times New Roman"/>
                <w:sz w:val="18"/>
                <w:szCs w:val="18"/>
              </w:rPr>
            </w:pPr>
          </w:p>
          <w:p w14:paraId="23034315" w14:textId="77777777" w:rsidR="00462428" w:rsidRPr="00462428" w:rsidRDefault="00462428" w:rsidP="00462428">
            <w:pPr>
              <w:rPr>
                <w:rFonts w:ascii="Times New Roman" w:hAnsi="Times New Roman" w:cs="Times New Roman"/>
                <w:sz w:val="18"/>
                <w:szCs w:val="18"/>
              </w:rPr>
            </w:pPr>
            <w:r w:rsidRPr="00462428">
              <w:rPr>
                <w:rFonts w:ascii="Times New Roman" w:hAnsi="Times New Roman" w:cs="Times New Roman"/>
                <w:sz w:val="18"/>
                <w:szCs w:val="18"/>
              </w:rPr>
              <w:t>1.</w:t>
            </w:r>
            <w:r w:rsidRPr="00462428">
              <w:rPr>
                <w:rFonts w:ascii="Times New Roman" w:hAnsi="Times New Roman" w:cs="Times New Roman"/>
                <w:sz w:val="18"/>
                <w:szCs w:val="18"/>
              </w:rPr>
              <w:tab/>
              <w:t>Operatorët e platformës paraqesin raportin vjetor të të dhënave për çdo shitës që duhet të raportohet, jo më vonë se data 31 janar e vitit pasardhës të periudhës së raportimit, sipas strukturës dhe formateve të përcaktuara me udhëzim të ministrit përgjegjës për financat.</w:t>
            </w:r>
          </w:p>
          <w:p w14:paraId="4F31527F" w14:textId="77777777" w:rsidR="00462428" w:rsidRPr="00462428" w:rsidRDefault="00462428" w:rsidP="00462428">
            <w:pPr>
              <w:rPr>
                <w:rFonts w:ascii="Times New Roman" w:hAnsi="Times New Roman" w:cs="Times New Roman"/>
                <w:sz w:val="18"/>
                <w:szCs w:val="18"/>
              </w:rPr>
            </w:pPr>
            <w:r w:rsidRPr="00462428">
              <w:rPr>
                <w:rFonts w:ascii="Times New Roman" w:hAnsi="Times New Roman" w:cs="Times New Roman"/>
                <w:sz w:val="18"/>
                <w:szCs w:val="18"/>
              </w:rPr>
              <w:t>2.</w:t>
            </w:r>
            <w:r w:rsidRPr="00462428">
              <w:rPr>
                <w:rFonts w:ascii="Times New Roman" w:hAnsi="Times New Roman" w:cs="Times New Roman"/>
                <w:sz w:val="18"/>
                <w:szCs w:val="18"/>
              </w:rPr>
              <w:tab/>
              <w:t xml:space="preserve">Raportimi përfshin të dhënat për identifikimin e shitësit, transaksionet e realizuara dhe informacionin tjetër të kërkuar sipas </w:t>
            </w:r>
            <w:r w:rsidRPr="00462428">
              <w:rPr>
                <w:rFonts w:ascii="Times New Roman" w:hAnsi="Times New Roman" w:cs="Times New Roman"/>
                <w:sz w:val="18"/>
                <w:szCs w:val="18"/>
              </w:rPr>
              <w:lastRenderedPageBreak/>
              <w:t>këtij ligji dhe akteve nënligjore në zbatim të tij, për qëllime tatimore, të agreguara për periudhën vjetore të raportimit.</w:t>
            </w:r>
          </w:p>
          <w:p w14:paraId="3236B21F" w14:textId="77777777" w:rsidR="00462428" w:rsidRPr="00462428" w:rsidRDefault="00462428" w:rsidP="00462428">
            <w:pPr>
              <w:rPr>
                <w:rFonts w:ascii="Times New Roman" w:hAnsi="Times New Roman" w:cs="Times New Roman"/>
                <w:sz w:val="18"/>
                <w:szCs w:val="18"/>
              </w:rPr>
            </w:pPr>
            <w:r w:rsidRPr="00462428">
              <w:rPr>
                <w:rFonts w:ascii="Times New Roman" w:hAnsi="Times New Roman" w:cs="Times New Roman"/>
                <w:sz w:val="18"/>
                <w:szCs w:val="18"/>
              </w:rPr>
              <w:t>3.</w:t>
            </w:r>
            <w:r w:rsidRPr="00462428">
              <w:rPr>
                <w:rFonts w:ascii="Times New Roman" w:hAnsi="Times New Roman" w:cs="Times New Roman"/>
                <w:sz w:val="18"/>
                <w:szCs w:val="18"/>
              </w:rPr>
              <w:tab/>
              <w:t>Raporti vjetor i operatorit të platformës me detyrim raportimi përmban, për secilin shitës raportues dhe për secilin Shtet Anëtar të rezidencës së tij, të gjitha elementet e informacionit të parashikuara nga ky ligj, në masën e nevojshme për përmbushjen e detyrimeve të raportimit.</w:t>
            </w:r>
          </w:p>
          <w:p w14:paraId="775C1CE2" w14:textId="77777777" w:rsidR="00462428" w:rsidRPr="00462428" w:rsidRDefault="00462428" w:rsidP="00462428">
            <w:pPr>
              <w:rPr>
                <w:rFonts w:ascii="Times New Roman" w:hAnsi="Times New Roman" w:cs="Times New Roman"/>
                <w:sz w:val="18"/>
                <w:szCs w:val="18"/>
              </w:rPr>
            </w:pPr>
            <w:r w:rsidRPr="00462428">
              <w:rPr>
                <w:rFonts w:ascii="Times New Roman" w:hAnsi="Times New Roman" w:cs="Times New Roman"/>
                <w:sz w:val="18"/>
                <w:szCs w:val="18"/>
              </w:rPr>
              <w:t>4.</w:t>
            </w:r>
            <w:r w:rsidRPr="00462428">
              <w:rPr>
                <w:rFonts w:ascii="Times New Roman" w:hAnsi="Times New Roman" w:cs="Times New Roman"/>
                <w:sz w:val="18"/>
                <w:szCs w:val="18"/>
              </w:rPr>
              <w:tab/>
              <w:t xml:space="preserve">Shkëmbimi i informacionit të raportuar sipas këtij neni kryhet nga autoriteti kompetent në përputhje me afatet, formatet dhe procedurat e përcaktuara sipas këtij ligji. </w:t>
            </w:r>
          </w:p>
          <w:p w14:paraId="2B726022" w14:textId="23CD1133" w:rsidR="00462428" w:rsidRPr="00BA0D16" w:rsidRDefault="00462428" w:rsidP="00462428">
            <w:pPr>
              <w:rPr>
                <w:rFonts w:ascii="Times New Roman" w:hAnsi="Times New Roman" w:cs="Times New Roman"/>
                <w:sz w:val="18"/>
                <w:szCs w:val="18"/>
              </w:rPr>
            </w:pPr>
            <w:r w:rsidRPr="00462428">
              <w:rPr>
                <w:rFonts w:ascii="Times New Roman" w:hAnsi="Times New Roman" w:cs="Times New Roman"/>
                <w:sz w:val="18"/>
                <w:szCs w:val="18"/>
              </w:rPr>
              <w:t>5.</w:t>
            </w:r>
            <w:r w:rsidRPr="00462428">
              <w:rPr>
                <w:rFonts w:ascii="Times New Roman" w:hAnsi="Times New Roman" w:cs="Times New Roman"/>
                <w:sz w:val="18"/>
                <w:szCs w:val="18"/>
              </w:rPr>
              <w:tab/>
              <w:t>Kur të dhënat që kërkohen për raportim sipas këtij ligji janë raportuar dhe shkëmbyer më parë në përputhje me dispozitat e këtij ligji ose të legjislacionit përkatës për shkëmbimin automatik të informacionit tatimor, operatori i platformës nuk është i detyruar t’i raportojë ato përsëri, për aq sa kjo shmang dyfishimin e raportimit të të njëjtit informacion.</w:t>
            </w:r>
          </w:p>
        </w:tc>
        <w:tc>
          <w:tcPr>
            <w:tcW w:w="720" w:type="dxa"/>
          </w:tcPr>
          <w:p w14:paraId="5DDEC899" w14:textId="1E4EF366" w:rsidR="00D026D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46C28407" w14:textId="77777777" w:rsidR="00D026D5" w:rsidRPr="00080E02" w:rsidRDefault="00D026D5" w:rsidP="00E16BA5">
            <w:pPr>
              <w:rPr>
                <w:rFonts w:ascii="Times New Roman" w:eastAsia="Calibri" w:hAnsi="Times New Roman" w:cs="Times New Roman"/>
                <w:sz w:val="18"/>
                <w:szCs w:val="18"/>
              </w:rPr>
            </w:pPr>
          </w:p>
        </w:tc>
      </w:tr>
      <w:tr w:rsidR="00E12826" w:rsidRPr="00036F88" w14:paraId="0B9ED55E" w14:textId="77777777" w:rsidTr="007C321D">
        <w:trPr>
          <w:trHeight w:val="854"/>
        </w:trPr>
        <w:tc>
          <w:tcPr>
            <w:tcW w:w="630" w:type="dxa"/>
          </w:tcPr>
          <w:p w14:paraId="19A2F1D9" w14:textId="77777777" w:rsidR="00E12826" w:rsidRPr="00036F88" w:rsidRDefault="00E12826" w:rsidP="005331A6">
            <w:pPr>
              <w:jc w:val="both"/>
              <w:rPr>
                <w:rFonts w:ascii="Times New Roman" w:eastAsia="Calibri" w:hAnsi="Times New Roman" w:cs="Times New Roman"/>
                <w:sz w:val="18"/>
                <w:szCs w:val="18"/>
              </w:rPr>
            </w:pPr>
            <w:bookmarkStart w:id="18" w:name="_Hlk227924217"/>
          </w:p>
        </w:tc>
        <w:tc>
          <w:tcPr>
            <w:tcW w:w="5400" w:type="dxa"/>
            <w:shd w:val="clear" w:color="auto" w:fill="D0CECE" w:themeFill="background2" w:themeFillShade="E6"/>
          </w:tcPr>
          <w:p w14:paraId="1B24D306" w14:textId="77777777" w:rsidR="00E12826" w:rsidRPr="001725D0" w:rsidRDefault="00E12826" w:rsidP="005331A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 </w:t>
            </w:r>
          </w:p>
          <w:p w14:paraId="60A57CE4" w14:textId="5D2B0660" w:rsidR="00E12826" w:rsidRPr="001725D0" w:rsidRDefault="00E12826" w:rsidP="005331A6">
            <w:pPr>
              <w:jc w:val="center"/>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B. Informacion që duhet raportuar</w:t>
            </w:r>
          </w:p>
        </w:tc>
        <w:tc>
          <w:tcPr>
            <w:tcW w:w="540" w:type="dxa"/>
            <w:shd w:val="clear" w:color="auto" w:fill="D0CECE" w:themeFill="background2" w:themeFillShade="E6"/>
          </w:tcPr>
          <w:p w14:paraId="47B52340" w14:textId="77777777" w:rsidR="00E12826" w:rsidRPr="00036F88" w:rsidRDefault="00E12826" w:rsidP="005331A6">
            <w:pPr>
              <w:rPr>
                <w:rFonts w:ascii="Times New Roman" w:eastAsia="Calibri" w:hAnsi="Times New Roman" w:cs="Times New Roman"/>
                <w:sz w:val="18"/>
                <w:szCs w:val="18"/>
              </w:rPr>
            </w:pPr>
          </w:p>
        </w:tc>
        <w:tc>
          <w:tcPr>
            <w:tcW w:w="554" w:type="dxa"/>
            <w:shd w:val="clear" w:color="auto" w:fill="D0CECE" w:themeFill="background2" w:themeFillShade="E6"/>
          </w:tcPr>
          <w:p w14:paraId="0B1621B9" w14:textId="77777777" w:rsidR="00E12826" w:rsidRPr="00036F88" w:rsidRDefault="00E12826" w:rsidP="005331A6">
            <w:pPr>
              <w:rPr>
                <w:rFonts w:ascii="Times New Roman" w:eastAsia="Calibri" w:hAnsi="Times New Roman" w:cs="Times New Roman"/>
                <w:sz w:val="18"/>
                <w:szCs w:val="18"/>
              </w:rPr>
            </w:pPr>
          </w:p>
        </w:tc>
        <w:tc>
          <w:tcPr>
            <w:tcW w:w="5040" w:type="dxa"/>
            <w:shd w:val="clear" w:color="auto" w:fill="D0CECE" w:themeFill="background2" w:themeFillShade="E6"/>
          </w:tcPr>
          <w:p w14:paraId="52E4EE17" w14:textId="77777777" w:rsidR="00462428" w:rsidRPr="00462428" w:rsidRDefault="00462428" w:rsidP="00462428">
            <w:pPr>
              <w:jc w:val="center"/>
              <w:rPr>
                <w:rFonts w:ascii="Times New Roman" w:eastAsia="Calibri" w:hAnsi="Times New Roman" w:cs="Times New Roman"/>
                <w:b/>
                <w:sz w:val="18"/>
                <w:szCs w:val="18"/>
              </w:rPr>
            </w:pPr>
            <w:r w:rsidRPr="00462428">
              <w:rPr>
                <w:rFonts w:ascii="Times New Roman" w:eastAsia="Calibri" w:hAnsi="Times New Roman" w:cs="Times New Roman"/>
                <w:b/>
                <w:sz w:val="18"/>
                <w:szCs w:val="18"/>
              </w:rPr>
              <w:t>Neni 13</w:t>
            </w:r>
          </w:p>
          <w:p w14:paraId="638C5AD0" w14:textId="338EC172" w:rsidR="00E12826" w:rsidRDefault="00462428" w:rsidP="00462428">
            <w:pPr>
              <w:jc w:val="center"/>
              <w:rPr>
                <w:rFonts w:ascii="Times New Roman" w:eastAsia="Calibri" w:hAnsi="Times New Roman" w:cs="Times New Roman"/>
                <w:sz w:val="18"/>
                <w:szCs w:val="18"/>
              </w:rPr>
            </w:pPr>
            <w:r w:rsidRPr="00462428">
              <w:rPr>
                <w:rFonts w:ascii="Times New Roman" w:eastAsia="Calibri" w:hAnsi="Times New Roman" w:cs="Times New Roman"/>
                <w:b/>
                <w:sz w:val="18"/>
                <w:szCs w:val="18"/>
              </w:rPr>
              <w:t>Informacionet që duhet të komunikohen</w:t>
            </w:r>
          </w:p>
        </w:tc>
        <w:tc>
          <w:tcPr>
            <w:tcW w:w="720" w:type="dxa"/>
            <w:shd w:val="clear" w:color="auto" w:fill="D0CECE" w:themeFill="background2" w:themeFillShade="E6"/>
          </w:tcPr>
          <w:p w14:paraId="1A84C81D" w14:textId="77777777" w:rsidR="00E12826" w:rsidRPr="00036F88" w:rsidRDefault="00E12826" w:rsidP="005331A6">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72FDBF3F" w14:textId="77777777" w:rsidR="00E12826" w:rsidRPr="00036F88" w:rsidRDefault="00E12826" w:rsidP="005331A6">
            <w:pPr>
              <w:rPr>
                <w:rFonts w:ascii="Times New Roman" w:eastAsia="Calibri" w:hAnsi="Times New Roman" w:cs="Times New Roman"/>
                <w:sz w:val="18"/>
                <w:szCs w:val="18"/>
              </w:rPr>
            </w:pPr>
          </w:p>
        </w:tc>
      </w:tr>
      <w:bookmarkEnd w:id="18"/>
      <w:tr w:rsidR="00E12826" w:rsidRPr="00036F88" w14:paraId="460D2046" w14:textId="77777777" w:rsidTr="007C321D">
        <w:trPr>
          <w:trHeight w:val="2204"/>
        </w:trPr>
        <w:tc>
          <w:tcPr>
            <w:tcW w:w="630" w:type="dxa"/>
          </w:tcPr>
          <w:p w14:paraId="0DC7EC7E"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3B4FC474" w14:textId="77777777" w:rsidR="00E12826" w:rsidRPr="001725D0" w:rsidRDefault="00E12826" w:rsidP="00E12826">
            <w:pPr>
              <w:jc w:val="both"/>
              <w:rPr>
                <w:rFonts w:ascii="Times New Roman" w:eastAsia="Calibri" w:hAnsi="Times New Roman" w:cs="Times New Roman"/>
                <w:iCs/>
                <w:sz w:val="18"/>
                <w:szCs w:val="18"/>
                <w:lang w:val="en-US"/>
              </w:rPr>
            </w:pPr>
          </w:p>
          <w:p w14:paraId="7E3065F0"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Çdo Operator Platforme Raportuese duhet të raportojë informacionin e mëposhtëm:</w:t>
            </w:r>
          </w:p>
          <w:p w14:paraId="21C39330" w14:textId="77777777" w:rsidR="00E12826" w:rsidRPr="001725D0" w:rsidRDefault="00E12826" w:rsidP="00E12826">
            <w:pPr>
              <w:jc w:val="both"/>
              <w:rPr>
                <w:rFonts w:ascii="Times New Roman" w:eastAsia="Calibri" w:hAnsi="Times New Roman" w:cs="Times New Roman"/>
                <w:iCs/>
                <w:sz w:val="18"/>
                <w:szCs w:val="18"/>
                <w:lang w:val="en-US"/>
              </w:rPr>
            </w:pPr>
          </w:p>
          <w:p w14:paraId="66F25A99"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Emri, adresa e zyrës së regjistruar, NIPT-i dhe, kur është e nevojshme, numri i identifikimit individual i caktuar sipas nënparagrafit F(4) të Seksionit IV të Operatorit të Platformës Raportuese, si dhe emri/emrat e biznesit të Platformës/Platformave në lidhje me të cilat Operatori i Platformës Raportuese po raporton.</w:t>
            </w:r>
          </w:p>
          <w:p w14:paraId="7A8A8854" w14:textId="77777777" w:rsidR="00E12826" w:rsidRPr="001725D0" w:rsidRDefault="00E12826" w:rsidP="00E12826">
            <w:pPr>
              <w:jc w:val="both"/>
              <w:rPr>
                <w:rFonts w:ascii="Times New Roman" w:eastAsia="Calibri" w:hAnsi="Times New Roman" w:cs="Times New Roman"/>
                <w:iCs/>
                <w:sz w:val="18"/>
                <w:szCs w:val="18"/>
                <w:lang w:val="en-US"/>
              </w:rPr>
            </w:pPr>
          </w:p>
          <w:p w14:paraId="2F9CFC2C"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2. Lidhur me çdo Shitës të Raportueshëm që ka kryer Aktivitet Përkatës, përveç qiradhënies së pasurisë së paluajtshme: (a) informacionet e kërkuara për t'u mbledhur sipas paragrafit B të Seksionit II; (b) Identifikuesi i Llogarisë Financiare, për aq sa është në dispozicion të Operatorit të Platformës Raportuese dhe autoriteti kompetent i Shtetit Anëtar ku Shitësi i Raportueshëm është rezident në kuptimin e paragrafit D të Seksionit II nuk ka publikuar se nuk ka ndërmend të përdorë Identifikuesin e Llogarisë Financiare për këtë qëllim; (c) kur është i ndryshëm nga emri i Shitësit të Raportueshëm, përveç Identifikuesit të </w:t>
            </w:r>
            <w:r w:rsidRPr="001725D0">
              <w:rPr>
                <w:rFonts w:ascii="Times New Roman" w:eastAsia="Calibri" w:hAnsi="Times New Roman" w:cs="Times New Roman"/>
                <w:iCs/>
                <w:sz w:val="18"/>
                <w:szCs w:val="18"/>
                <w:lang w:val="en-US"/>
              </w:rPr>
              <w:lastRenderedPageBreak/>
              <w:t>Llogarisë Financiare, emri i mbajtësit të llogarisë financiare në të cilën paguhet ose kreditohet Konsiderata, në masën që është në dispozicion të Operatorit të Platformës Raportuese, si dhe çdo informacion tjetër identifikimi financiar në dispozicion të Operatorit të Platformës Raportuese në lidhje me atë mbajtës llogarie; (d) çdo Shtet Anëtar në të cilin Shitësi i Raportueshëm është rezident për qëllimet e kësaj Direktive siç përcaktohet në përputhje me paragrafin D të Seksionit II;</w:t>
            </w:r>
          </w:p>
          <w:p w14:paraId="3482EEFD"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(e) totalin e Konsideratës së paguar ose të kredituar gjatë çdo tremujori të Periudhës Raportuese dhe numrin e Aktiviteteve Përkatëse në lidhje me të cilat është paguar ose kredituar; (f) çdo tarifë, komision ose taksë e mbajtur ose e ngarkuar nga Operatori i Platformës Raportuese gjatë çdo tremujori të Periudhës Raportuese.</w:t>
            </w:r>
          </w:p>
          <w:p w14:paraId="1E1732EF" w14:textId="77777777" w:rsidR="00E12826" w:rsidRPr="001725D0" w:rsidRDefault="00E12826" w:rsidP="00E12826">
            <w:pPr>
              <w:jc w:val="both"/>
              <w:rPr>
                <w:rFonts w:ascii="Times New Roman" w:eastAsia="Calibri" w:hAnsi="Times New Roman" w:cs="Times New Roman"/>
                <w:iCs/>
                <w:sz w:val="18"/>
                <w:szCs w:val="18"/>
                <w:lang w:val="en-US"/>
              </w:rPr>
            </w:pPr>
          </w:p>
          <w:p w14:paraId="49C86508" w14:textId="7B09B830"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3. Lidhur me çdo Shitës të Raportueshëm që kreu Aktivitet Përkatës që përfshin qiradhënien e pasurisë së paluajtshme: (a) artikujt e informacionit që kërkohen të mblidhen sipas paragrafit B të Seksionit II; (b) Identifikuesi i Llogarisë Financiare, për aq sa është në dispozicion të Operatorit të Platformës Raportuese dhe autoriteti kompetent i Shtetit Anëtar ku Shitësi i Raportueshëm është rezident në kuptimin e paragrafit D të Seksionit II nuk ka publikuar se nuk ka ndërmend të përdorë Identifikuesin e Llogarisë Financiare për këtë qëllim; (c) kur është i ndryshëm nga emri i Shitësit të Raportueshëm, përveç Identifikuesit të Llogarisë Financiare, emri i mbajtësit të llogarisë financiare në të cilën paguhet ose kreditohet Konsiderata, në masën që është në dispozicion të Operatorit të Platformës Raportuese, si dhe çdo informacion tjetër identifikimi financiar në dispozicion të Operatorit të Platformës Raportuese në lidhje me mbajtësin e llogarisë; (d) çdo Shtet Anëtar në të cilin Shitësi i Raportueshëm është rezident për qëllimet e kësaj Direktive siç përcaktohet në përputhje me nënparagrafin D të Seksionit II; (e) adresa e secilës Listë Pronash, e përcaktuar në bazë të procedurave të përcaktuara në paragrafin E të Seksionit II, dhe numri përkatës i regjistrimit të tokës ose ekuivalenti i tij sipas ligjit kombëtar të Shtetit Anëtar ku ndodhet, kur është i disponueshëm; (f) Shpërblimi total i paguar ose i kredituar gjatë çdo tremujori të Periudhës Raportuese dhe numri i Aktiviteteve Përkatëse të ofruara në lidhje me secilën Listë Pronash; (g) çdo tarifë, komision ose taksë e mbajtur ose e ngarkuar nga Operatori i Platformës Raportuese gjatë çdo tremujori të Periudhës Raportuese; (h) kur është i disponueshëm, numri i ditëve që secila Listë </w:t>
            </w:r>
            <w:r w:rsidRPr="001725D0">
              <w:rPr>
                <w:rFonts w:ascii="Times New Roman" w:eastAsia="Calibri" w:hAnsi="Times New Roman" w:cs="Times New Roman"/>
                <w:iCs/>
                <w:sz w:val="18"/>
                <w:szCs w:val="18"/>
                <w:lang w:val="en-US"/>
              </w:rPr>
              <w:lastRenderedPageBreak/>
              <w:t>Pronash është marrë me qira gjatë Periudhës Raportuese dhe lloji i secilës Listë Pronash.</w:t>
            </w:r>
          </w:p>
        </w:tc>
        <w:tc>
          <w:tcPr>
            <w:tcW w:w="540" w:type="dxa"/>
          </w:tcPr>
          <w:p w14:paraId="27D8B3C8" w14:textId="77777777" w:rsidR="00E12826" w:rsidRPr="00036F88" w:rsidRDefault="00E12826" w:rsidP="003C045B">
            <w:pPr>
              <w:jc w:val="center"/>
              <w:rPr>
                <w:rFonts w:ascii="Times New Roman" w:eastAsia="Calibri" w:hAnsi="Times New Roman" w:cs="Times New Roman"/>
                <w:sz w:val="18"/>
                <w:szCs w:val="18"/>
                <w:highlight w:val="cyan"/>
              </w:rPr>
            </w:pPr>
          </w:p>
        </w:tc>
        <w:tc>
          <w:tcPr>
            <w:tcW w:w="554" w:type="dxa"/>
          </w:tcPr>
          <w:p w14:paraId="3F75CB42" w14:textId="22554C9D" w:rsidR="00E12826"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 xml:space="preserve">13 </w:t>
            </w:r>
          </w:p>
        </w:tc>
        <w:tc>
          <w:tcPr>
            <w:tcW w:w="5040" w:type="dxa"/>
          </w:tcPr>
          <w:p w14:paraId="22A75DB0"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1.</w:t>
            </w:r>
            <w:r w:rsidRPr="00462428">
              <w:rPr>
                <w:rFonts w:ascii="Times New Roman" w:hAnsi="Times New Roman" w:cs="Times New Roman"/>
                <w:sz w:val="18"/>
                <w:szCs w:val="18"/>
              </w:rPr>
              <w:tab/>
              <w:t>Operatori raportues i platformës komunikon tek Autoriteti Kompetent, në kuadër të raportit vjetor të të dhënave, informacionin e mëposhtëm:</w:t>
            </w:r>
          </w:p>
          <w:p w14:paraId="09C1F033"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a) Të dhënat identifikuese të operatorit të platformës: emri, adresa e selisë, numri i identifikimit për personin e tatueshëm i operatorit të platformës me detyrim raportimi dhe, kur është e zbatueshme, numri unik i identifikimit i dhënë nga autoriteti kompetent, si dhe emri tregtar i platformës ose platformave për të cilat operatori bën komunikimin. Në rast se operatori i platformës është entitet me rezidencë ose seli në më shumë se një shtet anëtar, raportohen të gjitha shtetet e rezidencës tatimore dhe selitë e përhershme përkatëse.</w:t>
            </w:r>
          </w:p>
          <w:p w14:paraId="70287E09"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b) Të dhënat identifikuese të çdo shitësi të raportueshëm:</w:t>
            </w:r>
          </w:p>
          <w:p w14:paraId="5C78113C"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 Informacioni për shitësin sipas Nenit 4, pikat 1 dhe 2;</w:t>
            </w:r>
          </w:p>
          <w:p w14:paraId="053A0F48"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ii. Identifikuesi i llogarisë financiare, për aq sa është i disponueshëm për operatorin e platformës me detyrim raportimi dhe për aq sa autoriteti kompetent i Shtetit Anëtar ku shitësi i raporteushëm është rezident, nuk ka publikuar se nuk synon të përdorë identifikuesin e llogarisë financiare për këtë qëllim ;</w:t>
            </w:r>
          </w:p>
          <w:p w14:paraId="1F68E086"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lastRenderedPageBreak/>
              <w:t>iii. Emri i mbajtësit të llogarisë financiare, kur ky është i ndryshëm nga emri i shitësit të rapotushëm, për llogarinë financiare në të cilën përfitimi paguhet ose kreditohet, si dhe çdo informacion tjetër identifikues financiar të disponueshëm nga operatorin e platformës me detyrim raportimi në lidhje me këtë mbajtës llogarie;</w:t>
            </w:r>
          </w:p>
          <w:p w14:paraId="157A4455"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iv. Shtetet anëtare ku shitësi është rezident sipas Nenit 6;</w:t>
            </w:r>
          </w:p>
          <w:p w14:paraId="0E9C2794"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v. Shuma totale e shpërblimit të paguar ose kredituar gjatë çdo tremujori të periudhës së raportimit, si dhe numri i aktiviteteve të raportueshme për të cilat shpërblimi është paguar ose kredituar;</w:t>
            </w:r>
          </w:p>
          <w:p w14:paraId="17A7232C"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vi. Tarifat, komisionet ose taksat e mbajtura ose ngarkuara nga operatori i platformës, gjatë çdo tremujori të periudhës së raportimit.</w:t>
            </w:r>
          </w:p>
          <w:p w14:paraId="01FD10A0"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c) Për shitësit e raportueshëm që japin me qira pasuri të paluajtshme, përfshihen gjithashtu:</w:t>
            </w:r>
          </w:p>
          <w:p w14:paraId="64738218"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 xml:space="preserve">            i. Informacioni për shitësin sipas Nenit 4, pikat 1 dhe 2;</w:t>
            </w:r>
          </w:p>
          <w:p w14:paraId="3E52C6DC"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ii. Identifikuesi i llogarisë financiare, për aq sa është i disponueshëm për operatorin e platformës me detyrim raportimi dhe për aq sa autoriteti kompetent i Shtetit Anëtar ku shitësi i raportueshëm është rezident, nuk ka publikuar se nuk synon të përdorë identifikuesin e llogarisë financiare për këtë qëllim;</w:t>
            </w:r>
          </w:p>
          <w:p w14:paraId="08A3C53C"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iii. Emri i mbajtësit të llogarisë financiare, kur ky është i ndryshëm nga emri i shitësit të rapotushëm, për llogarinë financiare në të cilën përfitimi paguhet ose kreditohet, si dhe çdo informacion tjetër identifikues financiar të disponueshëm nga operatorin e platformës me detyrim raportimi në lidhje me këtë mbajtës llogarie;</w:t>
            </w:r>
          </w:p>
          <w:p w14:paraId="0DD24413"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iv. Shtetet anëtare ku shitësi është rezident sipas Nenit 6;</w:t>
            </w:r>
          </w:p>
          <w:p w14:paraId="568A45FF"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iv. Adresa e pasurisë së listuar dhe, kur është i disponueshëm, numri i regjistrimit kadastral;</w:t>
            </w:r>
          </w:p>
          <w:p w14:paraId="11AC3137"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v. Shuma totale e shperblimit të paguar ose kredituar gjatë çdo tremujori të periudhës së raportimit, si dhe numri i aktiviteteve të raportueshme për të cilat shperblimi është paguar ose kredituar në lidhje me pasurinë e listuar;</w:t>
            </w:r>
          </w:p>
          <w:p w14:paraId="15E8BBD6"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vi. Tarifat, komisionet ose taksat e mbajtura ose ngarkuara nga operatori i platformës, gjatë çdo tremujori të periudhës së raportimit ;</w:t>
            </w:r>
          </w:p>
          <w:p w14:paraId="1C7AC4B4"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viii. Numri i ditëve të qiradhënies gjatë periudhës së raportueshme dhe tipologjia e pasurisë së paluajtshme, kur ky informacion është i disponueshëm.</w:t>
            </w:r>
          </w:p>
          <w:p w14:paraId="2CD8FD91"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lastRenderedPageBreak/>
              <w:t>2.</w:t>
            </w:r>
            <w:r w:rsidRPr="00462428">
              <w:rPr>
                <w:rFonts w:ascii="Times New Roman" w:hAnsi="Times New Roman" w:cs="Times New Roman"/>
                <w:sz w:val="18"/>
                <w:szCs w:val="18"/>
              </w:rPr>
              <w:tab/>
              <w:t>Operatorët e platformës që kualifikohen si operatorë të përjashtuar sipas Nenit 5 nuk janë subjekt i raportimit të informacionit të përcaktuar në këtë nen, për sa kohë ruajnë këtë status, në përputhje me kushtet dhe procedurat e parashikuara nga ky ligj.</w:t>
            </w:r>
          </w:p>
          <w:p w14:paraId="25038762" w14:textId="1B8464CB" w:rsidR="00E12826" w:rsidRPr="00D026D5"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3.</w:t>
            </w:r>
            <w:r w:rsidRPr="00462428">
              <w:rPr>
                <w:rFonts w:ascii="Times New Roman" w:hAnsi="Times New Roman" w:cs="Times New Roman"/>
                <w:sz w:val="18"/>
                <w:szCs w:val="18"/>
              </w:rPr>
              <w:tab/>
              <w:t>Modalitetet teknike, formatet elektronike dhe mënyrat e komunikimit të këtij informacioni përcaktohen me vendim të këshillit të ministrave.</w:t>
            </w:r>
          </w:p>
        </w:tc>
        <w:tc>
          <w:tcPr>
            <w:tcW w:w="720" w:type="dxa"/>
          </w:tcPr>
          <w:p w14:paraId="136D7D5E" w14:textId="589825D6" w:rsidR="00E12826" w:rsidRDefault="00E12826"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6A6F2C8D" w14:textId="77777777" w:rsidR="00E12826" w:rsidRPr="00080E02" w:rsidRDefault="00E12826" w:rsidP="00E16BA5">
            <w:pPr>
              <w:rPr>
                <w:rFonts w:ascii="Times New Roman" w:eastAsia="Calibri" w:hAnsi="Times New Roman" w:cs="Times New Roman"/>
                <w:sz w:val="18"/>
                <w:szCs w:val="18"/>
              </w:rPr>
            </w:pPr>
          </w:p>
        </w:tc>
      </w:tr>
      <w:tr w:rsidR="00E12826" w:rsidRPr="00036F88" w14:paraId="4820EADD" w14:textId="77777777" w:rsidTr="007C321D">
        <w:trPr>
          <w:trHeight w:val="854"/>
        </w:trPr>
        <w:tc>
          <w:tcPr>
            <w:tcW w:w="630" w:type="dxa"/>
          </w:tcPr>
          <w:p w14:paraId="116D030C" w14:textId="77777777" w:rsidR="00E12826" w:rsidRPr="00036F88" w:rsidRDefault="00E12826" w:rsidP="005331A6">
            <w:pPr>
              <w:jc w:val="both"/>
              <w:rPr>
                <w:rFonts w:ascii="Times New Roman" w:eastAsia="Calibri" w:hAnsi="Times New Roman" w:cs="Times New Roman"/>
                <w:sz w:val="18"/>
                <w:szCs w:val="18"/>
              </w:rPr>
            </w:pPr>
            <w:bookmarkStart w:id="19" w:name="_Hlk227924465"/>
          </w:p>
        </w:tc>
        <w:tc>
          <w:tcPr>
            <w:tcW w:w="5400" w:type="dxa"/>
            <w:shd w:val="clear" w:color="auto" w:fill="D0CECE" w:themeFill="background2" w:themeFillShade="E6"/>
          </w:tcPr>
          <w:p w14:paraId="1E1AA2C0" w14:textId="77777777" w:rsidR="00E12826" w:rsidRPr="00D026D5" w:rsidRDefault="00E12826" w:rsidP="005331A6">
            <w:pPr>
              <w:jc w:val="both"/>
              <w:rPr>
                <w:rFonts w:ascii="Times New Roman" w:eastAsia="Calibri" w:hAnsi="Times New Roman" w:cs="Times New Roman"/>
                <w:iCs/>
                <w:sz w:val="18"/>
                <w:szCs w:val="18"/>
                <w:lang w:val="it-CH"/>
              </w:rPr>
            </w:pPr>
            <w:r w:rsidRPr="00D026D5">
              <w:rPr>
                <w:rFonts w:ascii="Times New Roman" w:eastAsia="Calibri" w:hAnsi="Times New Roman" w:cs="Times New Roman"/>
                <w:iCs/>
                <w:sz w:val="18"/>
                <w:szCs w:val="18"/>
                <w:lang w:val="it-CH"/>
              </w:rPr>
              <w:t xml:space="preserve"> </w:t>
            </w:r>
          </w:p>
          <w:p w14:paraId="1A2C7800" w14:textId="77777777" w:rsidR="00E12826" w:rsidRPr="00E12826" w:rsidRDefault="00E12826" w:rsidP="00E12826">
            <w:pPr>
              <w:jc w:val="center"/>
              <w:rPr>
                <w:rFonts w:ascii="Times New Roman" w:eastAsia="Calibri" w:hAnsi="Times New Roman" w:cs="Times New Roman"/>
                <w:b/>
                <w:iCs/>
                <w:sz w:val="18"/>
                <w:szCs w:val="18"/>
                <w:lang w:val="it-CH"/>
              </w:rPr>
            </w:pPr>
            <w:r w:rsidRPr="00E12826">
              <w:rPr>
                <w:rFonts w:ascii="Times New Roman" w:eastAsia="Calibri" w:hAnsi="Times New Roman" w:cs="Times New Roman"/>
                <w:b/>
                <w:iCs/>
                <w:sz w:val="18"/>
                <w:szCs w:val="18"/>
                <w:lang w:val="it-CH"/>
              </w:rPr>
              <w:t>SEKSIONI IV</w:t>
            </w:r>
          </w:p>
          <w:p w14:paraId="7EE26CD9" w14:textId="37045285" w:rsidR="00E12826" w:rsidRPr="00AF6E05" w:rsidRDefault="00E12826" w:rsidP="00E12826">
            <w:pPr>
              <w:jc w:val="center"/>
              <w:rPr>
                <w:rFonts w:ascii="Times New Roman" w:eastAsia="Calibri" w:hAnsi="Times New Roman" w:cs="Times New Roman"/>
                <w:iCs/>
                <w:sz w:val="18"/>
                <w:szCs w:val="18"/>
                <w:lang w:val="it-CH"/>
              </w:rPr>
            </w:pPr>
            <w:r w:rsidRPr="00E12826">
              <w:rPr>
                <w:rFonts w:ascii="Times New Roman" w:eastAsia="Calibri" w:hAnsi="Times New Roman" w:cs="Times New Roman"/>
                <w:b/>
                <w:iCs/>
                <w:sz w:val="18"/>
                <w:szCs w:val="18"/>
                <w:lang w:val="it-CH"/>
              </w:rPr>
              <w:t>ZBATIM EFEKTIV</w:t>
            </w:r>
          </w:p>
        </w:tc>
        <w:tc>
          <w:tcPr>
            <w:tcW w:w="540" w:type="dxa"/>
            <w:shd w:val="clear" w:color="auto" w:fill="D0CECE" w:themeFill="background2" w:themeFillShade="E6"/>
          </w:tcPr>
          <w:p w14:paraId="4F76BD83" w14:textId="77777777" w:rsidR="00E12826" w:rsidRPr="00036F88" w:rsidRDefault="00E12826" w:rsidP="005331A6">
            <w:pPr>
              <w:rPr>
                <w:rFonts w:ascii="Times New Roman" w:eastAsia="Calibri" w:hAnsi="Times New Roman" w:cs="Times New Roman"/>
                <w:sz w:val="18"/>
                <w:szCs w:val="18"/>
              </w:rPr>
            </w:pPr>
          </w:p>
        </w:tc>
        <w:tc>
          <w:tcPr>
            <w:tcW w:w="554" w:type="dxa"/>
            <w:shd w:val="clear" w:color="auto" w:fill="D0CECE" w:themeFill="background2" w:themeFillShade="E6"/>
          </w:tcPr>
          <w:p w14:paraId="19512E06" w14:textId="77777777" w:rsidR="00E12826" w:rsidRPr="00036F88" w:rsidRDefault="00E12826" w:rsidP="005331A6">
            <w:pPr>
              <w:rPr>
                <w:rFonts w:ascii="Times New Roman" w:eastAsia="Calibri" w:hAnsi="Times New Roman" w:cs="Times New Roman"/>
                <w:sz w:val="18"/>
                <w:szCs w:val="18"/>
              </w:rPr>
            </w:pPr>
          </w:p>
        </w:tc>
        <w:tc>
          <w:tcPr>
            <w:tcW w:w="5040" w:type="dxa"/>
            <w:shd w:val="clear" w:color="auto" w:fill="D0CECE" w:themeFill="background2" w:themeFillShade="E6"/>
          </w:tcPr>
          <w:p w14:paraId="23AD0CBD" w14:textId="77777777" w:rsidR="00462428" w:rsidRPr="00462428" w:rsidRDefault="00462428" w:rsidP="00462428">
            <w:pPr>
              <w:jc w:val="center"/>
              <w:rPr>
                <w:rFonts w:ascii="Times New Roman" w:eastAsia="Calibri" w:hAnsi="Times New Roman" w:cs="Times New Roman"/>
                <w:b/>
                <w:sz w:val="18"/>
                <w:szCs w:val="18"/>
              </w:rPr>
            </w:pPr>
            <w:r w:rsidRPr="00462428">
              <w:rPr>
                <w:rFonts w:ascii="Times New Roman" w:eastAsia="Calibri" w:hAnsi="Times New Roman" w:cs="Times New Roman"/>
                <w:b/>
                <w:sz w:val="18"/>
                <w:szCs w:val="18"/>
              </w:rPr>
              <w:t>Neni 9</w:t>
            </w:r>
          </w:p>
          <w:p w14:paraId="15B64F40" w14:textId="40CE8162" w:rsidR="00E12826" w:rsidRDefault="00462428" w:rsidP="00462428">
            <w:pPr>
              <w:jc w:val="center"/>
              <w:rPr>
                <w:rFonts w:ascii="Times New Roman" w:eastAsia="Calibri" w:hAnsi="Times New Roman" w:cs="Times New Roman"/>
                <w:sz w:val="18"/>
                <w:szCs w:val="18"/>
              </w:rPr>
            </w:pPr>
            <w:r w:rsidRPr="00462428">
              <w:rPr>
                <w:rFonts w:ascii="Times New Roman" w:eastAsia="Calibri" w:hAnsi="Times New Roman" w:cs="Times New Roman"/>
                <w:b/>
                <w:sz w:val="18"/>
                <w:szCs w:val="18"/>
              </w:rPr>
              <w:t>Zbatimi i procedurave të verifikimit vetëm për shitësit aktivë</w:t>
            </w:r>
          </w:p>
        </w:tc>
        <w:tc>
          <w:tcPr>
            <w:tcW w:w="720" w:type="dxa"/>
            <w:shd w:val="clear" w:color="auto" w:fill="D0CECE" w:themeFill="background2" w:themeFillShade="E6"/>
          </w:tcPr>
          <w:p w14:paraId="0E0AFBB5" w14:textId="77777777" w:rsidR="00E12826" w:rsidRPr="00036F88" w:rsidRDefault="00E12826" w:rsidP="005331A6">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5666FDBC" w14:textId="77777777" w:rsidR="00E12826" w:rsidRPr="00036F88" w:rsidRDefault="00E12826" w:rsidP="005331A6">
            <w:pPr>
              <w:rPr>
                <w:rFonts w:ascii="Times New Roman" w:eastAsia="Calibri" w:hAnsi="Times New Roman" w:cs="Times New Roman"/>
                <w:sz w:val="18"/>
                <w:szCs w:val="18"/>
              </w:rPr>
            </w:pPr>
          </w:p>
        </w:tc>
      </w:tr>
      <w:bookmarkEnd w:id="19"/>
      <w:tr w:rsidR="00E12826" w:rsidRPr="00036F88" w14:paraId="39DA771A" w14:textId="77777777" w:rsidTr="007C321D">
        <w:trPr>
          <w:trHeight w:val="2204"/>
        </w:trPr>
        <w:tc>
          <w:tcPr>
            <w:tcW w:w="630" w:type="dxa"/>
          </w:tcPr>
          <w:p w14:paraId="7117B4EF"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625BB3AF"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Në përputhje me Nenin 8ac, Shtetet Anëtare duhet të kenë rregulla dhe procedura administrative në vend për të siguruar zbatimin efektiv dhe pajtueshmërinë me procedurat e kujdesit të duhur dhe kërkesat e raportimit të përcaktuara në Seksionet II dhe III të këtij Aneksi.</w:t>
            </w:r>
          </w:p>
          <w:p w14:paraId="730922BA" w14:textId="77777777" w:rsidR="00E12826" w:rsidRPr="001725D0" w:rsidRDefault="00E12826" w:rsidP="00E12826">
            <w:pPr>
              <w:jc w:val="both"/>
              <w:rPr>
                <w:rFonts w:ascii="Times New Roman" w:eastAsia="Calibri" w:hAnsi="Times New Roman" w:cs="Times New Roman"/>
                <w:iCs/>
                <w:sz w:val="18"/>
                <w:szCs w:val="18"/>
                <w:lang w:val="en-US"/>
              </w:rPr>
            </w:pPr>
          </w:p>
          <w:p w14:paraId="408637D3" w14:textId="77777777" w:rsidR="00E12826" w:rsidRPr="001725D0" w:rsidRDefault="00E12826" w:rsidP="00E12826">
            <w:pPr>
              <w:jc w:val="both"/>
              <w:rPr>
                <w:rFonts w:ascii="Times New Roman" w:eastAsia="Calibri" w:hAnsi="Times New Roman" w:cs="Times New Roman"/>
                <w:iCs/>
                <w:sz w:val="18"/>
                <w:szCs w:val="18"/>
                <w:lang w:val="en-US"/>
              </w:rPr>
            </w:pPr>
          </w:p>
          <w:p w14:paraId="78187609"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 Rregullat për zbatimin e kërkesave të mbledhjes dhe verifikimit të përcaktuara në Seksionin II</w:t>
            </w:r>
          </w:p>
          <w:p w14:paraId="5D75360C" w14:textId="77777777" w:rsidR="00E12826" w:rsidRPr="001725D0" w:rsidRDefault="00E12826" w:rsidP="00E12826">
            <w:pPr>
              <w:jc w:val="both"/>
              <w:rPr>
                <w:rFonts w:ascii="Times New Roman" w:eastAsia="Calibri" w:hAnsi="Times New Roman" w:cs="Times New Roman"/>
                <w:iCs/>
                <w:sz w:val="18"/>
                <w:szCs w:val="18"/>
                <w:lang w:val="en-US"/>
              </w:rPr>
            </w:pPr>
          </w:p>
          <w:p w14:paraId="74A75115"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Shtetet Anëtare marrin masat e nevojshme për t'u kërkuar Operatorëve të Platformës Raportuese të zbatojnë kërkesat e mbledhjes dhe verifikimit sipas Seksionit II në lidhje me Shitësit e tyre.</w:t>
            </w:r>
          </w:p>
          <w:p w14:paraId="51DE93F4" w14:textId="77777777" w:rsidR="00E12826" w:rsidRPr="001725D0" w:rsidRDefault="00E12826" w:rsidP="00E12826">
            <w:pPr>
              <w:jc w:val="both"/>
              <w:rPr>
                <w:rFonts w:ascii="Times New Roman" w:eastAsia="Calibri" w:hAnsi="Times New Roman" w:cs="Times New Roman"/>
                <w:iCs/>
                <w:sz w:val="18"/>
                <w:szCs w:val="18"/>
                <w:lang w:val="en-US"/>
              </w:rPr>
            </w:pPr>
          </w:p>
          <w:p w14:paraId="35851CE7" w14:textId="62DEE542"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Kur një Shitës nuk ofron informacionin e kërkuar sipas Seksionit II pas dy njoftimeve përkujtuese pas kërkesës fillestare nga Operatori Raportues i Platformës, por jo para skadimit të 60 ditëve, Operatori Raportues i Platformës do të mbyllë llogarinë e Shitësit dhe do ta pengojë Shitësin të riregjistrohet në Platformë ose do të mbajë pagesën e Konsideratës për Shitësin për sa kohë që Shitësi nuk ofron informacionin e kërkuar.</w:t>
            </w:r>
          </w:p>
        </w:tc>
        <w:tc>
          <w:tcPr>
            <w:tcW w:w="540" w:type="dxa"/>
          </w:tcPr>
          <w:p w14:paraId="4EB288EF" w14:textId="77777777" w:rsidR="00E12826" w:rsidRPr="00036F88" w:rsidRDefault="00E12826" w:rsidP="003C045B">
            <w:pPr>
              <w:jc w:val="center"/>
              <w:rPr>
                <w:rFonts w:ascii="Times New Roman" w:eastAsia="Calibri" w:hAnsi="Times New Roman" w:cs="Times New Roman"/>
                <w:sz w:val="18"/>
                <w:szCs w:val="18"/>
                <w:highlight w:val="cyan"/>
              </w:rPr>
            </w:pPr>
          </w:p>
        </w:tc>
        <w:tc>
          <w:tcPr>
            <w:tcW w:w="554" w:type="dxa"/>
          </w:tcPr>
          <w:p w14:paraId="4E3EC89E" w14:textId="31539DD6" w:rsidR="00E12826" w:rsidRDefault="00462428"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Neni</w:t>
            </w:r>
            <w:r w:rsidR="008C3267" w:rsidRPr="006E4603">
              <w:rPr>
                <w:rFonts w:ascii="Times New Roman" w:eastAsia="Calibri" w:hAnsi="Times New Roman" w:cs="Times New Roman"/>
                <w:sz w:val="18"/>
                <w:szCs w:val="18"/>
              </w:rPr>
              <w:t xml:space="preserve"> 9 </w:t>
            </w:r>
          </w:p>
          <w:p w14:paraId="6737E7B9" w14:textId="77777777" w:rsidR="008C3267" w:rsidRDefault="008C3267" w:rsidP="003C045B">
            <w:pPr>
              <w:jc w:val="center"/>
              <w:rPr>
                <w:rFonts w:ascii="Times New Roman" w:eastAsia="Calibri" w:hAnsi="Times New Roman" w:cs="Times New Roman"/>
                <w:sz w:val="18"/>
                <w:szCs w:val="18"/>
                <w:highlight w:val="cyan"/>
                <w:lang w:val="en-US"/>
              </w:rPr>
            </w:pPr>
          </w:p>
          <w:p w14:paraId="2ADC03B4" w14:textId="77777777" w:rsidR="008C3267" w:rsidRDefault="008C3267" w:rsidP="003C045B">
            <w:pPr>
              <w:jc w:val="center"/>
              <w:rPr>
                <w:rFonts w:ascii="Times New Roman" w:eastAsia="Calibri" w:hAnsi="Times New Roman" w:cs="Times New Roman"/>
                <w:sz w:val="18"/>
                <w:szCs w:val="18"/>
                <w:highlight w:val="cyan"/>
                <w:lang w:val="en-US"/>
              </w:rPr>
            </w:pPr>
          </w:p>
          <w:p w14:paraId="323C0973" w14:textId="5DF8EF77" w:rsidR="008C3267"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17</w:t>
            </w:r>
          </w:p>
        </w:tc>
        <w:tc>
          <w:tcPr>
            <w:tcW w:w="5040" w:type="dxa"/>
          </w:tcPr>
          <w:p w14:paraId="28C6DFB6" w14:textId="77777777" w:rsidR="00BA0D16" w:rsidRPr="00BA0D16" w:rsidRDefault="00BA0D16" w:rsidP="00BA0D16">
            <w:pPr>
              <w:jc w:val="both"/>
              <w:rPr>
                <w:rFonts w:ascii="Times New Roman" w:hAnsi="Times New Roman" w:cs="Times New Roman"/>
                <w:sz w:val="18"/>
                <w:szCs w:val="18"/>
              </w:rPr>
            </w:pPr>
          </w:p>
          <w:p w14:paraId="0720646D"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1.</w:t>
            </w:r>
            <w:r w:rsidRPr="00462428">
              <w:rPr>
                <w:rFonts w:ascii="Times New Roman" w:hAnsi="Times New Roman" w:cs="Times New Roman"/>
                <w:sz w:val="18"/>
                <w:szCs w:val="18"/>
              </w:rPr>
              <w:tab/>
              <w:t>Operatori i platformës me detyrim raportimi është i detyruar të kryejë procedurat e verifikimit të duhur për identifikimin dhe mbledhjen e të dhënave minimale, sipas neneve 3 deri në 7 të këtij ligji, vetëm për shitësit aktivë gjatë periudhës së raportimit, të cilët kanë kryer aktivitete të raportueshme në platformë.</w:t>
            </w:r>
          </w:p>
          <w:p w14:paraId="00B96864" w14:textId="77777777" w:rsidR="00462428" w:rsidRPr="00462428" w:rsidRDefault="00462428" w:rsidP="00462428">
            <w:pPr>
              <w:jc w:val="both"/>
              <w:rPr>
                <w:rFonts w:ascii="Times New Roman" w:hAnsi="Times New Roman" w:cs="Times New Roman"/>
                <w:sz w:val="18"/>
                <w:szCs w:val="18"/>
              </w:rPr>
            </w:pPr>
          </w:p>
          <w:p w14:paraId="63E6800B"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2.</w:t>
            </w:r>
            <w:r w:rsidRPr="00462428">
              <w:rPr>
                <w:rFonts w:ascii="Times New Roman" w:hAnsi="Times New Roman" w:cs="Times New Roman"/>
                <w:sz w:val="18"/>
                <w:szCs w:val="18"/>
              </w:rPr>
              <w:tab/>
              <w:t>Nëse, brenda periudhës së raportimit ose brenda afatit të parashikuar ne neni 17 pika 1, për përfundimin e procedurave të verifikimit, shitësi nuk ka vënë në dispozicion të gjitha të dhënat e nevojshme për përmbushjen e kërkesave të këtij ligji, operatori i platformës me detyrim raportimi merr masa të arsyeshme për të parandaluar kryerjen e aktiviteteve të raportueshme ose për të pezulluar pagesën e shpërblimit përmes platformës deri në përmbushjen e kërkesave të verifikimit dhe dokumentojnë masat e marra.</w:t>
            </w:r>
          </w:p>
          <w:p w14:paraId="1CCB1D49" w14:textId="77777777" w:rsidR="00462428" w:rsidRPr="00462428" w:rsidRDefault="00462428" w:rsidP="00462428">
            <w:pPr>
              <w:jc w:val="both"/>
              <w:rPr>
                <w:rFonts w:ascii="Times New Roman" w:hAnsi="Times New Roman" w:cs="Times New Roman"/>
                <w:sz w:val="18"/>
                <w:szCs w:val="18"/>
              </w:rPr>
            </w:pPr>
          </w:p>
          <w:p w14:paraId="372F3F0E"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3.</w:t>
            </w:r>
            <w:r w:rsidRPr="00462428">
              <w:rPr>
                <w:rFonts w:ascii="Times New Roman" w:hAnsi="Times New Roman" w:cs="Times New Roman"/>
                <w:sz w:val="18"/>
                <w:szCs w:val="18"/>
              </w:rPr>
              <w:tab/>
              <w:t>Operatori i platformës është përgjegjës për ruajtjen e të dhënave dhe dokumentacionit të përdorur për verifikim dhe komunikim me shitësin, deri më 31 dhjetor të vitit të pestë pas vitit në të cilin është kryer komunikimi ose raportimi.</w:t>
            </w:r>
          </w:p>
          <w:p w14:paraId="2A92C525" w14:textId="77777777" w:rsidR="00462428" w:rsidRPr="00462428" w:rsidRDefault="00462428" w:rsidP="00462428">
            <w:pPr>
              <w:jc w:val="both"/>
              <w:rPr>
                <w:rFonts w:ascii="Times New Roman" w:hAnsi="Times New Roman" w:cs="Times New Roman"/>
                <w:sz w:val="18"/>
                <w:szCs w:val="18"/>
              </w:rPr>
            </w:pPr>
          </w:p>
          <w:p w14:paraId="5BA1D3BD" w14:textId="77777777" w:rsidR="00462428" w:rsidRPr="00462428"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t>4.</w:t>
            </w:r>
            <w:r w:rsidRPr="00462428">
              <w:rPr>
                <w:rFonts w:ascii="Times New Roman" w:hAnsi="Times New Roman" w:cs="Times New Roman"/>
                <w:sz w:val="18"/>
                <w:szCs w:val="18"/>
              </w:rPr>
              <w:tab/>
              <w:t xml:space="preserve">Për shitësit individë, zbatohen kërkesat e nenit 4, pika 1. </w:t>
            </w:r>
          </w:p>
          <w:p w14:paraId="6A44D572" w14:textId="77777777" w:rsidR="00462428" w:rsidRPr="00462428" w:rsidRDefault="00462428" w:rsidP="00462428">
            <w:pPr>
              <w:jc w:val="both"/>
              <w:rPr>
                <w:rFonts w:ascii="Times New Roman" w:hAnsi="Times New Roman" w:cs="Times New Roman"/>
                <w:sz w:val="18"/>
                <w:szCs w:val="18"/>
              </w:rPr>
            </w:pPr>
          </w:p>
          <w:p w14:paraId="70811A7D" w14:textId="6DBD63CF" w:rsidR="00BA0D16" w:rsidRPr="00BA0D16" w:rsidRDefault="00462428" w:rsidP="00462428">
            <w:pPr>
              <w:jc w:val="both"/>
              <w:rPr>
                <w:rFonts w:ascii="Times New Roman" w:hAnsi="Times New Roman" w:cs="Times New Roman"/>
                <w:sz w:val="18"/>
                <w:szCs w:val="18"/>
              </w:rPr>
            </w:pPr>
            <w:r w:rsidRPr="00462428">
              <w:rPr>
                <w:rFonts w:ascii="Times New Roman" w:hAnsi="Times New Roman" w:cs="Times New Roman"/>
                <w:sz w:val="18"/>
                <w:szCs w:val="18"/>
              </w:rPr>
              <w:lastRenderedPageBreak/>
              <w:t>5.</w:t>
            </w:r>
            <w:r w:rsidRPr="00462428">
              <w:rPr>
                <w:rFonts w:ascii="Times New Roman" w:hAnsi="Times New Roman" w:cs="Times New Roman"/>
                <w:sz w:val="18"/>
                <w:szCs w:val="18"/>
              </w:rPr>
              <w:tab/>
              <w:t>Kur operatori i platformës me detyrim raportimi përdor Shërbimin e Identifikimit të ofruar nga autoriteti kompetent ose nga Bashkimi Evropian, ai mund të mbështetet në rezultatet e këtij shërbimi vetëm për qëllim të verifikimit të identitetit dhe rezidencës së shitësit raportues, në përputhje me kushtet dhe kufijtë e përcaktuar në aktet përkatëse nënligjore. Megjithatë, operatori i platformës mbetet i detyruar të raportojë të gjitha elementet e informacionit të kërkuara nga ky ligj dhe aktet nënligjore, edhe kur këto të dhëna janë gjeneruar ose verifikuar përmes Shërbimit të Identifikimit</w:t>
            </w:r>
          </w:p>
          <w:p w14:paraId="23E2114B" w14:textId="77777777" w:rsidR="00BA0D16" w:rsidRPr="00BA0D16" w:rsidRDefault="00BA0D16" w:rsidP="00BA0D16">
            <w:pPr>
              <w:jc w:val="both"/>
              <w:rPr>
                <w:rFonts w:ascii="Times New Roman" w:hAnsi="Times New Roman" w:cs="Times New Roman"/>
                <w:sz w:val="18"/>
                <w:szCs w:val="18"/>
              </w:rPr>
            </w:pPr>
          </w:p>
          <w:p w14:paraId="27200FF5" w14:textId="77777777" w:rsidR="001E2CF7" w:rsidRPr="001E2CF7" w:rsidRDefault="001E2CF7" w:rsidP="00BA0D16">
            <w:pPr>
              <w:jc w:val="both"/>
              <w:rPr>
                <w:rFonts w:ascii="Times New Roman" w:hAnsi="Times New Roman" w:cs="Times New Roman"/>
                <w:b/>
                <w:sz w:val="18"/>
                <w:szCs w:val="18"/>
              </w:rPr>
            </w:pPr>
          </w:p>
          <w:p w14:paraId="4296D5AC" w14:textId="3FA243EA" w:rsidR="001E2CF7" w:rsidRPr="001E2CF7" w:rsidRDefault="001E2CF7" w:rsidP="001E2CF7">
            <w:pPr>
              <w:jc w:val="center"/>
              <w:rPr>
                <w:rFonts w:ascii="Times New Roman" w:hAnsi="Times New Roman" w:cs="Times New Roman"/>
                <w:b/>
                <w:sz w:val="18"/>
                <w:szCs w:val="18"/>
              </w:rPr>
            </w:pPr>
            <w:r w:rsidRPr="001E2CF7">
              <w:rPr>
                <w:rFonts w:ascii="Times New Roman" w:hAnsi="Times New Roman" w:cs="Times New Roman"/>
                <w:b/>
                <w:sz w:val="18"/>
                <w:szCs w:val="18"/>
              </w:rPr>
              <w:t>Neni 17</w:t>
            </w:r>
          </w:p>
          <w:p w14:paraId="2F9009B7" w14:textId="77777777" w:rsidR="001E2CF7" w:rsidRPr="001E2CF7" w:rsidRDefault="001E2CF7" w:rsidP="001E2CF7">
            <w:pPr>
              <w:jc w:val="center"/>
              <w:rPr>
                <w:rFonts w:ascii="Times New Roman" w:hAnsi="Times New Roman" w:cs="Times New Roman"/>
                <w:b/>
                <w:sz w:val="18"/>
                <w:szCs w:val="18"/>
              </w:rPr>
            </w:pPr>
            <w:r w:rsidRPr="001E2CF7">
              <w:rPr>
                <w:rFonts w:ascii="Times New Roman" w:hAnsi="Times New Roman" w:cs="Times New Roman"/>
                <w:b/>
                <w:sz w:val="18"/>
                <w:szCs w:val="18"/>
              </w:rPr>
              <w:t>Sanksione dhe masa për respektimin e detyrimeve</w:t>
            </w:r>
          </w:p>
          <w:p w14:paraId="43D19057" w14:textId="77777777" w:rsidR="001E2CF7" w:rsidRPr="001E2CF7" w:rsidRDefault="001E2CF7" w:rsidP="001E2CF7">
            <w:pPr>
              <w:jc w:val="both"/>
              <w:rPr>
                <w:rFonts w:ascii="Times New Roman" w:hAnsi="Times New Roman" w:cs="Times New Roman"/>
                <w:sz w:val="18"/>
                <w:szCs w:val="18"/>
              </w:rPr>
            </w:pPr>
          </w:p>
          <w:p w14:paraId="599B31CB"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1.</w:t>
            </w:r>
            <w:r w:rsidRPr="001E2CF7">
              <w:rPr>
                <w:rFonts w:ascii="Times New Roman" w:hAnsi="Times New Roman" w:cs="Times New Roman"/>
                <w:sz w:val="18"/>
                <w:szCs w:val="18"/>
              </w:rPr>
              <w:tab/>
              <w:t xml:space="preserve">Operatori i platformës parashikon në kontratën e bashkëpunimit me shitësin një klauzolë detyruese, sipas së cilës, në rast se shitësi nuk paraqet informacionin e kërkuar pas dy njoftimeve brenda afatit 60-ditor nga data e njoftimit të parë, profili i tij në platformë mbyllet deri në plotësimin e detyrimit përkatës. </w:t>
            </w:r>
          </w:p>
          <w:p w14:paraId="31D230EF" w14:textId="77777777" w:rsidR="001E2CF7" w:rsidRPr="001E2CF7" w:rsidRDefault="001E2CF7" w:rsidP="001E2CF7">
            <w:pPr>
              <w:jc w:val="both"/>
              <w:rPr>
                <w:rFonts w:ascii="Times New Roman" w:hAnsi="Times New Roman" w:cs="Times New Roman"/>
                <w:sz w:val="18"/>
                <w:szCs w:val="18"/>
              </w:rPr>
            </w:pPr>
          </w:p>
          <w:p w14:paraId="67AC01C9"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2.</w:t>
            </w:r>
            <w:r w:rsidRPr="001E2CF7">
              <w:rPr>
                <w:rFonts w:ascii="Times New Roman" w:hAnsi="Times New Roman" w:cs="Times New Roman"/>
                <w:sz w:val="18"/>
                <w:szCs w:val="18"/>
              </w:rPr>
              <w:tab/>
              <w:t>Nëse kontrata me shitësin parashikon shpërblim, ajo mund të mbahet pezull deri në dorëzimin e informacionit të plotë. Në rast të mosbashkëpunimit të vazhdueshëm, operatori i platformës duhet të ndalojë riregjistrimin e shitësit, t’i mbyllë aksesin në platformë ose ta përjashtojë shitësin nga platforma për aktivitetet e raportueshme, deri në përmbushjen e plotë të detyrimeve ligjore.</w:t>
            </w:r>
          </w:p>
          <w:p w14:paraId="4CCD685E" w14:textId="77777777" w:rsidR="001E2CF7" w:rsidRPr="001E2CF7" w:rsidRDefault="001E2CF7" w:rsidP="001E2CF7">
            <w:pPr>
              <w:jc w:val="both"/>
              <w:rPr>
                <w:rFonts w:ascii="Times New Roman" w:hAnsi="Times New Roman" w:cs="Times New Roman"/>
                <w:sz w:val="18"/>
                <w:szCs w:val="18"/>
              </w:rPr>
            </w:pPr>
          </w:p>
          <w:p w14:paraId="7F29AAA6"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3.</w:t>
            </w:r>
            <w:r w:rsidRPr="001E2CF7">
              <w:rPr>
                <w:rFonts w:ascii="Times New Roman" w:hAnsi="Times New Roman" w:cs="Times New Roman"/>
                <w:sz w:val="18"/>
                <w:szCs w:val="18"/>
              </w:rPr>
              <w:tab/>
              <w:t>Për qëllimet e këtij ligji përbëjnë kundërvajtje administrative, të kryera nga operatori i platformës me detyrim raportimi, shkeljet të cilat dënohen si më poshtë:</w:t>
            </w:r>
          </w:p>
          <w:p w14:paraId="7C848D99"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a) Mospërmbushja e detyrimit për paraqitjen e raportimit vjetor brenda afateve të përcaktuara nga ky ligj, dënohet me gjobë në vlerën nga 100.000 lekë deri në 1.000.000 lekë për çdo periudhë raportimi.</w:t>
            </w:r>
          </w:p>
          <w:p w14:paraId="04392AFC"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b) Paraqitja e raportimit vjetor që përmban të dhëna thelbësisht të paplota, të pasakta ose të pavërteta, dënohet me gjobë në vlerën nga 100.000 lekë deri në 500.000 lekë për çdo periudhë raportimi.</w:t>
            </w:r>
          </w:p>
          <w:p w14:paraId="2032B787"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lastRenderedPageBreak/>
              <w:t>c) Mospërmbushja, në tërësi ose pjesërisht, e detyrimit për zbatimin e procedurave të verifikimit të duhur, në përputhje me parashikimet e këtij ligji dhe vendimit të këshillit të ministrave në zbatim të tij, dënohet me gjobë në vlerën nga 100.000 lekë deri në 750.000 lekë për çdo periudhë raportimi.</w:t>
            </w:r>
          </w:p>
          <w:p w14:paraId="54B76F70"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ç) Mospërmbushja e detyrimit për ruajtjen e dokumentacionit, të dhënave dhe provave për periudhën e përcaktuar nga ky ligj, dënohet me gjobë në vlerën nga 50.000 lekë deri në 300.000 lekë për çdo periudhë raportimi.</w:t>
            </w:r>
          </w:p>
          <w:p w14:paraId="1C3AFAC6"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d) Mospërmbushja e detyrimit për zbatimin e masave të zbatimit efektiv ndaj shitësve jo-bashkëpunues, përfshirë dërgimin e kujtesave, pezullimin e llogarive, mbylljen e aksesit në platformë, përjashtimin nga platforma ose ndalimin e riregjistrimit, sipas parashikimeve të këtij ligji, dënohet me gjobë në vlerën nga 100.000 lekë deri në 500.000 lekë për çdo periudhë raportimi.</w:t>
            </w:r>
          </w:p>
          <w:p w14:paraId="1DB344AA"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 xml:space="preserve">dh) Mosregjistrimi i operatorit të platformës sipas këtij ligji, dënohet me gjobë në vlerën 1.000.000 lekë. </w:t>
            </w:r>
          </w:p>
          <w:p w14:paraId="015DF338"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4. Për shkeljet e parashikuara në pikën 3 të këtij neni, Drejtoria e Përgjithshme e Tatimeve, sipas rastit dhe në përputhje me parimin e proporcionalitetit, vendos një ose më shumë nga masat administrative të mëposhtme:</w:t>
            </w:r>
          </w:p>
          <w:p w14:paraId="0C486D6F"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a) nxjerrjen e urdhrit për përmbushjen e detyrimit të shkelur, duke përcaktuar një afat konkret për zbatimin e tij;</w:t>
            </w:r>
          </w:p>
          <w:p w14:paraId="519AF6BE"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b) në rast të përsëritjes së shkeljes ose të moszbatimit të urdhrit për përmbushje, vendosjen e masës së pezullimit të statusit të operatorit të platformës për qëllime raportimi sipas këtij ligji, deri në përmbushjen e plotë të detyrimeve.</w:t>
            </w:r>
          </w:p>
          <w:p w14:paraId="40F8BDF0" w14:textId="77777777" w:rsidR="001E2CF7" w:rsidRPr="001E2CF7" w:rsidRDefault="001E2CF7" w:rsidP="001E2CF7">
            <w:pPr>
              <w:jc w:val="both"/>
              <w:rPr>
                <w:rFonts w:ascii="Times New Roman" w:hAnsi="Times New Roman" w:cs="Times New Roman"/>
                <w:sz w:val="18"/>
                <w:szCs w:val="18"/>
              </w:rPr>
            </w:pPr>
          </w:p>
          <w:p w14:paraId="219B795B" w14:textId="77777777" w:rsidR="001E2CF7" w:rsidRPr="001E2CF7"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5. Gjoba vendoset nga titullari i Drejtorisë së Përgjithshme të Tatimeve sipas legjislacionit në fuqi për kundërvajtjet administrative dhe duhet të jetë efektive, proporcionale dhe dekurajuese.</w:t>
            </w:r>
          </w:p>
          <w:p w14:paraId="648B5160" w14:textId="77777777" w:rsidR="001E2CF7" w:rsidRPr="001E2CF7" w:rsidRDefault="001E2CF7" w:rsidP="001E2CF7">
            <w:pPr>
              <w:jc w:val="both"/>
              <w:rPr>
                <w:rFonts w:ascii="Times New Roman" w:hAnsi="Times New Roman" w:cs="Times New Roman"/>
                <w:sz w:val="18"/>
                <w:szCs w:val="18"/>
              </w:rPr>
            </w:pPr>
          </w:p>
          <w:p w14:paraId="44434556" w14:textId="4FBDCE5A" w:rsidR="00E12826" w:rsidRPr="00E12826" w:rsidRDefault="001E2CF7" w:rsidP="001E2CF7">
            <w:pPr>
              <w:jc w:val="both"/>
              <w:rPr>
                <w:rFonts w:ascii="Times New Roman" w:hAnsi="Times New Roman" w:cs="Times New Roman"/>
                <w:sz w:val="18"/>
                <w:szCs w:val="18"/>
              </w:rPr>
            </w:pPr>
            <w:r w:rsidRPr="001E2CF7">
              <w:rPr>
                <w:rFonts w:ascii="Times New Roman" w:hAnsi="Times New Roman" w:cs="Times New Roman"/>
                <w:sz w:val="18"/>
                <w:szCs w:val="18"/>
              </w:rPr>
              <w:t>6. Kundër vendimit për vendosjen e gjobës mund të bëhet ankim pranë gjykatës administrative kompetente, në përputhje me legjislacionin në fuqi për gjykatat administrative dhe gjykimin e mosmarrëveshjeve administrative.</w:t>
            </w:r>
          </w:p>
        </w:tc>
        <w:tc>
          <w:tcPr>
            <w:tcW w:w="720" w:type="dxa"/>
          </w:tcPr>
          <w:p w14:paraId="63C7D5CC" w14:textId="02311E4C" w:rsidR="00E12826"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0461DFFC" w14:textId="77777777" w:rsidR="00E12826" w:rsidRPr="00080E02" w:rsidRDefault="00E12826" w:rsidP="00E16BA5">
            <w:pPr>
              <w:rPr>
                <w:rFonts w:ascii="Times New Roman" w:eastAsia="Calibri" w:hAnsi="Times New Roman" w:cs="Times New Roman"/>
                <w:sz w:val="18"/>
                <w:szCs w:val="18"/>
              </w:rPr>
            </w:pPr>
          </w:p>
        </w:tc>
      </w:tr>
      <w:tr w:rsidR="00E12826" w:rsidRPr="00036F88" w14:paraId="30244A85" w14:textId="77777777" w:rsidTr="007C321D">
        <w:trPr>
          <w:trHeight w:val="854"/>
        </w:trPr>
        <w:tc>
          <w:tcPr>
            <w:tcW w:w="630" w:type="dxa"/>
          </w:tcPr>
          <w:p w14:paraId="4D97AFE6" w14:textId="77777777" w:rsidR="00E12826" w:rsidRPr="00036F88" w:rsidRDefault="00E12826" w:rsidP="005331A6">
            <w:pPr>
              <w:jc w:val="both"/>
              <w:rPr>
                <w:rFonts w:ascii="Times New Roman" w:eastAsia="Calibri" w:hAnsi="Times New Roman" w:cs="Times New Roman"/>
                <w:sz w:val="18"/>
                <w:szCs w:val="18"/>
              </w:rPr>
            </w:pPr>
          </w:p>
        </w:tc>
        <w:tc>
          <w:tcPr>
            <w:tcW w:w="5400" w:type="dxa"/>
            <w:shd w:val="clear" w:color="auto" w:fill="D0CECE" w:themeFill="background2" w:themeFillShade="E6"/>
          </w:tcPr>
          <w:p w14:paraId="4F43E870" w14:textId="77777777" w:rsidR="00E12826" w:rsidRPr="00D026D5" w:rsidRDefault="00E12826" w:rsidP="005331A6">
            <w:pPr>
              <w:jc w:val="both"/>
              <w:rPr>
                <w:rFonts w:ascii="Times New Roman" w:eastAsia="Calibri" w:hAnsi="Times New Roman" w:cs="Times New Roman"/>
                <w:iCs/>
                <w:sz w:val="18"/>
                <w:szCs w:val="18"/>
                <w:lang w:val="it-CH"/>
              </w:rPr>
            </w:pPr>
            <w:r w:rsidRPr="00D026D5">
              <w:rPr>
                <w:rFonts w:ascii="Times New Roman" w:eastAsia="Calibri" w:hAnsi="Times New Roman" w:cs="Times New Roman"/>
                <w:iCs/>
                <w:sz w:val="18"/>
                <w:szCs w:val="18"/>
                <w:lang w:val="it-CH"/>
              </w:rPr>
              <w:t xml:space="preserve"> </w:t>
            </w:r>
          </w:p>
          <w:p w14:paraId="54F6C745" w14:textId="7B4B91E0" w:rsidR="00E12826" w:rsidRPr="00AF6E05" w:rsidRDefault="00E12826" w:rsidP="005331A6">
            <w:pPr>
              <w:jc w:val="center"/>
              <w:rPr>
                <w:rFonts w:ascii="Times New Roman" w:eastAsia="Calibri" w:hAnsi="Times New Roman" w:cs="Times New Roman"/>
                <w:iCs/>
                <w:sz w:val="18"/>
                <w:szCs w:val="18"/>
                <w:lang w:val="it-CH"/>
              </w:rPr>
            </w:pPr>
          </w:p>
        </w:tc>
        <w:tc>
          <w:tcPr>
            <w:tcW w:w="540" w:type="dxa"/>
            <w:shd w:val="clear" w:color="auto" w:fill="D0CECE" w:themeFill="background2" w:themeFillShade="E6"/>
          </w:tcPr>
          <w:p w14:paraId="1A47849A" w14:textId="77777777" w:rsidR="00E12826" w:rsidRPr="00036F88" w:rsidRDefault="00E12826" w:rsidP="005331A6">
            <w:pPr>
              <w:rPr>
                <w:rFonts w:ascii="Times New Roman" w:eastAsia="Calibri" w:hAnsi="Times New Roman" w:cs="Times New Roman"/>
                <w:sz w:val="18"/>
                <w:szCs w:val="18"/>
              </w:rPr>
            </w:pPr>
          </w:p>
        </w:tc>
        <w:tc>
          <w:tcPr>
            <w:tcW w:w="554" w:type="dxa"/>
            <w:shd w:val="clear" w:color="auto" w:fill="D0CECE" w:themeFill="background2" w:themeFillShade="E6"/>
          </w:tcPr>
          <w:p w14:paraId="44B6B5F4" w14:textId="77777777" w:rsidR="00E12826" w:rsidRPr="00036F88" w:rsidRDefault="00E12826" w:rsidP="005331A6">
            <w:pPr>
              <w:rPr>
                <w:rFonts w:ascii="Times New Roman" w:eastAsia="Calibri" w:hAnsi="Times New Roman" w:cs="Times New Roman"/>
                <w:sz w:val="18"/>
                <w:szCs w:val="18"/>
              </w:rPr>
            </w:pPr>
          </w:p>
        </w:tc>
        <w:tc>
          <w:tcPr>
            <w:tcW w:w="5040" w:type="dxa"/>
            <w:shd w:val="clear" w:color="auto" w:fill="D0CECE" w:themeFill="background2" w:themeFillShade="E6"/>
          </w:tcPr>
          <w:p w14:paraId="0F0E6CDF" w14:textId="77777777" w:rsidR="00462428" w:rsidRPr="009314A9" w:rsidRDefault="00462428" w:rsidP="00462428">
            <w:pPr>
              <w:spacing w:line="276" w:lineRule="auto"/>
              <w:jc w:val="center"/>
              <w:rPr>
                <w:rFonts w:ascii="Times New Roman" w:hAnsi="Times New Roman" w:cs="Times New Roman"/>
                <w:b/>
                <w:bCs/>
                <w:color w:val="000000" w:themeColor="text1"/>
                <w:sz w:val="24"/>
                <w:szCs w:val="24"/>
                <w:lang w:val="sq-AL"/>
              </w:rPr>
            </w:pPr>
            <w:r w:rsidRPr="009314A9">
              <w:rPr>
                <w:rFonts w:ascii="Times New Roman" w:hAnsi="Times New Roman" w:cs="Times New Roman"/>
                <w:b/>
                <w:bCs/>
                <w:color w:val="000000" w:themeColor="text1"/>
                <w:sz w:val="24"/>
                <w:szCs w:val="24"/>
                <w:lang w:val="sq-AL"/>
              </w:rPr>
              <w:t>Neni 9</w:t>
            </w:r>
          </w:p>
          <w:p w14:paraId="377351DF" w14:textId="77777777" w:rsidR="00462428" w:rsidRPr="009314A9" w:rsidRDefault="00462428" w:rsidP="00462428">
            <w:pPr>
              <w:spacing w:line="276" w:lineRule="auto"/>
              <w:jc w:val="center"/>
              <w:rPr>
                <w:rFonts w:ascii="Times New Roman" w:hAnsi="Times New Roman" w:cs="Times New Roman"/>
                <w:b/>
                <w:bCs/>
                <w:color w:val="000000" w:themeColor="text1"/>
                <w:sz w:val="24"/>
                <w:szCs w:val="24"/>
                <w:lang w:val="sq-AL"/>
              </w:rPr>
            </w:pPr>
            <w:r w:rsidRPr="009314A9">
              <w:rPr>
                <w:rFonts w:ascii="Times New Roman" w:hAnsi="Times New Roman" w:cs="Times New Roman"/>
                <w:b/>
                <w:bCs/>
                <w:color w:val="000000" w:themeColor="text1"/>
                <w:sz w:val="24"/>
                <w:szCs w:val="24"/>
              </w:rPr>
              <w:t>Zbatimi i procedurave të verifikimit vetëm për shitësit aktivë</w:t>
            </w:r>
          </w:p>
          <w:p w14:paraId="096C65E9" w14:textId="0C9A1B1A" w:rsidR="00E12826" w:rsidRDefault="00E12826" w:rsidP="00462428">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1E8E5BEF" w14:textId="77777777" w:rsidR="00E12826" w:rsidRPr="00036F88" w:rsidRDefault="00E12826" w:rsidP="005331A6">
            <w:pPr>
              <w:jc w:val="center"/>
              <w:rPr>
                <w:rFonts w:ascii="Times New Roman" w:eastAsia="Calibri" w:hAnsi="Times New Roman" w:cs="Times New Roman"/>
                <w:sz w:val="18"/>
                <w:szCs w:val="18"/>
              </w:rPr>
            </w:pPr>
          </w:p>
        </w:tc>
        <w:tc>
          <w:tcPr>
            <w:tcW w:w="3406" w:type="dxa"/>
            <w:shd w:val="clear" w:color="auto" w:fill="D0CECE" w:themeFill="background2" w:themeFillShade="E6"/>
          </w:tcPr>
          <w:p w14:paraId="5669B3D1" w14:textId="77777777" w:rsidR="00E12826" w:rsidRPr="00036F88" w:rsidRDefault="00E12826" w:rsidP="005331A6">
            <w:pPr>
              <w:rPr>
                <w:rFonts w:ascii="Times New Roman" w:eastAsia="Calibri" w:hAnsi="Times New Roman" w:cs="Times New Roman"/>
                <w:sz w:val="18"/>
                <w:szCs w:val="18"/>
              </w:rPr>
            </w:pPr>
          </w:p>
        </w:tc>
      </w:tr>
      <w:tr w:rsidR="00E12826" w:rsidRPr="00036F88" w14:paraId="17445BCF" w14:textId="77777777" w:rsidTr="007C321D">
        <w:trPr>
          <w:trHeight w:val="2204"/>
        </w:trPr>
        <w:tc>
          <w:tcPr>
            <w:tcW w:w="630" w:type="dxa"/>
          </w:tcPr>
          <w:p w14:paraId="1CA01D23"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04A01941"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B. Rregullat që kërkojnë që Operatorët e Platformës Raportuese të mbajnë të dhëna për hapat e ndërmarrë dhe çdo informacion të mbështetur për kryerjen e procedurave të kujdesit të duhur dhe kërkesave të raportimit, si dhe masat e duhura për të marrë këto të dhëna.</w:t>
            </w:r>
          </w:p>
          <w:p w14:paraId="0CF58CE9" w14:textId="77777777" w:rsidR="00E12826" w:rsidRPr="001725D0" w:rsidRDefault="00E12826" w:rsidP="00E12826">
            <w:pPr>
              <w:jc w:val="both"/>
              <w:rPr>
                <w:rFonts w:ascii="Times New Roman" w:eastAsia="Calibri" w:hAnsi="Times New Roman" w:cs="Times New Roman"/>
                <w:iCs/>
                <w:sz w:val="18"/>
                <w:szCs w:val="18"/>
                <w:lang w:val="en-US"/>
              </w:rPr>
            </w:pPr>
          </w:p>
          <w:p w14:paraId="432B8642"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Shtetet Anëtare duhet të marrin masat e nevojshme për t'u kërkuar Operatorëve të Platformës Raportuese të mbajnë të dhëna për hapat e ndërmarrë dhe çdo informacion në të cilin mbështetet për kryerjen e procedurave të kujdesit të duhur dhe kërkesave të raportimit të përcaktuara në Seksionet II dhe III. Të dhëna të tilla duhet të mbeten të disponueshme për një periudhë mjaft të gjatë kohore dhe në çdo rast për një periudhë jo më pak se 5 vjet, por jo më shumë se 10 vjet pas përfundimit të Periudhës së Raportueshme me të cilën ato lidhen.</w:t>
            </w:r>
          </w:p>
          <w:p w14:paraId="77CA73FB" w14:textId="77777777" w:rsidR="00E12826" w:rsidRPr="001725D0" w:rsidRDefault="00E12826" w:rsidP="00E12826">
            <w:pPr>
              <w:jc w:val="both"/>
              <w:rPr>
                <w:rFonts w:ascii="Times New Roman" w:eastAsia="Calibri" w:hAnsi="Times New Roman" w:cs="Times New Roman"/>
                <w:iCs/>
                <w:sz w:val="18"/>
                <w:szCs w:val="18"/>
                <w:lang w:val="en-US"/>
              </w:rPr>
            </w:pPr>
          </w:p>
          <w:p w14:paraId="458A9830" w14:textId="2CD05481"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Shtetet Anëtare marrin masat e nevojshme, duke përfshirë mundësinë e adresimit të një urdhri për raportim te Operatorët e Platformës Raportuese, me qëllim që të sigurohet që i gjithë informacioni i nevojshëm t'i raportohet autoritetit kompetent në mënyrë që ky i fundit të mund të përmbushë detyrimin për të komunikuar informacion në përputhje me nenin 8ac(2).</w:t>
            </w:r>
          </w:p>
        </w:tc>
        <w:tc>
          <w:tcPr>
            <w:tcW w:w="540" w:type="dxa"/>
          </w:tcPr>
          <w:p w14:paraId="70FD466C" w14:textId="77777777" w:rsidR="00E12826" w:rsidRPr="00036F88" w:rsidRDefault="00E12826" w:rsidP="003C045B">
            <w:pPr>
              <w:jc w:val="center"/>
              <w:rPr>
                <w:rFonts w:ascii="Times New Roman" w:eastAsia="Calibri" w:hAnsi="Times New Roman" w:cs="Times New Roman"/>
                <w:sz w:val="18"/>
                <w:szCs w:val="18"/>
                <w:highlight w:val="cyan"/>
              </w:rPr>
            </w:pPr>
          </w:p>
        </w:tc>
        <w:tc>
          <w:tcPr>
            <w:tcW w:w="554" w:type="dxa"/>
          </w:tcPr>
          <w:p w14:paraId="04080C04" w14:textId="77777777" w:rsidR="00E12826" w:rsidRDefault="00E12826" w:rsidP="003C045B">
            <w:pPr>
              <w:jc w:val="center"/>
              <w:rPr>
                <w:rFonts w:ascii="Times New Roman" w:eastAsia="Calibri" w:hAnsi="Times New Roman" w:cs="Times New Roman"/>
                <w:sz w:val="18"/>
                <w:szCs w:val="18"/>
                <w:highlight w:val="cyan"/>
                <w:lang w:val="en-US"/>
              </w:rPr>
            </w:pPr>
          </w:p>
          <w:p w14:paraId="3F838709" w14:textId="25778619" w:rsidR="008C3267"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8C3267" w:rsidRPr="006E4603">
              <w:rPr>
                <w:rFonts w:ascii="Times New Roman" w:eastAsia="Calibri" w:hAnsi="Times New Roman" w:cs="Times New Roman"/>
                <w:sz w:val="18"/>
                <w:szCs w:val="18"/>
              </w:rPr>
              <w:t>17</w:t>
            </w:r>
          </w:p>
        </w:tc>
        <w:tc>
          <w:tcPr>
            <w:tcW w:w="5040" w:type="dxa"/>
          </w:tcPr>
          <w:p w14:paraId="5EE1B032" w14:textId="14987947" w:rsidR="00BA0D16" w:rsidRPr="00BA0D16" w:rsidRDefault="00BA0D16" w:rsidP="00DA527B">
            <w:pPr>
              <w:pStyle w:val="ListParagraph"/>
              <w:spacing w:after="0"/>
              <w:ind w:left="360"/>
              <w:jc w:val="both"/>
              <w:rPr>
                <w:rFonts w:ascii="Times New Roman" w:hAnsi="Times New Roman" w:cs="Times New Roman"/>
                <w:color w:val="000000" w:themeColor="text1"/>
                <w:sz w:val="18"/>
                <w:szCs w:val="24"/>
                <w:lang w:val="en-GB"/>
              </w:rPr>
            </w:pPr>
          </w:p>
          <w:p w14:paraId="13315F4F" w14:textId="2119D3E6" w:rsidR="00BA0D16" w:rsidRPr="00BA0D16" w:rsidRDefault="00BA0D16" w:rsidP="00BA0D16">
            <w:pPr>
              <w:pStyle w:val="ListParagraph"/>
              <w:spacing w:after="0"/>
              <w:ind w:left="360"/>
              <w:jc w:val="both"/>
              <w:rPr>
                <w:rFonts w:ascii="Times New Roman" w:hAnsi="Times New Roman" w:cs="Times New Roman"/>
                <w:color w:val="000000" w:themeColor="text1"/>
                <w:sz w:val="18"/>
                <w:szCs w:val="24"/>
                <w:lang w:val="en-GB"/>
              </w:rPr>
            </w:pPr>
            <w:r w:rsidRPr="00BA0D16">
              <w:rPr>
                <w:rFonts w:ascii="Times New Roman" w:hAnsi="Times New Roman" w:cs="Times New Roman"/>
                <w:color w:val="000000" w:themeColor="text1"/>
                <w:sz w:val="18"/>
                <w:szCs w:val="24"/>
                <w:lang w:val="en-GB"/>
              </w:rPr>
              <w:t xml:space="preserve">3. </w:t>
            </w:r>
            <w:r w:rsidR="00462428" w:rsidRPr="00462428">
              <w:rPr>
                <w:rFonts w:ascii="Times New Roman" w:hAnsi="Times New Roman" w:cs="Times New Roman"/>
                <w:color w:val="000000" w:themeColor="text1"/>
                <w:sz w:val="18"/>
                <w:szCs w:val="24"/>
                <w:lang w:val="en-GB"/>
              </w:rPr>
              <w:t>Operatori i platformës është përgjegjës për ruajtjen e të dhënave dhe dokumentacionit të përdorur për verifikim dhe komunikim me shitësin, deri më 31 dhjetor të vitit të pestë pas vitit në të cilin është kryer komunikimi ose raportimi.</w:t>
            </w:r>
          </w:p>
          <w:p w14:paraId="33E02A07" w14:textId="595CB4FD" w:rsidR="00E12826" w:rsidRPr="00BA0D16" w:rsidRDefault="00E12826" w:rsidP="00DA527B">
            <w:pPr>
              <w:pStyle w:val="ListParagraph"/>
              <w:spacing w:after="0"/>
              <w:ind w:left="360"/>
              <w:jc w:val="both"/>
              <w:rPr>
                <w:rFonts w:ascii="Times New Roman" w:hAnsi="Times New Roman" w:cs="Times New Roman"/>
                <w:sz w:val="18"/>
                <w:szCs w:val="18"/>
              </w:rPr>
            </w:pPr>
          </w:p>
        </w:tc>
        <w:tc>
          <w:tcPr>
            <w:tcW w:w="720" w:type="dxa"/>
          </w:tcPr>
          <w:p w14:paraId="39B92C81" w14:textId="53C67588" w:rsidR="00E12826"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FED222A" w14:textId="77777777" w:rsidR="00E12826" w:rsidRPr="00080E02" w:rsidRDefault="00E12826" w:rsidP="00E16BA5">
            <w:pPr>
              <w:rPr>
                <w:rFonts w:ascii="Times New Roman" w:eastAsia="Calibri" w:hAnsi="Times New Roman" w:cs="Times New Roman"/>
                <w:sz w:val="18"/>
                <w:szCs w:val="18"/>
              </w:rPr>
            </w:pPr>
          </w:p>
        </w:tc>
      </w:tr>
      <w:tr w:rsidR="00E12826" w:rsidRPr="00036F88" w14:paraId="6A72EE33" w14:textId="77777777" w:rsidTr="007C321D">
        <w:trPr>
          <w:trHeight w:val="2204"/>
        </w:trPr>
        <w:tc>
          <w:tcPr>
            <w:tcW w:w="630" w:type="dxa"/>
          </w:tcPr>
          <w:p w14:paraId="409013F9"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1D9DB60D" w14:textId="77777777"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C. Procedurat administrative për të verifikuar përputhshmërinë e Operatorëve të Platformës Raportuese me procedurat e kujdesit të duhur dhe kërkesat e raportimit</w:t>
            </w:r>
          </w:p>
          <w:p w14:paraId="465DE5C4" w14:textId="77777777" w:rsidR="00E12826" w:rsidRPr="001725D0" w:rsidRDefault="00E12826" w:rsidP="00E12826">
            <w:pPr>
              <w:jc w:val="both"/>
              <w:rPr>
                <w:rFonts w:ascii="Times New Roman" w:eastAsia="Calibri" w:hAnsi="Times New Roman" w:cs="Times New Roman"/>
                <w:iCs/>
                <w:sz w:val="18"/>
                <w:szCs w:val="18"/>
                <w:lang w:val="en-US"/>
              </w:rPr>
            </w:pPr>
          </w:p>
          <w:p w14:paraId="725B0574" w14:textId="1B447044" w:rsidR="00E12826" w:rsidRPr="001725D0" w:rsidRDefault="00E12826" w:rsidP="00E12826">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Shtetet Anëtare përcaktojnë procedura administrative për të verifikuar përputhshmërinë e Operatorëve të Platformës Raportuese me procedurat e kujdesit të duhur dhe kërkesat e raportimit të përcaktuara në Seksionet II dhe III.</w:t>
            </w:r>
          </w:p>
        </w:tc>
        <w:tc>
          <w:tcPr>
            <w:tcW w:w="540" w:type="dxa"/>
          </w:tcPr>
          <w:p w14:paraId="28ED36B7" w14:textId="77777777" w:rsidR="00E12826" w:rsidRPr="00036F88" w:rsidRDefault="00E12826" w:rsidP="003C045B">
            <w:pPr>
              <w:jc w:val="center"/>
              <w:rPr>
                <w:rFonts w:ascii="Times New Roman" w:eastAsia="Calibri" w:hAnsi="Times New Roman" w:cs="Times New Roman"/>
                <w:sz w:val="18"/>
                <w:szCs w:val="18"/>
                <w:highlight w:val="cyan"/>
              </w:rPr>
            </w:pPr>
          </w:p>
        </w:tc>
        <w:tc>
          <w:tcPr>
            <w:tcW w:w="554" w:type="dxa"/>
          </w:tcPr>
          <w:p w14:paraId="2F58E2D3" w14:textId="77777777" w:rsidR="00E12826" w:rsidRPr="001725D0" w:rsidRDefault="00E12826" w:rsidP="003C045B">
            <w:pPr>
              <w:jc w:val="center"/>
              <w:rPr>
                <w:rFonts w:ascii="Times New Roman" w:eastAsia="Calibri" w:hAnsi="Times New Roman" w:cs="Times New Roman"/>
                <w:sz w:val="18"/>
                <w:szCs w:val="18"/>
                <w:highlight w:val="cyan"/>
                <w:lang w:val="en-US"/>
              </w:rPr>
            </w:pPr>
          </w:p>
        </w:tc>
        <w:tc>
          <w:tcPr>
            <w:tcW w:w="5040" w:type="dxa"/>
          </w:tcPr>
          <w:p w14:paraId="1F7B7A52" w14:textId="77777777" w:rsidR="006566CD" w:rsidRDefault="006566CD" w:rsidP="006566CD">
            <w:pPr>
              <w:jc w:val="center"/>
              <w:rPr>
                <w:rFonts w:ascii="Times New Roman" w:hAnsi="Times New Roman" w:cs="Times New Roman"/>
                <w:sz w:val="18"/>
                <w:szCs w:val="18"/>
              </w:rPr>
            </w:pPr>
          </w:p>
          <w:p w14:paraId="0002720D" w14:textId="1548A8AC" w:rsidR="00E12826" w:rsidRPr="00E12826" w:rsidRDefault="006566CD" w:rsidP="006566CD">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78DE1571" w14:textId="5B56D306" w:rsidR="00E12826" w:rsidRPr="00C7263F" w:rsidRDefault="00060D2B" w:rsidP="003C045B">
            <w:pPr>
              <w:jc w:val="center"/>
              <w:rPr>
                <w:rFonts w:ascii="Times New Roman" w:eastAsia="Calibri" w:hAnsi="Times New Roman" w:cs="Times New Roman"/>
                <w:sz w:val="18"/>
                <w:szCs w:val="18"/>
              </w:rPr>
            </w:pPr>
            <w:r>
              <w:rPr>
                <w:rFonts w:ascii="Times New Roman" w:hAnsi="Times New Roman" w:cs="Times New Roman"/>
                <w:sz w:val="18"/>
                <w:szCs w:val="18"/>
              </w:rPr>
              <w:t>N/A</w:t>
            </w:r>
          </w:p>
        </w:tc>
        <w:tc>
          <w:tcPr>
            <w:tcW w:w="3406" w:type="dxa"/>
          </w:tcPr>
          <w:p w14:paraId="5F16332C" w14:textId="77777777" w:rsidR="006566CD" w:rsidRPr="006566CD" w:rsidRDefault="006566CD" w:rsidP="006566CD">
            <w:pPr>
              <w:rPr>
                <w:rFonts w:ascii="Times New Roman" w:eastAsia="Calibri" w:hAnsi="Times New Roman" w:cs="Times New Roman"/>
                <w:sz w:val="18"/>
                <w:szCs w:val="18"/>
              </w:rPr>
            </w:pPr>
          </w:p>
          <w:p w14:paraId="71B606C2" w14:textId="3F0EEDA8" w:rsidR="006566CD" w:rsidRPr="006566CD" w:rsidRDefault="006566CD" w:rsidP="006566CD">
            <w:pPr>
              <w:rPr>
                <w:rFonts w:ascii="Times New Roman" w:eastAsia="Calibri" w:hAnsi="Times New Roman" w:cs="Times New Roman"/>
                <w:sz w:val="18"/>
                <w:szCs w:val="18"/>
              </w:rPr>
            </w:pPr>
            <w:r w:rsidRPr="006566CD">
              <w:rPr>
                <w:rFonts w:ascii="Times New Roman" w:eastAsia="Calibri" w:hAnsi="Times New Roman" w:cs="Times New Roman"/>
                <w:sz w:val="18"/>
                <w:szCs w:val="18"/>
              </w:rPr>
              <w:t>Shtojca V, Seksioni IV (C) kërkon që Shtetet Anëtare të kenë procedura administrative në</w:t>
            </w:r>
          </w:p>
          <w:p w14:paraId="59FEA134" w14:textId="10F454C9" w:rsidR="006566CD" w:rsidRPr="006566CD" w:rsidRDefault="006566CD" w:rsidP="006566CD">
            <w:pPr>
              <w:rPr>
                <w:rFonts w:ascii="Times New Roman" w:eastAsia="Calibri" w:hAnsi="Times New Roman" w:cs="Times New Roman"/>
                <w:sz w:val="18"/>
                <w:szCs w:val="18"/>
              </w:rPr>
            </w:pPr>
            <w:r w:rsidRPr="006566CD">
              <w:rPr>
                <w:rFonts w:ascii="Times New Roman" w:eastAsia="Calibri" w:hAnsi="Times New Roman" w:cs="Times New Roman"/>
                <w:sz w:val="18"/>
                <w:szCs w:val="18"/>
              </w:rPr>
              <w:t>vend për të verifikuar përputhshmërinë e Operatorëve të Platformës Raportuese me detyrimet e duhura</w:t>
            </w:r>
            <w:r w:rsidR="00AE469F">
              <w:rPr>
                <w:rFonts w:ascii="Times New Roman" w:eastAsia="Calibri" w:hAnsi="Times New Roman" w:cs="Times New Roman"/>
                <w:sz w:val="18"/>
                <w:szCs w:val="18"/>
              </w:rPr>
              <w:t xml:space="preserve"> </w:t>
            </w:r>
            <w:r w:rsidRPr="006566CD">
              <w:rPr>
                <w:rFonts w:ascii="Times New Roman" w:eastAsia="Calibri" w:hAnsi="Times New Roman" w:cs="Times New Roman"/>
                <w:sz w:val="18"/>
                <w:szCs w:val="18"/>
              </w:rPr>
              <w:t>kërkesat e kujdesit dhe raportimit.</w:t>
            </w:r>
          </w:p>
          <w:p w14:paraId="187B3583" w14:textId="77777777" w:rsidR="006566CD" w:rsidRPr="006566CD" w:rsidRDefault="006566CD" w:rsidP="006566CD">
            <w:pPr>
              <w:rPr>
                <w:rFonts w:ascii="Times New Roman" w:eastAsia="Calibri" w:hAnsi="Times New Roman" w:cs="Times New Roman"/>
                <w:sz w:val="18"/>
                <w:szCs w:val="18"/>
              </w:rPr>
            </w:pPr>
          </w:p>
          <w:p w14:paraId="7AE97D25" w14:textId="048F91B3" w:rsidR="00E12826" w:rsidRPr="00080E02" w:rsidRDefault="00AE469F" w:rsidP="005D2C74">
            <w:pPr>
              <w:rPr>
                <w:rFonts w:ascii="Times New Roman" w:eastAsia="Calibri" w:hAnsi="Times New Roman" w:cs="Times New Roman"/>
                <w:sz w:val="18"/>
                <w:szCs w:val="18"/>
              </w:rPr>
            </w:pPr>
            <w:r w:rsidRPr="00AE469F">
              <w:rPr>
                <w:rFonts w:ascii="Times New Roman" w:eastAsia="Calibri" w:hAnsi="Times New Roman" w:cs="Times New Roman"/>
                <w:sz w:val="18"/>
                <w:szCs w:val="18"/>
              </w:rPr>
              <w:t>Këto procedura mund të përcaktohen përmes akteve nënligjore.</w:t>
            </w:r>
          </w:p>
        </w:tc>
      </w:tr>
      <w:tr w:rsidR="006566CD" w:rsidRPr="00036F88" w14:paraId="575EF129" w14:textId="77777777" w:rsidTr="007C321D">
        <w:trPr>
          <w:trHeight w:val="2204"/>
        </w:trPr>
        <w:tc>
          <w:tcPr>
            <w:tcW w:w="630" w:type="dxa"/>
          </w:tcPr>
          <w:p w14:paraId="3415519D"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385702DA"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D. Procedurat administrative për të ndjekur një Operator Platforme Raportuese kur raportohet informacion i paplotë ose i pasaktë</w:t>
            </w:r>
          </w:p>
          <w:p w14:paraId="7D153ECE" w14:textId="77777777" w:rsidR="006566CD" w:rsidRPr="001725D0" w:rsidRDefault="006566CD" w:rsidP="006566CD">
            <w:pPr>
              <w:jc w:val="both"/>
              <w:rPr>
                <w:rFonts w:ascii="Times New Roman" w:eastAsia="Calibri" w:hAnsi="Times New Roman" w:cs="Times New Roman"/>
                <w:iCs/>
                <w:sz w:val="18"/>
                <w:szCs w:val="18"/>
                <w:lang w:val="en-US"/>
              </w:rPr>
            </w:pPr>
          </w:p>
          <w:p w14:paraId="30E8CCD4" w14:textId="33176E55"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Shtetet Anëtare duhet të përcaktojnë procedurat për ndjekjen e veprimeve me Operatorët e Platformës Raportuese kur informacioni i raportuar është i paplotë ose i pasaktë.</w:t>
            </w:r>
          </w:p>
        </w:tc>
        <w:tc>
          <w:tcPr>
            <w:tcW w:w="540" w:type="dxa"/>
          </w:tcPr>
          <w:p w14:paraId="6E069DDB" w14:textId="77777777" w:rsidR="006566CD" w:rsidRPr="00036F88" w:rsidRDefault="006566CD" w:rsidP="003C045B">
            <w:pPr>
              <w:jc w:val="center"/>
              <w:rPr>
                <w:rFonts w:ascii="Times New Roman" w:eastAsia="Calibri" w:hAnsi="Times New Roman" w:cs="Times New Roman"/>
                <w:sz w:val="18"/>
                <w:szCs w:val="18"/>
                <w:highlight w:val="cyan"/>
              </w:rPr>
            </w:pPr>
          </w:p>
        </w:tc>
        <w:tc>
          <w:tcPr>
            <w:tcW w:w="554" w:type="dxa"/>
          </w:tcPr>
          <w:p w14:paraId="0EE2C748" w14:textId="5EC5D507" w:rsidR="006566CD" w:rsidRPr="001725D0" w:rsidRDefault="00060D2B"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2D03DE36" w14:textId="272D1708" w:rsidR="006566CD" w:rsidRDefault="006566CD" w:rsidP="006566CD">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08709B48" w14:textId="20FC13DD" w:rsidR="006566CD" w:rsidRPr="00C7263F" w:rsidRDefault="00060D2B" w:rsidP="003C045B">
            <w:pPr>
              <w:jc w:val="center"/>
              <w:rPr>
                <w:rFonts w:ascii="Times New Roman" w:eastAsia="Calibri" w:hAnsi="Times New Roman" w:cs="Times New Roman"/>
                <w:sz w:val="18"/>
                <w:szCs w:val="18"/>
              </w:rPr>
            </w:pPr>
            <w:r>
              <w:rPr>
                <w:rFonts w:ascii="Times New Roman" w:hAnsi="Times New Roman" w:cs="Times New Roman"/>
                <w:sz w:val="18"/>
                <w:szCs w:val="18"/>
              </w:rPr>
              <w:t>N/A</w:t>
            </w:r>
          </w:p>
        </w:tc>
        <w:tc>
          <w:tcPr>
            <w:tcW w:w="3406" w:type="dxa"/>
          </w:tcPr>
          <w:p w14:paraId="4961F26A" w14:textId="77777777" w:rsidR="00AE469F" w:rsidRDefault="00AE469F" w:rsidP="006566CD">
            <w:pPr>
              <w:rPr>
                <w:rFonts w:ascii="Times New Roman" w:eastAsia="Calibri" w:hAnsi="Times New Roman" w:cs="Times New Roman"/>
                <w:sz w:val="18"/>
                <w:szCs w:val="18"/>
              </w:rPr>
            </w:pPr>
            <w:r w:rsidRPr="00AE469F">
              <w:rPr>
                <w:rFonts w:ascii="Times New Roman" w:eastAsia="Calibri" w:hAnsi="Times New Roman" w:cs="Times New Roman"/>
                <w:sz w:val="18"/>
                <w:szCs w:val="18"/>
              </w:rPr>
              <w:t>Projektligji parashikon detyrimin e operatorëve të platformës për të zbatuar procedurat e kujdesit të duhur. Megjithatë, projektligji nuk përcakton procedura të posaçme administrative për ndjekjen ose mbikëqyrjen e përputhshmërisë së operatorëve të platformës.</w:t>
            </w:r>
          </w:p>
          <w:p w14:paraId="3567E5F8" w14:textId="77777777" w:rsidR="00AE469F" w:rsidRDefault="00AE469F" w:rsidP="006566CD">
            <w:pPr>
              <w:rPr>
                <w:rFonts w:ascii="Times New Roman" w:eastAsia="Calibri" w:hAnsi="Times New Roman" w:cs="Times New Roman"/>
                <w:sz w:val="18"/>
                <w:szCs w:val="18"/>
              </w:rPr>
            </w:pPr>
          </w:p>
          <w:p w14:paraId="6301CE94" w14:textId="452BCBD7" w:rsidR="006566CD" w:rsidRPr="006566CD" w:rsidRDefault="00AE469F" w:rsidP="006566CD">
            <w:pPr>
              <w:rPr>
                <w:rFonts w:ascii="Times New Roman" w:eastAsia="Calibri" w:hAnsi="Times New Roman" w:cs="Times New Roman"/>
                <w:sz w:val="18"/>
                <w:szCs w:val="18"/>
              </w:rPr>
            </w:pPr>
            <w:r w:rsidRPr="00AE469F">
              <w:rPr>
                <w:rFonts w:ascii="Times New Roman" w:eastAsia="Calibri" w:hAnsi="Times New Roman" w:cs="Times New Roman"/>
                <w:sz w:val="18"/>
                <w:szCs w:val="18"/>
              </w:rPr>
              <w:t xml:space="preserve"> Këto procedura mund të përcaktohen përmes akteve nënligjore.</w:t>
            </w:r>
          </w:p>
        </w:tc>
      </w:tr>
      <w:tr w:rsidR="006566CD" w:rsidRPr="00036F88" w14:paraId="047B55CA" w14:textId="77777777" w:rsidTr="007C321D">
        <w:trPr>
          <w:trHeight w:val="2204"/>
        </w:trPr>
        <w:tc>
          <w:tcPr>
            <w:tcW w:w="630" w:type="dxa"/>
          </w:tcPr>
          <w:p w14:paraId="3B27C15F"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2AF4EA37"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E. Procedura administrative për zgjedhjen e një Shteti Anëtar të vetëm në të cilin do të raportohet</w:t>
            </w:r>
          </w:p>
          <w:p w14:paraId="10CA0DD6" w14:textId="77777777" w:rsidR="006566CD" w:rsidRPr="001725D0" w:rsidRDefault="006566CD" w:rsidP="006566CD">
            <w:pPr>
              <w:jc w:val="both"/>
              <w:rPr>
                <w:rFonts w:ascii="Times New Roman" w:eastAsia="Calibri" w:hAnsi="Times New Roman" w:cs="Times New Roman"/>
                <w:iCs/>
                <w:sz w:val="18"/>
                <w:szCs w:val="18"/>
                <w:lang w:val="en-US"/>
              </w:rPr>
            </w:pPr>
          </w:p>
          <w:p w14:paraId="7F323C44" w14:textId="328173A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Nëse një Operator Platforme Raportuese sipas kuptimit të pikës (a) të nënparagrafit A(4) të Seksionit I përmbush ndonjë nga kushtet e listuara aty në më shumë se një Shtet Anëtar, ai zgjedh një nga ato Shtete Anëtare, për të përmbushur kërkesat e tij të raportimit sipas Seksionit III. Operatori i Platformës Raportuese njofton të gjitha autoritetet kompetente të atyre Shteteve Anëtare për zgjedhjen e tij.</w:t>
            </w:r>
          </w:p>
        </w:tc>
        <w:tc>
          <w:tcPr>
            <w:tcW w:w="540" w:type="dxa"/>
          </w:tcPr>
          <w:p w14:paraId="453EE5FA" w14:textId="77777777" w:rsidR="006566CD" w:rsidRPr="00036F88" w:rsidRDefault="006566CD" w:rsidP="003C045B">
            <w:pPr>
              <w:jc w:val="center"/>
              <w:rPr>
                <w:rFonts w:ascii="Times New Roman" w:eastAsia="Calibri" w:hAnsi="Times New Roman" w:cs="Times New Roman"/>
                <w:sz w:val="18"/>
                <w:szCs w:val="18"/>
                <w:highlight w:val="cyan"/>
              </w:rPr>
            </w:pPr>
          </w:p>
        </w:tc>
        <w:tc>
          <w:tcPr>
            <w:tcW w:w="554" w:type="dxa"/>
          </w:tcPr>
          <w:p w14:paraId="0D997561" w14:textId="77777777" w:rsidR="00060D2B" w:rsidRDefault="00060D2B" w:rsidP="003C045B">
            <w:pPr>
              <w:jc w:val="center"/>
              <w:rPr>
                <w:rFonts w:ascii="Times New Roman" w:eastAsia="Calibri" w:hAnsi="Times New Roman" w:cs="Times New Roman"/>
                <w:sz w:val="18"/>
                <w:szCs w:val="18"/>
                <w:lang w:val="en-US"/>
              </w:rPr>
            </w:pPr>
          </w:p>
          <w:p w14:paraId="1909899B" w14:textId="70126AD6" w:rsidR="006566CD" w:rsidRPr="001725D0" w:rsidRDefault="00060D2B" w:rsidP="003C045B">
            <w:pPr>
              <w:jc w:val="center"/>
              <w:rPr>
                <w:rFonts w:ascii="Times New Roman" w:eastAsia="Calibri" w:hAnsi="Times New Roman" w:cs="Times New Roman"/>
                <w:sz w:val="18"/>
                <w:szCs w:val="18"/>
                <w:highlight w:val="cyan"/>
                <w:lang w:val="en-US"/>
              </w:rPr>
            </w:pPr>
            <w:r w:rsidRPr="006E4603">
              <w:rPr>
                <w:rFonts w:ascii="Times New Roman" w:eastAsia="Calibri" w:hAnsi="Times New Roman" w:cs="Times New Roman"/>
                <w:sz w:val="18"/>
                <w:szCs w:val="18"/>
              </w:rPr>
              <w:t>N/A</w:t>
            </w:r>
          </w:p>
        </w:tc>
        <w:tc>
          <w:tcPr>
            <w:tcW w:w="5040" w:type="dxa"/>
          </w:tcPr>
          <w:p w14:paraId="1DF0B45C" w14:textId="12D53528" w:rsidR="006566CD" w:rsidRDefault="006566CD" w:rsidP="00AE469F">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tcPr>
          <w:p w14:paraId="3643F7FA" w14:textId="6151D995" w:rsidR="006566CD" w:rsidRDefault="00060D2B"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406" w:type="dxa"/>
          </w:tcPr>
          <w:p w14:paraId="25E85551" w14:textId="77777777" w:rsidR="00AE469F" w:rsidRDefault="00AE469F" w:rsidP="006566CD">
            <w:pPr>
              <w:rPr>
                <w:rFonts w:ascii="Times New Roman" w:eastAsia="Calibri" w:hAnsi="Times New Roman" w:cs="Times New Roman"/>
                <w:sz w:val="18"/>
                <w:szCs w:val="18"/>
              </w:rPr>
            </w:pPr>
            <w:r w:rsidRPr="00AE469F">
              <w:rPr>
                <w:rFonts w:ascii="Times New Roman" w:eastAsia="Calibri" w:hAnsi="Times New Roman" w:cs="Times New Roman"/>
                <w:sz w:val="18"/>
                <w:szCs w:val="18"/>
              </w:rPr>
              <w:t xml:space="preserve">Projektligji parashikon sanksione të zbatueshme ndaj operatorëve të platformës në rastet e mosrespektimit të detyrimeve të raportimit. Megjithatë, projektligji nuk parashikon shprehimisht procedura të posaçme administrative për ndjekjen e operatorëve të platformës në rastet kur informacioni i raportuar sipas DAC7 është i paplotë ose i pasaktë. </w:t>
            </w:r>
          </w:p>
          <w:p w14:paraId="590AE03E" w14:textId="77777777" w:rsidR="00AE469F" w:rsidRDefault="00AE469F" w:rsidP="006566CD">
            <w:pPr>
              <w:rPr>
                <w:rFonts w:ascii="Times New Roman" w:eastAsia="Calibri" w:hAnsi="Times New Roman" w:cs="Times New Roman"/>
                <w:sz w:val="18"/>
                <w:szCs w:val="18"/>
              </w:rPr>
            </w:pPr>
          </w:p>
          <w:p w14:paraId="688D0164" w14:textId="4538B0CF" w:rsidR="006566CD" w:rsidRPr="006566CD" w:rsidRDefault="00AE469F" w:rsidP="006566CD">
            <w:pPr>
              <w:rPr>
                <w:rFonts w:ascii="Times New Roman" w:eastAsia="Calibri" w:hAnsi="Times New Roman" w:cs="Times New Roman"/>
                <w:sz w:val="18"/>
                <w:szCs w:val="18"/>
              </w:rPr>
            </w:pPr>
            <w:r w:rsidRPr="00AE469F">
              <w:rPr>
                <w:rFonts w:ascii="Times New Roman" w:eastAsia="Calibri" w:hAnsi="Times New Roman" w:cs="Times New Roman"/>
                <w:sz w:val="18"/>
                <w:szCs w:val="18"/>
              </w:rPr>
              <w:t>Këto procedura mund të përcaktohen përmes akteve nënligjore.</w:t>
            </w:r>
          </w:p>
        </w:tc>
      </w:tr>
      <w:tr w:rsidR="006566CD" w:rsidRPr="00036F88" w14:paraId="66C69145" w14:textId="77777777" w:rsidTr="007C321D">
        <w:trPr>
          <w:trHeight w:val="2204"/>
        </w:trPr>
        <w:tc>
          <w:tcPr>
            <w:tcW w:w="630" w:type="dxa"/>
          </w:tcPr>
          <w:p w14:paraId="294BF111"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69B3A589"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F. Procedura administrative për regjistrimin e vetëm të një Operatori Platforme Raportuese</w:t>
            </w:r>
          </w:p>
          <w:p w14:paraId="2BE25D66" w14:textId="77777777" w:rsidR="006566CD" w:rsidRPr="001725D0" w:rsidRDefault="006566CD" w:rsidP="006566CD">
            <w:pPr>
              <w:jc w:val="both"/>
              <w:rPr>
                <w:rFonts w:ascii="Times New Roman" w:eastAsia="Calibri" w:hAnsi="Times New Roman" w:cs="Times New Roman"/>
                <w:iCs/>
                <w:sz w:val="18"/>
                <w:szCs w:val="18"/>
                <w:lang w:val="en-US"/>
              </w:rPr>
            </w:pPr>
          </w:p>
          <w:p w14:paraId="2625E9B9"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Një Operator Platforme Raportuese sipas kuptimit të pikës (b) të nënparagrafit A(4) të Seksionit I të këtij Aneksi duhet të regjistrohet pranë autoritetit kompetent të çdo Shteti Anëtar në përputhje me Nenin 8ac(4) kur fillon aktivitetin e tij si Operator Platforme.</w:t>
            </w:r>
          </w:p>
          <w:p w14:paraId="1784259E" w14:textId="77777777" w:rsidR="006566CD" w:rsidRPr="001725D0" w:rsidRDefault="006566CD" w:rsidP="006566CD">
            <w:pPr>
              <w:jc w:val="both"/>
              <w:rPr>
                <w:rFonts w:ascii="Times New Roman" w:eastAsia="Calibri" w:hAnsi="Times New Roman" w:cs="Times New Roman"/>
                <w:iCs/>
                <w:sz w:val="18"/>
                <w:szCs w:val="18"/>
                <w:lang w:val="en-US"/>
              </w:rPr>
            </w:pPr>
          </w:p>
          <w:p w14:paraId="43A3D5D8"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2. Operatori i Platformës Raportuese duhet t'i komunikojë Shtetit Anëtar të regjistrimit të tij të vetëm informacionin e mëposhtëm: (a) emrin; (b) adresën postare; (c) adresat elektronike, duke përfshirë faqet e internetit; (d) çdo Numër të të Dhënave Personale të lëshuar për Operatorin e Platformës Raportuese; (e) një deklaratë me informacion në lidhje me identifikimin e atij Operatori të Platformës Raportuese për qëllime të TVSH-së brenda Bashkimit, në përputhje me Titullin XII, Kapitullin 6, Seksionet 2 dhe 3 të Direktivës së Këshillit 2006/112/KE (*); (f) Shtetet </w:t>
            </w:r>
            <w:r w:rsidRPr="001725D0">
              <w:rPr>
                <w:rFonts w:ascii="Times New Roman" w:eastAsia="Calibri" w:hAnsi="Times New Roman" w:cs="Times New Roman"/>
                <w:iCs/>
                <w:sz w:val="18"/>
                <w:szCs w:val="18"/>
                <w:lang w:val="en-US"/>
              </w:rPr>
              <w:lastRenderedPageBreak/>
              <w:t>Anëtare në të cilat Shitësit e Raportueshëm janë rezidentë sipas kuptimit të paragrafit D të Seksionit II.</w:t>
            </w:r>
          </w:p>
          <w:p w14:paraId="7F4FA930" w14:textId="77777777" w:rsidR="006566CD" w:rsidRPr="001725D0" w:rsidRDefault="006566CD" w:rsidP="006566CD">
            <w:pPr>
              <w:jc w:val="both"/>
              <w:rPr>
                <w:rFonts w:ascii="Times New Roman" w:eastAsia="Calibri" w:hAnsi="Times New Roman" w:cs="Times New Roman"/>
                <w:iCs/>
                <w:sz w:val="18"/>
                <w:szCs w:val="18"/>
                <w:lang w:val="en-US"/>
              </w:rPr>
            </w:pPr>
          </w:p>
          <w:p w14:paraId="2E1AA1F5"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Operatori i Platformës Raportuese duhet të njoftojë Shtetin Anëtar të regjistrimit të vetëm për çdo ndryshim në informacionin e dhënë sipas nënparagrafit F(2).</w:t>
            </w:r>
          </w:p>
          <w:p w14:paraId="4EC3EFDF" w14:textId="77777777" w:rsidR="006566CD" w:rsidRPr="001725D0" w:rsidRDefault="006566CD" w:rsidP="006566CD">
            <w:pPr>
              <w:jc w:val="both"/>
              <w:rPr>
                <w:rFonts w:ascii="Times New Roman" w:eastAsia="Calibri" w:hAnsi="Times New Roman" w:cs="Times New Roman"/>
                <w:iCs/>
                <w:sz w:val="18"/>
                <w:szCs w:val="18"/>
                <w:lang w:val="en-US"/>
              </w:rPr>
            </w:pPr>
          </w:p>
          <w:p w14:paraId="4DD61CDF"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4. Shteti Anëtar i regjistrimit të vetëm i cakton Operatorit të Platformës Raportuese një numër identifikimi individual dhe ia njofton atë autoriteteve kompetente të të gjitha Shteteve Anëtare me mjete elektronike.</w:t>
            </w:r>
          </w:p>
          <w:p w14:paraId="2A1E6F34" w14:textId="77777777" w:rsidR="006566CD" w:rsidRPr="001725D0" w:rsidRDefault="006566CD" w:rsidP="006566CD">
            <w:pPr>
              <w:jc w:val="both"/>
              <w:rPr>
                <w:rFonts w:ascii="Times New Roman" w:eastAsia="Calibri" w:hAnsi="Times New Roman" w:cs="Times New Roman"/>
                <w:iCs/>
                <w:sz w:val="18"/>
                <w:szCs w:val="18"/>
                <w:lang w:val="en-US"/>
              </w:rPr>
            </w:pPr>
          </w:p>
          <w:p w14:paraId="6C9CEFB6"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5. Shteti Anëtar i regjistrimit të vetëm i kërkon Komisionit të fshijë një Operator Platforme Raportues nga regjistri qendror në rastet e mëposhtme: (a) Operatori i Platformës njofton atë Shtet Anëtar se nuk kryen më asnjë aktivitet si Operator Platforme; (b) në mungesë të një njoftimi sipas pikës (a), ka arsye për të supozuar se aktiviteti i një Operatori Platforme ka pushuar; (c) Operatori i Platformës nuk i plotëson më kushtet e përcaktuara në pikën (b) të nënparagrafit A(4) të Seksionit I; (d) Shteti Anëtar e ka revokuar regjistrimin pranë autoritetit të tij kompetent sipas nënparagrafit F(7).</w:t>
            </w:r>
          </w:p>
          <w:p w14:paraId="5BA50071" w14:textId="77777777" w:rsidR="006566CD" w:rsidRPr="001725D0" w:rsidRDefault="006566CD" w:rsidP="006566CD">
            <w:pPr>
              <w:jc w:val="both"/>
              <w:rPr>
                <w:rFonts w:ascii="Times New Roman" w:eastAsia="Calibri" w:hAnsi="Times New Roman" w:cs="Times New Roman"/>
                <w:iCs/>
                <w:sz w:val="18"/>
                <w:szCs w:val="18"/>
                <w:lang w:val="en-US"/>
              </w:rPr>
            </w:pPr>
          </w:p>
          <w:p w14:paraId="640EDB78" w14:textId="77777777"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6. Çdo Shtet Anëtar duhet të njoftojë menjëherë Komisionin për çdo Operator Platforme sipas kuptimit të pikës (b) të nënparagrafit A(4) të Seksionit I që fillon aktivitetin e tij si Operator Platforme ndërsa nuk është regjistruar sipas këtij paragrafi. Kur një Operator Platforme Raportuese nuk përmbush detyrimin për t'u regjistruar ose kur regjistrimi i tij është revokuar në përputhje me nënparagrafin F(7) të këtij Seksioni, Shtetet Anëtare, pa cenuar Nenin 25a, duhet të marrin masa efektive, proporcionale dhe dekurajuese për të zbatuar pajtueshmërinë brenda juridiksionit të tyre. Zgjedhja e masave të tilla duhet të mbetet në diskrecionin e Shteteve Anëtare. Shtetet Anëtare duhet gjithashtu të përpiqen të koordinojnë veprimet e tyre që synojnë zbatimin e pajtueshmërisë, duke përfshirë parandalimin e Operatorit të Platformës Raportuese nga të qenit në gjendje të veprojë brenda Bashkimit si mjet i fundit.</w:t>
            </w:r>
          </w:p>
          <w:p w14:paraId="2906846E" w14:textId="77777777" w:rsidR="006566CD" w:rsidRPr="001725D0" w:rsidRDefault="006566CD" w:rsidP="006566CD">
            <w:pPr>
              <w:jc w:val="both"/>
              <w:rPr>
                <w:rFonts w:ascii="Times New Roman" w:eastAsia="Calibri" w:hAnsi="Times New Roman" w:cs="Times New Roman"/>
                <w:iCs/>
                <w:sz w:val="18"/>
                <w:szCs w:val="18"/>
                <w:lang w:val="en-US"/>
              </w:rPr>
            </w:pPr>
          </w:p>
          <w:p w14:paraId="616BDC4F" w14:textId="7A1330C5" w:rsidR="006566CD" w:rsidRPr="001725D0" w:rsidRDefault="006566CD" w:rsidP="006566CD">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 xml:space="preserve">7. Kur një Operator Platforme Raportuese nuk përmbush detyrimin për të raportuar në përputhje me nënparagrafin A(3) të Seksionit III të këtij </w:t>
            </w:r>
            <w:r w:rsidRPr="001725D0">
              <w:rPr>
                <w:rFonts w:ascii="Times New Roman" w:eastAsia="Calibri" w:hAnsi="Times New Roman" w:cs="Times New Roman"/>
                <w:iCs/>
                <w:sz w:val="18"/>
                <w:szCs w:val="18"/>
                <w:lang w:val="en-US"/>
              </w:rPr>
              <w:lastRenderedPageBreak/>
              <w:t>Aneksi pas dy njoftimeve për regjistrim të vetëm nga Shteti Anëtar, Shteti Anëtar, pa cenuar Nenin 25a, duhet të marrë masat e nevojshme për të revokuar regjistrimin e Operatorit të Platformës Raportuese të bërë në përputhje me Nenin 8ac(4). Regjistrimi duhet të revokohet jo më vonë se pas skadimit të 90 ditëve, por jo para skadimit të 30 ditëve pas njoftimit të dytë.</w:t>
            </w:r>
          </w:p>
        </w:tc>
        <w:tc>
          <w:tcPr>
            <w:tcW w:w="540" w:type="dxa"/>
          </w:tcPr>
          <w:p w14:paraId="01EFB951" w14:textId="77777777" w:rsidR="006566CD" w:rsidRPr="00036F88" w:rsidRDefault="006566CD" w:rsidP="003C045B">
            <w:pPr>
              <w:jc w:val="center"/>
              <w:rPr>
                <w:rFonts w:ascii="Times New Roman" w:eastAsia="Calibri" w:hAnsi="Times New Roman" w:cs="Times New Roman"/>
                <w:sz w:val="18"/>
                <w:szCs w:val="18"/>
                <w:highlight w:val="cyan"/>
              </w:rPr>
            </w:pPr>
          </w:p>
        </w:tc>
        <w:tc>
          <w:tcPr>
            <w:tcW w:w="554" w:type="dxa"/>
          </w:tcPr>
          <w:p w14:paraId="64A4FA24" w14:textId="7EB92FCE" w:rsidR="006566CD" w:rsidRPr="001725D0" w:rsidRDefault="0084600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Neni</w:t>
            </w:r>
            <w:r w:rsidR="00060D2B" w:rsidRPr="006E4603">
              <w:rPr>
                <w:rFonts w:ascii="Times New Roman" w:eastAsia="Calibri" w:hAnsi="Times New Roman" w:cs="Times New Roman"/>
                <w:sz w:val="18"/>
                <w:szCs w:val="18"/>
              </w:rPr>
              <w:t xml:space="preserve"> 15</w:t>
            </w:r>
          </w:p>
        </w:tc>
        <w:tc>
          <w:tcPr>
            <w:tcW w:w="5040" w:type="dxa"/>
          </w:tcPr>
          <w:p w14:paraId="3136ACB9" w14:textId="1F6D2FCA" w:rsidR="0084600B" w:rsidRPr="0084600B" w:rsidRDefault="0084600B" w:rsidP="0084600B">
            <w:pPr>
              <w:rPr>
                <w:rFonts w:ascii="Times New Roman" w:hAnsi="Times New Roman" w:cs="Times New Roman"/>
                <w:sz w:val="20"/>
                <w:szCs w:val="18"/>
              </w:rPr>
            </w:pPr>
          </w:p>
          <w:p w14:paraId="1E33A8D1" w14:textId="77777777" w:rsidR="0084600B" w:rsidRPr="0084600B" w:rsidRDefault="0084600B" w:rsidP="0084600B">
            <w:pPr>
              <w:spacing w:line="276" w:lineRule="auto"/>
              <w:jc w:val="center"/>
              <w:rPr>
                <w:rFonts w:ascii="Times New Roman" w:hAnsi="Times New Roman" w:cs="Times New Roman"/>
                <w:b/>
                <w:sz w:val="18"/>
                <w:szCs w:val="18"/>
              </w:rPr>
            </w:pPr>
            <w:r w:rsidRPr="0084600B">
              <w:rPr>
                <w:rFonts w:ascii="Times New Roman" w:hAnsi="Times New Roman" w:cs="Times New Roman"/>
                <w:b/>
                <w:sz w:val="18"/>
                <w:szCs w:val="18"/>
              </w:rPr>
              <w:t>Neni 15</w:t>
            </w:r>
          </w:p>
          <w:p w14:paraId="3EE009A8" w14:textId="6F90EA7E" w:rsidR="0084600B" w:rsidRDefault="0084600B" w:rsidP="0084600B">
            <w:pPr>
              <w:spacing w:line="276" w:lineRule="auto"/>
              <w:jc w:val="center"/>
              <w:rPr>
                <w:rFonts w:ascii="Times New Roman" w:hAnsi="Times New Roman" w:cs="Times New Roman"/>
                <w:b/>
                <w:sz w:val="18"/>
                <w:szCs w:val="18"/>
              </w:rPr>
            </w:pPr>
            <w:r w:rsidRPr="0084600B">
              <w:rPr>
                <w:rFonts w:ascii="Times New Roman" w:hAnsi="Times New Roman" w:cs="Times New Roman"/>
                <w:b/>
                <w:sz w:val="18"/>
                <w:szCs w:val="18"/>
              </w:rPr>
              <w:t>Regjistrimi i operatorit të platformës raportuese</w:t>
            </w:r>
          </w:p>
          <w:p w14:paraId="2580D691" w14:textId="77777777" w:rsidR="0084600B" w:rsidRPr="0084600B" w:rsidRDefault="0084600B" w:rsidP="0084600B">
            <w:pPr>
              <w:spacing w:line="276" w:lineRule="auto"/>
              <w:jc w:val="center"/>
              <w:rPr>
                <w:rFonts w:ascii="Times New Roman" w:hAnsi="Times New Roman" w:cs="Times New Roman"/>
                <w:b/>
                <w:sz w:val="18"/>
                <w:szCs w:val="18"/>
              </w:rPr>
            </w:pPr>
          </w:p>
          <w:p w14:paraId="33DF408F"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1.</w:t>
            </w:r>
            <w:r w:rsidRPr="0084600B">
              <w:rPr>
                <w:rFonts w:ascii="Times New Roman" w:hAnsi="Times New Roman" w:cs="Times New Roman"/>
                <w:sz w:val="18"/>
                <w:szCs w:val="18"/>
              </w:rPr>
              <w:tab/>
              <w:t xml:space="preserve">Operatori i platformës me detyrim raportimi është i detyruar të regjistrohet pranë autoritetit kompetent, përpara paraqitjes së raportimit të parë sipas këtij ligji, kur shitësit e raportueshëm që kryejnë aktivitete të raportueshme: </w:t>
            </w:r>
          </w:p>
          <w:p w14:paraId="16BC6F37"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a) kanë vendbanim ose rezidencë tatimore në Shqipëri; ose</w:t>
            </w:r>
          </w:p>
          <w:p w14:paraId="56034C79"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b) realizojnë të ardhura nga dhënia me qira e pasurive të paluajtshme të vendosura në Shqipëri.</w:t>
            </w:r>
          </w:p>
          <w:p w14:paraId="5799A056"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2.</w:t>
            </w:r>
            <w:r w:rsidRPr="0084600B">
              <w:rPr>
                <w:rFonts w:ascii="Times New Roman" w:hAnsi="Times New Roman" w:cs="Times New Roman"/>
                <w:sz w:val="18"/>
                <w:szCs w:val="18"/>
              </w:rPr>
              <w:tab/>
              <w:t xml:space="preserve">Operatorët e platformës raportuese regjistrohen pranë Drejtorisë së Përgjithshme të Tatimeve, duke paraqitur të paktën këto të dhëna: </w:t>
            </w:r>
          </w:p>
          <w:p w14:paraId="3BA8F00A"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lastRenderedPageBreak/>
              <w:t>– emrin dhe adresën e selisë;</w:t>
            </w:r>
          </w:p>
          <w:p w14:paraId="5B0D7F94"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 adresën elektronike të kontaktit;</w:t>
            </w:r>
          </w:p>
          <w:p w14:paraId="2FE449B4"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 numrin e identifikimit për personin e tatueshëm, kur është i aplikueshëm;</w:t>
            </w:r>
          </w:p>
          <w:p w14:paraId="63EC384F"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 të dhëna për numrin e identifikimit të TVSH-së, kur është i aplikueshëm;</w:t>
            </w:r>
          </w:p>
          <w:p w14:paraId="78391832"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 shtetin ose shtetet anëtare të rezidencës ose të regjistrimit të operatorit të platformës.</w:t>
            </w:r>
          </w:p>
          <w:p w14:paraId="41622CC7"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3.</w:t>
            </w:r>
            <w:r w:rsidRPr="0084600B">
              <w:rPr>
                <w:rFonts w:ascii="Times New Roman" w:hAnsi="Times New Roman" w:cs="Times New Roman"/>
                <w:sz w:val="18"/>
                <w:szCs w:val="18"/>
              </w:rPr>
              <w:tab/>
              <w:t xml:space="preserve">Çdo ndryshim i të dhënave të regjistrimit njoftohet pranë Drejtorisë së Përgjithshme të Tatimeve pa vonesë të pajustifikuar dhe jo më vonë se 30 ditë nga data e ndryshimit. </w:t>
            </w:r>
          </w:p>
          <w:p w14:paraId="6E5C9672"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4.</w:t>
            </w:r>
            <w:r w:rsidRPr="0084600B">
              <w:rPr>
                <w:rFonts w:ascii="Times New Roman" w:hAnsi="Times New Roman" w:cs="Times New Roman"/>
                <w:sz w:val="18"/>
                <w:szCs w:val="18"/>
              </w:rPr>
              <w:tab/>
              <w:t xml:space="preserve">Pas përfundimit të procedurës së regjistrimit, Drejtoria e Përgjithshme e Tatimeve i lëshon  operatorëve raportues të platformave jorezident në BE” që janë të detyruar të regjistrohen në Republikën e Shqipërisë një numër unik identifikimi, i cili përdoret për qëllime të raportimit dhe shkëmbimit të informacionit, dhe transmetohet në përputhje me ligjin për bashkëpunimin administrativ në fushën e tatimeve dhe shkëmbimit të informacionit tatimor. </w:t>
            </w:r>
          </w:p>
          <w:p w14:paraId="7104908B"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5. Operatorët raportues të platformave jo-BE, që nuk janë Operatorë Platforme të Kualifikuar Jo-BE, të cilët nuk klasifikohen si operatorë të përjashtuar, regjistrohen vetëm në një shtet (regjistrim i vetëm), në përputhje me rregullat përkatëse. Kur zgjedhin Republikën e Shqipërisë si shtet regjistrimi, ata regjistrohen pranë Drejtorisë së Përgjithshme të Tatimeve.</w:t>
            </w:r>
          </w:p>
          <w:p w14:paraId="572A0B85"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6. Operatorët e Platformave të Kualifikuar Jo-BE nuk i nënshtrohen detyrimit për regjistrim sipas këtij ligji, kur zbatohet një marrëveshje efektive kualifikuese ndërmjet autoriteteve kompetente.</w:t>
            </w:r>
          </w:p>
          <w:p w14:paraId="0308E43B"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 xml:space="preserve">7. Operatorët raportues të platformave që janë rezidentë në një shtet anëtar ose në Republikën e Shqipërisë përmbushin detyrimet e raportimit në shtetin e rezidencës ose në një shtet të vetëm të përzgjedhur, në rast se kanë detyrime raportimi në më shumë se një </w:t>
            </w:r>
            <w:r w:rsidRPr="0084600B">
              <w:rPr>
                <w:rFonts w:ascii="Times New Roman" w:hAnsi="Times New Roman" w:cs="Times New Roman"/>
                <w:sz w:val="18"/>
                <w:szCs w:val="18"/>
              </w:rPr>
              <w:lastRenderedPageBreak/>
              <w:t>shtet, sipas rregullave përkatëse. Procedura e njoftimit për këtë përzgjedhje përcaktohet në aktet nënligjore në zbatim të këtij ligji.</w:t>
            </w:r>
          </w:p>
          <w:p w14:paraId="07286907"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8.</w:t>
            </w:r>
            <w:r w:rsidRPr="0084600B">
              <w:rPr>
                <w:rFonts w:ascii="Times New Roman" w:hAnsi="Times New Roman" w:cs="Times New Roman"/>
                <w:sz w:val="18"/>
                <w:szCs w:val="18"/>
              </w:rPr>
              <w:tab/>
              <w:t xml:space="preserve">Drejtoria e Përgjithshme e Tatimeve mund të heqë operatorin nga regjistri në rastet e parashikuara shprehimisht nga ky ligj, përfshirë: </w:t>
            </w:r>
          </w:p>
          <w:p w14:paraId="3451F0DC"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a) ndërprerjen e aktivitetit raportues;</w:t>
            </w:r>
          </w:p>
          <w:p w14:paraId="4692050C"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b) humbjen e statusit të operatorit të platformës me detyrim raportimi;</w:t>
            </w:r>
          </w:p>
          <w:p w14:paraId="6AD885D8"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c) mosrespektimin e detyrimeve të këtij ligji, sipas procedurave të përcaktuara në aktet nënligjore në zbatim të tij.</w:t>
            </w:r>
          </w:p>
          <w:p w14:paraId="0F93A7F5"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9.</w:t>
            </w:r>
            <w:r w:rsidRPr="0084600B">
              <w:rPr>
                <w:rFonts w:ascii="Times New Roman" w:hAnsi="Times New Roman" w:cs="Times New Roman"/>
                <w:sz w:val="18"/>
                <w:szCs w:val="18"/>
              </w:rPr>
              <w:tab/>
              <w:t xml:space="preserve">Heqja nga regjistri e Operatorit raportues të platformave jo-BE, që nuk është Operatorë Platforme i Kualifikuar Jo-BE nuk e përjashton atë nga detyrimi për të përmbushur detyrimet e raportimit për periudhat gjatë të cilave ka qenë i regjistruar. </w:t>
            </w:r>
          </w:p>
          <w:p w14:paraId="2E9F187A"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10.</w:t>
            </w:r>
            <w:r w:rsidRPr="0084600B">
              <w:rPr>
                <w:rFonts w:ascii="Times New Roman" w:hAnsi="Times New Roman" w:cs="Times New Roman"/>
                <w:sz w:val="18"/>
                <w:szCs w:val="18"/>
              </w:rPr>
              <w:tab/>
              <w:t xml:space="preserve">Në rast të çregjistrimit të operatorit të platformës raportuese, Drejtoria e Përgjithshme e Tatimeve informon Komisionin Evropian dhe autoritetet kompetente të shteteve anëtare përkatëse, në përputhje me ligjin për bashkëpunimin administrativ në fushën e tatimeve dhe shkëmbimit të informacionit tatimor. </w:t>
            </w:r>
          </w:p>
          <w:p w14:paraId="287ADC2F"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11.</w:t>
            </w:r>
            <w:r w:rsidRPr="0084600B">
              <w:rPr>
                <w:rFonts w:ascii="Times New Roman" w:hAnsi="Times New Roman" w:cs="Times New Roman"/>
                <w:sz w:val="18"/>
                <w:szCs w:val="18"/>
              </w:rPr>
              <w:tab/>
              <w:t xml:space="preserve">Procedurat e paralajmërimit, masat administrative dhe pasojat e mospërmbushjes së detyrimeve të komunikimit dhe raportimit rregullohen në nenin përkatës të këtij ligji dhe në aktet nënligjore në zbatim të tij. </w:t>
            </w:r>
          </w:p>
          <w:p w14:paraId="0C5DC514"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12.</w:t>
            </w:r>
            <w:r w:rsidRPr="0084600B">
              <w:rPr>
                <w:rFonts w:ascii="Times New Roman" w:hAnsi="Times New Roman" w:cs="Times New Roman"/>
                <w:sz w:val="18"/>
                <w:szCs w:val="18"/>
              </w:rPr>
              <w:tab/>
              <w:t xml:space="preserve">Operatorët e platformës raportuese mund të kërkojnë regjistrim të ri pranë Drejtorisë së Përgjithshme të Tatimeve, në përputhje me kushtet dhe procedurat e përcaktuara në aktet nënligjore, pasi të kenë përmbushur detyrimet e papërmbushura më parë. </w:t>
            </w:r>
          </w:p>
          <w:p w14:paraId="045E471E" w14:textId="77777777" w:rsidR="0084600B" w:rsidRPr="0084600B"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t>13.</w:t>
            </w:r>
            <w:r w:rsidRPr="0084600B">
              <w:rPr>
                <w:rFonts w:ascii="Times New Roman" w:hAnsi="Times New Roman" w:cs="Times New Roman"/>
                <w:sz w:val="18"/>
                <w:szCs w:val="18"/>
              </w:rPr>
              <w:tab/>
              <w:t xml:space="preserve">Drejtoria e Përgjithshme e Tatimeve merr informacion mbi masat e pezullimit ose çregjistrimit të operatorëve të platformave nga autoritetet kompetente të shteteve të tjera anëtare përmes mekanizmave të shkëmbimit të informacionit të parashikuar nga  ligji për bashkëpunimin administrativ në fushën e tatimeve dhe shkëmbimit të informacionit tatimor. </w:t>
            </w:r>
          </w:p>
          <w:p w14:paraId="281D2D3F" w14:textId="2FDAFBE0" w:rsidR="006566CD" w:rsidRDefault="0084600B" w:rsidP="0084600B">
            <w:pPr>
              <w:spacing w:line="276" w:lineRule="auto"/>
              <w:jc w:val="both"/>
              <w:rPr>
                <w:rFonts w:ascii="Times New Roman" w:hAnsi="Times New Roman" w:cs="Times New Roman"/>
                <w:sz w:val="18"/>
                <w:szCs w:val="18"/>
              </w:rPr>
            </w:pPr>
            <w:r w:rsidRPr="0084600B">
              <w:rPr>
                <w:rFonts w:ascii="Times New Roman" w:hAnsi="Times New Roman" w:cs="Times New Roman"/>
                <w:sz w:val="18"/>
                <w:szCs w:val="18"/>
              </w:rPr>
              <w:lastRenderedPageBreak/>
              <w:t>14.</w:t>
            </w:r>
            <w:r w:rsidRPr="0084600B">
              <w:rPr>
                <w:rFonts w:ascii="Times New Roman" w:hAnsi="Times New Roman" w:cs="Times New Roman"/>
                <w:sz w:val="18"/>
                <w:szCs w:val="18"/>
              </w:rPr>
              <w:tab/>
              <w:t>Drejtoria e Përgjithshme e Tatimeve regjistron operatorët e platformës me detyrim raportimi në regjistrin kombëtar dhe transmeton të dhënat përkatëse në regjistrin qendror të Komisionit Evropian për operatorët e platformës, në përputhje me ligjin për bashkëpunimin administrativ në fushën e tatimeve dhe shkëmbimit të informacionit tatimor.</w:t>
            </w:r>
          </w:p>
        </w:tc>
        <w:tc>
          <w:tcPr>
            <w:tcW w:w="720" w:type="dxa"/>
          </w:tcPr>
          <w:p w14:paraId="025D7F2A" w14:textId="5C2DDDD9" w:rsidR="006566CD"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406" w:type="dxa"/>
          </w:tcPr>
          <w:p w14:paraId="57E4275A" w14:textId="77777777" w:rsidR="006566CD" w:rsidRPr="006566CD" w:rsidRDefault="006566CD" w:rsidP="006566CD">
            <w:pPr>
              <w:rPr>
                <w:rFonts w:ascii="Times New Roman" w:eastAsia="Calibri" w:hAnsi="Times New Roman" w:cs="Times New Roman"/>
                <w:sz w:val="18"/>
                <w:szCs w:val="18"/>
              </w:rPr>
            </w:pPr>
          </w:p>
        </w:tc>
      </w:tr>
      <w:tr w:rsidR="001725D0" w:rsidRPr="00036F88" w14:paraId="06830AD5" w14:textId="77777777" w:rsidTr="007C321D">
        <w:trPr>
          <w:trHeight w:val="2204"/>
        </w:trPr>
        <w:tc>
          <w:tcPr>
            <w:tcW w:w="630" w:type="dxa"/>
          </w:tcPr>
          <w:p w14:paraId="56382D25" w14:textId="77777777" w:rsidR="001725D0" w:rsidRPr="00036F88" w:rsidRDefault="001725D0" w:rsidP="001725D0">
            <w:pPr>
              <w:jc w:val="both"/>
              <w:rPr>
                <w:rFonts w:ascii="Times New Roman" w:eastAsia="Calibri" w:hAnsi="Times New Roman" w:cs="Times New Roman"/>
                <w:sz w:val="18"/>
                <w:szCs w:val="18"/>
              </w:rPr>
            </w:pPr>
          </w:p>
        </w:tc>
        <w:tc>
          <w:tcPr>
            <w:tcW w:w="5400" w:type="dxa"/>
          </w:tcPr>
          <w:p w14:paraId="786ACF01" w14:textId="77777777" w:rsidR="001725D0" w:rsidRPr="001725D0" w:rsidRDefault="001725D0" w:rsidP="001725D0">
            <w:pPr>
              <w:jc w:val="both"/>
              <w:rPr>
                <w:rFonts w:ascii="Times New Roman" w:eastAsia="Calibri" w:hAnsi="Times New Roman" w:cs="Times New Roman"/>
                <w:b/>
                <w:iCs/>
                <w:sz w:val="18"/>
                <w:szCs w:val="18"/>
                <w:lang w:val="en-US"/>
              </w:rPr>
            </w:pPr>
            <w:r w:rsidRPr="001725D0">
              <w:rPr>
                <w:rFonts w:ascii="Times New Roman" w:eastAsia="Calibri" w:hAnsi="Times New Roman" w:cs="Times New Roman"/>
                <w:b/>
                <w:iCs/>
                <w:sz w:val="18"/>
                <w:szCs w:val="18"/>
                <w:lang w:val="en-US"/>
              </w:rPr>
              <w:t>Neni 2 (Direktiva 2021/514/BE)</w:t>
            </w:r>
          </w:p>
          <w:p w14:paraId="34944855" w14:textId="77777777" w:rsidR="001725D0" w:rsidRPr="001725D0" w:rsidRDefault="001725D0" w:rsidP="001725D0">
            <w:pPr>
              <w:jc w:val="both"/>
              <w:rPr>
                <w:rFonts w:ascii="Times New Roman" w:eastAsia="Calibri" w:hAnsi="Times New Roman" w:cs="Times New Roman"/>
                <w:iCs/>
                <w:sz w:val="18"/>
                <w:szCs w:val="18"/>
                <w:lang w:val="en-US"/>
              </w:rPr>
            </w:pPr>
          </w:p>
          <w:p w14:paraId="37A7BF2B"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1. Shtetet Anëtare miratojnë dhe publikojnë, deri më 31 dhjetor 2022, ligjet, rregulloret dhe dispozitat administrative të nevojshme për të përmbushur këtë Direktivë. Ato informojnë menjëherë Komisionin për këtë.</w:t>
            </w:r>
          </w:p>
          <w:p w14:paraId="395DA9BE" w14:textId="77777777" w:rsidR="001725D0" w:rsidRPr="001725D0" w:rsidRDefault="001725D0" w:rsidP="001725D0">
            <w:pPr>
              <w:jc w:val="both"/>
              <w:rPr>
                <w:rFonts w:ascii="Times New Roman" w:eastAsia="Calibri" w:hAnsi="Times New Roman" w:cs="Times New Roman"/>
                <w:iCs/>
                <w:sz w:val="18"/>
                <w:szCs w:val="18"/>
                <w:lang w:val="en-US"/>
              </w:rPr>
            </w:pPr>
          </w:p>
          <w:p w14:paraId="59459EAF"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Ato do t'i zbatojnë këto dispozita nga 1 janari 2023.</w:t>
            </w:r>
          </w:p>
          <w:p w14:paraId="5EE59669" w14:textId="77777777" w:rsidR="001725D0" w:rsidRPr="001725D0" w:rsidRDefault="001725D0" w:rsidP="001725D0">
            <w:pPr>
              <w:jc w:val="both"/>
              <w:rPr>
                <w:rFonts w:ascii="Times New Roman" w:eastAsia="Calibri" w:hAnsi="Times New Roman" w:cs="Times New Roman"/>
                <w:iCs/>
                <w:sz w:val="18"/>
                <w:szCs w:val="18"/>
                <w:lang w:val="en-US"/>
              </w:rPr>
            </w:pPr>
          </w:p>
          <w:p w14:paraId="28C81722"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Kur Shtetet Anëtare miratojnë këto dispozita, ato duhet të përmbajnë një referencë për këtë Direktivë ose duhet të shoqërohen nga një referencë e tillë në rastin e botimit të tyre zyrtar. Metodat e bërjes së një reference të tillë përcaktohen nga Shtetet Anëtare.</w:t>
            </w:r>
          </w:p>
          <w:p w14:paraId="1F2C36CA" w14:textId="77777777" w:rsidR="001725D0" w:rsidRPr="001725D0" w:rsidRDefault="001725D0" w:rsidP="001725D0">
            <w:pPr>
              <w:jc w:val="both"/>
              <w:rPr>
                <w:rFonts w:ascii="Times New Roman" w:eastAsia="Calibri" w:hAnsi="Times New Roman" w:cs="Times New Roman"/>
                <w:iCs/>
                <w:sz w:val="18"/>
                <w:szCs w:val="18"/>
                <w:lang w:val="en-US"/>
              </w:rPr>
            </w:pPr>
          </w:p>
          <w:p w14:paraId="7E3EA923"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2. Duke anashkaluar paragrafin 1 të këtij neni, Shtetet Anëtare miratojnë dhe publikojnë, deri më 31 dhjetor 2023, ligjet, rregulloret dhe dispozitat administrative të nevojshme për të përmbushur pikën (1)(d) të nenit 1 të kësaj direktive në lidhje me pikën (26) të nenit 3 të Direktivës 2011/16/BE dhe me pikën (12) të nenit 1 të kësaj direktive në lidhje me Seksionin IIa të Direktivës 2011/16/BE. Ato duhet të informojnë menjëherë Komisionin për këtë.</w:t>
            </w:r>
          </w:p>
          <w:p w14:paraId="44EBA80A" w14:textId="77777777" w:rsidR="001725D0" w:rsidRPr="001725D0" w:rsidRDefault="001725D0" w:rsidP="001725D0">
            <w:pPr>
              <w:jc w:val="both"/>
              <w:rPr>
                <w:rFonts w:ascii="Times New Roman" w:eastAsia="Calibri" w:hAnsi="Times New Roman" w:cs="Times New Roman"/>
                <w:iCs/>
                <w:sz w:val="18"/>
                <w:szCs w:val="18"/>
                <w:lang w:val="en-US"/>
              </w:rPr>
            </w:pPr>
          </w:p>
          <w:p w14:paraId="1F9A5915"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Ato do t'i zbatojnë këto dispozita nga 1 janari 2024, më së voni.</w:t>
            </w:r>
          </w:p>
          <w:p w14:paraId="7F583F1C" w14:textId="77777777" w:rsidR="001725D0" w:rsidRPr="001725D0" w:rsidRDefault="001725D0" w:rsidP="001725D0">
            <w:pPr>
              <w:jc w:val="both"/>
              <w:rPr>
                <w:rFonts w:ascii="Times New Roman" w:eastAsia="Calibri" w:hAnsi="Times New Roman" w:cs="Times New Roman"/>
                <w:iCs/>
                <w:sz w:val="18"/>
                <w:szCs w:val="18"/>
                <w:lang w:val="en-US"/>
              </w:rPr>
            </w:pPr>
          </w:p>
          <w:p w14:paraId="777A161F" w14:textId="77777777"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Kur Shtetet Anëtare miratojnë këto dispozita, ato duhet të përmbajnë një referencë për këtë Direktivë ose duhet të shoqërohen nga një referencë e tillë në rastin e botimit të tyre zyrtar. Metodat e bërjes së një reference të tillë përcaktohen nga Shtetet Anëtare.</w:t>
            </w:r>
          </w:p>
          <w:p w14:paraId="21AF9455" w14:textId="77777777" w:rsidR="001725D0" w:rsidRPr="001725D0" w:rsidRDefault="001725D0" w:rsidP="001725D0">
            <w:pPr>
              <w:jc w:val="both"/>
              <w:rPr>
                <w:rFonts w:ascii="Times New Roman" w:eastAsia="Calibri" w:hAnsi="Times New Roman" w:cs="Times New Roman"/>
                <w:iCs/>
                <w:sz w:val="18"/>
                <w:szCs w:val="18"/>
                <w:lang w:val="en-US"/>
              </w:rPr>
            </w:pPr>
          </w:p>
          <w:p w14:paraId="4428CC84" w14:textId="67DA3819" w:rsidR="001725D0" w:rsidRPr="001725D0" w:rsidRDefault="001725D0" w:rsidP="001725D0">
            <w:pPr>
              <w:jc w:val="both"/>
              <w:rPr>
                <w:rFonts w:ascii="Times New Roman" w:eastAsia="Calibri" w:hAnsi="Times New Roman" w:cs="Times New Roman"/>
                <w:iCs/>
                <w:sz w:val="18"/>
                <w:szCs w:val="18"/>
                <w:lang w:val="en-US"/>
              </w:rPr>
            </w:pPr>
            <w:r w:rsidRPr="001725D0">
              <w:rPr>
                <w:rFonts w:ascii="Times New Roman" w:eastAsia="Calibri" w:hAnsi="Times New Roman" w:cs="Times New Roman"/>
                <w:iCs/>
                <w:sz w:val="18"/>
                <w:szCs w:val="18"/>
                <w:lang w:val="en-US"/>
              </w:rPr>
              <w:t>3. Shtetet Anëtare i komunikojnë Komisionit tekstin e dispozitave kryesore të ligjit kombëtar që miratojnë në fushën e mbuluar nga kjo Direktivë.</w:t>
            </w:r>
          </w:p>
        </w:tc>
        <w:tc>
          <w:tcPr>
            <w:tcW w:w="540" w:type="dxa"/>
          </w:tcPr>
          <w:p w14:paraId="6C3AC941" w14:textId="77777777" w:rsidR="001725D0" w:rsidRPr="00036F88" w:rsidRDefault="001725D0" w:rsidP="001725D0">
            <w:pPr>
              <w:jc w:val="center"/>
              <w:rPr>
                <w:rFonts w:ascii="Times New Roman" w:eastAsia="Calibri" w:hAnsi="Times New Roman" w:cs="Times New Roman"/>
                <w:sz w:val="18"/>
                <w:szCs w:val="18"/>
                <w:highlight w:val="cyan"/>
              </w:rPr>
            </w:pPr>
          </w:p>
        </w:tc>
        <w:tc>
          <w:tcPr>
            <w:tcW w:w="554" w:type="dxa"/>
          </w:tcPr>
          <w:p w14:paraId="787F9301" w14:textId="77777777" w:rsidR="001725D0" w:rsidRDefault="001725D0" w:rsidP="001725D0">
            <w:pPr>
              <w:jc w:val="center"/>
              <w:rPr>
                <w:rFonts w:ascii="Times New Roman" w:eastAsia="Calibri" w:hAnsi="Times New Roman" w:cs="Times New Roman"/>
                <w:sz w:val="18"/>
                <w:szCs w:val="18"/>
                <w:highlight w:val="cyan"/>
                <w:lang w:val="en-US"/>
              </w:rPr>
            </w:pPr>
          </w:p>
          <w:p w14:paraId="59533B76" w14:textId="77777777" w:rsidR="00060D2B" w:rsidRDefault="00060D2B" w:rsidP="001725D0">
            <w:pPr>
              <w:jc w:val="center"/>
              <w:rPr>
                <w:rFonts w:ascii="Times New Roman" w:eastAsia="Calibri" w:hAnsi="Times New Roman" w:cs="Times New Roman"/>
                <w:sz w:val="18"/>
                <w:szCs w:val="18"/>
                <w:highlight w:val="cyan"/>
                <w:lang w:val="en-US"/>
              </w:rPr>
            </w:pPr>
          </w:p>
          <w:p w14:paraId="2647B2A2" w14:textId="31A20BF3" w:rsidR="00060D2B" w:rsidRPr="001725D0" w:rsidRDefault="0084600B" w:rsidP="001725D0">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Neni </w:t>
            </w:r>
            <w:r w:rsidR="00060D2B" w:rsidRPr="006E4603">
              <w:rPr>
                <w:rFonts w:ascii="Times New Roman" w:eastAsia="Calibri" w:hAnsi="Times New Roman" w:cs="Times New Roman"/>
                <w:sz w:val="18"/>
                <w:szCs w:val="18"/>
              </w:rPr>
              <w:t xml:space="preserve"> 18</w:t>
            </w:r>
            <w:r>
              <w:rPr>
                <w:rFonts w:ascii="Times New Roman" w:eastAsia="Calibri" w:hAnsi="Times New Roman" w:cs="Times New Roman"/>
                <w:sz w:val="18"/>
                <w:szCs w:val="18"/>
              </w:rPr>
              <w:t xml:space="preserve"> dhe neni 19</w:t>
            </w:r>
            <w:r w:rsidR="00060D2B" w:rsidRPr="006E4603">
              <w:rPr>
                <w:rFonts w:ascii="Times New Roman" w:eastAsia="Calibri" w:hAnsi="Times New Roman" w:cs="Times New Roman"/>
                <w:sz w:val="18"/>
                <w:szCs w:val="18"/>
              </w:rPr>
              <w:t xml:space="preserve"> </w:t>
            </w:r>
          </w:p>
        </w:tc>
        <w:tc>
          <w:tcPr>
            <w:tcW w:w="5040" w:type="dxa"/>
          </w:tcPr>
          <w:p w14:paraId="5BC13DB9" w14:textId="19D9E49D" w:rsidR="001725D0" w:rsidRPr="00406AD8" w:rsidRDefault="001725D0" w:rsidP="0084600B">
            <w:pPr>
              <w:spacing w:before="100" w:beforeAutospacing="1" w:after="100" w:afterAutospacing="1"/>
              <w:rPr>
                <w:rFonts w:ascii="Times New Roman" w:eastAsia="Times New Roman" w:hAnsi="Times New Roman" w:cs="Times New Roman"/>
                <w:sz w:val="18"/>
                <w:szCs w:val="18"/>
              </w:rPr>
            </w:pPr>
          </w:p>
          <w:p w14:paraId="61358C83" w14:textId="77777777" w:rsidR="0084600B" w:rsidRPr="0084600B" w:rsidRDefault="0084600B" w:rsidP="0084600B">
            <w:pPr>
              <w:spacing w:line="276" w:lineRule="auto"/>
              <w:jc w:val="center"/>
              <w:rPr>
                <w:rFonts w:ascii="Times New Roman" w:eastAsia="Times New Roman" w:hAnsi="Times New Roman" w:cs="Times New Roman"/>
                <w:b/>
                <w:sz w:val="18"/>
                <w:szCs w:val="18"/>
              </w:rPr>
            </w:pPr>
            <w:r w:rsidRPr="0084600B">
              <w:rPr>
                <w:rFonts w:ascii="Times New Roman" w:eastAsia="Times New Roman" w:hAnsi="Times New Roman" w:cs="Times New Roman"/>
                <w:b/>
                <w:sz w:val="18"/>
                <w:szCs w:val="18"/>
              </w:rPr>
              <w:t>Neni 18</w:t>
            </w:r>
          </w:p>
          <w:p w14:paraId="5E5C78FF" w14:textId="77777777" w:rsidR="0084600B" w:rsidRPr="0084600B" w:rsidRDefault="0084600B" w:rsidP="0084600B">
            <w:pPr>
              <w:spacing w:line="276" w:lineRule="auto"/>
              <w:jc w:val="center"/>
              <w:rPr>
                <w:rFonts w:ascii="Times New Roman" w:eastAsia="Times New Roman" w:hAnsi="Times New Roman" w:cs="Times New Roman"/>
                <w:b/>
                <w:sz w:val="18"/>
                <w:szCs w:val="18"/>
              </w:rPr>
            </w:pPr>
            <w:r w:rsidRPr="0084600B">
              <w:rPr>
                <w:rFonts w:ascii="Times New Roman" w:eastAsia="Times New Roman" w:hAnsi="Times New Roman" w:cs="Times New Roman"/>
                <w:b/>
                <w:sz w:val="18"/>
                <w:szCs w:val="18"/>
              </w:rPr>
              <w:t>Aktet nënligjore dhe rregullat e zbatimit</w:t>
            </w:r>
          </w:p>
          <w:p w14:paraId="1C9AAEB3" w14:textId="77777777" w:rsidR="0084600B" w:rsidRPr="0084600B" w:rsidRDefault="0084600B" w:rsidP="0084600B">
            <w:pPr>
              <w:spacing w:line="276" w:lineRule="auto"/>
              <w:jc w:val="both"/>
              <w:rPr>
                <w:rFonts w:ascii="Times New Roman" w:eastAsia="Times New Roman" w:hAnsi="Times New Roman" w:cs="Times New Roman"/>
                <w:sz w:val="18"/>
                <w:szCs w:val="18"/>
              </w:rPr>
            </w:pPr>
          </w:p>
          <w:p w14:paraId="6111F379" w14:textId="752CB741" w:rsidR="001725D0" w:rsidRPr="00406AD8" w:rsidRDefault="0084600B" w:rsidP="0084600B">
            <w:pPr>
              <w:spacing w:line="276" w:lineRule="auto"/>
              <w:jc w:val="both"/>
              <w:rPr>
                <w:rFonts w:ascii="Times New Roman" w:eastAsia="Times New Roman" w:hAnsi="Times New Roman" w:cs="Times New Roman"/>
                <w:sz w:val="18"/>
                <w:szCs w:val="18"/>
              </w:rPr>
            </w:pPr>
            <w:r w:rsidRPr="0084600B">
              <w:rPr>
                <w:rFonts w:ascii="Times New Roman" w:eastAsia="Times New Roman" w:hAnsi="Times New Roman" w:cs="Times New Roman"/>
                <w:sz w:val="18"/>
                <w:szCs w:val="18"/>
              </w:rPr>
              <w:t>1.</w:t>
            </w:r>
            <w:r w:rsidRPr="0084600B">
              <w:rPr>
                <w:rFonts w:ascii="Times New Roman" w:eastAsia="Times New Roman" w:hAnsi="Times New Roman" w:cs="Times New Roman"/>
                <w:sz w:val="18"/>
                <w:szCs w:val="18"/>
              </w:rPr>
              <w:tab/>
              <w:t>Ngarkohet këshilli i ministrave të nxjerrë aktin nënligjor në zbatim të këtij ligji brenda 6 muajve nga hyrja e tij në fuqi.</w:t>
            </w:r>
          </w:p>
          <w:p w14:paraId="5CAC53B4" w14:textId="4E78B851" w:rsidR="001725D0" w:rsidRDefault="001725D0" w:rsidP="001725D0">
            <w:pPr>
              <w:jc w:val="center"/>
              <w:rPr>
                <w:rFonts w:ascii="Times New Roman" w:hAnsi="Times New Roman" w:cs="Times New Roman"/>
                <w:sz w:val="18"/>
                <w:szCs w:val="18"/>
              </w:rPr>
            </w:pPr>
          </w:p>
          <w:p w14:paraId="0843D8CA" w14:textId="77777777" w:rsidR="0084600B" w:rsidRPr="0084600B" w:rsidRDefault="0084600B" w:rsidP="001725D0">
            <w:pPr>
              <w:jc w:val="center"/>
              <w:rPr>
                <w:rFonts w:ascii="Times New Roman" w:hAnsi="Times New Roman" w:cs="Times New Roman"/>
                <w:b/>
                <w:sz w:val="18"/>
                <w:szCs w:val="18"/>
              </w:rPr>
            </w:pPr>
          </w:p>
          <w:p w14:paraId="2881ACF3" w14:textId="77777777" w:rsidR="001E2CF7" w:rsidRPr="001E2CF7" w:rsidRDefault="001E2CF7" w:rsidP="001E2CF7">
            <w:pPr>
              <w:spacing w:line="276" w:lineRule="auto"/>
              <w:jc w:val="center"/>
              <w:rPr>
                <w:rFonts w:ascii="Times New Roman" w:hAnsi="Times New Roman" w:cs="Times New Roman"/>
                <w:b/>
                <w:sz w:val="18"/>
                <w:szCs w:val="18"/>
              </w:rPr>
            </w:pPr>
            <w:r w:rsidRPr="001E2CF7">
              <w:rPr>
                <w:rFonts w:ascii="Times New Roman" w:hAnsi="Times New Roman" w:cs="Times New Roman"/>
                <w:b/>
                <w:sz w:val="18"/>
                <w:szCs w:val="18"/>
              </w:rPr>
              <w:t>Neni 19</w:t>
            </w:r>
          </w:p>
          <w:p w14:paraId="11D4C165" w14:textId="54252EC8" w:rsidR="001E2CF7" w:rsidRPr="001E2CF7" w:rsidRDefault="001E2CF7" w:rsidP="001E2CF7">
            <w:pPr>
              <w:spacing w:line="276" w:lineRule="auto"/>
              <w:jc w:val="center"/>
              <w:rPr>
                <w:rFonts w:ascii="Times New Roman" w:hAnsi="Times New Roman" w:cs="Times New Roman"/>
                <w:b/>
                <w:sz w:val="18"/>
                <w:szCs w:val="18"/>
              </w:rPr>
            </w:pPr>
            <w:r w:rsidRPr="001E2CF7">
              <w:rPr>
                <w:rFonts w:ascii="Times New Roman" w:hAnsi="Times New Roman" w:cs="Times New Roman"/>
                <w:b/>
                <w:sz w:val="18"/>
                <w:szCs w:val="18"/>
              </w:rPr>
              <w:t>Hyr</w:t>
            </w:r>
            <w:r w:rsidR="00EC13D0">
              <w:rPr>
                <w:rFonts w:ascii="Times New Roman" w:hAnsi="Times New Roman" w:cs="Times New Roman"/>
                <w:b/>
                <w:sz w:val="18"/>
                <w:szCs w:val="18"/>
              </w:rPr>
              <w:t>ja</w:t>
            </w:r>
            <w:r w:rsidRPr="001E2CF7">
              <w:rPr>
                <w:rFonts w:ascii="Times New Roman" w:hAnsi="Times New Roman" w:cs="Times New Roman"/>
                <w:b/>
                <w:sz w:val="18"/>
                <w:szCs w:val="18"/>
              </w:rPr>
              <w:t xml:space="preserve"> në fuqi</w:t>
            </w:r>
          </w:p>
          <w:p w14:paraId="2A0BEE60" w14:textId="77777777" w:rsidR="001E2CF7" w:rsidRPr="001E2CF7" w:rsidRDefault="001E2CF7" w:rsidP="001E2CF7">
            <w:pPr>
              <w:spacing w:line="276" w:lineRule="auto"/>
              <w:jc w:val="both"/>
              <w:rPr>
                <w:rFonts w:ascii="Times New Roman" w:hAnsi="Times New Roman" w:cs="Times New Roman"/>
                <w:sz w:val="18"/>
                <w:szCs w:val="18"/>
              </w:rPr>
            </w:pPr>
          </w:p>
          <w:p w14:paraId="26C49292" w14:textId="3E1D5841" w:rsidR="001E2CF7" w:rsidRPr="001E2CF7" w:rsidRDefault="001E2CF7" w:rsidP="001E2CF7">
            <w:pPr>
              <w:spacing w:line="276" w:lineRule="auto"/>
              <w:jc w:val="both"/>
              <w:rPr>
                <w:rFonts w:ascii="Times New Roman" w:hAnsi="Times New Roman" w:cs="Times New Roman"/>
                <w:sz w:val="18"/>
                <w:szCs w:val="18"/>
              </w:rPr>
            </w:pPr>
            <w:r w:rsidRPr="001E2CF7">
              <w:rPr>
                <w:rFonts w:ascii="Times New Roman" w:hAnsi="Times New Roman" w:cs="Times New Roman"/>
                <w:sz w:val="18"/>
                <w:szCs w:val="18"/>
              </w:rPr>
              <w:t>1.</w:t>
            </w:r>
            <w:r w:rsidRPr="001E2CF7">
              <w:rPr>
                <w:rFonts w:ascii="Times New Roman" w:hAnsi="Times New Roman" w:cs="Times New Roman"/>
                <w:sz w:val="18"/>
                <w:szCs w:val="18"/>
              </w:rPr>
              <w:tab/>
              <w:t>Ky ligj hyn në fuqi 15 ditë pas botimit në Fletoren Zyrtare</w:t>
            </w:r>
            <w:r w:rsidR="00EC13D0">
              <w:rPr>
                <w:rFonts w:ascii="Times New Roman" w:hAnsi="Times New Roman" w:cs="Times New Roman"/>
                <w:sz w:val="18"/>
                <w:szCs w:val="18"/>
              </w:rPr>
              <w:t>.</w:t>
            </w:r>
          </w:p>
          <w:p w14:paraId="279CB99C" w14:textId="0CC4D8CA" w:rsidR="0084600B" w:rsidRPr="005325EC" w:rsidRDefault="001E2CF7" w:rsidP="00EC13D0">
            <w:pPr>
              <w:spacing w:line="276" w:lineRule="auto"/>
              <w:jc w:val="both"/>
              <w:rPr>
                <w:rFonts w:ascii="Times New Roman" w:hAnsi="Times New Roman" w:cs="Times New Roman"/>
                <w:sz w:val="18"/>
                <w:szCs w:val="18"/>
              </w:rPr>
            </w:pPr>
            <w:r w:rsidRPr="001E2CF7">
              <w:rPr>
                <w:rFonts w:ascii="Times New Roman" w:hAnsi="Times New Roman" w:cs="Times New Roman"/>
                <w:sz w:val="18"/>
                <w:szCs w:val="18"/>
              </w:rPr>
              <w:t>2.</w:t>
            </w:r>
            <w:r w:rsidRPr="001E2CF7">
              <w:rPr>
                <w:rFonts w:ascii="Times New Roman" w:hAnsi="Times New Roman" w:cs="Times New Roman"/>
                <w:sz w:val="18"/>
                <w:szCs w:val="18"/>
              </w:rPr>
              <w:tab/>
              <w:t>Efektet e këtij ligji fill</w:t>
            </w:r>
            <w:r w:rsidR="00EC13D0">
              <w:rPr>
                <w:rFonts w:ascii="Times New Roman" w:hAnsi="Times New Roman" w:cs="Times New Roman"/>
                <w:sz w:val="18"/>
                <w:szCs w:val="18"/>
              </w:rPr>
              <w:t>ojnë</w:t>
            </w:r>
            <w:r w:rsidRPr="001E2CF7">
              <w:rPr>
                <w:rFonts w:ascii="Times New Roman" w:hAnsi="Times New Roman" w:cs="Times New Roman"/>
                <w:sz w:val="18"/>
                <w:szCs w:val="18"/>
              </w:rPr>
              <w:t xml:space="preserve"> nga </w:t>
            </w:r>
            <w:r w:rsidR="00EC13D0">
              <w:rPr>
                <w:rFonts w:ascii="Times New Roman" w:hAnsi="Times New Roman" w:cs="Times New Roman"/>
                <w:sz w:val="18"/>
                <w:szCs w:val="18"/>
              </w:rPr>
              <w:t xml:space="preserve">data </w:t>
            </w:r>
            <w:r w:rsidRPr="001E2CF7">
              <w:rPr>
                <w:rFonts w:ascii="Times New Roman" w:hAnsi="Times New Roman" w:cs="Times New Roman"/>
                <w:sz w:val="18"/>
                <w:szCs w:val="18"/>
              </w:rPr>
              <w:t>1 janar</w:t>
            </w:r>
            <w:r w:rsidR="00EC13D0">
              <w:rPr>
                <w:rFonts w:ascii="Times New Roman" w:hAnsi="Times New Roman" w:cs="Times New Roman"/>
                <w:sz w:val="18"/>
                <w:szCs w:val="18"/>
              </w:rPr>
              <w:t xml:space="preserve"> </w:t>
            </w:r>
            <w:r w:rsidRPr="001E2CF7">
              <w:rPr>
                <w:rFonts w:ascii="Times New Roman" w:hAnsi="Times New Roman" w:cs="Times New Roman"/>
                <w:sz w:val="18"/>
                <w:szCs w:val="18"/>
              </w:rPr>
              <w:t>2029 dhe periudha e parë raportuese është viti 2029.</w:t>
            </w:r>
          </w:p>
        </w:tc>
        <w:tc>
          <w:tcPr>
            <w:tcW w:w="720" w:type="dxa"/>
          </w:tcPr>
          <w:p w14:paraId="42895776" w14:textId="1DA28DD7" w:rsidR="001725D0" w:rsidRDefault="001725D0" w:rsidP="001725D0">
            <w:pPr>
              <w:jc w:val="center"/>
              <w:rPr>
                <w:rFonts w:ascii="Times New Roman" w:eastAsia="Calibri" w:hAnsi="Times New Roman" w:cs="Times New Roman"/>
                <w:sz w:val="18"/>
                <w:szCs w:val="18"/>
              </w:rPr>
            </w:pPr>
            <w:r w:rsidRPr="00F83FEC">
              <w:rPr>
                <w:rFonts w:ascii="Times New Roman" w:hAnsi="Times New Roman" w:cs="Times New Roman"/>
                <w:b/>
                <w:sz w:val="18"/>
                <w:szCs w:val="18"/>
              </w:rPr>
              <w:t>F</w:t>
            </w:r>
          </w:p>
        </w:tc>
        <w:tc>
          <w:tcPr>
            <w:tcW w:w="3406" w:type="dxa"/>
          </w:tcPr>
          <w:p w14:paraId="7A8A4338" w14:textId="7F81A534" w:rsidR="003B4CA7" w:rsidRPr="003B4CA7" w:rsidRDefault="003B4CA7" w:rsidP="003B4CA7">
            <w:pPr>
              <w:rPr>
                <w:rFonts w:ascii="Times New Roman" w:eastAsia="Calibri" w:hAnsi="Times New Roman" w:cs="Times New Roman"/>
                <w:sz w:val="18"/>
                <w:szCs w:val="18"/>
              </w:rPr>
            </w:pPr>
            <w:r w:rsidRPr="003B4CA7">
              <w:rPr>
                <w:rFonts w:ascii="Times New Roman" w:eastAsia="Calibri" w:hAnsi="Times New Roman" w:cs="Times New Roman"/>
                <w:sz w:val="18"/>
                <w:szCs w:val="18"/>
              </w:rPr>
              <w:t>Dispozitë e rëndësishme</w:t>
            </w:r>
            <w:r w:rsidR="000B5AB4">
              <w:rPr>
                <w:rFonts w:ascii="Times New Roman" w:eastAsia="Calibri" w:hAnsi="Times New Roman" w:cs="Times New Roman"/>
                <w:sz w:val="18"/>
                <w:szCs w:val="18"/>
              </w:rPr>
              <w:t>m</w:t>
            </w:r>
            <w:r w:rsidRPr="003B4CA7">
              <w:rPr>
                <w:rFonts w:ascii="Times New Roman" w:eastAsia="Calibri" w:hAnsi="Times New Roman" w:cs="Times New Roman"/>
                <w:sz w:val="18"/>
                <w:szCs w:val="18"/>
              </w:rPr>
              <w:t xml:space="preserve"> vetëm për Shtetet Anëtare të BE‑së.</w:t>
            </w:r>
          </w:p>
          <w:p w14:paraId="2541A7C4" w14:textId="77777777" w:rsidR="003B4CA7" w:rsidRPr="003B4CA7" w:rsidRDefault="003B4CA7" w:rsidP="003B4CA7">
            <w:pPr>
              <w:rPr>
                <w:rFonts w:ascii="Times New Roman" w:eastAsia="Calibri" w:hAnsi="Times New Roman" w:cs="Times New Roman"/>
                <w:sz w:val="18"/>
                <w:szCs w:val="18"/>
              </w:rPr>
            </w:pPr>
            <w:r w:rsidRPr="003B4CA7">
              <w:rPr>
                <w:rFonts w:ascii="Times New Roman" w:eastAsia="Calibri" w:hAnsi="Times New Roman" w:cs="Times New Roman"/>
                <w:sz w:val="18"/>
                <w:szCs w:val="18"/>
              </w:rPr>
              <w:t>Shqipëria do ta përshtasë këtë ligj për të përmbushur angazhimin e ndërmarrë sipas Benchmark‑ut të Mbylljes së Kapitullit 16 “Taksimi”. Brenda 6 muajve pas miratimit të projektligjit, Shqipëria do të vazhdojë me miratimin e akteve nënligjore.</w:t>
            </w:r>
          </w:p>
          <w:p w14:paraId="62CDDDBF" w14:textId="77777777" w:rsidR="003B4CA7" w:rsidRPr="003B4CA7" w:rsidRDefault="003B4CA7" w:rsidP="003B4CA7">
            <w:pPr>
              <w:rPr>
                <w:rFonts w:ascii="Times New Roman" w:eastAsia="Calibri" w:hAnsi="Times New Roman" w:cs="Times New Roman"/>
                <w:sz w:val="18"/>
                <w:szCs w:val="18"/>
              </w:rPr>
            </w:pPr>
            <w:r w:rsidRPr="003B4CA7">
              <w:rPr>
                <w:rFonts w:ascii="Times New Roman" w:eastAsia="Calibri" w:hAnsi="Times New Roman" w:cs="Times New Roman"/>
                <w:sz w:val="18"/>
                <w:szCs w:val="18"/>
              </w:rPr>
              <w:t>Gjatë procesit të hartimit, grupi i punës në administratën tatimore që hartoi këtë ligj u asistua nga ekspertë të huaj të ofruar në kuadër të projektit të bashkëpunimit DPT–STA; Komponenti: Përshtatja me acquis të BE‑së dhe Gatishmëria për Shkëmbimin e të Dhënave; Nënkomponenti: 1a) Afrimi i legjislacionit tatimor.</w:t>
            </w:r>
          </w:p>
          <w:p w14:paraId="29ED0FC7" w14:textId="0EC0D689" w:rsidR="001725D0" w:rsidRPr="006566CD" w:rsidRDefault="003B4CA7" w:rsidP="003B4CA7">
            <w:pPr>
              <w:rPr>
                <w:rFonts w:ascii="Times New Roman" w:eastAsia="Calibri" w:hAnsi="Times New Roman" w:cs="Times New Roman"/>
                <w:sz w:val="18"/>
                <w:szCs w:val="18"/>
              </w:rPr>
            </w:pPr>
            <w:r w:rsidRPr="003B4CA7">
              <w:rPr>
                <w:rFonts w:ascii="Times New Roman" w:eastAsia="Calibri" w:hAnsi="Times New Roman" w:cs="Times New Roman"/>
                <w:sz w:val="18"/>
                <w:szCs w:val="18"/>
              </w:rPr>
              <w:t>Ky projektligj parashikon krijimin e një sistemi informacioni për mbledhjen e të dhënave nga entitetet raportuese dhe shkëmbimin e këtij informacioni me administratat tatimore homologe të shteteve anëtare të BE‑së. Buxheti i shtetit ka alokuar një shumë prej 80 milionë lekësh për krijimin e këtij sistemi në Kuadrin Afatmesëm Buxhetor (MTBF) për periudhën 2026–2028.</w:t>
            </w:r>
          </w:p>
        </w:tc>
      </w:tr>
    </w:tbl>
    <w:p w14:paraId="4E2D4073" w14:textId="77777777" w:rsidR="009A20F7" w:rsidRPr="00036F88" w:rsidRDefault="009A20F7" w:rsidP="00E172D2">
      <w:pPr>
        <w:spacing w:line="240" w:lineRule="auto"/>
        <w:rPr>
          <w:rFonts w:ascii="Times New Roman" w:hAnsi="Times New Roman" w:cs="Times New Roman"/>
          <w:sz w:val="18"/>
          <w:szCs w:val="18"/>
        </w:rPr>
      </w:pPr>
    </w:p>
    <w:sectPr w:rsidR="009A20F7" w:rsidRPr="00036F88" w:rsidSect="007C321D">
      <w:footerReference w:type="default" r:id="rId11"/>
      <w:pgSz w:w="16838" w:h="11906" w:orient="landscape"/>
      <w:pgMar w:top="1699" w:right="1296" w:bottom="113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B642" w14:textId="77777777" w:rsidR="00FE4209" w:rsidRDefault="00FE4209" w:rsidP="00922FEB">
      <w:pPr>
        <w:spacing w:after="0" w:line="240" w:lineRule="auto"/>
      </w:pPr>
      <w:r>
        <w:separator/>
      </w:r>
    </w:p>
  </w:endnote>
  <w:endnote w:type="continuationSeparator" w:id="0">
    <w:p w14:paraId="0B20BBCD" w14:textId="77777777" w:rsidR="00FE4209" w:rsidRDefault="00FE4209"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16675794" w:rsidR="001E2CF7" w:rsidRDefault="001E2CF7">
    <w:pPr>
      <w:pStyle w:val="Footer"/>
    </w:pPr>
    <w:r>
      <w:fldChar w:fldCharType="begin"/>
    </w:r>
    <w:r>
      <w:instrText>PAGE   \* MERGEFORMAT</w:instrText>
    </w:r>
    <w:r>
      <w:fldChar w:fldCharType="separate"/>
    </w:r>
    <w:r w:rsidR="00A0643E" w:rsidRPr="00A0643E">
      <w:rPr>
        <w:noProof/>
        <w:lang w:val="sq-A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1974" w14:textId="77777777" w:rsidR="00FE4209" w:rsidRDefault="00FE4209" w:rsidP="00922FEB">
      <w:pPr>
        <w:spacing w:after="0" w:line="240" w:lineRule="auto"/>
      </w:pPr>
      <w:r>
        <w:separator/>
      </w:r>
    </w:p>
  </w:footnote>
  <w:footnote w:type="continuationSeparator" w:id="0">
    <w:p w14:paraId="2297CA7F" w14:textId="77777777" w:rsidR="00FE4209" w:rsidRDefault="00FE4209"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3AE"/>
    <w:multiLevelType w:val="hybridMultilevel"/>
    <w:tmpl w:val="CDC8FEA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E3D6851"/>
    <w:multiLevelType w:val="hybridMultilevel"/>
    <w:tmpl w:val="75E2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E7DFE"/>
    <w:multiLevelType w:val="hybridMultilevel"/>
    <w:tmpl w:val="5A560D76"/>
    <w:lvl w:ilvl="0" w:tplc="22E4F0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31A3C11"/>
    <w:multiLevelType w:val="multilevel"/>
    <w:tmpl w:val="2C2E57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C82CBC"/>
    <w:multiLevelType w:val="hybridMultilevel"/>
    <w:tmpl w:val="80304F32"/>
    <w:lvl w:ilvl="0" w:tplc="61CC2E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003A3"/>
    <w:multiLevelType w:val="hybridMultilevel"/>
    <w:tmpl w:val="15327FA4"/>
    <w:lvl w:ilvl="0" w:tplc="3F30940A">
      <w:start w:val="1"/>
      <w:numFmt w:val="decimal"/>
      <w:lvlText w:val="%1."/>
      <w:lvlJc w:val="left"/>
      <w:pPr>
        <w:ind w:left="360" w:hanging="360"/>
      </w:pPr>
      <w:rPr>
        <w:b w:val="0"/>
        <w:bCs w:val="0"/>
      </w:rPr>
    </w:lvl>
    <w:lvl w:ilvl="1" w:tplc="BFC68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E9A7315"/>
    <w:multiLevelType w:val="hybridMultilevel"/>
    <w:tmpl w:val="323A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CAF072A"/>
    <w:multiLevelType w:val="hybridMultilevel"/>
    <w:tmpl w:val="05AA9A18"/>
    <w:lvl w:ilvl="0" w:tplc="31E6A902">
      <w:start w:val="13"/>
      <w:numFmt w:val="decimal"/>
      <w:lvlText w:val="%1."/>
      <w:lvlJc w:val="left"/>
      <w:pPr>
        <w:ind w:left="862" w:hanging="360"/>
      </w:pPr>
      <w:rPr>
        <w:b w:val="0"/>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num w:numId="1" w16cid:durableId="428165212">
    <w:abstractNumId w:val="20"/>
  </w:num>
  <w:num w:numId="2" w16cid:durableId="991525394">
    <w:abstractNumId w:val="1"/>
  </w:num>
  <w:num w:numId="3" w16cid:durableId="85005634">
    <w:abstractNumId w:val="19"/>
  </w:num>
  <w:num w:numId="4" w16cid:durableId="626202751">
    <w:abstractNumId w:val="5"/>
  </w:num>
  <w:num w:numId="5" w16cid:durableId="527109164">
    <w:abstractNumId w:val="16"/>
  </w:num>
  <w:num w:numId="6" w16cid:durableId="1842701802">
    <w:abstractNumId w:val="7"/>
  </w:num>
  <w:num w:numId="7" w16cid:durableId="383023182">
    <w:abstractNumId w:val="10"/>
  </w:num>
  <w:num w:numId="8" w16cid:durableId="24058611">
    <w:abstractNumId w:val="23"/>
  </w:num>
  <w:num w:numId="9" w16cid:durableId="1412462700">
    <w:abstractNumId w:val="6"/>
  </w:num>
  <w:num w:numId="10" w16cid:durableId="2010017802">
    <w:abstractNumId w:val="21"/>
  </w:num>
  <w:num w:numId="11" w16cid:durableId="1657412725">
    <w:abstractNumId w:val="18"/>
  </w:num>
  <w:num w:numId="12" w16cid:durableId="981079316">
    <w:abstractNumId w:val="2"/>
  </w:num>
  <w:num w:numId="13" w16cid:durableId="1607930992">
    <w:abstractNumId w:val="17"/>
  </w:num>
  <w:num w:numId="14" w16cid:durableId="1609313956">
    <w:abstractNumId w:val="11"/>
  </w:num>
  <w:num w:numId="15" w16cid:durableId="1822651805">
    <w:abstractNumId w:val="26"/>
  </w:num>
  <w:num w:numId="16" w16cid:durableId="1469469713">
    <w:abstractNumId w:val="3"/>
  </w:num>
  <w:num w:numId="17" w16cid:durableId="1936203919">
    <w:abstractNumId w:val="14"/>
  </w:num>
  <w:num w:numId="18" w16cid:durableId="114184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1590808">
    <w:abstractNumId w:val="22"/>
  </w:num>
  <w:num w:numId="20" w16cid:durableId="2004383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647882">
    <w:abstractNumId w:val="24"/>
  </w:num>
  <w:num w:numId="22" w16cid:durableId="1974866543">
    <w:abstractNumId w:val="0"/>
  </w:num>
  <w:num w:numId="23" w16cid:durableId="1750230795">
    <w:abstractNumId w:val="15"/>
  </w:num>
  <w:num w:numId="24" w16cid:durableId="2001156950">
    <w:abstractNumId w:val="4"/>
  </w:num>
  <w:num w:numId="25" w16cid:durableId="1147624353">
    <w:abstractNumId w:val="12"/>
  </w:num>
  <w:num w:numId="26" w16cid:durableId="816609876">
    <w:abstractNumId w:val="13"/>
  </w:num>
  <w:num w:numId="27" w16cid:durableId="957949905">
    <w:abstractNumId w:val="8"/>
  </w:num>
  <w:num w:numId="28" w16cid:durableId="910654122">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144FB"/>
    <w:rsid w:val="00015086"/>
    <w:rsid w:val="00016C4D"/>
    <w:rsid w:val="00017CC1"/>
    <w:rsid w:val="00020AE3"/>
    <w:rsid w:val="000339C8"/>
    <w:rsid w:val="00034129"/>
    <w:rsid w:val="00036F88"/>
    <w:rsid w:val="00052607"/>
    <w:rsid w:val="00052664"/>
    <w:rsid w:val="00053923"/>
    <w:rsid w:val="00057F15"/>
    <w:rsid w:val="00060D2B"/>
    <w:rsid w:val="00062524"/>
    <w:rsid w:val="00065705"/>
    <w:rsid w:val="00075318"/>
    <w:rsid w:val="00076B31"/>
    <w:rsid w:val="00080E02"/>
    <w:rsid w:val="00081BC1"/>
    <w:rsid w:val="00082EBC"/>
    <w:rsid w:val="00084C96"/>
    <w:rsid w:val="000916B6"/>
    <w:rsid w:val="00092CAE"/>
    <w:rsid w:val="00093110"/>
    <w:rsid w:val="00095ECC"/>
    <w:rsid w:val="000A26EF"/>
    <w:rsid w:val="000A38FB"/>
    <w:rsid w:val="000A7EA3"/>
    <w:rsid w:val="000B014A"/>
    <w:rsid w:val="000B05B4"/>
    <w:rsid w:val="000B1124"/>
    <w:rsid w:val="000B162F"/>
    <w:rsid w:val="000B19FC"/>
    <w:rsid w:val="000B4CF9"/>
    <w:rsid w:val="000B5939"/>
    <w:rsid w:val="000B5AB4"/>
    <w:rsid w:val="000B5E85"/>
    <w:rsid w:val="000C09CF"/>
    <w:rsid w:val="000C227B"/>
    <w:rsid w:val="000C4C00"/>
    <w:rsid w:val="000D0E76"/>
    <w:rsid w:val="000D4CD0"/>
    <w:rsid w:val="000D6E38"/>
    <w:rsid w:val="000D77FB"/>
    <w:rsid w:val="000D7CA4"/>
    <w:rsid w:val="000D7DCD"/>
    <w:rsid w:val="000E0147"/>
    <w:rsid w:val="000E1010"/>
    <w:rsid w:val="000E2BC3"/>
    <w:rsid w:val="000E4DE0"/>
    <w:rsid w:val="000E5AC4"/>
    <w:rsid w:val="000E668E"/>
    <w:rsid w:val="001024E6"/>
    <w:rsid w:val="00106912"/>
    <w:rsid w:val="0010735E"/>
    <w:rsid w:val="001123ED"/>
    <w:rsid w:val="00113DE2"/>
    <w:rsid w:val="001207DE"/>
    <w:rsid w:val="00121010"/>
    <w:rsid w:val="00125EE3"/>
    <w:rsid w:val="00142D73"/>
    <w:rsid w:val="00147A54"/>
    <w:rsid w:val="001520C0"/>
    <w:rsid w:val="0015399E"/>
    <w:rsid w:val="00153CCC"/>
    <w:rsid w:val="00154981"/>
    <w:rsid w:val="001552C4"/>
    <w:rsid w:val="0015599D"/>
    <w:rsid w:val="00160121"/>
    <w:rsid w:val="001619E7"/>
    <w:rsid w:val="00164173"/>
    <w:rsid w:val="00170836"/>
    <w:rsid w:val="00171AE3"/>
    <w:rsid w:val="001725D0"/>
    <w:rsid w:val="001775D3"/>
    <w:rsid w:val="00177D45"/>
    <w:rsid w:val="00185FF3"/>
    <w:rsid w:val="00190654"/>
    <w:rsid w:val="00190825"/>
    <w:rsid w:val="0019465F"/>
    <w:rsid w:val="00196F64"/>
    <w:rsid w:val="001A054E"/>
    <w:rsid w:val="001A1CC0"/>
    <w:rsid w:val="001A223E"/>
    <w:rsid w:val="001A240D"/>
    <w:rsid w:val="001B46A8"/>
    <w:rsid w:val="001B4AFB"/>
    <w:rsid w:val="001B4F3F"/>
    <w:rsid w:val="001C2405"/>
    <w:rsid w:val="001D180F"/>
    <w:rsid w:val="001D413A"/>
    <w:rsid w:val="001D652C"/>
    <w:rsid w:val="001D75F8"/>
    <w:rsid w:val="001E074F"/>
    <w:rsid w:val="001E2141"/>
    <w:rsid w:val="001E2CF7"/>
    <w:rsid w:val="001E566F"/>
    <w:rsid w:val="001E71E0"/>
    <w:rsid w:val="001F0349"/>
    <w:rsid w:val="001F2CB3"/>
    <w:rsid w:val="001F3413"/>
    <w:rsid w:val="001F3E2D"/>
    <w:rsid w:val="001F6E50"/>
    <w:rsid w:val="001F7BBC"/>
    <w:rsid w:val="00200996"/>
    <w:rsid w:val="00200AA9"/>
    <w:rsid w:val="002048D4"/>
    <w:rsid w:val="002058C8"/>
    <w:rsid w:val="00206694"/>
    <w:rsid w:val="00207E2E"/>
    <w:rsid w:val="00212234"/>
    <w:rsid w:val="00216CB5"/>
    <w:rsid w:val="00217FFD"/>
    <w:rsid w:val="002234E1"/>
    <w:rsid w:val="00226B07"/>
    <w:rsid w:val="002351EE"/>
    <w:rsid w:val="00237085"/>
    <w:rsid w:val="00241058"/>
    <w:rsid w:val="00241DAE"/>
    <w:rsid w:val="00242D3A"/>
    <w:rsid w:val="00243A1A"/>
    <w:rsid w:val="0024728F"/>
    <w:rsid w:val="0024752C"/>
    <w:rsid w:val="00247573"/>
    <w:rsid w:val="00250974"/>
    <w:rsid w:val="00250B34"/>
    <w:rsid w:val="00260632"/>
    <w:rsid w:val="00261EE3"/>
    <w:rsid w:val="00262E99"/>
    <w:rsid w:val="002652D5"/>
    <w:rsid w:val="00265C53"/>
    <w:rsid w:val="002675D8"/>
    <w:rsid w:val="00271F5B"/>
    <w:rsid w:val="00273323"/>
    <w:rsid w:val="002826E4"/>
    <w:rsid w:val="00282FA2"/>
    <w:rsid w:val="00287B86"/>
    <w:rsid w:val="00294727"/>
    <w:rsid w:val="002973DE"/>
    <w:rsid w:val="002A2DF8"/>
    <w:rsid w:val="002A59EF"/>
    <w:rsid w:val="002B02E4"/>
    <w:rsid w:val="002B3D21"/>
    <w:rsid w:val="002B44A1"/>
    <w:rsid w:val="002B731D"/>
    <w:rsid w:val="002C1FF8"/>
    <w:rsid w:val="002C6E4F"/>
    <w:rsid w:val="002C733F"/>
    <w:rsid w:val="002D0742"/>
    <w:rsid w:val="002D2221"/>
    <w:rsid w:val="002D529D"/>
    <w:rsid w:val="002D574D"/>
    <w:rsid w:val="002E4F78"/>
    <w:rsid w:val="002E6526"/>
    <w:rsid w:val="002F2E52"/>
    <w:rsid w:val="002F76DE"/>
    <w:rsid w:val="00301958"/>
    <w:rsid w:val="0030526E"/>
    <w:rsid w:val="00310B3D"/>
    <w:rsid w:val="0031114B"/>
    <w:rsid w:val="003116B5"/>
    <w:rsid w:val="0031566F"/>
    <w:rsid w:val="00317005"/>
    <w:rsid w:val="00322C4F"/>
    <w:rsid w:val="00332366"/>
    <w:rsid w:val="00335C48"/>
    <w:rsid w:val="00341534"/>
    <w:rsid w:val="00344587"/>
    <w:rsid w:val="00345085"/>
    <w:rsid w:val="00345A6C"/>
    <w:rsid w:val="0035145A"/>
    <w:rsid w:val="003518E4"/>
    <w:rsid w:val="003541B4"/>
    <w:rsid w:val="00357D61"/>
    <w:rsid w:val="00364559"/>
    <w:rsid w:val="0037327C"/>
    <w:rsid w:val="00374572"/>
    <w:rsid w:val="00381019"/>
    <w:rsid w:val="00391383"/>
    <w:rsid w:val="00393E9B"/>
    <w:rsid w:val="00395E2E"/>
    <w:rsid w:val="003A75B8"/>
    <w:rsid w:val="003B191B"/>
    <w:rsid w:val="003B4CA7"/>
    <w:rsid w:val="003B7C4A"/>
    <w:rsid w:val="003C045B"/>
    <w:rsid w:val="003C1E87"/>
    <w:rsid w:val="003C2EAB"/>
    <w:rsid w:val="003C4AC6"/>
    <w:rsid w:val="003C63BE"/>
    <w:rsid w:val="003C79E1"/>
    <w:rsid w:val="003D4694"/>
    <w:rsid w:val="003E2711"/>
    <w:rsid w:val="003F12A2"/>
    <w:rsid w:val="003F5AD0"/>
    <w:rsid w:val="003F6C69"/>
    <w:rsid w:val="004003B3"/>
    <w:rsid w:val="00400C6E"/>
    <w:rsid w:val="004020E6"/>
    <w:rsid w:val="0040246D"/>
    <w:rsid w:val="004024D0"/>
    <w:rsid w:val="00405A74"/>
    <w:rsid w:val="004108A0"/>
    <w:rsid w:val="00410A88"/>
    <w:rsid w:val="00415BDC"/>
    <w:rsid w:val="004164B2"/>
    <w:rsid w:val="00416E2E"/>
    <w:rsid w:val="004224EA"/>
    <w:rsid w:val="00424D4A"/>
    <w:rsid w:val="0042577F"/>
    <w:rsid w:val="00427624"/>
    <w:rsid w:val="00427E4C"/>
    <w:rsid w:val="00427EE2"/>
    <w:rsid w:val="004310AF"/>
    <w:rsid w:val="0043228D"/>
    <w:rsid w:val="00433DB0"/>
    <w:rsid w:val="00437D0B"/>
    <w:rsid w:val="004457A1"/>
    <w:rsid w:val="00450C23"/>
    <w:rsid w:val="00451218"/>
    <w:rsid w:val="00451313"/>
    <w:rsid w:val="004570E7"/>
    <w:rsid w:val="00462428"/>
    <w:rsid w:val="00463860"/>
    <w:rsid w:val="00463D26"/>
    <w:rsid w:val="0047211B"/>
    <w:rsid w:val="00472C5C"/>
    <w:rsid w:val="004738EE"/>
    <w:rsid w:val="004745E6"/>
    <w:rsid w:val="00476A5C"/>
    <w:rsid w:val="004812F5"/>
    <w:rsid w:val="004816E5"/>
    <w:rsid w:val="004833A3"/>
    <w:rsid w:val="00497724"/>
    <w:rsid w:val="004A1713"/>
    <w:rsid w:val="004A36CD"/>
    <w:rsid w:val="004A4B29"/>
    <w:rsid w:val="004B7E97"/>
    <w:rsid w:val="004B7F04"/>
    <w:rsid w:val="004C2EE7"/>
    <w:rsid w:val="004D0576"/>
    <w:rsid w:val="004D36D7"/>
    <w:rsid w:val="004D3792"/>
    <w:rsid w:val="004D4126"/>
    <w:rsid w:val="004D4A5A"/>
    <w:rsid w:val="004E0D2B"/>
    <w:rsid w:val="004E2956"/>
    <w:rsid w:val="004E30E5"/>
    <w:rsid w:val="004E4138"/>
    <w:rsid w:val="004F0084"/>
    <w:rsid w:val="004F0109"/>
    <w:rsid w:val="004F2266"/>
    <w:rsid w:val="004F27D1"/>
    <w:rsid w:val="004F5B78"/>
    <w:rsid w:val="004F619A"/>
    <w:rsid w:val="004F7895"/>
    <w:rsid w:val="005002A2"/>
    <w:rsid w:val="005007CA"/>
    <w:rsid w:val="0050266C"/>
    <w:rsid w:val="00502F25"/>
    <w:rsid w:val="0050578D"/>
    <w:rsid w:val="00510FD6"/>
    <w:rsid w:val="00515591"/>
    <w:rsid w:val="005222ED"/>
    <w:rsid w:val="00523BD5"/>
    <w:rsid w:val="00525E91"/>
    <w:rsid w:val="005325EC"/>
    <w:rsid w:val="00532F36"/>
    <w:rsid w:val="005331A6"/>
    <w:rsid w:val="00536BD1"/>
    <w:rsid w:val="005373C7"/>
    <w:rsid w:val="00542046"/>
    <w:rsid w:val="00542B90"/>
    <w:rsid w:val="00544726"/>
    <w:rsid w:val="00545293"/>
    <w:rsid w:val="00555B0E"/>
    <w:rsid w:val="00557383"/>
    <w:rsid w:val="00561970"/>
    <w:rsid w:val="00562EF5"/>
    <w:rsid w:val="0056390B"/>
    <w:rsid w:val="005721F0"/>
    <w:rsid w:val="005739CF"/>
    <w:rsid w:val="005740C8"/>
    <w:rsid w:val="0058092D"/>
    <w:rsid w:val="00581189"/>
    <w:rsid w:val="0059538D"/>
    <w:rsid w:val="005A3A0B"/>
    <w:rsid w:val="005B756F"/>
    <w:rsid w:val="005C2C12"/>
    <w:rsid w:val="005C5778"/>
    <w:rsid w:val="005D1762"/>
    <w:rsid w:val="005D2C74"/>
    <w:rsid w:val="005D2CA7"/>
    <w:rsid w:val="005D6115"/>
    <w:rsid w:val="005D7747"/>
    <w:rsid w:val="005E10BC"/>
    <w:rsid w:val="005E3878"/>
    <w:rsid w:val="005E5DCC"/>
    <w:rsid w:val="005E65A8"/>
    <w:rsid w:val="005E6AA8"/>
    <w:rsid w:val="005F1B9C"/>
    <w:rsid w:val="005F434C"/>
    <w:rsid w:val="005F57EB"/>
    <w:rsid w:val="0061684B"/>
    <w:rsid w:val="00617362"/>
    <w:rsid w:val="00622B62"/>
    <w:rsid w:val="00623590"/>
    <w:rsid w:val="00627580"/>
    <w:rsid w:val="0063030D"/>
    <w:rsid w:val="006310DD"/>
    <w:rsid w:val="00632923"/>
    <w:rsid w:val="00633111"/>
    <w:rsid w:val="00635147"/>
    <w:rsid w:val="00635568"/>
    <w:rsid w:val="0064231D"/>
    <w:rsid w:val="006444CD"/>
    <w:rsid w:val="00651851"/>
    <w:rsid w:val="00654FB9"/>
    <w:rsid w:val="006566CD"/>
    <w:rsid w:val="00657867"/>
    <w:rsid w:val="0066027E"/>
    <w:rsid w:val="006618BF"/>
    <w:rsid w:val="0066667D"/>
    <w:rsid w:val="00666B47"/>
    <w:rsid w:val="006717DD"/>
    <w:rsid w:val="0067247A"/>
    <w:rsid w:val="006726C3"/>
    <w:rsid w:val="00672C4E"/>
    <w:rsid w:val="00676111"/>
    <w:rsid w:val="0067730A"/>
    <w:rsid w:val="006774B8"/>
    <w:rsid w:val="00682C78"/>
    <w:rsid w:val="00695317"/>
    <w:rsid w:val="006953D8"/>
    <w:rsid w:val="006A09C7"/>
    <w:rsid w:val="006A2D4D"/>
    <w:rsid w:val="006A6211"/>
    <w:rsid w:val="006B0D0A"/>
    <w:rsid w:val="006B323C"/>
    <w:rsid w:val="006B7ABD"/>
    <w:rsid w:val="006C1477"/>
    <w:rsid w:val="006C1526"/>
    <w:rsid w:val="006C1BCA"/>
    <w:rsid w:val="006C4222"/>
    <w:rsid w:val="006C6B36"/>
    <w:rsid w:val="006C7B60"/>
    <w:rsid w:val="006D6109"/>
    <w:rsid w:val="006D648E"/>
    <w:rsid w:val="006E3A8B"/>
    <w:rsid w:val="006E4603"/>
    <w:rsid w:val="006E7F7A"/>
    <w:rsid w:val="006E7FA1"/>
    <w:rsid w:val="006F2527"/>
    <w:rsid w:val="006F2F12"/>
    <w:rsid w:val="007006CF"/>
    <w:rsid w:val="00700F75"/>
    <w:rsid w:val="00703F01"/>
    <w:rsid w:val="007045CF"/>
    <w:rsid w:val="00705280"/>
    <w:rsid w:val="00706107"/>
    <w:rsid w:val="0071079D"/>
    <w:rsid w:val="00710999"/>
    <w:rsid w:val="00714583"/>
    <w:rsid w:val="00714B51"/>
    <w:rsid w:val="007155A5"/>
    <w:rsid w:val="00717DF3"/>
    <w:rsid w:val="00720B64"/>
    <w:rsid w:val="00721A1F"/>
    <w:rsid w:val="0072295D"/>
    <w:rsid w:val="00723BB2"/>
    <w:rsid w:val="00724305"/>
    <w:rsid w:val="007251FA"/>
    <w:rsid w:val="00725931"/>
    <w:rsid w:val="007277B4"/>
    <w:rsid w:val="00732339"/>
    <w:rsid w:val="00742338"/>
    <w:rsid w:val="00745147"/>
    <w:rsid w:val="00745298"/>
    <w:rsid w:val="007462E6"/>
    <w:rsid w:val="00746656"/>
    <w:rsid w:val="00746F5E"/>
    <w:rsid w:val="007556BD"/>
    <w:rsid w:val="00757BFC"/>
    <w:rsid w:val="00760A37"/>
    <w:rsid w:val="0076650E"/>
    <w:rsid w:val="00766567"/>
    <w:rsid w:val="007668CC"/>
    <w:rsid w:val="00767E95"/>
    <w:rsid w:val="007731D9"/>
    <w:rsid w:val="007743FD"/>
    <w:rsid w:val="00775A2D"/>
    <w:rsid w:val="0077636B"/>
    <w:rsid w:val="00784A41"/>
    <w:rsid w:val="007903F2"/>
    <w:rsid w:val="00794E58"/>
    <w:rsid w:val="007A1CE1"/>
    <w:rsid w:val="007A24BB"/>
    <w:rsid w:val="007A64BB"/>
    <w:rsid w:val="007B00C7"/>
    <w:rsid w:val="007B312A"/>
    <w:rsid w:val="007C025E"/>
    <w:rsid w:val="007C217F"/>
    <w:rsid w:val="007C23D6"/>
    <w:rsid w:val="007C321D"/>
    <w:rsid w:val="007C3F0C"/>
    <w:rsid w:val="007C5223"/>
    <w:rsid w:val="007D6215"/>
    <w:rsid w:val="007D6CB1"/>
    <w:rsid w:val="007E346B"/>
    <w:rsid w:val="007E431F"/>
    <w:rsid w:val="007E488D"/>
    <w:rsid w:val="007F0768"/>
    <w:rsid w:val="007F323E"/>
    <w:rsid w:val="007F5D33"/>
    <w:rsid w:val="008018C3"/>
    <w:rsid w:val="00802A59"/>
    <w:rsid w:val="008036D5"/>
    <w:rsid w:val="0080541B"/>
    <w:rsid w:val="00827E5C"/>
    <w:rsid w:val="00833892"/>
    <w:rsid w:val="00835CD6"/>
    <w:rsid w:val="008363D3"/>
    <w:rsid w:val="00840BC8"/>
    <w:rsid w:val="0084519E"/>
    <w:rsid w:val="0084600B"/>
    <w:rsid w:val="0085013E"/>
    <w:rsid w:val="00854007"/>
    <w:rsid w:val="0085501A"/>
    <w:rsid w:val="00857138"/>
    <w:rsid w:val="00861003"/>
    <w:rsid w:val="00865C4F"/>
    <w:rsid w:val="008723DD"/>
    <w:rsid w:val="00873B84"/>
    <w:rsid w:val="00874BD7"/>
    <w:rsid w:val="00876F48"/>
    <w:rsid w:val="00880C14"/>
    <w:rsid w:val="008829C8"/>
    <w:rsid w:val="00883E0C"/>
    <w:rsid w:val="00886049"/>
    <w:rsid w:val="00886459"/>
    <w:rsid w:val="0088678D"/>
    <w:rsid w:val="008876A4"/>
    <w:rsid w:val="0089224E"/>
    <w:rsid w:val="008945D0"/>
    <w:rsid w:val="008A3696"/>
    <w:rsid w:val="008A5926"/>
    <w:rsid w:val="008B055C"/>
    <w:rsid w:val="008B39B5"/>
    <w:rsid w:val="008B5730"/>
    <w:rsid w:val="008B6E7F"/>
    <w:rsid w:val="008C06D1"/>
    <w:rsid w:val="008C3267"/>
    <w:rsid w:val="008C6992"/>
    <w:rsid w:val="008C7CE9"/>
    <w:rsid w:val="008D1B1F"/>
    <w:rsid w:val="008D434B"/>
    <w:rsid w:val="008D5CE4"/>
    <w:rsid w:val="008D5DD4"/>
    <w:rsid w:val="008E267F"/>
    <w:rsid w:val="008E382D"/>
    <w:rsid w:val="008E5E6C"/>
    <w:rsid w:val="008F7A0F"/>
    <w:rsid w:val="00900733"/>
    <w:rsid w:val="00900CDD"/>
    <w:rsid w:val="0090283B"/>
    <w:rsid w:val="0090345E"/>
    <w:rsid w:val="00903483"/>
    <w:rsid w:val="009116FC"/>
    <w:rsid w:val="00914927"/>
    <w:rsid w:val="00916618"/>
    <w:rsid w:val="00922FEB"/>
    <w:rsid w:val="0093106A"/>
    <w:rsid w:val="00937073"/>
    <w:rsid w:val="0093777F"/>
    <w:rsid w:val="0094061C"/>
    <w:rsid w:val="0094134A"/>
    <w:rsid w:val="00943DF9"/>
    <w:rsid w:val="00946891"/>
    <w:rsid w:val="009472AC"/>
    <w:rsid w:val="00950BE7"/>
    <w:rsid w:val="0095143E"/>
    <w:rsid w:val="00954EFF"/>
    <w:rsid w:val="00956D2D"/>
    <w:rsid w:val="00961CE2"/>
    <w:rsid w:val="009669F8"/>
    <w:rsid w:val="00973DF3"/>
    <w:rsid w:val="009740A1"/>
    <w:rsid w:val="009770D2"/>
    <w:rsid w:val="009837C8"/>
    <w:rsid w:val="00984729"/>
    <w:rsid w:val="00986E09"/>
    <w:rsid w:val="00990A3C"/>
    <w:rsid w:val="009930BD"/>
    <w:rsid w:val="0099499F"/>
    <w:rsid w:val="00995F97"/>
    <w:rsid w:val="00996667"/>
    <w:rsid w:val="009A05BF"/>
    <w:rsid w:val="009A0775"/>
    <w:rsid w:val="009A20F7"/>
    <w:rsid w:val="009A64FF"/>
    <w:rsid w:val="009A7531"/>
    <w:rsid w:val="009B2315"/>
    <w:rsid w:val="009C4544"/>
    <w:rsid w:val="009C4AB8"/>
    <w:rsid w:val="009C6155"/>
    <w:rsid w:val="009C71E4"/>
    <w:rsid w:val="009D0B38"/>
    <w:rsid w:val="009D14DE"/>
    <w:rsid w:val="009D26C0"/>
    <w:rsid w:val="009D64A3"/>
    <w:rsid w:val="009E06AE"/>
    <w:rsid w:val="009E08DD"/>
    <w:rsid w:val="009E29DA"/>
    <w:rsid w:val="009E4A2F"/>
    <w:rsid w:val="009E6BD3"/>
    <w:rsid w:val="009F0018"/>
    <w:rsid w:val="009F018B"/>
    <w:rsid w:val="009F0E45"/>
    <w:rsid w:val="009F4771"/>
    <w:rsid w:val="009F62F6"/>
    <w:rsid w:val="00A02DFB"/>
    <w:rsid w:val="00A03E47"/>
    <w:rsid w:val="00A0643E"/>
    <w:rsid w:val="00A106AB"/>
    <w:rsid w:val="00A10ABB"/>
    <w:rsid w:val="00A11922"/>
    <w:rsid w:val="00A12915"/>
    <w:rsid w:val="00A12F75"/>
    <w:rsid w:val="00A20927"/>
    <w:rsid w:val="00A22CD6"/>
    <w:rsid w:val="00A231BF"/>
    <w:rsid w:val="00A23CE3"/>
    <w:rsid w:val="00A25D4A"/>
    <w:rsid w:val="00A26FC2"/>
    <w:rsid w:val="00A34557"/>
    <w:rsid w:val="00A345DE"/>
    <w:rsid w:val="00A37AD0"/>
    <w:rsid w:val="00A40F57"/>
    <w:rsid w:val="00A43694"/>
    <w:rsid w:val="00A43EA9"/>
    <w:rsid w:val="00A57D3C"/>
    <w:rsid w:val="00A61AEB"/>
    <w:rsid w:val="00A625F8"/>
    <w:rsid w:val="00A64D34"/>
    <w:rsid w:val="00A7637A"/>
    <w:rsid w:val="00A7784E"/>
    <w:rsid w:val="00A8172F"/>
    <w:rsid w:val="00A835CB"/>
    <w:rsid w:val="00A8449D"/>
    <w:rsid w:val="00A86815"/>
    <w:rsid w:val="00A93747"/>
    <w:rsid w:val="00A96A0F"/>
    <w:rsid w:val="00A96B7A"/>
    <w:rsid w:val="00A96FAA"/>
    <w:rsid w:val="00AA1B31"/>
    <w:rsid w:val="00AA2A3A"/>
    <w:rsid w:val="00AA68CF"/>
    <w:rsid w:val="00AB0BE6"/>
    <w:rsid w:val="00AB296B"/>
    <w:rsid w:val="00AB4788"/>
    <w:rsid w:val="00AB60BD"/>
    <w:rsid w:val="00AC3A97"/>
    <w:rsid w:val="00AC3DAE"/>
    <w:rsid w:val="00AC4CF3"/>
    <w:rsid w:val="00AC59BE"/>
    <w:rsid w:val="00AD0ED0"/>
    <w:rsid w:val="00AD0F34"/>
    <w:rsid w:val="00AD378F"/>
    <w:rsid w:val="00AD5C20"/>
    <w:rsid w:val="00AD6055"/>
    <w:rsid w:val="00AD61E7"/>
    <w:rsid w:val="00AD7342"/>
    <w:rsid w:val="00AD7C53"/>
    <w:rsid w:val="00AE3E8F"/>
    <w:rsid w:val="00AE469F"/>
    <w:rsid w:val="00AE5216"/>
    <w:rsid w:val="00AF0520"/>
    <w:rsid w:val="00AF1AA4"/>
    <w:rsid w:val="00AF1DCF"/>
    <w:rsid w:val="00AF2598"/>
    <w:rsid w:val="00AF3271"/>
    <w:rsid w:val="00AF3AF5"/>
    <w:rsid w:val="00AF6E05"/>
    <w:rsid w:val="00AF7139"/>
    <w:rsid w:val="00B02FF5"/>
    <w:rsid w:val="00B03A2F"/>
    <w:rsid w:val="00B058FC"/>
    <w:rsid w:val="00B114DB"/>
    <w:rsid w:val="00B15547"/>
    <w:rsid w:val="00B1652A"/>
    <w:rsid w:val="00B167C6"/>
    <w:rsid w:val="00B16F37"/>
    <w:rsid w:val="00B17414"/>
    <w:rsid w:val="00B21860"/>
    <w:rsid w:val="00B25191"/>
    <w:rsid w:val="00B255FB"/>
    <w:rsid w:val="00B259CE"/>
    <w:rsid w:val="00B306D3"/>
    <w:rsid w:val="00B353DE"/>
    <w:rsid w:val="00B37AA1"/>
    <w:rsid w:val="00B503DF"/>
    <w:rsid w:val="00B5370F"/>
    <w:rsid w:val="00B63161"/>
    <w:rsid w:val="00B6607B"/>
    <w:rsid w:val="00B6709E"/>
    <w:rsid w:val="00B70DBE"/>
    <w:rsid w:val="00B72C75"/>
    <w:rsid w:val="00B76DBB"/>
    <w:rsid w:val="00B812B1"/>
    <w:rsid w:val="00B909DA"/>
    <w:rsid w:val="00B96DD0"/>
    <w:rsid w:val="00BA03A9"/>
    <w:rsid w:val="00BA0D16"/>
    <w:rsid w:val="00BA5747"/>
    <w:rsid w:val="00BA7CDB"/>
    <w:rsid w:val="00BB2ED5"/>
    <w:rsid w:val="00BB5186"/>
    <w:rsid w:val="00BC3517"/>
    <w:rsid w:val="00BC5DCD"/>
    <w:rsid w:val="00BD1B8F"/>
    <w:rsid w:val="00BD27E3"/>
    <w:rsid w:val="00BD3625"/>
    <w:rsid w:val="00BD7236"/>
    <w:rsid w:val="00BE2ADC"/>
    <w:rsid w:val="00BE44C9"/>
    <w:rsid w:val="00BE7055"/>
    <w:rsid w:val="00BF04C6"/>
    <w:rsid w:val="00BF173E"/>
    <w:rsid w:val="00BF18F7"/>
    <w:rsid w:val="00BF4413"/>
    <w:rsid w:val="00BF5500"/>
    <w:rsid w:val="00BF76F8"/>
    <w:rsid w:val="00C0015B"/>
    <w:rsid w:val="00C04EE6"/>
    <w:rsid w:val="00C04FDF"/>
    <w:rsid w:val="00C0516B"/>
    <w:rsid w:val="00C11ACA"/>
    <w:rsid w:val="00C127CB"/>
    <w:rsid w:val="00C155F2"/>
    <w:rsid w:val="00C157F0"/>
    <w:rsid w:val="00C23FE6"/>
    <w:rsid w:val="00C32352"/>
    <w:rsid w:val="00C327BA"/>
    <w:rsid w:val="00C34A80"/>
    <w:rsid w:val="00C355B7"/>
    <w:rsid w:val="00C378C4"/>
    <w:rsid w:val="00C45CE8"/>
    <w:rsid w:val="00C46499"/>
    <w:rsid w:val="00C52639"/>
    <w:rsid w:val="00C52BF2"/>
    <w:rsid w:val="00C54DF6"/>
    <w:rsid w:val="00C60A86"/>
    <w:rsid w:val="00C63F93"/>
    <w:rsid w:val="00C64C7A"/>
    <w:rsid w:val="00C66519"/>
    <w:rsid w:val="00C702F5"/>
    <w:rsid w:val="00C714C9"/>
    <w:rsid w:val="00C7263F"/>
    <w:rsid w:val="00C815F0"/>
    <w:rsid w:val="00C82DD3"/>
    <w:rsid w:val="00C85409"/>
    <w:rsid w:val="00C86233"/>
    <w:rsid w:val="00C86A4A"/>
    <w:rsid w:val="00C913FB"/>
    <w:rsid w:val="00C93E05"/>
    <w:rsid w:val="00C9465F"/>
    <w:rsid w:val="00C947F4"/>
    <w:rsid w:val="00CA00ED"/>
    <w:rsid w:val="00CA04A6"/>
    <w:rsid w:val="00CA069C"/>
    <w:rsid w:val="00CA1C4C"/>
    <w:rsid w:val="00CA76DC"/>
    <w:rsid w:val="00CB0400"/>
    <w:rsid w:val="00CB4834"/>
    <w:rsid w:val="00CB6827"/>
    <w:rsid w:val="00CB7E55"/>
    <w:rsid w:val="00CC0BDE"/>
    <w:rsid w:val="00CC146E"/>
    <w:rsid w:val="00CC583E"/>
    <w:rsid w:val="00CD074A"/>
    <w:rsid w:val="00CD0902"/>
    <w:rsid w:val="00CD260C"/>
    <w:rsid w:val="00CD3FEC"/>
    <w:rsid w:val="00CD42B9"/>
    <w:rsid w:val="00CD6E0B"/>
    <w:rsid w:val="00CE37E5"/>
    <w:rsid w:val="00CE58C1"/>
    <w:rsid w:val="00CE6B7A"/>
    <w:rsid w:val="00CE707E"/>
    <w:rsid w:val="00CF7A4D"/>
    <w:rsid w:val="00D00AE0"/>
    <w:rsid w:val="00D026D5"/>
    <w:rsid w:val="00D0274A"/>
    <w:rsid w:val="00D1104B"/>
    <w:rsid w:val="00D15D65"/>
    <w:rsid w:val="00D17890"/>
    <w:rsid w:val="00D20ACD"/>
    <w:rsid w:val="00D2162C"/>
    <w:rsid w:val="00D23DA5"/>
    <w:rsid w:val="00D24852"/>
    <w:rsid w:val="00D27C06"/>
    <w:rsid w:val="00D35B3D"/>
    <w:rsid w:val="00D36C38"/>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6C5B"/>
    <w:rsid w:val="00D779F7"/>
    <w:rsid w:val="00D810B2"/>
    <w:rsid w:val="00D81739"/>
    <w:rsid w:val="00D82EC3"/>
    <w:rsid w:val="00D838DF"/>
    <w:rsid w:val="00D83F54"/>
    <w:rsid w:val="00D87421"/>
    <w:rsid w:val="00D94863"/>
    <w:rsid w:val="00DA047A"/>
    <w:rsid w:val="00DA2762"/>
    <w:rsid w:val="00DA36BF"/>
    <w:rsid w:val="00DA527B"/>
    <w:rsid w:val="00DA6234"/>
    <w:rsid w:val="00DB0BB8"/>
    <w:rsid w:val="00DB377A"/>
    <w:rsid w:val="00DB7D40"/>
    <w:rsid w:val="00DC032B"/>
    <w:rsid w:val="00DC1794"/>
    <w:rsid w:val="00DC1EF3"/>
    <w:rsid w:val="00DC43ED"/>
    <w:rsid w:val="00DD0E9B"/>
    <w:rsid w:val="00DD36A7"/>
    <w:rsid w:val="00DD3DDA"/>
    <w:rsid w:val="00DD48A5"/>
    <w:rsid w:val="00DD54E0"/>
    <w:rsid w:val="00DE0020"/>
    <w:rsid w:val="00DE4307"/>
    <w:rsid w:val="00DE4DCE"/>
    <w:rsid w:val="00DE5383"/>
    <w:rsid w:val="00DE6956"/>
    <w:rsid w:val="00DF3533"/>
    <w:rsid w:val="00DF42C2"/>
    <w:rsid w:val="00DF520A"/>
    <w:rsid w:val="00DF55CE"/>
    <w:rsid w:val="00E0142F"/>
    <w:rsid w:val="00E0229B"/>
    <w:rsid w:val="00E0351F"/>
    <w:rsid w:val="00E036DD"/>
    <w:rsid w:val="00E04699"/>
    <w:rsid w:val="00E125D7"/>
    <w:rsid w:val="00E12826"/>
    <w:rsid w:val="00E16BA5"/>
    <w:rsid w:val="00E17299"/>
    <w:rsid w:val="00E172D2"/>
    <w:rsid w:val="00E17D54"/>
    <w:rsid w:val="00E17EDB"/>
    <w:rsid w:val="00E24383"/>
    <w:rsid w:val="00E260AB"/>
    <w:rsid w:val="00E27D40"/>
    <w:rsid w:val="00E316B8"/>
    <w:rsid w:val="00E37B3A"/>
    <w:rsid w:val="00E4179D"/>
    <w:rsid w:val="00E43433"/>
    <w:rsid w:val="00E43EC9"/>
    <w:rsid w:val="00E44329"/>
    <w:rsid w:val="00E519B9"/>
    <w:rsid w:val="00E540A1"/>
    <w:rsid w:val="00E55097"/>
    <w:rsid w:val="00E55E51"/>
    <w:rsid w:val="00E571EA"/>
    <w:rsid w:val="00E6089F"/>
    <w:rsid w:val="00E609B5"/>
    <w:rsid w:val="00E60B27"/>
    <w:rsid w:val="00E669C9"/>
    <w:rsid w:val="00E706E1"/>
    <w:rsid w:val="00E80D7B"/>
    <w:rsid w:val="00E83899"/>
    <w:rsid w:val="00E8462D"/>
    <w:rsid w:val="00E87546"/>
    <w:rsid w:val="00E9084B"/>
    <w:rsid w:val="00E95BF1"/>
    <w:rsid w:val="00E95C28"/>
    <w:rsid w:val="00E960C8"/>
    <w:rsid w:val="00E96B23"/>
    <w:rsid w:val="00EA5226"/>
    <w:rsid w:val="00EB212D"/>
    <w:rsid w:val="00EB7E72"/>
    <w:rsid w:val="00EC13D0"/>
    <w:rsid w:val="00EC3FD8"/>
    <w:rsid w:val="00EC4D26"/>
    <w:rsid w:val="00EC5EDE"/>
    <w:rsid w:val="00EC6441"/>
    <w:rsid w:val="00ED0068"/>
    <w:rsid w:val="00ED4F81"/>
    <w:rsid w:val="00EE0155"/>
    <w:rsid w:val="00EE46E6"/>
    <w:rsid w:val="00EE66CC"/>
    <w:rsid w:val="00EF06F3"/>
    <w:rsid w:val="00EF287B"/>
    <w:rsid w:val="00EF43AB"/>
    <w:rsid w:val="00EF4510"/>
    <w:rsid w:val="00EF5C3B"/>
    <w:rsid w:val="00F024B2"/>
    <w:rsid w:val="00F04225"/>
    <w:rsid w:val="00F04D6F"/>
    <w:rsid w:val="00F103E1"/>
    <w:rsid w:val="00F11DDC"/>
    <w:rsid w:val="00F1494A"/>
    <w:rsid w:val="00F20FBB"/>
    <w:rsid w:val="00F24589"/>
    <w:rsid w:val="00F248C7"/>
    <w:rsid w:val="00F25125"/>
    <w:rsid w:val="00F320F0"/>
    <w:rsid w:val="00F34AF9"/>
    <w:rsid w:val="00F4007B"/>
    <w:rsid w:val="00F45D2D"/>
    <w:rsid w:val="00F52149"/>
    <w:rsid w:val="00F52F64"/>
    <w:rsid w:val="00F714DD"/>
    <w:rsid w:val="00F72A00"/>
    <w:rsid w:val="00F74957"/>
    <w:rsid w:val="00F763F5"/>
    <w:rsid w:val="00F85F25"/>
    <w:rsid w:val="00F91685"/>
    <w:rsid w:val="00F9184B"/>
    <w:rsid w:val="00F91DFE"/>
    <w:rsid w:val="00F9523D"/>
    <w:rsid w:val="00FA34C6"/>
    <w:rsid w:val="00FA7216"/>
    <w:rsid w:val="00FB1F82"/>
    <w:rsid w:val="00FB42CE"/>
    <w:rsid w:val="00FB71AF"/>
    <w:rsid w:val="00FB7673"/>
    <w:rsid w:val="00FC0B94"/>
    <w:rsid w:val="00FC2BF7"/>
    <w:rsid w:val="00FC5AE0"/>
    <w:rsid w:val="00FC5D1C"/>
    <w:rsid w:val="00FC6541"/>
    <w:rsid w:val="00FC68D3"/>
    <w:rsid w:val="00FD4A8D"/>
    <w:rsid w:val="00FD6B7D"/>
    <w:rsid w:val="00FD7583"/>
    <w:rsid w:val="00FE09EE"/>
    <w:rsid w:val="00FE4209"/>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F6"/>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sq"/>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lang w:val="sq"/>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sq"/>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sq"/>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72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618">
      <w:bodyDiv w:val="1"/>
      <w:marLeft w:val="0"/>
      <w:marRight w:val="0"/>
      <w:marTop w:val="0"/>
      <w:marBottom w:val="0"/>
      <w:divBdr>
        <w:top w:val="none" w:sz="0" w:space="0" w:color="auto"/>
        <w:left w:val="none" w:sz="0" w:space="0" w:color="auto"/>
        <w:bottom w:val="none" w:sz="0" w:space="0" w:color="auto"/>
        <w:right w:val="none" w:sz="0" w:space="0" w:color="auto"/>
      </w:divBdr>
      <w:divsChild>
        <w:div w:id="481969684">
          <w:marLeft w:val="0"/>
          <w:marRight w:val="0"/>
          <w:marTop w:val="0"/>
          <w:marBottom w:val="0"/>
          <w:divBdr>
            <w:top w:val="none" w:sz="0" w:space="0" w:color="auto"/>
            <w:left w:val="none" w:sz="0" w:space="0" w:color="auto"/>
            <w:bottom w:val="none" w:sz="0" w:space="0" w:color="auto"/>
            <w:right w:val="none" w:sz="0" w:space="0" w:color="auto"/>
          </w:divBdr>
        </w:div>
      </w:divsChild>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3463">
      <w:bodyDiv w:val="1"/>
      <w:marLeft w:val="0"/>
      <w:marRight w:val="0"/>
      <w:marTop w:val="0"/>
      <w:marBottom w:val="0"/>
      <w:divBdr>
        <w:top w:val="none" w:sz="0" w:space="0" w:color="auto"/>
        <w:left w:val="none" w:sz="0" w:space="0" w:color="auto"/>
        <w:bottom w:val="none" w:sz="0" w:space="0" w:color="auto"/>
        <w:right w:val="none" w:sz="0" w:space="0" w:color="auto"/>
      </w:divBdr>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10830167">
      <w:bodyDiv w:val="1"/>
      <w:marLeft w:val="0"/>
      <w:marRight w:val="0"/>
      <w:marTop w:val="0"/>
      <w:marBottom w:val="0"/>
      <w:divBdr>
        <w:top w:val="none" w:sz="0" w:space="0" w:color="auto"/>
        <w:left w:val="none" w:sz="0" w:space="0" w:color="auto"/>
        <w:bottom w:val="none" w:sz="0" w:space="0" w:color="auto"/>
        <w:right w:val="none" w:sz="0" w:space="0" w:color="auto"/>
      </w:divBdr>
    </w:div>
    <w:div w:id="811991425">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5225467">
      <w:bodyDiv w:val="1"/>
      <w:marLeft w:val="0"/>
      <w:marRight w:val="0"/>
      <w:marTop w:val="0"/>
      <w:marBottom w:val="0"/>
      <w:divBdr>
        <w:top w:val="none" w:sz="0" w:space="0" w:color="auto"/>
        <w:left w:val="none" w:sz="0" w:space="0" w:color="auto"/>
        <w:bottom w:val="none" w:sz="0" w:space="0" w:color="auto"/>
        <w:right w:val="none" w:sz="0" w:space="0" w:color="auto"/>
      </w:divBdr>
      <w:divsChild>
        <w:div w:id="921766374">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3F58B-51AC-466F-8C94-B822C1CB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5CE48-103C-4F56-8FF9-5C26C8B7C9EC}">
  <ds:schemaRefs>
    <ds:schemaRef ds:uri="http://schemas.openxmlformats.org/officeDocument/2006/bibliography"/>
  </ds:schemaRefs>
</ds:datastoreItem>
</file>

<file path=customXml/itemProps3.xml><?xml version="1.0" encoding="utf-8"?>
<ds:datastoreItem xmlns:ds="http://schemas.openxmlformats.org/officeDocument/2006/customXml" ds:itemID="{8C309577-B18A-45D8-BD63-E406DC6F146F}">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C196E9E1-D444-4C90-8456-00ABA4AA7752}">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60</Pages>
  <Words>21145</Words>
  <Characters>120530</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13</cp:revision>
  <cp:lastPrinted>2026-06-18T09:12:00Z</cp:lastPrinted>
  <dcterms:created xsi:type="dcterms:W3CDTF">2026-06-03T14:03:00Z</dcterms:created>
  <dcterms:modified xsi:type="dcterms:W3CDTF">2026-06-18T09:15:00Z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3df40c06-6727-408e-8786-5f322d40f853</vt:lpwstr>
  </property>
</Properties>
</file>