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0C3F" w14:textId="77777777" w:rsidR="00922FEB" w:rsidRPr="00036F88" w:rsidRDefault="00922FEB" w:rsidP="00036F88">
      <w:pPr>
        <w:pStyle w:val="BodyText"/>
        <w:jc w:val="center"/>
        <w:rPr>
          <w:rFonts w:ascii="Times New Roman" w:hAnsi="Times New Roman" w:cs="Times New Roman"/>
          <w:sz w:val="18"/>
          <w:szCs w:val="18"/>
          <w:lang w:val="en-US"/>
        </w:rPr>
      </w:pPr>
      <w:r>
        <w:rPr>
          <w:rFonts w:ascii="Times New Roman" w:hAnsi="Times New Roman" w:cs="Times New Roman"/>
          <w:sz w:val="18"/>
          <w:szCs w:val="18"/>
          <w:lang w:val="en-US"/>
        </w:rPr>
        <w:t>TABLE OF TRANSPOSITION</w:t>
      </w:r>
    </w:p>
    <w:p w14:paraId="34DF4CE6" w14:textId="77777777" w:rsidR="00922FEB" w:rsidRPr="00036F88" w:rsidRDefault="00922FEB" w:rsidP="00036F88">
      <w:pPr>
        <w:spacing w:after="0" w:line="240" w:lineRule="auto"/>
        <w:rPr>
          <w:rFonts w:ascii="Times New Roman" w:eastAsia="Times New Roman" w:hAnsi="Times New Roman" w:cs="Times New Roman"/>
          <w:kern w:val="0"/>
          <w:sz w:val="18"/>
          <w:szCs w:val="18"/>
          <w14:ligatures w14:val="none"/>
        </w:rPr>
      </w:pPr>
    </w:p>
    <w:tbl>
      <w:tblPr>
        <w:tblStyle w:val="TableGrid"/>
        <w:tblW w:w="16290" w:type="dxa"/>
        <w:tblInd w:w="-1175" w:type="dxa"/>
        <w:tblLayout w:type="fixed"/>
        <w:tblLook w:val="04A0" w:firstRow="1" w:lastRow="0" w:firstColumn="1" w:lastColumn="0" w:noHBand="0" w:noVBand="1"/>
      </w:tblPr>
      <w:tblGrid>
        <w:gridCol w:w="630"/>
        <w:gridCol w:w="5400"/>
        <w:gridCol w:w="540"/>
        <w:gridCol w:w="720"/>
        <w:gridCol w:w="5040"/>
        <w:gridCol w:w="720"/>
        <w:gridCol w:w="3240"/>
      </w:tblGrid>
      <w:tr w:rsidR="00260632" w:rsidRPr="00036F88" w14:paraId="61092F5B" w14:textId="77777777" w:rsidTr="00D50C43">
        <w:trPr>
          <w:tblHeader/>
        </w:trPr>
        <w:tc>
          <w:tcPr>
            <w:tcW w:w="6030" w:type="dxa"/>
            <w:gridSpan w:val="2"/>
          </w:tcPr>
          <w:p w14:paraId="3C5907D2" w14:textId="77777777" w:rsidR="00936229" w:rsidRDefault="00936229" w:rsidP="00936229">
            <w:pPr>
              <w:pBdr>
                <w:top w:val="nil"/>
                <w:left w:val="nil"/>
                <w:bottom w:val="nil"/>
                <w:right w:val="nil"/>
                <w:between w:val="nil"/>
              </w:pBdr>
              <w:spacing w:before="120"/>
              <w:jc w:val="both"/>
              <w:rPr>
                <w:rFonts w:ascii="Times New Roman" w:hAnsi="Times New Roman" w:cs="Times New Roman"/>
                <w:color w:val="333333"/>
                <w:sz w:val="18"/>
                <w:szCs w:val="18"/>
                <w:shd w:val="clear" w:color="auto" w:fill="FFFFFF"/>
              </w:rPr>
            </w:pPr>
            <w:r>
              <w:rPr>
                <w:rFonts w:ascii="Times New Roman" w:hAnsi="Times New Roman" w:cs="Times New Roman"/>
                <w:color w:val="333333"/>
                <w:sz w:val="18"/>
                <w:szCs w:val="18"/>
                <w:shd w:val="clear" w:color="auto" w:fill="FFFFFF"/>
              </w:rPr>
              <w:t>European Union legislation:</w:t>
            </w:r>
          </w:p>
          <w:p w14:paraId="018722F7" w14:textId="78ADBDD8" w:rsidR="002D529D" w:rsidRPr="00936229" w:rsidRDefault="008B5730" w:rsidP="00936229">
            <w:pPr>
              <w:pBdr>
                <w:top w:val="nil"/>
                <w:left w:val="nil"/>
                <w:bottom w:val="nil"/>
                <w:right w:val="nil"/>
                <w:between w:val="nil"/>
              </w:pBdr>
              <w:spacing w:before="120"/>
              <w:jc w:val="both"/>
              <w:rPr>
                <w:rFonts w:ascii="Times New Roman" w:eastAsia="Times New Roman" w:hAnsi="Times New Roman" w:cs="Times New Roman"/>
                <w:sz w:val="18"/>
                <w:szCs w:val="18"/>
              </w:rPr>
            </w:pPr>
            <w:r w:rsidRPr="00936229">
              <w:rPr>
                <w:rFonts w:ascii="Times New Roman" w:hAnsi="Times New Roman" w:cs="Times New Roman"/>
                <w:color w:val="333333"/>
                <w:sz w:val="18"/>
                <w:szCs w:val="18"/>
                <w:shd w:val="clear" w:color="auto" w:fill="FFFFFF"/>
              </w:rPr>
              <w:t>Council Directive (EU) 2021/514 of 22 March 2021 amending Directive 2011/16/EU on administrative cooperation in the field of taxation</w:t>
            </w:r>
          </w:p>
          <w:p w14:paraId="7595DA82" w14:textId="2A0EA07D" w:rsidR="009D0B38" w:rsidRPr="00036F88" w:rsidRDefault="009D0B38" w:rsidP="008B5730">
            <w:pPr>
              <w:pStyle w:val="ListParagraph"/>
              <w:pBdr>
                <w:top w:val="nil"/>
                <w:left w:val="nil"/>
                <w:bottom w:val="nil"/>
                <w:right w:val="nil"/>
                <w:between w:val="nil"/>
              </w:pBdr>
              <w:spacing w:before="120" w:after="0" w:line="240" w:lineRule="auto"/>
              <w:jc w:val="both"/>
              <w:rPr>
                <w:rFonts w:ascii="Times New Roman" w:eastAsia="Calibri" w:hAnsi="Times New Roman" w:cs="Times New Roman"/>
                <w:sz w:val="18"/>
                <w:szCs w:val="18"/>
              </w:rPr>
            </w:pPr>
          </w:p>
        </w:tc>
        <w:tc>
          <w:tcPr>
            <w:tcW w:w="10260" w:type="dxa"/>
            <w:gridSpan w:val="5"/>
            <w:vAlign w:val="center"/>
          </w:tcPr>
          <w:p w14:paraId="10ECADF5" w14:textId="77777777" w:rsidR="00922FEB" w:rsidRDefault="00922FEB" w:rsidP="00036F88">
            <w:pPr>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Albanian legislation:</w:t>
            </w:r>
          </w:p>
          <w:p w14:paraId="77F8ED05" w14:textId="77777777" w:rsidR="00936229" w:rsidRPr="00036F88" w:rsidRDefault="00936229" w:rsidP="00036F88">
            <w:pPr>
              <w:jc w:val="both"/>
              <w:rPr>
                <w:rFonts w:ascii="Times New Roman" w:eastAsia="Calibri" w:hAnsi="Times New Roman" w:cs="Times New Roman"/>
                <w:sz w:val="18"/>
                <w:szCs w:val="18"/>
                <w:lang w:val="en-US"/>
              </w:rPr>
            </w:pPr>
          </w:p>
          <w:p w14:paraId="6FF890AD" w14:textId="0EA34975" w:rsidR="004F7895" w:rsidRPr="00036F88" w:rsidRDefault="008B5730" w:rsidP="008B5730">
            <w:pPr>
              <w:pStyle w:val="ListParagraph"/>
              <w:numPr>
                <w:ilvl w:val="0"/>
                <w:numId w:val="2"/>
              </w:numPr>
              <w:spacing w:after="0" w:line="240" w:lineRule="auto"/>
              <w:jc w:val="both"/>
              <w:rPr>
                <w:rFonts w:ascii="Times New Roman" w:eastAsia="Calibri" w:hAnsi="Times New Roman" w:cs="Times New Roman"/>
                <w:sz w:val="18"/>
                <w:szCs w:val="18"/>
              </w:rPr>
            </w:pPr>
            <w:r>
              <w:rPr>
                <w:rFonts w:ascii="Times New Roman" w:eastAsia="Times New Roman" w:hAnsi="Times New Roman" w:cs="Times New Roman"/>
                <w:sz w:val="18"/>
                <w:szCs w:val="18"/>
              </w:rPr>
              <w:t>On the automatic exchange of information by operators of digital platforms</w:t>
            </w:r>
          </w:p>
          <w:p w14:paraId="45F1A6D2" w14:textId="77777777" w:rsidR="00936229" w:rsidRDefault="00936229" w:rsidP="00036F88">
            <w:pPr>
              <w:jc w:val="both"/>
              <w:rPr>
                <w:rFonts w:ascii="Times New Roman" w:hAnsi="Times New Roman" w:cs="Times New Roman"/>
                <w:sz w:val="18"/>
                <w:szCs w:val="18"/>
                <w:lang w:val="en-US"/>
              </w:rPr>
            </w:pPr>
          </w:p>
          <w:p w14:paraId="3102C9DB" w14:textId="23A9D8DF" w:rsidR="001D652C" w:rsidRPr="00036F88" w:rsidRDefault="001D652C" w:rsidP="00036F88">
            <w:pPr>
              <w:jc w:val="both"/>
              <w:rPr>
                <w:rFonts w:ascii="Times New Roman" w:hAnsi="Times New Roman" w:cs="Times New Roman"/>
                <w:sz w:val="18"/>
                <w:szCs w:val="18"/>
                <w:lang w:val="en-US"/>
              </w:rPr>
            </w:pPr>
            <w:r>
              <w:rPr>
                <w:rFonts w:ascii="Times New Roman" w:hAnsi="Times New Roman" w:cs="Times New Roman"/>
                <w:sz w:val="18"/>
                <w:szCs w:val="18"/>
                <w:lang w:val="en-US"/>
              </w:rPr>
              <w:t>The general degree of approximation with national legislation:</w:t>
            </w:r>
          </w:p>
          <w:p w14:paraId="5306AA67" w14:textId="77777777" w:rsidR="001D652C" w:rsidRPr="00036F88" w:rsidRDefault="001D652C" w:rsidP="00DF3533">
            <w:pPr>
              <w:pStyle w:val="ListParagraph"/>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F - full compliance</w:t>
            </w:r>
          </w:p>
          <w:p w14:paraId="41C41513" w14:textId="2BEE09AF" w:rsidR="001D652C" w:rsidRPr="00036F88" w:rsidRDefault="00936229" w:rsidP="00036F88">
            <w:pPr>
              <w:jc w:val="both"/>
              <w:rPr>
                <w:rFonts w:ascii="Times New Roman" w:hAnsi="Times New Roman" w:cs="Times New Roman"/>
                <w:sz w:val="18"/>
                <w:szCs w:val="18"/>
              </w:rPr>
            </w:pPr>
            <w:r>
              <w:rPr>
                <w:rFonts w:ascii="Times New Roman" w:hAnsi="Times New Roman" w:cs="Times New Roman"/>
                <w:sz w:val="18"/>
                <w:szCs w:val="18"/>
              </w:rPr>
              <w:t xml:space="preserve">                </w:t>
            </w:r>
            <w:r w:rsidR="001D652C">
              <w:rPr>
                <w:rFonts w:ascii="Times New Roman" w:hAnsi="Times New Roman" w:cs="Times New Roman"/>
                <w:sz w:val="18"/>
                <w:szCs w:val="18"/>
              </w:rPr>
              <w:t>P - partial compliance</w:t>
            </w:r>
          </w:p>
          <w:p w14:paraId="289EB650" w14:textId="514BC5B3" w:rsidR="00922FEB" w:rsidRPr="00036F88" w:rsidRDefault="00936229" w:rsidP="00036F88">
            <w:pPr>
              <w:jc w:val="both"/>
              <w:rPr>
                <w:rFonts w:ascii="Times New Roman" w:eastAsia="Calibri" w:hAnsi="Times New Roman" w:cs="Times New Roman"/>
                <w:sz w:val="18"/>
                <w:szCs w:val="18"/>
              </w:rPr>
            </w:pPr>
            <w:r>
              <w:rPr>
                <w:rFonts w:ascii="Times New Roman" w:hAnsi="Times New Roman" w:cs="Times New Roman"/>
                <w:sz w:val="18"/>
                <w:szCs w:val="18"/>
              </w:rPr>
              <w:t xml:space="preserve">                </w:t>
            </w:r>
            <w:r w:rsidR="001D652C">
              <w:rPr>
                <w:rFonts w:ascii="Times New Roman" w:hAnsi="Times New Roman" w:cs="Times New Roman"/>
                <w:sz w:val="18"/>
                <w:szCs w:val="18"/>
              </w:rPr>
              <w:t>N - non-compliance</w:t>
            </w:r>
          </w:p>
          <w:p w14:paraId="6BC4DEF2" w14:textId="77777777" w:rsidR="00922FEB" w:rsidRPr="00036F88" w:rsidRDefault="00922FEB" w:rsidP="00036F88">
            <w:pPr>
              <w:rPr>
                <w:rFonts w:ascii="Times New Roman" w:eastAsia="Calibri" w:hAnsi="Times New Roman" w:cs="Times New Roman"/>
                <w:sz w:val="18"/>
                <w:szCs w:val="18"/>
              </w:rPr>
            </w:pPr>
          </w:p>
          <w:p w14:paraId="7AA9D97B" w14:textId="77777777" w:rsidR="00922FEB" w:rsidRPr="00036F88" w:rsidRDefault="00922FEB" w:rsidP="00036F88">
            <w:pPr>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tc>
      </w:tr>
      <w:tr w:rsidR="00260632" w:rsidRPr="00036F88" w14:paraId="01827783" w14:textId="77777777" w:rsidTr="00D50C43">
        <w:trPr>
          <w:tblHeader/>
        </w:trPr>
        <w:tc>
          <w:tcPr>
            <w:tcW w:w="630" w:type="dxa"/>
            <w:shd w:val="clear" w:color="auto" w:fill="BFBFBF"/>
          </w:tcPr>
          <w:p w14:paraId="52A84D2B" w14:textId="721D3075" w:rsidR="004F619A" w:rsidRPr="00036F88" w:rsidRDefault="004F619A" w:rsidP="00036F88">
            <w:pPr>
              <w:jc w:val="center"/>
              <w:rPr>
                <w:rFonts w:ascii="Times New Roman" w:eastAsia="Times New Roman" w:hAnsi="Times New Roman" w:cs="Times New Roman"/>
                <w:sz w:val="18"/>
                <w:szCs w:val="18"/>
              </w:rPr>
            </w:pPr>
            <w:r>
              <w:rPr>
                <w:rFonts w:ascii="Times New Roman" w:hAnsi="Times New Roman" w:cs="Times New Roman"/>
                <w:sz w:val="18"/>
                <w:szCs w:val="18"/>
              </w:rPr>
              <w:t>1</w:t>
            </w:r>
          </w:p>
        </w:tc>
        <w:tc>
          <w:tcPr>
            <w:tcW w:w="5400" w:type="dxa"/>
            <w:shd w:val="clear" w:color="auto" w:fill="BFBFBF"/>
          </w:tcPr>
          <w:p w14:paraId="1DA553D3" w14:textId="64D8F57B" w:rsidR="004F619A" w:rsidRPr="00036F88" w:rsidRDefault="004F619A" w:rsidP="00036F88">
            <w:pPr>
              <w:jc w:val="center"/>
              <w:rPr>
                <w:rFonts w:ascii="Times New Roman" w:eastAsia="Times New Roman" w:hAnsi="Times New Roman" w:cs="Times New Roman"/>
                <w:i/>
                <w:sz w:val="18"/>
                <w:szCs w:val="18"/>
              </w:rPr>
            </w:pPr>
            <w:r>
              <w:rPr>
                <w:rFonts w:ascii="Times New Roman" w:hAnsi="Times New Roman" w:cs="Times New Roman"/>
                <w:sz w:val="18"/>
                <w:szCs w:val="18"/>
              </w:rPr>
              <w:t>2</w:t>
            </w:r>
          </w:p>
        </w:tc>
        <w:tc>
          <w:tcPr>
            <w:tcW w:w="540" w:type="dxa"/>
            <w:shd w:val="clear" w:color="auto" w:fill="BFBFBF"/>
          </w:tcPr>
          <w:p w14:paraId="6A8D7A06" w14:textId="724E6EFC" w:rsidR="004F619A" w:rsidRPr="00036F88" w:rsidRDefault="004F619A" w:rsidP="00036F88">
            <w:pPr>
              <w:jc w:val="center"/>
              <w:rPr>
                <w:rFonts w:ascii="Times New Roman" w:eastAsia="Times New Roman" w:hAnsi="Times New Roman" w:cs="Times New Roman"/>
                <w:i/>
                <w:sz w:val="18"/>
                <w:szCs w:val="18"/>
              </w:rPr>
            </w:pPr>
            <w:r>
              <w:rPr>
                <w:rFonts w:ascii="Times New Roman" w:hAnsi="Times New Roman" w:cs="Times New Roman"/>
                <w:sz w:val="18"/>
                <w:szCs w:val="18"/>
              </w:rPr>
              <w:t>3</w:t>
            </w:r>
          </w:p>
        </w:tc>
        <w:tc>
          <w:tcPr>
            <w:tcW w:w="720" w:type="dxa"/>
            <w:shd w:val="clear" w:color="auto" w:fill="BFBFBF"/>
          </w:tcPr>
          <w:p w14:paraId="508F371C" w14:textId="4604AAB0" w:rsidR="004F619A" w:rsidRPr="00036F88" w:rsidRDefault="004F619A" w:rsidP="00036F88">
            <w:pPr>
              <w:jc w:val="center"/>
              <w:rPr>
                <w:rFonts w:ascii="Times New Roman" w:eastAsia="Times New Roman" w:hAnsi="Times New Roman" w:cs="Times New Roman"/>
                <w:i/>
                <w:sz w:val="18"/>
                <w:szCs w:val="18"/>
              </w:rPr>
            </w:pPr>
            <w:r>
              <w:rPr>
                <w:rFonts w:ascii="Times New Roman" w:hAnsi="Times New Roman" w:cs="Times New Roman"/>
                <w:sz w:val="18"/>
                <w:szCs w:val="18"/>
              </w:rPr>
              <w:t>4</w:t>
            </w:r>
          </w:p>
        </w:tc>
        <w:tc>
          <w:tcPr>
            <w:tcW w:w="5040" w:type="dxa"/>
            <w:shd w:val="clear" w:color="auto" w:fill="BFBFBF"/>
          </w:tcPr>
          <w:p w14:paraId="2141FB79" w14:textId="3C150691" w:rsidR="004F619A" w:rsidRPr="00036F88" w:rsidRDefault="004F619A" w:rsidP="00036F88">
            <w:pPr>
              <w:jc w:val="center"/>
              <w:rPr>
                <w:rFonts w:ascii="Times New Roman" w:eastAsia="Times New Roman" w:hAnsi="Times New Roman" w:cs="Times New Roman"/>
                <w:i/>
                <w:sz w:val="18"/>
                <w:szCs w:val="18"/>
              </w:rPr>
            </w:pPr>
            <w:r>
              <w:rPr>
                <w:rFonts w:ascii="Times New Roman" w:hAnsi="Times New Roman" w:cs="Times New Roman"/>
                <w:sz w:val="18"/>
                <w:szCs w:val="18"/>
              </w:rPr>
              <w:t>5</w:t>
            </w:r>
          </w:p>
        </w:tc>
        <w:tc>
          <w:tcPr>
            <w:tcW w:w="720" w:type="dxa"/>
            <w:shd w:val="clear" w:color="auto" w:fill="BFBFBF"/>
          </w:tcPr>
          <w:p w14:paraId="7B5923AD" w14:textId="0DA9C058" w:rsidR="004F619A" w:rsidRPr="00036F88" w:rsidRDefault="004F619A" w:rsidP="00036F88">
            <w:pPr>
              <w:jc w:val="center"/>
              <w:rPr>
                <w:rFonts w:ascii="Times New Roman" w:eastAsia="Times New Roman" w:hAnsi="Times New Roman" w:cs="Times New Roman"/>
                <w:i/>
                <w:sz w:val="18"/>
                <w:szCs w:val="18"/>
              </w:rPr>
            </w:pPr>
            <w:r>
              <w:rPr>
                <w:rFonts w:ascii="Times New Roman" w:hAnsi="Times New Roman" w:cs="Times New Roman"/>
                <w:sz w:val="18"/>
                <w:szCs w:val="18"/>
              </w:rPr>
              <w:t>6</w:t>
            </w:r>
          </w:p>
        </w:tc>
        <w:tc>
          <w:tcPr>
            <w:tcW w:w="3240" w:type="dxa"/>
            <w:shd w:val="clear" w:color="auto" w:fill="BFBFBF"/>
          </w:tcPr>
          <w:p w14:paraId="25BA9212" w14:textId="4444B760" w:rsidR="004F619A" w:rsidRPr="00036F88" w:rsidRDefault="004F619A" w:rsidP="00036F88">
            <w:pPr>
              <w:jc w:val="center"/>
              <w:rPr>
                <w:rFonts w:ascii="Times New Roman" w:eastAsia="Times New Roman" w:hAnsi="Times New Roman" w:cs="Times New Roman"/>
                <w:i/>
                <w:sz w:val="18"/>
                <w:szCs w:val="18"/>
              </w:rPr>
            </w:pPr>
            <w:r>
              <w:rPr>
                <w:rFonts w:ascii="Times New Roman" w:hAnsi="Times New Roman" w:cs="Times New Roman"/>
                <w:sz w:val="18"/>
                <w:szCs w:val="18"/>
              </w:rPr>
              <w:t>7</w:t>
            </w:r>
          </w:p>
        </w:tc>
      </w:tr>
      <w:tr w:rsidR="00260632" w:rsidRPr="00036F88" w14:paraId="405531F1" w14:textId="77777777" w:rsidTr="00D50C43">
        <w:trPr>
          <w:tblHeader/>
        </w:trPr>
        <w:tc>
          <w:tcPr>
            <w:tcW w:w="630" w:type="dxa"/>
            <w:shd w:val="clear" w:color="auto" w:fill="BFBFBF"/>
            <w:vAlign w:val="center"/>
          </w:tcPr>
          <w:p w14:paraId="1E9FDE14" w14:textId="77777777" w:rsidR="004F619A" w:rsidRPr="00036F88" w:rsidRDefault="004F619A" w:rsidP="00036F88">
            <w:pPr>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Article</w:t>
            </w:r>
          </w:p>
        </w:tc>
        <w:tc>
          <w:tcPr>
            <w:tcW w:w="5400" w:type="dxa"/>
            <w:shd w:val="clear" w:color="auto" w:fill="BFBFBF"/>
            <w:vAlign w:val="center"/>
          </w:tcPr>
          <w:p w14:paraId="76176853" w14:textId="77777777" w:rsidR="004F619A" w:rsidRPr="00036F88" w:rsidRDefault="004F619A" w:rsidP="00036F88">
            <w:pPr>
              <w:jc w:val="center"/>
              <w:rPr>
                <w:rFonts w:ascii="Times New Roman" w:eastAsia="Times New Roman" w:hAnsi="Times New Roman" w:cs="Times New Roman"/>
                <w:i/>
                <w:sz w:val="18"/>
                <w:szCs w:val="18"/>
                <w:lang w:val="en-US"/>
              </w:rPr>
            </w:pPr>
            <w:r>
              <w:rPr>
                <w:rFonts w:ascii="Times New Roman" w:eastAsia="Times New Roman" w:hAnsi="Times New Roman" w:cs="Times New Roman"/>
                <w:i/>
                <w:sz w:val="18"/>
                <w:szCs w:val="18"/>
                <w:lang w:val="en-US"/>
              </w:rPr>
              <w:t>Text</w:t>
            </w:r>
          </w:p>
        </w:tc>
        <w:tc>
          <w:tcPr>
            <w:tcW w:w="540" w:type="dxa"/>
            <w:shd w:val="clear" w:color="auto" w:fill="BFBFBF"/>
            <w:vAlign w:val="center"/>
          </w:tcPr>
          <w:p w14:paraId="7B0A27CB" w14:textId="77777777" w:rsidR="004F619A" w:rsidRPr="00036F88" w:rsidRDefault="004F619A" w:rsidP="00036F88">
            <w:pPr>
              <w:jc w:val="center"/>
              <w:rPr>
                <w:rFonts w:ascii="Times New Roman" w:eastAsia="Times New Roman" w:hAnsi="Times New Roman" w:cs="Times New Roman"/>
                <w:i/>
                <w:sz w:val="18"/>
                <w:szCs w:val="18"/>
                <w:lang w:val="en-US"/>
              </w:rPr>
            </w:pPr>
            <w:r>
              <w:rPr>
                <w:rFonts w:ascii="Times New Roman" w:eastAsia="Times New Roman" w:hAnsi="Times New Roman" w:cs="Times New Roman"/>
                <w:i/>
                <w:sz w:val="18"/>
                <w:szCs w:val="18"/>
                <w:lang w:val="en-US"/>
              </w:rPr>
              <w:t>Reference</w:t>
            </w:r>
          </w:p>
        </w:tc>
        <w:tc>
          <w:tcPr>
            <w:tcW w:w="720" w:type="dxa"/>
            <w:shd w:val="clear" w:color="auto" w:fill="BFBFBF"/>
            <w:vAlign w:val="center"/>
          </w:tcPr>
          <w:p w14:paraId="4FA58976" w14:textId="77777777" w:rsidR="004F619A" w:rsidRPr="00036F88" w:rsidRDefault="004F619A" w:rsidP="00036F88">
            <w:pPr>
              <w:jc w:val="center"/>
              <w:rPr>
                <w:rFonts w:ascii="Times New Roman" w:eastAsia="Times New Roman" w:hAnsi="Times New Roman" w:cs="Times New Roman"/>
                <w:i/>
                <w:sz w:val="18"/>
                <w:szCs w:val="18"/>
                <w:lang w:val="en-US"/>
              </w:rPr>
            </w:pPr>
            <w:r>
              <w:rPr>
                <w:rFonts w:ascii="Times New Roman" w:eastAsia="Times New Roman" w:hAnsi="Times New Roman" w:cs="Times New Roman"/>
                <w:i/>
                <w:sz w:val="18"/>
                <w:szCs w:val="18"/>
                <w:lang w:val="en-US"/>
              </w:rPr>
              <w:t>Article</w:t>
            </w:r>
          </w:p>
        </w:tc>
        <w:tc>
          <w:tcPr>
            <w:tcW w:w="5040" w:type="dxa"/>
            <w:shd w:val="clear" w:color="auto" w:fill="BFBFBF"/>
            <w:vAlign w:val="center"/>
          </w:tcPr>
          <w:p w14:paraId="1C97514E" w14:textId="77777777" w:rsidR="004F619A" w:rsidRPr="00036F88" w:rsidRDefault="004F619A" w:rsidP="00036F88">
            <w:pPr>
              <w:jc w:val="center"/>
              <w:rPr>
                <w:rFonts w:ascii="Times New Roman" w:eastAsia="Times New Roman" w:hAnsi="Times New Roman" w:cs="Times New Roman"/>
                <w:i/>
                <w:sz w:val="18"/>
                <w:szCs w:val="18"/>
                <w:lang w:val="en-US"/>
              </w:rPr>
            </w:pPr>
            <w:r>
              <w:rPr>
                <w:rFonts w:ascii="Times New Roman" w:eastAsia="Times New Roman" w:hAnsi="Times New Roman" w:cs="Times New Roman"/>
                <w:i/>
                <w:sz w:val="18"/>
                <w:szCs w:val="18"/>
                <w:lang w:val="en-US"/>
              </w:rPr>
              <w:t>Text</w:t>
            </w:r>
          </w:p>
        </w:tc>
        <w:tc>
          <w:tcPr>
            <w:tcW w:w="720" w:type="dxa"/>
            <w:shd w:val="clear" w:color="auto" w:fill="BFBFBF"/>
            <w:vAlign w:val="center"/>
          </w:tcPr>
          <w:p w14:paraId="7416E437" w14:textId="77777777" w:rsidR="004F619A" w:rsidRPr="00036F88" w:rsidRDefault="004F619A" w:rsidP="00036F88">
            <w:pPr>
              <w:jc w:val="center"/>
              <w:rPr>
                <w:rFonts w:ascii="Times New Roman" w:eastAsia="Times New Roman" w:hAnsi="Times New Roman" w:cs="Times New Roman"/>
                <w:i/>
                <w:sz w:val="18"/>
                <w:szCs w:val="18"/>
                <w:lang w:val="en-US"/>
              </w:rPr>
            </w:pPr>
            <w:r>
              <w:rPr>
                <w:rFonts w:ascii="Times New Roman" w:eastAsia="Times New Roman" w:hAnsi="Times New Roman" w:cs="Times New Roman"/>
                <w:i/>
                <w:sz w:val="18"/>
                <w:szCs w:val="18"/>
                <w:lang w:val="en-US"/>
              </w:rPr>
              <w:t>Compliance</w:t>
            </w:r>
          </w:p>
        </w:tc>
        <w:tc>
          <w:tcPr>
            <w:tcW w:w="3240" w:type="dxa"/>
            <w:shd w:val="clear" w:color="auto" w:fill="BFBFBF"/>
            <w:vAlign w:val="center"/>
          </w:tcPr>
          <w:p w14:paraId="2D3E0BBE" w14:textId="77777777" w:rsidR="004F619A" w:rsidRPr="00036F88" w:rsidRDefault="004F619A" w:rsidP="00036F88">
            <w:pPr>
              <w:jc w:val="center"/>
              <w:rPr>
                <w:rFonts w:ascii="Times New Roman" w:eastAsia="Times New Roman" w:hAnsi="Times New Roman" w:cs="Times New Roman"/>
                <w:i/>
                <w:sz w:val="18"/>
                <w:szCs w:val="18"/>
                <w:lang w:val="en-US"/>
              </w:rPr>
            </w:pPr>
            <w:r>
              <w:rPr>
                <w:rFonts w:ascii="Times New Roman" w:eastAsia="Times New Roman" w:hAnsi="Times New Roman" w:cs="Times New Roman"/>
                <w:i/>
                <w:sz w:val="18"/>
                <w:szCs w:val="18"/>
                <w:lang w:val="en-US"/>
              </w:rPr>
              <w:t>Notes</w:t>
            </w:r>
          </w:p>
        </w:tc>
      </w:tr>
    </w:tbl>
    <w:p w14:paraId="1F69D40D" w14:textId="3855042B" w:rsidR="00922FEB" w:rsidRPr="00036F88" w:rsidRDefault="00922FEB" w:rsidP="00036F88">
      <w:pPr>
        <w:spacing w:after="200" w:line="240" w:lineRule="auto"/>
        <w:rPr>
          <w:rFonts w:ascii="Times New Roman" w:eastAsia="Calibri" w:hAnsi="Times New Roman" w:cs="Times New Roman"/>
          <w:kern w:val="0"/>
          <w:sz w:val="18"/>
          <w:szCs w:val="18"/>
          <w14:ligatures w14:val="none"/>
        </w:rPr>
      </w:pPr>
    </w:p>
    <w:tbl>
      <w:tblPr>
        <w:tblStyle w:val="TableGrid"/>
        <w:tblW w:w="16643" w:type="dxa"/>
        <w:tblInd w:w="-1175" w:type="dxa"/>
        <w:tblLayout w:type="fixed"/>
        <w:tblLook w:val="04A0" w:firstRow="1" w:lastRow="0" w:firstColumn="1" w:lastColumn="0" w:noHBand="0" w:noVBand="1"/>
      </w:tblPr>
      <w:tblGrid>
        <w:gridCol w:w="630"/>
        <w:gridCol w:w="5400"/>
        <w:gridCol w:w="540"/>
        <w:gridCol w:w="720"/>
        <w:gridCol w:w="83"/>
        <w:gridCol w:w="4957"/>
        <w:gridCol w:w="83"/>
        <w:gridCol w:w="637"/>
        <w:gridCol w:w="83"/>
        <w:gridCol w:w="3157"/>
        <w:gridCol w:w="353"/>
      </w:tblGrid>
      <w:tr w:rsidR="00260632" w:rsidRPr="00036F88" w14:paraId="32F4D837" w14:textId="77777777" w:rsidTr="00D50C43">
        <w:trPr>
          <w:gridAfter w:val="1"/>
          <w:wAfter w:w="353" w:type="dxa"/>
          <w:tblHeader/>
        </w:trPr>
        <w:tc>
          <w:tcPr>
            <w:tcW w:w="630" w:type="dxa"/>
            <w:shd w:val="clear" w:color="auto" w:fill="BFBFBF"/>
          </w:tcPr>
          <w:p w14:paraId="623B109C" w14:textId="4AA779B1" w:rsidR="000A7EA3" w:rsidRPr="00036F88" w:rsidRDefault="000A7EA3" w:rsidP="00036F88">
            <w:pPr>
              <w:jc w:val="center"/>
              <w:rPr>
                <w:rFonts w:ascii="Times New Roman" w:eastAsia="Times New Roman" w:hAnsi="Times New Roman" w:cs="Times New Roman"/>
                <w:sz w:val="18"/>
                <w:szCs w:val="18"/>
              </w:rPr>
            </w:pPr>
            <w:r>
              <w:rPr>
                <w:rFonts w:ascii="Times New Roman" w:hAnsi="Times New Roman" w:cs="Times New Roman"/>
                <w:sz w:val="18"/>
                <w:szCs w:val="18"/>
              </w:rPr>
              <w:t>1</w:t>
            </w:r>
          </w:p>
        </w:tc>
        <w:tc>
          <w:tcPr>
            <w:tcW w:w="5400" w:type="dxa"/>
            <w:shd w:val="clear" w:color="auto" w:fill="BFBFBF"/>
          </w:tcPr>
          <w:p w14:paraId="0EF916BA" w14:textId="15F44D6D" w:rsidR="000A7EA3" w:rsidRPr="00036F88" w:rsidRDefault="000A7EA3" w:rsidP="00036F88">
            <w:pPr>
              <w:jc w:val="center"/>
              <w:rPr>
                <w:rFonts w:ascii="Times New Roman" w:eastAsia="Times New Roman" w:hAnsi="Times New Roman" w:cs="Times New Roman"/>
                <w:iCs/>
                <w:sz w:val="18"/>
                <w:szCs w:val="18"/>
              </w:rPr>
            </w:pPr>
            <w:r>
              <w:rPr>
                <w:rFonts w:ascii="Times New Roman" w:hAnsi="Times New Roman" w:cs="Times New Roman"/>
                <w:sz w:val="18"/>
                <w:szCs w:val="18"/>
              </w:rPr>
              <w:t>2</w:t>
            </w:r>
          </w:p>
        </w:tc>
        <w:tc>
          <w:tcPr>
            <w:tcW w:w="540" w:type="dxa"/>
            <w:shd w:val="clear" w:color="auto" w:fill="D0CECE" w:themeFill="background2" w:themeFillShade="E6"/>
          </w:tcPr>
          <w:p w14:paraId="04E9A02F" w14:textId="584B0512" w:rsidR="000A7EA3" w:rsidRPr="00036F88" w:rsidRDefault="000A7EA3" w:rsidP="00036F88">
            <w:pPr>
              <w:jc w:val="center"/>
              <w:rPr>
                <w:rFonts w:ascii="Times New Roman" w:hAnsi="Times New Roman" w:cs="Times New Roman"/>
                <w:sz w:val="18"/>
                <w:szCs w:val="18"/>
              </w:rPr>
            </w:pPr>
            <w:r>
              <w:rPr>
                <w:rFonts w:ascii="Times New Roman" w:hAnsi="Times New Roman" w:cs="Times New Roman"/>
                <w:sz w:val="18"/>
                <w:szCs w:val="18"/>
              </w:rPr>
              <w:t>3</w:t>
            </w:r>
          </w:p>
        </w:tc>
        <w:tc>
          <w:tcPr>
            <w:tcW w:w="720" w:type="dxa"/>
            <w:shd w:val="clear" w:color="auto" w:fill="BFBFBF"/>
          </w:tcPr>
          <w:p w14:paraId="11B2F0E9" w14:textId="510E5F67" w:rsidR="000A7EA3" w:rsidRPr="00036F88" w:rsidRDefault="000A7EA3" w:rsidP="00036F88">
            <w:pPr>
              <w:jc w:val="center"/>
              <w:rPr>
                <w:rFonts w:ascii="Times New Roman" w:eastAsia="Times New Roman" w:hAnsi="Times New Roman" w:cs="Times New Roman"/>
                <w:i/>
                <w:sz w:val="18"/>
                <w:szCs w:val="18"/>
              </w:rPr>
            </w:pPr>
            <w:r>
              <w:rPr>
                <w:rFonts w:ascii="Times New Roman" w:hAnsi="Times New Roman" w:cs="Times New Roman"/>
                <w:sz w:val="18"/>
                <w:szCs w:val="18"/>
              </w:rPr>
              <w:t>4</w:t>
            </w:r>
          </w:p>
        </w:tc>
        <w:tc>
          <w:tcPr>
            <w:tcW w:w="5040" w:type="dxa"/>
            <w:gridSpan w:val="2"/>
            <w:shd w:val="clear" w:color="auto" w:fill="BFBFBF"/>
          </w:tcPr>
          <w:p w14:paraId="18D0D936" w14:textId="2F6EC06B" w:rsidR="000A7EA3" w:rsidRPr="00036F88" w:rsidRDefault="000A7EA3" w:rsidP="00036F88">
            <w:pPr>
              <w:jc w:val="center"/>
              <w:rPr>
                <w:rFonts w:ascii="Times New Roman" w:eastAsia="Times New Roman" w:hAnsi="Times New Roman" w:cs="Times New Roman"/>
                <w:i/>
                <w:sz w:val="18"/>
                <w:szCs w:val="18"/>
              </w:rPr>
            </w:pPr>
            <w:r>
              <w:rPr>
                <w:rFonts w:ascii="Times New Roman" w:hAnsi="Times New Roman" w:cs="Times New Roman"/>
                <w:sz w:val="18"/>
                <w:szCs w:val="18"/>
              </w:rPr>
              <w:t>5</w:t>
            </w:r>
          </w:p>
        </w:tc>
        <w:tc>
          <w:tcPr>
            <w:tcW w:w="720" w:type="dxa"/>
            <w:gridSpan w:val="2"/>
            <w:shd w:val="clear" w:color="auto" w:fill="BFBFBF"/>
          </w:tcPr>
          <w:p w14:paraId="1F29B9CC" w14:textId="46D8A615" w:rsidR="000A7EA3" w:rsidRPr="00036F88" w:rsidRDefault="000A7EA3" w:rsidP="00036F88">
            <w:pPr>
              <w:jc w:val="center"/>
              <w:rPr>
                <w:rFonts w:ascii="Times New Roman" w:eastAsia="Times New Roman" w:hAnsi="Times New Roman" w:cs="Times New Roman"/>
                <w:i/>
                <w:sz w:val="18"/>
                <w:szCs w:val="18"/>
              </w:rPr>
            </w:pPr>
            <w:r>
              <w:rPr>
                <w:rFonts w:ascii="Times New Roman" w:hAnsi="Times New Roman" w:cs="Times New Roman"/>
                <w:sz w:val="18"/>
                <w:szCs w:val="18"/>
              </w:rPr>
              <w:t>6</w:t>
            </w:r>
          </w:p>
        </w:tc>
        <w:tc>
          <w:tcPr>
            <w:tcW w:w="3240" w:type="dxa"/>
            <w:gridSpan w:val="2"/>
            <w:shd w:val="clear" w:color="auto" w:fill="BFBFBF"/>
          </w:tcPr>
          <w:p w14:paraId="1EC97E09" w14:textId="00684BF9" w:rsidR="000A7EA3" w:rsidRPr="00036F88" w:rsidRDefault="000A7EA3" w:rsidP="00036F88">
            <w:pPr>
              <w:jc w:val="center"/>
              <w:rPr>
                <w:rFonts w:ascii="Times New Roman" w:eastAsia="Times New Roman" w:hAnsi="Times New Roman" w:cs="Times New Roman"/>
                <w:i/>
                <w:sz w:val="18"/>
                <w:szCs w:val="18"/>
              </w:rPr>
            </w:pPr>
            <w:r>
              <w:rPr>
                <w:rFonts w:ascii="Times New Roman" w:hAnsi="Times New Roman" w:cs="Times New Roman"/>
                <w:sz w:val="18"/>
                <w:szCs w:val="18"/>
              </w:rPr>
              <w:t>7</w:t>
            </w:r>
          </w:p>
        </w:tc>
      </w:tr>
      <w:tr w:rsidR="00260632" w:rsidRPr="00036F88" w14:paraId="33DF4310" w14:textId="77777777" w:rsidTr="00D50C43">
        <w:trPr>
          <w:gridAfter w:val="1"/>
          <w:wAfter w:w="353" w:type="dxa"/>
          <w:tblHeader/>
        </w:trPr>
        <w:tc>
          <w:tcPr>
            <w:tcW w:w="630" w:type="dxa"/>
            <w:shd w:val="clear" w:color="auto" w:fill="BFBFBF"/>
            <w:vAlign w:val="center"/>
          </w:tcPr>
          <w:p w14:paraId="39F8C6F9" w14:textId="77777777" w:rsidR="000A7EA3" w:rsidRPr="00036F88" w:rsidRDefault="000A7EA3" w:rsidP="00036F88">
            <w:pPr>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Article</w:t>
            </w:r>
          </w:p>
        </w:tc>
        <w:tc>
          <w:tcPr>
            <w:tcW w:w="5400" w:type="dxa"/>
            <w:shd w:val="clear" w:color="auto" w:fill="BFBFBF"/>
            <w:vAlign w:val="center"/>
          </w:tcPr>
          <w:p w14:paraId="17F6068A" w14:textId="77777777" w:rsidR="000A7EA3" w:rsidRPr="00036F88" w:rsidRDefault="000A7EA3" w:rsidP="00036F88">
            <w:pPr>
              <w:jc w:val="center"/>
              <w:rPr>
                <w:rFonts w:ascii="Times New Roman" w:eastAsia="Times New Roman" w:hAnsi="Times New Roman" w:cs="Times New Roman"/>
                <w:iCs/>
                <w:sz w:val="18"/>
                <w:szCs w:val="18"/>
                <w:lang w:val="en-US"/>
              </w:rPr>
            </w:pPr>
            <w:r>
              <w:rPr>
                <w:rFonts w:ascii="Times New Roman" w:eastAsia="Times New Roman" w:hAnsi="Times New Roman" w:cs="Times New Roman"/>
                <w:iCs/>
                <w:sz w:val="18"/>
                <w:szCs w:val="18"/>
                <w:lang w:val="en-US"/>
              </w:rPr>
              <w:t>Text</w:t>
            </w:r>
          </w:p>
        </w:tc>
        <w:tc>
          <w:tcPr>
            <w:tcW w:w="540" w:type="dxa"/>
            <w:shd w:val="clear" w:color="auto" w:fill="D0CECE" w:themeFill="background2" w:themeFillShade="E6"/>
          </w:tcPr>
          <w:p w14:paraId="476E07DB" w14:textId="1B56A2D0" w:rsidR="000A7EA3" w:rsidRPr="00036F88" w:rsidRDefault="000A7EA3" w:rsidP="00036F88">
            <w:pPr>
              <w:jc w:val="center"/>
              <w:rPr>
                <w:rFonts w:ascii="Times New Roman" w:hAnsi="Times New Roman" w:cs="Times New Roman"/>
                <w:sz w:val="18"/>
                <w:szCs w:val="18"/>
              </w:rPr>
            </w:pPr>
            <w:r>
              <w:rPr>
                <w:rFonts w:ascii="Times New Roman" w:hAnsi="Times New Roman" w:cs="Times New Roman"/>
                <w:sz w:val="18"/>
                <w:szCs w:val="18"/>
              </w:rPr>
              <w:t>Reference</w:t>
            </w:r>
          </w:p>
        </w:tc>
        <w:tc>
          <w:tcPr>
            <w:tcW w:w="720" w:type="dxa"/>
            <w:shd w:val="clear" w:color="auto" w:fill="BFBFBF"/>
            <w:vAlign w:val="center"/>
          </w:tcPr>
          <w:p w14:paraId="5B81B475" w14:textId="25304259" w:rsidR="000A7EA3" w:rsidRPr="00036F88" w:rsidRDefault="000A7EA3" w:rsidP="00036F88">
            <w:pPr>
              <w:jc w:val="center"/>
              <w:rPr>
                <w:rFonts w:ascii="Times New Roman" w:eastAsia="Times New Roman" w:hAnsi="Times New Roman" w:cs="Times New Roman"/>
                <w:i/>
                <w:sz w:val="18"/>
                <w:szCs w:val="18"/>
                <w:lang w:val="en-US"/>
              </w:rPr>
            </w:pPr>
            <w:r>
              <w:rPr>
                <w:rFonts w:ascii="Times New Roman" w:eastAsia="Times New Roman" w:hAnsi="Times New Roman" w:cs="Times New Roman"/>
                <w:i/>
                <w:sz w:val="18"/>
                <w:szCs w:val="18"/>
                <w:lang w:val="en-US"/>
              </w:rPr>
              <w:t>Article</w:t>
            </w:r>
          </w:p>
        </w:tc>
        <w:tc>
          <w:tcPr>
            <w:tcW w:w="5040" w:type="dxa"/>
            <w:gridSpan w:val="2"/>
            <w:shd w:val="clear" w:color="auto" w:fill="BFBFBF"/>
            <w:vAlign w:val="center"/>
          </w:tcPr>
          <w:p w14:paraId="19F4D508" w14:textId="77777777" w:rsidR="000A7EA3" w:rsidRPr="00036F88" w:rsidRDefault="000A7EA3" w:rsidP="00036F88">
            <w:pPr>
              <w:jc w:val="center"/>
              <w:rPr>
                <w:rFonts w:ascii="Times New Roman" w:eastAsia="Times New Roman" w:hAnsi="Times New Roman" w:cs="Times New Roman"/>
                <w:i/>
                <w:sz w:val="18"/>
                <w:szCs w:val="18"/>
                <w:lang w:val="en-US"/>
              </w:rPr>
            </w:pPr>
            <w:r>
              <w:rPr>
                <w:rFonts w:ascii="Times New Roman" w:eastAsia="Times New Roman" w:hAnsi="Times New Roman" w:cs="Times New Roman"/>
                <w:i/>
                <w:sz w:val="18"/>
                <w:szCs w:val="18"/>
                <w:lang w:val="en-US"/>
              </w:rPr>
              <w:t>Text</w:t>
            </w:r>
          </w:p>
        </w:tc>
        <w:tc>
          <w:tcPr>
            <w:tcW w:w="720" w:type="dxa"/>
            <w:gridSpan w:val="2"/>
            <w:shd w:val="clear" w:color="auto" w:fill="BFBFBF"/>
            <w:vAlign w:val="center"/>
          </w:tcPr>
          <w:p w14:paraId="609D564B" w14:textId="77777777" w:rsidR="000A7EA3" w:rsidRPr="00036F88" w:rsidRDefault="000A7EA3" w:rsidP="00036F88">
            <w:pPr>
              <w:jc w:val="center"/>
              <w:rPr>
                <w:rFonts w:ascii="Times New Roman" w:eastAsia="Times New Roman" w:hAnsi="Times New Roman" w:cs="Times New Roman"/>
                <w:i/>
                <w:sz w:val="18"/>
                <w:szCs w:val="18"/>
                <w:lang w:val="en-US"/>
              </w:rPr>
            </w:pPr>
            <w:r>
              <w:rPr>
                <w:rFonts w:ascii="Times New Roman" w:eastAsia="Times New Roman" w:hAnsi="Times New Roman" w:cs="Times New Roman"/>
                <w:i/>
                <w:sz w:val="18"/>
                <w:szCs w:val="18"/>
                <w:lang w:val="en-US"/>
              </w:rPr>
              <w:t>Compliance</w:t>
            </w:r>
          </w:p>
        </w:tc>
        <w:tc>
          <w:tcPr>
            <w:tcW w:w="3240" w:type="dxa"/>
            <w:gridSpan w:val="2"/>
            <w:shd w:val="clear" w:color="auto" w:fill="BFBFBF"/>
            <w:vAlign w:val="center"/>
          </w:tcPr>
          <w:p w14:paraId="0F04528A" w14:textId="77777777" w:rsidR="000A7EA3" w:rsidRPr="00036F88" w:rsidRDefault="000A7EA3" w:rsidP="00036F88">
            <w:pPr>
              <w:jc w:val="center"/>
              <w:rPr>
                <w:rFonts w:ascii="Times New Roman" w:eastAsia="Times New Roman" w:hAnsi="Times New Roman" w:cs="Times New Roman"/>
                <w:i/>
                <w:sz w:val="18"/>
                <w:szCs w:val="18"/>
                <w:lang w:val="en-US"/>
              </w:rPr>
            </w:pPr>
            <w:r>
              <w:rPr>
                <w:rFonts w:ascii="Times New Roman" w:eastAsia="Times New Roman" w:hAnsi="Times New Roman" w:cs="Times New Roman"/>
                <w:i/>
                <w:sz w:val="18"/>
                <w:szCs w:val="18"/>
                <w:lang w:val="en-US"/>
              </w:rPr>
              <w:t>Notes</w:t>
            </w:r>
          </w:p>
        </w:tc>
      </w:tr>
      <w:tr w:rsidR="00260632" w:rsidRPr="00036F88" w14:paraId="3101C841" w14:textId="77777777" w:rsidTr="00D50C43">
        <w:trPr>
          <w:gridAfter w:val="1"/>
          <w:wAfter w:w="353" w:type="dxa"/>
        </w:trPr>
        <w:tc>
          <w:tcPr>
            <w:tcW w:w="630" w:type="dxa"/>
            <w:shd w:val="clear" w:color="auto" w:fill="92D050"/>
          </w:tcPr>
          <w:p w14:paraId="171C88DE" w14:textId="77777777" w:rsidR="000A7EA3" w:rsidRPr="00036F88" w:rsidRDefault="000A7EA3" w:rsidP="00036F88">
            <w:pPr>
              <w:rPr>
                <w:rFonts w:ascii="Times New Roman" w:eastAsia="Calibri" w:hAnsi="Times New Roman" w:cs="Times New Roman"/>
                <w:sz w:val="18"/>
                <w:szCs w:val="18"/>
                <w:lang w:val="en-US"/>
              </w:rPr>
            </w:pPr>
          </w:p>
        </w:tc>
        <w:tc>
          <w:tcPr>
            <w:tcW w:w="5400" w:type="dxa"/>
            <w:shd w:val="clear" w:color="auto" w:fill="92D050"/>
          </w:tcPr>
          <w:p w14:paraId="3CBB6E23" w14:textId="71A0F858" w:rsidR="000A7EA3" w:rsidRPr="00036F88" w:rsidRDefault="000A7EA3" w:rsidP="00036F88">
            <w:pPr>
              <w:pStyle w:val="Heading1"/>
              <w:rPr>
                <w:rFonts w:ascii="Times New Roman" w:eastAsia="Calibri" w:hAnsi="Times New Roman" w:cs="Times New Roman"/>
                <w:color w:val="auto"/>
                <w:sz w:val="18"/>
                <w:szCs w:val="18"/>
                <w:lang w:val="en-US"/>
              </w:rPr>
            </w:pPr>
          </w:p>
        </w:tc>
        <w:tc>
          <w:tcPr>
            <w:tcW w:w="540" w:type="dxa"/>
          </w:tcPr>
          <w:p w14:paraId="4950B37F" w14:textId="77777777" w:rsidR="000A7EA3" w:rsidRPr="00036F88" w:rsidRDefault="000A7EA3" w:rsidP="00036F88">
            <w:pPr>
              <w:rPr>
                <w:rFonts w:ascii="Times New Roman" w:eastAsia="Calibri" w:hAnsi="Times New Roman" w:cs="Times New Roman"/>
                <w:sz w:val="18"/>
                <w:szCs w:val="18"/>
              </w:rPr>
            </w:pPr>
          </w:p>
        </w:tc>
        <w:tc>
          <w:tcPr>
            <w:tcW w:w="720" w:type="dxa"/>
            <w:shd w:val="clear" w:color="auto" w:fill="92D050"/>
          </w:tcPr>
          <w:p w14:paraId="4039FF8E" w14:textId="633026E3" w:rsidR="000A7EA3" w:rsidRPr="00036F88" w:rsidRDefault="000A7EA3" w:rsidP="00036F88">
            <w:pPr>
              <w:rPr>
                <w:rFonts w:ascii="Times New Roman" w:eastAsia="Calibri" w:hAnsi="Times New Roman" w:cs="Times New Roman"/>
                <w:sz w:val="18"/>
                <w:szCs w:val="18"/>
                <w:lang w:val="en-US"/>
              </w:rPr>
            </w:pPr>
          </w:p>
        </w:tc>
        <w:tc>
          <w:tcPr>
            <w:tcW w:w="5040" w:type="dxa"/>
            <w:gridSpan w:val="2"/>
            <w:shd w:val="clear" w:color="auto" w:fill="92D050"/>
          </w:tcPr>
          <w:p w14:paraId="6FBBB339" w14:textId="77777777" w:rsidR="0077636B" w:rsidRPr="00036F88" w:rsidRDefault="0077636B" w:rsidP="00036F88">
            <w:pPr>
              <w:jc w:val="center"/>
              <w:rPr>
                <w:rFonts w:ascii="Times New Roman" w:hAnsi="Times New Roman" w:cs="Times New Roman"/>
                <w:sz w:val="18"/>
                <w:szCs w:val="18"/>
              </w:rPr>
            </w:pPr>
            <w:r>
              <w:rPr>
                <w:rFonts w:ascii="Times New Roman" w:hAnsi="Times New Roman" w:cs="Times New Roman"/>
                <w:sz w:val="18"/>
                <w:szCs w:val="18"/>
              </w:rPr>
              <w:t>CHAPTER I</w:t>
            </w:r>
          </w:p>
          <w:p w14:paraId="0ED77E48" w14:textId="77777777" w:rsidR="0077636B" w:rsidRPr="00036F88" w:rsidRDefault="0077636B" w:rsidP="00036F88">
            <w:pPr>
              <w:jc w:val="center"/>
              <w:rPr>
                <w:rFonts w:ascii="Times New Roman" w:hAnsi="Times New Roman" w:cs="Times New Roman"/>
                <w:sz w:val="18"/>
                <w:szCs w:val="18"/>
              </w:rPr>
            </w:pPr>
            <w:r>
              <w:rPr>
                <w:rFonts w:ascii="Times New Roman" w:hAnsi="Times New Roman" w:cs="Times New Roman"/>
                <w:sz w:val="18"/>
                <w:szCs w:val="18"/>
              </w:rPr>
              <w:t>GENERAL PROVISIONS</w:t>
            </w:r>
          </w:p>
          <w:p w14:paraId="0C0DB225" w14:textId="77777777" w:rsidR="000A7EA3" w:rsidRPr="00036F88" w:rsidRDefault="000A7EA3" w:rsidP="00036F88">
            <w:pPr>
              <w:rPr>
                <w:rFonts w:ascii="Times New Roman" w:eastAsia="Calibri" w:hAnsi="Times New Roman" w:cs="Times New Roman"/>
                <w:sz w:val="18"/>
                <w:szCs w:val="18"/>
                <w:lang w:val="en-US"/>
              </w:rPr>
            </w:pPr>
          </w:p>
        </w:tc>
        <w:tc>
          <w:tcPr>
            <w:tcW w:w="720" w:type="dxa"/>
            <w:gridSpan w:val="2"/>
            <w:shd w:val="clear" w:color="auto" w:fill="92D050"/>
          </w:tcPr>
          <w:p w14:paraId="0477FAD4" w14:textId="77777777" w:rsidR="000A7EA3" w:rsidRPr="00036F88" w:rsidRDefault="000A7EA3" w:rsidP="00036F88">
            <w:pPr>
              <w:rPr>
                <w:rFonts w:ascii="Times New Roman" w:eastAsia="Calibri" w:hAnsi="Times New Roman" w:cs="Times New Roman"/>
                <w:sz w:val="18"/>
                <w:szCs w:val="18"/>
                <w:lang w:val="en-US"/>
              </w:rPr>
            </w:pPr>
          </w:p>
        </w:tc>
        <w:tc>
          <w:tcPr>
            <w:tcW w:w="3240" w:type="dxa"/>
            <w:gridSpan w:val="2"/>
            <w:shd w:val="clear" w:color="auto" w:fill="92D050"/>
          </w:tcPr>
          <w:p w14:paraId="09DE5223" w14:textId="77777777" w:rsidR="000A7EA3" w:rsidRPr="00036F88" w:rsidRDefault="000A7EA3" w:rsidP="00036F88">
            <w:pPr>
              <w:rPr>
                <w:rFonts w:ascii="Times New Roman" w:eastAsia="Calibri" w:hAnsi="Times New Roman" w:cs="Times New Roman"/>
                <w:sz w:val="18"/>
                <w:szCs w:val="18"/>
                <w:lang w:val="en-US"/>
              </w:rPr>
            </w:pPr>
          </w:p>
        </w:tc>
      </w:tr>
      <w:tr w:rsidR="00260632" w:rsidRPr="00036F88" w14:paraId="6560FCB0" w14:textId="77777777" w:rsidTr="00D50C43">
        <w:trPr>
          <w:gridAfter w:val="1"/>
          <w:wAfter w:w="353" w:type="dxa"/>
        </w:trPr>
        <w:tc>
          <w:tcPr>
            <w:tcW w:w="630" w:type="dxa"/>
            <w:shd w:val="clear" w:color="auto" w:fill="F2F2F2"/>
          </w:tcPr>
          <w:p w14:paraId="2C6C40A7" w14:textId="77777777" w:rsidR="000A7EA3" w:rsidRPr="00036F88" w:rsidRDefault="000A7EA3" w:rsidP="00036F88">
            <w:pPr>
              <w:jc w:val="center"/>
              <w:rPr>
                <w:rFonts w:ascii="Times New Roman" w:eastAsia="Calibri" w:hAnsi="Times New Roman" w:cs="Times New Roman"/>
                <w:i/>
                <w:iCs/>
                <w:sz w:val="18"/>
                <w:szCs w:val="18"/>
                <w:lang w:val="en-US"/>
              </w:rPr>
            </w:pPr>
          </w:p>
        </w:tc>
        <w:tc>
          <w:tcPr>
            <w:tcW w:w="5400" w:type="dxa"/>
            <w:shd w:val="clear" w:color="auto" w:fill="F2F2F2"/>
          </w:tcPr>
          <w:p w14:paraId="4FF914BE" w14:textId="7A1302B7" w:rsidR="00990A3C" w:rsidRPr="00990A3C" w:rsidRDefault="00990A3C" w:rsidP="00990A3C">
            <w:bookmarkStart w:id="0" w:name="articolul1"/>
            <w:bookmarkEnd w:id="0"/>
          </w:p>
        </w:tc>
        <w:tc>
          <w:tcPr>
            <w:tcW w:w="540" w:type="dxa"/>
          </w:tcPr>
          <w:p w14:paraId="63FB219E" w14:textId="77777777" w:rsidR="000A7EA3" w:rsidRPr="00036F88" w:rsidRDefault="000A7EA3" w:rsidP="00036F88">
            <w:pPr>
              <w:rPr>
                <w:rFonts w:ascii="Times New Roman" w:eastAsia="Calibri" w:hAnsi="Times New Roman" w:cs="Times New Roman"/>
                <w:sz w:val="18"/>
                <w:szCs w:val="18"/>
              </w:rPr>
            </w:pPr>
          </w:p>
        </w:tc>
        <w:tc>
          <w:tcPr>
            <w:tcW w:w="720" w:type="dxa"/>
            <w:shd w:val="clear" w:color="auto" w:fill="F2F2F2"/>
          </w:tcPr>
          <w:p w14:paraId="373E1C1C" w14:textId="3802F198" w:rsidR="000A7EA3" w:rsidRPr="00036F88" w:rsidRDefault="000A7EA3" w:rsidP="00036F88">
            <w:pPr>
              <w:rPr>
                <w:rFonts w:ascii="Times New Roman" w:eastAsia="Calibri" w:hAnsi="Times New Roman" w:cs="Times New Roman"/>
                <w:sz w:val="18"/>
                <w:szCs w:val="18"/>
                <w:lang w:val="en-US"/>
              </w:rPr>
            </w:pPr>
          </w:p>
        </w:tc>
        <w:tc>
          <w:tcPr>
            <w:tcW w:w="5040" w:type="dxa"/>
            <w:gridSpan w:val="2"/>
            <w:shd w:val="clear" w:color="auto" w:fill="F2F2F2"/>
          </w:tcPr>
          <w:p w14:paraId="64C93E4E" w14:textId="449C89EF" w:rsidR="000A7EA3" w:rsidRPr="00036F88" w:rsidRDefault="000A7EA3" w:rsidP="00036F88">
            <w:pPr>
              <w:rPr>
                <w:rFonts w:ascii="Times New Roman" w:hAnsi="Times New Roman" w:cs="Times New Roman"/>
                <w:sz w:val="18"/>
                <w:szCs w:val="18"/>
              </w:rPr>
            </w:pPr>
          </w:p>
        </w:tc>
        <w:tc>
          <w:tcPr>
            <w:tcW w:w="720" w:type="dxa"/>
            <w:gridSpan w:val="2"/>
            <w:shd w:val="clear" w:color="auto" w:fill="F2F2F2"/>
          </w:tcPr>
          <w:p w14:paraId="176811E7" w14:textId="77777777" w:rsidR="000A7EA3" w:rsidRPr="00036F88" w:rsidRDefault="000A7EA3" w:rsidP="00036F88">
            <w:pPr>
              <w:jc w:val="center"/>
              <w:rPr>
                <w:rFonts w:ascii="Times New Roman" w:eastAsia="Calibri" w:hAnsi="Times New Roman" w:cs="Times New Roman"/>
                <w:sz w:val="18"/>
                <w:szCs w:val="18"/>
                <w:lang w:val="en-US"/>
              </w:rPr>
            </w:pPr>
          </w:p>
        </w:tc>
        <w:tc>
          <w:tcPr>
            <w:tcW w:w="3240" w:type="dxa"/>
            <w:gridSpan w:val="2"/>
            <w:shd w:val="clear" w:color="auto" w:fill="F2F2F2"/>
          </w:tcPr>
          <w:p w14:paraId="0E837D0C" w14:textId="77777777" w:rsidR="000A7EA3" w:rsidRPr="00036F88" w:rsidRDefault="000A7EA3" w:rsidP="00036F88">
            <w:pPr>
              <w:rPr>
                <w:rFonts w:ascii="Times New Roman" w:eastAsia="Calibri" w:hAnsi="Times New Roman" w:cs="Times New Roman"/>
                <w:sz w:val="18"/>
                <w:szCs w:val="18"/>
                <w:lang w:val="en-US"/>
              </w:rPr>
            </w:pPr>
          </w:p>
        </w:tc>
      </w:tr>
      <w:tr w:rsidR="00260632" w:rsidRPr="00036F88" w14:paraId="7F6FBBB8" w14:textId="77777777" w:rsidTr="00D50C43">
        <w:trPr>
          <w:gridAfter w:val="1"/>
          <w:wAfter w:w="353" w:type="dxa"/>
          <w:trHeight w:val="1520"/>
        </w:trPr>
        <w:tc>
          <w:tcPr>
            <w:tcW w:w="630" w:type="dxa"/>
          </w:tcPr>
          <w:p w14:paraId="54CAE924" w14:textId="77777777" w:rsidR="000A7EA3" w:rsidRPr="00036F88" w:rsidRDefault="000A7EA3" w:rsidP="00036F88">
            <w:pPr>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1</w:t>
            </w:r>
          </w:p>
        </w:tc>
        <w:tc>
          <w:tcPr>
            <w:tcW w:w="5400" w:type="dxa"/>
          </w:tcPr>
          <w:p w14:paraId="67D9B566" w14:textId="77777777" w:rsidR="00FD7583" w:rsidRPr="00FD7583" w:rsidRDefault="00FD7583" w:rsidP="00FD7583">
            <w:pPr>
              <w:pStyle w:val="Heading2"/>
              <w:rPr>
                <w:rFonts w:ascii="Times New Roman" w:eastAsia="Times New Roman" w:hAnsi="Times New Roman" w:cs="Times New Roman"/>
                <w:color w:val="auto"/>
                <w:sz w:val="18"/>
                <w:szCs w:val="18"/>
              </w:rPr>
            </w:pPr>
            <w:r>
              <w:rPr>
                <w:rFonts w:ascii="Times New Roman" w:eastAsia="Times New Roman" w:hAnsi="Times New Roman" w:cs="Times New Roman"/>
                <w:color w:val="000000"/>
                <w:sz w:val="18"/>
                <w:szCs w:val="18"/>
              </w:rPr>
              <w:t>Article 1(1)(a) (Directive 2021/514/EU)</w:t>
            </w:r>
          </w:p>
          <w:p w14:paraId="2610FCFF" w14:textId="77777777" w:rsidR="00FD7583" w:rsidRPr="00FD7583" w:rsidRDefault="00FD7583" w:rsidP="00FD7583">
            <w:pPr>
              <w:pStyle w:val="Heading2"/>
              <w:rPr>
                <w:rFonts w:ascii="Times New Roman" w:eastAsia="Times New Roman" w:hAnsi="Times New Roman" w:cs="Times New Roman"/>
                <w:color w:val="auto"/>
                <w:sz w:val="18"/>
                <w:szCs w:val="18"/>
              </w:rPr>
            </w:pPr>
            <w:r>
              <w:rPr>
                <w:rFonts w:ascii="Times New Roman" w:eastAsia="Times New Roman" w:hAnsi="Times New Roman" w:cs="Times New Roman"/>
                <w:color w:val="000000"/>
                <w:sz w:val="18"/>
                <w:szCs w:val="18"/>
              </w:rPr>
              <w:t>Article 3, point 9, first subparagraph, point (a) (Directive 2011/16/EU)</w:t>
            </w:r>
          </w:p>
          <w:p w14:paraId="74C68E89" w14:textId="77777777" w:rsidR="00FD7583" w:rsidRPr="00FD7583" w:rsidRDefault="00FD7583" w:rsidP="00FD7583">
            <w:pPr>
              <w:pStyle w:val="Heading2"/>
              <w:rPr>
                <w:rFonts w:ascii="Times New Roman" w:eastAsia="Times New Roman" w:hAnsi="Times New Roman" w:cs="Times New Roman"/>
                <w:color w:val="auto"/>
                <w:sz w:val="18"/>
                <w:szCs w:val="18"/>
              </w:rPr>
            </w:pPr>
          </w:p>
          <w:p w14:paraId="30D0BBD4" w14:textId="00571E0D" w:rsidR="003C045B" w:rsidRPr="00990A3C" w:rsidRDefault="00FD7583" w:rsidP="00FD7583">
            <w:pPr>
              <w:pStyle w:val="Heading2"/>
              <w:rPr>
                <w:rFonts w:ascii="Times New Roman" w:eastAsia="Times New Roman" w:hAnsi="Times New Roman" w:cs="Times New Roman"/>
                <w:color w:val="auto"/>
                <w:sz w:val="18"/>
                <w:szCs w:val="18"/>
              </w:rPr>
            </w:pPr>
            <w:r>
              <w:rPr>
                <w:rFonts w:ascii="Times New Roman" w:eastAsia="Times New Roman" w:hAnsi="Times New Roman" w:cs="Times New Roman"/>
                <w:color w:val="000000"/>
                <w:sz w:val="18"/>
                <w:szCs w:val="18"/>
              </w:rPr>
              <w:t>'(a) for the purposes of Article 8(1) and Articles 8a to 8ac, the systematic communication of predefined information to another Member State, without prior request, at pre-established regular intervals. For the purposes of Article 8(1), the reference to available information relates to information in the tax files of the Member State communicating the information, which is retrievable in accordance with the procedures for the collection and processing of information in that Member State;'</w:t>
            </w:r>
          </w:p>
          <w:p w14:paraId="28C7E6F9" w14:textId="52C28BAE" w:rsidR="0077636B" w:rsidRPr="00036F88" w:rsidRDefault="0077636B" w:rsidP="00036F88">
            <w:pPr>
              <w:pStyle w:val="oj-ti-grseq-1"/>
              <w:shd w:val="clear" w:color="auto" w:fill="FFFFFF"/>
              <w:spacing w:before="240" w:beforeAutospacing="0" w:after="120" w:afterAutospacing="0"/>
              <w:jc w:val="both"/>
              <w:rPr>
                <w:color w:val="333333"/>
                <w:sz w:val="18"/>
                <w:szCs w:val="18"/>
              </w:rPr>
            </w:pPr>
          </w:p>
          <w:p w14:paraId="075EF7ED" w14:textId="58550EF7" w:rsidR="000A7EA3" w:rsidRPr="00036F88" w:rsidRDefault="000A7EA3" w:rsidP="00036F88">
            <w:pPr>
              <w:jc w:val="both"/>
              <w:rPr>
                <w:rFonts w:ascii="Times New Roman" w:eastAsia="Calibri" w:hAnsi="Times New Roman" w:cs="Times New Roman"/>
                <w:iCs/>
                <w:sz w:val="18"/>
                <w:szCs w:val="18"/>
                <w:lang w:val="en-US"/>
              </w:rPr>
            </w:pPr>
          </w:p>
        </w:tc>
        <w:tc>
          <w:tcPr>
            <w:tcW w:w="540" w:type="dxa"/>
          </w:tcPr>
          <w:p w14:paraId="6D951FCC" w14:textId="7B0A04B6" w:rsidR="000A7EA3" w:rsidRPr="00036F88" w:rsidRDefault="000A7EA3" w:rsidP="00036F8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720" w:type="dxa"/>
          </w:tcPr>
          <w:p w14:paraId="7B749314" w14:textId="2E53AC41" w:rsidR="000A7EA3" w:rsidRPr="00036F88" w:rsidRDefault="00190825" w:rsidP="00036F88">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5040" w:type="dxa"/>
            <w:gridSpan w:val="2"/>
          </w:tcPr>
          <w:p w14:paraId="7D2CEC06" w14:textId="10EBB486" w:rsidR="000A7EA3" w:rsidRPr="008C3267" w:rsidRDefault="00FD7583" w:rsidP="00FD7583">
            <w:pPr>
              <w:jc w:val="center"/>
              <w:rPr>
                <w:rFonts w:ascii="Times New Roman" w:eastAsia="Calibri" w:hAnsi="Times New Roman" w:cs="Times New Roman"/>
                <w:sz w:val="18"/>
                <w:szCs w:val="18"/>
              </w:rPr>
            </w:pPr>
            <w:r>
              <w:rPr>
                <w:rFonts w:ascii="Times New Roman" w:eastAsia="Calibri" w:hAnsi="Times New Roman" w:cs="Times New Roman"/>
                <w:sz w:val="18"/>
                <w:szCs w:val="18"/>
              </w:rPr>
              <w:t>N/A</w:t>
            </w:r>
          </w:p>
        </w:tc>
        <w:tc>
          <w:tcPr>
            <w:tcW w:w="720" w:type="dxa"/>
            <w:gridSpan w:val="2"/>
          </w:tcPr>
          <w:p w14:paraId="3F6791D3" w14:textId="46EF54DD" w:rsidR="000A7EA3" w:rsidRPr="00036F88" w:rsidRDefault="00190825" w:rsidP="00036F88">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240" w:type="dxa"/>
            <w:gridSpan w:val="2"/>
          </w:tcPr>
          <w:p w14:paraId="03521802" w14:textId="075A9329" w:rsidR="000A7EA3" w:rsidRPr="00036F88" w:rsidRDefault="00FD7583" w:rsidP="00036F88">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There is no relevant provision in the draft law, since the draft law regulates the automatic exchange specific to platform operators, not the general definition of "automatic exchange".</w:t>
            </w:r>
          </w:p>
        </w:tc>
      </w:tr>
      <w:tr w:rsidR="003C045B" w:rsidRPr="00036F88" w14:paraId="6F796DB6" w14:textId="77777777" w:rsidTr="00D50C43">
        <w:trPr>
          <w:gridAfter w:val="1"/>
          <w:wAfter w:w="353" w:type="dxa"/>
          <w:trHeight w:val="278"/>
        </w:trPr>
        <w:tc>
          <w:tcPr>
            <w:tcW w:w="630" w:type="dxa"/>
            <w:shd w:val="clear" w:color="auto" w:fill="F2F2F2"/>
          </w:tcPr>
          <w:p w14:paraId="78A89E6F" w14:textId="77777777" w:rsidR="003C045B" w:rsidRPr="00036F88" w:rsidRDefault="003C045B" w:rsidP="003C045B">
            <w:pPr>
              <w:jc w:val="center"/>
              <w:rPr>
                <w:rFonts w:ascii="Times New Roman" w:eastAsia="Calibri" w:hAnsi="Times New Roman" w:cs="Times New Roman"/>
                <w:i/>
                <w:sz w:val="18"/>
                <w:szCs w:val="18"/>
              </w:rPr>
            </w:pPr>
          </w:p>
        </w:tc>
        <w:tc>
          <w:tcPr>
            <w:tcW w:w="5400" w:type="dxa"/>
            <w:shd w:val="clear" w:color="auto" w:fill="F2F2F2"/>
          </w:tcPr>
          <w:p w14:paraId="77D30394" w14:textId="55742B2B" w:rsidR="003C045B" w:rsidRPr="00990A3C" w:rsidRDefault="003C045B" w:rsidP="003C045B">
            <w:pPr>
              <w:rPr>
                <w:i/>
              </w:rPr>
            </w:pPr>
          </w:p>
        </w:tc>
        <w:tc>
          <w:tcPr>
            <w:tcW w:w="540" w:type="dxa"/>
          </w:tcPr>
          <w:p w14:paraId="753D3D53" w14:textId="77777777" w:rsidR="003C045B" w:rsidRPr="00990A3C" w:rsidRDefault="003C045B" w:rsidP="003C045B">
            <w:pPr>
              <w:jc w:val="center"/>
              <w:rPr>
                <w:rFonts w:ascii="Times New Roman" w:eastAsia="Calibri" w:hAnsi="Times New Roman" w:cs="Times New Roman"/>
                <w:i/>
                <w:sz w:val="18"/>
                <w:szCs w:val="18"/>
              </w:rPr>
            </w:pPr>
          </w:p>
        </w:tc>
        <w:tc>
          <w:tcPr>
            <w:tcW w:w="720" w:type="dxa"/>
            <w:shd w:val="clear" w:color="auto" w:fill="F2F2F2"/>
          </w:tcPr>
          <w:p w14:paraId="49667D08" w14:textId="77777777" w:rsidR="003C045B" w:rsidRPr="00990A3C" w:rsidRDefault="003C045B" w:rsidP="003C045B">
            <w:pPr>
              <w:jc w:val="center"/>
              <w:rPr>
                <w:rFonts w:ascii="Times New Roman" w:eastAsia="Calibri" w:hAnsi="Times New Roman" w:cs="Times New Roman"/>
                <w:i/>
                <w:sz w:val="18"/>
                <w:szCs w:val="18"/>
              </w:rPr>
            </w:pPr>
          </w:p>
        </w:tc>
        <w:tc>
          <w:tcPr>
            <w:tcW w:w="5040" w:type="dxa"/>
            <w:gridSpan w:val="2"/>
            <w:shd w:val="clear" w:color="auto" w:fill="F2F2F2"/>
          </w:tcPr>
          <w:p w14:paraId="7BD77AB0" w14:textId="7AAF349A" w:rsidR="003C045B" w:rsidRPr="00990A3C" w:rsidRDefault="003C045B" w:rsidP="003C045B">
            <w:pPr>
              <w:jc w:val="center"/>
              <w:rPr>
                <w:rFonts w:ascii="Times New Roman" w:hAnsi="Times New Roman" w:cs="Times New Roman"/>
                <w:i/>
                <w:sz w:val="18"/>
                <w:szCs w:val="18"/>
              </w:rPr>
            </w:pPr>
          </w:p>
        </w:tc>
        <w:tc>
          <w:tcPr>
            <w:tcW w:w="720" w:type="dxa"/>
            <w:gridSpan w:val="2"/>
            <w:shd w:val="clear" w:color="auto" w:fill="F2F2F2"/>
          </w:tcPr>
          <w:p w14:paraId="148AA987" w14:textId="77777777" w:rsidR="003C045B" w:rsidRPr="00990A3C" w:rsidRDefault="003C045B" w:rsidP="003C045B">
            <w:pPr>
              <w:jc w:val="center"/>
              <w:rPr>
                <w:rFonts w:ascii="Times New Roman" w:eastAsia="Calibri" w:hAnsi="Times New Roman" w:cs="Times New Roman"/>
                <w:i/>
                <w:sz w:val="18"/>
                <w:szCs w:val="18"/>
              </w:rPr>
            </w:pPr>
          </w:p>
        </w:tc>
        <w:tc>
          <w:tcPr>
            <w:tcW w:w="3240" w:type="dxa"/>
            <w:gridSpan w:val="2"/>
            <w:shd w:val="clear" w:color="auto" w:fill="F2F2F2"/>
          </w:tcPr>
          <w:p w14:paraId="26964FA0" w14:textId="77777777" w:rsidR="003C045B" w:rsidRPr="00990A3C" w:rsidRDefault="003C045B" w:rsidP="003C045B">
            <w:pPr>
              <w:rPr>
                <w:rFonts w:ascii="Times New Roman" w:eastAsia="Calibri" w:hAnsi="Times New Roman" w:cs="Times New Roman"/>
                <w:i/>
                <w:sz w:val="18"/>
                <w:szCs w:val="18"/>
              </w:rPr>
            </w:pPr>
          </w:p>
        </w:tc>
      </w:tr>
      <w:tr w:rsidR="003C045B" w:rsidRPr="00036F88" w14:paraId="54545BFE" w14:textId="77777777" w:rsidTr="00D50C43">
        <w:trPr>
          <w:gridAfter w:val="1"/>
          <w:wAfter w:w="353" w:type="dxa"/>
          <w:trHeight w:val="1718"/>
        </w:trPr>
        <w:tc>
          <w:tcPr>
            <w:tcW w:w="630" w:type="dxa"/>
            <w:shd w:val="clear" w:color="auto" w:fill="F2F2F2"/>
          </w:tcPr>
          <w:p w14:paraId="2072CEFD" w14:textId="77777777" w:rsidR="003C045B" w:rsidRPr="00036F88" w:rsidRDefault="003C045B" w:rsidP="003C045B">
            <w:pPr>
              <w:jc w:val="center"/>
              <w:rPr>
                <w:rFonts w:ascii="Times New Roman" w:eastAsia="Calibri" w:hAnsi="Times New Roman" w:cs="Times New Roman"/>
                <w:i/>
                <w:sz w:val="18"/>
                <w:szCs w:val="18"/>
              </w:rPr>
            </w:pPr>
          </w:p>
        </w:tc>
        <w:tc>
          <w:tcPr>
            <w:tcW w:w="5400" w:type="dxa"/>
            <w:shd w:val="clear" w:color="auto" w:fill="FFFFFF" w:themeFill="background1"/>
          </w:tcPr>
          <w:p w14:paraId="0BADF6E6" w14:textId="77777777" w:rsidR="00FD7583" w:rsidRPr="00FD7583" w:rsidRDefault="00FD7583" w:rsidP="00FD7583">
            <w:pPr>
              <w:pStyle w:val="oj-ti-grseq-1"/>
              <w:shd w:val="clear" w:color="auto" w:fill="FFFFFF"/>
              <w:spacing w:before="240" w:after="120"/>
              <w:jc w:val="both"/>
              <w:rPr>
                <w:color w:val="333333"/>
                <w:sz w:val="18"/>
                <w:szCs w:val="18"/>
              </w:rPr>
            </w:pPr>
            <w:r>
              <w:rPr>
                <w:color w:val="333333"/>
                <w:sz w:val="18"/>
                <w:szCs w:val="18"/>
              </w:rPr>
              <w:t>Article 1(1)(b) (Directive 2021/514/EU)</w:t>
            </w:r>
          </w:p>
          <w:p w14:paraId="2BE58AD5" w14:textId="77777777" w:rsidR="00FD7583" w:rsidRPr="00FD7583" w:rsidRDefault="00FD7583" w:rsidP="00FD7583">
            <w:pPr>
              <w:pStyle w:val="oj-ti-grseq-1"/>
              <w:shd w:val="clear" w:color="auto" w:fill="FFFFFF"/>
              <w:spacing w:before="240" w:after="120"/>
              <w:jc w:val="both"/>
              <w:rPr>
                <w:color w:val="333333"/>
                <w:sz w:val="18"/>
                <w:szCs w:val="18"/>
              </w:rPr>
            </w:pPr>
            <w:r>
              <w:rPr>
                <w:color w:val="333333"/>
                <w:sz w:val="18"/>
                <w:szCs w:val="18"/>
              </w:rPr>
              <w:t>Article 3, point 9, first subparagraph, point (c) (Directive 2011/16/EU)</w:t>
            </w:r>
          </w:p>
          <w:p w14:paraId="200BC67A" w14:textId="77777777" w:rsidR="00FD7583" w:rsidRPr="00FD7583" w:rsidRDefault="00FD7583" w:rsidP="00FD7583">
            <w:pPr>
              <w:pStyle w:val="oj-ti-grseq-1"/>
              <w:shd w:val="clear" w:color="auto" w:fill="FFFFFF"/>
              <w:spacing w:before="240" w:after="120"/>
              <w:jc w:val="both"/>
              <w:rPr>
                <w:color w:val="333333"/>
                <w:sz w:val="18"/>
                <w:szCs w:val="18"/>
              </w:rPr>
            </w:pPr>
          </w:p>
          <w:p w14:paraId="45875286" w14:textId="7EC9F987" w:rsidR="003C045B" w:rsidRPr="00036F88" w:rsidRDefault="00FD7583" w:rsidP="00FD7583">
            <w:pPr>
              <w:pStyle w:val="oj-ti-grseq-1"/>
              <w:shd w:val="clear" w:color="auto" w:fill="FFFFFF"/>
              <w:spacing w:before="240" w:beforeAutospacing="0" w:after="120" w:afterAutospacing="0"/>
              <w:jc w:val="both"/>
              <w:rPr>
                <w:color w:val="333333"/>
                <w:sz w:val="18"/>
                <w:szCs w:val="18"/>
              </w:rPr>
            </w:pPr>
            <w:r>
              <w:rPr>
                <w:color w:val="333333"/>
                <w:sz w:val="18"/>
                <w:szCs w:val="18"/>
              </w:rPr>
              <w:t>'(c) for the purposes of the provisions of this Directive except for Article 8(1) and (3a) and Articles 8a to 8ac, the systematic communication of the predefined information given in points (a) and (b) of the first subparagraph of this point.'</w:t>
            </w:r>
          </w:p>
          <w:p w14:paraId="6F7B7ABA" w14:textId="77777777" w:rsidR="003C045B" w:rsidRPr="00142D73" w:rsidRDefault="003C045B" w:rsidP="003C045B">
            <w:pPr>
              <w:pStyle w:val="Heading2"/>
              <w:rPr>
                <w:rFonts w:ascii="Times New Roman" w:eastAsia="Calibri" w:hAnsi="Times New Roman" w:cs="Times New Roman"/>
                <w:iCs/>
                <w:color w:val="auto"/>
                <w:sz w:val="18"/>
                <w:szCs w:val="18"/>
                <w:lang w:val="en-US"/>
              </w:rPr>
            </w:pPr>
          </w:p>
        </w:tc>
        <w:tc>
          <w:tcPr>
            <w:tcW w:w="540" w:type="dxa"/>
            <w:shd w:val="clear" w:color="auto" w:fill="FFFFFF" w:themeFill="background1"/>
          </w:tcPr>
          <w:p w14:paraId="6F2021F6" w14:textId="77777777" w:rsidR="003C045B" w:rsidRPr="00036F88" w:rsidRDefault="003C045B" w:rsidP="003C045B">
            <w:pPr>
              <w:jc w:val="center"/>
              <w:rPr>
                <w:rFonts w:ascii="Times New Roman" w:eastAsia="Calibri" w:hAnsi="Times New Roman" w:cs="Times New Roman"/>
                <w:sz w:val="18"/>
                <w:szCs w:val="18"/>
              </w:rPr>
            </w:pPr>
          </w:p>
        </w:tc>
        <w:tc>
          <w:tcPr>
            <w:tcW w:w="720" w:type="dxa"/>
            <w:shd w:val="clear" w:color="auto" w:fill="FFFFFF" w:themeFill="background1"/>
          </w:tcPr>
          <w:p w14:paraId="3EC3C5E4" w14:textId="789D74C6" w:rsidR="003C045B" w:rsidRPr="00036F88" w:rsidRDefault="00190825"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N/A</w:t>
            </w:r>
          </w:p>
        </w:tc>
        <w:tc>
          <w:tcPr>
            <w:tcW w:w="5040" w:type="dxa"/>
            <w:gridSpan w:val="2"/>
            <w:shd w:val="clear" w:color="auto" w:fill="FFFFFF" w:themeFill="background1"/>
          </w:tcPr>
          <w:p w14:paraId="0F27DCC6" w14:textId="6C81A1B2" w:rsidR="006D648E" w:rsidRPr="00036F88" w:rsidRDefault="002351EE" w:rsidP="00113DE2">
            <w:pPr>
              <w:jc w:val="center"/>
              <w:rPr>
                <w:rFonts w:ascii="Times New Roman" w:hAnsi="Times New Roman" w:cs="Times New Roman"/>
                <w:sz w:val="18"/>
                <w:szCs w:val="18"/>
              </w:rPr>
            </w:pPr>
            <w:r>
              <w:rPr>
                <w:rFonts w:ascii="Times New Roman" w:hAnsi="Times New Roman" w:cs="Times New Roman"/>
                <w:sz w:val="18"/>
                <w:szCs w:val="18"/>
              </w:rPr>
              <w:t>N/A</w:t>
            </w:r>
          </w:p>
          <w:p w14:paraId="778B887A" w14:textId="04062EB4" w:rsidR="003C045B" w:rsidRPr="00036F88" w:rsidRDefault="003C045B" w:rsidP="003C045B">
            <w:pPr>
              <w:jc w:val="center"/>
              <w:rPr>
                <w:rFonts w:ascii="Times New Roman" w:hAnsi="Times New Roman" w:cs="Times New Roman"/>
                <w:sz w:val="18"/>
                <w:szCs w:val="18"/>
              </w:rPr>
            </w:pPr>
          </w:p>
        </w:tc>
        <w:tc>
          <w:tcPr>
            <w:tcW w:w="720" w:type="dxa"/>
            <w:gridSpan w:val="2"/>
            <w:shd w:val="clear" w:color="auto" w:fill="FFFFFF" w:themeFill="background1"/>
          </w:tcPr>
          <w:p w14:paraId="3EFFA98E" w14:textId="66977DEC" w:rsidR="003C045B" w:rsidRPr="00036F88" w:rsidRDefault="00190825"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lang w:val="en-US"/>
              </w:rPr>
              <w:t>N/A</w:t>
            </w:r>
          </w:p>
        </w:tc>
        <w:tc>
          <w:tcPr>
            <w:tcW w:w="3240" w:type="dxa"/>
            <w:gridSpan w:val="2"/>
            <w:shd w:val="clear" w:color="auto" w:fill="FFFFFF" w:themeFill="background1"/>
          </w:tcPr>
          <w:p w14:paraId="71188287" w14:textId="08D73F1A" w:rsidR="003C045B" w:rsidRPr="00036F88" w:rsidRDefault="00FD7583" w:rsidP="003C045B">
            <w:pPr>
              <w:rPr>
                <w:rFonts w:ascii="Times New Roman" w:eastAsia="Calibri" w:hAnsi="Times New Roman" w:cs="Times New Roman"/>
                <w:sz w:val="18"/>
                <w:szCs w:val="18"/>
              </w:rPr>
            </w:pPr>
            <w:r>
              <w:rPr>
                <w:rFonts w:ascii="Times New Roman" w:eastAsia="Calibri" w:hAnsi="Times New Roman" w:cs="Times New Roman"/>
                <w:sz w:val="18"/>
                <w:szCs w:val="18"/>
              </w:rPr>
              <w:t>Does not require transposition. This provision is horizontal and applies to the entire DAC framework. The draft law addresses only the specific obligations of platform operators under Annex V, not the general definitions of DAC.</w:t>
            </w:r>
          </w:p>
        </w:tc>
      </w:tr>
      <w:tr w:rsidR="003C045B" w:rsidRPr="00036F88" w14:paraId="0EC2C01A" w14:textId="77777777" w:rsidTr="00D50C43">
        <w:trPr>
          <w:gridAfter w:val="1"/>
          <w:wAfter w:w="353" w:type="dxa"/>
        </w:trPr>
        <w:tc>
          <w:tcPr>
            <w:tcW w:w="630" w:type="dxa"/>
            <w:shd w:val="clear" w:color="auto" w:fill="F2F2F2"/>
          </w:tcPr>
          <w:p w14:paraId="7C818E7C" w14:textId="77777777" w:rsidR="003C045B" w:rsidRPr="00036F88" w:rsidRDefault="003C045B" w:rsidP="003C045B">
            <w:pPr>
              <w:jc w:val="center"/>
              <w:rPr>
                <w:rFonts w:ascii="Times New Roman" w:eastAsia="Calibri" w:hAnsi="Times New Roman" w:cs="Times New Roman"/>
                <w:i/>
                <w:sz w:val="18"/>
                <w:szCs w:val="18"/>
                <w:lang w:val="en-US"/>
              </w:rPr>
            </w:pPr>
          </w:p>
        </w:tc>
        <w:tc>
          <w:tcPr>
            <w:tcW w:w="5400" w:type="dxa"/>
            <w:shd w:val="clear" w:color="auto" w:fill="F2F2F2"/>
          </w:tcPr>
          <w:p w14:paraId="3B185CD2" w14:textId="77777777" w:rsidR="002351EE" w:rsidRPr="002351EE" w:rsidRDefault="002351EE" w:rsidP="002351EE">
            <w:pPr>
              <w:shd w:val="clear" w:color="auto" w:fill="FFFFFF"/>
              <w:spacing w:before="120"/>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Article 1(1)(c) (Directive 2021/514/EU)</w:t>
            </w:r>
          </w:p>
          <w:p w14:paraId="30ADBDC1" w14:textId="77777777" w:rsidR="002351EE" w:rsidRPr="002351EE" w:rsidRDefault="002351EE" w:rsidP="002351EE">
            <w:pPr>
              <w:shd w:val="clear" w:color="auto" w:fill="FFFFFF"/>
              <w:spacing w:before="120"/>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Article 3, point 9, second subparagraph (Directive 2011/16/EU)</w:t>
            </w:r>
          </w:p>
          <w:p w14:paraId="11441992" w14:textId="44252393" w:rsidR="003C045B" w:rsidRPr="00990A3C" w:rsidRDefault="003C045B" w:rsidP="003C045B">
            <w:pPr>
              <w:pStyle w:val="Heading2"/>
              <w:rPr>
                <w:rFonts w:ascii="Times New Roman" w:eastAsia="Calibri" w:hAnsi="Times New Roman" w:cs="Times New Roman"/>
                <w:i/>
                <w:color w:val="auto"/>
                <w:sz w:val="18"/>
                <w:szCs w:val="18"/>
                <w:lang w:val="en-US"/>
              </w:rPr>
            </w:pPr>
          </w:p>
        </w:tc>
        <w:tc>
          <w:tcPr>
            <w:tcW w:w="540" w:type="dxa"/>
          </w:tcPr>
          <w:p w14:paraId="35014AD7" w14:textId="77777777" w:rsidR="003C045B" w:rsidRPr="00990A3C" w:rsidRDefault="003C045B" w:rsidP="003C045B">
            <w:pPr>
              <w:jc w:val="center"/>
              <w:rPr>
                <w:rFonts w:ascii="Times New Roman" w:eastAsia="Calibri" w:hAnsi="Times New Roman" w:cs="Times New Roman"/>
                <w:i/>
                <w:sz w:val="18"/>
                <w:szCs w:val="18"/>
              </w:rPr>
            </w:pPr>
          </w:p>
        </w:tc>
        <w:tc>
          <w:tcPr>
            <w:tcW w:w="720" w:type="dxa"/>
            <w:shd w:val="clear" w:color="auto" w:fill="F2F2F2"/>
          </w:tcPr>
          <w:p w14:paraId="142203CD" w14:textId="46973366" w:rsidR="003C045B" w:rsidRPr="006E4603" w:rsidRDefault="003C045B" w:rsidP="003C045B">
            <w:pPr>
              <w:jc w:val="center"/>
              <w:rPr>
                <w:rFonts w:ascii="Times New Roman" w:eastAsia="Calibri" w:hAnsi="Times New Roman" w:cs="Times New Roman"/>
                <w:sz w:val="18"/>
                <w:szCs w:val="18"/>
                <w:lang w:val="en-US"/>
              </w:rPr>
            </w:pPr>
          </w:p>
        </w:tc>
        <w:tc>
          <w:tcPr>
            <w:tcW w:w="5040" w:type="dxa"/>
            <w:gridSpan w:val="2"/>
            <w:shd w:val="clear" w:color="auto" w:fill="F2F2F2"/>
          </w:tcPr>
          <w:p w14:paraId="77F88E09" w14:textId="4AF67DAB" w:rsidR="003C045B" w:rsidRPr="00990A3C" w:rsidRDefault="003C045B" w:rsidP="002351EE">
            <w:pPr>
              <w:pStyle w:val="Heading3"/>
              <w:rPr>
                <w:i/>
                <w:sz w:val="18"/>
                <w:szCs w:val="18"/>
              </w:rPr>
            </w:pPr>
          </w:p>
        </w:tc>
        <w:tc>
          <w:tcPr>
            <w:tcW w:w="720" w:type="dxa"/>
            <w:gridSpan w:val="2"/>
            <w:shd w:val="clear" w:color="auto" w:fill="F2F2F2"/>
          </w:tcPr>
          <w:p w14:paraId="156DE2D0" w14:textId="317F1CC1" w:rsidR="003C045B" w:rsidRPr="00990A3C" w:rsidRDefault="003C045B" w:rsidP="003C045B">
            <w:pPr>
              <w:jc w:val="center"/>
              <w:rPr>
                <w:rFonts w:ascii="Times New Roman" w:eastAsia="Calibri" w:hAnsi="Times New Roman" w:cs="Times New Roman"/>
                <w:i/>
                <w:sz w:val="18"/>
                <w:szCs w:val="18"/>
                <w:lang w:val="en-US"/>
              </w:rPr>
            </w:pPr>
          </w:p>
        </w:tc>
        <w:tc>
          <w:tcPr>
            <w:tcW w:w="3240" w:type="dxa"/>
            <w:gridSpan w:val="2"/>
            <w:shd w:val="clear" w:color="auto" w:fill="F2F2F2"/>
          </w:tcPr>
          <w:p w14:paraId="33A2FCA3" w14:textId="568B1A5C" w:rsidR="003C045B" w:rsidRPr="00990A3C" w:rsidRDefault="003C045B" w:rsidP="003C045B">
            <w:pPr>
              <w:rPr>
                <w:rFonts w:ascii="Times New Roman" w:eastAsia="Calibri" w:hAnsi="Times New Roman" w:cs="Times New Roman"/>
                <w:i/>
                <w:sz w:val="18"/>
                <w:szCs w:val="18"/>
                <w:lang w:val="en-US"/>
              </w:rPr>
            </w:pPr>
          </w:p>
        </w:tc>
      </w:tr>
      <w:tr w:rsidR="003C045B" w:rsidRPr="00036F88" w14:paraId="65C77C64" w14:textId="77777777" w:rsidTr="00D50C43">
        <w:trPr>
          <w:gridAfter w:val="1"/>
          <w:wAfter w:w="353" w:type="dxa"/>
          <w:trHeight w:val="2085"/>
        </w:trPr>
        <w:tc>
          <w:tcPr>
            <w:tcW w:w="630" w:type="dxa"/>
          </w:tcPr>
          <w:p w14:paraId="6050527A" w14:textId="424C66A8" w:rsidR="003C045B" w:rsidRPr="00036F88" w:rsidRDefault="003C045B" w:rsidP="003C045B">
            <w:pPr>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1</w:t>
            </w:r>
          </w:p>
        </w:tc>
        <w:tc>
          <w:tcPr>
            <w:tcW w:w="5400" w:type="dxa"/>
          </w:tcPr>
          <w:p w14:paraId="287F6E49" w14:textId="77777777" w:rsidR="002351EE" w:rsidRPr="002351EE" w:rsidRDefault="002351EE" w:rsidP="002351EE">
            <w:pPr>
              <w:shd w:val="clear" w:color="auto" w:fill="FFFFFF"/>
              <w:spacing w:before="120"/>
              <w:jc w:val="both"/>
              <w:rPr>
                <w:rFonts w:ascii="Times New Roman" w:eastAsia="Times New Roman" w:hAnsi="Times New Roman" w:cs="Times New Roman"/>
                <w:color w:val="333333"/>
                <w:sz w:val="18"/>
                <w:szCs w:val="18"/>
              </w:rPr>
            </w:pPr>
          </w:p>
          <w:p w14:paraId="3E3F4745" w14:textId="3BB6AD7A" w:rsidR="003C045B" w:rsidRPr="00FB1F82" w:rsidRDefault="002351EE" w:rsidP="002351EE">
            <w:pPr>
              <w:shd w:val="clear" w:color="auto" w:fill="FFFFFF"/>
              <w:spacing w:before="120"/>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'In the context of Articles 8(3a), 8(7a), 21(2) and Annex IV, any term written with a capital letter shall have the meaning it has according to the respective definitions set out in Annex I. In the context of Article 25(3) and (4), any term written with a capital letter shall have the meaning it has according to the respective definitions set out in Annex I or V. In the context of Article 8aa and Annex III, any term written with a capital letter shall have the meaning it has according to the respective definitions set out in Annex III. In the context of Article 8ac and Annex V, any term written with a capital letter shall have the meaning it has according to the respective definitions set out in Annex V.'</w:t>
            </w:r>
          </w:p>
          <w:p w14:paraId="597C2BF6" w14:textId="0185DD6D" w:rsidR="003C045B" w:rsidRPr="00FB1F82" w:rsidRDefault="003C045B" w:rsidP="002351EE">
            <w:pPr>
              <w:shd w:val="clear" w:color="auto" w:fill="FFFFFF"/>
              <w:spacing w:before="120"/>
              <w:jc w:val="both"/>
              <w:rPr>
                <w:rFonts w:ascii="Times New Roman" w:eastAsia="Times New Roman" w:hAnsi="Times New Roman" w:cs="Times New Roman"/>
                <w:vanish/>
                <w:color w:val="333333"/>
                <w:sz w:val="18"/>
                <w:szCs w:val="18"/>
              </w:rPr>
            </w:pPr>
          </w:p>
          <w:p w14:paraId="13191D8A" w14:textId="1253F63D" w:rsidR="003C045B" w:rsidRPr="00036F88" w:rsidRDefault="003C045B" w:rsidP="003C045B">
            <w:pPr>
              <w:jc w:val="both"/>
              <w:rPr>
                <w:rFonts w:ascii="Times New Roman" w:eastAsia="Calibri" w:hAnsi="Times New Roman" w:cs="Times New Roman"/>
                <w:iCs/>
                <w:sz w:val="18"/>
                <w:szCs w:val="18"/>
                <w:lang w:val="en-US"/>
              </w:rPr>
            </w:pPr>
          </w:p>
        </w:tc>
        <w:tc>
          <w:tcPr>
            <w:tcW w:w="540" w:type="dxa"/>
          </w:tcPr>
          <w:p w14:paraId="73A9F1D9" w14:textId="3AAB19BF" w:rsidR="003C045B" w:rsidRPr="00036F88" w:rsidRDefault="003C045B"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720" w:type="dxa"/>
          </w:tcPr>
          <w:p w14:paraId="34CDDFF9" w14:textId="77777777" w:rsidR="00190825" w:rsidRDefault="00190825" w:rsidP="003C045B">
            <w:pPr>
              <w:jc w:val="center"/>
              <w:rPr>
                <w:rFonts w:ascii="Times New Roman" w:eastAsia="Calibri" w:hAnsi="Times New Roman" w:cs="Times New Roman"/>
                <w:sz w:val="18"/>
                <w:szCs w:val="18"/>
                <w:lang w:val="en-US"/>
              </w:rPr>
            </w:pPr>
          </w:p>
          <w:p w14:paraId="16B43562" w14:textId="6A21FC03"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5040" w:type="dxa"/>
            <w:gridSpan w:val="2"/>
            <w:tcBorders>
              <w:bottom w:val="dashed" w:sz="4" w:space="0" w:color="auto"/>
            </w:tcBorders>
          </w:tcPr>
          <w:p w14:paraId="122FE17D" w14:textId="2E085840" w:rsidR="003C045B" w:rsidRDefault="003C045B" w:rsidP="002351EE">
            <w:pPr>
              <w:jc w:val="both"/>
              <w:rPr>
                <w:rFonts w:ascii="Times New Roman" w:hAnsi="Times New Roman" w:cs="Times New Roman"/>
                <w:color w:val="000000" w:themeColor="text1"/>
                <w:sz w:val="18"/>
                <w:szCs w:val="18"/>
                <w:lang w:val="en-US"/>
              </w:rPr>
            </w:pPr>
          </w:p>
          <w:p w14:paraId="112E66FF" w14:textId="53C2A016" w:rsidR="002351EE" w:rsidRPr="00D23DA5" w:rsidRDefault="002351EE" w:rsidP="00D23DA5">
            <w:pPr>
              <w:jc w:val="center"/>
              <w:rPr>
                <w:rFonts w:ascii="Times New Roman" w:eastAsia="Calibri" w:hAnsi="Times New Roman" w:cs="Times New Roman"/>
                <w:sz w:val="18"/>
                <w:szCs w:val="18"/>
              </w:rPr>
            </w:pPr>
            <w:r>
              <w:rPr>
                <w:rFonts w:ascii="Times New Roman" w:hAnsi="Times New Roman" w:cs="Times New Roman"/>
                <w:color w:val="000000" w:themeColor="text1"/>
                <w:sz w:val="18"/>
                <w:szCs w:val="18"/>
                <w:lang w:val="en-US"/>
              </w:rPr>
              <w:t>N/A</w:t>
            </w:r>
          </w:p>
          <w:p w14:paraId="05CBA041" w14:textId="77262321" w:rsidR="003C045B" w:rsidRPr="00036F88" w:rsidRDefault="003C045B" w:rsidP="003C045B">
            <w:pPr>
              <w:jc w:val="both"/>
              <w:rPr>
                <w:rFonts w:ascii="Times New Roman" w:eastAsia="Calibri" w:hAnsi="Times New Roman" w:cs="Times New Roman"/>
                <w:sz w:val="18"/>
                <w:szCs w:val="18"/>
              </w:rPr>
            </w:pPr>
          </w:p>
        </w:tc>
        <w:tc>
          <w:tcPr>
            <w:tcW w:w="720" w:type="dxa"/>
            <w:gridSpan w:val="2"/>
            <w:tcBorders>
              <w:bottom w:val="dashed" w:sz="4" w:space="0" w:color="auto"/>
            </w:tcBorders>
          </w:tcPr>
          <w:p w14:paraId="42087777" w14:textId="77777777" w:rsidR="00190825" w:rsidRDefault="00190825" w:rsidP="003C045B">
            <w:pPr>
              <w:jc w:val="center"/>
              <w:rPr>
                <w:rFonts w:ascii="Times New Roman" w:eastAsia="Calibri" w:hAnsi="Times New Roman" w:cs="Times New Roman"/>
                <w:sz w:val="18"/>
                <w:szCs w:val="18"/>
                <w:lang w:val="en-US"/>
              </w:rPr>
            </w:pPr>
          </w:p>
          <w:p w14:paraId="6FCF9030" w14:textId="5CC6A631"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240" w:type="dxa"/>
            <w:gridSpan w:val="2"/>
            <w:tcBorders>
              <w:bottom w:val="dashed" w:sz="4" w:space="0" w:color="auto"/>
            </w:tcBorders>
          </w:tcPr>
          <w:p w14:paraId="08DB7295" w14:textId="5DE9A8A3" w:rsidR="003C045B" w:rsidRPr="00036F88" w:rsidRDefault="00B02FF5" w:rsidP="003C045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It complies. The draft law transposes all the defined terms of Section of Annex V. Therefore, the functional requirement of Article 1(1)(c) has been fulfilled.</w:t>
            </w:r>
          </w:p>
        </w:tc>
      </w:tr>
      <w:tr w:rsidR="003C045B" w:rsidRPr="00036F88" w14:paraId="307841CB" w14:textId="77777777" w:rsidTr="00D50C43">
        <w:trPr>
          <w:gridAfter w:val="1"/>
          <w:wAfter w:w="353" w:type="dxa"/>
          <w:trHeight w:val="836"/>
        </w:trPr>
        <w:tc>
          <w:tcPr>
            <w:tcW w:w="630" w:type="dxa"/>
            <w:shd w:val="clear" w:color="auto" w:fill="D0CECE" w:themeFill="background2" w:themeFillShade="E6"/>
          </w:tcPr>
          <w:p w14:paraId="30FC065C" w14:textId="4F80A36D" w:rsidR="003C045B" w:rsidRPr="00990A3C" w:rsidRDefault="003C045B" w:rsidP="003C045B">
            <w:pPr>
              <w:jc w:val="both"/>
              <w:rPr>
                <w:rFonts w:ascii="Times New Roman" w:eastAsia="Calibri" w:hAnsi="Times New Roman" w:cs="Times New Roman"/>
                <w:i/>
                <w:iCs/>
                <w:sz w:val="18"/>
                <w:szCs w:val="18"/>
                <w:lang w:val="en-US"/>
              </w:rPr>
            </w:pPr>
            <w:r>
              <w:rPr>
                <w:rFonts w:ascii="Times New Roman" w:eastAsia="Calibri" w:hAnsi="Times New Roman" w:cs="Times New Roman"/>
                <w:i/>
                <w:iCs/>
                <w:sz w:val="18"/>
                <w:szCs w:val="18"/>
                <w:lang w:val="en-US"/>
              </w:rPr>
              <w:t>1</w:t>
            </w:r>
          </w:p>
        </w:tc>
        <w:tc>
          <w:tcPr>
            <w:tcW w:w="5400" w:type="dxa"/>
            <w:shd w:val="clear" w:color="auto" w:fill="D0CECE" w:themeFill="background2" w:themeFillShade="E6"/>
          </w:tcPr>
          <w:p w14:paraId="60F4B7B4" w14:textId="77777777" w:rsidR="00B02FF5" w:rsidRDefault="00B02FF5" w:rsidP="00B02FF5">
            <w:pPr>
              <w:jc w:val="center"/>
              <w:rPr>
                <w:rFonts w:ascii="Times New Roman" w:hAnsi="Times New Roman" w:cs="Times New Roman"/>
                <w:sz w:val="18"/>
                <w:szCs w:val="18"/>
              </w:rPr>
            </w:pPr>
            <w:r>
              <w:rPr>
                <w:rFonts w:ascii="Times New Roman" w:hAnsi="Times New Roman" w:cs="Times New Roman"/>
                <w:sz w:val="18"/>
                <w:szCs w:val="18"/>
              </w:rPr>
              <w:t>^</w:t>
            </w:r>
          </w:p>
          <w:p w14:paraId="3F8D6C5A" w14:textId="5C0257F2" w:rsidR="00B02FF5" w:rsidRPr="00B02FF5" w:rsidRDefault="00B02FF5" w:rsidP="00B02FF5">
            <w:pPr>
              <w:jc w:val="center"/>
              <w:rPr>
                <w:rFonts w:ascii="Times New Roman" w:hAnsi="Times New Roman" w:cs="Times New Roman"/>
                <w:sz w:val="18"/>
                <w:szCs w:val="18"/>
              </w:rPr>
            </w:pPr>
            <w:r>
              <w:rPr>
                <w:rFonts w:ascii="Times New Roman" w:hAnsi="Times New Roman" w:cs="Times New Roman"/>
                <w:sz w:val="18"/>
                <w:szCs w:val="18"/>
              </w:rPr>
              <w:t>Article 1(1)(d) (Directive 2021/514/EU)</w:t>
            </w:r>
          </w:p>
          <w:p w14:paraId="2F827DA1" w14:textId="77777777" w:rsidR="00B02FF5" w:rsidRPr="00B02FF5" w:rsidRDefault="00B02FF5" w:rsidP="00B02FF5">
            <w:pPr>
              <w:jc w:val="center"/>
              <w:rPr>
                <w:rFonts w:ascii="Times New Roman" w:hAnsi="Times New Roman" w:cs="Times New Roman"/>
                <w:sz w:val="18"/>
                <w:szCs w:val="18"/>
              </w:rPr>
            </w:pPr>
            <w:r>
              <w:rPr>
                <w:rFonts w:ascii="Times New Roman" w:hAnsi="Times New Roman" w:cs="Times New Roman"/>
                <w:sz w:val="18"/>
                <w:szCs w:val="18"/>
              </w:rPr>
              <w:t>Article 3, points 26 and 27 (Directive 2011/16/EU)</w:t>
            </w:r>
          </w:p>
          <w:p w14:paraId="5ACEBAC2" w14:textId="51B85AD8" w:rsidR="003C045B" w:rsidRPr="00990A3C" w:rsidRDefault="003C045B" w:rsidP="00B02FF5">
            <w:pPr>
              <w:pStyle w:val="oj-ti-art"/>
              <w:shd w:val="clear" w:color="auto" w:fill="FFFFFF"/>
              <w:spacing w:before="360" w:beforeAutospacing="0" w:after="120" w:afterAutospacing="0"/>
              <w:rPr>
                <w:i/>
                <w:iCs/>
                <w:color w:val="333333"/>
                <w:sz w:val="18"/>
                <w:szCs w:val="18"/>
              </w:rPr>
            </w:pPr>
          </w:p>
          <w:p w14:paraId="4F8CBED4" w14:textId="73FACCA3" w:rsidR="003C045B" w:rsidRPr="00990A3C" w:rsidRDefault="003C045B" w:rsidP="003C045B">
            <w:pPr>
              <w:jc w:val="center"/>
              <w:rPr>
                <w:rFonts w:ascii="Times New Roman" w:eastAsia="Calibri" w:hAnsi="Times New Roman" w:cs="Times New Roman"/>
                <w:i/>
                <w:iCs/>
                <w:sz w:val="18"/>
                <w:szCs w:val="18"/>
                <w:lang w:val="en-US"/>
              </w:rPr>
            </w:pPr>
          </w:p>
        </w:tc>
        <w:tc>
          <w:tcPr>
            <w:tcW w:w="540" w:type="dxa"/>
            <w:shd w:val="clear" w:color="auto" w:fill="D0CECE" w:themeFill="background2" w:themeFillShade="E6"/>
          </w:tcPr>
          <w:p w14:paraId="531B1028" w14:textId="03AF37C2" w:rsidR="003C045B" w:rsidRPr="00990A3C" w:rsidRDefault="003C045B" w:rsidP="003C045B">
            <w:pPr>
              <w:jc w:val="center"/>
              <w:rPr>
                <w:rFonts w:ascii="Times New Roman" w:eastAsia="Calibri" w:hAnsi="Times New Roman" w:cs="Times New Roman"/>
                <w:i/>
                <w:iCs/>
                <w:sz w:val="18"/>
                <w:szCs w:val="18"/>
              </w:rPr>
            </w:pPr>
          </w:p>
        </w:tc>
        <w:tc>
          <w:tcPr>
            <w:tcW w:w="720" w:type="dxa"/>
            <w:shd w:val="clear" w:color="auto" w:fill="D0CECE" w:themeFill="background2" w:themeFillShade="E6"/>
          </w:tcPr>
          <w:p w14:paraId="3A369060" w14:textId="7A615964" w:rsidR="003C045B" w:rsidRPr="00990A3C" w:rsidRDefault="003C045B" w:rsidP="003C045B">
            <w:pPr>
              <w:jc w:val="center"/>
              <w:rPr>
                <w:rFonts w:ascii="Times New Roman" w:eastAsia="Calibri" w:hAnsi="Times New Roman" w:cs="Times New Roman"/>
                <w:i/>
                <w:iCs/>
                <w:sz w:val="18"/>
                <w:szCs w:val="18"/>
                <w:lang w:val="en-US"/>
              </w:rPr>
            </w:pPr>
          </w:p>
        </w:tc>
        <w:tc>
          <w:tcPr>
            <w:tcW w:w="5040" w:type="dxa"/>
            <w:gridSpan w:val="2"/>
            <w:tcBorders>
              <w:bottom w:val="dashed" w:sz="4" w:space="0" w:color="auto"/>
            </w:tcBorders>
            <w:shd w:val="clear" w:color="auto" w:fill="D0CECE" w:themeFill="background2" w:themeFillShade="E6"/>
          </w:tcPr>
          <w:p w14:paraId="5A4D9807" w14:textId="72490418" w:rsidR="003C045B" w:rsidRPr="00990A3C" w:rsidRDefault="003C045B" w:rsidP="003C045B">
            <w:pPr>
              <w:jc w:val="center"/>
              <w:rPr>
                <w:rFonts w:ascii="Times New Roman" w:hAnsi="Times New Roman" w:cs="Times New Roman"/>
                <w:i/>
                <w:iCs/>
                <w:sz w:val="18"/>
                <w:szCs w:val="18"/>
              </w:rPr>
            </w:pPr>
          </w:p>
        </w:tc>
        <w:tc>
          <w:tcPr>
            <w:tcW w:w="720" w:type="dxa"/>
            <w:gridSpan w:val="2"/>
            <w:tcBorders>
              <w:bottom w:val="dashed" w:sz="4" w:space="0" w:color="auto"/>
            </w:tcBorders>
            <w:shd w:val="clear" w:color="auto" w:fill="D0CECE" w:themeFill="background2" w:themeFillShade="E6"/>
          </w:tcPr>
          <w:p w14:paraId="6DCE269F" w14:textId="3A19D692" w:rsidR="003C045B" w:rsidRPr="00990A3C" w:rsidRDefault="003C045B" w:rsidP="003C045B">
            <w:pPr>
              <w:jc w:val="center"/>
              <w:rPr>
                <w:rFonts w:ascii="Times New Roman" w:eastAsia="Calibri" w:hAnsi="Times New Roman" w:cs="Times New Roman"/>
                <w:i/>
                <w:iCs/>
                <w:sz w:val="18"/>
                <w:szCs w:val="18"/>
                <w:lang w:val="en-US"/>
              </w:rPr>
            </w:pPr>
          </w:p>
        </w:tc>
        <w:tc>
          <w:tcPr>
            <w:tcW w:w="3240" w:type="dxa"/>
            <w:gridSpan w:val="2"/>
            <w:tcBorders>
              <w:bottom w:val="dashed" w:sz="4" w:space="0" w:color="auto"/>
            </w:tcBorders>
            <w:shd w:val="clear" w:color="auto" w:fill="D0CECE" w:themeFill="background2" w:themeFillShade="E6"/>
          </w:tcPr>
          <w:p w14:paraId="18AC990D" w14:textId="77777777" w:rsidR="003C045B" w:rsidRPr="00990A3C" w:rsidRDefault="003C045B" w:rsidP="003C045B">
            <w:pPr>
              <w:rPr>
                <w:rFonts w:ascii="Times New Roman" w:eastAsia="Calibri" w:hAnsi="Times New Roman" w:cs="Times New Roman"/>
                <w:i/>
                <w:iCs/>
                <w:sz w:val="18"/>
                <w:szCs w:val="18"/>
                <w:lang w:val="en-US"/>
              </w:rPr>
            </w:pPr>
          </w:p>
        </w:tc>
      </w:tr>
      <w:tr w:rsidR="003C045B" w:rsidRPr="00036F88" w14:paraId="7D4505B4" w14:textId="77777777" w:rsidTr="00D50C43">
        <w:trPr>
          <w:gridAfter w:val="1"/>
          <w:wAfter w:w="353" w:type="dxa"/>
          <w:trHeight w:val="645"/>
        </w:trPr>
        <w:tc>
          <w:tcPr>
            <w:tcW w:w="630" w:type="dxa"/>
          </w:tcPr>
          <w:p w14:paraId="1080D9D2" w14:textId="139AC4B4" w:rsidR="003C045B" w:rsidRPr="00036F88" w:rsidRDefault="003C045B" w:rsidP="003C045B">
            <w:pPr>
              <w:jc w:val="both"/>
              <w:rPr>
                <w:rFonts w:ascii="Times New Roman" w:eastAsia="Calibri" w:hAnsi="Times New Roman" w:cs="Times New Roman"/>
                <w:sz w:val="18"/>
                <w:szCs w:val="18"/>
                <w:lang w:val="en-US"/>
              </w:rPr>
            </w:pPr>
          </w:p>
        </w:tc>
        <w:tc>
          <w:tcPr>
            <w:tcW w:w="5400" w:type="dxa"/>
          </w:tcPr>
          <w:p w14:paraId="616CC6D3" w14:textId="7C4E460E" w:rsidR="003C045B" w:rsidRDefault="003C045B" w:rsidP="003C045B">
            <w:pPr>
              <w:rPr>
                <w:rFonts w:ascii="Times New Roman" w:hAnsi="Times New Roman" w:cs="Times New Roman"/>
                <w:sz w:val="18"/>
                <w:szCs w:val="18"/>
              </w:rPr>
            </w:pPr>
          </w:p>
          <w:p w14:paraId="0BD9C8E3" w14:textId="77777777" w:rsidR="00B02FF5" w:rsidRPr="00B02FF5" w:rsidRDefault="00B02FF5" w:rsidP="00B02FF5">
            <w:pPr>
              <w:rPr>
                <w:rFonts w:ascii="Times New Roman" w:hAnsi="Times New Roman" w:cs="Times New Roman"/>
                <w:sz w:val="18"/>
                <w:szCs w:val="18"/>
              </w:rPr>
            </w:pPr>
          </w:p>
          <w:p w14:paraId="3CFC53CD" w14:textId="77777777" w:rsidR="00B02FF5" w:rsidRPr="00B02FF5" w:rsidRDefault="00B02FF5" w:rsidP="00B02FF5">
            <w:pPr>
              <w:rPr>
                <w:rFonts w:ascii="Times New Roman" w:hAnsi="Times New Roman" w:cs="Times New Roman"/>
                <w:sz w:val="18"/>
                <w:szCs w:val="18"/>
              </w:rPr>
            </w:pPr>
            <w:r>
              <w:rPr>
                <w:rFonts w:ascii="Times New Roman" w:hAnsi="Times New Roman" w:cs="Times New Roman"/>
                <w:sz w:val="18"/>
                <w:szCs w:val="18"/>
              </w:rPr>
              <w:t>'26. "joint audit" means an administrative investigation carried out jointly by the competent authorities of two or more Member States and related to one or more persons of common or complementary interest to the competent authorities of those Member States;</w:t>
            </w:r>
          </w:p>
          <w:p w14:paraId="3727C72D" w14:textId="77777777" w:rsidR="00B02FF5" w:rsidRPr="00B02FF5" w:rsidRDefault="00B02FF5" w:rsidP="00B02FF5">
            <w:pPr>
              <w:rPr>
                <w:rFonts w:ascii="Times New Roman" w:hAnsi="Times New Roman" w:cs="Times New Roman"/>
                <w:sz w:val="18"/>
                <w:szCs w:val="18"/>
              </w:rPr>
            </w:pPr>
          </w:p>
          <w:p w14:paraId="61E278E6" w14:textId="0C10CBD0" w:rsidR="00B02FF5" w:rsidRPr="00036F88" w:rsidRDefault="00B02FF5" w:rsidP="00B02FF5">
            <w:pPr>
              <w:rPr>
                <w:rFonts w:ascii="Times New Roman" w:hAnsi="Times New Roman" w:cs="Times New Roman"/>
                <w:vanish/>
                <w:sz w:val="18"/>
                <w:szCs w:val="18"/>
              </w:rPr>
            </w:pPr>
            <w:r>
              <w:rPr>
                <w:rFonts w:ascii="Times New Roman" w:hAnsi="Times New Roman" w:cs="Times New Roman"/>
                <w:sz w:val="18"/>
                <w:szCs w:val="18"/>
              </w:rPr>
              <w:t>27. "data breach" means a breach of security that leads to destruction, loss, alteration or any incident of inappropriate or unauthorised access, disclosure or use of information, including, but not limited to, personal data transmitted, stored or otherwise processed, as a result of intentional unlawful acts, negligence or accidents. A data breach may affect the confidentiality, availability and integrity of the data.</w:t>
            </w:r>
          </w:p>
          <w:p w14:paraId="3A31154C" w14:textId="6A5680DE" w:rsidR="003C045B" w:rsidRPr="00036F88" w:rsidRDefault="003C045B" w:rsidP="003C045B">
            <w:pPr>
              <w:jc w:val="both"/>
              <w:rPr>
                <w:rFonts w:ascii="Times New Roman" w:eastAsia="Calibri" w:hAnsi="Times New Roman" w:cs="Times New Roman"/>
                <w:iCs/>
                <w:sz w:val="18"/>
                <w:szCs w:val="18"/>
                <w:lang w:val="en-US"/>
              </w:rPr>
            </w:pPr>
          </w:p>
        </w:tc>
        <w:tc>
          <w:tcPr>
            <w:tcW w:w="540" w:type="dxa"/>
          </w:tcPr>
          <w:p w14:paraId="68273547" w14:textId="0F3E768C" w:rsidR="003C045B" w:rsidRPr="00036F88" w:rsidRDefault="003C045B" w:rsidP="003C045B">
            <w:pPr>
              <w:jc w:val="center"/>
              <w:rPr>
                <w:rFonts w:ascii="Times New Roman" w:eastAsia="Calibri" w:hAnsi="Times New Roman" w:cs="Times New Roman"/>
                <w:sz w:val="18"/>
                <w:szCs w:val="18"/>
              </w:rPr>
            </w:pPr>
          </w:p>
        </w:tc>
        <w:tc>
          <w:tcPr>
            <w:tcW w:w="720" w:type="dxa"/>
          </w:tcPr>
          <w:p w14:paraId="217830CF" w14:textId="22462B4B" w:rsidR="003C045B" w:rsidRPr="00036F88" w:rsidRDefault="007903F2"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Article 2</w:t>
            </w:r>
          </w:p>
        </w:tc>
        <w:tc>
          <w:tcPr>
            <w:tcW w:w="5040" w:type="dxa"/>
            <w:gridSpan w:val="2"/>
            <w:tcBorders>
              <w:bottom w:val="dashed" w:sz="4" w:space="0" w:color="auto"/>
            </w:tcBorders>
          </w:tcPr>
          <w:p w14:paraId="7F84A31C" w14:textId="4BE28F60" w:rsidR="00633111" w:rsidRDefault="00633111" w:rsidP="00B02FF5">
            <w:pPr>
              <w:jc w:val="both"/>
              <w:rPr>
                <w:rFonts w:ascii="Times New Roman" w:eastAsia="Calibri" w:hAnsi="Times New Roman" w:cs="Times New Roman"/>
                <w:sz w:val="18"/>
                <w:szCs w:val="18"/>
              </w:rPr>
            </w:pPr>
          </w:p>
          <w:p w14:paraId="1AF536FD" w14:textId="0B26270C" w:rsidR="00633111" w:rsidRPr="00036F88" w:rsidRDefault="006E4603" w:rsidP="00B02FF5">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t) “data breach” </w:t>
            </w:r>
            <w:r w:rsidR="00467DB2" w:rsidRPr="00467DB2">
              <w:rPr>
                <w:rFonts w:ascii="Times New Roman" w:eastAsia="Calibri" w:hAnsi="Times New Roman" w:cs="Times New Roman"/>
                <w:sz w:val="18"/>
                <w:szCs w:val="18"/>
              </w:rPr>
              <w:t xml:space="preserve">has the same meaning as defined in the law 'On administrative cooperation in the field of </w:t>
            </w:r>
            <w:r w:rsidR="00467DB2">
              <w:rPr>
                <w:rFonts w:ascii="Times New Roman" w:eastAsia="Calibri" w:hAnsi="Times New Roman" w:cs="Times New Roman"/>
                <w:sz w:val="18"/>
                <w:szCs w:val="18"/>
              </w:rPr>
              <w:t>Taxation</w:t>
            </w:r>
            <w:r w:rsidR="00467DB2" w:rsidRPr="00467DB2">
              <w:rPr>
                <w:rFonts w:ascii="Times New Roman" w:eastAsia="Calibri" w:hAnsi="Times New Roman" w:cs="Times New Roman"/>
                <w:sz w:val="18"/>
                <w:szCs w:val="18"/>
              </w:rPr>
              <w:t xml:space="preserve"> and exchange of tax information'.</w:t>
            </w:r>
          </w:p>
        </w:tc>
        <w:tc>
          <w:tcPr>
            <w:tcW w:w="720" w:type="dxa"/>
            <w:gridSpan w:val="2"/>
            <w:tcBorders>
              <w:bottom w:val="dashed" w:sz="4" w:space="0" w:color="auto"/>
            </w:tcBorders>
          </w:tcPr>
          <w:p w14:paraId="4C4B4DD1" w14:textId="54EC29F6" w:rsidR="003C045B" w:rsidRPr="00036F88" w:rsidRDefault="003C045B"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F</w:t>
            </w:r>
          </w:p>
        </w:tc>
        <w:tc>
          <w:tcPr>
            <w:tcW w:w="3240" w:type="dxa"/>
            <w:gridSpan w:val="2"/>
            <w:tcBorders>
              <w:bottom w:val="dashed" w:sz="4" w:space="0" w:color="auto"/>
            </w:tcBorders>
          </w:tcPr>
          <w:p w14:paraId="18B331CF" w14:textId="2D8A9D6E" w:rsidR="007903F2" w:rsidRPr="007903F2" w:rsidRDefault="007903F2" w:rsidP="007903F2">
            <w:pPr>
              <w:numPr>
                <w:ilvl w:val="0"/>
                <w:numId w:val="28"/>
              </w:numPr>
              <w:spacing w:after="200" w:line="276" w:lineRule="auto"/>
              <w:ind w:left="360"/>
              <w:jc w:val="both"/>
              <w:rPr>
                <w:rFonts w:ascii="Times New Roman" w:hAnsi="Times New Roman" w:cs="Times New Roman"/>
                <w:color w:val="242424"/>
                <w:sz w:val="18"/>
                <w:szCs w:val="18"/>
                <w:shd w:val="clear" w:color="auto" w:fill="FFFFFF"/>
                <w:lang w:val="en-US"/>
              </w:rPr>
            </w:pPr>
            <w:r>
              <w:rPr>
                <w:rFonts w:ascii="Times New Roman" w:eastAsia="Calibri" w:hAnsi="Times New Roman" w:cs="Times New Roman"/>
                <w:sz w:val="18"/>
                <w:szCs w:val="18"/>
                <w:lang w:val="en-US"/>
              </w:rPr>
              <w:t xml:space="preserve">In Article 2 point 18 of the general law on DAC it is provided that: </w:t>
            </w:r>
            <w:r>
              <w:rPr>
                <w:rFonts w:ascii="Times New Roman" w:hAnsi="Times New Roman" w:cs="Times New Roman"/>
                <w:b/>
                <w:bCs/>
                <w:color w:val="242424"/>
                <w:sz w:val="18"/>
                <w:szCs w:val="18"/>
                <w:shd w:val="clear" w:color="auto" w:fill="FFFFFF"/>
                <w:lang w:val="en-US"/>
              </w:rPr>
              <w:t xml:space="preserve">“Data breach” </w:t>
            </w:r>
            <w:r>
              <w:rPr>
                <w:rFonts w:ascii="Times New Roman" w:hAnsi="Times New Roman" w:cs="Times New Roman"/>
                <w:sz w:val="18"/>
                <w:szCs w:val="18"/>
                <w:lang w:val="en-US"/>
              </w:rPr>
              <w:t>is any breach of security rules that leads to the destruction, loss, alteration, access, disclosure or unauthorised use of information, including personal data, as a result of an intentional act, negligence or accidental incident, and that affects the confidentiality, integrity or availability of the information.</w:t>
            </w:r>
            <w:r>
              <w:rPr>
                <w:rFonts w:ascii="Times New Roman" w:hAnsi="Times New Roman" w:cs="Times New Roman"/>
                <w:color w:val="242424"/>
                <w:sz w:val="18"/>
                <w:szCs w:val="18"/>
                <w:shd w:val="clear" w:color="auto" w:fill="FFFFFF"/>
                <w:lang w:val="en-US"/>
              </w:rPr>
              <w:t xml:space="preserve"> </w:t>
            </w:r>
          </w:p>
          <w:p w14:paraId="7FF536D2" w14:textId="7E27DE7C" w:rsidR="003C045B" w:rsidRPr="00036F88" w:rsidRDefault="003C045B" w:rsidP="003C045B">
            <w:pPr>
              <w:rPr>
                <w:rFonts w:ascii="Times New Roman" w:eastAsia="Calibri" w:hAnsi="Times New Roman" w:cs="Times New Roman"/>
                <w:sz w:val="18"/>
                <w:szCs w:val="18"/>
                <w:lang w:val="en-US"/>
              </w:rPr>
            </w:pPr>
          </w:p>
        </w:tc>
      </w:tr>
      <w:tr w:rsidR="003C045B" w:rsidRPr="00036F88" w14:paraId="176342C5" w14:textId="77777777" w:rsidTr="00D50C43">
        <w:trPr>
          <w:gridAfter w:val="1"/>
          <w:wAfter w:w="353" w:type="dxa"/>
        </w:trPr>
        <w:tc>
          <w:tcPr>
            <w:tcW w:w="630" w:type="dxa"/>
            <w:shd w:val="clear" w:color="auto" w:fill="D0CECE" w:themeFill="background2" w:themeFillShade="E6"/>
          </w:tcPr>
          <w:p w14:paraId="5BF8CE7D" w14:textId="4193C503" w:rsidR="003C045B" w:rsidRPr="00036F88" w:rsidRDefault="003C045B" w:rsidP="003C045B">
            <w:pPr>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67D8C5A1" w14:textId="77777777" w:rsidR="000916B6" w:rsidRPr="000916B6" w:rsidRDefault="000916B6" w:rsidP="000916B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1(2) (Directive 2021/514/EU)</w:t>
            </w:r>
          </w:p>
          <w:p w14:paraId="022290E0" w14:textId="77777777" w:rsidR="000916B6" w:rsidRPr="000916B6" w:rsidRDefault="000916B6" w:rsidP="000916B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5a (Directive 2011/16/EU)</w:t>
            </w:r>
          </w:p>
          <w:p w14:paraId="7316743D" w14:textId="51E10BF0" w:rsidR="003C045B" w:rsidRPr="00990A3C" w:rsidRDefault="003C045B" w:rsidP="003C045B">
            <w:pPr>
              <w:jc w:val="both"/>
              <w:rPr>
                <w:rFonts w:ascii="Times New Roman" w:eastAsia="Calibri" w:hAnsi="Times New Roman" w:cs="Times New Roman"/>
                <w:i/>
                <w:iCs/>
                <w:sz w:val="18"/>
                <w:szCs w:val="18"/>
                <w:lang w:val="en-US"/>
              </w:rPr>
            </w:pPr>
          </w:p>
        </w:tc>
        <w:tc>
          <w:tcPr>
            <w:tcW w:w="540" w:type="dxa"/>
            <w:shd w:val="clear" w:color="auto" w:fill="D0CECE" w:themeFill="background2" w:themeFillShade="E6"/>
          </w:tcPr>
          <w:p w14:paraId="3480EEE0" w14:textId="1312C375" w:rsidR="003C045B" w:rsidRPr="00990A3C" w:rsidRDefault="003C045B" w:rsidP="003C045B">
            <w:pPr>
              <w:jc w:val="center"/>
              <w:rPr>
                <w:rFonts w:ascii="Times New Roman" w:eastAsia="Calibri" w:hAnsi="Times New Roman" w:cs="Times New Roman"/>
                <w:i/>
                <w:iCs/>
                <w:sz w:val="18"/>
                <w:szCs w:val="18"/>
              </w:rPr>
            </w:pPr>
          </w:p>
        </w:tc>
        <w:tc>
          <w:tcPr>
            <w:tcW w:w="720" w:type="dxa"/>
            <w:shd w:val="clear" w:color="auto" w:fill="D0CECE" w:themeFill="background2" w:themeFillShade="E6"/>
          </w:tcPr>
          <w:p w14:paraId="355EA527" w14:textId="41C73A42" w:rsidR="003C045B" w:rsidRPr="00990A3C" w:rsidRDefault="003C045B" w:rsidP="003C045B">
            <w:pPr>
              <w:jc w:val="center"/>
              <w:rPr>
                <w:rFonts w:ascii="Times New Roman" w:eastAsia="Calibri" w:hAnsi="Times New Roman" w:cs="Times New Roman"/>
                <w:i/>
                <w:iCs/>
                <w:sz w:val="18"/>
                <w:szCs w:val="18"/>
                <w:lang w:val="en-US"/>
              </w:rPr>
            </w:pPr>
          </w:p>
        </w:tc>
        <w:tc>
          <w:tcPr>
            <w:tcW w:w="5040" w:type="dxa"/>
            <w:gridSpan w:val="2"/>
            <w:shd w:val="clear" w:color="auto" w:fill="D0CECE" w:themeFill="background2" w:themeFillShade="E6"/>
          </w:tcPr>
          <w:p w14:paraId="0AF2ABED" w14:textId="031C9D9F" w:rsidR="003C045B" w:rsidRPr="00990A3C" w:rsidRDefault="003C045B" w:rsidP="003C045B">
            <w:pPr>
              <w:rPr>
                <w:rFonts w:ascii="Times New Roman" w:hAnsi="Times New Roman" w:cs="Times New Roman"/>
                <w:i/>
                <w:iCs/>
                <w:sz w:val="18"/>
                <w:szCs w:val="18"/>
              </w:rPr>
            </w:pPr>
          </w:p>
        </w:tc>
        <w:tc>
          <w:tcPr>
            <w:tcW w:w="720" w:type="dxa"/>
            <w:gridSpan w:val="2"/>
            <w:shd w:val="clear" w:color="auto" w:fill="D0CECE" w:themeFill="background2" w:themeFillShade="E6"/>
          </w:tcPr>
          <w:p w14:paraId="1ABA6603" w14:textId="3378F120" w:rsidR="003C045B" w:rsidRPr="00990A3C" w:rsidRDefault="003C045B" w:rsidP="003C045B">
            <w:pPr>
              <w:jc w:val="center"/>
              <w:rPr>
                <w:rFonts w:ascii="Times New Roman" w:eastAsia="Calibri" w:hAnsi="Times New Roman" w:cs="Times New Roman"/>
                <w:i/>
                <w:iCs/>
                <w:sz w:val="18"/>
                <w:szCs w:val="18"/>
                <w:lang w:val="en-US"/>
              </w:rPr>
            </w:pPr>
          </w:p>
        </w:tc>
        <w:tc>
          <w:tcPr>
            <w:tcW w:w="3240" w:type="dxa"/>
            <w:gridSpan w:val="2"/>
            <w:shd w:val="clear" w:color="auto" w:fill="D0CECE" w:themeFill="background2" w:themeFillShade="E6"/>
          </w:tcPr>
          <w:p w14:paraId="7BE83C6E" w14:textId="07D4A64D" w:rsidR="003C045B" w:rsidRPr="00990A3C" w:rsidRDefault="003C045B" w:rsidP="003C045B">
            <w:pPr>
              <w:rPr>
                <w:rFonts w:ascii="Times New Roman" w:eastAsia="Calibri" w:hAnsi="Times New Roman" w:cs="Times New Roman"/>
                <w:i/>
                <w:iCs/>
                <w:sz w:val="18"/>
                <w:szCs w:val="18"/>
                <w:lang w:val="en-US"/>
              </w:rPr>
            </w:pPr>
          </w:p>
        </w:tc>
      </w:tr>
      <w:tr w:rsidR="003C045B" w:rsidRPr="00036F88" w14:paraId="05E7A252" w14:textId="77777777" w:rsidTr="00D50C43">
        <w:trPr>
          <w:gridAfter w:val="1"/>
          <w:wAfter w:w="353" w:type="dxa"/>
          <w:trHeight w:val="870"/>
        </w:trPr>
        <w:tc>
          <w:tcPr>
            <w:tcW w:w="630" w:type="dxa"/>
          </w:tcPr>
          <w:p w14:paraId="56054E51" w14:textId="1549FBFD" w:rsidR="003C045B" w:rsidRPr="00036F88" w:rsidRDefault="003C045B" w:rsidP="003C045B">
            <w:pPr>
              <w:jc w:val="both"/>
              <w:rPr>
                <w:rFonts w:ascii="Times New Roman" w:eastAsia="Calibri" w:hAnsi="Times New Roman" w:cs="Times New Roman"/>
                <w:sz w:val="18"/>
                <w:szCs w:val="18"/>
                <w:lang w:val="en-US"/>
              </w:rPr>
            </w:pPr>
          </w:p>
        </w:tc>
        <w:tc>
          <w:tcPr>
            <w:tcW w:w="5400" w:type="dxa"/>
          </w:tcPr>
          <w:p w14:paraId="5EE5A91B" w14:textId="77777777" w:rsidR="000916B6" w:rsidRPr="000916B6" w:rsidRDefault="000916B6" w:rsidP="000916B6">
            <w:pPr>
              <w:jc w:val="both"/>
              <w:rPr>
                <w:rFonts w:ascii="Times New Roman" w:eastAsia="Calibri" w:hAnsi="Times New Roman" w:cs="Times New Roman"/>
                <w:iCs/>
                <w:sz w:val="18"/>
                <w:szCs w:val="18"/>
                <w:lang w:val="en-US"/>
              </w:rPr>
            </w:pPr>
          </w:p>
          <w:p w14:paraId="2B955E48" w14:textId="77777777" w:rsidR="000916B6" w:rsidRPr="000916B6" w:rsidRDefault="000916B6" w:rsidP="000916B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5a</w:t>
            </w:r>
          </w:p>
          <w:p w14:paraId="1C4EB218" w14:textId="77777777" w:rsidR="000916B6" w:rsidRPr="000916B6" w:rsidRDefault="000916B6" w:rsidP="000916B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Foreseeable importance</w:t>
            </w:r>
          </w:p>
          <w:p w14:paraId="12131691" w14:textId="77777777" w:rsidR="000916B6" w:rsidRPr="000916B6" w:rsidRDefault="000916B6" w:rsidP="000916B6">
            <w:pPr>
              <w:jc w:val="both"/>
              <w:rPr>
                <w:rFonts w:ascii="Times New Roman" w:eastAsia="Calibri" w:hAnsi="Times New Roman" w:cs="Times New Roman"/>
                <w:iCs/>
                <w:sz w:val="18"/>
                <w:szCs w:val="18"/>
                <w:lang w:val="en-US"/>
              </w:rPr>
            </w:pPr>
          </w:p>
          <w:p w14:paraId="015575F9" w14:textId="77777777" w:rsidR="000916B6" w:rsidRPr="000916B6" w:rsidRDefault="000916B6" w:rsidP="000916B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1. For the purposes of a request referred to in Article 5, the information requested is foreseeably relevant when, at the time the request is made, the requesting authority considers that, in accordance with its national law, there is a reasonable possibility that the information requested will be relevant to the tax matters of one or more taxpayers, regardless of whether they are identified by name or otherwise, and is justified for the purposes of the investigation.</w:t>
            </w:r>
          </w:p>
          <w:p w14:paraId="469B74E6" w14:textId="77777777" w:rsidR="000916B6" w:rsidRPr="000916B6" w:rsidRDefault="000916B6" w:rsidP="000916B6">
            <w:pPr>
              <w:jc w:val="both"/>
              <w:rPr>
                <w:rFonts w:ascii="Times New Roman" w:eastAsia="Calibri" w:hAnsi="Times New Roman" w:cs="Times New Roman"/>
                <w:iCs/>
                <w:sz w:val="18"/>
                <w:szCs w:val="18"/>
                <w:lang w:val="en-US"/>
              </w:rPr>
            </w:pPr>
          </w:p>
          <w:p w14:paraId="54E0722C" w14:textId="77777777" w:rsidR="000916B6" w:rsidRPr="000916B6" w:rsidRDefault="000916B6" w:rsidP="000916B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2. For the purpose of demonstrating the foreseeable relevance of the requested information, the requesting authority must provide the requested authority with at least the following information: (a) the tax purpose for which the information is requested; and (b) a specification of the information requested for the administration or enforcement of its national law.</w:t>
            </w:r>
          </w:p>
          <w:p w14:paraId="4188E663" w14:textId="77777777" w:rsidR="000916B6" w:rsidRPr="000916B6" w:rsidRDefault="000916B6" w:rsidP="000916B6">
            <w:pPr>
              <w:jc w:val="both"/>
              <w:rPr>
                <w:rFonts w:ascii="Times New Roman" w:eastAsia="Calibri" w:hAnsi="Times New Roman" w:cs="Times New Roman"/>
                <w:iCs/>
                <w:sz w:val="18"/>
                <w:szCs w:val="18"/>
                <w:lang w:val="en-US"/>
              </w:rPr>
            </w:pPr>
          </w:p>
          <w:p w14:paraId="249A4F98" w14:textId="3BFB4D17" w:rsidR="003C045B" w:rsidRPr="00036F88" w:rsidRDefault="000916B6" w:rsidP="000916B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lastRenderedPageBreak/>
              <w:t>3. When a request referred to in Article 5 concerns a group of taxpayers who cannot be individually identified, the authority requesting shall provide to the requested authority at least the following information: (a) a detailed description of the group; (b) an explanation of the law in force and of the facts on the basis of which there is reason to believe that taxpayers in the group have not complied with the law in force; (c) an explanation of how the requested information would help determine compliance by taxpayers in the group; and (d) where the relevant facts and circumstances relate to the involvement of a third party who actively contributed to the possible non-compliance of taxpayers in the group with the law in force.</w:t>
            </w:r>
          </w:p>
        </w:tc>
        <w:tc>
          <w:tcPr>
            <w:tcW w:w="540" w:type="dxa"/>
          </w:tcPr>
          <w:p w14:paraId="59B66D4C" w14:textId="00B84A40" w:rsidR="003C045B" w:rsidRPr="00036F88" w:rsidRDefault="003C045B" w:rsidP="003C045B">
            <w:pPr>
              <w:jc w:val="center"/>
              <w:rPr>
                <w:rFonts w:ascii="Times New Roman" w:eastAsia="Calibri" w:hAnsi="Times New Roman" w:cs="Times New Roman"/>
                <w:sz w:val="18"/>
                <w:szCs w:val="18"/>
              </w:rPr>
            </w:pPr>
          </w:p>
        </w:tc>
        <w:tc>
          <w:tcPr>
            <w:tcW w:w="720" w:type="dxa"/>
          </w:tcPr>
          <w:p w14:paraId="5ABADC9F" w14:textId="608D228B"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5040" w:type="dxa"/>
            <w:gridSpan w:val="2"/>
            <w:tcBorders>
              <w:bottom w:val="dashed" w:sz="4" w:space="0" w:color="auto"/>
            </w:tcBorders>
          </w:tcPr>
          <w:p w14:paraId="0B4DE358" w14:textId="671F043A" w:rsidR="003C045B" w:rsidRPr="00036F88" w:rsidRDefault="003C045B" w:rsidP="003C045B">
            <w:pPr>
              <w:jc w:val="center"/>
              <w:rPr>
                <w:rFonts w:ascii="Times New Roman" w:hAnsi="Times New Roman" w:cs="Times New Roman"/>
                <w:sz w:val="18"/>
                <w:szCs w:val="18"/>
              </w:rPr>
            </w:pPr>
            <w:r w:rsidRPr="00036F88">
              <w:rPr>
                <w:rFonts w:ascii="Times New Roman" w:hAnsi="Times New Roman" w:cs="Times New Roman"/>
                <w:sz w:val="18"/>
                <w:szCs w:val="18"/>
              </w:rPr>
              <w:br/>
            </w:r>
          </w:p>
          <w:p w14:paraId="4DAEA1FE" w14:textId="58D94405" w:rsidR="003C045B" w:rsidRPr="00036F88" w:rsidRDefault="000916B6" w:rsidP="000916B6">
            <w:pPr>
              <w:jc w:val="center"/>
              <w:rPr>
                <w:rFonts w:ascii="Times New Roman" w:eastAsia="Calibri" w:hAnsi="Times New Roman" w:cs="Times New Roman"/>
                <w:sz w:val="18"/>
                <w:szCs w:val="18"/>
                <w:lang w:val="en-US"/>
              </w:rPr>
            </w:pPr>
            <w:r>
              <w:rPr>
                <w:rFonts w:ascii="Times New Roman" w:hAnsi="Times New Roman" w:cs="Times New Roman"/>
                <w:sz w:val="18"/>
                <w:szCs w:val="18"/>
              </w:rPr>
              <w:t>N/A</w:t>
            </w:r>
          </w:p>
        </w:tc>
        <w:tc>
          <w:tcPr>
            <w:tcW w:w="720" w:type="dxa"/>
            <w:gridSpan w:val="2"/>
            <w:tcBorders>
              <w:bottom w:val="dashed" w:sz="4" w:space="0" w:color="auto"/>
            </w:tcBorders>
          </w:tcPr>
          <w:p w14:paraId="3F896C22" w14:textId="4DA32D17"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240" w:type="dxa"/>
            <w:gridSpan w:val="2"/>
            <w:tcBorders>
              <w:bottom w:val="dashed" w:sz="4" w:space="0" w:color="auto"/>
            </w:tcBorders>
          </w:tcPr>
          <w:p w14:paraId="76BFEABA" w14:textId="4DC75375" w:rsidR="000916B6" w:rsidRPr="000916B6" w:rsidRDefault="000916B6" w:rsidP="000916B6">
            <w:pPr>
              <w:rPr>
                <w:rFonts w:ascii="Times New Roman" w:eastAsia="Calibri" w:hAnsi="Times New Roman" w:cs="Times New Roman"/>
                <w:iCs/>
                <w:sz w:val="18"/>
                <w:szCs w:val="18"/>
                <w:lang w:val="en-US"/>
              </w:rPr>
            </w:pPr>
          </w:p>
          <w:p w14:paraId="017969E8" w14:textId="77777777" w:rsidR="007903F2" w:rsidRDefault="000916B6" w:rsidP="007903F2">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 xml:space="preserve">Does not require transposition in this instrument. Article 5a concerns exchanges on request throughout the DAC framework . This is provided for in Article 6 of the law on the general DAC. </w:t>
            </w:r>
          </w:p>
          <w:p w14:paraId="279D1F27" w14:textId="2589AD10" w:rsidR="007903F2" w:rsidRDefault="007903F2" w:rsidP="007903F2">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 xml:space="preserve">Article 6 provides as below: </w:t>
            </w:r>
          </w:p>
          <w:p w14:paraId="63AAB289" w14:textId="77777777" w:rsidR="007903F2" w:rsidRDefault="007903F2" w:rsidP="007903F2">
            <w:pPr>
              <w:rPr>
                <w:rFonts w:ascii="Times New Roman" w:eastAsia="Calibri" w:hAnsi="Times New Roman" w:cs="Times New Roman"/>
                <w:sz w:val="18"/>
                <w:szCs w:val="18"/>
                <w:lang w:val="en-US"/>
              </w:rPr>
            </w:pPr>
          </w:p>
          <w:p w14:paraId="03C8DB6B" w14:textId="77777777" w:rsidR="007903F2" w:rsidRDefault="007903F2" w:rsidP="007903F2">
            <w:pPr>
              <w:rPr>
                <w:rFonts w:ascii="Times New Roman" w:eastAsia="Calibri" w:hAnsi="Times New Roman" w:cs="Times New Roman"/>
                <w:sz w:val="18"/>
                <w:szCs w:val="18"/>
                <w:lang w:val="en-US"/>
              </w:rPr>
            </w:pPr>
          </w:p>
          <w:p w14:paraId="05C613AC" w14:textId="26902ADB" w:rsidR="007903F2" w:rsidRPr="007903F2" w:rsidRDefault="007903F2" w:rsidP="007903F2">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Article 6</w:t>
            </w:r>
          </w:p>
          <w:p w14:paraId="1AED5619" w14:textId="77777777" w:rsidR="007903F2" w:rsidRPr="007903F2" w:rsidRDefault="007903F2" w:rsidP="007903F2">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The foreseeable relevance of the information</w:t>
            </w:r>
          </w:p>
          <w:p w14:paraId="1E0CC1CB" w14:textId="77777777" w:rsidR="007903F2" w:rsidRPr="007903F2" w:rsidRDefault="007903F2" w:rsidP="007903F2">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1.</w:t>
            </w:r>
            <w:r>
              <w:rPr>
                <w:rFonts w:ascii="Times New Roman" w:eastAsia="Calibri" w:hAnsi="Times New Roman" w:cs="Times New Roman"/>
                <w:sz w:val="18"/>
                <w:szCs w:val="18"/>
                <w:lang w:val="en-US"/>
              </w:rPr>
              <w:tab/>
              <w:t xml:space="preserve">For the purposes of Article 4, the requested information is considered foreseeably relevant when, at the time of submitting the request, the requesting authority assesses that, in accordance with its national legislation, there is a reasonable possibility that the requested information is relevant to the tax matters </w:t>
            </w:r>
            <w:r>
              <w:rPr>
                <w:rFonts w:ascii="Times New Roman" w:eastAsia="Calibri" w:hAnsi="Times New Roman" w:cs="Times New Roman"/>
                <w:sz w:val="18"/>
                <w:szCs w:val="18"/>
                <w:lang w:val="en-US"/>
              </w:rPr>
              <w:lastRenderedPageBreak/>
              <w:t xml:space="preserve">of one or more taxpayers, regardless of whether they are already identified by name or not, and that the request is justified for the purposes of the administrative investigation. </w:t>
            </w:r>
          </w:p>
          <w:p w14:paraId="6A7351E0" w14:textId="77777777" w:rsidR="007903F2" w:rsidRPr="007903F2" w:rsidRDefault="007903F2" w:rsidP="007903F2">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2.</w:t>
            </w:r>
            <w:r>
              <w:rPr>
                <w:rFonts w:ascii="Times New Roman" w:eastAsia="Calibri" w:hAnsi="Times New Roman" w:cs="Times New Roman"/>
                <w:sz w:val="18"/>
                <w:szCs w:val="18"/>
                <w:lang w:val="en-US"/>
              </w:rPr>
              <w:tab/>
              <w:t>To demonstrate the foreseeable relevance of the requested information, the requesting authority shall provide the requested authority at least the following information:</w:t>
            </w:r>
          </w:p>
          <w:p w14:paraId="6518E300" w14:textId="77777777" w:rsidR="007903F2" w:rsidRPr="007903F2" w:rsidRDefault="007903F2" w:rsidP="007903F2">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a) the tax purpose for which the information is requested; and</w:t>
            </w:r>
          </w:p>
          <w:p w14:paraId="06C97508" w14:textId="77777777" w:rsidR="007903F2" w:rsidRPr="007903F2" w:rsidRDefault="007903F2" w:rsidP="007903F2">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 xml:space="preserve">b) a specification of the information required for the administration or implementation of its national legislation. </w:t>
            </w:r>
          </w:p>
          <w:p w14:paraId="799B7B4F" w14:textId="77777777" w:rsidR="007903F2" w:rsidRPr="007903F2" w:rsidRDefault="007903F2" w:rsidP="007903F2">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3.</w:t>
            </w:r>
            <w:r>
              <w:rPr>
                <w:rFonts w:ascii="Times New Roman" w:eastAsia="Calibri" w:hAnsi="Times New Roman" w:cs="Times New Roman"/>
                <w:sz w:val="18"/>
                <w:szCs w:val="18"/>
                <w:lang w:val="en-US"/>
              </w:rPr>
              <w:tab/>
              <w:t>When a request referred to in Article 4 relates to a group of taxpayers who cannot be identified individually, the requesting authority shall provide the requested authority with at least the following information:</w:t>
            </w:r>
          </w:p>
          <w:p w14:paraId="5CD689DF" w14:textId="77777777" w:rsidR="007903F2" w:rsidRPr="007903F2" w:rsidRDefault="007903F2" w:rsidP="007903F2">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a) a detailed description of the group;</w:t>
            </w:r>
          </w:p>
          <w:p w14:paraId="2D7419BD" w14:textId="77777777" w:rsidR="007903F2" w:rsidRPr="007903F2" w:rsidRDefault="007903F2" w:rsidP="007903F2">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b) an explanation of the law in force and of the facts on the basis of which there are reasons to believe that the taxpayers in the group have not complied with the legislation in force;</w:t>
            </w:r>
          </w:p>
          <w:p w14:paraId="5A0C2673" w14:textId="77777777" w:rsidR="007903F2" w:rsidRPr="007903F2" w:rsidRDefault="007903F2" w:rsidP="007903F2">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c) an explanation of how the requested information would help in determining the compliance of taxpayers in the group; and</w:t>
            </w:r>
          </w:p>
          <w:p w14:paraId="16062C8C" w14:textId="1F2BEBDC" w:rsidR="003C045B" w:rsidRPr="00036F88" w:rsidRDefault="007903F2" w:rsidP="007903F2">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d) where applicable, an explanation of the involvement of any third party that has actively contributed to the possible non-compliance of taxpayers in the group with the legislation in force.</w:t>
            </w:r>
          </w:p>
        </w:tc>
      </w:tr>
      <w:tr w:rsidR="003C045B" w:rsidRPr="00036F88" w14:paraId="58B319CC" w14:textId="77777777" w:rsidTr="00D50C43">
        <w:trPr>
          <w:gridAfter w:val="1"/>
          <w:wAfter w:w="353" w:type="dxa"/>
          <w:trHeight w:val="710"/>
        </w:trPr>
        <w:tc>
          <w:tcPr>
            <w:tcW w:w="630" w:type="dxa"/>
            <w:shd w:val="clear" w:color="auto" w:fill="D0CECE" w:themeFill="background2" w:themeFillShade="E6"/>
          </w:tcPr>
          <w:p w14:paraId="224AE4C1" w14:textId="0D30AC43" w:rsidR="003C045B" w:rsidRPr="00036F88" w:rsidRDefault="003C045B" w:rsidP="003C045B">
            <w:pPr>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35C96061" w14:textId="77777777" w:rsidR="000916B6" w:rsidRPr="000916B6" w:rsidRDefault="000916B6" w:rsidP="000916B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1(3) (Directive 2021/514/EU)</w:t>
            </w:r>
          </w:p>
          <w:p w14:paraId="09834135" w14:textId="77777777" w:rsidR="000916B6" w:rsidRPr="000916B6" w:rsidRDefault="000916B6" w:rsidP="000916B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6, paragraph 2 (Directive 2011/16/EU)</w:t>
            </w:r>
          </w:p>
          <w:p w14:paraId="7CC33995" w14:textId="77777777" w:rsidR="003C045B" w:rsidRPr="00990A3C" w:rsidRDefault="003C045B" w:rsidP="003C045B">
            <w:pPr>
              <w:jc w:val="both"/>
              <w:rPr>
                <w:rFonts w:ascii="Times New Roman" w:eastAsia="Calibri" w:hAnsi="Times New Roman" w:cs="Times New Roman"/>
                <w:i/>
                <w:iCs/>
                <w:sz w:val="18"/>
                <w:szCs w:val="18"/>
                <w:lang w:val="en-US"/>
              </w:rPr>
            </w:pPr>
          </w:p>
        </w:tc>
        <w:tc>
          <w:tcPr>
            <w:tcW w:w="540" w:type="dxa"/>
            <w:shd w:val="clear" w:color="auto" w:fill="D0CECE" w:themeFill="background2" w:themeFillShade="E6"/>
          </w:tcPr>
          <w:p w14:paraId="00B408AA" w14:textId="4F7D18E3" w:rsidR="003C045B" w:rsidRPr="00990A3C" w:rsidRDefault="003C045B" w:rsidP="003C045B">
            <w:pPr>
              <w:jc w:val="center"/>
              <w:rPr>
                <w:rFonts w:ascii="Times New Roman" w:eastAsia="Calibri" w:hAnsi="Times New Roman" w:cs="Times New Roman"/>
                <w:i/>
                <w:iCs/>
                <w:sz w:val="18"/>
                <w:szCs w:val="18"/>
              </w:rPr>
            </w:pPr>
          </w:p>
        </w:tc>
        <w:tc>
          <w:tcPr>
            <w:tcW w:w="720" w:type="dxa"/>
            <w:shd w:val="clear" w:color="auto" w:fill="D0CECE" w:themeFill="background2" w:themeFillShade="E6"/>
          </w:tcPr>
          <w:p w14:paraId="4FA1D7A2" w14:textId="3E25DD08" w:rsidR="003C045B" w:rsidRPr="006E4603" w:rsidRDefault="003C045B" w:rsidP="003C045B">
            <w:pPr>
              <w:jc w:val="center"/>
              <w:rPr>
                <w:rFonts w:ascii="Times New Roman" w:eastAsia="Calibri" w:hAnsi="Times New Roman" w:cs="Times New Roman"/>
                <w:iCs/>
                <w:sz w:val="18"/>
                <w:szCs w:val="18"/>
                <w:lang w:val="en-US"/>
              </w:rPr>
            </w:pPr>
          </w:p>
        </w:tc>
        <w:tc>
          <w:tcPr>
            <w:tcW w:w="5040" w:type="dxa"/>
            <w:gridSpan w:val="2"/>
            <w:tcBorders>
              <w:bottom w:val="dashed" w:sz="4" w:space="0" w:color="auto"/>
            </w:tcBorders>
            <w:shd w:val="clear" w:color="auto" w:fill="D0CECE" w:themeFill="background2" w:themeFillShade="E6"/>
          </w:tcPr>
          <w:p w14:paraId="0EDA3A1F" w14:textId="1D428055" w:rsidR="003C045B" w:rsidRPr="00990A3C" w:rsidRDefault="003C045B" w:rsidP="000916B6">
            <w:pPr>
              <w:rPr>
                <w:rFonts w:ascii="Times New Roman" w:eastAsia="Calibri" w:hAnsi="Times New Roman" w:cs="Times New Roman"/>
                <w:i/>
                <w:iCs/>
                <w:sz w:val="18"/>
                <w:szCs w:val="18"/>
                <w:lang w:val="en-US"/>
              </w:rPr>
            </w:pPr>
          </w:p>
        </w:tc>
        <w:tc>
          <w:tcPr>
            <w:tcW w:w="720" w:type="dxa"/>
            <w:gridSpan w:val="2"/>
            <w:tcBorders>
              <w:bottom w:val="dashed" w:sz="4" w:space="0" w:color="auto"/>
            </w:tcBorders>
            <w:shd w:val="clear" w:color="auto" w:fill="D0CECE" w:themeFill="background2" w:themeFillShade="E6"/>
          </w:tcPr>
          <w:p w14:paraId="64F469B0" w14:textId="5254E0D7" w:rsidR="003C045B" w:rsidRPr="00036F88" w:rsidRDefault="003C045B" w:rsidP="003C045B">
            <w:pPr>
              <w:jc w:val="center"/>
              <w:rPr>
                <w:rFonts w:ascii="Times New Roman" w:eastAsia="Calibri" w:hAnsi="Times New Roman" w:cs="Times New Roman"/>
                <w:sz w:val="18"/>
                <w:szCs w:val="18"/>
                <w:lang w:val="en-US"/>
              </w:rPr>
            </w:pPr>
          </w:p>
        </w:tc>
        <w:tc>
          <w:tcPr>
            <w:tcW w:w="3240" w:type="dxa"/>
            <w:gridSpan w:val="2"/>
            <w:tcBorders>
              <w:bottom w:val="dashed" w:sz="4" w:space="0" w:color="auto"/>
            </w:tcBorders>
            <w:shd w:val="clear" w:color="auto" w:fill="D0CECE" w:themeFill="background2" w:themeFillShade="E6"/>
          </w:tcPr>
          <w:p w14:paraId="0F876825" w14:textId="35858A2B" w:rsidR="003C045B" w:rsidRPr="00036F88" w:rsidRDefault="003C045B" w:rsidP="003C045B">
            <w:pPr>
              <w:rPr>
                <w:rFonts w:ascii="Times New Roman" w:eastAsia="Calibri" w:hAnsi="Times New Roman" w:cs="Times New Roman"/>
                <w:sz w:val="18"/>
                <w:szCs w:val="18"/>
                <w:lang w:val="en-US"/>
              </w:rPr>
            </w:pPr>
          </w:p>
        </w:tc>
      </w:tr>
      <w:tr w:rsidR="003C045B" w:rsidRPr="00036F88" w14:paraId="69F77E82" w14:textId="77777777" w:rsidTr="00D50C43">
        <w:trPr>
          <w:gridAfter w:val="1"/>
          <w:wAfter w:w="353" w:type="dxa"/>
        </w:trPr>
        <w:tc>
          <w:tcPr>
            <w:tcW w:w="630" w:type="dxa"/>
          </w:tcPr>
          <w:p w14:paraId="69F19673" w14:textId="7B3D6D02" w:rsidR="003C045B" w:rsidRPr="00036F88" w:rsidRDefault="003C045B" w:rsidP="003C045B">
            <w:pPr>
              <w:jc w:val="both"/>
              <w:rPr>
                <w:rFonts w:ascii="Times New Roman" w:eastAsia="Calibri" w:hAnsi="Times New Roman" w:cs="Times New Roman"/>
                <w:sz w:val="18"/>
                <w:szCs w:val="18"/>
                <w:lang w:val="en-US"/>
              </w:rPr>
            </w:pPr>
          </w:p>
        </w:tc>
        <w:tc>
          <w:tcPr>
            <w:tcW w:w="5400" w:type="dxa"/>
          </w:tcPr>
          <w:p w14:paraId="595B79AD" w14:textId="77777777" w:rsidR="000916B6" w:rsidRPr="000916B6" w:rsidRDefault="000916B6" w:rsidP="000916B6">
            <w:pPr>
              <w:jc w:val="both"/>
              <w:rPr>
                <w:rFonts w:ascii="Times New Roman" w:eastAsia="Calibri" w:hAnsi="Times New Roman" w:cs="Times New Roman"/>
                <w:iCs/>
                <w:sz w:val="18"/>
                <w:szCs w:val="18"/>
                <w:lang w:val="en-US"/>
              </w:rPr>
            </w:pPr>
          </w:p>
          <w:p w14:paraId="7379828A" w14:textId="2557BF83" w:rsidR="003C045B" w:rsidRPr="00036F88" w:rsidRDefault="000916B6" w:rsidP="000916B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'2. The request referred to in Article 5 may contain a reasoned request for an administrative investigation. If the requested authority considers that no administrative investigation is necessary, it shall immediately inform the requesting authority of the reasons for this.'</w:t>
            </w:r>
          </w:p>
        </w:tc>
        <w:tc>
          <w:tcPr>
            <w:tcW w:w="540" w:type="dxa"/>
          </w:tcPr>
          <w:p w14:paraId="126B8A65" w14:textId="484EE591" w:rsidR="003C045B" w:rsidRPr="00036F88" w:rsidRDefault="003C045B" w:rsidP="003C045B">
            <w:pPr>
              <w:jc w:val="center"/>
              <w:rPr>
                <w:rFonts w:ascii="Times New Roman" w:eastAsia="Calibri" w:hAnsi="Times New Roman" w:cs="Times New Roman"/>
                <w:sz w:val="18"/>
                <w:szCs w:val="18"/>
              </w:rPr>
            </w:pPr>
          </w:p>
        </w:tc>
        <w:tc>
          <w:tcPr>
            <w:tcW w:w="720" w:type="dxa"/>
          </w:tcPr>
          <w:p w14:paraId="4F71CC44" w14:textId="0D472D49"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5040" w:type="dxa"/>
            <w:gridSpan w:val="2"/>
          </w:tcPr>
          <w:p w14:paraId="5BB63C0C" w14:textId="41D595DF" w:rsidR="003C045B" w:rsidRPr="00036F88" w:rsidRDefault="000916B6" w:rsidP="00BC5DCD">
            <w:pPr>
              <w:ind w:left="360"/>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720" w:type="dxa"/>
            <w:gridSpan w:val="2"/>
          </w:tcPr>
          <w:p w14:paraId="792A6F0C" w14:textId="0805B5AF"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240" w:type="dxa"/>
            <w:gridSpan w:val="2"/>
          </w:tcPr>
          <w:p w14:paraId="4266947B" w14:textId="77777777" w:rsidR="00FC5AE0" w:rsidRPr="00FC5AE0" w:rsidRDefault="000916B6" w:rsidP="00FC5AE0">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Does not require transposition.</w:t>
            </w:r>
          </w:p>
          <w:p w14:paraId="745B0208" w14:textId="77777777" w:rsidR="00FC5AE0" w:rsidRPr="00FC5AE0" w:rsidRDefault="00FC5AE0" w:rsidP="00FC5AE0">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Procedural provisions on administrative cooperation. Covered by DAC</w:t>
            </w:r>
          </w:p>
          <w:p w14:paraId="60F1FA33" w14:textId="10C3625F" w:rsidR="007903F2" w:rsidRDefault="00FC5AE0" w:rsidP="00FC5AE0">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 xml:space="preserve">The General Law. </w:t>
            </w:r>
          </w:p>
          <w:p w14:paraId="32A188CA" w14:textId="7A0982A6" w:rsidR="00622B62" w:rsidRDefault="00622B62" w:rsidP="00FC5AE0">
            <w:pPr>
              <w:rPr>
                <w:rFonts w:ascii="Times New Roman" w:eastAsia="Calibri" w:hAnsi="Times New Roman" w:cs="Times New Roman"/>
                <w:sz w:val="18"/>
                <w:szCs w:val="18"/>
                <w:lang w:val="en-US"/>
              </w:rPr>
            </w:pPr>
          </w:p>
          <w:p w14:paraId="1461B00C" w14:textId="77777777" w:rsidR="00622B62" w:rsidRDefault="00622B62" w:rsidP="00FC5AE0">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 xml:space="preserve">Article 4 point 3 provides: </w:t>
            </w:r>
          </w:p>
          <w:p w14:paraId="08161D96" w14:textId="77777777" w:rsidR="00622B62" w:rsidRDefault="00622B62" w:rsidP="00FC5AE0">
            <w:pPr>
              <w:rPr>
                <w:rFonts w:ascii="Times New Roman" w:eastAsia="Calibri" w:hAnsi="Times New Roman" w:cs="Times New Roman"/>
                <w:sz w:val="18"/>
                <w:szCs w:val="18"/>
                <w:lang w:val="en-US"/>
              </w:rPr>
            </w:pPr>
          </w:p>
          <w:p w14:paraId="59E60F44" w14:textId="02AB7E3A" w:rsidR="00622B62" w:rsidRDefault="00622B62" w:rsidP="00FC5AE0">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3.</w:t>
            </w:r>
            <w:r>
              <w:rPr>
                <w:rFonts w:ascii="Times New Roman" w:eastAsia="Calibri" w:hAnsi="Times New Roman" w:cs="Times New Roman"/>
                <w:sz w:val="18"/>
                <w:szCs w:val="18"/>
                <w:lang w:val="en-US"/>
              </w:rPr>
              <w:tab/>
              <w:t>The Competent Authority takes all necessary measures to carry out the administrative investigations required to ensure the information, even when this information is not needed for its own tax purposes. Upon specific request, it provides original documents to the extent permitted by Albanian legislation.</w:t>
            </w:r>
          </w:p>
          <w:p w14:paraId="47D8406A" w14:textId="77777777" w:rsidR="007903F2" w:rsidRDefault="007903F2" w:rsidP="00FC5AE0">
            <w:pPr>
              <w:rPr>
                <w:rFonts w:ascii="Times New Roman" w:eastAsia="Calibri" w:hAnsi="Times New Roman" w:cs="Times New Roman"/>
                <w:sz w:val="18"/>
                <w:szCs w:val="18"/>
                <w:lang w:val="en-US"/>
              </w:rPr>
            </w:pPr>
          </w:p>
          <w:p w14:paraId="6BF325A1" w14:textId="04079101" w:rsidR="003C045B" w:rsidRPr="00036F88" w:rsidRDefault="003C045B" w:rsidP="00FC5AE0">
            <w:pPr>
              <w:rPr>
                <w:rFonts w:ascii="Times New Roman" w:eastAsia="Calibri" w:hAnsi="Times New Roman" w:cs="Times New Roman"/>
                <w:sz w:val="18"/>
                <w:szCs w:val="18"/>
                <w:lang w:val="en-US"/>
              </w:rPr>
            </w:pPr>
          </w:p>
        </w:tc>
      </w:tr>
      <w:tr w:rsidR="003C045B" w:rsidRPr="00036F88" w14:paraId="795D9D6B" w14:textId="77777777" w:rsidTr="00D50C43">
        <w:trPr>
          <w:gridAfter w:val="1"/>
          <w:wAfter w:w="353" w:type="dxa"/>
        </w:trPr>
        <w:tc>
          <w:tcPr>
            <w:tcW w:w="630" w:type="dxa"/>
            <w:shd w:val="clear" w:color="auto" w:fill="D0CECE" w:themeFill="background2" w:themeFillShade="E6"/>
          </w:tcPr>
          <w:p w14:paraId="56BD2627" w14:textId="0304CB92" w:rsidR="003C045B" w:rsidRPr="00036F88" w:rsidRDefault="003C045B" w:rsidP="003C045B">
            <w:pPr>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2AA16403" w14:textId="77777777" w:rsidR="00FC5AE0" w:rsidRPr="00FC5AE0" w:rsidRDefault="00FC5AE0" w:rsidP="00FC5AE0">
            <w:pPr>
              <w:jc w:val="both"/>
              <w:rPr>
                <w:rFonts w:ascii="Times New Roman" w:eastAsia="Calibri" w:hAnsi="Times New Roman" w:cs="Times New Roman"/>
                <w:i/>
                <w:iCs/>
                <w:sz w:val="18"/>
                <w:szCs w:val="18"/>
                <w:lang w:val="en-US"/>
              </w:rPr>
            </w:pPr>
            <w:r>
              <w:rPr>
                <w:rFonts w:ascii="Times New Roman" w:eastAsia="Calibri" w:hAnsi="Times New Roman" w:cs="Times New Roman"/>
                <w:i/>
                <w:iCs/>
                <w:sz w:val="18"/>
                <w:szCs w:val="18"/>
                <w:lang w:val="en-US"/>
              </w:rPr>
              <w:t>Article 1(4) (Directive 2021/514/EU)</w:t>
            </w:r>
          </w:p>
          <w:p w14:paraId="316D99B5" w14:textId="0C869FBC" w:rsidR="003C045B" w:rsidRPr="00990A3C" w:rsidRDefault="00FC5AE0" w:rsidP="00FC5AE0">
            <w:pPr>
              <w:jc w:val="both"/>
              <w:rPr>
                <w:rFonts w:ascii="Times New Roman" w:eastAsia="Calibri" w:hAnsi="Times New Roman" w:cs="Times New Roman"/>
                <w:i/>
                <w:iCs/>
                <w:sz w:val="18"/>
                <w:szCs w:val="18"/>
                <w:lang w:val="en-US"/>
              </w:rPr>
            </w:pPr>
            <w:r>
              <w:rPr>
                <w:rFonts w:ascii="Times New Roman" w:eastAsia="Calibri" w:hAnsi="Times New Roman" w:cs="Times New Roman"/>
                <w:i/>
                <w:iCs/>
                <w:sz w:val="18"/>
                <w:szCs w:val="18"/>
                <w:lang w:val="en-US"/>
              </w:rPr>
              <w:t>Article 7, paragraph 1 (Directive 2011/16/EU)</w:t>
            </w:r>
          </w:p>
        </w:tc>
        <w:tc>
          <w:tcPr>
            <w:tcW w:w="540" w:type="dxa"/>
            <w:shd w:val="clear" w:color="auto" w:fill="D0CECE" w:themeFill="background2" w:themeFillShade="E6"/>
          </w:tcPr>
          <w:p w14:paraId="68A57B73" w14:textId="19F64D70" w:rsidR="003C045B" w:rsidRPr="00990A3C" w:rsidRDefault="003C045B" w:rsidP="003C045B">
            <w:pPr>
              <w:jc w:val="center"/>
              <w:rPr>
                <w:rFonts w:ascii="Times New Roman" w:eastAsia="Calibri" w:hAnsi="Times New Roman" w:cs="Times New Roman"/>
                <w:i/>
                <w:iCs/>
                <w:sz w:val="18"/>
                <w:szCs w:val="18"/>
              </w:rPr>
            </w:pPr>
          </w:p>
        </w:tc>
        <w:tc>
          <w:tcPr>
            <w:tcW w:w="720" w:type="dxa"/>
            <w:shd w:val="clear" w:color="auto" w:fill="D0CECE" w:themeFill="background2" w:themeFillShade="E6"/>
          </w:tcPr>
          <w:p w14:paraId="482568F1" w14:textId="58ED12C7" w:rsidR="003C045B" w:rsidRPr="00990A3C" w:rsidRDefault="003C045B" w:rsidP="003C045B">
            <w:pPr>
              <w:jc w:val="center"/>
              <w:rPr>
                <w:rFonts w:ascii="Times New Roman" w:eastAsia="Calibri" w:hAnsi="Times New Roman" w:cs="Times New Roman"/>
                <w:i/>
                <w:iCs/>
                <w:sz w:val="18"/>
                <w:szCs w:val="18"/>
                <w:lang w:val="en-US"/>
              </w:rPr>
            </w:pPr>
          </w:p>
        </w:tc>
        <w:tc>
          <w:tcPr>
            <w:tcW w:w="5040" w:type="dxa"/>
            <w:gridSpan w:val="2"/>
            <w:shd w:val="clear" w:color="auto" w:fill="D0CECE" w:themeFill="background2" w:themeFillShade="E6"/>
          </w:tcPr>
          <w:p w14:paraId="5E37C130" w14:textId="547CF5C3" w:rsidR="003C045B" w:rsidRPr="00990A3C" w:rsidRDefault="003C045B" w:rsidP="00FC5AE0">
            <w:pPr>
              <w:jc w:val="center"/>
              <w:rPr>
                <w:rFonts w:ascii="Times New Roman" w:eastAsia="Calibri" w:hAnsi="Times New Roman" w:cs="Times New Roman"/>
                <w:i/>
                <w:iCs/>
                <w:sz w:val="18"/>
                <w:szCs w:val="18"/>
                <w:lang w:val="en-US"/>
              </w:rPr>
            </w:pPr>
          </w:p>
        </w:tc>
        <w:tc>
          <w:tcPr>
            <w:tcW w:w="720" w:type="dxa"/>
            <w:gridSpan w:val="2"/>
            <w:shd w:val="clear" w:color="auto" w:fill="D0CECE" w:themeFill="background2" w:themeFillShade="E6"/>
          </w:tcPr>
          <w:p w14:paraId="1BFB2DE6" w14:textId="7E8BCE79" w:rsidR="003C045B" w:rsidRPr="00990A3C" w:rsidRDefault="003C045B" w:rsidP="003C045B">
            <w:pPr>
              <w:jc w:val="center"/>
              <w:rPr>
                <w:rFonts w:ascii="Times New Roman" w:eastAsia="Calibri" w:hAnsi="Times New Roman" w:cs="Times New Roman"/>
                <w:i/>
                <w:iCs/>
                <w:sz w:val="18"/>
                <w:szCs w:val="18"/>
                <w:lang w:val="en-US"/>
              </w:rPr>
            </w:pPr>
          </w:p>
        </w:tc>
        <w:tc>
          <w:tcPr>
            <w:tcW w:w="3240" w:type="dxa"/>
            <w:gridSpan w:val="2"/>
            <w:shd w:val="clear" w:color="auto" w:fill="D0CECE" w:themeFill="background2" w:themeFillShade="E6"/>
          </w:tcPr>
          <w:p w14:paraId="0E1C93C5" w14:textId="77777777" w:rsidR="003C045B" w:rsidRPr="00036F88" w:rsidRDefault="003C045B" w:rsidP="003C045B">
            <w:pPr>
              <w:rPr>
                <w:rFonts w:ascii="Times New Roman" w:eastAsia="Calibri" w:hAnsi="Times New Roman" w:cs="Times New Roman"/>
                <w:sz w:val="18"/>
                <w:szCs w:val="18"/>
                <w:lang w:val="en-US"/>
              </w:rPr>
            </w:pPr>
          </w:p>
        </w:tc>
      </w:tr>
      <w:tr w:rsidR="003C045B" w:rsidRPr="00036F88" w14:paraId="602A0892" w14:textId="77777777" w:rsidTr="00D50C43">
        <w:trPr>
          <w:gridAfter w:val="1"/>
          <w:wAfter w:w="353" w:type="dxa"/>
          <w:trHeight w:val="900"/>
        </w:trPr>
        <w:tc>
          <w:tcPr>
            <w:tcW w:w="630" w:type="dxa"/>
          </w:tcPr>
          <w:p w14:paraId="176CFC32" w14:textId="7CC0D92E" w:rsidR="003C045B" w:rsidRPr="00036F88" w:rsidRDefault="003C045B" w:rsidP="003C045B">
            <w:pPr>
              <w:jc w:val="both"/>
              <w:rPr>
                <w:rFonts w:ascii="Times New Roman" w:eastAsia="Calibri" w:hAnsi="Times New Roman" w:cs="Times New Roman"/>
                <w:sz w:val="18"/>
                <w:szCs w:val="18"/>
                <w:lang w:val="en-US"/>
              </w:rPr>
            </w:pPr>
          </w:p>
        </w:tc>
        <w:tc>
          <w:tcPr>
            <w:tcW w:w="5400" w:type="dxa"/>
          </w:tcPr>
          <w:p w14:paraId="620A1432" w14:textId="77777777" w:rsidR="00FC5AE0" w:rsidRPr="00FC5AE0" w:rsidRDefault="00FC5AE0" w:rsidP="00FC5AE0">
            <w:pPr>
              <w:jc w:val="both"/>
              <w:rPr>
                <w:rFonts w:ascii="Times New Roman" w:eastAsia="Calibri" w:hAnsi="Times New Roman" w:cs="Times New Roman"/>
                <w:iCs/>
                <w:sz w:val="18"/>
                <w:szCs w:val="18"/>
                <w:lang w:val="en-US"/>
              </w:rPr>
            </w:pPr>
          </w:p>
          <w:p w14:paraId="37B59ACE" w14:textId="77777777" w:rsidR="00FC5AE0" w:rsidRPr="00FC5AE0" w:rsidRDefault="00FC5AE0" w:rsidP="00FC5AE0">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'1. The requested authority must provide the information referred to in Article 5 as quickly as possible and no later than three months from the date of receipt of the request. However, where the requested authority is unable to respond to the request within the relevant time limit, it must inform the requesting authority immediately and in any case within three months from receipt of the request, of the reasons for its failure to act in this regard and the date by which it considers it may be able to respond. The time limit must not be longer than six months from the date of receipt of the request.</w:t>
            </w:r>
          </w:p>
          <w:p w14:paraId="4D00A61B" w14:textId="77777777" w:rsidR="00FC5AE0" w:rsidRPr="00FC5AE0" w:rsidRDefault="00FC5AE0" w:rsidP="00FC5AE0">
            <w:pPr>
              <w:jc w:val="both"/>
              <w:rPr>
                <w:rFonts w:ascii="Times New Roman" w:eastAsia="Calibri" w:hAnsi="Times New Roman" w:cs="Times New Roman"/>
                <w:iCs/>
                <w:sz w:val="18"/>
                <w:szCs w:val="18"/>
                <w:lang w:val="en-US"/>
              </w:rPr>
            </w:pPr>
          </w:p>
          <w:p w14:paraId="4B13DA69" w14:textId="2CF12869" w:rsidR="003C045B" w:rsidRPr="00036F88" w:rsidRDefault="00FC5AE0" w:rsidP="00FC5AE0">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However, where the requested authority already has that information, the information shall be transmitted within two months from that date.</w:t>
            </w:r>
          </w:p>
        </w:tc>
        <w:tc>
          <w:tcPr>
            <w:tcW w:w="540" w:type="dxa"/>
          </w:tcPr>
          <w:p w14:paraId="08D27D38" w14:textId="022BD9E7" w:rsidR="003C045B" w:rsidRPr="00036F88" w:rsidRDefault="003C045B" w:rsidP="003C045B">
            <w:pPr>
              <w:jc w:val="center"/>
              <w:rPr>
                <w:rFonts w:ascii="Times New Roman" w:eastAsia="Calibri" w:hAnsi="Times New Roman" w:cs="Times New Roman"/>
                <w:sz w:val="18"/>
                <w:szCs w:val="18"/>
              </w:rPr>
            </w:pPr>
          </w:p>
        </w:tc>
        <w:tc>
          <w:tcPr>
            <w:tcW w:w="720" w:type="dxa"/>
          </w:tcPr>
          <w:p w14:paraId="63459AAD" w14:textId="77777777" w:rsidR="00190825" w:rsidRDefault="00190825" w:rsidP="003C045B">
            <w:pPr>
              <w:jc w:val="center"/>
              <w:rPr>
                <w:rFonts w:ascii="Times New Roman" w:eastAsia="Calibri" w:hAnsi="Times New Roman" w:cs="Times New Roman"/>
                <w:sz w:val="18"/>
                <w:szCs w:val="18"/>
                <w:lang w:val="en-US"/>
              </w:rPr>
            </w:pPr>
          </w:p>
          <w:p w14:paraId="76515CA7" w14:textId="69830AE3"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5040" w:type="dxa"/>
            <w:gridSpan w:val="2"/>
            <w:tcBorders>
              <w:bottom w:val="dashed" w:sz="4" w:space="0" w:color="auto"/>
            </w:tcBorders>
          </w:tcPr>
          <w:p w14:paraId="2A5C5DAB" w14:textId="1EFE11B0" w:rsidR="003C045B" w:rsidRPr="00036F88" w:rsidRDefault="003C045B" w:rsidP="00FC5AE0">
            <w:pPr>
              <w:jc w:val="center"/>
              <w:rPr>
                <w:rFonts w:ascii="Times New Roman" w:eastAsia="Calibri" w:hAnsi="Times New Roman" w:cs="Times New Roman"/>
                <w:sz w:val="18"/>
                <w:szCs w:val="18"/>
              </w:rPr>
            </w:pPr>
            <w:r w:rsidRPr="00036F88">
              <w:rPr>
                <w:rFonts w:ascii="Times New Roman" w:hAnsi="Times New Roman" w:cs="Times New Roman"/>
                <w:color w:val="000000" w:themeColor="text1"/>
                <w:sz w:val="18"/>
                <w:szCs w:val="18"/>
              </w:rPr>
              <w:br/>
            </w:r>
            <w:r>
              <w:rPr>
                <w:rFonts w:ascii="Times New Roman" w:eastAsia="Calibri" w:hAnsi="Times New Roman" w:cs="Times New Roman"/>
                <w:sz w:val="18"/>
                <w:szCs w:val="18"/>
              </w:rPr>
              <w:t>N/A</w:t>
            </w:r>
          </w:p>
        </w:tc>
        <w:tc>
          <w:tcPr>
            <w:tcW w:w="720" w:type="dxa"/>
            <w:gridSpan w:val="2"/>
            <w:tcBorders>
              <w:bottom w:val="dashed" w:sz="4" w:space="0" w:color="auto"/>
            </w:tcBorders>
          </w:tcPr>
          <w:p w14:paraId="782379A0" w14:textId="77777777" w:rsidR="00190825" w:rsidRDefault="00190825" w:rsidP="003C045B">
            <w:pPr>
              <w:jc w:val="center"/>
              <w:rPr>
                <w:rFonts w:ascii="Times New Roman" w:eastAsia="Calibri" w:hAnsi="Times New Roman" w:cs="Times New Roman"/>
                <w:sz w:val="18"/>
                <w:szCs w:val="18"/>
                <w:lang w:val="en-US"/>
              </w:rPr>
            </w:pPr>
          </w:p>
          <w:p w14:paraId="34822B49" w14:textId="5E17A462"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240" w:type="dxa"/>
            <w:gridSpan w:val="2"/>
            <w:tcBorders>
              <w:bottom w:val="dashed" w:sz="4" w:space="0" w:color="auto"/>
            </w:tcBorders>
          </w:tcPr>
          <w:p w14:paraId="3A1D598B" w14:textId="77777777" w:rsidR="00622B62" w:rsidRDefault="00BC5DCD" w:rsidP="003C045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It does not require transposition. Article 7(1) concerns the exchange of information on request between tax authorities.</w:t>
            </w:r>
          </w:p>
          <w:p w14:paraId="36033603" w14:textId="77777777" w:rsidR="00622B62" w:rsidRDefault="00622B62" w:rsidP="003C045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This point is provided for by Article 7 points 1-3 of the law on DAC in general</w:t>
            </w:r>
          </w:p>
          <w:p w14:paraId="794EC287" w14:textId="77777777" w:rsidR="00622B62" w:rsidRDefault="00622B62" w:rsidP="003C045B">
            <w:pPr>
              <w:rPr>
                <w:rFonts w:ascii="Times New Roman" w:eastAsia="Calibri" w:hAnsi="Times New Roman" w:cs="Times New Roman"/>
                <w:sz w:val="18"/>
                <w:szCs w:val="18"/>
                <w:lang w:val="en-US"/>
              </w:rPr>
            </w:pPr>
          </w:p>
          <w:p w14:paraId="43599CDA" w14:textId="343BE862" w:rsidR="00AD378F" w:rsidRDefault="00BC5DCD" w:rsidP="003C045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 xml:space="preserve"> </w:t>
            </w:r>
          </w:p>
          <w:p w14:paraId="6A8EF7F2" w14:textId="77777777" w:rsidR="00622B62" w:rsidRPr="00622B62" w:rsidRDefault="00622B62" w:rsidP="00622B62">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Article 7</w:t>
            </w:r>
          </w:p>
          <w:p w14:paraId="09CAEE43" w14:textId="77777777" w:rsidR="00622B62" w:rsidRPr="00622B62" w:rsidRDefault="00622B62" w:rsidP="00622B62">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Time limits for the exchange of information upon request</w:t>
            </w:r>
          </w:p>
          <w:p w14:paraId="492330AB" w14:textId="77777777" w:rsidR="00622B62" w:rsidRPr="00622B62" w:rsidRDefault="00622B62" w:rsidP="00622B62">
            <w:pPr>
              <w:rPr>
                <w:rFonts w:ascii="Times New Roman" w:eastAsia="Calibri" w:hAnsi="Times New Roman" w:cs="Times New Roman"/>
                <w:sz w:val="18"/>
                <w:szCs w:val="18"/>
                <w:lang w:val="en-US"/>
              </w:rPr>
            </w:pPr>
          </w:p>
          <w:p w14:paraId="660EF007" w14:textId="77777777" w:rsidR="00622B62" w:rsidRPr="00622B62" w:rsidRDefault="00622B62" w:rsidP="00622B62">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1.</w:t>
            </w:r>
            <w:r>
              <w:rPr>
                <w:rFonts w:ascii="Times New Roman" w:eastAsia="Calibri" w:hAnsi="Times New Roman" w:cs="Times New Roman"/>
                <w:sz w:val="18"/>
                <w:szCs w:val="18"/>
                <w:lang w:val="en-US"/>
              </w:rPr>
              <w:tab/>
              <w:t>The requested competent authority shall provide the information provided for in Article 4 of this law as soon as possible and, in any case, no later than 3 (three) months from the date of receipt of the request.</w:t>
            </w:r>
          </w:p>
          <w:p w14:paraId="661B2990" w14:textId="77777777" w:rsidR="00622B62" w:rsidRPr="00622B62" w:rsidRDefault="00622B62" w:rsidP="00622B62">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2.</w:t>
            </w:r>
            <w:r>
              <w:rPr>
                <w:rFonts w:ascii="Times New Roman" w:eastAsia="Calibri" w:hAnsi="Times New Roman" w:cs="Times New Roman"/>
                <w:sz w:val="18"/>
                <w:szCs w:val="18"/>
                <w:lang w:val="en-US"/>
              </w:rPr>
              <w:tab/>
              <w:t xml:space="preserve">When the requested competent authority is not in a position to respond </w:t>
            </w:r>
            <w:r>
              <w:rPr>
                <w:rFonts w:ascii="Times New Roman" w:eastAsia="Calibri" w:hAnsi="Times New Roman" w:cs="Times New Roman"/>
                <w:sz w:val="18"/>
                <w:szCs w:val="18"/>
                <w:lang w:val="en-US"/>
              </w:rPr>
              <w:lastRenderedPageBreak/>
              <w:t>within the deadline specified in point 1 of this Article, it shall notify the requesting competent authority without delay and, in any case, within 3 (three) months from receipt of the request, providing the reasons for its failure to comply, as well as the estimated date when it may provide a response. In any case, the final deadline for giving the response shall not exceed 6 (six) months from the date of receipt of the request.</w:t>
            </w:r>
          </w:p>
          <w:p w14:paraId="2ACB8D35" w14:textId="3B165E2B" w:rsidR="00AD378F" w:rsidRDefault="00622B62" w:rsidP="00622B62">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3.</w:t>
            </w:r>
            <w:r>
              <w:rPr>
                <w:rFonts w:ascii="Times New Roman" w:eastAsia="Calibri" w:hAnsi="Times New Roman" w:cs="Times New Roman"/>
                <w:sz w:val="18"/>
                <w:szCs w:val="18"/>
                <w:lang w:val="en-US"/>
              </w:rPr>
              <w:tab/>
              <w:t>When the requested information is already available to the requested competent authority, it shall be transmitted within 2 (two) months from the date of receipt of the request.</w:t>
            </w:r>
          </w:p>
          <w:p w14:paraId="00C351E9" w14:textId="5379C4E8" w:rsidR="003C045B" w:rsidRPr="00036F88" w:rsidRDefault="003C045B" w:rsidP="003C045B">
            <w:pPr>
              <w:rPr>
                <w:rFonts w:ascii="Times New Roman" w:eastAsia="Calibri" w:hAnsi="Times New Roman" w:cs="Times New Roman"/>
                <w:sz w:val="18"/>
                <w:szCs w:val="18"/>
                <w:lang w:val="en-US"/>
              </w:rPr>
            </w:pPr>
          </w:p>
        </w:tc>
      </w:tr>
      <w:tr w:rsidR="003C045B" w:rsidRPr="00036F88" w14:paraId="5A93F6C3" w14:textId="77777777" w:rsidTr="00D50C43">
        <w:trPr>
          <w:gridAfter w:val="1"/>
          <w:wAfter w:w="353" w:type="dxa"/>
          <w:trHeight w:val="1097"/>
        </w:trPr>
        <w:tc>
          <w:tcPr>
            <w:tcW w:w="630" w:type="dxa"/>
          </w:tcPr>
          <w:p w14:paraId="4797BA55" w14:textId="598CB9A2" w:rsidR="003C045B" w:rsidRPr="000B7A77" w:rsidRDefault="003C045B" w:rsidP="003C045B">
            <w:pPr>
              <w:jc w:val="both"/>
              <w:rPr>
                <w:rFonts w:ascii="Times New Roman" w:eastAsia="Calibri" w:hAnsi="Times New Roman" w:cs="Times New Roman"/>
                <w:sz w:val="18"/>
                <w:szCs w:val="18"/>
                <w:highlight w:val="lightGray"/>
                <w:lang w:val="en-US"/>
              </w:rPr>
            </w:pPr>
          </w:p>
        </w:tc>
        <w:tc>
          <w:tcPr>
            <w:tcW w:w="5400" w:type="dxa"/>
            <w:shd w:val="clear" w:color="auto" w:fill="D0CECE" w:themeFill="background2" w:themeFillShade="E6"/>
          </w:tcPr>
          <w:p w14:paraId="2F672305" w14:textId="13A56192" w:rsidR="003C045B" w:rsidRPr="000B7A77" w:rsidRDefault="00BC5DCD" w:rsidP="003C045B">
            <w:pPr>
              <w:shd w:val="clear" w:color="auto" w:fill="FFFFFF"/>
              <w:spacing w:before="360" w:after="120"/>
              <w:jc w:val="center"/>
              <w:rPr>
                <w:rFonts w:ascii="Times New Roman" w:eastAsia="Times New Roman" w:hAnsi="Times New Roman" w:cs="Times New Roman"/>
                <w:i/>
                <w:iCs/>
                <w:color w:val="333333"/>
                <w:sz w:val="18"/>
                <w:szCs w:val="18"/>
                <w:highlight w:val="lightGray"/>
              </w:rPr>
            </w:pPr>
            <w:r>
              <w:rPr>
                <w:rFonts w:ascii="Times New Roman" w:eastAsia="Times New Roman" w:hAnsi="Times New Roman" w:cs="Times New Roman"/>
                <w:color w:val="333333"/>
                <w:sz w:val="18"/>
                <w:szCs w:val="18"/>
                <w:highlight w:val="lightGray"/>
              </w:rPr>
              <w:t>Article 1(6) (Directive 2021/514/EU)</w:t>
            </w:r>
          </w:p>
          <w:p w14:paraId="71A6541F" w14:textId="77777777" w:rsidR="00BC5DCD" w:rsidRPr="000B7A77" w:rsidRDefault="00BC5DCD" w:rsidP="00BC5DCD">
            <w:pPr>
              <w:shd w:val="clear" w:color="auto" w:fill="FFFFFF"/>
              <w:spacing w:before="120"/>
              <w:jc w:val="both"/>
              <w:rPr>
                <w:rFonts w:ascii="Times New Roman" w:eastAsia="Times New Roman" w:hAnsi="Times New Roman" w:cs="Times New Roman"/>
                <w:color w:val="333333"/>
                <w:sz w:val="18"/>
                <w:szCs w:val="18"/>
                <w:highlight w:val="lightGray"/>
              </w:rPr>
            </w:pPr>
            <w:r>
              <w:rPr>
                <w:rFonts w:ascii="Times New Roman" w:eastAsia="Times New Roman" w:hAnsi="Times New Roman" w:cs="Times New Roman"/>
                <w:color w:val="333333"/>
                <w:sz w:val="18"/>
                <w:szCs w:val="18"/>
                <w:highlight w:val="lightGray"/>
              </w:rPr>
              <w:t>Article 8, paragraphs 1 and 2 (Directive 2011/16/EU)</w:t>
            </w:r>
          </w:p>
          <w:p w14:paraId="22D42666" w14:textId="4A55D301" w:rsidR="003C045B" w:rsidRPr="000B7A77" w:rsidRDefault="003C045B" w:rsidP="003C045B">
            <w:pPr>
              <w:jc w:val="both"/>
              <w:rPr>
                <w:rFonts w:ascii="Times New Roman" w:eastAsia="Calibri" w:hAnsi="Times New Roman" w:cs="Times New Roman"/>
                <w:i/>
                <w:iCs/>
                <w:sz w:val="18"/>
                <w:szCs w:val="18"/>
                <w:highlight w:val="lightGray"/>
                <w:lang w:val="en-US"/>
              </w:rPr>
            </w:pPr>
          </w:p>
        </w:tc>
        <w:tc>
          <w:tcPr>
            <w:tcW w:w="540" w:type="dxa"/>
            <w:shd w:val="clear" w:color="auto" w:fill="D0CECE" w:themeFill="background2" w:themeFillShade="E6"/>
          </w:tcPr>
          <w:p w14:paraId="28D874F5" w14:textId="7BD8E1A8" w:rsidR="003C045B" w:rsidRPr="00990A3C" w:rsidRDefault="003C045B" w:rsidP="003C045B">
            <w:pPr>
              <w:jc w:val="center"/>
              <w:rPr>
                <w:rFonts w:ascii="Times New Roman" w:eastAsia="Calibri" w:hAnsi="Times New Roman" w:cs="Times New Roman"/>
                <w:i/>
                <w:iCs/>
                <w:sz w:val="18"/>
                <w:szCs w:val="18"/>
              </w:rPr>
            </w:pPr>
          </w:p>
        </w:tc>
        <w:tc>
          <w:tcPr>
            <w:tcW w:w="720" w:type="dxa"/>
            <w:shd w:val="clear" w:color="auto" w:fill="D0CECE" w:themeFill="background2" w:themeFillShade="E6"/>
          </w:tcPr>
          <w:p w14:paraId="0A5D8D1F" w14:textId="77777777" w:rsidR="003C045B" w:rsidRPr="00990A3C" w:rsidRDefault="003C045B" w:rsidP="003C045B">
            <w:pPr>
              <w:jc w:val="center"/>
              <w:rPr>
                <w:rFonts w:ascii="Times New Roman" w:eastAsia="Calibri" w:hAnsi="Times New Roman" w:cs="Times New Roman"/>
                <w:i/>
                <w:iCs/>
                <w:sz w:val="18"/>
                <w:szCs w:val="18"/>
                <w:lang w:val="en-US"/>
              </w:rPr>
            </w:pPr>
          </w:p>
        </w:tc>
        <w:tc>
          <w:tcPr>
            <w:tcW w:w="5040" w:type="dxa"/>
            <w:gridSpan w:val="2"/>
            <w:shd w:val="clear" w:color="auto" w:fill="D0CECE" w:themeFill="background2" w:themeFillShade="E6"/>
          </w:tcPr>
          <w:p w14:paraId="41FBA751" w14:textId="1FA79A58" w:rsidR="003C045B" w:rsidRPr="00990A3C" w:rsidRDefault="003C045B" w:rsidP="00BC5DCD">
            <w:pPr>
              <w:jc w:val="center"/>
              <w:rPr>
                <w:rFonts w:ascii="Times New Roman" w:eastAsia="Calibri" w:hAnsi="Times New Roman" w:cs="Times New Roman"/>
                <w:i/>
                <w:iCs/>
                <w:sz w:val="18"/>
                <w:szCs w:val="18"/>
                <w:lang w:val="en-US"/>
              </w:rPr>
            </w:pPr>
          </w:p>
        </w:tc>
        <w:tc>
          <w:tcPr>
            <w:tcW w:w="720" w:type="dxa"/>
            <w:gridSpan w:val="2"/>
            <w:shd w:val="clear" w:color="auto" w:fill="D0CECE" w:themeFill="background2" w:themeFillShade="E6"/>
          </w:tcPr>
          <w:p w14:paraId="6E4EAC15" w14:textId="0D58B86B" w:rsidR="003C045B" w:rsidRPr="00990A3C" w:rsidRDefault="003C045B" w:rsidP="003C045B">
            <w:pPr>
              <w:jc w:val="center"/>
              <w:rPr>
                <w:rFonts w:ascii="Times New Roman" w:eastAsia="Calibri" w:hAnsi="Times New Roman" w:cs="Times New Roman"/>
                <w:i/>
                <w:iCs/>
                <w:sz w:val="18"/>
                <w:szCs w:val="18"/>
                <w:lang w:val="en-US"/>
              </w:rPr>
            </w:pPr>
          </w:p>
        </w:tc>
        <w:tc>
          <w:tcPr>
            <w:tcW w:w="3240" w:type="dxa"/>
            <w:gridSpan w:val="2"/>
            <w:shd w:val="clear" w:color="auto" w:fill="D0CECE" w:themeFill="background2" w:themeFillShade="E6"/>
          </w:tcPr>
          <w:p w14:paraId="5B2CA3C7" w14:textId="1DD4A019" w:rsidR="003C045B" w:rsidRPr="00990A3C" w:rsidRDefault="003C045B" w:rsidP="003C045B">
            <w:pPr>
              <w:rPr>
                <w:rFonts w:ascii="Times New Roman" w:eastAsia="Calibri" w:hAnsi="Times New Roman" w:cs="Times New Roman"/>
                <w:i/>
                <w:iCs/>
                <w:sz w:val="18"/>
                <w:szCs w:val="18"/>
                <w:lang w:val="en-US"/>
              </w:rPr>
            </w:pPr>
          </w:p>
        </w:tc>
      </w:tr>
      <w:tr w:rsidR="003C045B" w:rsidRPr="00036F88" w14:paraId="7AB48AF4" w14:textId="77777777" w:rsidTr="00D50C43">
        <w:trPr>
          <w:gridAfter w:val="1"/>
          <w:wAfter w:w="353" w:type="dxa"/>
        </w:trPr>
        <w:tc>
          <w:tcPr>
            <w:tcW w:w="630" w:type="dxa"/>
          </w:tcPr>
          <w:p w14:paraId="796E7F23" w14:textId="465E4252" w:rsidR="003C045B" w:rsidRPr="00036F88" w:rsidRDefault="003C045B" w:rsidP="003C045B">
            <w:pPr>
              <w:jc w:val="both"/>
              <w:rPr>
                <w:rFonts w:ascii="Times New Roman" w:eastAsia="Calibri" w:hAnsi="Times New Roman" w:cs="Times New Roman"/>
                <w:sz w:val="18"/>
                <w:szCs w:val="18"/>
                <w:lang w:val="en-US"/>
              </w:rPr>
            </w:pPr>
          </w:p>
        </w:tc>
        <w:tc>
          <w:tcPr>
            <w:tcW w:w="5400" w:type="dxa"/>
          </w:tcPr>
          <w:p w14:paraId="21122E0F" w14:textId="6A8F39B2" w:rsidR="00BC5DCD" w:rsidRPr="00BC5DCD" w:rsidRDefault="003C045B" w:rsidP="00BC5DCD">
            <w:pPr>
              <w:shd w:val="clear" w:color="auto" w:fill="FFFFFF"/>
              <w:spacing w:before="120"/>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 xml:space="preserve"> </w:t>
            </w:r>
          </w:p>
          <w:p w14:paraId="5C8440BE" w14:textId="77777777" w:rsidR="00BC5DCD" w:rsidRPr="00BC5DCD" w:rsidRDefault="00BC5DCD" w:rsidP="00BC5DCD">
            <w:pPr>
              <w:shd w:val="clear" w:color="auto" w:fill="FFFFFF"/>
              <w:spacing w:before="120"/>
              <w:jc w:val="both"/>
              <w:rPr>
                <w:rFonts w:ascii="Times New Roman" w:eastAsia="Times New Roman" w:hAnsi="Times New Roman" w:cs="Times New Roman"/>
                <w:color w:val="333333"/>
                <w:sz w:val="18"/>
                <w:szCs w:val="18"/>
              </w:rPr>
            </w:pPr>
          </w:p>
          <w:p w14:paraId="1F105BED" w14:textId="58B4A478" w:rsidR="003C045B" w:rsidRPr="00036F88" w:rsidRDefault="00BC5DCD" w:rsidP="00BC5DCD">
            <w:pPr>
              <w:shd w:val="clear" w:color="auto" w:fill="FFFFFF"/>
              <w:spacing w:before="120"/>
              <w:jc w:val="both"/>
              <w:rPr>
                <w:rFonts w:ascii="Times New Roman" w:eastAsia="Calibri" w:hAnsi="Times New Roman" w:cs="Times New Roman"/>
                <w:iCs/>
                <w:sz w:val="18"/>
                <w:szCs w:val="18"/>
                <w:lang w:val="en-US"/>
              </w:rPr>
            </w:pPr>
            <w:r>
              <w:rPr>
                <w:rFonts w:ascii="Times New Roman" w:eastAsia="Times New Roman" w:hAnsi="Times New Roman" w:cs="Times New Roman"/>
                <w:color w:val="333333"/>
                <w:sz w:val="18"/>
                <w:szCs w:val="18"/>
              </w:rPr>
              <w:t xml:space="preserve">'1. The competent authorities of each Member State, by means of automatic exchange, communicates to the competent authority of every other Member State all information that is available regarding the residents of that other Member State, on the following specific categories of income and capital, as they are to be understood according to the national legislation of the Member State communicating the information: (a) income from employment; (b) director's fees; (c) life insurance proceeds not covered by other legal instruments of the Union on the exchange of information and other similar measures; (d) pensions; (e) ownership and income from immovable property; (f) copyrights. For tax periods beginning on or after 1 January 2024, Member States shall endeavour to include the Tax Identification Number (TIN) of residents issued by the Member State of residence in the communication of the </w:t>
            </w:r>
            <w:r>
              <w:rPr>
                <w:rFonts w:ascii="Times New Roman" w:eastAsia="Times New Roman" w:hAnsi="Times New Roman" w:cs="Times New Roman"/>
                <w:color w:val="333333"/>
                <w:sz w:val="18"/>
                <w:szCs w:val="18"/>
              </w:rPr>
              <w:lastRenderedPageBreak/>
              <w:t>information referred to in the first subparagraph. Member States shall inform the Commission every year of at least two categories of income and capital listed in the first subparagraph in relation to which they communicate information regarding residents of another Member State. 2. Before 1 January 2024, Member States shall inform the Commission of at least four categories listed in the first subparagraph of paragraph 1, in relation to which the competent authority of each Member State, by means of automatic exchange, shall communicate to the competent authority of every other Member State information regarding the residents of that other State Member State. This information must concern tax periods beginning on 1 January 2025 or after that date.</w:t>
            </w:r>
          </w:p>
        </w:tc>
        <w:tc>
          <w:tcPr>
            <w:tcW w:w="540" w:type="dxa"/>
          </w:tcPr>
          <w:p w14:paraId="3E152E78" w14:textId="127DB0ED" w:rsidR="003C045B" w:rsidRPr="00036F88" w:rsidRDefault="003C045B" w:rsidP="003C045B">
            <w:pPr>
              <w:jc w:val="center"/>
              <w:rPr>
                <w:rFonts w:ascii="Times New Roman" w:eastAsia="Calibri" w:hAnsi="Times New Roman" w:cs="Times New Roman"/>
                <w:sz w:val="18"/>
                <w:szCs w:val="18"/>
              </w:rPr>
            </w:pPr>
          </w:p>
        </w:tc>
        <w:tc>
          <w:tcPr>
            <w:tcW w:w="720" w:type="dxa"/>
          </w:tcPr>
          <w:p w14:paraId="0152B602" w14:textId="60B4EB73"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5040" w:type="dxa"/>
            <w:gridSpan w:val="2"/>
          </w:tcPr>
          <w:p w14:paraId="5DA75A0D" w14:textId="77777777" w:rsidR="00BC5DCD" w:rsidRDefault="00BC5DCD" w:rsidP="003C045B">
            <w:pPr>
              <w:jc w:val="center"/>
              <w:rPr>
                <w:rFonts w:ascii="Times New Roman" w:hAnsi="Times New Roman" w:cs="Times New Roman"/>
                <w:color w:val="000000" w:themeColor="text1"/>
                <w:sz w:val="18"/>
                <w:szCs w:val="18"/>
              </w:rPr>
            </w:pPr>
          </w:p>
          <w:p w14:paraId="60C707C5" w14:textId="77777777" w:rsidR="00BC5DCD" w:rsidRDefault="00BC5DCD" w:rsidP="003C045B">
            <w:pPr>
              <w:jc w:val="center"/>
              <w:rPr>
                <w:rFonts w:ascii="Times New Roman" w:hAnsi="Times New Roman" w:cs="Times New Roman"/>
                <w:color w:val="000000" w:themeColor="text1"/>
                <w:sz w:val="18"/>
                <w:szCs w:val="18"/>
              </w:rPr>
            </w:pPr>
          </w:p>
          <w:p w14:paraId="0FF9BF8D" w14:textId="7836938A" w:rsidR="003C045B" w:rsidRPr="00036F88" w:rsidRDefault="00BC5DCD" w:rsidP="003C045B">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N/A</w:t>
            </w:r>
          </w:p>
          <w:p w14:paraId="5D1D16DC" w14:textId="382AF9CE" w:rsidR="003C045B" w:rsidRPr="00036F88" w:rsidRDefault="003C045B" w:rsidP="00BC5DCD">
            <w:pPr>
              <w:ind w:left="1440"/>
              <w:jc w:val="both"/>
              <w:rPr>
                <w:rFonts w:ascii="Times New Roman" w:eastAsia="Calibri" w:hAnsi="Times New Roman" w:cs="Times New Roman"/>
                <w:sz w:val="18"/>
                <w:szCs w:val="18"/>
                <w:lang w:val="en-US"/>
              </w:rPr>
            </w:pPr>
          </w:p>
        </w:tc>
        <w:tc>
          <w:tcPr>
            <w:tcW w:w="720" w:type="dxa"/>
            <w:gridSpan w:val="2"/>
          </w:tcPr>
          <w:p w14:paraId="4002CF3D" w14:textId="4C0A2B14"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240" w:type="dxa"/>
            <w:gridSpan w:val="2"/>
          </w:tcPr>
          <w:p w14:paraId="55476F6C" w14:textId="77777777" w:rsidR="00622B62" w:rsidRDefault="00BC5DCD" w:rsidP="003C045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 xml:space="preserve">No transposition is required. Article 1(6) relates to the DAC's general automatic exchange. </w:t>
            </w:r>
          </w:p>
          <w:p w14:paraId="47BE8DC8" w14:textId="494DA9D7" w:rsidR="00622B62" w:rsidRDefault="00622B62" w:rsidP="003C045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This is transposed in Article 14 of the law on DAC in general/</w:t>
            </w:r>
          </w:p>
          <w:p w14:paraId="17E79E23" w14:textId="5BE863C1" w:rsidR="00622B62" w:rsidRDefault="00622B62" w:rsidP="00622B62">
            <w:pPr>
              <w:rPr>
                <w:rFonts w:ascii="Times New Roman" w:eastAsia="Calibri" w:hAnsi="Times New Roman" w:cs="Times New Roman"/>
                <w:sz w:val="18"/>
                <w:szCs w:val="18"/>
                <w:lang w:val="en-US"/>
              </w:rPr>
            </w:pPr>
          </w:p>
          <w:p w14:paraId="0DBD0AAB" w14:textId="77777777" w:rsidR="005E3878" w:rsidRPr="005E3878" w:rsidRDefault="005E3878" w:rsidP="005E3878">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Article 14</w:t>
            </w:r>
          </w:p>
          <w:p w14:paraId="284F03E9" w14:textId="77777777" w:rsidR="005E3878" w:rsidRPr="005E3878" w:rsidRDefault="005E3878" w:rsidP="005E3878">
            <w:pPr>
              <w:rPr>
                <w:rFonts w:ascii="Times New Roman" w:eastAsia="Calibri" w:hAnsi="Times New Roman" w:cs="Times New Roman"/>
                <w:sz w:val="18"/>
                <w:szCs w:val="18"/>
                <w:lang w:val="en-US"/>
              </w:rPr>
            </w:pPr>
          </w:p>
          <w:p w14:paraId="7A55C78D" w14:textId="77777777" w:rsidR="005E3878" w:rsidRPr="005E3878" w:rsidRDefault="005E3878" w:rsidP="005E3878">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Taxpayer Identification Number (TIN) and data quality for automatic exchange</w:t>
            </w:r>
          </w:p>
          <w:p w14:paraId="47D5581F" w14:textId="77777777" w:rsidR="005E3878" w:rsidRPr="005E3878" w:rsidRDefault="005E3878" w:rsidP="005E3878">
            <w:pPr>
              <w:rPr>
                <w:rFonts w:ascii="Times New Roman" w:eastAsia="Calibri" w:hAnsi="Times New Roman" w:cs="Times New Roman"/>
                <w:sz w:val="18"/>
                <w:szCs w:val="18"/>
                <w:lang w:val="en-US"/>
              </w:rPr>
            </w:pPr>
          </w:p>
          <w:p w14:paraId="5EA26651" w14:textId="5DD2759E" w:rsidR="005E3878" w:rsidRPr="005E3878" w:rsidRDefault="005E3878" w:rsidP="005E3878">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1.</w:t>
            </w:r>
            <w:r>
              <w:rPr>
                <w:rFonts w:ascii="Times New Roman" w:eastAsia="Calibri" w:hAnsi="Times New Roman" w:cs="Times New Roman"/>
                <w:sz w:val="18"/>
                <w:szCs w:val="18"/>
                <w:lang w:val="en-US"/>
              </w:rPr>
              <w:tab/>
              <w:t xml:space="preserve">The General Directorate of </w:t>
            </w:r>
            <w:r w:rsidR="00467DB2">
              <w:rPr>
                <w:rFonts w:ascii="Times New Roman" w:eastAsia="Calibri" w:hAnsi="Times New Roman" w:cs="Times New Roman"/>
                <w:sz w:val="18"/>
                <w:szCs w:val="18"/>
                <w:lang w:val="en-US"/>
              </w:rPr>
              <w:t>Taxation</w:t>
            </w:r>
            <w:r>
              <w:rPr>
                <w:rFonts w:ascii="Times New Roman" w:eastAsia="Calibri" w:hAnsi="Times New Roman" w:cs="Times New Roman"/>
                <w:sz w:val="18"/>
                <w:szCs w:val="18"/>
                <w:lang w:val="en-US"/>
              </w:rPr>
              <w:t xml:space="preserve"> shall include, where obtained, the tax identification number or its functional equivalent, issued by the state of residence of the person in respect of whom the information is communicated, </w:t>
            </w:r>
            <w:r>
              <w:rPr>
                <w:rFonts w:ascii="Times New Roman" w:eastAsia="Calibri" w:hAnsi="Times New Roman" w:cs="Times New Roman"/>
                <w:sz w:val="18"/>
                <w:szCs w:val="18"/>
                <w:lang w:val="en-US"/>
              </w:rPr>
              <w:lastRenderedPageBreak/>
              <w:t>in the automatic exchange of information pursuant to Articles 11 and 12 of this law</w:t>
            </w:r>
          </w:p>
          <w:p w14:paraId="173C0F17" w14:textId="39FDF295" w:rsidR="005E3878" w:rsidRPr="005E3878" w:rsidRDefault="005E3878" w:rsidP="005E3878">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2.</w:t>
            </w:r>
            <w:r>
              <w:rPr>
                <w:rFonts w:ascii="Times New Roman" w:eastAsia="Calibri" w:hAnsi="Times New Roman" w:cs="Times New Roman"/>
                <w:sz w:val="18"/>
                <w:szCs w:val="18"/>
                <w:lang w:val="en-US"/>
              </w:rPr>
              <w:tab/>
              <w:t xml:space="preserve">Through the electronic service, the General Directorate of </w:t>
            </w:r>
            <w:r w:rsidR="00467DB2">
              <w:rPr>
                <w:rFonts w:ascii="Times New Roman" w:eastAsia="Calibri" w:hAnsi="Times New Roman" w:cs="Times New Roman"/>
                <w:sz w:val="18"/>
                <w:szCs w:val="18"/>
                <w:lang w:val="en-US"/>
              </w:rPr>
              <w:t>Taxation</w:t>
            </w:r>
            <w:r>
              <w:rPr>
                <w:rFonts w:ascii="Times New Roman" w:eastAsia="Calibri" w:hAnsi="Times New Roman" w:cs="Times New Roman"/>
                <w:sz w:val="18"/>
                <w:szCs w:val="18"/>
                <w:lang w:val="en-US"/>
              </w:rPr>
              <w:t xml:space="preserve"> carries out verifications of the authenticity of the identification number of individuals and tax entities and checks the quality of the data exchanged according to Articles 11 and 12, in accordance with the procedures laid down by decision of the Council of Ministers. This service enables reporting entities to receive electronic confirmation of the validity of the information on the identification number of each taxpayer subject to the exchange of information.</w:t>
            </w:r>
          </w:p>
          <w:p w14:paraId="761B9AC7" w14:textId="3CF9E393" w:rsidR="005E3878" w:rsidRPr="005E3878" w:rsidRDefault="005E3878" w:rsidP="005E3878">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3.</w:t>
            </w:r>
            <w:r>
              <w:rPr>
                <w:rFonts w:ascii="Times New Roman" w:eastAsia="Calibri" w:hAnsi="Times New Roman" w:cs="Times New Roman"/>
                <w:sz w:val="18"/>
                <w:szCs w:val="18"/>
                <w:lang w:val="en-US"/>
              </w:rPr>
              <w:tab/>
              <w:t>The General Directorate of Tax</w:t>
            </w:r>
            <w:r w:rsidR="00467DB2">
              <w:rPr>
                <w:rFonts w:ascii="Times New Roman" w:eastAsia="Calibri" w:hAnsi="Times New Roman" w:cs="Times New Roman"/>
                <w:sz w:val="18"/>
                <w:szCs w:val="18"/>
                <w:lang w:val="en-US"/>
              </w:rPr>
              <w:t>ation</w:t>
            </w:r>
            <w:r>
              <w:rPr>
                <w:rFonts w:ascii="Times New Roman" w:eastAsia="Calibri" w:hAnsi="Times New Roman" w:cs="Times New Roman"/>
                <w:sz w:val="18"/>
                <w:szCs w:val="18"/>
                <w:lang w:val="en-US"/>
              </w:rPr>
              <w:t xml:space="preserve"> prepares and communicates to the European Commission an annual assessment of the effectiveness of the automatic exchange of information, including the practical results achieved and any other information necessary for the assessment of administrative cooperation in the field of taxation. </w:t>
            </w:r>
          </w:p>
          <w:p w14:paraId="46D529E2" w14:textId="0C28D8E1" w:rsidR="003C045B" w:rsidRPr="00036F88" w:rsidRDefault="005E3878" w:rsidP="005E3878">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4.</w:t>
            </w:r>
            <w:r>
              <w:rPr>
                <w:rFonts w:ascii="Times New Roman" w:eastAsia="Calibri" w:hAnsi="Times New Roman" w:cs="Times New Roman"/>
                <w:sz w:val="18"/>
                <w:szCs w:val="18"/>
                <w:lang w:val="en-US"/>
              </w:rPr>
              <w:tab/>
              <w:t>The General Directorate of Tax</w:t>
            </w:r>
            <w:r w:rsidR="00467DB2">
              <w:rPr>
                <w:rFonts w:ascii="Times New Roman" w:eastAsia="Calibri" w:hAnsi="Times New Roman" w:cs="Times New Roman"/>
                <w:sz w:val="18"/>
                <w:szCs w:val="18"/>
                <w:lang w:val="en-US"/>
              </w:rPr>
              <w:t>ation</w:t>
            </w:r>
            <w:r>
              <w:rPr>
                <w:rFonts w:ascii="Times New Roman" w:eastAsia="Calibri" w:hAnsi="Times New Roman" w:cs="Times New Roman"/>
                <w:sz w:val="18"/>
                <w:szCs w:val="18"/>
                <w:lang w:val="en-US"/>
              </w:rPr>
              <w:t xml:space="preserve"> collects and communicates to the European Commission the annual statistics on automatic exchanges and on other forms of administrative cooperation, according to the lists, formats and deadlines established in the implementing acts of the European Union and in the decision of the Council of Ministers.</w:t>
            </w:r>
          </w:p>
        </w:tc>
      </w:tr>
      <w:tr w:rsidR="003C045B" w:rsidRPr="00036F88" w14:paraId="1DCD5C89" w14:textId="77777777" w:rsidTr="00D50C43">
        <w:trPr>
          <w:gridAfter w:val="1"/>
          <w:wAfter w:w="353" w:type="dxa"/>
        </w:trPr>
        <w:tc>
          <w:tcPr>
            <w:tcW w:w="630" w:type="dxa"/>
            <w:shd w:val="clear" w:color="auto" w:fill="D0CECE" w:themeFill="background2" w:themeFillShade="E6"/>
          </w:tcPr>
          <w:p w14:paraId="7B43BA42" w14:textId="7778594C" w:rsidR="003C045B" w:rsidRPr="00036F88" w:rsidRDefault="003C045B" w:rsidP="003C045B">
            <w:pPr>
              <w:jc w:val="center"/>
              <w:rPr>
                <w:rFonts w:ascii="Times New Roman" w:eastAsia="Calibri" w:hAnsi="Times New Roman" w:cs="Times New Roman"/>
                <w:i/>
                <w:iCs/>
                <w:sz w:val="18"/>
                <w:szCs w:val="18"/>
                <w:lang w:val="en-US"/>
              </w:rPr>
            </w:pPr>
          </w:p>
        </w:tc>
        <w:tc>
          <w:tcPr>
            <w:tcW w:w="5400" w:type="dxa"/>
            <w:shd w:val="clear" w:color="auto" w:fill="D0CECE" w:themeFill="background2" w:themeFillShade="E6"/>
          </w:tcPr>
          <w:p w14:paraId="1B89D23B" w14:textId="6320254C" w:rsidR="003C045B" w:rsidRPr="006C1526" w:rsidRDefault="003C045B" w:rsidP="003C045B">
            <w:pPr>
              <w:jc w:val="center"/>
              <w:rPr>
                <w:rFonts w:ascii="Times New Roman" w:eastAsia="Times New Roman" w:hAnsi="Times New Roman" w:cs="Times New Roman"/>
                <w:i/>
                <w:iCs/>
                <w:color w:val="333333"/>
                <w:sz w:val="18"/>
                <w:szCs w:val="18"/>
              </w:rPr>
            </w:pPr>
          </w:p>
          <w:p w14:paraId="178F6F8C" w14:textId="54771548" w:rsidR="003C045B" w:rsidRPr="00036F88" w:rsidRDefault="003C045B" w:rsidP="003C045B">
            <w:pPr>
              <w:jc w:val="center"/>
              <w:rPr>
                <w:rFonts w:ascii="Times New Roman" w:eastAsia="Calibri" w:hAnsi="Times New Roman" w:cs="Times New Roman"/>
                <w:i/>
                <w:iCs/>
                <w:sz w:val="18"/>
                <w:szCs w:val="18"/>
                <w:lang w:val="en-US"/>
              </w:rPr>
            </w:pPr>
          </w:p>
        </w:tc>
        <w:tc>
          <w:tcPr>
            <w:tcW w:w="540" w:type="dxa"/>
            <w:shd w:val="clear" w:color="auto" w:fill="D0CECE" w:themeFill="background2" w:themeFillShade="E6"/>
          </w:tcPr>
          <w:p w14:paraId="3947385F" w14:textId="3B8E12E1" w:rsidR="003C045B" w:rsidRPr="00036F88" w:rsidRDefault="003C045B" w:rsidP="003C045B">
            <w:pPr>
              <w:jc w:val="center"/>
              <w:rPr>
                <w:rFonts w:ascii="Times New Roman" w:eastAsia="Calibri" w:hAnsi="Times New Roman" w:cs="Times New Roman"/>
                <w:i/>
                <w:iCs/>
                <w:sz w:val="18"/>
                <w:szCs w:val="18"/>
              </w:rPr>
            </w:pPr>
          </w:p>
        </w:tc>
        <w:tc>
          <w:tcPr>
            <w:tcW w:w="720" w:type="dxa"/>
            <w:shd w:val="clear" w:color="auto" w:fill="D0CECE" w:themeFill="background2" w:themeFillShade="E6"/>
          </w:tcPr>
          <w:p w14:paraId="2AEEFB19" w14:textId="78CBBFE8" w:rsidR="003C045B" w:rsidRPr="00036F88" w:rsidRDefault="003C045B" w:rsidP="003C045B">
            <w:pPr>
              <w:jc w:val="center"/>
              <w:rPr>
                <w:rFonts w:ascii="Times New Roman" w:eastAsia="Calibri" w:hAnsi="Times New Roman" w:cs="Times New Roman"/>
                <w:i/>
                <w:iCs/>
                <w:sz w:val="18"/>
                <w:szCs w:val="18"/>
                <w:lang w:val="en-US"/>
              </w:rPr>
            </w:pPr>
          </w:p>
        </w:tc>
        <w:tc>
          <w:tcPr>
            <w:tcW w:w="5040" w:type="dxa"/>
            <w:gridSpan w:val="2"/>
            <w:shd w:val="clear" w:color="auto" w:fill="D0CECE" w:themeFill="background2" w:themeFillShade="E6"/>
          </w:tcPr>
          <w:p w14:paraId="368A282A" w14:textId="42EF7E44" w:rsidR="003C045B" w:rsidRPr="00036F88" w:rsidRDefault="003C045B" w:rsidP="00BC5DCD">
            <w:pPr>
              <w:jc w:val="center"/>
              <w:rPr>
                <w:rFonts w:ascii="Times New Roman" w:eastAsia="Times New Roman" w:hAnsi="Times New Roman" w:cs="Times New Roman"/>
                <w:i/>
                <w:iCs/>
                <w:sz w:val="18"/>
                <w:szCs w:val="18"/>
              </w:rPr>
            </w:pPr>
          </w:p>
        </w:tc>
        <w:tc>
          <w:tcPr>
            <w:tcW w:w="720" w:type="dxa"/>
            <w:gridSpan w:val="2"/>
            <w:shd w:val="clear" w:color="auto" w:fill="D0CECE" w:themeFill="background2" w:themeFillShade="E6"/>
          </w:tcPr>
          <w:p w14:paraId="6D33AE71" w14:textId="29231BD5" w:rsidR="003C045B" w:rsidRPr="00036F88" w:rsidRDefault="003C045B" w:rsidP="003C045B">
            <w:pPr>
              <w:jc w:val="center"/>
              <w:rPr>
                <w:rFonts w:ascii="Times New Roman" w:eastAsia="Calibri" w:hAnsi="Times New Roman" w:cs="Times New Roman"/>
                <w:sz w:val="18"/>
                <w:szCs w:val="18"/>
                <w:highlight w:val="cyan"/>
                <w:lang w:val="en-US"/>
              </w:rPr>
            </w:pPr>
          </w:p>
        </w:tc>
        <w:tc>
          <w:tcPr>
            <w:tcW w:w="3240" w:type="dxa"/>
            <w:gridSpan w:val="2"/>
            <w:shd w:val="clear" w:color="auto" w:fill="D0CECE" w:themeFill="background2" w:themeFillShade="E6"/>
          </w:tcPr>
          <w:p w14:paraId="72B8276C" w14:textId="77777777" w:rsidR="003C045B" w:rsidRPr="00036F88" w:rsidRDefault="003C045B" w:rsidP="003C045B">
            <w:pPr>
              <w:rPr>
                <w:rFonts w:ascii="Times New Roman" w:eastAsia="Calibri" w:hAnsi="Times New Roman" w:cs="Times New Roman"/>
                <w:sz w:val="18"/>
                <w:szCs w:val="18"/>
                <w:lang w:val="en-US"/>
              </w:rPr>
            </w:pPr>
          </w:p>
        </w:tc>
      </w:tr>
      <w:tr w:rsidR="003C045B" w:rsidRPr="00036F88" w14:paraId="27605F4A" w14:textId="77777777" w:rsidTr="00D50C43">
        <w:trPr>
          <w:gridAfter w:val="1"/>
          <w:wAfter w:w="353" w:type="dxa"/>
        </w:trPr>
        <w:tc>
          <w:tcPr>
            <w:tcW w:w="630" w:type="dxa"/>
            <w:shd w:val="clear" w:color="auto" w:fill="D0CECE" w:themeFill="background2" w:themeFillShade="E6"/>
          </w:tcPr>
          <w:p w14:paraId="544D4079" w14:textId="4E3F96B9" w:rsidR="003C045B" w:rsidRPr="00990A3C" w:rsidRDefault="003C045B" w:rsidP="003C045B">
            <w:pP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400" w:type="dxa"/>
            <w:shd w:val="clear" w:color="auto" w:fill="D0CECE" w:themeFill="background2" w:themeFillShade="E6"/>
          </w:tcPr>
          <w:p w14:paraId="06FD079B" w14:textId="77777777" w:rsidR="002826E4" w:rsidRPr="002826E4" w:rsidRDefault="002826E4" w:rsidP="002826E4">
            <w:pPr>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Article 1(7) (Directive 2021/514/EU)</w:t>
            </w:r>
          </w:p>
          <w:p w14:paraId="383B191F" w14:textId="5338264A" w:rsidR="003C045B" w:rsidRPr="002826E4" w:rsidRDefault="002826E4" w:rsidP="002826E4">
            <w:pPr>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Article 8a, paragraph 5, point (a) (Directive 2011/16/EU)</w:t>
            </w:r>
          </w:p>
          <w:p w14:paraId="32AF3B6C" w14:textId="31654630" w:rsidR="003C045B" w:rsidRPr="00990A3C" w:rsidRDefault="003C045B" w:rsidP="003C045B">
            <w:pPr>
              <w:rPr>
                <w:rFonts w:ascii="Times New Roman" w:eastAsia="Times New Roman" w:hAnsi="Times New Roman" w:cs="Times New Roman"/>
                <w:sz w:val="18"/>
                <w:szCs w:val="18"/>
              </w:rPr>
            </w:pPr>
          </w:p>
        </w:tc>
        <w:tc>
          <w:tcPr>
            <w:tcW w:w="540" w:type="dxa"/>
            <w:shd w:val="clear" w:color="auto" w:fill="D0CECE" w:themeFill="background2" w:themeFillShade="E6"/>
          </w:tcPr>
          <w:p w14:paraId="4E19E6AD" w14:textId="3144A471" w:rsidR="003C045B" w:rsidRPr="00036F88" w:rsidRDefault="003C045B" w:rsidP="003C045B">
            <w:pPr>
              <w:jc w:val="center"/>
              <w:rPr>
                <w:rFonts w:ascii="Times New Roman" w:eastAsia="Calibri" w:hAnsi="Times New Roman" w:cs="Times New Roman"/>
                <w:sz w:val="18"/>
                <w:szCs w:val="18"/>
              </w:rPr>
            </w:pPr>
          </w:p>
        </w:tc>
        <w:tc>
          <w:tcPr>
            <w:tcW w:w="720" w:type="dxa"/>
            <w:shd w:val="clear" w:color="auto" w:fill="D0CECE" w:themeFill="background2" w:themeFillShade="E6"/>
          </w:tcPr>
          <w:p w14:paraId="72640A97" w14:textId="46DD4248" w:rsidR="003C045B" w:rsidRPr="00036F88" w:rsidRDefault="003C045B" w:rsidP="003C045B">
            <w:pPr>
              <w:jc w:val="center"/>
              <w:rPr>
                <w:rFonts w:ascii="Times New Roman" w:eastAsia="Calibri" w:hAnsi="Times New Roman" w:cs="Times New Roman"/>
                <w:sz w:val="18"/>
                <w:szCs w:val="18"/>
                <w:lang w:val="en-US"/>
              </w:rPr>
            </w:pPr>
          </w:p>
        </w:tc>
        <w:tc>
          <w:tcPr>
            <w:tcW w:w="5040" w:type="dxa"/>
            <w:gridSpan w:val="2"/>
            <w:shd w:val="clear" w:color="auto" w:fill="D0CECE" w:themeFill="background2" w:themeFillShade="E6"/>
          </w:tcPr>
          <w:p w14:paraId="02F73593" w14:textId="6CB7163E" w:rsidR="003C045B" w:rsidRPr="00036F88" w:rsidRDefault="003C045B" w:rsidP="002826E4">
            <w:pPr>
              <w:rPr>
                <w:rFonts w:ascii="Times New Roman" w:eastAsia="Calibri" w:hAnsi="Times New Roman" w:cs="Times New Roman"/>
                <w:sz w:val="18"/>
                <w:szCs w:val="18"/>
                <w:lang w:val="en-US"/>
              </w:rPr>
            </w:pPr>
          </w:p>
        </w:tc>
        <w:tc>
          <w:tcPr>
            <w:tcW w:w="720" w:type="dxa"/>
            <w:gridSpan w:val="2"/>
            <w:shd w:val="clear" w:color="auto" w:fill="D0CECE" w:themeFill="background2" w:themeFillShade="E6"/>
          </w:tcPr>
          <w:p w14:paraId="60CEFF79" w14:textId="163E3D01" w:rsidR="003C045B" w:rsidRPr="00036F88" w:rsidRDefault="003C045B" w:rsidP="003C045B">
            <w:pPr>
              <w:jc w:val="center"/>
              <w:rPr>
                <w:rFonts w:ascii="Times New Roman" w:eastAsia="Calibri" w:hAnsi="Times New Roman" w:cs="Times New Roman"/>
                <w:sz w:val="18"/>
                <w:szCs w:val="18"/>
                <w:lang w:val="en-US"/>
              </w:rPr>
            </w:pPr>
          </w:p>
        </w:tc>
        <w:tc>
          <w:tcPr>
            <w:tcW w:w="3240" w:type="dxa"/>
            <w:gridSpan w:val="2"/>
            <w:shd w:val="clear" w:color="auto" w:fill="D0CECE" w:themeFill="background2" w:themeFillShade="E6"/>
          </w:tcPr>
          <w:p w14:paraId="002BB236" w14:textId="77777777" w:rsidR="003C045B" w:rsidRPr="00036F88" w:rsidRDefault="003C045B" w:rsidP="003C045B">
            <w:pPr>
              <w:rPr>
                <w:rFonts w:ascii="Times New Roman" w:eastAsia="Calibri" w:hAnsi="Times New Roman" w:cs="Times New Roman"/>
                <w:sz w:val="18"/>
                <w:szCs w:val="18"/>
                <w:lang w:val="en-US"/>
              </w:rPr>
            </w:pPr>
          </w:p>
        </w:tc>
      </w:tr>
      <w:tr w:rsidR="003C045B" w:rsidRPr="00036F88" w14:paraId="26A635EE" w14:textId="77777777" w:rsidTr="00D50C43">
        <w:trPr>
          <w:gridAfter w:val="1"/>
          <w:wAfter w:w="353" w:type="dxa"/>
          <w:trHeight w:val="1875"/>
        </w:trPr>
        <w:tc>
          <w:tcPr>
            <w:tcW w:w="630" w:type="dxa"/>
          </w:tcPr>
          <w:p w14:paraId="37347107" w14:textId="4D5D7C68" w:rsidR="003C045B" w:rsidRPr="00036F88" w:rsidRDefault="003C045B" w:rsidP="003C045B">
            <w:pPr>
              <w:jc w:val="both"/>
              <w:rPr>
                <w:rFonts w:ascii="Times New Roman" w:eastAsia="Calibri" w:hAnsi="Times New Roman" w:cs="Times New Roman"/>
                <w:sz w:val="18"/>
                <w:szCs w:val="18"/>
                <w:lang w:val="en-US"/>
              </w:rPr>
            </w:pPr>
          </w:p>
        </w:tc>
        <w:tc>
          <w:tcPr>
            <w:tcW w:w="5400" w:type="dxa"/>
          </w:tcPr>
          <w:p w14:paraId="54656593" w14:textId="77777777" w:rsidR="002826E4" w:rsidRPr="002826E4" w:rsidRDefault="002826E4" w:rsidP="002826E4">
            <w:pPr>
              <w:jc w:val="both"/>
              <w:rPr>
                <w:rFonts w:ascii="Times New Roman" w:eastAsia="Times New Roman" w:hAnsi="Times New Roman" w:cs="Times New Roman"/>
                <w:color w:val="333333"/>
                <w:sz w:val="18"/>
                <w:szCs w:val="18"/>
              </w:rPr>
            </w:pPr>
          </w:p>
          <w:p w14:paraId="2C896390" w14:textId="50F68C9F" w:rsidR="003C045B" w:rsidRPr="006C4222" w:rsidRDefault="002826E4" w:rsidP="002826E4">
            <w:pPr>
              <w:shd w:val="clear" w:color="auto" w:fill="FFFFFF"/>
              <w:spacing w:before="120"/>
              <w:jc w:val="both"/>
              <w:rPr>
                <w:rFonts w:ascii="Times New Roman" w:eastAsia="Times New Roman" w:hAnsi="Times New Roman" w:cs="Times New Roman"/>
                <w:vanish/>
                <w:color w:val="333333"/>
                <w:sz w:val="18"/>
                <w:szCs w:val="18"/>
              </w:rPr>
            </w:pPr>
            <w:r>
              <w:rPr>
                <w:rFonts w:ascii="Times New Roman" w:eastAsia="Times New Roman" w:hAnsi="Times New Roman" w:cs="Times New Roman"/>
                <w:color w:val="333333"/>
                <w:sz w:val="18"/>
                <w:szCs w:val="18"/>
              </w:rPr>
              <w:t>'(a) in relation to the information exchanged according to paragraph 1 – without delay after the cross-border advance rulings or advance pricing agreements have been issued, amended or renewed and no later than three months after the end of the half of the calendar year during which the cross-border advance rulings or advance pricing agreements have been issued, amended or renewed;'</w:t>
            </w:r>
          </w:p>
          <w:p w14:paraId="02F6F541" w14:textId="1F16EBB7" w:rsidR="003C045B" w:rsidRPr="00036F88" w:rsidRDefault="003C045B" w:rsidP="003C045B">
            <w:pPr>
              <w:jc w:val="both"/>
              <w:rPr>
                <w:rFonts w:ascii="Times New Roman" w:eastAsia="Calibri" w:hAnsi="Times New Roman" w:cs="Times New Roman"/>
                <w:iCs/>
                <w:sz w:val="18"/>
                <w:szCs w:val="18"/>
                <w:lang w:val="en-US"/>
              </w:rPr>
            </w:pPr>
          </w:p>
        </w:tc>
        <w:tc>
          <w:tcPr>
            <w:tcW w:w="540" w:type="dxa"/>
          </w:tcPr>
          <w:p w14:paraId="4490F7F0" w14:textId="5E59336E" w:rsidR="003C045B" w:rsidRPr="00036F88" w:rsidRDefault="003C045B" w:rsidP="003C045B">
            <w:pPr>
              <w:jc w:val="center"/>
              <w:rPr>
                <w:rFonts w:ascii="Times New Roman" w:eastAsia="Calibri" w:hAnsi="Times New Roman" w:cs="Times New Roman"/>
                <w:sz w:val="18"/>
                <w:szCs w:val="18"/>
              </w:rPr>
            </w:pPr>
          </w:p>
        </w:tc>
        <w:tc>
          <w:tcPr>
            <w:tcW w:w="720" w:type="dxa"/>
          </w:tcPr>
          <w:p w14:paraId="3A291DFE" w14:textId="0A589773"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5040" w:type="dxa"/>
            <w:gridSpan w:val="2"/>
            <w:tcBorders>
              <w:bottom w:val="dashed" w:sz="4" w:space="0" w:color="auto"/>
            </w:tcBorders>
          </w:tcPr>
          <w:p w14:paraId="0CB73965" w14:textId="77777777" w:rsidR="003C045B" w:rsidRPr="00036F88" w:rsidRDefault="003C045B" w:rsidP="003C045B">
            <w:pPr>
              <w:jc w:val="center"/>
              <w:rPr>
                <w:rFonts w:ascii="Times New Roman" w:eastAsia="Times New Roman" w:hAnsi="Times New Roman" w:cs="Times New Roman"/>
                <w:sz w:val="18"/>
                <w:szCs w:val="18"/>
              </w:rPr>
            </w:pPr>
          </w:p>
          <w:p w14:paraId="3486BF7E" w14:textId="217891F3" w:rsidR="003C045B" w:rsidRPr="00036F88" w:rsidRDefault="002826E4" w:rsidP="002826E4">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720" w:type="dxa"/>
            <w:gridSpan w:val="2"/>
            <w:tcBorders>
              <w:bottom w:val="dashed" w:sz="4" w:space="0" w:color="auto"/>
            </w:tcBorders>
          </w:tcPr>
          <w:p w14:paraId="306D02AA" w14:textId="13E05FB3"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240" w:type="dxa"/>
            <w:gridSpan w:val="2"/>
            <w:tcBorders>
              <w:bottom w:val="dashed" w:sz="4" w:space="0" w:color="auto"/>
            </w:tcBorders>
          </w:tcPr>
          <w:p w14:paraId="7FB5E659" w14:textId="77777777" w:rsidR="002826E4" w:rsidRPr="002826E4" w:rsidRDefault="002826E4" w:rsidP="002826E4">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Does not require transposition.</w:t>
            </w:r>
          </w:p>
          <w:p w14:paraId="610C0EF2" w14:textId="1376BA10" w:rsidR="003C045B" w:rsidRPr="00036F88" w:rsidRDefault="002826E4" w:rsidP="002826E4">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The scope of application of the Draft Law is platform operators and for this reason it is not expected to transpose Article 1(7).</w:t>
            </w:r>
          </w:p>
        </w:tc>
      </w:tr>
      <w:tr w:rsidR="003C045B" w:rsidRPr="00036F88" w14:paraId="6F670772" w14:textId="77777777" w:rsidTr="00D50C43">
        <w:trPr>
          <w:gridAfter w:val="1"/>
          <w:wAfter w:w="353" w:type="dxa"/>
          <w:trHeight w:val="359"/>
        </w:trPr>
        <w:tc>
          <w:tcPr>
            <w:tcW w:w="630" w:type="dxa"/>
            <w:shd w:val="clear" w:color="auto" w:fill="D0CECE" w:themeFill="background2" w:themeFillShade="E6"/>
          </w:tcPr>
          <w:p w14:paraId="516FA109" w14:textId="662FCCB3" w:rsidR="003C045B" w:rsidRPr="00036F88" w:rsidRDefault="003C045B" w:rsidP="003C045B">
            <w:pPr>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0A47D078" w14:textId="77777777" w:rsidR="00B167C6" w:rsidRPr="00B167C6" w:rsidRDefault="00B167C6" w:rsidP="00B167C6">
            <w:pPr>
              <w:contextualSpacing/>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1(7) (Directive 2021/514/EU)</w:t>
            </w:r>
          </w:p>
          <w:p w14:paraId="14FF2EF8" w14:textId="001544FE" w:rsidR="003C045B" w:rsidRPr="00036F88" w:rsidRDefault="00B167C6" w:rsidP="00B167C6">
            <w:pPr>
              <w:contextualSpacing/>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8a, paragraph 6, point (b) (Directive 2011/16/EU)</w:t>
            </w:r>
          </w:p>
        </w:tc>
        <w:tc>
          <w:tcPr>
            <w:tcW w:w="540" w:type="dxa"/>
            <w:shd w:val="clear" w:color="auto" w:fill="D0CECE" w:themeFill="background2" w:themeFillShade="E6"/>
          </w:tcPr>
          <w:p w14:paraId="5F89BF63" w14:textId="5780ED52" w:rsidR="003C045B" w:rsidRPr="00036F88" w:rsidRDefault="003C045B" w:rsidP="003C045B">
            <w:pPr>
              <w:jc w:val="center"/>
              <w:rPr>
                <w:rFonts w:ascii="Times New Roman" w:eastAsia="Calibri" w:hAnsi="Times New Roman" w:cs="Times New Roman"/>
                <w:sz w:val="18"/>
                <w:szCs w:val="18"/>
              </w:rPr>
            </w:pPr>
          </w:p>
        </w:tc>
        <w:tc>
          <w:tcPr>
            <w:tcW w:w="720" w:type="dxa"/>
            <w:shd w:val="clear" w:color="auto" w:fill="D0CECE" w:themeFill="background2" w:themeFillShade="E6"/>
          </w:tcPr>
          <w:p w14:paraId="19D19203" w14:textId="13FC777F" w:rsidR="003C045B" w:rsidRPr="00036F88" w:rsidRDefault="003C045B" w:rsidP="003C045B">
            <w:pPr>
              <w:jc w:val="center"/>
              <w:rPr>
                <w:rFonts w:ascii="Times New Roman" w:eastAsia="Calibri" w:hAnsi="Times New Roman" w:cs="Times New Roman"/>
                <w:sz w:val="18"/>
                <w:szCs w:val="18"/>
                <w:lang w:val="en-US"/>
              </w:rPr>
            </w:pPr>
          </w:p>
        </w:tc>
        <w:tc>
          <w:tcPr>
            <w:tcW w:w="5040" w:type="dxa"/>
            <w:gridSpan w:val="2"/>
            <w:tcBorders>
              <w:bottom w:val="dashed" w:sz="4" w:space="0" w:color="auto"/>
            </w:tcBorders>
            <w:shd w:val="clear" w:color="auto" w:fill="D0CECE" w:themeFill="background2" w:themeFillShade="E6"/>
          </w:tcPr>
          <w:p w14:paraId="58CD9B8B" w14:textId="53D958D5" w:rsidR="003C045B" w:rsidRPr="00036F88" w:rsidRDefault="003C045B" w:rsidP="003C045B">
            <w:pPr>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 </w:t>
            </w:r>
          </w:p>
          <w:p w14:paraId="17DB30F1" w14:textId="77690BF4" w:rsidR="003C045B" w:rsidRPr="00036F88" w:rsidRDefault="003C045B" w:rsidP="003C045B">
            <w:pPr>
              <w:widowControl w:val="0"/>
              <w:tabs>
                <w:tab w:val="left" w:pos="1464"/>
              </w:tabs>
              <w:autoSpaceDE w:val="0"/>
              <w:autoSpaceDN w:val="0"/>
              <w:jc w:val="both"/>
              <w:rPr>
                <w:rFonts w:ascii="Times New Roman" w:hAnsi="Times New Roman" w:cs="Times New Roman"/>
                <w:sz w:val="18"/>
                <w:szCs w:val="18"/>
                <w:lang w:val="en-US"/>
              </w:rPr>
            </w:pPr>
          </w:p>
        </w:tc>
        <w:tc>
          <w:tcPr>
            <w:tcW w:w="720" w:type="dxa"/>
            <w:gridSpan w:val="2"/>
            <w:tcBorders>
              <w:bottom w:val="dashed" w:sz="4" w:space="0" w:color="auto"/>
            </w:tcBorders>
            <w:shd w:val="clear" w:color="auto" w:fill="D0CECE" w:themeFill="background2" w:themeFillShade="E6"/>
          </w:tcPr>
          <w:p w14:paraId="4EF15BB3" w14:textId="167A9313" w:rsidR="003C045B" w:rsidRPr="00036F88" w:rsidRDefault="003C045B" w:rsidP="003C045B">
            <w:pPr>
              <w:jc w:val="center"/>
              <w:rPr>
                <w:rFonts w:ascii="Times New Roman" w:eastAsia="Calibri" w:hAnsi="Times New Roman" w:cs="Times New Roman"/>
                <w:sz w:val="18"/>
                <w:szCs w:val="18"/>
                <w:lang w:val="en-US"/>
              </w:rPr>
            </w:pPr>
          </w:p>
        </w:tc>
        <w:tc>
          <w:tcPr>
            <w:tcW w:w="3240" w:type="dxa"/>
            <w:gridSpan w:val="2"/>
            <w:tcBorders>
              <w:bottom w:val="dashed" w:sz="4" w:space="0" w:color="auto"/>
            </w:tcBorders>
            <w:shd w:val="clear" w:color="auto" w:fill="D0CECE" w:themeFill="background2" w:themeFillShade="E6"/>
          </w:tcPr>
          <w:p w14:paraId="1C57CD2D" w14:textId="70AFF08A" w:rsidR="003C045B" w:rsidRPr="00036F88" w:rsidRDefault="003C045B" w:rsidP="003C045B">
            <w:pPr>
              <w:rPr>
                <w:rFonts w:ascii="Times New Roman" w:eastAsia="Calibri" w:hAnsi="Times New Roman" w:cs="Times New Roman"/>
                <w:sz w:val="18"/>
                <w:szCs w:val="18"/>
                <w:lang w:val="en-US"/>
              </w:rPr>
            </w:pPr>
          </w:p>
        </w:tc>
      </w:tr>
      <w:tr w:rsidR="003C045B" w:rsidRPr="00036F88" w14:paraId="71F4D229" w14:textId="77777777" w:rsidTr="00D50C43">
        <w:trPr>
          <w:gridAfter w:val="1"/>
          <w:wAfter w:w="353" w:type="dxa"/>
        </w:trPr>
        <w:tc>
          <w:tcPr>
            <w:tcW w:w="630" w:type="dxa"/>
          </w:tcPr>
          <w:p w14:paraId="5E9580EC" w14:textId="38D2E61A" w:rsidR="003C045B" w:rsidRPr="00036F88" w:rsidRDefault="003C045B" w:rsidP="003C045B">
            <w:pPr>
              <w:jc w:val="both"/>
              <w:rPr>
                <w:rFonts w:ascii="Times New Roman" w:eastAsia="Calibri" w:hAnsi="Times New Roman" w:cs="Times New Roman"/>
                <w:sz w:val="18"/>
                <w:szCs w:val="18"/>
                <w:lang w:val="en-US"/>
              </w:rPr>
            </w:pPr>
          </w:p>
        </w:tc>
        <w:tc>
          <w:tcPr>
            <w:tcW w:w="5400" w:type="dxa"/>
          </w:tcPr>
          <w:p w14:paraId="675716DA" w14:textId="77777777" w:rsidR="00B167C6" w:rsidRPr="00B167C6" w:rsidRDefault="00B167C6" w:rsidP="00B167C6">
            <w:pPr>
              <w:pStyle w:val="Heading2"/>
              <w:spacing w:after="120" w:line="288" w:lineRule="atLeast"/>
              <w:rPr>
                <w:rStyle w:val="legamendingtext"/>
                <w:rFonts w:ascii="Times New Roman" w:hAnsi="Times New Roman" w:cs="Times New Roman"/>
                <w:color w:val="000000"/>
                <w:sz w:val="20"/>
                <w:szCs w:val="19"/>
              </w:rPr>
            </w:pPr>
          </w:p>
          <w:p w14:paraId="1CA8D7E5" w14:textId="13149F96" w:rsidR="003C045B" w:rsidRDefault="00B167C6" w:rsidP="00B167C6">
            <w:pPr>
              <w:pStyle w:val="Heading2"/>
              <w:spacing w:before="0" w:after="120" w:line="288" w:lineRule="atLeast"/>
              <w:rPr>
                <w:rStyle w:val="legamendingtext"/>
                <w:rFonts w:ascii="Times New Roman" w:hAnsi="Times New Roman" w:cs="Times New Roman"/>
                <w:color w:val="000000"/>
                <w:sz w:val="20"/>
                <w:szCs w:val="19"/>
              </w:rPr>
            </w:pPr>
            <w:r>
              <w:rPr>
                <w:rStyle w:val="legamendingtext"/>
                <w:rFonts w:ascii="Times New Roman" w:hAnsi="Times New Roman" w:cs="Times New Roman"/>
                <w:color w:val="000000"/>
                <w:sz w:val="20"/>
                <w:szCs w:val="19"/>
              </w:rPr>
              <w:t>'(b) a summary of the cross-border advance ruling or advance pricing agreement, including a description of the relevant business activities or transactions or series of transactions and any other information that may assist the competent authority in assessing a possible tax risk, without leading to the disclosure of a commercial, industrial or professional secret or of a commercial process, or of information, the disclosure of which would be contrary to public policy;'</w:t>
            </w:r>
          </w:p>
          <w:p w14:paraId="287FB5C7" w14:textId="41F6609D" w:rsidR="003C045B" w:rsidRPr="003C045B" w:rsidRDefault="003C045B" w:rsidP="002826E4">
            <w:pPr>
              <w:pStyle w:val="legclearfix"/>
              <w:shd w:val="clear" w:color="auto" w:fill="FFFFFF"/>
              <w:spacing w:before="0" w:beforeAutospacing="0" w:after="240" w:afterAutospacing="0" w:line="360" w:lineRule="atLeast"/>
              <w:rPr>
                <w:rFonts w:eastAsia="Calibri"/>
                <w:iCs/>
                <w:sz w:val="18"/>
                <w:szCs w:val="18"/>
                <w:lang w:val="en-US"/>
              </w:rPr>
            </w:pPr>
          </w:p>
        </w:tc>
        <w:tc>
          <w:tcPr>
            <w:tcW w:w="540" w:type="dxa"/>
          </w:tcPr>
          <w:p w14:paraId="4801E7A0" w14:textId="1D4E9A6D" w:rsidR="003C045B" w:rsidRPr="00036F88" w:rsidRDefault="003C045B" w:rsidP="003C045B">
            <w:pPr>
              <w:jc w:val="center"/>
              <w:rPr>
                <w:rFonts w:ascii="Times New Roman" w:eastAsia="Calibri" w:hAnsi="Times New Roman" w:cs="Times New Roman"/>
                <w:sz w:val="18"/>
                <w:szCs w:val="18"/>
              </w:rPr>
            </w:pPr>
          </w:p>
        </w:tc>
        <w:tc>
          <w:tcPr>
            <w:tcW w:w="720" w:type="dxa"/>
          </w:tcPr>
          <w:p w14:paraId="6BB648EA" w14:textId="2EBA41F0" w:rsidR="003C045B" w:rsidRPr="003C045B"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5040" w:type="dxa"/>
            <w:gridSpan w:val="2"/>
          </w:tcPr>
          <w:p w14:paraId="6F33554E" w14:textId="77777777" w:rsidR="003C045B" w:rsidRPr="00036F88" w:rsidRDefault="003C045B" w:rsidP="003C045B">
            <w:pPr>
              <w:spacing w:before="120"/>
              <w:jc w:val="both"/>
              <w:rPr>
                <w:rFonts w:ascii="Times New Roman" w:eastAsia="Times New Roman" w:hAnsi="Times New Roman" w:cs="Times New Roman"/>
                <w:sz w:val="18"/>
                <w:szCs w:val="18"/>
                <w:lang w:val="en-US"/>
              </w:rPr>
            </w:pPr>
          </w:p>
          <w:p w14:paraId="611E2320" w14:textId="4840549B" w:rsidR="003C045B" w:rsidRPr="00036F88" w:rsidRDefault="00B167C6" w:rsidP="00B167C6">
            <w:pPr>
              <w:ind w:left="720"/>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720" w:type="dxa"/>
            <w:gridSpan w:val="2"/>
          </w:tcPr>
          <w:p w14:paraId="5C366860" w14:textId="21C41BB6"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240" w:type="dxa"/>
            <w:gridSpan w:val="2"/>
          </w:tcPr>
          <w:p w14:paraId="735C3D58" w14:textId="77777777" w:rsidR="00B167C6" w:rsidRPr="00B167C6" w:rsidRDefault="00B167C6" w:rsidP="00B167C6">
            <w:pPr>
              <w:rPr>
                <w:rFonts w:ascii="Times New Roman" w:eastAsia="Calibri" w:hAnsi="Times New Roman" w:cs="Times New Roman"/>
                <w:sz w:val="18"/>
                <w:szCs w:val="18"/>
                <w:lang w:val="en-US"/>
              </w:rPr>
            </w:pPr>
          </w:p>
          <w:p w14:paraId="34AA3F79" w14:textId="77777777" w:rsidR="00B167C6" w:rsidRPr="00B167C6" w:rsidRDefault="00B167C6" w:rsidP="00B167C6">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Does not require transposition in this Law.</w:t>
            </w:r>
          </w:p>
          <w:p w14:paraId="0251CB05" w14:textId="77777777" w:rsidR="00B167C6" w:rsidRPr="00B167C6" w:rsidRDefault="00B167C6" w:rsidP="00B167C6">
            <w:pPr>
              <w:rPr>
                <w:rFonts w:ascii="Times New Roman" w:eastAsia="Calibri" w:hAnsi="Times New Roman" w:cs="Times New Roman"/>
                <w:sz w:val="18"/>
                <w:szCs w:val="18"/>
                <w:lang w:val="en-US"/>
              </w:rPr>
            </w:pPr>
          </w:p>
          <w:p w14:paraId="16E62BED" w14:textId="6B2071CC" w:rsidR="00B167C6" w:rsidRPr="00B167C6" w:rsidRDefault="00B167C6" w:rsidP="00B167C6">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This provision concerns the exchange of cross-border advances</w:t>
            </w:r>
          </w:p>
          <w:p w14:paraId="172FE3EA" w14:textId="77777777" w:rsidR="00B167C6" w:rsidRPr="00B167C6" w:rsidRDefault="00B167C6" w:rsidP="00B167C6">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the decisions and prior pricing agreements according to Article 8a of the Directive</w:t>
            </w:r>
          </w:p>
          <w:p w14:paraId="2C4BC5ED" w14:textId="13569911" w:rsidR="003C045B" w:rsidRPr="00036F88" w:rsidRDefault="00B167C6" w:rsidP="00B167C6">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2011/16/EC.</w:t>
            </w:r>
          </w:p>
        </w:tc>
      </w:tr>
      <w:tr w:rsidR="003C045B" w:rsidRPr="00036F88" w14:paraId="5E2E0282" w14:textId="77777777" w:rsidTr="00D50C43">
        <w:trPr>
          <w:gridAfter w:val="1"/>
          <w:wAfter w:w="353" w:type="dxa"/>
        </w:trPr>
        <w:tc>
          <w:tcPr>
            <w:tcW w:w="630" w:type="dxa"/>
            <w:shd w:val="clear" w:color="auto" w:fill="D0CECE" w:themeFill="background2" w:themeFillShade="E6"/>
          </w:tcPr>
          <w:p w14:paraId="582F7085" w14:textId="1A5C7A5D" w:rsidR="003C045B" w:rsidRPr="00036F88" w:rsidRDefault="003C045B" w:rsidP="003C045B">
            <w:pPr>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2EFC8173" w14:textId="7C3ADCBE" w:rsidR="003C045B" w:rsidRPr="00036F88" w:rsidRDefault="003C045B" w:rsidP="003C045B">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3AAE473A" w14:textId="129A5E5C" w:rsidR="003C045B" w:rsidRPr="00036F88" w:rsidRDefault="003C045B" w:rsidP="003C045B">
            <w:pPr>
              <w:jc w:val="center"/>
              <w:rPr>
                <w:rFonts w:ascii="Times New Roman" w:eastAsia="Calibri" w:hAnsi="Times New Roman" w:cs="Times New Roman"/>
                <w:sz w:val="18"/>
                <w:szCs w:val="18"/>
              </w:rPr>
            </w:pPr>
          </w:p>
        </w:tc>
        <w:tc>
          <w:tcPr>
            <w:tcW w:w="720" w:type="dxa"/>
            <w:shd w:val="clear" w:color="auto" w:fill="D0CECE" w:themeFill="background2" w:themeFillShade="E6"/>
          </w:tcPr>
          <w:p w14:paraId="76B7B6B8" w14:textId="3A7AC312" w:rsidR="003C045B" w:rsidRPr="00036F88" w:rsidRDefault="003C045B" w:rsidP="003C045B">
            <w:pPr>
              <w:jc w:val="center"/>
              <w:rPr>
                <w:rFonts w:ascii="Times New Roman" w:eastAsia="Calibri" w:hAnsi="Times New Roman" w:cs="Times New Roman"/>
                <w:sz w:val="18"/>
                <w:szCs w:val="18"/>
                <w:lang w:val="en-US"/>
              </w:rPr>
            </w:pPr>
          </w:p>
        </w:tc>
        <w:tc>
          <w:tcPr>
            <w:tcW w:w="5040" w:type="dxa"/>
            <w:gridSpan w:val="2"/>
            <w:shd w:val="clear" w:color="auto" w:fill="D0CECE" w:themeFill="background2" w:themeFillShade="E6"/>
          </w:tcPr>
          <w:p w14:paraId="770B5F4C" w14:textId="5944ABAC" w:rsidR="003C045B" w:rsidRPr="00036F88" w:rsidRDefault="003C045B" w:rsidP="00B167C6">
            <w:pPr>
              <w:jc w:val="center"/>
              <w:rPr>
                <w:rFonts w:ascii="Times New Roman" w:eastAsia="Calibri" w:hAnsi="Times New Roman" w:cs="Times New Roman"/>
                <w:sz w:val="18"/>
                <w:szCs w:val="18"/>
                <w:highlight w:val="green"/>
                <w:lang w:val="en-US"/>
              </w:rPr>
            </w:pPr>
          </w:p>
        </w:tc>
        <w:tc>
          <w:tcPr>
            <w:tcW w:w="720" w:type="dxa"/>
            <w:gridSpan w:val="2"/>
            <w:shd w:val="clear" w:color="auto" w:fill="D0CECE" w:themeFill="background2" w:themeFillShade="E6"/>
          </w:tcPr>
          <w:p w14:paraId="0A53E2B2" w14:textId="0DD25647" w:rsidR="003C045B" w:rsidRPr="00036F88" w:rsidRDefault="003C045B" w:rsidP="003C045B">
            <w:pPr>
              <w:jc w:val="center"/>
              <w:rPr>
                <w:rFonts w:ascii="Times New Roman" w:eastAsia="Calibri" w:hAnsi="Times New Roman" w:cs="Times New Roman"/>
                <w:sz w:val="18"/>
                <w:szCs w:val="18"/>
                <w:lang w:val="en-US"/>
              </w:rPr>
            </w:pPr>
          </w:p>
        </w:tc>
        <w:tc>
          <w:tcPr>
            <w:tcW w:w="3240" w:type="dxa"/>
            <w:gridSpan w:val="2"/>
            <w:shd w:val="clear" w:color="auto" w:fill="D0CECE" w:themeFill="background2" w:themeFillShade="E6"/>
          </w:tcPr>
          <w:p w14:paraId="772B9632" w14:textId="77777777" w:rsidR="003C045B" w:rsidRPr="00036F88" w:rsidRDefault="003C045B" w:rsidP="003C045B">
            <w:pPr>
              <w:rPr>
                <w:rFonts w:ascii="Times New Roman" w:eastAsia="Calibri" w:hAnsi="Times New Roman" w:cs="Times New Roman"/>
                <w:sz w:val="18"/>
                <w:szCs w:val="18"/>
                <w:lang w:val="en-US"/>
              </w:rPr>
            </w:pPr>
          </w:p>
        </w:tc>
      </w:tr>
      <w:tr w:rsidR="003C045B" w:rsidRPr="00036F88" w14:paraId="4C9F021D" w14:textId="77777777" w:rsidTr="00D50C43">
        <w:trPr>
          <w:gridAfter w:val="1"/>
          <w:wAfter w:w="353" w:type="dxa"/>
        </w:trPr>
        <w:tc>
          <w:tcPr>
            <w:tcW w:w="630" w:type="dxa"/>
          </w:tcPr>
          <w:p w14:paraId="2623294B" w14:textId="316FAF13" w:rsidR="003C045B" w:rsidRPr="00036F88" w:rsidRDefault="003C045B" w:rsidP="003C045B">
            <w:pPr>
              <w:jc w:val="both"/>
              <w:rPr>
                <w:rFonts w:ascii="Times New Roman" w:eastAsia="Calibri" w:hAnsi="Times New Roman" w:cs="Times New Roman"/>
                <w:sz w:val="18"/>
                <w:szCs w:val="18"/>
                <w:lang w:val="en-US"/>
              </w:rPr>
            </w:pPr>
          </w:p>
        </w:tc>
        <w:tc>
          <w:tcPr>
            <w:tcW w:w="5400" w:type="dxa"/>
            <w:vMerge w:val="restart"/>
          </w:tcPr>
          <w:p w14:paraId="54B90540" w14:textId="77777777" w:rsidR="00703F01" w:rsidRPr="00703F01" w:rsidRDefault="00703F01" w:rsidP="00703F01">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Article 1(8) (Directive 2021/514/EU)</w:t>
            </w:r>
          </w:p>
          <w:p w14:paraId="590B4A54" w14:textId="77777777" w:rsidR="00703F01" w:rsidRPr="00703F01" w:rsidRDefault="00703F01" w:rsidP="00703F01">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Article 8ac (Directive 2011/16/EU)</w:t>
            </w:r>
          </w:p>
          <w:p w14:paraId="212F6FCE" w14:textId="77777777" w:rsidR="00703F01" w:rsidRPr="00703F01" w:rsidRDefault="00703F01" w:rsidP="00703F01">
            <w:pPr>
              <w:jc w:val="both"/>
              <w:rPr>
                <w:rFonts w:ascii="Times New Roman" w:eastAsia="Times New Roman" w:hAnsi="Times New Roman" w:cs="Times New Roman"/>
                <w:color w:val="000000"/>
                <w:sz w:val="18"/>
                <w:szCs w:val="18"/>
              </w:rPr>
            </w:pPr>
          </w:p>
          <w:p w14:paraId="33E0EBE8" w14:textId="77777777" w:rsidR="00703F01" w:rsidRPr="00703F01" w:rsidRDefault="00703F01" w:rsidP="00703F01">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Article 8ac</w:t>
            </w:r>
          </w:p>
          <w:p w14:paraId="56C6F45A" w14:textId="77777777" w:rsidR="00703F01" w:rsidRPr="00703F01" w:rsidRDefault="00703F01" w:rsidP="00703F01">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Scope and conditions of the mandatory automatic exchange of information reported by Platform Operators</w:t>
            </w:r>
          </w:p>
          <w:p w14:paraId="29990F11" w14:textId="77777777" w:rsidR="00703F01" w:rsidRPr="00703F01" w:rsidRDefault="00703F01" w:rsidP="00703F01">
            <w:pPr>
              <w:jc w:val="both"/>
              <w:rPr>
                <w:rFonts w:ascii="Times New Roman" w:eastAsia="Times New Roman" w:hAnsi="Times New Roman" w:cs="Times New Roman"/>
                <w:color w:val="000000"/>
                <w:sz w:val="18"/>
                <w:szCs w:val="18"/>
              </w:rPr>
            </w:pPr>
          </w:p>
          <w:p w14:paraId="6FE3C801" w14:textId="77777777" w:rsidR="00703F01" w:rsidRPr="00703F01" w:rsidRDefault="00703F01" w:rsidP="00703F01">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 Each Member State shall take the necessary measures to require Reporting Platform Operators to carry out due diligence procedures and </w:t>
            </w:r>
            <w:r>
              <w:rPr>
                <w:rFonts w:ascii="Times New Roman" w:eastAsia="Times New Roman" w:hAnsi="Times New Roman" w:cs="Times New Roman"/>
                <w:color w:val="000000"/>
                <w:sz w:val="18"/>
                <w:szCs w:val="18"/>
              </w:rPr>
              <w:lastRenderedPageBreak/>
              <w:t>to comply with the reporting requirements set out in Sections II and III of Annex V. Each Member State shall also ensure the effective implementation of such measures and compliance with them in accordance with Section IV of Annex V.</w:t>
            </w:r>
          </w:p>
          <w:p w14:paraId="107CBD7C" w14:textId="3FA92E4E" w:rsidR="00703F01" w:rsidRPr="00703F01" w:rsidRDefault="00703F01" w:rsidP="00703F01">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2. In accordance with the applicable due diligence procedures and reporting requirements included in Sections II and III of Annex V, the competent authority of a Member State where reporting has been carried out in accordance with paragraph 1, by means of automatic exchange and within the time limit specified in paragraph 3, shall communicate to the competent authority of the Member State in which the Reportable Seller is resident, as determined in accordance with paragraph D of Section II of Annex V and, where the Reportable Seller provides rental services of immovable property, in each case to the competent authority of the Member State in which the immovable property is located, the following information in relation to each Reportable Seller: (a) the name, address of the registered office, TIN and, where relevant, the individual identification number assigned in accordance with the first subparagraph of paragraph 4, of the Reporting Platform Operator, as well as the business name(s) of the Platform(s) in relation to which the Reporting Platform Operator is reporting; (b) the first name and surname of the Reportable Seller that is an individual, and the legal name of the Reportable Seller that is an Entity; (c) the Primary Address; (d) any TIN of the Reportable Seller, including each Member State of issuance, or, in the absence of a TIN, the place of birth of the Reportable Seller that is an individual; (e) the business registration number of the Reportable Seller that is an Entity; (f) the VAT identification number of the Reportable Seller, where available; (g) the date of birth of the Reportable Seller that is an individual; (h) the Financial Account Identifier to which the Consideration is paid or credited, insofar as it is available to the Reporting Platform Operator and the competent authority of the Member State where the Reportable Seller is resident within the meaning of paragraph D of Section II of Annex V has not notified the competent authorities of all other Member States that it does not intend to use the Financial Account Identifier for that purpose; (i) where different from the name of the Reportable Seller, in addition to the Financial Account Identifier, the name of the holder of the financial account to which the Consideration is paid or credited, to the extent that it is available to the Reporting Platform Operator, as well as any other financial identification information available to the Reporting Platform Operator in relation to </w:t>
            </w:r>
            <w:r>
              <w:rPr>
                <w:rFonts w:ascii="Times New Roman" w:eastAsia="Times New Roman" w:hAnsi="Times New Roman" w:cs="Times New Roman"/>
                <w:color w:val="000000"/>
                <w:sz w:val="18"/>
                <w:szCs w:val="18"/>
              </w:rPr>
              <w:lastRenderedPageBreak/>
              <w:t xml:space="preserve">that account holder; (j) each Member State in which the Reportable Seller is resident as determined in accordance with paragraph D of Section II of Annex V; (k) the total Consideration paid or credited during each quarter of the Reporting Period and the number of Relevant Activities in relation to which it was paid or credited; (l) any fees, commission or </w:t>
            </w:r>
            <w:r w:rsidR="00467DB2">
              <w:rPr>
                <w:rFonts w:ascii="Times New Roman" w:eastAsia="Times New Roman" w:hAnsi="Times New Roman" w:cs="Times New Roman"/>
                <w:color w:val="000000"/>
                <w:sz w:val="18"/>
                <w:szCs w:val="18"/>
              </w:rPr>
              <w:t>Taxation</w:t>
            </w:r>
            <w:r>
              <w:rPr>
                <w:rFonts w:ascii="Times New Roman" w:eastAsia="Times New Roman" w:hAnsi="Times New Roman" w:cs="Times New Roman"/>
                <w:color w:val="000000"/>
                <w:sz w:val="18"/>
                <w:szCs w:val="18"/>
              </w:rPr>
              <w:t xml:space="preserve"> withheld or charged by the Reporting Platform during each quarter of the Reporting Period. Where the Reportable Seller provides rental services of immovable property, the following additional information shall be communicated: (a) the address of each Property Listing, determined on the basis of the procedures set out in paragraph E of Section II of Annex V and the corresponding land registration number or its equivalent under the national law of the Member State where it is located, where available; (b) the total Consideration paid or credited during each quarter of the Reporting Period and the number of Relevant Activities provided in relation to each Property Listing; (c) where possible, the number of days each Property Listing was rented during the Reporting Period and the type of each Property Listing.</w:t>
            </w:r>
          </w:p>
          <w:p w14:paraId="1C7DFFE9" w14:textId="77777777" w:rsidR="00703F01" w:rsidRPr="00703F01" w:rsidRDefault="00703F01" w:rsidP="00703F01">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The communication according to paragraph 2 of this article must be made by using the standard computerised format referred to in Article 20(4) within two months after the end of the Reportable Period to which the reporting requirements applicable to the Reporting Platform Operator relate. The first information must be communicated for the Reportable Periods from 1 January 2023.</w:t>
            </w:r>
          </w:p>
          <w:p w14:paraId="28CF5A86" w14:textId="77777777" w:rsidR="00703F01" w:rsidRPr="00703F01" w:rsidRDefault="00703F01" w:rsidP="00703F01">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4. For the purpose of fulfilling the reporting requirements under paragraph 1 of this Article, each Member State shall determine the necessary rules to require that a Reporting Platform Operator, within the meaning of point (b) of subparagraph A(4) of Section I of Annex V, be registered within the Union. The competent authority of the Member State of registration shall assign an individual identification number to such a Reporting Platform Operator. Member States shall determine rules under which a Reporting Platform Operator may choose to register with the competent authority of a single Member State in accordance with the rules set out in paragraph F of Section IV of Annex V. Member States shall take the necessary measures to require that a Reporting Platform Operator, within the meaning of point (b) of subparagraph A(4) of Section I of Annex V, whose registration has been revoked in accordance with subparagraph F(7) of Section IV of Annex V, may be allowed to re-register only on condition that it provides the authorities of a relevant Member State with adequate assurances regarding its </w:t>
            </w:r>
            <w:r>
              <w:rPr>
                <w:rFonts w:ascii="Times New Roman" w:eastAsia="Times New Roman" w:hAnsi="Times New Roman" w:cs="Times New Roman"/>
                <w:color w:val="000000"/>
                <w:sz w:val="18"/>
                <w:szCs w:val="18"/>
              </w:rPr>
              <w:lastRenderedPageBreak/>
              <w:t>commitment to fulfil the reporting requirements within the Union, including any outstanding reporting requirements. The Commission, by means of implementing acts, shall determine the practical arrangements necessary for the registration and identification of Reporting Platform Operators. Those implementing acts shall be adopted in accordance with the procedure referred to in Article 26(2).</w:t>
            </w:r>
          </w:p>
          <w:p w14:paraId="35D08818" w14:textId="77777777" w:rsidR="00703F01" w:rsidRPr="00703F01" w:rsidRDefault="00703F01" w:rsidP="00703F01">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 When a Platform Operator is considered to be an Excluded Platform Operator, the competent authority of the Member State where the demonstration has been provided in accordance with subparagraph A(3) of Section I of the Annex V, shall notify the competent authorities of all other Member States accordingly, including any subsequent change.</w:t>
            </w:r>
          </w:p>
          <w:p w14:paraId="1C01CA27" w14:textId="77777777" w:rsidR="00703F01" w:rsidRPr="00703F01" w:rsidRDefault="00703F01" w:rsidP="00703F01">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 The Commission, by 31 December 2022, shall establish a central register in which the information to be notified in accordance with paragraph 5 of this Article and communicated in accordance with subparagraph F(2) of Section IV of Annex V shall be registered. This central register shall be available to the competent authorities of all Member States.</w:t>
            </w:r>
          </w:p>
          <w:p w14:paraId="09FD3309" w14:textId="0BB4EDF2" w:rsidR="003C045B" w:rsidRPr="0071079D" w:rsidRDefault="00703F01" w:rsidP="00703F01">
            <w:pPr>
              <w:shd w:val="clear" w:color="auto" w:fill="FFFFFF"/>
              <w:spacing w:before="120"/>
              <w:jc w:val="both"/>
              <w:rPr>
                <w:rFonts w:ascii="Times New Roman" w:eastAsia="Times New Roman" w:hAnsi="Times New Roman" w:cs="Times New Roman"/>
                <w:vanish/>
                <w:color w:val="000000"/>
                <w:sz w:val="18"/>
                <w:szCs w:val="18"/>
              </w:rPr>
            </w:pPr>
            <w:r>
              <w:rPr>
                <w:rFonts w:ascii="Times New Roman" w:eastAsia="Times New Roman" w:hAnsi="Times New Roman" w:cs="Times New Roman"/>
                <w:color w:val="000000"/>
                <w:sz w:val="18"/>
                <w:szCs w:val="18"/>
              </w:rPr>
              <w:t xml:space="preserve">7. The Commission, by means of implementing acts, following a reasoned request by a Member State or on its own initiative, determines whether the information required to be exchanged automatically in accordance with an agreement between the competent authorities of the Member State in question and a non-Union jurisdiction is, within the meaning of subparagraph A(7) of Section I of Annex V, equivalent to that specified in paragraph B of Section III of Annex V. Those implementing acts shall be adopted in accordance with the procedure referred to in Article 26(2). A Member State requesting the measure referred to in the first subparagraph shall send a reasoned request to the Commission. If the Commission considers that it does not have all the information necessary for the assessment of the request, it shall contact the Member State in question within two months of receipt of the request and specify what additional information is required. Once the Commission has all the information it considers necessary, it shall, within one month, notify the requesting Member State and shall submit the relevant information to the Committee referred to in Article 26(2). Where acting on its own initiative, the Commission shall adopt an implementing act as referred to in the first subparagraph only after a Member State has concluded an agreement with the competent authority of a non-Union jurisdiction requiring the automatic exchange of information on sellers earning proceeds from Activities facilitated by </w:t>
            </w:r>
            <w:r>
              <w:rPr>
                <w:rFonts w:ascii="Times New Roman" w:eastAsia="Times New Roman" w:hAnsi="Times New Roman" w:cs="Times New Roman"/>
                <w:color w:val="000000"/>
                <w:sz w:val="18"/>
                <w:szCs w:val="18"/>
              </w:rPr>
              <w:lastRenderedPageBreak/>
              <w:t>Platforms. When determining whether the information is equivalent within the meaning of the first subparagraph in relation to a Relevant Activity, the Commission shall take into account the extent to which the regime on which such information is based corresponds to that laid down in Annex V, in particular with regard to: (i) the definitions of Reporting Platform Operator, Reportable Seller, Relevant Activity; (ii) the procedures applicable for the purpose of identifying Reportable Sellers; (iii) the reporting requirements; and (iv) the administrative rules and procedures that non-Union jurisdictions must have in place to ensure the effective implementation of the due diligence procedures and reporting requirements set out in that regime. The same procedure applies to determine that the information is no longer equivalent.</w:t>
            </w:r>
          </w:p>
          <w:p w14:paraId="2DF3E396" w14:textId="041F37A2" w:rsidR="003C045B" w:rsidRPr="00036F88" w:rsidRDefault="003C045B" w:rsidP="00B167C6">
            <w:pPr>
              <w:shd w:val="clear" w:color="auto" w:fill="FFFFFF"/>
              <w:spacing w:before="120"/>
              <w:jc w:val="both"/>
              <w:rPr>
                <w:rFonts w:ascii="Times New Roman" w:eastAsia="Calibri" w:hAnsi="Times New Roman" w:cs="Times New Roman"/>
                <w:iCs/>
                <w:sz w:val="18"/>
                <w:szCs w:val="18"/>
                <w:lang w:val="en-US"/>
              </w:rPr>
            </w:pPr>
          </w:p>
        </w:tc>
        <w:tc>
          <w:tcPr>
            <w:tcW w:w="540" w:type="dxa"/>
          </w:tcPr>
          <w:p w14:paraId="5C12CE0E" w14:textId="77777777" w:rsidR="003C045B" w:rsidRPr="00036F88" w:rsidRDefault="003C045B" w:rsidP="003C045B">
            <w:pPr>
              <w:jc w:val="center"/>
              <w:rPr>
                <w:rFonts w:ascii="Times New Roman" w:eastAsia="Calibri" w:hAnsi="Times New Roman" w:cs="Times New Roman"/>
                <w:sz w:val="18"/>
                <w:szCs w:val="18"/>
              </w:rPr>
            </w:pPr>
          </w:p>
        </w:tc>
        <w:tc>
          <w:tcPr>
            <w:tcW w:w="720" w:type="dxa"/>
          </w:tcPr>
          <w:p w14:paraId="31FA75E7" w14:textId="4AEF5EC0" w:rsidR="003C045B" w:rsidRPr="00036F88" w:rsidRDefault="003C045B" w:rsidP="003C045B">
            <w:pPr>
              <w:jc w:val="center"/>
              <w:rPr>
                <w:rFonts w:ascii="Times New Roman" w:eastAsia="Calibri" w:hAnsi="Times New Roman" w:cs="Times New Roman"/>
                <w:sz w:val="18"/>
                <w:szCs w:val="18"/>
                <w:lang w:val="en-US"/>
              </w:rPr>
            </w:pPr>
          </w:p>
        </w:tc>
        <w:tc>
          <w:tcPr>
            <w:tcW w:w="5040" w:type="dxa"/>
            <w:gridSpan w:val="2"/>
          </w:tcPr>
          <w:p w14:paraId="0CC43CCB" w14:textId="77777777" w:rsidR="003C045B" w:rsidRPr="00036F88" w:rsidRDefault="003C045B" w:rsidP="003C045B">
            <w:pPr>
              <w:jc w:val="both"/>
              <w:rPr>
                <w:rFonts w:ascii="Times New Roman" w:hAnsi="Times New Roman" w:cs="Times New Roman"/>
                <w:sz w:val="18"/>
                <w:szCs w:val="18"/>
              </w:rPr>
            </w:pPr>
          </w:p>
          <w:p w14:paraId="4A1A120B" w14:textId="56786B3C" w:rsidR="003C045B" w:rsidRPr="00036F88" w:rsidRDefault="003C045B" w:rsidP="00B167C6">
            <w:pPr>
              <w:jc w:val="both"/>
              <w:rPr>
                <w:rFonts w:ascii="Times New Roman" w:hAnsi="Times New Roman" w:cs="Times New Roman"/>
                <w:sz w:val="18"/>
                <w:szCs w:val="18"/>
              </w:rPr>
            </w:pPr>
          </w:p>
          <w:p w14:paraId="7089E5B9" w14:textId="77777777" w:rsidR="003C045B" w:rsidRPr="00036F88" w:rsidRDefault="003C045B" w:rsidP="003C045B">
            <w:pPr>
              <w:rPr>
                <w:rFonts w:ascii="Times New Roman" w:eastAsia="Calibri" w:hAnsi="Times New Roman" w:cs="Times New Roman"/>
                <w:sz w:val="18"/>
                <w:szCs w:val="18"/>
                <w:lang w:val="en-US"/>
              </w:rPr>
            </w:pPr>
          </w:p>
        </w:tc>
        <w:tc>
          <w:tcPr>
            <w:tcW w:w="720" w:type="dxa"/>
            <w:gridSpan w:val="2"/>
          </w:tcPr>
          <w:p w14:paraId="753EE87F" w14:textId="7B67EC1B" w:rsidR="003C045B" w:rsidRPr="00036F88" w:rsidRDefault="003C045B" w:rsidP="003C045B">
            <w:pPr>
              <w:jc w:val="center"/>
              <w:rPr>
                <w:rFonts w:ascii="Times New Roman" w:eastAsia="Calibri" w:hAnsi="Times New Roman" w:cs="Times New Roman"/>
                <w:sz w:val="18"/>
                <w:szCs w:val="18"/>
                <w:lang w:val="en-US"/>
              </w:rPr>
            </w:pPr>
          </w:p>
        </w:tc>
        <w:tc>
          <w:tcPr>
            <w:tcW w:w="3240" w:type="dxa"/>
            <w:gridSpan w:val="2"/>
          </w:tcPr>
          <w:p w14:paraId="096A4328" w14:textId="77777777" w:rsidR="003C045B" w:rsidRPr="00036F88" w:rsidRDefault="003C045B" w:rsidP="00703F01">
            <w:pPr>
              <w:pBdr>
                <w:top w:val="nil"/>
                <w:left w:val="nil"/>
                <w:bottom w:val="nil"/>
                <w:right w:val="nil"/>
                <w:between w:val="nil"/>
              </w:pBdr>
              <w:spacing w:before="120"/>
              <w:jc w:val="both"/>
              <w:rPr>
                <w:rFonts w:ascii="Times New Roman" w:eastAsia="Calibri" w:hAnsi="Times New Roman" w:cs="Times New Roman"/>
                <w:sz w:val="18"/>
                <w:szCs w:val="18"/>
                <w:lang w:val="en-US"/>
              </w:rPr>
            </w:pPr>
          </w:p>
        </w:tc>
      </w:tr>
      <w:tr w:rsidR="003C045B" w:rsidRPr="00036F88" w14:paraId="6BF88948" w14:textId="77777777" w:rsidTr="00D50C43">
        <w:trPr>
          <w:gridAfter w:val="1"/>
          <w:wAfter w:w="353" w:type="dxa"/>
        </w:trPr>
        <w:tc>
          <w:tcPr>
            <w:tcW w:w="630" w:type="dxa"/>
          </w:tcPr>
          <w:p w14:paraId="0B20EF4D" w14:textId="5065F7F9" w:rsidR="003C045B" w:rsidRPr="00036F88" w:rsidRDefault="003C045B" w:rsidP="003C045B">
            <w:pPr>
              <w:jc w:val="both"/>
              <w:rPr>
                <w:rFonts w:ascii="Times New Roman" w:eastAsia="Calibri" w:hAnsi="Times New Roman" w:cs="Times New Roman"/>
                <w:sz w:val="18"/>
                <w:szCs w:val="18"/>
                <w:lang w:val="en-US"/>
              </w:rPr>
            </w:pPr>
          </w:p>
        </w:tc>
        <w:tc>
          <w:tcPr>
            <w:tcW w:w="5400" w:type="dxa"/>
            <w:vMerge/>
          </w:tcPr>
          <w:p w14:paraId="09890B82" w14:textId="19AB0185" w:rsidR="003C045B" w:rsidRPr="00036F88" w:rsidRDefault="003C045B" w:rsidP="003C045B">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082FE915" w14:textId="77777777" w:rsidR="003C045B" w:rsidRPr="00036F88" w:rsidRDefault="003C045B" w:rsidP="003C045B">
            <w:pPr>
              <w:jc w:val="center"/>
              <w:rPr>
                <w:rFonts w:ascii="Times New Roman" w:eastAsia="Calibri" w:hAnsi="Times New Roman" w:cs="Times New Roman"/>
                <w:sz w:val="18"/>
                <w:szCs w:val="18"/>
              </w:rPr>
            </w:pPr>
          </w:p>
        </w:tc>
        <w:tc>
          <w:tcPr>
            <w:tcW w:w="720" w:type="dxa"/>
            <w:shd w:val="clear" w:color="auto" w:fill="D0CECE" w:themeFill="background2" w:themeFillShade="E6"/>
          </w:tcPr>
          <w:p w14:paraId="1A3D1163" w14:textId="5877D4EA" w:rsidR="003C045B" w:rsidRPr="00036F88" w:rsidRDefault="003C045B" w:rsidP="003C045B">
            <w:pPr>
              <w:jc w:val="center"/>
              <w:rPr>
                <w:rFonts w:ascii="Times New Roman" w:eastAsia="Calibri" w:hAnsi="Times New Roman" w:cs="Times New Roman"/>
                <w:sz w:val="18"/>
                <w:szCs w:val="18"/>
                <w:lang w:val="en-US"/>
              </w:rPr>
            </w:pPr>
          </w:p>
        </w:tc>
        <w:tc>
          <w:tcPr>
            <w:tcW w:w="5040" w:type="dxa"/>
            <w:gridSpan w:val="2"/>
            <w:shd w:val="clear" w:color="auto" w:fill="D0CECE" w:themeFill="background2" w:themeFillShade="E6"/>
          </w:tcPr>
          <w:p w14:paraId="2E9B7F3C" w14:textId="77777777" w:rsidR="00D20ACD" w:rsidRPr="006E4603" w:rsidRDefault="00D20ACD" w:rsidP="006E4603">
            <w:pPr>
              <w:pStyle w:val="NoSpacing"/>
              <w:jc w:val="center"/>
              <w:rPr>
                <w:rFonts w:ascii="Times New Roman" w:hAnsi="Times New Roman" w:cs="Times New Roman"/>
                <w:b/>
                <w:sz w:val="18"/>
                <w:szCs w:val="18"/>
              </w:rPr>
            </w:pPr>
            <w:r>
              <w:rPr>
                <w:rFonts w:ascii="Times New Roman" w:hAnsi="Times New Roman" w:cs="Times New Roman"/>
                <w:b/>
                <w:sz w:val="18"/>
                <w:szCs w:val="18"/>
              </w:rPr>
              <w:t>Article 1</w:t>
            </w:r>
          </w:p>
          <w:p w14:paraId="33D0B877" w14:textId="35CB656B" w:rsidR="003C045B" w:rsidRPr="00036F88" w:rsidRDefault="00467DB2" w:rsidP="006E4603">
            <w:pPr>
              <w:jc w:val="center"/>
              <w:rPr>
                <w:rFonts w:ascii="Times New Roman" w:eastAsia="Calibri" w:hAnsi="Times New Roman" w:cs="Times New Roman"/>
                <w:sz w:val="18"/>
                <w:szCs w:val="18"/>
                <w:lang w:val="en-US"/>
              </w:rPr>
            </w:pPr>
            <w:r w:rsidRPr="00467DB2">
              <w:rPr>
                <w:rFonts w:ascii="Times New Roman" w:hAnsi="Times New Roman" w:cs="Times New Roman"/>
                <w:b/>
                <w:sz w:val="18"/>
                <w:szCs w:val="18"/>
              </w:rPr>
              <w:t xml:space="preserve">Object </w:t>
            </w:r>
            <w:r w:rsidR="00D20ACD">
              <w:rPr>
                <w:rFonts w:ascii="Times New Roman" w:hAnsi="Times New Roman" w:cs="Times New Roman"/>
                <w:b/>
                <w:sz w:val="18"/>
                <w:szCs w:val="18"/>
              </w:rPr>
              <w:t>and scope of application</w:t>
            </w:r>
          </w:p>
        </w:tc>
        <w:tc>
          <w:tcPr>
            <w:tcW w:w="720" w:type="dxa"/>
            <w:gridSpan w:val="2"/>
            <w:shd w:val="clear" w:color="auto" w:fill="D0CECE" w:themeFill="background2" w:themeFillShade="E6"/>
          </w:tcPr>
          <w:p w14:paraId="69417B3B" w14:textId="249C425F" w:rsidR="003C045B" w:rsidRPr="00036F88" w:rsidRDefault="003C045B" w:rsidP="003C045B">
            <w:pPr>
              <w:jc w:val="center"/>
              <w:rPr>
                <w:rFonts w:ascii="Times New Roman" w:eastAsia="Calibri" w:hAnsi="Times New Roman" w:cs="Times New Roman"/>
                <w:sz w:val="18"/>
                <w:szCs w:val="18"/>
                <w:lang w:val="en-US"/>
              </w:rPr>
            </w:pPr>
          </w:p>
        </w:tc>
        <w:tc>
          <w:tcPr>
            <w:tcW w:w="3240" w:type="dxa"/>
            <w:gridSpan w:val="2"/>
            <w:shd w:val="clear" w:color="auto" w:fill="D0CECE" w:themeFill="background2" w:themeFillShade="E6"/>
          </w:tcPr>
          <w:p w14:paraId="102163A6" w14:textId="77777777" w:rsidR="003C045B" w:rsidRPr="00036F88" w:rsidRDefault="003C045B" w:rsidP="003C045B">
            <w:pPr>
              <w:rPr>
                <w:rFonts w:ascii="Times New Roman" w:eastAsia="Calibri" w:hAnsi="Times New Roman" w:cs="Times New Roman"/>
                <w:sz w:val="18"/>
                <w:szCs w:val="18"/>
                <w:lang w:val="en-US"/>
              </w:rPr>
            </w:pPr>
          </w:p>
        </w:tc>
      </w:tr>
      <w:tr w:rsidR="003C045B" w:rsidRPr="00036F88" w14:paraId="1E24074C" w14:textId="77777777" w:rsidTr="00D50C43">
        <w:trPr>
          <w:gridAfter w:val="1"/>
          <w:wAfter w:w="353" w:type="dxa"/>
          <w:trHeight w:val="195"/>
        </w:trPr>
        <w:tc>
          <w:tcPr>
            <w:tcW w:w="630" w:type="dxa"/>
          </w:tcPr>
          <w:p w14:paraId="38B76EEA" w14:textId="0FAAC394" w:rsidR="003C045B" w:rsidRPr="00036F88" w:rsidRDefault="003C045B" w:rsidP="003C045B">
            <w:pPr>
              <w:jc w:val="both"/>
              <w:rPr>
                <w:rFonts w:ascii="Times New Roman" w:eastAsia="Calibri" w:hAnsi="Times New Roman" w:cs="Times New Roman"/>
                <w:sz w:val="18"/>
                <w:szCs w:val="18"/>
                <w:lang w:val="en-US"/>
              </w:rPr>
            </w:pPr>
          </w:p>
        </w:tc>
        <w:tc>
          <w:tcPr>
            <w:tcW w:w="5400" w:type="dxa"/>
            <w:vMerge/>
          </w:tcPr>
          <w:p w14:paraId="7026E63D" w14:textId="4E82EC29" w:rsidR="003C045B" w:rsidRPr="00036F88" w:rsidRDefault="003C045B" w:rsidP="003C045B">
            <w:pPr>
              <w:jc w:val="both"/>
              <w:rPr>
                <w:rFonts w:ascii="Times New Roman" w:eastAsia="Calibri" w:hAnsi="Times New Roman" w:cs="Times New Roman"/>
                <w:iCs/>
                <w:sz w:val="18"/>
                <w:szCs w:val="18"/>
                <w:lang w:val="en-US"/>
              </w:rPr>
            </w:pPr>
          </w:p>
        </w:tc>
        <w:tc>
          <w:tcPr>
            <w:tcW w:w="540" w:type="dxa"/>
          </w:tcPr>
          <w:p w14:paraId="6C8670AB" w14:textId="4A9781CC" w:rsidR="003C045B" w:rsidRPr="00036F88" w:rsidRDefault="003C045B" w:rsidP="003C045B">
            <w:pPr>
              <w:rPr>
                <w:rFonts w:ascii="Times New Roman" w:eastAsia="Calibri" w:hAnsi="Times New Roman" w:cs="Times New Roman"/>
                <w:sz w:val="18"/>
                <w:szCs w:val="18"/>
              </w:rPr>
            </w:pPr>
          </w:p>
        </w:tc>
        <w:tc>
          <w:tcPr>
            <w:tcW w:w="720" w:type="dxa"/>
          </w:tcPr>
          <w:p w14:paraId="60B1392A" w14:textId="7C9F9750" w:rsidR="003C045B" w:rsidRDefault="00113DE2" w:rsidP="003C045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 xml:space="preserve">Article 1 </w:t>
            </w:r>
          </w:p>
          <w:p w14:paraId="127E5A18" w14:textId="77777777" w:rsidR="00190825" w:rsidRDefault="00190825" w:rsidP="003C045B">
            <w:pPr>
              <w:rPr>
                <w:rFonts w:ascii="Times New Roman" w:eastAsia="Calibri" w:hAnsi="Times New Roman" w:cs="Times New Roman"/>
                <w:sz w:val="18"/>
                <w:szCs w:val="18"/>
                <w:lang w:val="en-US"/>
              </w:rPr>
            </w:pPr>
          </w:p>
          <w:p w14:paraId="4DBB03AC" w14:textId="77777777" w:rsidR="00190825" w:rsidRDefault="00190825" w:rsidP="003C045B">
            <w:pPr>
              <w:rPr>
                <w:rFonts w:ascii="Times New Roman" w:eastAsia="Calibri" w:hAnsi="Times New Roman" w:cs="Times New Roman"/>
                <w:sz w:val="18"/>
                <w:szCs w:val="18"/>
                <w:lang w:val="en-US"/>
              </w:rPr>
            </w:pPr>
          </w:p>
          <w:p w14:paraId="1B101488" w14:textId="1B0556DE" w:rsidR="00190825" w:rsidRPr="00036F88" w:rsidRDefault="00113DE2" w:rsidP="003C045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lastRenderedPageBreak/>
              <w:t>Article 14</w:t>
            </w:r>
          </w:p>
        </w:tc>
        <w:tc>
          <w:tcPr>
            <w:tcW w:w="5040" w:type="dxa"/>
            <w:gridSpan w:val="2"/>
            <w:tcBorders>
              <w:bottom w:val="dashed" w:sz="4" w:space="0" w:color="auto"/>
            </w:tcBorders>
          </w:tcPr>
          <w:p w14:paraId="4C8DF6AF" w14:textId="08EFB46F" w:rsidR="00467DB2" w:rsidRPr="00467DB2" w:rsidRDefault="00467DB2" w:rsidP="00467DB2">
            <w:pPr>
              <w:pStyle w:val="ListParagraph"/>
              <w:numPr>
                <w:ilvl w:val="0"/>
                <w:numId w:val="29"/>
              </w:numPr>
              <w:spacing w:after="0" w:line="240" w:lineRule="auto"/>
              <w:jc w:val="both"/>
              <w:rPr>
                <w:rFonts w:ascii="Times New Roman" w:hAnsi="Times New Roman" w:cs="Times New Roman"/>
                <w:sz w:val="18"/>
                <w:szCs w:val="18"/>
              </w:rPr>
            </w:pPr>
            <w:r w:rsidRPr="00467DB2">
              <w:rPr>
                <w:rFonts w:ascii="Times New Roman" w:hAnsi="Times New Roman" w:cs="Times New Roman"/>
                <w:sz w:val="18"/>
                <w:szCs w:val="18"/>
              </w:rPr>
              <w:lastRenderedPageBreak/>
              <w:t xml:space="preserve">This law regulates administrative cooperation in the field of taxation between the competent authorities of the Member States of the European Union, through the automatic and mandatory exchange of information </w:t>
            </w:r>
            <w:r w:rsidRPr="00467DB2">
              <w:rPr>
                <w:rFonts w:ascii="Times New Roman" w:hAnsi="Times New Roman" w:cs="Times New Roman"/>
                <w:sz w:val="18"/>
                <w:szCs w:val="18"/>
              </w:rPr>
              <w:lastRenderedPageBreak/>
              <w:t>collected by the operators of reporting platforms, in accordance with Council Directive 2011/16/EU, as amended.</w:t>
            </w:r>
          </w:p>
          <w:p w14:paraId="7D3D7F0C" w14:textId="77777777" w:rsidR="00467DB2" w:rsidRPr="00467DB2" w:rsidRDefault="00467DB2" w:rsidP="00467DB2">
            <w:pPr>
              <w:jc w:val="both"/>
              <w:rPr>
                <w:rFonts w:ascii="Times New Roman" w:hAnsi="Times New Roman" w:cs="Times New Roman"/>
                <w:sz w:val="18"/>
                <w:szCs w:val="18"/>
              </w:rPr>
            </w:pPr>
          </w:p>
          <w:p w14:paraId="3B3FE9A5" w14:textId="62D95077" w:rsidR="00467DB2" w:rsidRPr="00467DB2" w:rsidRDefault="00467DB2" w:rsidP="00467DB2">
            <w:pPr>
              <w:jc w:val="both"/>
              <w:rPr>
                <w:rFonts w:ascii="Times New Roman" w:hAnsi="Times New Roman" w:cs="Times New Roman"/>
                <w:sz w:val="18"/>
                <w:szCs w:val="18"/>
              </w:rPr>
            </w:pPr>
            <w:r w:rsidRPr="00467DB2">
              <w:rPr>
                <w:rFonts w:ascii="Times New Roman" w:hAnsi="Times New Roman" w:cs="Times New Roman"/>
                <w:sz w:val="18"/>
                <w:szCs w:val="18"/>
              </w:rPr>
              <w:t>2.</w:t>
            </w:r>
            <w:r>
              <w:rPr>
                <w:rFonts w:ascii="Times New Roman" w:hAnsi="Times New Roman" w:cs="Times New Roman"/>
                <w:sz w:val="18"/>
                <w:szCs w:val="18"/>
              </w:rPr>
              <w:t xml:space="preserve">  </w:t>
            </w:r>
            <w:r w:rsidRPr="00467DB2">
              <w:rPr>
                <w:rFonts w:ascii="Times New Roman" w:hAnsi="Times New Roman" w:cs="Times New Roman"/>
                <w:sz w:val="18"/>
                <w:szCs w:val="18"/>
              </w:rPr>
              <w:t>This Law shall be implemented in accordance with the rules of administrative cooperation in the field of taxation regarding:</w:t>
            </w:r>
          </w:p>
          <w:p w14:paraId="1DF32334" w14:textId="77777777" w:rsidR="00467DB2" w:rsidRPr="00467DB2" w:rsidRDefault="00467DB2" w:rsidP="00467DB2">
            <w:pPr>
              <w:ind w:left="151"/>
              <w:jc w:val="both"/>
              <w:rPr>
                <w:rFonts w:ascii="Times New Roman" w:hAnsi="Times New Roman" w:cs="Times New Roman"/>
                <w:sz w:val="18"/>
                <w:szCs w:val="18"/>
              </w:rPr>
            </w:pPr>
            <w:r w:rsidRPr="00467DB2">
              <w:rPr>
                <w:rFonts w:ascii="Times New Roman" w:hAnsi="Times New Roman" w:cs="Times New Roman"/>
                <w:sz w:val="18"/>
                <w:szCs w:val="18"/>
              </w:rPr>
              <w:t>a)</w:t>
            </w:r>
            <w:r w:rsidRPr="00467DB2">
              <w:rPr>
                <w:rFonts w:ascii="Times New Roman" w:hAnsi="Times New Roman" w:cs="Times New Roman"/>
                <w:sz w:val="18"/>
                <w:szCs w:val="18"/>
              </w:rPr>
              <w:tab/>
              <w:t>the structure and functioning of the automatic exchange of information;</w:t>
            </w:r>
          </w:p>
          <w:p w14:paraId="139A4794" w14:textId="77777777" w:rsidR="00467DB2" w:rsidRPr="00467DB2" w:rsidRDefault="00467DB2" w:rsidP="00467DB2">
            <w:pPr>
              <w:ind w:left="151"/>
              <w:jc w:val="both"/>
              <w:rPr>
                <w:rFonts w:ascii="Times New Roman" w:hAnsi="Times New Roman" w:cs="Times New Roman"/>
                <w:sz w:val="18"/>
                <w:szCs w:val="18"/>
              </w:rPr>
            </w:pPr>
            <w:r w:rsidRPr="00467DB2">
              <w:rPr>
                <w:rFonts w:ascii="Times New Roman" w:hAnsi="Times New Roman" w:cs="Times New Roman"/>
                <w:sz w:val="18"/>
                <w:szCs w:val="18"/>
              </w:rPr>
              <w:t>b)</w:t>
            </w:r>
            <w:r w:rsidRPr="00467DB2">
              <w:rPr>
                <w:rFonts w:ascii="Times New Roman" w:hAnsi="Times New Roman" w:cs="Times New Roman"/>
                <w:sz w:val="18"/>
                <w:szCs w:val="18"/>
              </w:rPr>
              <w:tab/>
              <w:t xml:space="preserve">protection of personal data and confidentiality; </w:t>
            </w:r>
          </w:p>
          <w:p w14:paraId="75F308B9" w14:textId="20B8A965" w:rsidR="005331A6" w:rsidRDefault="00467DB2" w:rsidP="00467DB2">
            <w:pPr>
              <w:pStyle w:val="NoSpacing"/>
              <w:ind w:left="151"/>
              <w:jc w:val="both"/>
              <w:rPr>
                <w:rFonts w:ascii="Times New Roman" w:hAnsi="Times New Roman" w:cs="Times New Roman"/>
                <w:sz w:val="18"/>
                <w:szCs w:val="18"/>
              </w:rPr>
            </w:pPr>
            <w:r w:rsidRPr="00467DB2">
              <w:rPr>
                <w:rFonts w:ascii="Times New Roman" w:hAnsi="Times New Roman" w:cs="Times New Roman"/>
                <w:sz w:val="18"/>
                <w:szCs w:val="18"/>
              </w:rPr>
              <w:t>c)</w:t>
            </w:r>
            <w:r w:rsidRPr="00467DB2">
              <w:rPr>
                <w:rFonts w:ascii="Times New Roman" w:hAnsi="Times New Roman" w:cs="Times New Roman"/>
                <w:sz w:val="18"/>
                <w:szCs w:val="18"/>
              </w:rPr>
              <w:tab/>
              <w:t>the permitted use of information, according to the provisions of Directive 2011/16/EU, as amended</w:t>
            </w:r>
          </w:p>
          <w:p w14:paraId="5F15A1B1" w14:textId="05EBEFE3" w:rsidR="003C045B" w:rsidRDefault="005331A6" w:rsidP="00467DB2">
            <w:pPr>
              <w:pStyle w:val="NoSpacing"/>
              <w:ind w:left="151"/>
              <w:jc w:val="both"/>
              <w:rPr>
                <w:rFonts w:ascii="Times New Roman" w:eastAsia="Calibri" w:hAnsi="Times New Roman" w:cs="Times New Roman"/>
                <w:sz w:val="18"/>
                <w:szCs w:val="18"/>
                <w:lang w:val="en-US"/>
              </w:rPr>
            </w:pPr>
            <w:r>
              <w:rPr>
                <w:rFonts w:ascii="Times New Roman" w:hAnsi="Times New Roman" w:cs="Times New Roman"/>
                <w:sz w:val="18"/>
                <w:szCs w:val="18"/>
              </w:rPr>
              <w:t xml:space="preserve"> </w:t>
            </w:r>
          </w:p>
          <w:p w14:paraId="10EE2EF1" w14:textId="77777777" w:rsidR="00703F01" w:rsidRDefault="00703F01" w:rsidP="00703F01">
            <w:pPr>
              <w:pStyle w:val="NoSpacing"/>
              <w:jc w:val="both"/>
              <w:rPr>
                <w:rFonts w:ascii="Times New Roman" w:eastAsia="Calibri" w:hAnsi="Times New Roman" w:cs="Times New Roman"/>
                <w:sz w:val="18"/>
                <w:szCs w:val="18"/>
                <w:lang w:val="en-US"/>
              </w:rPr>
            </w:pPr>
          </w:p>
          <w:p w14:paraId="48F06F20" w14:textId="77777777" w:rsidR="006E4603" w:rsidRDefault="006E4603" w:rsidP="005331A6">
            <w:pPr>
              <w:pStyle w:val="NoSpacing"/>
              <w:jc w:val="both"/>
              <w:rPr>
                <w:rFonts w:ascii="Times New Roman" w:eastAsia="Calibri" w:hAnsi="Times New Roman" w:cs="Times New Roman"/>
                <w:b/>
                <w:bCs/>
                <w:sz w:val="18"/>
                <w:szCs w:val="18"/>
                <w:lang w:val="en-US"/>
              </w:rPr>
            </w:pPr>
          </w:p>
          <w:p w14:paraId="28E1E655" w14:textId="77777777" w:rsidR="006E4603" w:rsidRDefault="006E4603" w:rsidP="005331A6">
            <w:pPr>
              <w:pStyle w:val="NoSpacing"/>
              <w:jc w:val="both"/>
              <w:rPr>
                <w:rFonts w:ascii="Times New Roman" w:eastAsia="Calibri" w:hAnsi="Times New Roman" w:cs="Times New Roman"/>
                <w:b/>
                <w:bCs/>
                <w:sz w:val="18"/>
                <w:szCs w:val="18"/>
                <w:lang w:val="en-US"/>
              </w:rPr>
            </w:pPr>
          </w:p>
          <w:p w14:paraId="37769473" w14:textId="77777777" w:rsidR="006E4603" w:rsidRDefault="006E4603" w:rsidP="005331A6">
            <w:pPr>
              <w:pStyle w:val="NoSpacing"/>
              <w:jc w:val="both"/>
              <w:rPr>
                <w:rFonts w:ascii="Times New Roman" w:eastAsia="Calibri" w:hAnsi="Times New Roman" w:cs="Times New Roman"/>
                <w:b/>
                <w:bCs/>
                <w:sz w:val="18"/>
                <w:szCs w:val="18"/>
                <w:lang w:val="en-US"/>
              </w:rPr>
            </w:pPr>
          </w:p>
          <w:p w14:paraId="70ADC723" w14:textId="77777777" w:rsidR="006E4603" w:rsidRDefault="006E4603" w:rsidP="005331A6">
            <w:pPr>
              <w:pStyle w:val="NoSpacing"/>
              <w:jc w:val="both"/>
              <w:rPr>
                <w:rFonts w:ascii="Times New Roman" w:eastAsia="Calibri" w:hAnsi="Times New Roman" w:cs="Times New Roman"/>
                <w:b/>
                <w:bCs/>
                <w:sz w:val="18"/>
                <w:szCs w:val="18"/>
                <w:lang w:val="en-US"/>
              </w:rPr>
            </w:pPr>
          </w:p>
          <w:p w14:paraId="2E4A9C26" w14:textId="77777777" w:rsidR="006E4603" w:rsidRPr="006E4603" w:rsidRDefault="006E4603" w:rsidP="006E4603">
            <w:pPr>
              <w:pStyle w:val="NoSpacing"/>
              <w:jc w:val="center"/>
              <w:rPr>
                <w:rFonts w:ascii="Times New Roman" w:eastAsia="Calibri" w:hAnsi="Times New Roman" w:cs="Times New Roman"/>
                <w:b/>
                <w:bCs/>
                <w:sz w:val="18"/>
                <w:szCs w:val="18"/>
                <w:lang w:val="en-US"/>
              </w:rPr>
            </w:pPr>
            <w:r>
              <w:rPr>
                <w:rFonts w:ascii="Times New Roman" w:eastAsia="Calibri" w:hAnsi="Times New Roman" w:cs="Times New Roman"/>
                <w:b/>
                <w:bCs/>
                <w:sz w:val="18"/>
                <w:szCs w:val="18"/>
                <w:lang w:val="en-US"/>
              </w:rPr>
              <w:t>Article 14</w:t>
            </w:r>
          </w:p>
          <w:p w14:paraId="7F552775" w14:textId="77777777" w:rsidR="006E4603" w:rsidRPr="006E4603" w:rsidRDefault="006E4603" w:rsidP="006E4603">
            <w:pPr>
              <w:pStyle w:val="NoSpacing"/>
              <w:jc w:val="center"/>
              <w:rPr>
                <w:rFonts w:ascii="Times New Roman" w:eastAsia="Calibri" w:hAnsi="Times New Roman" w:cs="Times New Roman"/>
                <w:b/>
                <w:bCs/>
                <w:sz w:val="18"/>
                <w:szCs w:val="18"/>
                <w:lang w:val="en-US"/>
              </w:rPr>
            </w:pPr>
            <w:bookmarkStart w:id="1" w:name="_Hlk231282913"/>
            <w:r>
              <w:rPr>
                <w:rFonts w:ascii="Times New Roman" w:eastAsia="Calibri" w:hAnsi="Times New Roman" w:cs="Times New Roman"/>
                <w:b/>
                <w:bCs/>
                <w:sz w:val="18"/>
                <w:szCs w:val="18"/>
                <w:lang w:val="en-US"/>
              </w:rPr>
              <w:t>Exchange of information</w:t>
            </w:r>
          </w:p>
          <w:bookmarkEnd w:id="1"/>
          <w:p w14:paraId="3492936A" w14:textId="6426B701" w:rsidR="00467DB2" w:rsidRPr="00467DB2" w:rsidRDefault="006E4603" w:rsidP="00467DB2">
            <w:pPr>
              <w:pStyle w:val="NoSpacing"/>
              <w:jc w:val="both"/>
              <w:rPr>
                <w:rFonts w:ascii="Times New Roman" w:eastAsia="Calibri" w:hAnsi="Times New Roman" w:cs="Times New Roman"/>
                <w:bCs/>
                <w:sz w:val="18"/>
                <w:szCs w:val="18"/>
                <w:lang w:val="en-US"/>
              </w:rPr>
            </w:pPr>
            <w:r>
              <w:rPr>
                <w:rFonts w:ascii="Times New Roman" w:eastAsia="Calibri" w:hAnsi="Times New Roman" w:cs="Times New Roman"/>
                <w:bCs/>
                <w:sz w:val="18"/>
                <w:szCs w:val="18"/>
                <w:lang w:val="en-US"/>
              </w:rPr>
              <w:t>1.</w:t>
            </w:r>
            <w:r w:rsidR="00467DB2" w:rsidRPr="00467DB2">
              <w:rPr>
                <w:rFonts w:ascii="Times New Roman" w:eastAsia="Calibri" w:hAnsi="Times New Roman" w:cs="Times New Roman"/>
                <w:bCs/>
                <w:sz w:val="18"/>
                <w:szCs w:val="18"/>
                <w:lang w:val="en-US"/>
              </w:rPr>
              <w:t>The General Directorate of Taxation shall automatically exchange the information referred to in Article 13 with the Competent Authorities of the Member State where the seller is resident and, where applicable, to the Competent Authorities of the Member State where the immovable property being rented is located.</w:t>
            </w:r>
          </w:p>
          <w:p w14:paraId="762E231E" w14:textId="3C4783F8" w:rsidR="00467DB2" w:rsidRPr="00467DB2" w:rsidRDefault="00467DB2" w:rsidP="00467DB2">
            <w:pPr>
              <w:pStyle w:val="NoSpacing"/>
              <w:jc w:val="both"/>
              <w:rPr>
                <w:rFonts w:ascii="Times New Roman" w:eastAsia="Calibri" w:hAnsi="Times New Roman" w:cs="Times New Roman"/>
                <w:bCs/>
                <w:sz w:val="18"/>
                <w:szCs w:val="18"/>
                <w:lang w:val="en-US"/>
              </w:rPr>
            </w:pPr>
            <w:r w:rsidRPr="00467DB2">
              <w:rPr>
                <w:rFonts w:ascii="Times New Roman" w:eastAsia="Calibri" w:hAnsi="Times New Roman" w:cs="Times New Roman"/>
                <w:bCs/>
                <w:sz w:val="18"/>
                <w:szCs w:val="18"/>
                <w:lang w:val="en-US"/>
              </w:rPr>
              <w:t xml:space="preserve">2.The information shall be transmitted within two months following the end of the relevant calendar year. The first exchange of information shall take place within two months following the end of the first Reporting Period. The General Directorate of Taxation shall ensure that all information is transmitted in accordance with the Law on Administrative Cooperation in the Field of Taxation and the Exchange of Tax Information. </w:t>
            </w:r>
          </w:p>
          <w:p w14:paraId="5F0B4009" w14:textId="1E9E9C6F" w:rsidR="006E4603" w:rsidRPr="006E4603" w:rsidRDefault="00467DB2" w:rsidP="00467DB2">
            <w:pPr>
              <w:pStyle w:val="NoSpacing"/>
              <w:jc w:val="both"/>
              <w:rPr>
                <w:rFonts w:ascii="Times New Roman" w:eastAsia="Calibri" w:hAnsi="Times New Roman" w:cs="Times New Roman"/>
                <w:bCs/>
                <w:sz w:val="18"/>
                <w:szCs w:val="18"/>
                <w:lang w:val="en-US"/>
              </w:rPr>
            </w:pPr>
            <w:r w:rsidRPr="00467DB2">
              <w:rPr>
                <w:rFonts w:ascii="Times New Roman" w:eastAsia="Calibri" w:hAnsi="Times New Roman" w:cs="Times New Roman"/>
                <w:bCs/>
                <w:sz w:val="18"/>
                <w:szCs w:val="18"/>
                <w:lang w:val="en-US"/>
              </w:rPr>
              <w:t>3.The detailed modalities, formats and deadlines for the exchange of information shall be determined by decision of the Council of Ministers, in accordance with the Law on Administrative Cooperation in the Field of Taxation and Exchange of Tax Information</w:t>
            </w:r>
            <w:r w:rsidR="006E4603">
              <w:rPr>
                <w:rFonts w:ascii="Times New Roman" w:eastAsia="Calibri" w:hAnsi="Times New Roman" w:cs="Times New Roman"/>
                <w:bCs/>
                <w:sz w:val="18"/>
                <w:szCs w:val="18"/>
                <w:lang w:val="en-US"/>
              </w:rPr>
              <w:t>.</w:t>
            </w:r>
          </w:p>
          <w:p w14:paraId="52F0762E" w14:textId="0CD3341D" w:rsidR="00703F01" w:rsidRPr="00036F88" w:rsidRDefault="00703F01" w:rsidP="005331A6">
            <w:pPr>
              <w:pStyle w:val="NoSpacing"/>
              <w:jc w:val="both"/>
              <w:rPr>
                <w:rFonts w:ascii="Times New Roman" w:eastAsia="Calibri" w:hAnsi="Times New Roman" w:cs="Times New Roman"/>
                <w:sz w:val="18"/>
                <w:szCs w:val="18"/>
                <w:lang w:val="en-US"/>
              </w:rPr>
            </w:pPr>
          </w:p>
        </w:tc>
        <w:tc>
          <w:tcPr>
            <w:tcW w:w="720" w:type="dxa"/>
            <w:gridSpan w:val="2"/>
            <w:tcBorders>
              <w:bottom w:val="dashed" w:sz="4" w:space="0" w:color="auto"/>
            </w:tcBorders>
          </w:tcPr>
          <w:p w14:paraId="6DF29534" w14:textId="1D82E752" w:rsidR="003C045B" w:rsidRPr="00036F88" w:rsidRDefault="00190825"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lastRenderedPageBreak/>
              <w:t>F</w:t>
            </w:r>
          </w:p>
        </w:tc>
        <w:tc>
          <w:tcPr>
            <w:tcW w:w="3240" w:type="dxa"/>
            <w:gridSpan w:val="2"/>
            <w:tcBorders>
              <w:bottom w:val="dashed" w:sz="4" w:space="0" w:color="auto"/>
            </w:tcBorders>
          </w:tcPr>
          <w:p w14:paraId="3D4B4908" w14:textId="77777777" w:rsidR="00A02DFB" w:rsidRPr="00A02DFB" w:rsidRDefault="00A02DFB" w:rsidP="00A02DFB">
            <w:pPr>
              <w:pBdr>
                <w:top w:val="nil"/>
                <w:left w:val="nil"/>
                <w:bottom w:val="nil"/>
                <w:right w:val="nil"/>
                <w:between w:val="nil"/>
              </w:pBdr>
              <w:spacing w:before="120"/>
              <w:ind w:left="360"/>
              <w:jc w:val="both"/>
              <w:rPr>
                <w:rFonts w:ascii="Times New Roman" w:eastAsia="Calibri" w:hAnsi="Times New Roman" w:cs="Times New Roman"/>
                <w:sz w:val="18"/>
                <w:szCs w:val="18"/>
                <w:lang w:val="en-US"/>
              </w:rPr>
            </w:pPr>
          </w:p>
          <w:p w14:paraId="0E52EB92" w14:textId="1582425F" w:rsidR="003C045B" w:rsidRPr="00036F88" w:rsidRDefault="006E4603" w:rsidP="006E4603">
            <w:pPr>
              <w:pBdr>
                <w:top w:val="nil"/>
                <w:left w:val="nil"/>
                <w:bottom w:val="nil"/>
                <w:right w:val="nil"/>
                <w:between w:val="nil"/>
              </w:pBdr>
              <w:spacing w:before="120"/>
              <w:ind w:left="360"/>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 xml:space="preserve">Article 1(8) of Directive (EU) 2021/514, which introduces Article </w:t>
            </w:r>
            <w:r>
              <w:rPr>
                <w:rFonts w:ascii="Times New Roman" w:eastAsia="Calibri" w:hAnsi="Times New Roman" w:cs="Times New Roman"/>
                <w:sz w:val="18"/>
                <w:szCs w:val="18"/>
                <w:lang w:val="en-US"/>
              </w:rPr>
              <w:lastRenderedPageBreak/>
              <w:t>8ac and Annex V into Directive 2011/16/EU, is implemented through the draft law as a whole. Articles 2–17 collectively establish the due diligence obligations, reporting requirements, registration procedures, enforcement measures, and sanctions required under Annex V.</w:t>
            </w:r>
          </w:p>
        </w:tc>
      </w:tr>
      <w:tr w:rsidR="003C045B" w:rsidRPr="00036F88" w14:paraId="7CCF4510" w14:textId="77777777" w:rsidTr="00D50C43">
        <w:trPr>
          <w:gridAfter w:val="1"/>
          <w:wAfter w:w="353" w:type="dxa"/>
          <w:trHeight w:val="269"/>
        </w:trPr>
        <w:tc>
          <w:tcPr>
            <w:tcW w:w="630" w:type="dxa"/>
          </w:tcPr>
          <w:p w14:paraId="6738BE7B" w14:textId="7C2C631E" w:rsidR="003C045B" w:rsidRPr="00036F88" w:rsidRDefault="003C045B" w:rsidP="003C045B">
            <w:pPr>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59C8C178" w14:textId="77777777" w:rsidR="00FE6EDB" w:rsidRPr="00FE6EDB" w:rsidRDefault="00FE6EDB" w:rsidP="00FE6EDB">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1(9) (Directive 2021/514/EU)</w:t>
            </w:r>
          </w:p>
          <w:p w14:paraId="05B2F968" w14:textId="77777777" w:rsidR="00FE6EDB" w:rsidRPr="00FE6EDB" w:rsidRDefault="00FE6EDB" w:rsidP="00FE6EDB">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8b, paragraph 1 (Directive 2011/16/EU)</w:t>
            </w:r>
          </w:p>
          <w:p w14:paraId="06F066A7" w14:textId="4677C77A" w:rsidR="003C045B" w:rsidRPr="00036F88" w:rsidRDefault="003C045B" w:rsidP="003C045B">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39CED585" w14:textId="7F7BABB9" w:rsidR="003C045B" w:rsidRPr="00036F88" w:rsidRDefault="003C045B" w:rsidP="003C045B">
            <w:pPr>
              <w:jc w:val="center"/>
              <w:rPr>
                <w:rFonts w:ascii="Times New Roman" w:eastAsia="Calibri" w:hAnsi="Times New Roman" w:cs="Times New Roman"/>
                <w:sz w:val="18"/>
                <w:szCs w:val="18"/>
              </w:rPr>
            </w:pPr>
          </w:p>
        </w:tc>
        <w:tc>
          <w:tcPr>
            <w:tcW w:w="720" w:type="dxa"/>
            <w:shd w:val="clear" w:color="auto" w:fill="D0CECE" w:themeFill="background2" w:themeFillShade="E6"/>
          </w:tcPr>
          <w:p w14:paraId="1B0652E2" w14:textId="4486B933" w:rsidR="003C045B" w:rsidRPr="00036F88" w:rsidRDefault="003C045B" w:rsidP="003C045B">
            <w:pPr>
              <w:jc w:val="center"/>
              <w:rPr>
                <w:rFonts w:ascii="Times New Roman" w:eastAsia="Calibri" w:hAnsi="Times New Roman" w:cs="Times New Roman"/>
                <w:sz w:val="18"/>
                <w:szCs w:val="18"/>
                <w:lang w:val="en-US"/>
              </w:rPr>
            </w:pPr>
          </w:p>
        </w:tc>
        <w:tc>
          <w:tcPr>
            <w:tcW w:w="5040" w:type="dxa"/>
            <w:gridSpan w:val="2"/>
            <w:tcBorders>
              <w:bottom w:val="dashed" w:sz="4" w:space="0" w:color="auto"/>
            </w:tcBorders>
            <w:shd w:val="clear" w:color="auto" w:fill="D0CECE" w:themeFill="background2" w:themeFillShade="E6"/>
          </w:tcPr>
          <w:p w14:paraId="5CA65582" w14:textId="0176C596" w:rsidR="003C045B" w:rsidRPr="00036F88" w:rsidRDefault="003C045B" w:rsidP="00FE6EDB">
            <w:pPr>
              <w:jc w:val="center"/>
              <w:rPr>
                <w:rFonts w:ascii="Times New Roman" w:eastAsia="Calibri" w:hAnsi="Times New Roman" w:cs="Times New Roman"/>
                <w:sz w:val="18"/>
                <w:szCs w:val="18"/>
                <w:lang w:val="en-US"/>
              </w:rPr>
            </w:pPr>
          </w:p>
        </w:tc>
        <w:tc>
          <w:tcPr>
            <w:tcW w:w="720" w:type="dxa"/>
            <w:gridSpan w:val="2"/>
            <w:tcBorders>
              <w:bottom w:val="dashed" w:sz="4" w:space="0" w:color="auto"/>
            </w:tcBorders>
            <w:shd w:val="clear" w:color="auto" w:fill="D0CECE" w:themeFill="background2" w:themeFillShade="E6"/>
          </w:tcPr>
          <w:p w14:paraId="742B38E9" w14:textId="251DC0B6" w:rsidR="003C045B" w:rsidRPr="00036F88" w:rsidRDefault="003C045B" w:rsidP="003C045B">
            <w:pPr>
              <w:jc w:val="center"/>
              <w:rPr>
                <w:rFonts w:ascii="Times New Roman" w:eastAsia="Calibri" w:hAnsi="Times New Roman" w:cs="Times New Roman"/>
                <w:sz w:val="18"/>
                <w:szCs w:val="18"/>
                <w:lang w:val="en-US"/>
              </w:rPr>
            </w:pPr>
          </w:p>
        </w:tc>
        <w:tc>
          <w:tcPr>
            <w:tcW w:w="3240" w:type="dxa"/>
            <w:gridSpan w:val="2"/>
            <w:tcBorders>
              <w:bottom w:val="dashed" w:sz="4" w:space="0" w:color="auto"/>
            </w:tcBorders>
            <w:shd w:val="clear" w:color="auto" w:fill="D0CECE" w:themeFill="background2" w:themeFillShade="E6"/>
          </w:tcPr>
          <w:p w14:paraId="393336EF" w14:textId="77777777" w:rsidR="003C045B" w:rsidRPr="00036F88" w:rsidRDefault="003C045B" w:rsidP="003C045B">
            <w:pPr>
              <w:rPr>
                <w:rFonts w:ascii="Times New Roman" w:eastAsia="Calibri" w:hAnsi="Times New Roman" w:cs="Times New Roman"/>
                <w:sz w:val="18"/>
                <w:szCs w:val="18"/>
                <w:lang w:val="en-US"/>
              </w:rPr>
            </w:pPr>
          </w:p>
        </w:tc>
      </w:tr>
      <w:tr w:rsidR="003C045B" w:rsidRPr="00036F88" w14:paraId="12DBA1A2" w14:textId="77777777" w:rsidTr="00D50C43">
        <w:trPr>
          <w:gridAfter w:val="1"/>
          <w:wAfter w:w="353" w:type="dxa"/>
        </w:trPr>
        <w:tc>
          <w:tcPr>
            <w:tcW w:w="630" w:type="dxa"/>
          </w:tcPr>
          <w:p w14:paraId="369979A3" w14:textId="79F430B9" w:rsidR="003C045B" w:rsidRPr="00036F88" w:rsidRDefault="003C045B" w:rsidP="003C045B">
            <w:pPr>
              <w:jc w:val="both"/>
              <w:rPr>
                <w:rFonts w:ascii="Times New Roman" w:eastAsia="Calibri" w:hAnsi="Times New Roman" w:cs="Times New Roman"/>
                <w:sz w:val="18"/>
                <w:szCs w:val="18"/>
                <w:lang w:val="en-US"/>
              </w:rPr>
            </w:pPr>
          </w:p>
        </w:tc>
        <w:tc>
          <w:tcPr>
            <w:tcW w:w="5400" w:type="dxa"/>
          </w:tcPr>
          <w:p w14:paraId="4A87F8E8" w14:textId="77777777" w:rsidR="00FE6EDB" w:rsidRPr="00FE6EDB" w:rsidRDefault="00FE6EDB" w:rsidP="00FE6EDB">
            <w:pPr>
              <w:jc w:val="both"/>
              <w:rPr>
                <w:rFonts w:ascii="Times New Roman" w:eastAsia="Calibri" w:hAnsi="Times New Roman" w:cs="Times New Roman"/>
                <w:iCs/>
                <w:sz w:val="18"/>
                <w:szCs w:val="18"/>
                <w:lang w:val="en-US"/>
              </w:rPr>
            </w:pPr>
          </w:p>
          <w:p w14:paraId="38DC41C0" w14:textId="5D64B5D2" w:rsidR="003C045B" w:rsidRPr="00FE6EDB" w:rsidRDefault="00FE6EDB" w:rsidP="00FE6EDB">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'1. Member States shall provide the Commission each year with statistics on the volume of automatic exchanges under Articles 8(1), 8(3a), 8aa and 8ac and information on the relevant administrative and other costs and benefits related to the exchanges that have taken place and any possible changes, both for tax administrations and for third parties.'</w:t>
            </w:r>
          </w:p>
        </w:tc>
        <w:tc>
          <w:tcPr>
            <w:tcW w:w="540" w:type="dxa"/>
          </w:tcPr>
          <w:p w14:paraId="565A294E" w14:textId="77777777" w:rsidR="003C045B" w:rsidRPr="00036F88" w:rsidRDefault="003C045B" w:rsidP="003C045B">
            <w:pPr>
              <w:jc w:val="center"/>
              <w:rPr>
                <w:rFonts w:ascii="Times New Roman" w:eastAsia="Calibri" w:hAnsi="Times New Roman" w:cs="Times New Roman"/>
                <w:sz w:val="18"/>
                <w:szCs w:val="18"/>
              </w:rPr>
            </w:pPr>
          </w:p>
        </w:tc>
        <w:tc>
          <w:tcPr>
            <w:tcW w:w="720" w:type="dxa"/>
          </w:tcPr>
          <w:p w14:paraId="1D58BF6A" w14:textId="77777777" w:rsidR="00D2162C" w:rsidRDefault="00D2162C" w:rsidP="003C045B">
            <w:pPr>
              <w:jc w:val="center"/>
              <w:rPr>
                <w:rFonts w:ascii="Times New Roman" w:eastAsia="Calibri" w:hAnsi="Times New Roman" w:cs="Times New Roman"/>
                <w:sz w:val="18"/>
                <w:szCs w:val="18"/>
                <w:lang w:val="en-US"/>
              </w:rPr>
            </w:pPr>
          </w:p>
          <w:p w14:paraId="646F798E" w14:textId="48BD32F5" w:rsidR="003C045B" w:rsidRPr="00036F88" w:rsidRDefault="00D2162C"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5040" w:type="dxa"/>
            <w:gridSpan w:val="2"/>
          </w:tcPr>
          <w:p w14:paraId="7DADCA8E" w14:textId="77777777" w:rsidR="00FE6EDB" w:rsidRDefault="00FE6EDB" w:rsidP="00FE6EDB">
            <w:pPr>
              <w:spacing w:before="100" w:beforeAutospacing="1" w:after="100" w:afterAutospacing="1"/>
              <w:jc w:val="center"/>
              <w:rPr>
                <w:rFonts w:ascii="Times New Roman" w:eastAsia="Calibri" w:hAnsi="Times New Roman" w:cs="Times New Roman"/>
                <w:sz w:val="18"/>
                <w:szCs w:val="18"/>
                <w:lang w:val="en-US"/>
              </w:rPr>
            </w:pPr>
          </w:p>
          <w:p w14:paraId="2397275C" w14:textId="2837BF2C" w:rsidR="003C045B" w:rsidRPr="00036F88" w:rsidRDefault="00FE6EDB" w:rsidP="00FE6EDB">
            <w:pPr>
              <w:spacing w:before="100" w:beforeAutospacing="1" w:after="100" w:afterAutospacing="1"/>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720" w:type="dxa"/>
            <w:gridSpan w:val="2"/>
          </w:tcPr>
          <w:p w14:paraId="485FF3CC" w14:textId="77777777" w:rsidR="00D2162C" w:rsidRDefault="00D2162C" w:rsidP="003C045B">
            <w:pPr>
              <w:jc w:val="center"/>
              <w:rPr>
                <w:rFonts w:ascii="Times New Roman" w:eastAsia="Calibri" w:hAnsi="Times New Roman" w:cs="Times New Roman"/>
                <w:sz w:val="18"/>
                <w:szCs w:val="18"/>
                <w:lang w:val="en-US"/>
              </w:rPr>
            </w:pPr>
          </w:p>
          <w:p w14:paraId="78CDC80A" w14:textId="41F103C4" w:rsidR="003C045B" w:rsidRPr="00036F88" w:rsidRDefault="00D2162C"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240" w:type="dxa"/>
            <w:gridSpan w:val="2"/>
          </w:tcPr>
          <w:p w14:paraId="5D6C08E4" w14:textId="68268135" w:rsidR="00FE6EDB" w:rsidRPr="00FE6EDB" w:rsidRDefault="00FE6EDB" w:rsidP="00FE6EDB">
            <w:pPr>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Does not require transposition</w:t>
            </w:r>
          </w:p>
          <w:p w14:paraId="09801CC0" w14:textId="64191FA4" w:rsidR="003C045B" w:rsidRPr="00036F88" w:rsidRDefault="00FE6EDB" w:rsidP="003C045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The draft law regulates only the automatic exchange of information for reporting platform operators under Article 8ac / Annex V.</w:t>
            </w:r>
          </w:p>
        </w:tc>
      </w:tr>
      <w:tr w:rsidR="003C045B" w:rsidRPr="00036F88" w14:paraId="0355879C" w14:textId="77777777" w:rsidTr="00D50C43">
        <w:trPr>
          <w:gridAfter w:val="1"/>
          <w:wAfter w:w="353" w:type="dxa"/>
        </w:trPr>
        <w:tc>
          <w:tcPr>
            <w:tcW w:w="630" w:type="dxa"/>
            <w:shd w:val="clear" w:color="auto" w:fill="D0CECE" w:themeFill="background2" w:themeFillShade="E6"/>
          </w:tcPr>
          <w:p w14:paraId="0ED479F4" w14:textId="77777777" w:rsidR="003C045B" w:rsidRPr="00990A3C" w:rsidRDefault="003C045B" w:rsidP="003C045B">
            <w:pPr>
              <w:jc w:val="center"/>
              <w:rPr>
                <w:rFonts w:ascii="Times New Roman" w:eastAsia="Calibri" w:hAnsi="Times New Roman" w:cs="Times New Roman"/>
                <w:i/>
                <w:iCs/>
                <w:sz w:val="18"/>
                <w:szCs w:val="18"/>
                <w:lang w:val="en-US"/>
              </w:rPr>
            </w:pPr>
          </w:p>
        </w:tc>
        <w:tc>
          <w:tcPr>
            <w:tcW w:w="5400" w:type="dxa"/>
            <w:shd w:val="clear" w:color="auto" w:fill="D0CECE" w:themeFill="background2" w:themeFillShade="E6"/>
          </w:tcPr>
          <w:p w14:paraId="048B4E5D" w14:textId="77777777" w:rsidR="00A40F57" w:rsidRPr="00A40F57" w:rsidRDefault="00A40F57" w:rsidP="00A40F57">
            <w:pPr>
              <w:pStyle w:val="Heading1"/>
              <w:rPr>
                <w:rFonts w:ascii="Times New Roman" w:eastAsia="Calibri" w:hAnsi="Times New Roman" w:cs="Times New Roman"/>
                <w:iCs/>
                <w:color w:val="auto"/>
                <w:sz w:val="18"/>
                <w:szCs w:val="18"/>
                <w:lang w:val="en-US"/>
              </w:rPr>
            </w:pPr>
            <w:r>
              <w:rPr>
                <w:rFonts w:ascii="Times New Roman" w:eastAsia="Calibri" w:hAnsi="Times New Roman" w:cs="Times New Roman"/>
                <w:iCs/>
                <w:color w:val="000000"/>
                <w:sz w:val="18"/>
                <w:szCs w:val="18"/>
                <w:lang w:val="en-US"/>
              </w:rPr>
              <w:t>Article 1(10) (Directive 2021/514/EU)</w:t>
            </w:r>
          </w:p>
          <w:p w14:paraId="08573EAA" w14:textId="6F49EC39" w:rsidR="003C045B" w:rsidRPr="00990A3C" w:rsidRDefault="00A40F57" w:rsidP="00A40F57">
            <w:pPr>
              <w:pStyle w:val="Heading1"/>
              <w:rPr>
                <w:rFonts w:ascii="Times New Roman" w:eastAsia="Calibri" w:hAnsi="Times New Roman" w:cs="Times New Roman"/>
                <w:i/>
                <w:iCs/>
                <w:color w:val="auto"/>
                <w:sz w:val="18"/>
                <w:szCs w:val="18"/>
                <w:lang w:val="en-US"/>
              </w:rPr>
            </w:pPr>
            <w:r>
              <w:rPr>
                <w:rFonts w:ascii="Times New Roman" w:eastAsia="Calibri" w:hAnsi="Times New Roman" w:cs="Times New Roman"/>
                <w:iCs/>
                <w:color w:val="000000"/>
                <w:sz w:val="18"/>
                <w:szCs w:val="18"/>
                <w:lang w:val="en-US"/>
              </w:rPr>
              <w:t>Article 11, paragraph 1 (Directive 2011/16/EU)</w:t>
            </w:r>
          </w:p>
        </w:tc>
        <w:tc>
          <w:tcPr>
            <w:tcW w:w="540" w:type="dxa"/>
            <w:shd w:val="clear" w:color="auto" w:fill="D0CECE" w:themeFill="background2" w:themeFillShade="E6"/>
          </w:tcPr>
          <w:p w14:paraId="0C241C0A" w14:textId="77777777" w:rsidR="003C045B" w:rsidRPr="00990A3C" w:rsidRDefault="003C045B" w:rsidP="003C045B">
            <w:pPr>
              <w:jc w:val="center"/>
              <w:rPr>
                <w:rFonts w:ascii="Times New Roman" w:eastAsia="Calibri" w:hAnsi="Times New Roman" w:cs="Times New Roman"/>
                <w:i/>
                <w:iCs/>
                <w:sz w:val="18"/>
                <w:szCs w:val="18"/>
              </w:rPr>
            </w:pPr>
          </w:p>
        </w:tc>
        <w:tc>
          <w:tcPr>
            <w:tcW w:w="720" w:type="dxa"/>
            <w:shd w:val="clear" w:color="auto" w:fill="D0CECE" w:themeFill="background2" w:themeFillShade="E6"/>
          </w:tcPr>
          <w:p w14:paraId="5B382756" w14:textId="5BEF7338" w:rsidR="003C045B" w:rsidRPr="00990A3C" w:rsidRDefault="003C045B" w:rsidP="003C045B">
            <w:pPr>
              <w:jc w:val="center"/>
              <w:rPr>
                <w:rFonts w:ascii="Times New Roman" w:eastAsia="Calibri" w:hAnsi="Times New Roman" w:cs="Times New Roman"/>
                <w:i/>
                <w:iCs/>
                <w:sz w:val="18"/>
                <w:szCs w:val="18"/>
                <w:lang w:val="en-US"/>
              </w:rPr>
            </w:pPr>
          </w:p>
        </w:tc>
        <w:tc>
          <w:tcPr>
            <w:tcW w:w="5040" w:type="dxa"/>
            <w:gridSpan w:val="2"/>
            <w:shd w:val="clear" w:color="auto" w:fill="D0CECE" w:themeFill="background2" w:themeFillShade="E6"/>
          </w:tcPr>
          <w:p w14:paraId="1449F832" w14:textId="77777777" w:rsidR="003C045B" w:rsidRPr="00990A3C" w:rsidRDefault="003C045B" w:rsidP="00A40F57">
            <w:pPr>
              <w:jc w:val="center"/>
              <w:rPr>
                <w:rFonts w:ascii="Times New Roman" w:eastAsia="Calibri" w:hAnsi="Times New Roman" w:cs="Times New Roman"/>
                <w:i/>
                <w:iCs/>
                <w:sz w:val="18"/>
                <w:szCs w:val="18"/>
              </w:rPr>
            </w:pPr>
          </w:p>
        </w:tc>
        <w:tc>
          <w:tcPr>
            <w:tcW w:w="720" w:type="dxa"/>
            <w:gridSpan w:val="2"/>
            <w:shd w:val="clear" w:color="auto" w:fill="D0CECE" w:themeFill="background2" w:themeFillShade="E6"/>
          </w:tcPr>
          <w:p w14:paraId="74C3437E" w14:textId="77777777" w:rsidR="003C045B" w:rsidRPr="00990A3C" w:rsidRDefault="003C045B" w:rsidP="003C045B">
            <w:pPr>
              <w:jc w:val="center"/>
              <w:rPr>
                <w:rFonts w:ascii="Times New Roman" w:eastAsia="Calibri" w:hAnsi="Times New Roman" w:cs="Times New Roman"/>
                <w:i/>
                <w:iCs/>
                <w:sz w:val="18"/>
                <w:szCs w:val="18"/>
                <w:lang w:val="en-US"/>
              </w:rPr>
            </w:pPr>
          </w:p>
        </w:tc>
        <w:tc>
          <w:tcPr>
            <w:tcW w:w="3240" w:type="dxa"/>
            <w:gridSpan w:val="2"/>
            <w:shd w:val="clear" w:color="auto" w:fill="D0CECE" w:themeFill="background2" w:themeFillShade="E6"/>
          </w:tcPr>
          <w:p w14:paraId="020134DC" w14:textId="77777777" w:rsidR="003C045B" w:rsidRPr="00990A3C" w:rsidRDefault="003C045B" w:rsidP="003C045B">
            <w:pPr>
              <w:rPr>
                <w:rFonts w:ascii="Times New Roman" w:eastAsia="Calibri" w:hAnsi="Times New Roman" w:cs="Times New Roman"/>
                <w:i/>
                <w:iCs/>
                <w:sz w:val="18"/>
                <w:szCs w:val="18"/>
                <w:lang w:val="en-US"/>
              </w:rPr>
            </w:pPr>
          </w:p>
        </w:tc>
      </w:tr>
      <w:tr w:rsidR="003C045B" w:rsidRPr="00036F88" w14:paraId="07041DF6" w14:textId="77777777" w:rsidTr="00D50C43">
        <w:trPr>
          <w:gridAfter w:val="1"/>
          <w:wAfter w:w="353" w:type="dxa"/>
        </w:trPr>
        <w:tc>
          <w:tcPr>
            <w:tcW w:w="630" w:type="dxa"/>
            <w:shd w:val="clear" w:color="auto" w:fill="F2F2F2"/>
          </w:tcPr>
          <w:p w14:paraId="03401B2F" w14:textId="77777777" w:rsidR="003C045B" w:rsidRPr="00036F88" w:rsidRDefault="003C045B" w:rsidP="003C045B">
            <w:pPr>
              <w:jc w:val="center"/>
              <w:rPr>
                <w:rFonts w:ascii="Times New Roman" w:eastAsia="Calibri" w:hAnsi="Times New Roman" w:cs="Times New Roman"/>
                <w:i/>
                <w:sz w:val="18"/>
                <w:szCs w:val="18"/>
                <w:lang w:val="en-US"/>
              </w:rPr>
            </w:pPr>
          </w:p>
        </w:tc>
        <w:tc>
          <w:tcPr>
            <w:tcW w:w="5400" w:type="dxa"/>
            <w:shd w:val="clear" w:color="auto" w:fill="F2F2F2"/>
          </w:tcPr>
          <w:p w14:paraId="7429B579" w14:textId="6CAFE8A4" w:rsidR="00A40F57" w:rsidRPr="00A40F57" w:rsidRDefault="00A40F57" w:rsidP="00A40F57">
            <w:pPr>
              <w:pStyle w:val="oj-normal"/>
              <w:shd w:val="clear" w:color="auto" w:fill="FFFFFF"/>
              <w:spacing w:before="120" w:after="0"/>
              <w:jc w:val="both"/>
              <w:rPr>
                <w:rFonts w:eastAsia="Calibri"/>
                <w:iCs/>
                <w:sz w:val="18"/>
                <w:szCs w:val="18"/>
                <w:lang w:val="en-US"/>
              </w:rPr>
            </w:pPr>
          </w:p>
          <w:p w14:paraId="7F23E627" w14:textId="77777777" w:rsidR="00A40F57" w:rsidRPr="00A40F57" w:rsidRDefault="00A40F57" w:rsidP="00A40F57">
            <w:pPr>
              <w:pStyle w:val="oj-normal"/>
              <w:shd w:val="clear" w:color="auto" w:fill="FFFFFF"/>
              <w:spacing w:before="120" w:after="0"/>
              <w:jc w:val="both"/>
              <w:rPr>
                <w:rFonts w:eastAsia="Calibri"/>
                <w:iCs/>
                <w:sz w:val="18"/>
                <w:szCs w:val="18"/>
                <w:lang w:val="en-US"/>
              </w:rPr>
            </w:pPr>
          </w:p>
          <w:p w14:paraId="4D5F8454" w14:textId="1F416878" w:rsidR="003C045B" w:rsidRPr="00036F88" w:rsidRDefault="00A40F57" w:rsidP="00A40F57">
            <w:pPr>
              <w:pStyle w:val="oj-normal"/>
              <w:shd w:val="clear" w:color="auto" w:fill="FFFFFF"/>
              <w:spacing w:before="120" w:beforeAutospacing="0" w:after="0" w:afterAutospacing="0"/>
              <w:jc w:val="both"/>
              <w:rPr>
                <w:rFonts w:eastAsia="Calibri"/>
                <w:iCs/>
                <w:sz w:val="18"/>
                <w:szCs w:val="18"/>
                <w:lang w:val="en-US"/>
              </w:rPr>
            </w:pPr>
            <w:r>
              <w:rPr>
                <w:rFonts w:eastAsia="Calibri"/>
                <w:iCs/>
                <w:sz w:val="18"/>
                <w:szCs w:val="18"/>
                <w:lang w:val="en-US"/>
              </w:rPr>
              <w:t xml:space="preserve">'1. For the purpose of exchanging the information referred to in Article 1(1), the competent authority of a Member State may request the competent authority of another Member State that officials authorised by the former and in accordance with the procedural arrangements laid down by the latter: (a) be present in the offices where the administrative authorities of the requested Member State carry out their duties; (b) be present during administrative investigations carried out in the territory of the requested Member State; (c) participate in the administrative investigations carried out by the requested Member State through the use </w:t>
            </w:r>
            <w:r>
              <w:rPr>
                <w:rFonts w:eastAsia="Calibri"/>
                <w:iCs/>
                <w:sz w:val="18"/>
                <w:szCs w:val="18"/>
                <w:lang w:val="en-US"/>
              </w:rPr>
              <w:lastRenderedPageBreak/>
              <w:t>of electronic means of communication, where appropriate. The requested authority shall reply to a request in accordance with the first subparagraph within 60 days of receipt of the request, to confirm its agreement or to communicate its reasoned refusal to the requesting authority. Where the information requested is contained in documentation to which the officials of the requested authority have access, the officials of the requesting authority shall be given copies thereof.'</w:t>
            </w:r>
          </w:p>
        </w:tc>
        <w:tc>
          <w:tcPr>
            <w:tcW w:w="540" w:type="dxa"/>
          </w:tcPr>
          <w:p w14:paraId="20E57A6E" w14:textId="77777777" w:rsidR="003C045B" w:rsidRPr="00036F88" w:rsidRDefault="003C045B" w:rsidP="003C045B">
            <w:pPr>
              <w:jc w:val="center"/>
              <w:rPr>
                <w:rFonts w:ascii="Times New Roman" w:eastAsia="Calibri" w:hAnsi="Times New Roman" w:cs="Times New Roman"/>
                <w:i/>
                <w:sz w:val="18"/>
                <w:szCs w:val="18"/>
              </w:rPr>
            </w:pPr>
          </w:p>
        </w:tc>
        <w:tc>
          <w:tcPr>
            <w:tcW w:w="720" w:type="dxa"/>
            <w:shd w:val="clear" w:color="auto" w:fill="F2F2F2"/>
          </w:tcPr>
          <w:p w14:paraId="17DE0C2D" w14:textId="77777777" w:rsidR="00D2162C" w:rsidRDefault="00D2162C" w:rsidP="003C045B">
            <w:pPr>
              <w:jc w:val="center"/>
              <w:rPr>
                <w:rFonts w:ascii="Times New Roman" w:eastAsia="Calibri" w:hAnsi="Times New Roman" w:cs="Times New Roman"/>
                <w:sz w:val="18"/>
                <w:szCs w:val="18"/>
                <w:lang w:val="en-US"/>
              </w:rPr>
            </w:pPr>
          </w:p>
          <w:p w14:paraId="74330973" w14:textId="77777777" w:rsidR="00D2162C" w:rsidRDefault="00D2162C" w:rsidP="003C045B">
            <w:pPr>
              <w:jc w:val="center"/>
              <w:rPr>
                <w:rFonts w:ascii="Times New Roman" w:eastAsia="Calibri" w:hAnsi="Times New Roman" w:cs="Times New Roman"/>
                <w:sz w:val="18"/>
                <w:szCs w:val="18"/>
                <w:lang w:val="en-US"/>
              </w:rPr>
            </w:pPr>
          </w:p>
          <w:p w14:paraId="7BD59961" w14:textId="3C85CDC0" w:rsidR="003C045B" w:rsidRPr="006E4603" w:rsidRDefault="00D2162C"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5040" w:type="dxa"/>
            <w:gridSpan w:val="2"/>
            <w:shd w:val="clear" w:color="auto" w:fill="F2F2F2"/>
          </w:tcPr>
          <w:p w14:paraId="13F62F97" w14:textId="77777777" w:rsidR="003C045B" w:rsidRPr="00036F88" w:rsidRDefault="003C045B" w:rsidP="003C045B">
            <w:pPr>
              <w:jc w:val="center"/>
              <w:rPr>
                <w:rFonts w:ascii="Times New Roman" w:hAnsi="Times New Roman" w:cs="Times New Roman"/>
                <w:sz w:val="18"/>
                <w:szCs w:val="18"/>
              </w:rPr>
            </w:pPr>
          </w:p>
          <w:p w14:paraId="4C6A0FC1" w14:textId="47E5F76D" w:rsidR="003C045B" w:rsidRPr="00A40F57" w:rsidRDefault="00A40F57" w:rsidP="00C74C52">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720" w:type="dxa"/>
            <w:gridSpan w:val="2"/>
            <w:shd w:val="clear" w:color="auto" w:fill="F2F2F2"/>
          </w:tcPr>
          <w:p w14:paraId="1333C886" w14:textId="562A3AE9" w:rsidR="003C045B" w:rsidRDefault="003C045B" w:rsidP="003C045B">
            <w:pPr>
              <w:jc w:val="center"/>
              <w:rPr>
                <w:rFonts w:ascii="Times New Roman" w:eastAsia="Calibri" w:hAnsi="Times New Roman" w:cs="Times New Roman"/>
                <w:i/>
                <w:sz w:val="18"/>
                <w:szCs w:val="18"/>
                <w:lang w:val="en-US"/>
              </w:rPr>
            </w:pPr>
          </w:p>
          <w:p w14:paraId="58663270" w14:textId="77777777" w:rsidR="00D2162C" w:rsidRDefault="00D2162C" w:rsidP="003C045B">
            <w:pPr>
              <w:jc w:val="center"/>
              <w:rPr>
                <w:rFonts w:ascii="Times New Roman" w:eastAsia="Calibri" w:hAnsi="Times New Roman" w:cs="Times New Roman"/>
                <w:i/>
                <w:sz w:val="18"/>
                <w:szCs w:val="18"/>
                <w:lang w:val="en-US"/>
              </w:rPr>
            </w:pPr>
          </w:p>
          <w:p w14:paraId="1BEB4026" w14:textId="66D95853" w:rsidR="00D2162C" w:rsidRPr="006E4603" w:rsidRDefault="00D2162C"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240" w:type="dxa"/>
            <w:gridSpan w:val="2"/>
            <w:shd w:val="clear" w:color="auto" w:fill="F2F2F2"/>
          </w:tcPr>
          <w:p w14:paraId="62F2BCC3" w14:textId="77777777" w:rsidR="00A40F57" w:rsidRPr="00A40F57" w:rsidRDefault="00A40F57" w:rsidP="00A40F57">
            <w:pPr>
              <w:pStyle w:val="NormalWeb"/>
              <w:spacing w:line="240" w:lineRule="auto"/>
              <w:jc w:val="both"/>
              <w:rPr>
                <w:rFonts w:eastAsia="Calibri"/>
                <w:sz w:val="18"/>
                <w:szCs w:val="18"/>
              </w:rPr>
            </w:pPr>
          </w:p>
          <w:p w14:paraId="66795176" w14:textId="50955A16" w:rsidR="00A40F57" w:rsidRPr="00A40F57" w:rsidRDefault="00A40F57" w:rsidP="00A40F57">
            <w:pPr>
              <w:pStyle w:val="NormalWeb"/>
              <w:spacing w:line="240" w:lineRule="auto"/>
              <w:jc w:val="both"/>
              <w:rPr>
                <w:rFonts w:eastAsia="Calibri"/>
                <w:sz w:val="18"/>
                <w:szCs w:val="18"/>
              </w:rPr>
            </w:pPr>
            <w:r>
              <w:rPr>
                <w:rFonts w:eastAsia="Calibri"/>
                <w:sz w:val="18"/>
                <w:szCs w:val="18"/>
              </w:rPr>
              <w:t>Does not require transposition in this Law.</w:t>
            </w:r>
          </w:p>
          <w:p w14:paraId="291EDCF2" w14:textId="77777777" w:rsidR="00A40F57" w:rsidRPr="00A40F57" w:rsidRDefault="00A40F57" w:rsidP="00A40F57">
            <w:pPr>
              <w:pStyle w:val="NormalWeb"/>
              <w:spacing w:line="240" w:lineRule="auto"/>
              <w:jc w:val="both"/>
              <w:rPr>
                <w:rFonts w:eastAsia="Calibri"/>
                <w:sz w:val="18"/>
                <w:szCs w:val="18"/>
              </w:rPr>
            </w:pPr>
          </w:p>
          <w:p w14:paraId="556141D0" w14:textId="77777777" w:rsidR="003C045B" w:rsidRDefault="00A40F57" w:rsidP="00A40F57">
            <w:pPr>
              <w:pStyle w:val="NormalWeb"/>
              <w:spacing w:line="240" w:lineRule="auto"/>
              <w:jc w:val="both"/>
              <w:rPr>
                <w:rFonts w:eastAsia="Calibri"/>
                <w:sz w:val="18"/>
                <w:szCs w:val="18"/>
              </w:rPr>
            </w:pPr>
            <w:r>
              <w:rPr>
                <w:rFonts w:eastAsia="Calibri"/>
                <w:sz w:val="18"/>
                <w:szCs w:val="18"/>
              </w:rPr>
              <w:t>Procedural provision on administrative cooperation between competent authorities. Outside the scope of Annex V and covered by the General DAC. Transposition into the specific DAC 7 law is not required.</w:t>
            </w:r>
          </w:p>
          <w:p w14:paraId="0531086A" w14:textId="55D60488" w:rsidR="005E3878" w:rsidRDefault="006E4603" w:rsidP="00A40F57">
            <w:pPr>
              <w:pStyle w:val="NormalWeb"/>
              <w:spacing w:line="240" w:lineRule="auto"/>
              <w:jc w:val="both"/>
              <w:rPr>
                <w:rFonts w:eastAsia="Calibri"/>
                <w:sz w:val="18"/>
                <w:szCs w:val="18"/>
              </w:rPr>
            </w:pPr>
            <w:r>
              <w:rPr>
                <w:rFonts w:eastAsia="Calibri"/>
                <w:sz w:val="18"/>
                <w:szCs w:val="18"/>
              </w:rPr>
              <w:lastRenderedPageBreak/>
              <w:t>This requirement is transposed on the basis of Article 16 of the general draft law on DAC.</w:t>
            </w:r>
          </w:p>
          <w:p w14:paraId="3E77BDC2" w14:textId="1C22AC74" w:rsidR="005E3878" w:rsidRPr="005E3878" w:rsidRDefault="005E3878" w:rsidP="005E3878">
            <w:pPr>
              <w:pStyle w:val="NormalWeb"/>
              <w:spacing w:line="240" w:lineRule="auto"/>
              <w:jc w:val="both"/>
              <w:rPr>
                <w:rFonts w:eastAsia="Calibri"/>
                <w:sz w:val="18"/>
                <w:szCs w:val="18"/>
              </w:rPr>
            </w:pPr>
            <w:r>
              <w:rPr>
                <w:rFonts w:eastAsia="Calibri"/>
                <w:sz w:val="18"/>
                <w:szCs w:val="18"/>
              </w:rPr>
              <w:t xml:space="preserve">Article 16 of the law on the general DAC stipulates that: </w:t>
            </w:r>
          </w:p>
          <w:p w14:paraId="12B7819D" w14:textId="77777777" w:rsidR="005E3878" w:rsidRPr="005E3878" w:rsidRDefault="005E3878" w:rsidP="005E3878">
            <w:pPr>
              <w:pStyle w:val="NormalWeb"/>
              <w:spacing w:line="240" w:lineRule="auto"/>
              <w:jc w:val="both"/>
              <w:rPr>
                <w:rFonts w:eastAsia="Calibri"/>
                <w:sz w:val="18"/>
                <w:szCs w:val="18"/>
              </w:rPr>
            </w:pPr>
            <w:r>
              <w:rPr>
                <w:rFonts w:eastAsia="Calibri"/>
                <w:sz w:val="18"/>
                <w:szCs w:val="18"/>
              </w:rPr>
              <w:t>Presence in the administrative offices and participation in administrative investigations</w:t>
            </w:r>
          </w:p>
          <w:p w14:paraId="24F4181D" w14:textId="77777777" w:rsidR="005E3878" w:rsidRPr="005E3878" w:rsidRDefault="005E3878" w:rsidP="005E3878">
            <w:pPr>
              <w:pStyle w:val="NormalWeb"/>
              <w:spacing w:line="240" w:lineRule="auto"/>
              <w:jc w:val="both"/>
              <w:rPr>
                <w:rFonts w:eastAsia="Calibri"/>
                <w:sz w:val="18"/>
                <w:szCs w:val="18"/>
              </w:rPr>
            </w:pPr>
            <w:r>
              <w:rPr>
                <w:rFonts w:eastAsia="Calibri"/>
                <w:sz w:val="18"/>
                <w:szCs w:val="18"/>
              </w:rPr>
              <w:t>1.</w:t>
            </w:r>
            <w:r>
              <w:rPr>
                <w:rFonts w:eastAsia="Calibri"/>
                <w:sz w:val="18"/>
                <w:szCs w:val="18"/>
              </w:rPr>
              <w:tab/>
              <w:t>For the purposes of administrative cooperation under this law, and based on agreement with the Competent Authority and in accordance with its rules, the authorised officials of the requesting authority may request to be present in the offices of the tax administration in the Republic of Albania or to participate in administrative investigations carried out in Albania, including through electronic means of communication, where appropriate.</w:t>
            </w:r>
          </w:p>
          <w:p w14:paraId="434DCD3A" w14:textId="04D9EA40" w:rsidR="005E3878" w:rsidRPr="005E3878" w:rsidRDefault="005E3878" w:rsidP="005E3878">
            <w:pPr>
              <w:pStyle w:val="NormalWeb"/>
              <w:spacing w:line="240" w:lineRule="auto"/>
              <w:jc w:val="both"/>
              <w:rPr>
                <w:rFonts w:eastAsia="Calibri"/>
                <w:sz w:val="18"/>
                <w:szCs w:val="18"/>
              </w:rPr>
            </w:pPr>
            <w:r>
              <w:rPr>
                <w:rFonts w:eastAsia="Calibri"/>
                <w:sz w:val="18"/>
                <w:szCs w:val="18"/>
              </w:rPr>
              <w:t>2.</w:t>
            </w:r>
            <w:r>
              <w:rPr>
                <w:rFonts w:eastAsia="Calibri"/>
                <w:sz w:val="18"/>
                <w:szCs w:val="18"/>
              </w:rPr>
              <w:tab/>
              <w:t xml:space="preserve">The General Directorate of </w:t>
            </w:r>
            <w:r w:rsidR="00467DB2">
              <w:rPr>
                <w:rFonts w:eastAsia="Calibri"/>
                <w:sz w:val="18"/>
                <w:szCs w:val="18"/>
              </w:rPr>
              <w:t>Taxation</w:t>
            </w:r>
            <w:r>
              <w:rPr>
                <w:rFonts w:eastAsia="Calibri"/>
                <w:sz w:val="18"/>
                <w:szCs w:val="18"/>
              </w:rPr>
              <w:t xml:space="preserve"> responds to the request pursuant to point 1 of this article within 60 days from its receipt, confirming acceptance or communicating the reasoned refusal.</w:t>
            </w:r>
          </w:p>
          <w:p w14:paraId="1AC708DB" w14:textId="77777777" w:rsidR="005E3878" w:rsidRPr="005E3878" w:rsidRDefault="005E3878" w:rsidP="005E3878">
            <w:pPr>
              <w:pStyle w:val="NormalWeb"/>
              <w:spacing w:line="240" w:lineRule="auto"/>
              <w:jc w:val="both"/>
              <w:rPr>
                <w:rFonts w:eastAsia="Calibri"/>
                <w:sz w:val="18"/>
                <w:szCs w:val="18"/>
              </w:rPr>
            </w:pPr>
            <w:r>
              <w:rPr>
                <w:rFonts w:eastAsia="Calibri"/>
                <w:sz w:val="18"/>
                <w:szCs w:val="18"/>
              </w:rPr>
              <w:t>3.</w:t>
            </w:r>
            <w:r>
              <w:rPr>
                <w:rFonts w:eastAsia="Calibri"/>
                <w:sz w:val="18"/>
                <w:szCs w:val="18"/>
              </w:rPr>
              <w:tab/>
              <w:t xml:space="preserve">When the requested information is found in documents accessible by the Competent Authority, copies of these documents shall be made available to the authorised officials of the requesting authority. In accordance with Albanian legislation, these officials may interview </w:t>
            </w:r>
            <w:r>
              <w:rPr>
                <w:rFonts w:eastAsia="Calibri"/>
                <w:sz w:val="18"/>
                <w:szCs w:val="18"/>
              </w:rPr>
              <w:lastRenderedPageBreak/>
              <w:t>individuals and examine data in certain registers.</w:t>
            </w:r>
          </w:p>
          <w:p w14:paraId="60AB8AC7" w14:textId="77777777" w:rsidR="005E3878" w:rsidRPr="005E3878" w:rsidRDefault="005E3878" w:rsidP="005E3878">
            <w:pPr>
              <w:pStyle w:val="NormalWeb"/>
              <w:spacing w:line="240" w:lineRule="auto"/>
              <w:jc w:val="both"/>
              <w:rPr>
                <w:rFonts w:eastAsia="Calibri"/>
                <w:sz w:val="18"/>
                <w:szCs w:val="18"/>
              </w:rPr>
            </w:pPr>
            <w:r>
              <w:rPr>
                <w:rFonts w:eastAsia="Calibri"/>
                <w:sz w:val="18"/>
                <w:szCs w:val="18"/>
              </w:rPr>
              <w:t>4.</w:t>
            </w:r>
            <w:r>
              <w:rPr>
                <w:rFonts w:eastAsia="Calibri"/>
                <w:sz w:val="18"/>
                <w:szCs w:val="18"/>
              </w:rPr>
              <w:tab/>
              <w:t>Non-compliance by the person under investigation with the measures taken in the presence of the officials of the requesting authority shall be treated in the same manner as non-compliance towards the officials of the Competent Authority.</w:t>
            </w:r>
          </w:p>
          <w:p w14:paraId="2B08ADE6" w14:textId="2FF7F09A" w:rsidR="005E3878" w:rsidRPr="00A40F57" w:rsidRDefault="005E3878" w:rsidP="005E3878">
            <w:pPr>
              <w:pStyle w:val="NormalWeb"/>
              <w:spacing w:line="240" w:lineRule="auto"/>
              <w:jc w:val="both"/>
              <w:rPr>
                <w:rFonts w:eastAsia="Calibri"/>
                <w:sz w:val="18"/>
                <w:szCs w:val="18"/>
              </w:rPr>
            </w:pPr>
            <w:r>
              <w:rPr>
                <w:rFonts w:eastAsia="Calibri"/>
                <w:sz w:val="18"/>
                <w:szCs w:val="18"/>
              </w:rPr>
              <w:t>5.</w:t>
            </w:r>
            <w:r>
              <w:rPr>
                <w:rFonts w:eastAsia="Calibri"/>
                <w:sz w:val="18"/>
                <w:szCs w:val="18"/>
              </w:rPr>
              <w:tab/>
              <w:t>The authorised officials of the requesting authority who are present in the territory of the Republic of Albania must at all times be able to present an authorisation with writing certifying their identity and their official capacity.</w:t>
            </w:r>
          </w:p>
        </w:tc>
      </w:tr>
      <w:tr w:rsidR="003C045B" w:rsidRPr="00036F88" w14:paraId="01DB1503" w14:textId="77777777" w:rsidTr="00D50C43">
        <w:trPr>
          <w:gridAfter w:val="1"/>
          <w:wAfter w:w="353" w:type="dxa"/>
        </w:trPr>
        <w:tc>
          <w:tcPr>
            <w:tcW w:w="630" w:type="dxa"/>
          </w:tcPr>
          <w:p w14:paraId="43FE0BD5" w14:textId="1FA8AC90" w:rsidR="003C045B" w:rsidRPr="00036F88" w:rsidRDefault="003C045B" w:rsidP="003C045B">
            <w:pPr>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6F9A891A" w14:textId="77777777" w:rsidR="00A40F57" w:rsidRPr="00A40F57" w:rsidRDefault="00A40F57" w:rsidP="00A40F57">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1(10) (Directive 2021/514/EU)</w:t>
            </w:r>
          </w:p>
          <w:p w14:paraId="168AAA5A" w14:textId="77777777" w:rsidR="00A40F57" w:rsidRPr="00A40F57" w:rsidRDefault="00A40F57" w:rsidP="00A40F57">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11, paragraph 2, first subparagraph (Directive 2011/16/EU)</w:t>
            </w:r>
          </w:p>
          <w:p w14:paraId="0418BD54" w14:textId="3482F974" w:rsidR="003C045B" w:rsidRPr="00036F88" w:rsidRDefault="003C045B" w:rsidP="003C045B">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12D30A9E" w14:textId="6584D8ED" w:rsidR="003C045B" w:rsidRPr="00036F88" w:rsidRDefault="003C045B" w:rsidP="003C045B">
            <w:pPr>
              <w:jc w:val="center"/>
              <w:rPr>
                <w:rFonts w:ascii="Times New Roman" w:eastAsia="Calibri" w:hAnsi="Times New Roman" w:cs="Times New Roman"/>
                <w:sz w:val="18"/>
                <w:szCs w:val="18"/>
              </w:rPr>
            </w:pPr>
          </w:p>
        </w:tc>
        <w:tc>
          <w:tcPr>
            <w:tcW w:w="720" w:type="dxa"/>
            <w:shd w:val="clear" w:color="auto" w:fill="D0CECE" w:themeFill="background2" w:themeFillShade="E6"/>
          </w:tcPr>
          <w:p w14:paraId="589A5FA3" w14:textId="77777777" w:rsidR="003C045B" w:rsidRPr="00036F88" w:rsidRDefault="003C045B" w:rsidP="003C045B">
            <w:pPr>
              <w:jc w:val="center"/>
              <w:rPr>
                <w:rFonts w:ascii="Times New Roman" w:eastAsia="Calibri" w:hAnsi="Times New Roman" w:cs="Times New Roman"/>
                <w:sz w:val="18"/>
                <w:szCs w:val="18"/>
                <w:lang w:val="en-US"/>
              </w:rPr>
            </w:pPr>
          </w:p>
        </w:tc>
        <w:tc>
          <w:tcPr>
            <w:tcW w:w="5040" w:type="dxa"/>
            <w:gridSpan w:val="2"/>
            <w:shd w:val="clear" w:color="auto" w:fill="D0CECE" w:themeFill="background2" w:themeFillShade="E6"/>
          </w:tcPr>
          <w:p w14:paraId="1C82C4D0" w14:textId="45593865" w:rsidR="003C045B" w:rsidRPr="00036F88" w:rsidRDefault="003C045B" w:rsidP="003C045B">
            <w:pPr>
              <w:jc w:val="center"/>
              <w:rPr>
                <w:rFonts w:ascii="Times New Roman" w:hAnsi="Times New Roman" w:cs="Times New Roman"/>
                <w:sz w:val="18"/>
                <w:szCs w:val="18"/>
              </w:rPr>
            </w:pPr>
          </w:p>
          <w:p w14:paraId="5759BAC5" w14:textId="44E6CE4A" w:rsidR="003C045B" w:rsidRPr="00036F88" w:rsidRDefault="003C045B" w:rsidP="003C045B">
            <w:pPr>
              <w:jc w:val="both"/>
              <w:rPr>
                <w:rFonts w:ascii="Times New Roman" w:eastAsia="Calibri" w:hAnsi="Times New Roman" w:cs="Times New Roman"/>
                <w:sz w:val="18"/>
                <w:szCs w:val="18"/>
                <w:lang w:val="en-US"/>
              </w:rPr>
            </w:pPr>
          </w:p>
        </w:tc>
        <w:tc>
          <w:tcPr>
            <w:tcW w:w="720" w:type="dxa"/>
            <w:gridSpan w:val="2"/>
            <w:shd w:val="clear" w:color="auto" w:fill="D0CECE" w:themeFill="background2" w:themeFillShade="E6"/>
          </w:tcPr>
          <w:p w14:paraId="285F00D8" w14:textId="315C81A8" w:rsidR="003C045B" w:rsidRPr="00036F88" w:rsidRDefault="003C045B" w:rsidP="003C045B">
            <w:pPr>
              <w:jc w:val="center"/>
              <w:rPr>
                <w:rFonts w:ascii="Times New Roman" w:eastAsia="Calibri" w:hAnsi="Times New Roman" w:cs="Times New Roman"/>
                <w:sz w:val="18"/>
                <w:szCs w:val="18"/>
                <w:lang w:val="en-US"/>
              </w:rPr>
            </w:pPr>
          </w:p>
        </w:tc>
        <w:tc>
          <w:tcPr>
            <w:tcW w:w="3240" w:type="dxa"/>
            <w:gridSpan w:val="2"/>
            <w:shd w:val="clear" w:color="auto" w:fill="D0CECE" w:themeFill="background2" w:themeFillShade="E6"/>
          </w:tcPr>
          <w:p w14:paraId="5FB019CF" w14:textId="77777777" w:rsidR="003C045B" w:rsidRPr="00036F88" w:rsidRDefault="003C045B" w:rsidP="003C045B">
            <w:pPr>
              <w:rPr>
                <w:rFonts w:ascii="Times New Roman" w:eastAsia="Calibri" w:hAnsi="Times New Roman" w:cs="Times New Roman"/>
                <w:sz w:val="18"/>
                <w:szCs w:val="18"/>
                <w:lang w:val="en-US"/>
              </w:rPr>
            </w:pPr>
          </w:p>
        </w:tc>
      </w:tr>
      <w:tr w:rsidR="003C045B" w:rsidRPr="00036F88" w14:paraId="0A280824" w14:textId="77777777" w:rsidTr="00D50C43">
        <w:trPr>
          <w:gridAfter w:val="1"/>
          <w:wAfter w:w="353" w:type="dxa"/>
        </w:trPr>
        <w:tc>
          <w:tcPr>
            <w:tcW w:w="630" w:type="dxa"/>
          </w:tcPr>
          <w:p w14:paraId="4CC1BC67" w14:textId="654A2C67" w:rsidR="003C045B" w:rsidRPr="00036F88" w:rsidRDefault="003C045B" w:rsidP="003C045B">
            <w:pPr>
              <w:jc w:val="both"/>
              <w:rPr>
                <w:rFonts w:ascii="Times New Roman" w:eastAsia="Calibri" w:hAnsi="Times New Roman" w:cs="Times New Roman"/>
                <w:sz w:val="18"/>
                <w:szCs w:val="18"/>
                <w:lang w:val="en-US"/>
              </w:rPr>
            </w:pPr>
          </w:p>
        </w:tc>
        <w:tc>
          <w:tcPr>
            <w:tcW w:w="5400" w:type="dxa"/>
          </w:tcPr>
          <w:p w14:paraId="7B474F75" w14:textId="77777777" w:rsidR="00A40F57" w:rsidRPr="00A40F57" w:rsidRDefault="00A40F57" w:rsidP="00A40F57">
            <w:pPr>
              <w:jc w:val="both"/>
              <w:rPr>
                <w:rFonts w:ascii="Times New Roman" w:eastAsia="Calibri" w:hAnsi="Times New Roman" w:cs="Times New Roman"/>
                <w:iCs/>
                <w:sz w:val="18"/>
                <w:szCs w:val="18"/>
                <w:lang w:val="en-US"/>
              </w:rPr>
            </w:pPr>
          </w:p>
          <w:p w14:paraId="3F658A9F" w14:textId="79C04452" w:rsidR="003C045B" w:rsidRPr="00036F88" w:rsidRDefault="00A40F57" w:rsidP="00A40F57">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"When the officials of the requesting authority are present during the administrative investigations or participate in the administrative investigations through the use of electronic means of communication, they may interview individuals and examine the data in accordance with the procedural arrangements established by the requested Member State."</w:t>
            </w:r>
          </w:p>
        </w:tc>
        <w:tc>
          <w:tcPr>
            <w:tcW w:w="540" w:type="dxa"/>
          </w:tcPr>
          <w:p w14:paraId="68B1A8F1" w14:textId="6488B5E5" w:rsidR="003C045B" w:rsidRPr="00036F88" w:rsidRDefault="003C045B" w:rsidP="003C045B">
            <w:pPr>
              <w:jc w:val="center"/>
              <w:rPr>
                <w:rFonts w:ascii="Times New Roman" w:eastAsia="Calibri" w:hAnsi="Times New Roman" w:cs="Times New Roman"/>
                <w:sz w:val="18"/>
                <w:szCs w:val="18"/>
              </w:rPr>
            </w:pPr>
          </w:p>
        </w:tc>
        <w:tc>
          <w:tcPr>
            <w:tcW w:w="720" w:type="dxa"/>
          </w:tcPr>
          <w:p w14:paraId="129A8AC4" w14:textId="22137A88" w:rsidR="003C045B" w:rsidRPr="00036F88" w:rsidRDefault="00D2162C"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5040" w:type="dxa"/>
            <w:gridSpan w:val="2"/>
          </w:tcPr>
          <w:p w14:paraId="4A28735B" w14:textId="77777777" w:rsidR="003C045B" w:rsidRPr="00036F88" w:rsidRDefault="003C045B" w:rsidP="003C045B">
            <w:pPr>
              <w:jc w:val="center"/>
              <w:rPr>
                <w:rFonts w:ascii="Times New Roman" w:hAnsi="Times New Roman" w:cs="Times New Roman"/>
                <w:sz w:val="18"/>
                <w:szCs w:val="18"/>
              </w:rPr>
            </w:pPr>
          </w:p>
          <w:p w14:paraId="5AA6CCE5" w14:textId="6C1B69EB" w:rsidR="003C045B" w:rsidRPr="00A40F57" w:rsidRDefault="00A40F57" w:rsidP="00A40F57">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720" w:type="dxa"/>
            <w:gridSpan w:val="2"/>
          </w:tcPr>
          <w:p w14:paraId="4C0F418F" w14:textId="2D22EC24" w:rsidR="003C045B" w:rsidRPr="00036F88" w:rsidRDefault="00D2162C"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240" w:type="dxa"/>
            <w:gridSpan w:val="2"/>
          </w:tcPr>
          <w:p w14:paraId="7699D7EC" w14:textId="77777777" w:rsidR="00CE6B7A" w:rsidRPr="00CE6B7A" w:rsidRDefault="00CE6B7A" w:rsidP="00CE6B7A">
            <w:pPr>
              <w:rPr>
                <w:rFonts w:ascii="Times New Roman" w:eastAsia="Calibri" w:hAnsi="Times New Roman" w:cs="Times New Roman"/>
                <w:sz w:val="18"/>
                <w:szCs w:val="18"/>
                <w:lang w:val="en-US"/>
              </w:rPr>
            </w:pPr>
          </w:p>
          <w:p w14:paraId="06FD823B" w14:textId="77777777" w:rsidR="00CE6B7A" w:rsidRPr="00CE6B7A" w:rsidRDefault="00CE6B7A" w:rsidP="00CE6B7A">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Procedural provisions on administrative cooperation between competent authorities</w:t>
            </w:r>
          </w:p>
          <w:p w14:paraId="4679D0E6" w14:textId="47FA2DBE" w:rsidR="00CE6B7A" w:rsidRPr="00CE6B7A" w:rsidRDefault="00CE6B7A" w:rsidP="00CE6B7A">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authorities. Outside the scope of Annex V and covered by the General DAC.</w:t>
            </w:r>
          </w:p>
          <w:p w14:paraId="155ADC57" w14:textId="315F8451" w:rsidR="00A40F57" w:rsidRDefault="00CE6B7A" w:rsidP="00CE6B7A">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No transposition is required in the specific law of DAC 7.</w:t>
            </w:r>
          </w:p>
          <w:p w14:paraId="3863E713" w14:textId="25BFEE23" w:rsidR="00A86815" w:rsidRDefault="00A86815" w:rsidP="00CE6B7A">
            <w:pPr>
              <w:rPr>
                <w:rFonts w:ascii="Times New Roman" w:eastAsia="Calibri" w:hAnsi="Times New Roman" w:cs="Times New Roman"/>
                <w:sz w:val="18"/>
                <w:szCs w:val="18"/>
                <w:lang w:val="en-US"/>
              </w:rPr>
            </w:pPr>
          </w:p>
          <w:p w14:paraId="0902AEB2" w14:textId="77777777" w:rsidR="003C045B" w:rsidRDefault="004D4126" w:rsidP="004D4126">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This is transposed in Article 16 of the law on the general DAC:</w:t>
            </w:r>
          </w:p>
          <w:p w14:paraId="3155E78F" w14:textId="77777777" w:rsidR="004D4126" w:rsidRDefault="004D4126" w:rsidP="004D4126">
            <w:pPr>
              <w:rPr>
                <w:rFonts w:ascii="Times New Roman" w:eastAsia="Calibri" w:hAnsi="Times New Roman" w:cs="Times New Roman"/>
                <w:sz w:val="18"/>
                <w:szCs w:val="18"/>
                <w:lang w:val="en-US"/>
              </w:rPr>
            </w:pPr>
          </w:p>
          <w:p w14:paraId="0052F906" w14:textId="034A9F08" w:rsidR="004D4126" w:rsidRPr="00036F88" w:rsidRDefault="004D4126" w:rsidP="004D4126">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3.</w:t>
            </w:r>
            <w:r>
              <w:rPr>
                <w:rFonts w:ascii="Times New Roman" w:eastAsia="Calibri" w:hAnsi="Times New Roman" w:cs="Times New Roman"/>
                <w:sz w:val="18"/>
                <w:szCs w:val="18"/>
                <w:lang w:val="en-US"/>
              </w:rPr>
              <w:tab/>
              <w:t xml:space="preserve">When the requested information is found in documents accessible by the Competent Authority, copies of these documents shall be made available to the authorised officials of the requesting authority. In accordance with Albanian legislation, these officials may </w:t>
            </w:r>
            <w:r>
              <w:rPr>
                <w:rFonts w:ascii="Times New Roman" w:eastAsia="Calibri" w:hAnsi="Times New Roman" w:cs="Times New Roman"/>
                <w:sz w:val="18"/>
                <w:szCs w:val="18"/>
                <w:lang w:val="en-US"/>
              </w:rPr>
              <w:lastRenderedPageBreak/>
              <w:t>interview individuals and examine data in certain registers.</w:t>
            </w:r>
          </w:p>
        </w:tc>
      </w:tr>
      <w:tr w:rsidR="003C045B" w:rsidRPr="00036F88" w14:paraId="42D63892" w14:textId="77777777" w:rsidTr="00D50C43">
        <w:trPr>
          <w:gridAfter w:val="1"/>
          <w:wAfter w:w="353" w:type="dxa"/>
          <w:trHeight w:val="1008"/>
        </w:trPr>
        <w:tc>
          <w:tcPr>
            <w:tcW w:w="630" w:type="dxa"/>
          </w:tcPr>
          <w:p w14:paraId="3CCCFFF5" w14:textId="3D21E7E1" w:rsidR="003C045B" w:rsidRPr="00036F88" w:rsidRDefault="003C045B" w:rsidP="003C045B">
            <w:pPr>
              <w:jc w:val="both"/>
              <w:rPr>
                <w:rFonts w:ascii="Times New Roman" w:eastAsia="Calibri" w:hAnsi="Times New Roman" w:cs="Times New Roman"/>
                <w:sz w:val="18"/>
                <w:szCs w:val="18"/>
                <w:lang w:val="en-US"/>
              </w:rPr>
            </w:pPr>
            <w:bookmarkStart w:id="2" w:name="_Hlk227911050"/>
          </w:p>
        </w:tc>
        <w:tc>
          <w:tcPr>
            <w:tcW w:w="5400" w:type="dxa"/>
            <w:shd w:val="clear" w:color="auto" w:fill="D0CECE" w:themeFill="background2" w:themeFillShade="E6"/>
          </w:tcPr>
          <w:p w14:paraId="3FA686A5" w14:textId="77777777" w:rsidR="00CE6B7A" w:rsidRPr="00CE6B7A" w:rsidRDefault="00CE6B7A" w:rsidP="00CE6B7A">
            <w:pPr>
              <w:spacing w:line="276" w:lineRule="auto"/>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1(11) (Directive 2021/514/EU)</w:t>
            </w:r>
          </w:p>
          <w:p w14:paraId="1F8428AC" w14:textId="7288515D" w:rsidR="003C045B" w:rsidRPr="00036F88" w:rsidRDefault="00CE6B7A" w:rsidP="00CE6B7A">
            <w:pPr>
              <w:spacing w:line="276" w:lineRule="auto"/>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12, paragraph 3 (Directive 2011/16/EU)</w:t>
            </w:r>
          </w:p>
        </w:tc>
        <w:tc>
          <w:tcPr>
            <w:tcW w:w="540" w:type="dxa"/>
            <w:shd w:val="clear" w:color="auto" w:fill="D0CECE" w:themeFill="background2" w:themeFillShade="E6"/>
          </w:tcPr>
          <w:p w14:paraId="7A167751" w14:textId="4D6AA9CF" w:rsidR="003C045B" w:rsidRPr="00036F88" w:rsidRDefault="003C045B" w:rsidP="003C045B">
            <w:pPr>
              <w:rPr>
                <w:rFonts w:ascii="Times New Roman" w:eastAsia="Calibri" w:hAnsi="Times New Roman" w:cs="Times New Roman"/>
                <w:sz w:val="18"/>
                <w:szCs w:val="18"/>
              </w:rPr>
            </w:pPr>
          </w:p>
        </w:tc>
        <w:tc>
          <w:tcPr>
            <w:tcW w:w="720" w:type="dxa"/>
            <w:shd w:val="clear" w:color="auto" w:fill="D0CECE" w:themeFill="background2" w:themeFillShade="E6"/>
          </w:tcPr>
          <w:p w14:paraId="584A3692" w14:textId="0563BE3A" w:rsidR="003C045B" w:rsidRPr="00036F88" w:rsidRDefault="003C045B" w:rsidP="003C045B">
            <w:pPr>
              <w:rPr>
                <w:rFonts w:ascii="Times New Roman" w:eastAsia="Calibri" w:hAnsi="Times New Roman" w:cs="Times New Roman"/>
                <w:sz w:val="18"/>
                <w:szCs w:val="18"/>
                <w:lang w:val="en-US"/>
              </w:rPr>
            </w:pPr>
          </w:p>
        </w:tc>
        <w:tc>
          <w:tcPr>
            <w:tcW w:w="5040" w:type="dxa"/>
            <w:gridSpan w:val="2"/>
            <w:shd w:val="clear" w:color="auto" w:fill="D0CECE" w:themeFill="background2" w:themeFillShade="E6"/>
          </w:tcPr>
          <w:p w14:paraId="321C5EE0" w14:textId="55324A93" w:rsidR="003C045B" w:rsidRPr="00036F88" w:rsidRDefault="003C045B" w:rsidP="003C045B">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tc>
        <w:tc>
          <w:tcPr>
            <w:tcW w:w="720" w:type="dxa"/>
            <w:gridSpan w:val="2"/>
            <w:shd w:val="clear" w:color="auto" w:fill="D0CECE" w:themeFill="background2" w:themeFillShade="E6"/>
          </w:tcPr>
          <w:p w14:paraId="05707711" w14:textId="4644B721" w:rsidR="003C045B" w:rsidRPr="00036F88" w:rsidRDefault="003C045B" w:rsidP="003C045B">
            <w:pPr>
              <w:jc w:val="center"/>
              <w:rPr>
                <w:rFonts w:ascii="Times New Roman" w:eastAsia="Calibri" w:hAnsi="Times New Roman" w:cs="Times New Roman"/>
                <w:sz w:val="18"/>
                <w:szCs w:val="18"/>
                <w:lang w:val="en-US"/>
              </w:rPr>
            </w:pPr>
          </w:p>
        </w:tc>
        <w:tc>
          <w:tcPr>
            <w:tcW w:w="3240" w:type="dxa"/>
            <w:gridSpan w:val="2"/>
            <w:shd w:val="clear" w:color="auto" w:fill="D0CECE" w:themeFill="background2" w:themeFillShade="E6"/>
          </w:tcPr>
          <w:p w14:paraId="1F1D51C2" w14:textId="572A6EB9" w:rsidR="003C045B" w:rsidRPr="00036F88" w:rsidRDefault="003C045B" w:rsidP="003C045B">
            <w:pPr>
              <w:rPr>
                <w:rFonts w:ascii="Times New Roman" w:eastAsia="Calibri" w:hAnsi="Times New Roman" w:cs="Times New Roman"/>
                <w:sz w:val="18"/>
                <w:szCs w:val="18"/>
                <w:lang w:val="en-US"/>
              </w:rPr>
            </w:pPr>
          </w:p>
        </w:tc>
      </w:tr>
      <w:bookmarkEnd w:id="2"/>
      <w:tr w:rsidR="003C045B" w:rsidRPr="00036F88" w14:paraId="1E7B05E8" w14:textId="77777777" w:rsidTr="00D50C43">
        <w:trPr>
          <w:gridAfter w:val="1"/>
          <w:wAfter w:w="353" w:type="dxa"/>
        </w:trPr>
        <w:tc>
          <w:tcPr>
            <w:tcW w:w="630" w:type="dxa"/>
          </w:tcPr>
          <w:p w14:paraId="2F45229D" w14:textId="00C2B9F7" w:rsidR="003C045B" w:rsidRPr="00036F88" w:rsidRDefault="003C045B" w:rsidP="003C045B">
            <w:pPr>
              <w:jc w:val="both"/>
              <w:rPr>
                <w:rFonts w:ascii="Times New Roman" w:eastAsia="Calibri" w:hAnsi="Times New Roman" w:cs="Times New Roman"/>
                <w:sz w:val="18"/>
                <w:szCs w:val="18"/>
                <w:lang w:val="en-US"/>
              </w:rPr>
            </w:pPr>
          </w:p>
        </w:tc>
        <w:tc>
          <w:tcPr>
            <w:tcW w:w="5400" w:type="dxa"/>
          </w:tcPr>
          <w:p w14:paraId="35674A15" w14:textId="77777777" w:rsidR="003C045B" w:rsidRPr="003C045B" w:rsidRDefault="003C045B" w:rsidP="003C045B">
            <w:pPr>
              <w:jc w:val="both"/>
              <w:rPr>
                <w:rFonts w:ascii="Times New Roman" w:eastAsia="Calibri" w:hAnsi="Times New Roman" w:cs="Times New Roman"/>
                <w:iCs/>
                <w:sz w:val="18"/>
                <w:szCs w:val="18"/>
                <w:lang w:val="en-US"/>
              </w:rPr>
            </w:pPr>
          </w:p>
          <w:p w14:paraId="3369DF66" w14:textId="77777777" w:rsidR="00CE6B7A" w:rsidRPr="00CE6B7A" w:rsidRDefault="00CE6B7A" w:rsidP="00CE6B7A">
            <w:pPr>
              <w:rPr>
                <w:rFonts w:ascii="Times New Roman" w:eastAsia="Calibri" w:hAnsi="Times New Roman" w:cs="Times New Roman"/>
                <w:iCs/>
                <w:sz w:val="18"/>
                <w:szCs w:val="18"/>
                <w:lang w:val="en-US"/>
              </w:rPr>
            </w:pPr>
          </w:p>
          <w:p w14:paraId="62A25992" w14:textId="7FAC1C39" w:rsidR="003C045B" w:rsidRPr="003C045B" w:rsidRDefault="00CE6B7A" w:rsidP="00CE6B7A">
            <w:pPr>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'3. The competent authority of each interested Member State decides whether it wishes to participate in simultaneous controls. It confirms its consent or communicates its reasoned refusal to the authority that proposed a simultaneous control within 60 days of receipt of the proposal.'</w:t>
            </w:r>
          </w:p>
        </w:tc>
        <w:tc>
          <w:tcPr>
            <w:tcW w:w="540" w:type="dxa"/>
          </w:tcPr>
          <w:p w14:paraId="696A29FD" w14:textId="61FB2EF3" w:rsidR="003C045B" w:rsidRPr="00036F88" w:rsidRDefault="003C045B" w:rsidP="003C045B">
            <w:pPr>
              <w:jc w:val="center"/>
              <w:rPr>
                <w:rFonts w:ascii="Times New Roman" w:eastAsia="Calibri" w:hAnsi="Times New Roman" w:cs="Times New Roman"/>
                <w:sz w:val="18"/>
                <w:szCs w:val="18"/>
              </w:rPr>
            </w:pPr>
          </w:p>
        </w:tc>
        <w:tc>
          <w:tcPr>
            <w:tcW w:w="720" w:type="dxa"/>
          </w:tcPr>
          <w:p w14:paraId="6FC3B718" w14:textId="77777777" w:rsidR="00D2162C" w:rsidRDefault="00D2162C" w:rsidP="003C045B">
            <w:pPr>
              <w:jc w:val="center"/>
              <w:rPr>
                <w:rFonts w:ascii="Times New Roman" w:eastAsia="Calibri" w:hAnsi="Times New Roman" w:cs="Times New Roman"/>
                <w:sz w:val="18"/>
                <w:szCs w:val="18"/>
                <w:lang w:val="en-US"/>
              </w:rPr>
            </w:pPr>
          </w:p>
          <w:p w14:paraId="2D314635" w14:textId="77777777" w:rsidR="00D2162C" w:rsidRDefault="00D2162C" w:rsidP="003C045B">
            <w:pPr>
              <w:jc w:val="center"/>
              <w:rPr>
                <w:rFonts w:ascii="Times New Roman" w:eastAsia="Calibri" w:hAnsi="Times New Roman" w:cs="Times New Roman"/>
                <w:sz w:val="18"/>
                <w:szCs w:val="18"/>
                <w:lang w:val="en-US"/>
              </w:rPr>
            </w:pPr>
          </w:p>
          <w:p w14:paraId="56E1EAE1" w14:textId="42540ADB" w:rsidR="003C045B" w:rsidRPr="003C045B" w:rsidRDefault="00D2162C" w:rsidP="003C045B">
            <w:pPr>
              <w:jc w:val="center"/>
              <w:rPr>
                <w:rFonts w:ascii="Times New Roman" w:eastAsia="Calibri" w:hAnsi="Times New Roman" w:cs="Times New Roman"/>
                <w:sz w:val="18"/>
                <w:szCs w:val="18"/>
                <w:highlight w:val="yellow"/>
                <w:lang w:val="en-US"/>
              </w:rPr>
            </w:pPr>
            <w:r>
              <w:rPr>
                <w:rFonts w:ascii="Times New Roman" w:eastAsia="Calibri" w:hAnsi="Times New Roman" w:cs="Times New Roman"/>
                <w:sz w:val="18"/>
                <w:szCs w:val="18"/>
              </w:rPr>
              <w:t>N/A</w:t>
            </w:r>
          </w:p>
        </w:tc>
        <w:tc>
          <w:tcPr>
            <w:tcW w:w="5040" w:type="dxa"/>
            <w:gridSpan w:val="2"/>
          </w:tcPr>
          <w:p w14:paraId="60414E92" w14:textId="77777777" w:rsidR="003C045B" w:rsidRPr="00036F88" w:rsidRDefault="003C045B" w:rsidP="003C045B">
            <w:pPr>
              <w:jc w:val="center"/>
              <w:rPr>
                <w:rFonts w:ascii="Times New Roman" w:hAnsi="Times New Roman" w:cs="Times New Roman"/>
                <w:sz w:val="18"/>
                <w:szCs w:val="18"/>
              </w:rPr>
            </w:pPr>
          </w:p>
          <w:p w14:paraId="1A60EA75" w14:textId="77777777" w:rsidR="00D2162C" w:rsidRDefault="00D2162C" w:rsidP="00CE6B7A">
            <w:pPr>
              <w:jc w:val="center"/>
              <w:rPr>
                <w:rFonts w:ascii="Times New Roman" w:hAnsi="Times New Roman" w:cs="Times New Roman"/>
                <w:sz w:val="18"/>
                <w:szCs w:val="18"/>
              </w:rPr>
            </w:pPr>
          </w:p>
          <w:p w14:paraId="3AEFC702" w14:textId="565F2024" w:rsidR="003C045B" w:rsidRPr="00036F88" w:rsidRDefault="00CE6B7A" w:rsidP="00CE6B7A">
            <w:pPr>
              <w:jc w:val="center"/>
              <w:rPr>
                <w:rFonts w:ascii="Times New Roman" w:hAnsi="Times New Roman" w:cs="Times New Roman"/>
                <w:sz w:val="18"/>
                <w:szCs w:val="18"/>
              </w:rPr>
            </w:pPr>
            <w:r>
              <w:rPr>
                <w:rFonts w:ascii="Times New Roman" w:hAnsi="Times New Roman" w:cs="Times New Roman"/>
                <w:sz w:val="18"/>
                <w:szCs w:val="18"/>
              </w:rPr>
              <w:t>N/A</w:t>
            </w:r>
          </w:p>
          <w:p w14:paraId="7AD350A7" w14:textId="77777777" w:rsidR="003C045B" w:rsidRPr="00036F88" w:rsidRDefault="003C045B" w:rsidP="003C045B">
            <w:pPr>
              <w:jc w:val="center"/>
              <w:rPr>
                <w:rFonts w:ascii="Times New Roman" w:eastAsia="Calibri" w:hAnsi="Times New Roman" w:cs="Times New Roman"/>
                <w:sz w:val="18"/>
                <w:szCs w:val="18"/>
                <w:lang w:val="en-US"/>
              </w:rPr>
            </w:pPr>
          </w:p>
        </w:tc>
        <w:tc>
          <w:tcPr>
            <w:tcW w:w="720" w:type="dxa"/>
            <w:gridSpan w:val="2"/>
          </w:tcPr>
          <w:p w14:paraId="6FD059B5" w14:textId="77777777" w:rsidR="00D2162C" w:rsidRDefault="00D2162C" w:rsidP="003C045B">
            <w:pPr>
              <w:jc w:val="center"/>
              <w:rPr>
                <w:rFonts w:ascii="Times New Roman" w:eastAsia="Calibri" w:hAnsi="Times New Roman" w:cs="Times New Roman"/>
                <w:sz w:val="18"/>
                <w:szCs w:val="18"/>
                <w:lang w:val="en-US"/>
              </w:rPr>
            </w:pPr>
          </w:p>
          <w:p w14:paraId="4F27C58C" w14:textId="77777777" w:rsidR="00D2162C" w:rsidRDefault="00D2162C" w:rsidP="003C045B">
            <w:pPr>
              <w:jc w:val="center"/>
              <w:rPr>
                <w:rFonts w:ascii="Times New Roman" w:eastAsia="Calibri" w:hAnsi="Times New Roman" w:cs="Times New Roman"/>
                <w:sz w:val="18"/>
                <w:szCs w:val="18"/>
                <w:lang w:val="en-US"/>
              </w:rPr>
            </w:pPr>
          </w:p>
          <w:p w14:paraId="17CA02B8" w14:textId="2FC9DF58" w:rsidR="003C045B" w:rsidRPr="00036F88" w:rsidRDefault="00D2162C"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240" w:type="dxa"/>
            <w:gridSpan w:val="2"/>
          </w:tcPr>
          <w:p w14:paraId="5189D3D5" w14:textId="77777777" w:rsidR="00A86815" w:rsidRDefault="00A86815" w:rsidP="00CE6B7A">
            <w:pPr>
              <w:rPr>
                <w:rFonts w:ascii="Times New Roman" w:eastAsia="Calibri" w:hAnsi="Times New Roman" w:cs="Times New Roman"/>
                <w:sz w:val="18"/>
                <w:szCs w:val="18"/>
                <w:lang w:val="en-US"/>
              </w:rPr>
            </w:pPr>
          </w:p>
          <w:p w14:paraId="3CBB8881" w14:textId="77777777" w:rsidR="004D4126" w:rsidRDefault="004D4126" w:rsidP="00CE6B7A">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 xml:space="preserve">This is transposed from Article 17 of the general law: </w:t>
            </w:r>
          </w:p>
          <w:p w14:paraId="5940B2D1" w14:textId="77777777" w:rsidR="004D4126" w:rsidRDefault="004D4126" w:rsidP="00CE6B7A">
            <w:pPr>
              <w:rPr>
                <w:rFonts w:ascii="Times New Roman" w:eastAsia="Calibri" w:hAnsi="Times New Roman" w:cs="Times New Roman"/>
                <w:sz w:val="18"/>
                <w:szCs w:val="18"/>
                <w:lang w:val="en-US"/>
              </w:rPr>
            </w:pPr>
          </w:p>
          <w:p w14:paraId="2CA73F50" w14:textId="77777777" w:rsidR="004D4126" w:rsidRPr="004D4126" w:rsidRDefault="004D4126" w:rsidP="004D4126">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 xml:space="preserve"> Article 17</w:t>
            </w:r>
          </w:p>
          <w:p w14:paraId="2734A453" w14:textId="77777777" w:rsidR="004D4126" w:rsidRPr="004D4126" w:rsidRDefault="004D4126" w:rsidP="004D4126">
            <w:pPr>
              <w:rPr>
                <w:rFonts w:ascii="Times New Roman" w:eastAsia="Calibri" w:hAnsi="Times New Roman" w:cs="Times New Roman"/>
                <w:sz w:val="18"/>
                <w:szCs w:val="18"/>
                <w:lang w:val="en-US"/>
              </w:rPr>
            </w:pPr>
          </w:p>
          <w:p w14:paraId="2990C9D6" w14:textId="77777777" w:rsidR="004D4126" w:rsidRPr="004D4126" w:rsidRDefault="004D4126" w:rsidP="004D4126">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Concurrent checks and joint audits</w:t>
            </w:r>
          </w:p>
          <w:p w14:paraId="329BEDBC" w14:textId="77777777" w:rsidR="004D4126" w:rsidRPr="004D4126" w:rsidRDefault="004D4126" w:rsidP="004D4126">
            <w:pPr>
              <w:rPr>
                <w:rFonts w:ascii="Times New Roman" w:eastAsia="Calibri" w:hAnsi="Times New Roman" w:cs="Times New Roman"/>
                <w:sz w:val="18"/>
                <w:szCs w:val="18"/>
                <w:lang w:val="en-US"/>
              </w:rPr>
            </w:pPr>
          </w:p>
          <w:p w14:paraId="22FC1AB8" w14:textId="77777777" w:rsidR="004D4126" w:rsidRPr="004D4126" w:rsidRDefault="004D4126" w:rsidP="004D4126">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1.</w:t>
            </w:r>
            <w:r>
              <w:rPr>
                <w:rFonts w:ascii="Times New Roman" w:eastAsia="Calibri" w:hAnsi="Times New Roman" w:cs="Times New Roman"/>
                <w:sz w:val="18"/>
                <w:szCs w:val="18"/>
                <w:lang w:val="en-US"/>
              </w:rPr>
              <w:tab/>
              <w:t>When Albania and the other Member States agree to carry out simultaneous controls in their territory for one or more persons of common interest, the following procedure shall apply:</w:t>
            </w:r>
          </w:p>
          <w:p w14:paraId="3C99BB04" w14:textId="77777777" w:rsidR="004D4126" w:rsidRPr="004D4126" w:rsidRDefault="004D4126" w:rsidP="004D4126">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a) The competent initiating authority identifies the persons for whom it proposes a simultaneous check;</w:t>
            </w:r>
          </w:p>
          <w:p w14:paraId="70A86ECD" w14:textId="77777777" w:rsidR="004D4126" w:rsidRPr="004D4126" w:rsidRDefault="004D4126" w:rsidP="004D4126">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b) Notifies the other Member States of the proposed action, the reasons and the time period of the control;</w:t>
            </w:r>
          </w:p>
          <w:p w14:paraId="08AFB353" w14:textId="77777777" w:rsidR="004D4126" w:rsidRPr="004D4126" w:rsidRDefault="004D4126" w:rsidP="004D4126">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c) Each authority confirms or rejects the proposal within 60 days from receiving it;</w:t>
            </w:r>
          </w:p>
          <w:p w14:paraId="547A3C29" w14:textId="577F2C93" w:rsidR="00A86815" w:rsidRDefault="004D4126" w:rsidP="004D4126">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d) Each authority appoints a representative for the supervision and coordination of the operation.</w:t>
            </w:r>
          </w:p>
          <w:p w14:paraId="18140AF7" w14:textId="77777777" w:rsidR="00A86815" w:rsidRDefault="00A86815" w:rsidP="00CE6B7A">
            <w:pPr>
              <w:rPr>
                <w:rFonts w:ascii="Times New Roman" w:eastAsia="Calibri" w:hAnsi="Times New Roman" w:cs="Times New Roman"/>
                <w:sz w:val="18"/>
                <w:szCs w:val="18"/>
                <w:lang w:val="en-US"/>
              </w:rPr>
            </w:pPr>
          </w:p>
          <w:p w14:paraId="62277331" w14:textId="44DDF0CC" w:rsidR="003C045B" w:rsidRPr="00036F88" w:rsidRDefault="003C045B" w:rsidP="00CE6B7A">
            <w:pPr>
              <w:rPr>
                <w:rFonts w:ascii="Times New Roman" w:eastAsia="Calibri" w:hAnsi="Times New Roman" w:cs="Times New Roman"/>
                <w:sz w:val="18"/>
                <w:szCs w:val="18"/>
                <w:lang w:val="en-US"/>
              </w:rPr>
            </w:pPr>
          </w:p>
        </w:tc>
      </w:tr>
      <w:tr w:rsidR="003C045B" w:rsidRPr="00036F88" w14:paraId="4DDC655C" w14:textId="77777777" w:rsidTr="00D50C43">
        <w:trPr>
          <w:gridAfter w:val="1"/>
          <w:wAfter w:w="353" w:type="dxa"/>
        </w:trPr>
        <w:tc>
          <w:tcPr>
            <w:tcW w:w="630" w:type="dxa"/>
          </w:tcPr>
          <w:p w14:paraId="709E465B" w14:textId="36F5F544" w:rsidR="003C045B" w:rsidRPr="00036F88" w:rsidRDefault="003C045B" w:rsidP="003C045B">
            <w:pPr>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69572B9B" w14:textId="77777777" w:rsidR="00CE6B7A" w:rsidRPr="001725D0" w:rsidRDefault="00CE6B7A" w:rsidP="00CE6B7A">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1(12) (Directive 2021/514/EU)</w:t>
            </w:r>
          </w:p>
          <w:p w14:paraId="5030CEDF" w14:textId="77777777" w:rsidR="00CE6B7A" w:rsidRPr="001725D0" w:rsidRDefault="00CE6B7A" w:rsidP="00CE6B7A">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SECTION IIa (Directive 2011/16/EU)</w:t>
            </w:r>
          </w:p>
          <w:p w14:paraId="02FE104A" w14:textId="3B9DFCBF" w:rsidR="003C045B" w:rsidRPr="00CE6B7A" w:rsidRDefault="003C045B" w:rsidP="003C045B">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43C9614A" w14:textId="12E6CEF3" w:rsidR="003C045B" w:rsidRPr="00990A3C" w:rsidRDefault="003C045B" w:rsidP="003C045B">
            <w:pPr>
              <w:jc w:val="center"/>
              <w:rPr>
                <w:rFonts w:ascii="Times New Roman" w:eastAsia="Calibri" w:hAnsi="Times New Roman" w:cs="Times New Roman"/>
                <w:i/>
                <w:iCs/>
                <w:sz w:val="18"/>
                <w:szCs w:val="18"/>
              </w:rPr>
            </w:pPr>
          </w:p>
        </w:tc>
        <w:tc>
          <w:tcPr>
            <w:tcW w:w="720" w:type="dxa"/>
            <w:shd w:val="clear" w:color="auto" w:fill="D0CECE" w:themeFill="background2" w:themeFillShade="E6"/>
          </w:tcPr>
          <w:p w14:paraId="05BDF9B8" w14:textId="7E6F679C" w:rsidR="003C045B" w:rsidRPr="006E4603" w:rsidRDefault="003C045B" w:rsidP="003C045B">
            <w:pPr>
              <w:rPr>
                <w:rFonts w:ascii="Times New Roman" w:eastAsia="Calibri" w:hAnsi="Times New Roman" w:cs="Times New Roman"/>
                <w:iCs/>
                <w:sz w:val="18"/>
                <w:szCs w:val="18"/>
                <w:highlight w:val="cyan"/>
                <w:lang w:val="en-US"/>
              </w:rPr>
            </w:pPr>
          </w:p>
        </w:tc>
        <w:tc>
          <w:tcPr>
            <w:tcW w:w="5040" w:type="dxa"/>
            <w:gridSpan w:val="2"/>
            <w:shd w:val="clear" w:color="auto" w:fill="D0CECE" w:themeFill="background2" w:themeFillShade="E6"/>
          </w:tcPr>
          <w:p w14:paraId="48D826B2" w14:textId="77777777" w:rsidR="003C045B" w:rsidRPr="00990A3C" w:rsidRDefault="003C045B" w:rsidP="003C045B">
            <w:pPr>
              <w:jc w:val="both"/>
              <w:rPr>
                <w:rFonts w:ascii="Times New Roman" w:hAnsi="Times New Roman" w:cs="Times New Roman"/>
                <w:i/>
                <w:iCs/>
                <w:sz w:val="18"/>
                <w:szCs w:val="18"/>
                <w:lang w:val="en-US"/>
              </w:rPr>
            </w:pPr>
          </w:p>
          <w:p w14:paraId="275147D8" w14:textId="2434B74C" w:rsidR="003C045B" w:rsidRPr="00990A3C" w:rsidRDefault="003C045B" w:rsidP="003C045B">
            <w:pPr>
              <w:jc w:val="center"/>
              <w:rPr>
                <w:rFonts w:ascii="Times New Roman" w:hAnsi="Times New Roman" w:cs="Times New Roman"/>
                <w:i/>
                <w:iCs/>
                <w:sz w:val="18"/>
                <w:szCs w:val="18"/>
              </w:rPr>
            </w:pPr>
          </w:p>
          <w:p w14:paraId="18A13A99" w14:textId="194EC885" w:rsidR="003C045B" w:rsidRPr="00990A3C" w:rsidRDefault="003C045B" w:rsidP="003C045B">
            <w:pPr>
              <w:jc w:val="both"/>
              <w:rPr>
                <w:rFonts w:ascii="Times New Roman" w:eastAsia="Calibri" w:hAnsi="Times New Roman" w:cs="Times New Roman"/>
                <w:i/>
                <w:iCs/>
                <w:sz w:val="18"/>
                <w:szCs w:val="18"/>
                <w:lang w:val="en-US"/>
              </w:rPr>
            </w:pPr>
          </w:p>
        </w:tc>
        <w:tc>
          <w:tcPr>
            <w:tcW w:w="720" w:type="dxa"/>
            <w:gridSpan w:val="2"/>
            <w:shd w:val="clear" w:color="auto" w:fill="D0CECE" w:themeFill="background2" w:themeFillShade="E6"/>
          </w:tcPr>
          <w:p w14:paraId="7C51AE8F" w14:textId="4141EDDB" w:rsidR="003C045B" w:rsidRPr="00990A3C" w:rsidRDefault="003C045B" w:rsidP="003C045B">
            <w:pPr>
              <w:jc w:val="center"/>
              <w:rPr>
                <w:rFonts w:ascii="Times New Roman" w:eastAsia="Calibri" w:hAnsi="Times New Roman" w:cs="Times New Roman"/>
                <w:i/>
                <w:iCs/>
                <w:sz w:val="18"/>
                <w:szCs w:val="18"/>
                <w:lang w:val="en-US"/>
              </w:rPr>
            </w:pPr>
          </w:p>
        </w:tc>
        <w:tc>
          <w:tcPr>
            <w:tcW w:w="3240" w:type="dxa"/>
            <w:gridSpan w:val="2"/>
            <w:shd w:val="clear" w:color="auto" w:fill="D0CECE" w:themeFill="background2" w:themeFillShade="E6"/>
          </w:tcPr>
          <w:p w14:paraId="64A29FE1" w14:textId="473745A6" w:rsidR="003C045B" w:rsidRPr="00990A3C" w:rsidRDefault="003C045B" w:rsidP="003C045B">
            <w:pPr>
              <w:rPr>
                <w:rFonts w:ascii="Times New Roman" w:eastAsia="Calibri" w:hAnsi="Times New Roman" w:cs="Times New Roman"/>
                <w:i/>
                <w:iCs/>
                <w:sz w:val="18"/>
                <w:szCs w:val="18"/>
                <w:lang w:val="en-US"/>
              </w:rPr>
            </w:pPr>
          </w:p>
        </w:tc>
      </w:tr>
      <w:tr w:rsidR="003C045B" w:rsidRPr="00036F88" w14:paraId="6A9A6B6E" w14:textId="77777777" w:rsidTr="00D50C43">
        <w:trPr>
          <w:gridAfter w:val="1"/>
          <w:wAfter w:w="353" w:type="dxa"/>
          <w:trHeight w:val="2204"/>
        </w:trPr>
        <w:tc>
          <w:tcPr>
            <w:tcW w:w="630" w:type="dxa"/>
          </w:tcPr>
          <w:p w14:paraId="1B296679" w14:textId="655FEA8B" w:rsidR="003C045B" w:rsidRPr="00036F88" w:rsidRDefault="003C045B" w:rsidP="003C045B">
            <w:pPr>
              <w:jc w:val="both"/>
              <w:rPr>
                <w:rFonts w:ascii="Times New Roman" w:eastAsia="Calibri" w:hAnsi="Times New Roman" w:cs="Times New Roman"/>
                <w:sz w:val="18"/>
                <w:szCs w:val="18"/>
                <w:lang w:val="en-US"/>
              </w:rPr>
            </w:pPr>
          </w:p>
        </w:tc>
        <w:tc>
          <w:tcPr>
            <w:tcW w:w="5400" w:type="dxa"/>
          </w:tcPr>
          <w:p w14:paraId="3947AB33" w14:textId="77777777" w:rsidR="00CE6B7A" w:rsidRPr="001725D0" w:rsidRDefault="00CE6B7A" w:rsidP="00CE6B7A">
            <w:pPr>
              <w:jc w:val="both"/>
              <w:rPr>
                <w:rFonts w:ascii="Times New Roman" w:eastAsia="Calibri" w:hAnsi="Times New Roman" w:cs="Times New Roman"/>
                <w:iCs/>
                <w:sz w:val="18"/>
                <w:szCs w:val="18"/>
                <w:lang w:val="en-US"/>
              </w:rPr>
            </w:pPr>
          </w:p>
          <w:p w14:paraId="0D7F8DC9" w14:textId="77777777" w:rsidR="00CE6B7A" w:rsidRPr="001725D0" w:rsidRDefault="00CE6B7A" w:rsidP="00CE6B7A">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'SECTION IIa</w:t>
            </w:r>
          </w:p>
          <w:p w14:paraId="716F0BB8" w14:textId="77777777" w:rsidR="00CE6B7A" w:rsidRPr="001725D0" w:rsidRDefault="00CE6B7A" w:rsidP="00CE6B7A">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Joint audits</w:t>
            </w:r>
          </w:p>
          <w:p w14:paraId="4C21786C" w14:textId="77777777" w:rsidR="00CE6B7A" w:rsidRPr="001725D0" w:rsidRDefault="00CE6B7A" w:rsidP="00CE6B7A">
            <w:pPr>
              <w:jc w:val="both"/>
              <w:rPr>
                <w:rFonts w:ascii="Times New Roman" w:eastAsia="Calibri" w:hAnsi="Times New Roman" w:cs="Times New Roman"/>
                <w:iCs/>
                <w:sz w:val="18"/>
                <w:szCs w:val="18"/>
                <w:lang w:val="en-US"/>
              </w:rPr>
            </w:pPr>
          </w:p>
          <w:p w14:paraId="3B159456" w14:textId="77777777" w:rsidR="00CE6B7A" w:rsidRPr="001725D0" w:rsidRDefault="00CE6B7A" w:rsidP="00CE6B7A">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12a</w:t>
            </w:r>
          </w:p>
          <w:p w14:paraId="45E87D8F" w14:textId="77777777" w:rsidR="00CE6B7A" w:rsidRPr="001725D0" w:rsidRDefault="00CE6B7A" w:rsidP="00CE6B7A">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Joint audits</w:t>
            </w:r>
          </w:p>
          <w:p w14:paraId="0325BA62" w14:textId="77777777" w:rsidR="00CE6B7A" w:rsidRPr="001725D0" w:rsidRDefault="00CE6B7A" w:rsidP="00CE6B7A">
            <w:pPr>
              <w:jc w:val="both"/>
              <w:rPr>
                <w:rFonts w:ascii="Times New Roman" w:eastAsia="Calibri" w:hAnsi="Times New Roman" w:cs="Times New Roman"/>
                <w:iCs/>
                <w:sz w:val="18"/>
                <w:szCs w:val="18"/>
                <w:lang w:val="en-US"/>
              </w:rPr>
            </w:pPr>
          </w:p>
          <w:p w14:paraId="596BF680" w14:textId="77777777" w:rsidR="00CE6B7A" w:rsidRPr="001725D0" w:rsidRDefault="00CE6B7A" w:rsidP="00CE6B7A">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1. The competent authority of one or more Member States may request the competent authority of another Member State (or other Member States) to carry out a joint audit. The requested competent authorities shall respond to the request for a joint audit within 60 days from receipt of the request. The requested competent authorities may refuse a request for a joint audit from the competent authority of a Member State for justified reasons.</w:t>
            </w:r>
          </w:p>
          <w:p w14:paraId="1DDC6F7C" w14:textId="77777777" w:rsidR="00CE6B7A" w:rsidRPr="001725D0" w:rsidRDefault="00CE6B7A" w:rsidP="00CE6B7A">
            <w:pPr>
              <w:jc w:val="both"/>
              <w:rPr>
                <w:rFonts w:ascii="Times New Roman" w:eastAsia="Calibri" w:hAnsi="Times New Roman" w:cs="Times New Roman"/>
                <w:iCs/>
                <w:sz w:val="18"/>
                <w:szCs w:val="18"/>
                <w:lang w:val="en-US"/>
              </w:rPr>
            </w:pPr>
          </w:p>
          <w:p w14:paraId="2CADB081" w14:textId="77777777" w:rsidR="00CE6B7A" w:rsidRPr="001725D0" w:rsidRDefault="00CE6B7A" w:rsidP="00CE6B7A">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2. Joint audits are carried out in a predetermined and coordinated manner, including language arrangements, by the competent authorities of the requesting Member States and the requested Member States, and in accordance with the laws and procedural requirements of the State Member State where the activities of a joint audit are carried out. In each Member State where the activities of a joint audit are carried out, the competent authority of that Member State shall appoint a representative with responsibility for supervising and coordinating the joint audit in that Member State. The rights and obligations of the officials of the Member States participating in the joint audit, when they are present at activities carried out in another Member State, shall be determined in accordance with the laws of the Member State where the activities of the joint audit are carried out. While complying with the laws of the Member State where the activities of the joint audit are carried out, the officials of another Member State shall not exercise any power that would exceed the scope of the powers granted to them under the laws of their own Member State.</w:t>
            </w:r>
          </w:p>
          <w:p w14:paraId="1E591125" w14:textId="77777777" w:rsidR="00CE6B7A" w:rsidRPr="001725D0" w:rsidRDefault="00CE6B7A" w:rsidP="00CE6B7A">
            <w:pPr>
              <w:jc w:val="both"/>
              <w:rPr>
                <w:rFonts w:ascii="Times New Roman" w:eastAsia="Calibri" w:hAnsi="Times New Roman" w:cs="Times New Roman"/>
                <w:iCs/>
                <w:sz w:val="18"/>
                <w:szCs w:val="18"/>
                <w:lang w:val="en-US"/>
              </w:rPr>
            </w:pPr>
          </w:p>
          <w:p w14:paraId="59F36878" w14:textId="77777777" w:rsidR="00CE6B7A" w:rsidRPr="001725D0" w:rsidRDefault="00CE6B7A" w:rsidP="00CE6B7A">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 xml:space="preserve">3. Without prejudice to paragraph 2, a Member State where the joint audit activities are carried out shall take the necessary measures to: (a) allow officials of other Member States participating in the joint audit activities to interview individuals and examine records together with the officials of the Member State where the joint audit activities are carried out, subject to the procedural arrangements laid down by the Member </w:t>
            </w:r>
            <w:r>
              <w:rPr>
                <w:rFonts w:ascii="Times New Roman" w:eastAsia="Calibri" w:hAnsi="Times New Roman" w:cs="Times New Roman"/>
                <w:iCs/>
                <w:sz w:val="18"/>
                <w:szCs w:val="18"/>
                <w:lang w:val="en-US"/>
              </w:rPr>
              <w:lastRenderedPageBreak/>
              <w:t>State where those activities are carried out; (b) ensure that evidence collected during the joint audit activities may be assessed, including as regards its admissibility, under the same legal conditions as in the case of an audit carried out in that Member State in which only the officials of that Member State participate, including during any complaint, review or appeal proceedings; and (c) ensure that the person/persons subject to or affected by a joint audit enjoy the same rights and have the same obligations as in the case of an audit in which only the officials of that Member State participate, including during any complaint, review or appeal proceedings.</w:t>
            </w:r>
          </w:p>
          <w:p w14:paraId="69FBADFD" w14:textId="77777777" w:rsidR="00CE6B7A" w:rsidRPr="001725D0" w:rsidRDefault="00CE6B7A" w:rsidP="00CE6B7A">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 xml:space="preserve"> </w:t>
            </w:r>
          </w:p>
          <w:p w14:paraId="1E4CE096" w14:textId="774EC069" w:rsidR="003C045B" w:rsidRPr="001725D0" w:rsidRDefault="00CE6B7A" w:rsidP="00CE6B7A">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4. When the competent authorities of two or more Member States conduct a joint audit, they shall endeavour to agree on the facts and circumstances relevant to the joint audit and endeavour to reach an agreement on the tax position of the audited person/persons based on the results of the joint audit. The findings of the joint audit shall be included in a final report. The issues on which the authorities agree competent shall be reflected in the final report and taken into account in the relevant instruments issued by the competent authorities of the participating Member States after that joint audit. Subject to the first subparagraph, actions by the competent authorities of a Member State or any of its officials after a joint audit and any further proceedings that take place in that Member State, such as a decision of the tax authorities, the appeal process or the settlement related to it, shall be carried out in accordance with the national law of that Member State. 5. The audited person/persons shall be informed of the outcome of the joint audit, including a copy of the final report within 60 days from the issuance of the final report.</w:t>
            </w:r>
          </w:p>
        </w:tc>
        <w:tc>
          <w:tcPr>
            <w:tcW w:w="540" w:type="dxa"/>
          </w:tcPr>
          <w:p w14:paraId="44F88698" w14:textId="77777777" w:rsidR="003C045B" w:rsidRPr="00036F88" w:rsidRDefault="003C045B" w:rsidP="003C045B">
            <w:pPr>
              <w:jc w:val="center"/>
              <w:rPr>
                <w:rFonts w:ascii="Times New Roman" w:eastAsia="Calibri" w:hAnsi="Times New Roman" w:cs="Times New Roman"/>
                <w:sz w:val="18"/>
                <w:szCs w:val="18"/>
                <w:highlight w:val="cyan"/>
              </w:rPr>
            </w:pPr>
          </w:p>
        </w:tc>
        <w:tc>
          <w:tcPr>
            <w:tcW w:w="720" w:type="dxa"/>
          </w:tcPr>
          <w:p w14:paraId="058EB7DB" w14:textId="77777777" w:rsidR="003C045B" w:rsidRDefault="003C045B" w:rsidP="003C045B">
            <w:pPr>
              <w:jc w:val="center"/>
              <w:rPr>
                <w:rFonts w:ascii="Times New Roman" w:eastAsia="Calibri" w:hAnsi="Times New Roman" w:cs="Times New Roman"/>
                <w:sz w:val="18"/>
                <w:szCs w:val="18"/>
                <w:highlight w:val="cyan"/>
                <w:lang w:val="en-US"/>
              </w:rPr>
            </w:pPr>
          </w:p>
          <w:p w14:paraId="14A3F5B4" w14:textId="77777777" w:rsidR="00D2162C" w:rsidRDefault="00D2162C" w:rsidP="003C045B">
            <w:pPr>
              <w:jc w:val="center"/>
              <w:rPr>
                <w:rFonts w:ascii="Times New Roman" w:eastAsia="Calibri" w:hAnsi="Times New Roman" w:cs="Times New Roman"/>
                <w:sz w:val="18"/>
                <w:szCs w:val="18"/>
                <w:lang w:val="en-US"/>
              </w:rPr>
            </w:pPr>
          </w:p>
          <w:p w14:paraId="6B2B87BF" w14:textId="77777777" w:rsidR="00D2162C" w:rsidRDefault="00D2162C" w:rsidP="003C045B">
            <w:pPr>
              <w:jc w:val="center"/>
              <w:rPr>
                <w:rFonts w:ascii="Times New Roman" w:eastAsia="Calibri" w:hAnsi="Times New Roman" w:cs="Times New Roman"/>
                <w:sz w:val="18"/>
                <w:szCs w:val="18"/>
                <w:lang w:val="en-US"/>
              </w:rPr>
            </w:pPr>
          </w:p>
          <w:p w14:paraId="60795A2E" w14:textId="7115C4CB" w:rsidR="00D2162C" w:rsidRPr="001725D0" w:rsidRDefault="00D2162C"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N/A</w:t>
            </w:r>
          </w:p>
        </w:tc>
        <w:tc>
          <w:tcPr>
            <w:tcW w:w="5040" w:type="dxa"/>
            <w:gridSpan w:val="2"/>
          </w:tcPr>
          <w:p w14:paraId="02CB4B68" w14:textId="77777777" w:rsidR="003C045B" w:rsidRPr="00036F88" w:rsidRDefault="003C045B" w:rsidP="003C045B">
            <w:pPr>
              <w:jc w:val="both"/>
              <w:rPr>
                <w:rFonts w:ascii="Times New Roman" w:hAnsi="Times New Roman" w:cs="Times New Roman"/>
                <w:sz w:val="18"/>
                <w:szCs w:val="18"/>
              </w:rPr>
            </w:pPr>
          </w:p>
          <w:p w14:paraId="59E8D475" w14:textId="77777777" w:rsidR="00CE6B7A" w:rsidRDefault="00CE6B7A" w:rsidP="00CE6B7A">
            <w:pPr>
              <w:jc w:val="center"/>
              <w:rPr>
                <w:rFonts w:ascii="Times New Roman" w:eastAsia="Calibri" w:hAnsi="Times New Roman" w:cs="Times New Roman"/>
                <w:sz w:val="18"/>
                <w:szCs w:val="18"/>
              </w:rPr>
            </w:pPr>
          </w:p>
          <w:p w14:paraId="51B1CCB1" w14:textId="77777777" w:rsidR="00D2162C" w:rsidRDefault="00D2162C" w:rsidP="00CE6B7A">
            <w:pPr>
              <w:jc w:val="center"/>
              <w:rPr>
                <w:rFonts w:ascii="Times New Roman" w:eastAsia="Calibri" w:hAnsi="Times New Roman" w:cs="Times New Roman"/>
                <w:sz w:val="18"/>
                <w:szCs w:val="18"/>
              </w:rPr>
            </w:pPr>
          </w:p>
          <w:p w14:paraId="2A857D11" w14:textId="29B2F6C6" w:rsidR="003C045B" w:rsidRPr="00036F88" w:rsidRDefault="00CE6B7A" w:rsidP="00CE6B7A">
            <w:pPr>
              <w:jc w:val="center"/>
              <w:rPr>
                <w:rFonts w:ascii="Times New Roman" w:eastAsia="Calibri" w:hAnsi="Times New Roman" w:cs="Times New Roman"/>
                <w:sz w:val="18"/>
                <w:szCs w:val="18"/>
              </w:rPr>
            </w:pPr>
            <w:r>
              <w:rPr>
                <w:rFonts w:ascii="Times New Roman" w:eastAsia="Calibri" w:hAnsi="Times New Roman" w:cs="Times New Roman"/>
                <w:sz w:val="18"/>
                <w:szCs w:val="18"/>
              </w:rPr>
              <w:t>N/A</w:t>
            </w:r>
          </w:p>
        </w:tc>
        <w:tc>
          <w:tcPr>
            <w:tcW w:w="720" w:type="dxa"/>
            <w:gridSpan w:val="2"/>
          </w:tcPr>
          <w:p w14:paraId="7ABC6860" w14:textId="77777777" w:rsidR="00D2162C" w:rsidRDefault="00D2162C" w:rsidP="003C045B">
            <w:pPr>
              <w:jc w:val="center"/>
              <w:rPr>
                <w:rFonts w:ascii="Times New Roman" w:eastAsia="Calibri" w:hAnsi="Times New Roman" w:cs="Times New Roman"/>
                <w:sz w:val="18"/>
                <w:szCs w:val="18"/>
                <w:lang w:val="en-US"/>
              </w:rPr>
            </w:pPr>
          </w:p>
          <w:p w14:paraId="0168B9F7" w14:textId="77777777" w:rsidR="00D2162C" w:rsidRDefault="00D2162C" w:rsidP="00D2162C">
            <w:pPr>
              <w:jc w:val="center"/>
              <w:rPr>
                <w:rFonts w:ascii="Times New Roman" w:eastAsia="Calibri" w:hAnsi="Times New Roman" w:cs="Times New Roman"/>
                <w:sz w:val="18"/>
                <w:szCs w:val="18"/>
                <w:lang w:val="en-US"/>
              </w:rPr>
            </w:pPr>
          </w:p>
          <w:p w14:paraId="6DA5A955" w14:textId="77777777" w:rsidR="00D2162C" w:rsidRDefault="00D2162C" w:rsidP="00D2162C">
            <w:pPr>
              <w:jc w:val="center"/>
              <w:rPr>
                <w:rFonts w:ascii="Times New Roman" w:eastAsia="Calibri" w:hAnsi="Times New Roman" w:cs="Times New Roman"/>
                <w:sz w:val="18"/>
                <w:szCs w:val="18"/>
                <w:lang w:val="en-US"/>
              </w:rPr>
            </w:pPr>
          </w:p>
          <w:p w14:paraId="5E1BAD4C" w14:textId="6E8A0AA2" w:rsidR="003C045B" w:rsidRPr="00036F88" w:rsidRDefault="00D2162C">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N/A</w:t>
            </w:r>
          </w:p>
        </w:tc>
        <w:tc>
          <w:tcPr>
            <w:tcW w:w="3240" w:type="dxa"/>
            <w:gridSpan w:val="2"/>
          </w:tcPr>
          <w:p w14:paraId="5B56DC0D" w14:textId="77777777" w:rsidR="00A86815" w:rsidRDefault="00A86815" w:rsidP="00CE6B7A">
            <w:pPr>
              <w:rPr>
                <w:rFonts w:ascii="Times New Roman" w:eastAsia="Calibri" w:hAnsi="Times New Roman" w:cs="Times New Roman"/>
                <w:sz w:val="18"/>
                <w:szCs w:val="18"/>
                <w:lang w:val="en-US"/>
              </w:rPr>
            </w:pPr>
          </w:p>
          <w:p w14:paraId="2190CE23" w14:textId="3FBA522C" w:rsidR="00A86815" w:rsidRDefault="00A86815" w:rsidP="00CE6B7A">
            <w:pPr>
              <w:rPr>
                <w:rFonts w:ascii="Times New Roman" w:eastAsia="Calibri" w:hAnsi="Times New Roman" w:cs="Times New Roman"/>
                <w:sz w:val="18"/>
                <w:szCs w:val="18"/>
                <w:lang w:val="en-US"/>
              </w:rPr>
            </w:pPr>
          </w:p>
          <w:p w14:paraId="5594B8C6" w14:textId="77777777" w:rsidR="00A86815" w:rsidRDefault="00A86815" w:rsidP="00CE6B7A">
            <w:pPr>
              <w:rPr>
                <w:rFonts w:ascii="Times New Roman" w:eastAsia="Calibri" w:hAnsi="Times New Roman" w:cs="Times New Roman"/>
                <w:sz w:val="18"/>
                <w:szCs w:val="18"/>
                <w:lang w:val="en-US"/>
              </w:rPr>
            </w:pPr>
          </w:p>
          <w:p w14:paraId="04BB43BB" w14:textId="37F55A4B" w:rsidR="00CE6B7A" w:rsidRPr="00CE6B7A" w:rsidRDefault="00CE6B7A" w:rsidP="00CE6B7A">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Procedural provisions on joint audits between competent authorities. Outside the scope of Annex V and covered by the General DAC. Does not require transposition.</w:t>
            </w:r>
          </w:p>
          <w:p w14:paraId="0FC616EE" w14:textId="3D6A65AE" w:rsidR="00A86815" w:rsidRDefault="00A86815" w:rsidP="00CE6B7A">
            <w:pPr>
              <w:rPr>
                <w:rFonts w:ascii="Times New Roman" w:eastAsia="Calibri" w:hAnsi="Times New Roman" w:cs="Times New Roman"/>
                <w:sz w:val="18"/>
                <w:szCs w:val="18"/>
                <w:lang w:val="en-US"/>
              </w:rPr>
            </w:pPr>
          </w:p>
          <w:p w14:paraId="35CB870C" w14:textId="5C08B219" w:rsidR="00A86815" w:rsidRDefault="00A86815" w:rsidP="00CE6B7A">
            <w:pPr>
              <w:rPr>
                <w:rFonts w:ascii="Times New Roman" w:eastAsia="Calibri" w:hAnsi="Times New Roman" w:cs="Times New Roman"/>
                <w:sz w:val="18"/>
                <w:szCs w:val="18"/>
                <w:lang w:val="en-US"/>
              </w:rPr>
            </w:pPr>
          </w:p>
          <w:p w14:paraId="54A541A5" w14:textId="77777777" w:rsidR="00A86815" w:rsidRDefault="00A86815" w:rsidP="00CE6B7A">
            <w:pPr>
              <w:rPr>
                <w:rFonts w:ascii="Times New Roman" w:eastAsia="Calibri" w:hAnsi="Times New Roman" w:cs="Times New Roman"/>
                <w:sz w:val="18"/>
                <w:szCs w:val="18"/>
                <w:lang w:val="en-US"/>
              </w:rPr>
            </w:pPr>
          </w:p>
          <w:p w14:paraId="2F2FAEC5" w14:textId="3470D364" w:rsidR="00A86815" w:rsidRDefault="004D4126" w:rsidP="00CE6B7A">
            <w:pPr>
              <w:rPr>
                <w:rFonts w:ascii="Times New Roman" w:eastAsia="Calibri" w:hAnsi="Times New Roman" w:cs="Times New Roman"/>
                <w:sz w:val="18"/>
                <w:szCs w:val="18"/>
                <w:highlight w:val="yellow"/>
                <w:lang w:val="en-US"/>
              </w:rPr>
            </w:pPr>
            <w:r>
              <w:rPr>
                <w:rFonts w:ascii="Times New Roman" w:eastAsia="Calibri" w:hAnsi="Times New Roman" w:cs="Times New Roman"/>
                <w:sz w:val="18"/>
                <w:szCs w:val="18"/>
                <w:lang w:val="en-US"/>
              </w:rPr>
              <w:t xml:space="preserve">This is transposed from Article 17 of the law on the general DAC. </w:t>
            </w:r>
          </w:p>
          <w:p w14:paraId="511F7AE4" w14:textId="77777777" w:rsidR="00A86815" w:rsidRDefault="00A86815" w:rsidP="00CE6B7A">
            <w:pPr>
              <w:rPr>
                <w:rFonts w:ascii="Times New Roman" w:eastAsia="Calibri" w:hAnsi="Times New Roman" w:cs="Times New Roman"/>
                <w:sz w:val="18"/>
                <w:szCs w:val="18"/>
                <w:highlight w:val="yellow"/>
                <w:lang w:val="en-US"/>
              </w:rPr>
            </w:pPr>
          </w:p>
          <w:p w14:paraId="051AF232" w14:textId="77777777" w:rsidR="008D434B" w:rsidRPr="008D434B" w:rsidRDefault="008D434B" w:rsidP="008D434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Article 17</w:t>
            </w:r>
          </w:p>
          <w:p w14:paraId="75CA19EA" w14:textId="77777777" w:rsidR="008D434B" w:rsidRPr="008D434B" w:rsidRDefault="008D434B" w:rsidP="008D434B">
            <w:pPr>
              <w:rPr>
                <w:rFonts w:ascii="Times New Roman" w:eastAsia="Calibri" w:hAnsi="Times New Roman" w:cs="Times New Roman"/>
                <w:sz w:val="18"/>
                <w:szCs w:val="18"/>
                <w:lang w:val="en-US"/>
              </w:rPr>
            </w:pPr>
          </w:p>
          <w:p w14:paraId="65511739" w14:textId="77777777" w:rsidR="008D434B" w:rsidRPr="008D434B" w:rsidRDefault="008D434B" w:rsidP="008D434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Simultaneous controls and joint audits</w:t>
            </w:r>
          </w:p>
          <w:p w14:paraId="72F4D13A" w14:textId="77777777" w:rsidR="008D434B" w:rsidRPr="008D434B" w:rsidRDefault="008D434B" w:rsidP="008D434B">
            <w:pPr>
              <w:rPr>
                <w:rFonts w:ascii="Times New Roman" w:eastAsia="Calibri" w:hAnsi="Times New Roman" w:cs="Times New Roman"/>
                <w:sz w:val="18"/>
                <w:szCs w:val="18"/>
                <w:lang w:val="en-US"/>
              </w:rPr>
            </w:pPr>
          </w:p>
          <w:p w14:paraId="350B9103" w14:textId="77777777" w:rsidR="008D434B" w:rsidRPr="008D434B" w:rsidRDefault="008D434B" w:rsidP="008D434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1.</w:t>
            </w:r>
            <w:r>
              <w:rPr>
                <w:rFonts w:ascii="Times New Roman" w:eastAsia="Calibri" w:hAnsi="Times New Roman" w:cs="Times New Roman"/>
                <w:sz w:val="18"/>
                <w:szCs w:val="18"/>
                <w:lang w:val="en-US"/>
              </w:rPr>
              <w:tab/>
              <w:t>When Albania and the other Member States agree to carry out simultaneous controls in their territory on one or more persons of common interest, the following procedure shall apply:</w:t>
            </w:r>
          </w:p>
          <w:p w14:paraId="17C6EC25" w14:textId="77777777" w:rsidR="008D434B" w:rsidRPr="008D434B" w:rsidRDefault="008D434B" w:rsidP="008D434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a) The competent initiating authority identifies the persons for whom it proposes a simultaneous check;</w:t>
            </w:r>
          </w:p>
          <w:p w14:paraId="455E08EE" w14:textId="77777777" w:rsidR="008D434B" w:rsidRPr="008D434B" w:rsidRDefault="008D434B" w:rsidP="008D434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b) Notifies the other Member States of the proposed action, the reasons and the time period of the control;</w:t>
            </w:r>
          </w:p>
          <w:p w14:paraId="438962DC" w14:textId="77777777" w:rsidR="008D434B" w:rsidRPr="008D434B" w:rsidRDefault="008D434B" w:rsidP="008D434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c) Each authority confirms or rejects the proposal within 60 days from its receipt;</w:t>
            </w:r>
          </w:p>
          <w:p w14:paraId="08A267F1" w14:textId="77777777" w:rsidR="008D434B" w:rsidRPr="008D434B" w:rsidRDefault="008D434B" w:rsidP="008D434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d) Each authority appoints a representative for the supervision and coordination of the operation.</w:t>
            </w:r>
          </w:p>
          <w:p w14:paraId="597A501B" w14:textId="5D76A9FA" w:rsidR="008D434B" w:rsidRPr="008D434B" w:rsidRDefault="008D434B" w:rsidP="008D434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2.</w:t>
            </w:r>
            <w:r>
              <w:rPr>
                <w:rFonts w:ascii="Times New Roman" w:eastAsia="Calibri" w:hAnsi="Times New Roman" w:cs="Times New Roman"/>
                <w:sz w:val="18"/>
                <w:szCs w:val="18"/>
                <w:lang w:val="en-US"/>
              </w:rPr>
              <w:tab/>
              <w:t xml:space="preserve">The General Directorate of </w:t>
            </w:r>
            <w:r w:rsidR="00467DB2">
              <w:rPr>
                <w:rFonts w:ascii="Times New Roman" w:eastAsia="Calibri" w:hAnsi="Times New Roman" w:cs="Times New Roman"/>
                <w:sz w:val="18"/>
                <w:szCs w:val="18"/>
                <w:lang w:val="en-US"/>
              </w:rPr>
              <w:t>Taxation</w:t>
            </w:r>
            <w:r>
              <w:rPr>
                <w:rFonts w:ascii="Times New Roman" w:eastAsia="Calibri" w:hAnsi="Times New Roman" w:cs="Times New Roman"/>
                <w:sz w:val="18"/>
                <w:szCs w:val="18"/>
                <w:lang w:val="en-US"/>
              </w:rPr>
              <w:t xml:space="preserve"> may request that one or more competent authorities from other Member States carry out a joint audit together with the General Directorate of </w:t>
            </w:r>
            <w:r w:rsidR="00467DB2">
              <w:rPr>
                <w:rFonts w:ascii="Times New Roman" w:eastAsia="Calibri" w:hAnsi="Times New Roman" w:cs="Times New Roman"/>
                <w:sz w:val="18"/>
                <w:szCs w:val="18"/>
                <w:lang w:val="en-US"/>
              </w:rPr>
              <w:t>Taxation</w:t>
            </w:r>
            <w:r>
              <w:rPr>
                <w:rFonts w:ascii="Times New Roman" w:eastAsia="Calibri" w:hAnsi="Times New Roman" w:cs="Times New Roman"/>
                <w:sz w:val="18"/>
                <w:szCs w:val="18"/>
                <w:lang w:val="en-US"/>
              </w:rPr>
              <w:t>.</w:t>
            </w:r>
          </w:p>
          <w:p w14:paraId="4460078E" w14:textId="0C30CF8D" w:rsidR="008D434B" w:rsidRPr="008D434B" w:rsidRDefault="008D434B" w:rsidP="008D434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lastRenderedPageBreak/>
              <w:t>3.</w:t>
            </w:r>
            <w:r>
              <w:rPr>
                <w:rFonts w:ascii="Times New Roman" w:eastAsia="Calibri" w:hAnsi="Times New Roman" w:cs="Times New Roman"/>
                <w:sz w:val="18"/>
                <w:szCs w:val="18"/>
                <w:lang w:val="en-US"/>
              </w:rPr>
              <w:tab/>
              <w:t xml:space="preserve">When the General Directorate of </w:t>
            </w:r>
            <w:r w:rsidR="00467DB2">
              <w:rPr>
                <w:rFonts w:ascii="Times New Roman" w:eastAsia="Calibri" w:hAnsi="Times New Roman" w:cs="Times New Roman"/>
                <w:sz w:val="18"/>
                <w:szCs w:val="18"/>
                <w:lang w:val="en-US"/>
              </w:rPr>
              <w:t>Taxation</w:t>
            </w:r>
            <w:r>
              <w:rPr>
                <w:rFonts w:ascii="Times New Roman" w:eastAsia="Calibri" w:hAnsi="Times New Roman" w:cs="Times New Roman"/>
                <w:sz w:val="18"/>
                <w:szCs w:val="18"/>
                <w:lang w:val="en-US"/>
              </w:rPr>
              <w:t xml:space="preserve"> receives a request for a joint audit, it responds within 60 days and may refuse the request for its reasonable grounds.</w:t>
            </w:r>
          </w:p>
          <w:p w14:paraId="330EB412" w14:textId="77777777" w:rsidR="008D434B" w:rsidRPr="008D434B" w:rsidRDefault="008D434B" w:rsidP="008D434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4.</w:t>
            </w:r>
            <w:r>
              <w:rPr>
                <w:rFonts w:ascii="Times New Roman" w:eastAsia="Calibri" w:hAnsi="Times New Roman" w:cs="Times New Roman"/>
                <w:sz w:val="18"/>
                <w:szCs w:val="18"/>
                <w:lang w:val="en-US"/>
              </w:rPr>
              <w:tab/>
              <w:t>The participating authorities agree in advance on the manner of carrying out the audit, also determining the language of communication, which is conducted in accordance with the legislation and procedures of the Member State where it is carried out.</w:t>
            </w:r>
          </w:p>
          <w:p w14:paraId="561ED614" w14:textId="77777777" w:rsidR="008D434B" w:rsidRPr="008D434B" w:rsidRDefault="008D434B" w:rsidP="008D434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5.</w:t>
            </w:r>
            <w:r>
              <w:rPr>
                <w:rFonts w:ascii="Times New Roman" w:eastAsia="Calibri" w:hAnsi="Times New Roman" w:cs="Times New Roman"/>
                <w:sz w:val="18"/>
                <w:szCs w:val="18"/>
                <w:lang w:val="en-US"/>
              </w:rPr>
              <w:tab/>
              <w:t>Officials from another competent authority participating in the audit in Albania have the same rights and obligations as the officials of the General Directorate of Taxation.</w:t>
            </w:r>
          </w:p>
          <w:p w14:paraId="7807984D" w14:textId="07B613B6" w:rsidR="008D434B" w:rsidRPr="008D434B" w:rsidRDefault="008D434B" w:rsidP="008D434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6.</w:t>
            </w:r>
            <w:r>
              <w:rPr>
                <w:rFonts w:ascii="Times New Roman" w:eastAsia="Calibri" w:hAnsi="Times New Roman" w:cs="Times New Roman"/>
                <w:sz w:val="18"/>
                <w:szCs w:val="18"/>
                <w:lang w:val="en-US"/>
              </w:rPr>
              <w:tab/>
              <w:t xml:space="preserve">Officials of the General Directorate of </w:t>
            </w:r>
            <w:r w:rsidR="00467DB2">
              <w:rPr>
                <w:rFonts w:ascii="Times New Roman" w:eastAsia="Calibri" w:hAnsi="Times New Roman" w:cs="Times New Roman"/>
                <w:sz w:val="18"/>
                <w:szCs w:val="18"/>
                <w:lang w:val="en-US"/>
              </w:rPr>
              <w:t>Taxation</w:t>
            </w:r>
            <w:r>
              <w:rPr>
                <w:rFonts w:ascii="Times New Roman" w:eastAsia="Calibri" w:hAnsi="Times New Roman" w:cs="Times New Roman"/>
                <w:sz w:val="18"/>
                <w:szCs w:val="18"/>
                <w:lang w:val="en-US"/>
              </w:rPr>
              <w:t xml:space="preserve"> who take part in audits outside Albania must comply with the legislation of the Member State where the audit is carried out, without exercising powers that they do not have under Albanian law.</w:t>
            </w:r>
          </w:p>
          <w:p w14:paraId="566AB669" w14:textId="77777777" w:rsidR="008D434B" w:rsidRPr="008D434B" w:rsidRDefault="008D434B" w:rsidP="008D434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7.</w:t>
            </w:r>
            <w:r>
              <w:rPr>
                <w:rFonts w:ascii="Times New Roman" w:eastAsia="Calibri" w:hAnsi="Times New Roman" w:cs="Times New Roman"/>
                <w:sz w:val="18"/>
                <w:szCs w:val="18"/>
                <w:lang w:val="en-US"/>
              </w:rPr>
              <w:tab/>
              <w:t>When the joint audit is conducted in Albania, the General Directorate of Taxation appoints a representative responsible for coordination. Officials of other states may interview individuals and review documents together with Albanian officials. The evidence collected is assessed in accordance with Albanian legislation, including any complaint, review, and appeal process. The audited persons enjoy the same rights and obligations as in domestic audits.</w:t>
            </w:r>
          </w:p>
          <w:p w14:paraId="56E4BE79" w14:textId="77777777" w:rsidR="008D434B" w:rsidRPr="008D434B" w:rsidRDefault="008D434B" w:rsidP="008D434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8.</w:t>
            </w:r>
            <w:r>
              <w:rPr>
                <w:rFonts w:ascii="Times New Roman" w:eastAsia="Calibri" w:hAnsi="Times New Roman" w:cs="Times New Roman"/>
                <w:sz w:val="18"/>
                <w:szCs w:val="18"/>
                <w:lang w:val="en-US"/>
              </w:rPr>
              <w:tab/>
              <w:t xml:space="preserve">The participating authorities endeavour to agree on the relevant facts </w:t>
            </w:r>
            <w:r>
              <w:rPr>
                <w:rFonts w:ascii="Times New Roman" w:eastAsia="Calibri" w:hAnsi="Times New Roman" w:cs="Times New Roman"/>
                <w:sz w:val="18"/>
                <w:szCs w:val="18"/>
                <w:lang w:val="en-US"/>
              </w:rPr>
              <w:lastRenderedPageBreak/>
              <w:t xml:space="preserve">and circumstances of the joint audit and, based on the results of the audit, endeavour to reach agreement on the tax position of the audited person or persons. The findings of the joint audit are included in the final report. The issues on which the participating authorities agree are reflected in the final report and are taken into consideration in the relevant acts issued by the participating competent authorities after the joint audit. </w:t>
            </w:r>
          </w:p>
          <w:p w14:paraId="206C0A1E" w14:textId="106F83D0" w:rsidR="008D434B" w:rsidRPr="008D434B" w:rsidRDefault="008D434B" w:rsidP="008D434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9.</w:t>
            </w:r>
            <w:r>
              <w:rPr>
                <w:rFonts w:ascii="Times New Roman" w:eastAsia="Calibri" w:hAnsi="Times New Roman" w:cs="Times New Roman"/>
                <w:sz w:val="18"/>
                <w:szCs w:val="18"/>
                <w:lang w:val="en-US"/>
              </w:rPr>
              <w:tab/>
              <w:t xml:space="preserve">Any action of the General Directorate of </w:t>
            </w:r>
            <w:r w:rsidR="00467DB2">
              <w:rPr>
                <w:rFonts w:ascii="Times New Roman" w:eastAsia="Calibri" w:hAnsi="Times New Roman" w:cs="Times New Roman"/>
                <w:sz w:val="18"/>
                <w:szCs w:val="18"/>
                <w:lang w:val="en-US"/>
              </w:rPr>
              <w:t>Taxation</w:t>
            </w:r>
            <w:r>
              <w:rPr>
                <w:rFonts w:ascii="Times New Roman" w:eastAsia="Calibri" w:hAnsi="Times New Roman" w:cs="Times New Roman"/>
                <w:sz w:val="18"/>
                <w:szCs w:val="18"/>
                <w:lang w:val="en-US"/>
              </w:rPr>
              <w:t xml:space="preserve"> after the joint audit, including tax decisions and appeal processes, is carried out in accordance with the national law of Albania.</w:t>
            </w:r>
          </w:p>
          <w:p w14:paraId="6BCCD26C" w14:textId="77777777" w:rsidR="008D434B" w:rsidRPr="008D434B" w:rsidRDefault="008D434B" w:rsidP="008D434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10.</w:t>
            </w:r>
            <w:r>
              <w:rPr>
                <w:rFonts w:ascii="Times New Roman" w:eastAsia="Calibri" w:hAnsi="Times New Roman" w:cs="Times New Roman"/>
                <w:sz w:val="18"/>
                <w:szCs w:val="18"/>
                <w:lang w:val="en-US"/>
              </w:rPr>
              <w:tab/>
              <w:t>Audited persons must be informed of the audit result and receive a copy of the final report within 60 days from its issuance.</w:t>
            </w:r>
          </w:p>
          <w:p w14:paraId="71B5E837" w14:textId="2BB17BE9" w:rsidR="00A86815" w:rsidRPr="00036F88" w:rsidRDefault="008D434B" w:rsidP="008D434B">
            <w:pPr>
              <w:rPr>
                <w:rFonts w:ascii="Times New Roman" w:eastAsia="Calibri" w:hAnsi="Times New Roman" w:cs="Times New Roman"/>
                <w:sz w:val="18"/>
                <w:szCs w:val="18"/>
                <w:highlight w:val="yellow"/>
                <w:lang w:val="en-US"/>
              </w:rPr>
            </w:pPr>
            <w:r>
              <w:rPr>
                <w:rFonts w:ascii="Times New Roman" w:eastAsia="Calibri" w:hAnsi="Times New Roman" w:cs="Times New Roman"/>
                <w:sz w:val="18"/>
                <w:szCs w:val="18"/>
                <w:lang w:val="en-US"/>
              </w:rPr>
              <w:t>11.</w:t>
            </w:r>
            <w:r>
              <w:rPr>
                <w:rFonts w:ascii="Times New Roman" w:eastAsia="Calibri" w:hAnsi="Times New Roman" w:cs="Times New Roman"/>
                <w:sz w:val="18"/>
                <w:szCs w:val="18"/>
                <w:lang w:val="en-US"/>
              </w:rPr>
              <w:tab/>
              <w:t>Simultaneous controls and joint audits are carried out in accordance with the technical rules laid down in the decision of the Council of Ministers.</w:t>
            </w:r>
          </w:p>
        </w:tc>
      </w:tr>
      <w:tr w:rsidR="00AD61E7" w:rsidRPr="00036F88" w14:paraId="52A8CC74" w14:textId="77777777" w:rsidTr="00D50C43">
        <w:trPr>
          <w:gridAfter w:val="1"/>
          <w:wAfter w:w="353" w:type="dxa"/>
          <w:trHeight w:val="1008"/>
        </w:trPr>
        <w:tc>
          <w:tcPr>
            <w:tcW w:w="630" w:type="dxa"/>
          </w:tcPr>
          <w:p w14:paraId="190CA677" w14:textId="77777777" w:rsidR="00AD61E7" w:rsidRPr="00036F88" w:rsidRDefault="00AD61E7" w:rsidP="00AF6E05">
            <w:pPr>
              <w:jc w:val="both"/>
              <w:rPr>
                <w:rFonts w:ascii="Times New Roman" w:eastAsia="Calibri" w:hAnsi="Times New Roman" w:cs="Times New Roman"/>
                <w:sz w:val="18"/>
                <w:szCs w:val="18"/>
                <w:lang w:val="en-US"/>
              </w:rPr>
            </w:pPr>
            <w:bookmarkStart w:id="3" w:name="_Hlk227914978"/>
          </w:p>
        </w:tc>
        <w:tc>
          <w:tcPr>
            <w:tcW w:w="5400" w:type="dxa"/>
            <w:shd w:val="clear" w:color="auto" w:fill="D0CECE" w:themeFill="background2" w:themeFillShade="E6"/>
          </w:tcPr>
          <w:p w14:paraId="152B73D1" w14:textId="77777777" w:rsidR="00654FB9" w:rsidRPr="00654FB9" w:rsidRDefault="00654FB9" w:rsidP="00654FB9">
            <w:pPr>
              <w:spacing w:line="276" w:lineRule="auto"/>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1(13) (Directive 2021/514/EU)</w:t>
            </w:r>
          </w:p>
          <w:p w14:paraId="5902AE64" w14:textId="39570B2B" w:rsidR="00AD61E7" w:rsidRPr="00036F88" w:rsidRDefault="00654FB9" w:rsidP="00654FB9">
            <w:pPr>
              <w:spacing w:line="276" w:lineRule="auto"/>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16, paragraph 1, first subparagraph and paragraph 2 (Directive 2011/16/EU)</w:t>
            </w:r>
          </w:p>
        </w:tc>
        <w:tc>
          <w:tcPr>
            <w:tcW w:w="540" w:type="dxa"/>
            <w:shd w:val="clear" w:color="auto" w:fill="D0CECE" w:themeFill="background2" w:themeFillShade="E6"/>
          </w:tcPr>
          <w:p w14:paraId="56E9111D" w14:textId="77777777" w:rsidR="00AD61E7" w:rsidRPr="00036F88" w:rsidRDefault="00AD61E7" w:rsidP="00AF6E05">
            <w:pPr>
              <w:rPr>
                <w:rFonts w:ascii="Times New Roman" w:eastAsia="Calibri" w:hAnsi="Times New Roman" w:cs="Times New Roman"/>
                <w:sz w:val="18"/>
                <w:szCs w:val="18"/>
              </w:rPr>
            </w:pPr>
          </w:p>
        </w:tc>
        <w:tc>
          <w:tcPr>
            <w:tcW w:w="720" w:type="dxa"/>
            <w:shd w:val="clear" w:color="auto" w:fill="D0CECE" w:themeFill="background2" w:themeFillShade="E6"/>
          </w:tcPr>
          <w:p w14:paraId="464256C2" w14:textId="77777777" w:rsidR="00AD61E7" w:rsidRPr="00036F88" w:rsidRDefault="00AD61E7" w:rsidP="00AF6E05">
            <w:pPr>
              <w:rPr>
                <w:rFonts w:ascii="Times New Roman" w:eastAsia="Calibri" w:hAnsi="Times New Roman" w:cs="Times New Roman"/>
                <w:sz w:val="18"/>
                <w:szCs w:val="18"/>
                <w:lang w:val="en-US"/>
              </w:rPr>
            </w:pPr>
          </w:p>
        </w:tc>
        <w:tc>
          <w:tcPr>
            <w:tcW w:w="5040" w:type="dxa"/>
            <w:gridSpan w:val="2"/>
            <w:shd w:val="clear" w:color="auto" w:fill="D0CECE" w:themeFill="background2" w:themeFillShade="E6"/>
          </w:tcPr>
          <w:p w14:paraId="7A07266B" w14:textId="77777777" w:rsidR="00AD61E7" w:rsidRPr="00036F88" w:rsidRDefault="00AD61E7" w:rsidP="00AF6E05">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tc>
        <w:tc>
          <w:tcPr>
            <w:tcW w:w="720" w:type="dxa"/>
            <w:gridSpan w:val="2"/>
            <w:shd w:val="clear" w:color="auto" w:fill="D0CECE" w:themeFill="background2" w:themeFillShade="E6"/>
          </w:tcPr>
          <w:p w14:paraId="7F59BDD2" w14:textId="77777777" w:rsidR="00AD61E7" w:rsidRPr="00036F88" w:rsidRDefault="00AD61E7" w:rsidP="00AF6E05">
            <w:pPr>
              <w:jc w:val="center"/>
              <w:rPr>
                <w:rFonts w:ascii="Times New Roman" w:eastAsia="Calibri" w:hAnsi="Times New Roman" w:cs="Times New Roman"/>
                <w:sz w:val="18"/>
                <w:szCs w:val="18"/>
                <w:lang w:val="en-US"/>
              </w:rPr>
            </w:pPr>
          </w:p>
        </w:tc>
        <w:tc>
          <w:tcPr>
            <w:tcW w:w="3240" w:type="dxa"/>
            <w:gridSpan w:val="2"/>
            <w:shd w:val="clear" w:color="auto" w:fill="D0CECE" w:themeFill="background2" w:themeFillShade="E6"/>
          </w:tcPr>
          <w:p w14:paraId="30D4114F" w14:textId="77777777" w:rsidR="00AD61E7" w:rsidRPr="00036F88" w:rsidRDefault="00AD61E7" w:rsidP="00AF6E05">
            <w:pPr>
              <w:rPr>
                <w:rFonts w:ascii="Times New Roman" w:eastAsia="Calibri" w:hAnsi="Times New Roman" w:cs="Times New Roman"/>
                <w:sz w:val="18"/>
                <w:szCs w:val="18"/>
                <w:lang w:val="en-US"/>
              </w:rPr>
            </w:pPr>
          </w:p>
        </w:tc>
      </w:tr>
      <w:bookmarkEnd w:id="3"/>
      <w:tr w:rsidR="00E172D2" w:rsidRPr="00036F88" w14:paraId="5B377569" w14:textId="77777777" w:rsidTr="00D50C43">
        <w:trPr>
          <w:gridAfter w:val="1"/>
          <w:wAfter w:w="353" w:type="dxa"/>
          <w:trHeight w:val="2204"/>
        </w:trPr>
        <w:tc>
          <w:tcPr>
            <w:tcW w:w="630" w:type="dxa"/>
          </w:tcPr>
          <w:p w14:paraId="316BEC04" w14:textId="77777777" w:rsidR="00E172D2" w:rsidRPr="00036F88" w:rsidRDefault="00E172D2" w:rsidP="003C045B">
            <w:pPr>
              <w:jc w:val="both"/>
              <w:rPr>
                <w:rFonts w:ascii="Times New Roman" w:eastAsia="Calibri" w:hAnsi="Times New Roman" w:cs="Times New Roman"/>
                <w:sz w:val="18"/>
                <w:szCs w:val="18"/>
              </w:rPr>
            </w:pPr>
          </w:p>
        </w:tc>
        <w:tc>
          <w:tcPr>
            <w:tcW w:w="5400" w:type="dxa"/>
          </w:tcPr>
          <w:p w14:paraId="28A4F862" w14:textId="77777777" w:rsidR="00654FB9" w:rsidRPr="001725D0" w:rsidRDefault="00654FB9" w:rsidP="00654FB9">
            <w:pPr>
              <w:jc w:val="both"/>
              <w:rPr>
                <w:rFonts w:ascii="Times New Roman" w:eastAsia="Calibri" w:hAnsi="Times New Roman" w:cs="Times New Roman"/>
                <w:iCs/>
                <w:sz w:val="18"/>
                <w:szCs w:val="18"/>
                <w:lang w:val="en-US"/>
              </w:rPr>
            </w:pPr>
          </w:p>
          <w:p w14:paraId="5BD98D49" w14:textId="459A6BC0" w:rsidR="00654FB9" w:rsidRPr="001725D0" w:rsidRDefault="00654FB9" w:rsidP="00654FB9">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 xml:space="preserve">'1. The information communicated between the Member States in any form in accordance with this Directive is covered by the obligation of official secrecy and enjoys the protection granted to similar information under the national law of the Member State that has received it. Such information may be used for the assessment, administration and enforcement of the national law of the Member States in relation to the </w:t>
            </w:r>
            <w:r w:rsidR="00467DB2">
              <w:rPr>
                <w:rFonts w:ascii="Times New Roman" w:eastAsia="Calibri" w:hAnsi="Times New Roman" w:cs="Times New Roman"/>
                <w:iCs/>
                <w:sz w:val="18"/>
                <w:szCs w:val="18"/>
                <w:lang w:val="en-US"/>
              </w:rPr>
              <w:t>Taxation</w:t>
            </w:r>
            <w:r>
              <w:rPr>
                <w:rFonts w:ascii="Times New Roman" w:eastAsia="Calibri" w:hAnsi="Times New Roman" w:cs="Times New Roman"/>
                <w:iCs/>
                <w:sz w:val="18"/>
                <w:szCs w:val="18"/>
                <w:lang w:val="en-US"/>
              </w:rPr>
              <w:t xml:space="preserve"> referred to in Article 2, as well as VAT and other indirect </w:t>
            </w:r>
            <w:r w:rsidR="00467DB2">
              <w:rPr>
                <w:rFonts w:ascii="Times New Roman" w:eastAsia="Calibri" w:hAnsi="Times New Roman" w:cs="Times New Roman"/>
                <w:iCs/>
                <w:sz w:val="18"/>
                <w:szCs w:val="18"/>
                <w:lang w:val="en-US"/>
              </w:rPr>
              <w:t>Taxation</w:t>
            </w:r>
            <w:r>
              <w:rPr>
                <w:rFonts w:ascii="Times New Roman" w:eastAsia="Calibri" w:hAnsi="Times New Roman" w:cs="Times New Roman"/>
                <w:iCs/>
                <w:sz w:val="18"/>
                <w:szCs w:val="18"/>
                <w:lang w:val="en-US"/>
              </w:rPr>
              <w:t>.'</w:t>
            </w:r>
          </w:p>
          <w:p w14:paraId="440E0083" w14:textId="77777777" w:rsidR="00654FB9" w:rsidRPr="001725D0" w:rsidRDefault="00654FB9" w:rsidP="00654FB9">
            <w:pPr>
              <w:jc w:val="both"/>
              <w:rPr>
                <w:rFonts w:ascii="Times New Roman" w:eastAsia="Calibri" w:hAnsi="Times New Roman" w:cs="Times New Roman"/>
                <w:iCs/>
                <w:sz w:val="18"/>
                <w:szCs w:val="18"/>
                <w:lang w:val="en-US"/>
              </w:rPr>
            </w:pPr>
          </w:p>
          <w:p w14:paraId="68367702" w14:textId="77777777" w:rsidR="00654FB9" w:rsidRPr="001725D0" w:rsidRDefault="00654FB9" w:rsidP="00654FB9">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lastRenderedPageBreak/>
              <w:t>'2. With the permission of the competent authority of the Member State that communicates the information in accordance with this Directive, and only insofar as this is permitted under the national law of the Member State of the competent authority that receives the information, the information and documents received in accordance with this Directive may be used for purposes other than those referred to in paragraph 1. Such permission shall be granted if the information may be used for similar purposes in the Member State of the competent authority that communicates the information.</w:t>
            </w:r>
          </w:p>
          <w:p w14:paraId="0C806444" w14:textId="77777777" w:rsidR="00654FB9" w:rsidRPr="001725D0" w:rsidRDefault="00654FB9" w:rsidP="00654FB9">
            <w:pPr>
              <w:jc w:val="both"/>
              <w:rPr>
                <w:rFonts w:ascii="Times New Roman" w:eastAsia="Calibri" w:hAnsi="Times New Roman" w:cs="Times New Roman"/>
                <w:iCs/>
                <w:sz w:val="18"/>
                <w:szCs w:val="18"/>
                <w:lang w:val="en-US"/>
              </w:rPr>
            </w:pPr>
          </w:p>
          <w:p w14:paraId="144A1F56" w14:textId="349344B1" w:rsidR="00E172D2" w:rsidRPr="001725D0" w:rsidRDefault="00654FB9" w:rsidP="00654FB9">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The competent authority of each Member State may communicate to the competent authorities of all other Member States a list of the purposes for which, in accordance with its national law, information and documents may be used, in addition to those referred to in paragraph 1. The competent authority receiving information and documents may use the information and documents received without the permission of mentioned in the first subparagraph of this paragraph for any purpose listed by the communicating Member State.</w:t>
            </w:r>
          </w:p>
        </w:tc>
        <w:tc>
          <w:tcPr>
            <w:tcW w:w="540" w:type="dxa"/>
          </w:tcPr>
          <w:p w14:paraId="7AA0DD76" w14:textId="77777777" w:rsidR="00E172D2" w:rsidRPr="00036F88" w:rsidRDefault="00E172D2" w:rsidP="003C045B">
            <w:pPr>
              <w:jc w:val="center"/>
              <w:rPr>
                <w:rFonts w:ascii="Times New Roman" w:eastAsia="Calibri" w:hAnsi="Times New Roman" w:cs="Times New Roman"/>
                <w:sz w:val="18"/>
                <w:szCs w:val="18"/>
                <w:highlight w:val="cyan"/>
              </w:rPr>
            </w:pPr>
          </w:p>
        </w:tc>
        <w:tc>
          <w:tcPr>
            <w:tcW w:w="720" w:type="dxa"/>
          </w:tcPr>
          <w:p w14:paraId="22A0EF0F" w14:textId="77777777" w:rsidR="00E172D2" w:rsidRDefault="00E172D2" w:rsidP="003C045B">
            <w:pPr>
              <w:jc w:val="center"/>
              <w:rPr>
                <w:rFonts w:ascii="Times New Roman" w:eastAsia="Calibri" w:hAnsi="Times New Roman" w:cs="Times New Roman"/>
                <w:sz w:val="18"/>
                <w:szCs w:val="18"/>
                <w:highlight w:val="cyan"/>
                <w:lang w:val="en-US"/>
              </w:rPr>
            </w:pPr>
          </w:p>
          <w:p w14:paraId="085CF30E" w14:textId="34B7BA88" w:rsidR="00D2162C" w:rsidRPr="001725D0" w:rsidRDefault="00D2162C"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N/A</w:t>
            </w:r>
          </w:p>
        </w:tc>
        <w:tc>
          <w:tcPr>
            <w:tcW w:w="5040" w:type="dxa"/>
            <w:gridSpan w:val="2"/>
          </w:tcPr>
          <w:p w14:paraId="22DCECB4" w14:textId="77777777" w:rsidR="00654FB9" w:rsidRDefault="00654FB9" w:rsidP="00654FB9">
            <w:pPr>
              <w:jc w:val="center"/>
              <w:rPr>
                <w:rFonts w:ascii="Times New Roman" w:hAnsi="Times New Roman" w:cs="Times New Roman"/>
                <w:sz w:val="18"/>
                <w:szCs w:val="18"/>
              </w:rPr>
            </w:pPr>
          </w:p>
          <w:p w14:paraId="6ED8A461" w14:textId="77777777" w:rsidR="00654FB9" w:rsidRDefault="00654FB9" w:rsidP="00654FB9">
            <w:pPr>
              <w:jc w:val="center"/>
              <w:rPr>
                <w:rFonts w:ascii="Times New Roman" w:hAnsi="Times New Roman" w:cs="Times New Roman"/>
                <w:sz w:val="18"/>
                <w:szCs w:val="18"/>
              </w:rPr>
            </w:pPr>
          </w:p>
          <w:p w14:paraId="5ED812D9" w14:textId="77777777" w:rsidR="00654FB9" w:rsidRDefault="00654FB9" w:rsidP="00654FB9">
            <w:pPr>
              <w:jc w:val="center"/>
              <w:rPr>
                <w:rFonts w:ascii="Times New Roman" w:hAnsi="Times New Roman" w:cs="Times New Roman"/>
                <w:sz w:val="18"/>
                <w:szCs w:val="18"/>
              </w:rPr>
            </w:pPr>
          </w:p>
          <w:p w14:paraId="70E504E0" w14:textId="08271833" w:rsidR="00E172D2" w:rsidRPr="00036F88" w:rsidRDefault="00654FB9" w:rsidP="00654FB9">
            <w:pPr>
              <w:jc w:val="center"/>
              <w:rPr>
                <w:rFonts w:ascii="Times New Roman" w:hAnsi="Times New Roman" w:cs="Times New Roman"/>
                <w:sz w:val="18"/>
                <w:szCs w:val="18"/>
              </w:rPr>
            </w:pPr>
            <w:r>
              <w:rPr>
                <w:rFonts w:ascii="Times New Roman" w:hAnsi="Times New Roman" w:cs="Times New Roman"/>
                <w:sz w:val="18"/>
                <w:szCs w:val="18"/>
              </w:rPr>
              <w:t>N/A</w:t>
            </w:r>
          </w:p>
        </w:tc>
        <w:tc>
          <w:tcPr>
            <w:tcW w:w="720" w:type="dxa"/>
            <w:gridSpan w:val="2"/>
          </w:tcPr>
          <w:p w14:paraId="780DCE6B" w14:textId="40C6D69F" w:rsidR="00E172D2" w:rsidRDefault="00E172D2" w:rsidP="003C045B">
            <w:pPr>
              <w:jc w:val="center"/>
              <w:rPr>
                <w:rFonts w:ascii="Times New Roman" w:eastAsia="Calibri" w:hAnsi="Times New Roman" w:cs="Times New Roman"/>
                <w:sz w:val="18"/>
                <w:szCs w:val="18"/>
              </w:rPr>
            </w:pPr>
          </w:p>
          <w:p w14:paraId="671B8D76" w14:textId="77777777" w:rsidR="00D2162C" w:rsidRDefault="00D2162C" w:rsidP="003C045B">
            <w:pPr>
              <w:jc w:val="center"/>
              <w:rPr>
                <w:rFonts w:ascii="Times New Roman" w:eastAsia="Calibri" w:hAnsi="Times New Roman" w:cs="Times New Roman"/>
                <w:sz w:val="18"/>
                <w:szCs w:val="18"/>
              </w:rPr>
            </w:pPr>
          </w:p>
          <w:p w14:paraId="1CF8E656" w14:textId="565C6DA3" w:rsidR="00D2162C" w:rsidRDefault="00D2162C"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N/A</w:t>
            </w:r>
          </w:p>
        </w:tc>
        <w:tc>
          <w:tcPr>
            <w:tcW w:w="3240" w:type="dxa"/>
            <w:gridSpan w:val="2"/>
          </w:tcPr>
          <w:p w14:paraId="5B465FA1" w14:textId="77777777" w:rsidR="008036D5" w:rsidRPr="008036D5" w:rsidRDefault="008036D5" w:rsidP="008036D5">
            <w:pPr>
              <w:rPr>
                <w:rFonts w:ascii="Times New Roman" w:eastAsia="Calibri" w:hAnsi="Times New Roman" w:cs="Times New Roman"/>
                <w:sz w:val="18"/>
                <w:szCs w:val="18"/>
              </w:rPr>
            </w:pPr>
          </w:p>
          <w:p w14:paraId="35CF8C50" w14:textId="77777777" w:rsidR="008036D5" w:rsidRPr="008036D5" w:rsidRDefault="008036D5" w:rsidP="008036D5">
            <w:pPr>
              <w:rPr>
                <w:rFonts w:ascii="Times New Roman" w:eastAsia="Calibri" w:hAnsi="Times New Roman" w:cs="Times New Roman"/>
                <w:sz w:val="18"/>
                <w:szCs w:val="18"/>
              </w:rPr>
            </w:pPr>
            <w:r>
              <w:rPr>
                <w:rFonts w:ascii="Times New Roman" w:eastAsia="Calibri" w:hAnsi="Times New Roman" w:cs="Times New Roman"/>
                <w:sz w:val="18"/>
                <w:szCs w:val="18"/>
              </w:rPr>
              <w:t>Does not require transposition in this Law.</w:t>
            </w:r>
          </w:p>
          <w:p w14:paraId="7646B752" w14:textId="77777777" w:rsidR="008036D5" w:rsidRPr="008036D5" w:rsidRDefault="008036D5" w:rsidP="008036D5">
            <w:pPr>
              <w:rPr>
                <w:rFonts w:ascii="Times New Roman" w:eastAsia="Calibri" w:hAnsi="Times New Roman" w:cs="Times New Roman"/>
                <w:sz w:val="18"/>
                <w:szCs w:val="18"/>
              </w:rPr>
            </w:pPr>
          </w:p>
          <w:p w14:paraId="11F3B1F6" w14:textId="77777777" w:rsidR="008036D5" w:rsidRPr="008036D5" w:rsidRDefault="008036D5" w:rsidP="008036D5">
            <w:pPr>
              <w:rPr>
                <w:rFonts w:ascii="Times New Roman" w:eastAsia="Calibri" w:hAnsi="Times New Roman" w:cs="Times New Roman"/>
                <w:sz w:val="18"/>
                <w:szCs w:val="18"/>
              </w:rPr>
            </w:pPr>
            <w:r>
              <w:rPr>
                <w:rFonts w:ascii="Times New Roman" w:eastAsia="Calibri" w:hAnsi="Times New Roman" w:cs="Times New Roman"/>
                <w:sz w:val="18"/>
                <w:szCs w:val="18"/>
              </w:rPr>
              <w:t>This provision concerns the obligation of official secrecy and what is permitted</w:t>
            </w:r>
          </w:p>
          <w:p w14:paraId="44ACD319" w14:textId="0900DE01" w:rsidR="00E172D2" w:rsidRDefault="008036D5" w:rsidP="008036D5">
            <w:pPr>
              <w:rPr>
                <w:rFonts w:ascii="Times New Roman" w:eastAsia="Calibri" w:hAnsi="Times New Roman" w:cs="Times New Roman"/>
                <w:sz w:val="18"/>
                <w:szCs w:val="18"/>
              </w:rPr>
            </w:pPr>
            <w:r>
              <w:rPr>
                <w:rFonts w:ascii="Times New Roman" w:eastAsia="Calibri" w:hAnsi="Times New Roman" w:cs="Times New Roman"/>
                <w:sz w:val="18"/>
                <w:szCs w:val="18"/>
              </w:rPr>
              <w:t xml:space="preserve">the use of the information exchanged between the competent authorities in accordance with Directive 2011/16/EU. It regulates only the mechanisms of </w:t>
            </w:r>
            <w:r>
              <w:rPr>
                <w:rFonts w:ascii="Times New Roman" w:eastAsia="Calibri" w:hAnsi="Times New Roman" w:cs="Times New Roman"/>
                <w:sz w:val="18"/>
                <w:szCs w:val="18"/>
              </w:rPr>
              <w:lastRenderedPageBreak/>
              <w:t>administrative cooperation and does not establish obligations for the reporting of platform operators or sellers.</w:t>
            </w:r>
          </w:p>
          <w:p w14:paraId="59201CCF" w14:textId="77777777" w:rsidR="009F62F6" w:rsidRDefault="009F62F6" w:rsidP="008036D5">
            <w:pPr>
              <w:rPr>
                <w:rFonts w:ascii="Times New Roman" w:eastAsia="Calibri" w:hAnsi="Times New Roman" w:cs="Times New Roman"/>
                <w:sz w:val="18"/>
                <w:szCs w:val="18"/>
              </w:rPr>
            </w:pPr>
          </w:p>
          <w:p w14:paraId="30993626" w14:textId="1BFFBB50" w:rsidR="009F62F6" w:rsidRDefault="008D434B" w:rsidP="008036D5">
            <w:pPr>
              <w:rPr>
                <w:rFonts w:ascii="Times New Roman" w:eastAsia="Calibri" w:hAnsi="Times New Roman" w:cs="Times New Roman"/>
                <w:sz w:val="18"/>
                <w:szCs w:val="18"/>
              </w:rPr>
            </w:pPr>
            <w:r>
              <w:rPr>
                <w:rFonts w:ascii="Times New Roman" w:eastAsia="Calibri" w:hAnsi="Times New Roman" w:cs="Times New Roman"/>
                <w:sz w:val="18"/>
                <w:szCs w:val="18"/>
              </w:rPr>
              <w:t>This is transposed from Article 19 of the law on general DAC.</w:t>
            </w:r>
          </w:p>
          <w:p w14:paraId="3C0491C9" w14:textId="77777777" w:rsidR="008D434B" w:rsidRDefault="008D434B" w:rsidP="008036D5">
            <w:pPr>
              <w:rPr>
                <w:rFonts w:ascii="Times New Roman" w:eastAsia="Calibri" w:hAnsi="Times New Roman" w:cs="Times New Roman"/>
                <w:sz w:val="18"/>
                <w:szCs w:val="18"/>
              </w:rPr>
            </w:pPr>
          </w:p>
          <w:p w14:paraId="5E7915FB" w14:textId="77777777" w:rsidR="008D434B" w:rsidRPr="008D434B" w:rsidRDefault="008D434B" w:rsidP="008D434B">
            <w:pPr>
              <w:jc w:val="center"/>
              <w:rPr>
                <w:rFonts w:ascii="Times New Roman" w:eastAsia="Calibri" w:hAnsi="Times New Roman" w:cs="Times New Roman"/>
                <w:sz w:val="18"/>
                <w:szCs w:val="18"/>
              </w:rPr>
            </w:pPr>
            <w:r>
              <w:rPr>
                <w:rFonts w:ascii="Times New Roman" w:eastAsia="Calibri" w:hAnsi="Times New Roman" w:cs="Times New Roman"/>
                <w:sz w:val="18"/>
                <w:szCs w:val="18"/>
              </w:rPr>
              <w:t>Article 19</w:t>
            </w:r>
          </w:p>
          <w:p w14:paraId="664D30E6" w14:textId="3CC1A3E2" w:rsidR="008D434B" w:rsidRPr="008D434B" w:rsidRDefault="008D434B" w:rsidP="008D434B">
            <w:pPr>
              <w:jc w:val="center"/>
              <w:rPr>
                <w:rFonts w:ascii="Times New Roman" w:eastAsia="Calibri" w:hAnsi="Times New Roman" w:cs="Times New Roman"/>
                <w:sz w:val="18"/>
                <w:szCs w:val="18"/>
              </w:rPr>
            </w:pPr>
          </w:p>
          <w:p w14:paraId="3A59C4EA" w14:textId="77777777" w:rsidR="008D434B" w:rsidRPr="008D434B" w:rsidRDefault="008D434B" w:rsidP="008D434B">
            <w:pPr>
              <w:jc w:val="center"/>
              <w:rPr>
                <w:rFonts w:ascii="Times New Roman" w:eastAsia="Calibri" w:hAnsi="Times New Roman" w:cs="Times New Roman"/>
                <w:sz w:val="18"/>
                <w:szCs w:val="18"/>
              </w:rPr>
            </w:pPr>
            <w:r>
              <w:rPr>
                <w:rFonts w:ascii="Times New Roman" w:eastAsia="Calibri" w:hAnsi="Times New Roman" w:cs="Times New Roman"/>
                <w:sz w:val="18"/>
                <w:szCs w:val="18"/>
              </w:rPr>
              <w:t>Confidentiality and permitted uses</w:t>
            </w:r>
          </w:p>
          <w:p w14:paraId="20E42B4A" w14:textId="77777777" w:rsidR="008D434B" w:rsidRPr="008D434B" w:rsidRDefault="008D434B" w:rsidP="008D434B">
            <w:pPr>
              <w:rPr>
                <w:rFonts w:ascii="Times New Roman" w:eastAsia="Calibri" w:hAnsi="Times New Roman" w:cs="Times New Roman"/>
                <w:sz w:val="18"/>
                <w:szCs w:val="18"/>
              </w:rPr>
            </w:pPr>
          </w:p>
          <w:p w14:paraId="6C5D6709" w14:textId="5CB7F4AD" w:rsidR="008D434B" w:rsidRPr="008D434B" w:rsidRDefault="008D434B" w:rsidP="008D434B">
            <w:pPr>
              <w:rPr>
                <w:rFonts w:ascii="Times New Roman" w:eastAsia="Calibri" w:hAnsi="Times New Roman" w:cs="Times New Roman"/>
                <w:sz w:val="18"/>
                <w:szCs w:val="18"/>
              </w:rPr>
            </w:pPr>
            <w:r>
              <w:rPr>
                <w:rFonts w:ascii="Times New Roman" w:eastAsia="Calibri" w:hAnsi="Times New Roman" w:cs="Times New Roman"/>
                <w:sz w:val="18"/>
                <w:szCs w:val="18"/>
              </w:rPr>
              <w:t>1.</w:t>
            </w:r>
            <w:r>
              <w:rPr>
                <w:rFonts w:ascii="Times New Roman" w:eastAsia="Calibri" w:hAnsi="Times New Roman" w:cs="Times New Roman"/>
                <w:sz w:val="18"/>
                <w:szCs w:val="18"/>
              </w:rPr>
              <w:tab/>
              <w:t xml:space="preserve">The information communicated between the Republic of Albania and the Member States in any form under this law shall be subject to official secrecy and enjoy the the same protection as similar information under Albanian legislation. This information may be used for the assessment, administration and enforcement of the </w:t>
            </w:r>
            <w:r w:rsidR="00467DB2">
              <w:rPr>
                <w:rFonts w:ascii="Times New Roman" w:eastAsia="Calibri" w:hAnsi="Times New Roman" w:cs="Times New Roman"/>
                <w:sz w:val="18"/>
                <w:szCs w:val="18"/>
              </w:rPr>
              <w:t>Taxation</w:t>
            </w:r>
            <w:r>
              <w:rPr>
                <w:rFonts w:ascii="Times New Roman" w:eastAsia="Calibri" w:hAnsi="Times New Roman" w:cs="Times New Roman"/>
                <w:sz w:val="18"/>
                <w:szCs w:val="18"/>
              </w:rPr>
              <w:t xml:space="preserve"> covered by this law, as well as for value added tax, other indirect </w:t>
            </w:r>
            <w:r w:rsidR="00467DB2">
              <w:rPr>
                <w:rFonts w:ascii="Times New Roman" w:eastAsia="Calibri" w:hAnsi="Times New Roman" w:cs="Times New Roman"/>
                <w:sz w:val="18"/>
                <w:szCs w:val="18"/>
              </w:rPr>
              <w:t>Taxation</w:t>
            </w:r>
            <w:r>
              <w:rPr>
                <w:rFonts w:ascii="Times New Roman" w:eastAsia="Calibri" w:hAnsi="Times New Roman" w:cs="Times New Roman"/>
                <w:sz w:val="18"/>
                <w:szCs w:val="18"/>
              </w:rPr>
              <w:t xml:space="preserve">, customs duties and for the purposes of the prevention of money laundering and countering the financing of terrorism. </w:t>
            </w:r>
          </w:p>
          <w:p w14:paraId="5646A41A" w14:textId="654724A9" w:rsidR="008D434B" w:rsidRPr="008D434B" w:rsidRDefault="008D434B" w:rsidP="008D434B">
            <w:pPr>
              <w:rPr>
                <w:rFonts w:ascii="Times New Roman" w:eastAsia="Calibri" w:hAnsi="Times New Roman" w:cs="Times New Roman"/>
                <w:sz w:val="18"/>
                <w:szCs w:val="18"/>
              </w:rPr>
            </w:pPr>
            <w:r>
              <w:rPr>
                <w:rFonts w:ascii="Times New Roman" w:eastAsia="Calibri" w:hAnsi="Times New Roman" w:cs="Times New Roman"/>
                <w:sz w:val="18"/>
                <w:szCs w:val="18"/>
              </w:rPr>
              <w:t>2.</w:t>
            </w:r>
            <w:r>
              <w:rPr>
                <w:rFonts w:ascii="Times New Roman" w:eastAsia="Calibri" w:hAnsi="Times New Roman" w:cs="Times New Roman"/>
                <w:sz w:val="18"/>
                <w:szCs w:val="18"/>
              </w:rPr>
              <w:tab/>
              <w:t xml:space="preserve">The information may also be used for the assessment and enforcement of </w:t>
            </w:r>
            <w:r w:rsidR="00467DB2">
              <w:rPr>
                <w:rFonts w:ascii="Times New Roman" w:eastAsia="Calibri" w:hAnsi="Times New Roman" w:cs="Times New Roman"/>
                <w:sz w:val="18"/>
                <w:szCs w:val="18"/>
              </w:rPr>
              <w:t>Taxation</w:t>
            </w:r>
            <w:r>
              <w:rPr>
                <w:rFonts w:ascii="Times New Roman" w:eastAsia="Calibri" w:hAnsi="Times New Roman" w:cs="Times New Roman"/>
                <w:sz w:val="18"/>
                <w:szCs w:val="18"/>
              </w:rPr>
              <w:t xml:space="preserve">, duties, charges and other measures covered by the legislation on mutual assistance in the recovery of claims, as well as for the assessment and enforcement of mandatory social and health insurance contributions. The information may also be used in administrative or judicial proceedings that may lead to sanctions, initiated as a result of infringements of tax legislation, without prejudice to the rules on the </w:t>
            </w:r>
            <w:r>
              <w:rPr>
                <w:rFonts w:ascii="Times New Roman" w:eastAsia="Calibri" w:hAnsi="Times New Roman" w:cs="Times New Roman"/>
                <w:sz w:val="18"/>
                <w:szCs w:val="18"/>
              </w:rPr>
              <w:lastRenderedPageBreak/>
              <w:t xml:space="preserve">rights of defendants, parties and witnesses in these proceedings. </w:t>
            </w:r>
          </w:p>
          <w:p w14:paraId="6F125F92" w14:textId="0EC88AA5" w:rsidR="008D434B" w:rsidRPr="008D434B" w:rsidRDefault="008D434B" w:rsidP="008D434B">
            <w:pPr>
              <w:rPr>
                <w:rFonts w:ascii="Times New Roman" w:eastAsia="Calibri" w:hAnsi="Times New Roman" w:cs="Times New Roman"/>
                <w:sz w:val="18"/>
                <w:szCs w:val="18"/>
              </w:rPr>
            </w:pPr>
            <w:r>
              <w:rPr>
                <w:rFonts w:ascii="Times New Roman" w:eastAsia="Calibri" w:hAnsi="Times New Roman" w:cs="Times New Roman"/>
                <w:sz w:val="18"/>
                <w:szCs w:val="18"/>
              </w:rPr>
              <w:t>3.</w:t>
            </w:r>
            <w:r>
              <w:rPr>
                <w:rFonts w:ascii="Times New Roman" w:eastAsia="Calibri" w:hAnsi="Times New Roman" w:cs="Times New Roman"/>
                <w:sz w:val="18"/>
                <w:szCs w:val="18"/>
              </w:rPr>
              <w:tab/>
              <w:t xml:space="preserve">With the permission of the competent authority of the Member State that has communicated the information and only to the extent permitted by Albanian legislation, the information and documents received under this law may be used for purposes other than those specified in points 1 and 2 of this Article. Permission shall be granted when the information may be used for similar purposes under the legislation of the Member State that has communicated the information. When the Member State that has communicated the information has notified a list of purposes for which the information may be used without special permission, the General Directorate of </w:t>
            </w:r>
            <w:r w:rsidR="00467DB2">
              <w:rPr>
                <w:rFonts w:ascii="Times New Roman" w:eastAsia="Calibri" w:hAnsi="Times New Roman" w:cs="Times New Roman"/>
                <w:sz w:val="18"/>
                <w:szCs w:val="18"/>
              </w:rPr>
              <w:t>Taxation</w:t>
            </w:r>
            <w:r>
              <w:rPr>
                <w:rFonts w:ascii="Times New Roman" w:eastAsia="Calibri" w:hAnsi="Times New Roman" w:cs="Times New Roman"/>
                <w:sz w:val="18"/>
                <w:szCs w:val="18"/>
              </w:rPr>
              <w:t xml:space="preserve"> may use it the information for these purposes. The information may be used without special permission also for purposes covered by an act adopted on the basis of Article 215 of the Treaty on the Functioning of the European Union, concerning restrictive measures, and may be shared for this purpose with the competent authority for restrictive measures. </w:t>
            </w:r>
          </w:p>
          <w:p w14:paraId="2EE953FC" w14:textId="5F85C122" w:rsidR="008D434B" w:rsidRPr="008D434B" w:rsidRDefault="008D434B" w:rsidP="008D434B">
            <w:pPr>
              <w:rPr>
                <w:rFonts w:ascii="Times New Roman" w:eastAsia="Calibri" w:hAnsi="Times New Roman" w:cs="Times New Roman"/>
                <w:sz w:val="18"/>
                <w:szCs w:val="18"/>
              </w:rPr>
            </w:pPr>
            <w:r>
              <w:rPr>
                <w:rFonts w:ascii="Times New Roman" w:eastAsia="Calibri" w:hAnsi="Times New Roman" w:cs="Times New Roman"/>
                <w:sz w:val="18"/>
                <w:szCs w:val="18"/>
              </w:rPr>
              <w:t>4.</w:t>
            </w:r>
            <w:r>
              <w:rPr>
                <w:rFonts w:ascii="Times New Roman" w:eastAsia="Calibri" w:hAnsi="Times New Roman" w:cs="Times New Roman"/>
                <w:sz w:val="18"/>
                <w:szCs w:val="18"/>
              </w:rPr>
              <w:tab/>
              <w:t xml:space="preserve">When the General Directorate of </w:t>
            </w:r>
            <w:r w:rsidR="00467DB2">
              <w:rPr>
                <w:rFonts w:ascii="Times New Roman" w:eastAsia="Calibri" w:hAnsi="Times New Roman" w:cs="Times New Roman"/>
                <w:sz w:val="18"/>
                <w:szCs w:val="18"/>
              </w:rPr>
              <w:t>Taxation</w:t>
            </w:r>
            <w:r>
              <w:rPr>
                <w:rFonts w:ascii="Times New Roman" w:eastAsia="Calibri" w:hAnsi="Times New Roman" w:cs="Times New Roman"/>
                <w:sz w:val="18"/>
                <w:szCs w:val="18"/>
              </w:rPr>
              <w:t xml:space="preserve"> assesses that the information received from the competent authority of a Member State may be useful to the competent authority of a third Member State, it may transmit this information to this third Member State, in accordance with the rules and procedures of this law. The General Directorate of </w:t>
            </w:r>
            <w:r w:rsidR="00467DB2">
              <w:rPr>
                <w:rFonts w:ascii="Times New Roman" w:eastAsia="Calibri" w:hAnsi="Times New Roman" w:cs="Times New Roman"/>
                <w:sz w:val="18"/>
                <w:szCs w:val="18"/>
              </w:rPr>
              <w:t>Taxation</w:t>
            </w:r>
            <w:r>
              <w:rPr>
                <w:rFonts w:ascii="Times New Roman" w:eastAsia="Calibri" w:hAnsi="Times New Roman" w:cs="Times New Roman"/>
                <w:sz w:val="18"/>
                <w:szCs w:val="18"/>
              </w:rPr>
              <w:t xml:space="preserve"> shall notify in advance the competent authority </w:t>
            </w:r>
            <w:r>
              <w:rPr>
                <w:rFonts w:ascii="Times New Roman" w:eastAsia="Calibri" w:hAnsi="Times New Roman" w:cs="Times New Roman"/>
                <w:sz w:val="18"/>
                <w:szCs w:val="18"/>
              </w:rPr>
              <w:lastRenderedPageBreak/>
              <w:t xml:space="preserve">of the Member State from which the information originates, which may object to the transmission within 15 calendar days from receipt of the notification. </w:t>
            </w:r>
          </w:p>
          <w:p w14:paraId="13A92685" w14:textId="4847AC69" w:rsidR="008D434B" w:rsidRPr="00036F88" w:rsidRDefault="008D434B" w:rsidP="008D434B">
            <w:pPr>
              <w:rPr>
                <w:rFonts w:ascii="Times New Roman" w:eastAsia="Calibri" w:hAnsi="Times New Roman" w:cs="Times New Roman"/>
                <w:sz w:val="18"/>
                <w:szCs w:val="18"/>
              </w:rPr>
            </w:pPr>
            <w:r>
              <w:rPr>
                <w:rFonts w:ascii="Times New Roman" w:eastAsia="Calibri" w:hAnsi="Times New Roman" w:cs="Times New Roman"/>
                <w:sz w:val="18"/>
                <w:szCs w:val="18"/>
              </w:rPr>
              <w:t>5.</w:t>
            </w:r>
            <w:r>
              <w:rPr>
                <w:rFonts w:ascii="Times New Roman" w:eastAsia="Calibri" w:hAnsi="Times New Roman" w:cs="Times New Roman"/>
                <w:sz w:val="18"/>
                <w:szCs w:val="18"/>
              </w:rPr>
              <w:tab/>
              <w:t>The information, reports, statements and any other document, certified copies or extracts thereof, obtained and communicated under this law, may be used as evidence by the competent authorities under the same conditions as the information, reports, statements and similar documents provided by the Albanian authorities.</w:t>
            </w:r>
          </w:p>
        </w:tc>
      </w:tr>
      <w:tr w:rsidR="008036D5" w:rsidRPr="00036F88" w14:paraId="0DB00269" w14:textId="77777777" w:rsidTr="00D50C43">
        <w:trPr>
          <w:gridAfter w:val="1"/>
          <w:wAfter w:w="353" w:type="dxa"/>
          <w:trHeight w:val="1008"/>
        </w:trPr>
        <w:tc>
          <w:tcPr>
            <w:tcW w:w="630" w:type="dxa"/>
          </w:tcPr>
          <w:p w14:paraId="54D98BCA" w14:textId="77777777" w:rsidR="008036D5" w:rsidRPr="00036F88" w:rsidRDefault="008036D5" w:rsidP="00AF6E05">
            <w:pPr>
              <w:jc w:val="both"/>
              <w:rPr>
                <w:rFonts w:ascii="Times New Roman" w:eastAsia="Calibri" w:hAnsi="Times New Roman" w:cs="Times New Roman"/>
                <w:sz w:val="18"/>
                <w:szCs w:val="18"/>
                <w:lang w:val="en-US"/>
              </w:rPr>
            </w:pPr>
            <w:bookmarkStart w:id="4" w:name="_Hlk227915243"/>
          </w:p>
        </w:tc>
        <w:tc>
          <w:tcPr>
            <w:tcW w:w="5400" w:type="dxa"/>
            <w:shd w:val="clear" w:color="auto" w:fill="D0CECE" w:themeFill="background2" w:themeFillShade="E6"/>
          </w:tcPr>
          <w:p w14:paraId="299A4825" w14:textId="77777777" w:rsidR="008036D5" w:rsidRPr="001725D0" w:rsidRDefault="008036D5" w:rsidP="008036D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1(14) (Directive 2021/514/EU)</w:t>
            </w:r>
          </w:p>
          <w:p w14:paraId="1ECE8112" w14:textId="77777777" w:rsidR="008036D5" w:rsidRPr="001725D0" w:rsidRDefault="008036D5" w:rsidP="008036D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20, paragraph 2, first subparagraph and paragraphs 3 and 4 (Directive 2011/16/EU)</w:t>
            </w:r>
          </w:p>
          <w:p w14:paraId="5008DF67" w14:textId="34592B32" w:rsidR="008036D5" w:rsidRPr="00036F88" w:rsidRDefault="008036D5" w:rsidP="00AF6E05">
            <w:pPr>
              <w:spacing w:line="276" w:lineRule="auto"/>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7F6F601C" w14:textId="77777777" w:rsidR="008036D5" w:rsidRPr="00036F88" w:rsidRDefault="008036D5" w:rsidP="00AF6E05">
            <w:pPr>
              <w:rPr>
                <w:rFonts w:ascii="Times New Roman" w:eastAsia="Calibri" w:hAnsi="Times New Roman" w:cs="Times New Roman"/>
                <w:sz w:val="18"/>
                <w:szCs w:val="18"/>
              </w:rPr>
            </w:pPr>
          </w:p>
        </w:tc>
        <w:tc>
          <w:tcPr>
            <w:tcW w:w="720" w:type="dxa"/>
            <w:shd w:val="clear" w:color="auto" w:fill="D0CECE" w:themeFill="background2" w:themeFillShade="E6"/>
          </w:tcPr>
          <w:p w14:paraId="6EC70F60" w14:textId="77777777" w:rsidR="008036D5" w:rsidRPr="00036F88" w:rsidRDefault="008036D5" w:rsidP="00AF6E05">
            <w:pPr>
              <w:rPr>
                <w:rFonts w:ascii="Times New Roman" w:eastAsia="Calibri" w:hAnsi="Times New Roman" w:cs="Times New Roman"/>
                <w:sz w:val="18"/>
                <w:szCs w:val="18"/>
                <w:lang w:val="en-US"/>
              </w:rPr>
            </w:pPr>
          </w:p>
        </w:tc>
        <w:tc>
          <w:tcPr>
            <w:tcW w:w="5040" w:type="dxa"/>
            <w:gridSpan w:val="2"/>
            <w:shd w:val="clear" w:color="auto" w:fill="D0CECE" w:themeFill="background2" w:themeFillShade="E6"/>
          </w:tcPr>
          <w:p w14:paraId="65A5C3CB" w14:textId="77777777" w:rsidR="008036D5" w:rsidRPr="00036F88" w:rsidRDefault="008036D5" w:rsidP="00AF6E05">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tc>
        <w:tc>
          <w:tcPr>
            <w:tcW w:w="720" w:type="dxa"/>
            <w:gridSpan w:val="2"/>
            <w:shd w:val="clear" w:color="auto" w:fill="D0CECE" w:themeFill="background2" w:themeFillShade="E6"/>
          </w:tcPr>
          <w:p w14:paraId="23552E92" w14:textId="77777777" w:rsidR="008036D5" w:rsidRPr="00036F88" w:rsidRDefault="008036D5" w:rsidP="00AF6E05">
            <w:pPr>
              <w:jc w:val="center"/>
              <w:rPr>
                <w:rFonts w:ascii="Times New Roman" w:eastAsia="Calibri" w:hAnsi="Times New Roman" w:cs="Times New Roman"/>
                <w:sz w:val="18"/>
                <w:szCs w:val="18"/>
                <w:lang w:val="en-US"/>
              </w:rPr>
            </w:pPr>
          </w:p>
        </w:tc>
        <w:tc>
          <w:tcPr>
            <w:tcW w:w="3240" w:type="dxa"/>
            <w:gridSpan w:val="2"/>
            <w:shd w:val="clear" w:color="auto" w:fill="D0CECE" w:themeFill="background2" w:themeFillShade="E6"/>
          </w:tcPr>
          <w:p w14:paraId="15E85921" w14:textId="77777777" w:rsidR="008036D5" w:rsidRPr="00036F88" w:rsidRDefault="008036D5" w:rsidP="00AF6E05">
            <w:pPr>
              <w:rPr>
                <w:rFonts w:ascii="Times New Roman" w:eastAsia="Calibri" w:hAnsi="Times New Roman" w:cs="Times New Roman"/>
                <w:sz w:val="18"/>
                <w:szCs w:val="18"/>
                <w:lang w:val="en-US"/>
              </w:rPr>
            </w:pPr>
          </w:p>
        </w:tc>
      </w:tr>
      <w:bookmarkEnd w:id="4"/>
      <w:tr w:rsidR="00E172D2" w:rsidRPr="00036F88" w14:paraId="613C1CFC" w14:textId="77777777" w:rsidTr="00D50C43">
        <w:trPr>
          <w:gridAfter w:val="1"/>
          <w:wAfter w:w="353" w:type="dxa"/>
          <w:trHeight w:val="4013"/>
        </w:trPr>
        <w:tc>
          <w:tcPr>
            <w:tcW w:w="630" w:type="dxa"/>
          </w:tcPr>
          <w:p w14:paraId="06AC66D3" w14:textId="77777777" w:rsidR="00E172D2" w:rsidRPr="00036F88" w:rsidRDefault="00E172D2" w:rsidP="003C045B">
            <w:pPr>
              <w:jc w:val="both"/>
              <w:rPr>
                <w:rFonts w:ascii="Times New Roman" w:eastAsia="Calibri" w:hAnsi="Times New Roman" w:cs="Times New Roman"/>
                <w:sz w:val="18"/>
                <w:szCs w:val="18"/>
              </w:rPr>
            </w:pPr>
          </w:p>
        </w:tc>
        <w:tc>
          <w:tcPr>
            <w:tcW w:w="5400" w:type="dxa"/>
          </w:tcPr>
          <w:p w14:paraId="78A58C88" w14:textId="77777777" w:rsidR="008036D5" w:rsidRPr="001725D0" w:rsidRDefault="008036D5" w:rsidP="008036D5">
            <w:pPr>
              <w:jc w:val="both"/>
              <w:rPr>
                <w:rFonts w:ascii="Times New Roman" w:eastAsia="Calibri" w:hAnsi="Times New Roman" w:cs="Times New Roman"/>
                <w:iCs/>
                <w:sz w:val="18"/>
                <w:szCs w:val="18"/>
                <w:lang w:val="en-US"/>
              </w:rPr>
            </w:pPr>
          </w:p>
          <w:p w14:paraId="020D391E" w14:textId="77777777" w:rsidR="008036D5" w:rsidRPr="001725D0" w:rsidRDefault="008036D5" w:rsidP="008036D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'2. The standard form referred to in paragraph 1 must include at least the following information to be provided by the requesting authority: (a) the identity of the person under review or investigation and, in the case of group requests as referred to in Article 5a(3), a detailed description of the group; (b) the tax purpose for which the information is requested.'</w:t>
            </w:r>
          </w:p>
          <w:p w14:paraId="5054E32D" w14:textId="77777777" w:rsidR="008036D5" w:rsidRPr="001725D0" w:rsidRDefault="008036D5" w:rsidP="008036D5">
            <w:pPr>
              <w:jc w:val="both"/>
              <w:rPr>
                <w:rFonts w:ascii="Times New Roman" w:eastAsia="Calibri" w:hAnsi="Times New Roman" w:cs="Times New Roman"/>
                <w:iCs/>
                <w:sz w:val="18"/>
                <w:szCs w:val="18"/>
                <w:lang w:val="en-US"/>
              </w:rPr>
            </w:pPr>
          </w:p>
          <w:p w14:paraId="639C26CA" w14:textId="77777777" w:rsidR="008036D5" w:rsidRPr="001725D0" w:rsidRDefault="008036D5" w:rsidP="008036D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'3. Spontaneous information and its confirmation pursuant to Articles 9 and 10 respectively, requests for administrative notifications pursuant to Article 13, feedback information pursuant to Article 14 and communications pursuant to Article 16(2) and (3) and Article 24(2) must be sent using the standard forms approved by the Commission in accordance with the procedure referred to in Article 26(2).</w:t>
            </w:r>
          </w:p>
          <w:p w14:paraId="7889045F" w14:textId="77777777" w:rsidR="008036D5" w:rsidRPr="001725D0" w:rsidRDefault="008036D5" w:rsidP="008036D5">
            <w:pPr>
              <w:jc w:val="both"/>
              <w:rPr>
                <w:rFonts w:ascii="Times New Roman" w:eastAsia="Calibri" w:hAnsi="Times New Roman" w:cs="Times New Roman"/>
                <w:iCs/>
                <w:sz w:val="18"/>
                <w:szCs w:val="18"/>
                <w:lang w:val="en-US"/>
              </w:rPr>
            </w:pPr>
          </w:p>
          <w:p w14:paraId="1EF17064" w14:textId="3B79AD6B" w:rsidR="00E172D2" w:rsidRPr="001725D0" w:rsidRDefault="008036D5" w:rsidP="008036D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4. The automatic exchange of information in accordance with Articles 8 and 8ac shall be carried out using a standard computerised format intended to facilitate such automatic exchange, adopted by the Commission in accordance with the procedure referred to in Article 26(2).';</w:t>
            </w:r>
          </w:p>
        </w:tc>
        <w:tc>
          <w:tcPr>
            <w:tcW w:w="540" w:type="dxa"/>
          </w:tcPr>
          <w:p w14:paraId="2F716799" w14:textId="77777777" w:rsidR="00E172D2" w:rsidRPr="00036F88" w:rsidRDefault="00E172D2" w:rsidP="003C045B">
            <w:pPr>
              <w:jc w:val="center"/>
              <w:rPr>
                <w:rFonts w:ascii="Times New Roman" w:eastAsia="Calibri" w:hAnsi="Times New Roman" w:cs="Times New Roman"/>
                <w:sz w:val="18"/>
                <w:szCs w:val="18"/>
                <w:highlight w:val="cyan"/>
              </w:rPr>
            </w:pPr>
          </w:p>
        </w:tc>
        <w:tc>
          <w:tcPr>
            <w:tcW w:w="720" w:type="dxa"/>
          </w:tcPr>
          <w:p w14:paraId="5E1ABD3F" w14:textId="77777777" w:rsidR="00E172D2" w:rsidRDefault="00E172D2" w:rsidP="003C045B">
            <w:pPr>
              <w:jc w:val="center"/>
              <w:rPr>
                <w:rFonts w:ascii="Times New Roman" w:eastAsia="Calibri" w:hAnsi="Times New Roman" w:cs="Times New Roman"/>
                <w:sz w:val="18"/>
                <w:szCs w:val="18"/>
                <w:highlight w:val="cyan"/>
                <w:lang w:val="en-US"/>
              </w:rPr>
            </w:pPr>
          </w:p>
          <w:p w14:paraId="65D60BF4" w14:textId="77777777" w:rsidR="00D2162C" w:rsidRDefault="00D2162C" w:rsidP="003C045B">
            <w:pPr>
              <w:jc w:val="center"/>
              <w:rPr>
                <w:rFonts w:ascii="Times New Roman" w:eastAsia="Calibri" w:hAnsi="Times New Roman" w:cs="Times New Roman"/>
                <w:sz w:val="18"/>
                <w:szCs w:val="18"/>
                <w:highlight w:val="cyan"/>
                <w:lang w:val="en-US"/>
              </w:rPr>
            </w:pPr>
          </w:p>
          <w:p w14:paraId="2CA0260F" w14:textId="1D914416" w:rsidR="00D2162C" w:rsidRPr="001725D0" w:rsidRDefault="00D2162C"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N/A</w:t>
            </w:r>
          </w:p>
        </w:tc>
        <w:tc>
          <w:tcPr>
            <w:tcW w:w="5040" w:type="dxa"/>
            <w:gridSpan w:val="2"/>
          </w:tcPr>
          <w:p w14:paraId="24B5DAB2" w14:textId="77777777" w:rsidR="008036D5" w:rsidRDefault="008036D5" w:rsidP="008036D5">
            <w:pPr>
              <w:jc w:val="center"/>
              <w:rPr>
                <w:rFonts w:ascii="Times New Roman" w:hAnsi="Times New Roman" w:cs="Times New Roman"/>
                <w:sz w:val="18"/>
                <w:szCs w:val="18"/>
              </w:rPr>
            </w:pPr>
          </w:p>
          <w:p w14:paraId="0CC19096" w14:textId="77777777" w:rsidR="008036D5" w:rsidRDefault="008036D5" w:rsidP="008036D5">
            <w:pPr>
              <w:jc w:val="center"/>
              <w:rPr>
                <w:rFonts w:ascii="Times New Roman" w:hAnsi="Times New Roman" w:cs="Times New Roman"/>
                <w:sz w:val="18"/>
                <w:szCs w:val="18"/>
              </w:rPr>
            </w:pPr>
          </w:p>
          <w:p w14:paraId="16E0E03F" w14:textId="6F939B81" w:rsidR="00E172D2" w:rsidRPr="00036F88" w:rsidRDefault="008036D5" w:rsidP="008036D5">
            <w:pPr>
              <w:jc w:val="center"/>
              <w:rPr>
                <w:rFonts w:ascii="Times New Roman" w:hAnsi="Times New Roman" w:cs="Times New Roman"/>
                <w:sz w:val="18"/>
                <w:szCs w:val="18"/>
              </w:rPr>
            </w:pPr>
            <w:r>
              <w:rPr>
                <w:rFonts w:ascii="Times New Roman" w:hAnsi="Times New Roman" w:cs="Times New Roman"/>
                <w:sz w:val="18"/>
                <w:szCs w:val="18"/>
              </w:rPr>
              <w:t>N/A</w:t>
            </w:r>
          </w:p>
        </w:tc>
        <w:tc>
          <w:tcPr>
            <w:tcW w:w="720" w:type="dxa"/>
            <w:gridSpan w:val="2"/>
          </w:tcPr>
          <w:p w14:paraId="4C2A9D69" w14:textId="27246FA6" w:rsidR="00E172D2" w:rsidRDefault="00E172D2" w:rsidP="003C045B">
            <w:pPr>
              <w:jc w:val="center"/>
              <w:rPr>
                <w:rFonts w:ascii="Times New Roman" w:eastAsia="Calibri" w:hAnsi="Times New Roman" w:cs="Times New Roman"/>
                <w:sz w:val="18"/>
                <w:szCs w:val="18"/>
              </w:rPr>
            </w:pPr>
          </w:p>
          <w:p w14:paraId="17C949F7" w14:textId="77777777" w:rsidR="00D2162C" w:rsidRDefault="00D2162C" w:rsidP="003C045B">
            <w:pPr>
              <w:jc w:val="center"/>
              <w:rPr>
                <w:rFonts w:ascii="Times New Roman" w:eastAsia="Calibri" w:hAnsi="Times New Roman" w:cs="Times New Roman"/>
                <w:sz w:val="18"/>
                <w:szCs w:val="18"/>
              </w:rPr>
            </w:pPr>
          </w:p>
          <w:p w14:paraId="4C079FB6" w14:textId="31A2965E" w:rsidR="00D2162C" w:rsidRDefault="00D2162C"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N/A</w:t>
            </w:r>
          </w:p>
        </w:tc>
        <w:tc>
          <w:tcPr>
            <w:tcW w:w="3240" w:type="dxa"/>
            <w:gridSpan w:val="2"/>
          </w:tcPr>
          <w:p w14:paraId="7371BE0A" w14:textId="77777777" w:rsidR="008036D5" w:rsidRPr="008036D5" w:rsidRDefault="008036D5" w:rsidP="008036D5">
            <w:pPr>
              <w:rPr>
                <w:rFonts w:ascii="Times New Roman" w:eastAsia="Calibri" w:hAnsi="Times New Roman" w:cs="Times New Roman"/>
                <w:sz w:val="18"/>
                <w:szCs w:val="18"/>
              </w:rPr>
            </w:pPr>
          </w:p>
          <w:p w14:paraId="6D9471C0" w14:textId="77777777" w:rsidR="008036D5" w:rsidRPr="008036D5" w:rsidRDefault="008036D5" w:rsidP="008036D5">
            <w:pPr>
              <w:rPr>
                <w:rFonts w:ascii="Times New Roman" w:eastAsia="Calibri" w:hAnsi="Times New Roman" w:cs="Times New Roman"/>
                <w:sz w:val="18"/>
                <w:szCs w:val="18"/>
              </w:rPr>
            </w:pPr>
            <w:r>
              <w:rPr>
                <w:rFonts w:ascii="Times New Roman" w:eastAsia="Calibri" w:hAnsi="Times New Roman" w:cs="Times New Roman"/>
                <w:sz w:val="18"/>
                <w:szCs w:val="18"/>
              </w:rPr>
              <w:t>Does not require transposition in this Law.</w:t>
            </w:r>
          </w:p>
          <w:p w14:paraId="72DCD725" w14:textId="77777777" w:rsidR="008036D5" w:rsidRPr="008036D5" w:rsidRDefault="008036D5" w:rsidP="008036D5">
            <w:pPr>
              <w:rPr>
                <w:rFonts w:ascii="Times New Roman" w:eastAsia="Calibri" w:hAnsi="Times New Roman" w:cs="Times New Roman"/>
                <w:sz w:val="18"/>
                <w:szCs w:val="18"/>
              </w:rPr>
            </w:pPr>
          </w:p>
          <w:p w14:paraId="1D36A526" w14:textId="77777777" w:rsidR="008036D5" w:rsidRPr="008036D5" w:rsidRDefault="008036D5" w:rsidP="008036D5">
            <w:pPr>
              <w:rPr>
                <w:rFonts w:ascii="Times New Roman" w:eastAsia="Calibri" w:hAnsi="Times New Roman" w:cs="Times New Roman"/>
                <w:sz w:val="18"/>
                <w:szCs w:val="18"/>
              </w:rPr>
            </w:pPr>
            <w:r>
              <w:rPr>
                <w:rFonts w:ascii="Times New Roman" w:eastAsia="Calibri" w:hAnsi="Times New Roman" w:cs="Times New Roman"/>
                <w:sz w:val="18"/>
                <w:szCs w:val="18"/>
              </w:rPr>
              <w:t>This provision regulates standard forms and standardised electronic formats.</w:t>
            </w:r>
          </w:p>
          <w:p w14:paraId="546A5C46" w14:textId="77777777" w:rsidR="008036D5" w:rsidRPr="008036D5" w:rsidRDefault="008036D5" w:rsidP="008036D5">
            <w:pPr>
              <w:rPr>
                <w:rFonts w:ascii="Times New Roman" w:eastAsia="Calibri" w:hAnsi="Times New Roman" w:cs="Times New Roman"/>
                <w:sz w:val="18"/>
                <w:szCs w:val="18"/>
              </w:rPr>
            </w:pPr>
            <w:r>
              <w:rPr>
                <w:rFonts w:ascii="Times New Roman" w:eastAsia="Calibri" w:hAnsi="Times New Roman" w:cs="Times New Roman"/>
                <w:sz w:val="18"/>
                <w:szCs w:val="18"/>
              </w:rPr>
              <w:t>for administrative cooperation and automatic exchange of information between</w:t>
            </w:r>
          </w:p>
          <w:p w14:paraId="16FE2487" w14:textId="77777777" w:rsidR="00E172D2" w:rsidRDefault="008036D5" w:rsidP="008036D5">
            <w:pPr>
              <w:rPr>
                <w:rFonts w:ascii="Times New Roman" w:eastAsia="Calibri" w:hAnsi="Times New Roman" w:cs="Times New Roman"/>
                <w:sz w:val="18"/>
                <w:szCs w:val="18"/>
              </w:rPr>
            </w:pPr>
            <w:r>
              <w:rPr>
                <w:rFonts w:ascii="Times New Roman" w:eastAsia="Calibri" w:hAnsi="Times New Roman" w:cs="Times New Roman"/>
                <w:sz w:val="18"/>
                <w:szCs w:val="18"/>
              </w:rPr>
              <w:t>competent authority</w:t>
            </w:r>
          </w:p>
          <w:p w14:paraId="67A2AAC8" w14:textId="77777777" w:rsidR="009F62F6" w:rsidRDefault="009F62F6" w:rsidP="008036D5">
            <w:pPr>
              <w:rPr>
                <w:rFonts w:ascii="Times New Roman" w:eastAsia="Calibri" w:hAnsi="Times New Roman" w:cs="Times New Roman"/>
                <w:sz w:val="18"/>
                <w:szCs w:val="18"/>
              </w:rPr>
            </w:pPr>
          </w:p>
          <w:p w14:paraId="667EB264" w14:textId="30115431" w:rsidR="009F62F6" w:rsidRDefault="008D434B" w:rsidP="009F62F6">
            <w:pPr>
              <w:rPr>
                <w:rFonts w:ascii="Times New Roman" w:eastAsia="Calibri" w:hAnsi="Times New Roman" w:cs="Times New Roman"/>
                <w:sz w:val="18"/>
                <w:szCs w:val="18"/>
                <w:highlight w:val="yellow"/>
                <w:lang w:val="en-US"/>
              </w:rPr>
            </w:pPr>
            <w:r>
              <w:rPr>
                <w:rFonts w:ascii="Times New Roman" w:eastAsia="Calibri" w:hAnsi="Times New Roman" w:cs="Times New Roman"/>
                <w:sz w:val="18"/>
                <w:szCs w:val="18"/>
                <w:lang w:val="en-US"/>
              </w:rPr>
              <w:t xml:space="preserve">This is transposed from Article 22 and 23 of the general DAC law </w:t>
            </w:r>
          </w:p>
          <w:p w14:paraId="222A0B3D" w14:textId="77777777" w:rsidR="009F62F6" w:rsidRDefault="009F62F6" w:rsidP="008036D5">
            <w:pPr>
              <w:rPr>
                <w:rFonts w:ascii="Times New Roman" w:eastAsia="Calibri" w:hAnsi="Times New Roman" w:cs="Times New Roman"/>
                <w:sz w:val="18"/>
                <w:szCs w:val="18"/>
              </w:rPr>
            </w:pPr>
          </w:p>
          <w:p w14:paraId="0BB4AAF2" w14:textId="77777777" w:rsidR="008D434B" w:rsidRPr="008D434B" w:rsidRDefault="008D434B" w:rsidP="008D434B">
            <w:pPr>
              <w:rPr>
                <w:rFonts w:ascii="Times New Roman" w:eastAsia="Calibri" w:hAnsi="Times New Roman" w:cs="Times New Roman"/>
                <w:sz w:val="18"/>
                <w:szCs w:val="18"/>
              </w:rPr>
            </w:pPr>
            <w:r>
              <w:rPr>
                <w:rFonts w:ascii="Times New Roman" w:eastAsia="Calibri" w:hAnsi="Times New Roman" w:cs="Times New Roman"/>
                <w:sz w:val="18"/>
                <w:szCs w:val="18"/>
              </w:rPr>
              <w:t>Article 22</w:t>
            </w:r>
          </w:p>
          <w:p w14:paraId="2D0EB33F" w14:textId="77777777" w:rsidR="008D434B" w:rsidRPr="008D434B" w:rsidRDefault="008D434B" w:rsidP="008D434B">
            <w:pPr>
              <w:rPr>
                <w:rFonts w:ascii="Times New Roman" w:eastAsia="Calibri" w:hAnsi="Times New Roman" w:cs="Times New Roman"/>
                <w:sz w:val="18"/>
                <w:szCs w:val="18"/>
              </w:rPr>
            </w:pPr>
            <w:r>
              <w:rPr>
                <w:rFonts w:ascii="Times New Roman" w:eastAsia="Calibri" w:hAnsi="Times New Roman" w:cs="Times New Roman"/>
                <w:sz w:val="18"/>
                <w:szCs w:val="18"/>
              </w:rPr>
              <w:t>Standard Forms, Computerised Formats and Languages</w:t>
            </w:r>
          </w:p>
          <w:p w14:paraId="27FF4D9B" w14:textId="77777777" w:rsidR="008D434B" w:rsidRPr="008D434B" w:rsidRDefault="008D434B" w:rsidP="008D434B">
            <w:pPr>
              <w:rPr>
                <w:rFonts w:ascii="Times New Roman" w:eastAsia="Calibri" w:hAnsi="Times New Roman" w:cs="Times New Roman"/>
                <w:sz w:val="18"/>
                <w:szCs w:val="18"/>
              </w:rPr>
            </w:pPr>
            <w:r>
              <w:rPr>
                <w:rFonts w:ascii="Times New Roman" w:eastAsia="Calibri" w:hAnsi="Times New Roman" w:cs="Times New Roman"/>
                <w:sz w:val="18"/>
                <w:szCs w:val="18"/>
              </w:rPr>
              <w:t>1.</w:t>
            </w:r>
            <w:r>
              <w:rPr>
                <w:rFonts w:ascii="Times New Roman" w:eastAsia="Calibri" w:hAnsi="Times New Roman" w:cs="Times New Roman"/>
                <w:sz w:val="18"/>
                <w:szCs w:val="18"/>
              </w:rPr>
              <w:tab/>
              <w:t xml:space="preserve">All requests for information, administrative requests and their replies, including confirmations, requests for additional information and notifications </w:t>
            </w:r>
            <w:r>
              <w:rPr>
                <w:rFonts w:ascii="Times New Roman" w:eastAsia="Calibri" w:hAnsi="Times New Roman" w:cs="Times New Roman"/>
                <w:sz w:val="18"/>
                <w:szCs w:val="18"/>
              </w:rPr>
              <w:lastRenderedPageBreak/>
              <w:t>of impossibility or refusal, shall be sent, as much as possible, using the standard forms provided for in the Decision of the Council of Ministers. This ensures that every communication is carried out in a harmonised and structured manner, facilitating the exchange of information between the competent authorities.</w:t>
            </w:r>
          </w:p>
          <w:p w14:paraId="0851055C" w14:textId="77777777" w:rsidR="008D434B" w:rsidRPr="008D434B" w:rsidRDefault="008D434B" w:rsidP="008D434B">
            <w:pPr>
              <w:rPr>
                <w:rFonts w:ascii="Times New Roman" w:eastAsia="Calibri" w:hAnsi="Times New Roman" w:cs="Times New Roman"/>
                <w:sz w:val="18"/>
                <w:szCs w:val="18"/>
              </w:rPr>
            </w:pPr>
            <w:r>
              <w:rPr>
                <w:rFonts w:ascii="Times New Roman" w:eastAsia="Calibri" w:hAnsi="Times New Roman" w:cs="Times New Roman"/>
                <w:sz w:val="18"/>
                <w:szCs w:val="18"/>
              </w:rPr>
              <w:t>2.</w:t>
            </w:r>
            <w:r>
              <w:rPr>
                <w:rFonts w:ascii="Times New Roman" w:eastAsia="Calibri" w:hAnsi="Times New Roman" w:cs="Times New Roman"/>
                <w:sz w:val="18"/>
                <w:szCs w:val="18"/>
              </w:rPr>
              <w:tab/>
              <w:t>Spontaneous exchanges, requests for administrative notification and assessments also use the standard forms provided for in the Decision of the Council of Ministers, ensuring uniformity and clarity throughout all administrative processes.</w:t>
            </w:r>
          </w:p>
          <w:p w14:paraId="274749EE" w14:textId="58B62018" w:rsidR="008D434B" w:rsidRPr="008D434B" w:rsidRDefault="008D434B" w:rsidP="008D434B">
            <w:pPr>
              <w:rPr>
                <w:rFonts w:ascii="Times New Roman" w:eastAsia="Calibri" w:hAnsi="Times New Roman" w:cs="Times New Roman"/>
                <w:sz w:val="18"/>
                <w:szCs w:val="18"/>
              </w:rPr>
            </w:pPr>
            <w:r>
              <w:rPr>
                <w:rFonts w:ascii="Times New Roman" w:eastAsia="Calibri" w:hAnsi="Times New Roman" w:cs="Times New Roman"/>
                <w:sz w:val="18"/>
                <w:szCs w:val="18"/>
              </w:rPr>
              <w:t>3.</w:t>
            </w:r>
            <w:r>
              <w:rPr>
                <w:rFonts w:ascii="Times New Roman" w:eastAsia="Calibri" w:hAnsi="Times New Roman" w:cs="Times New Roman"/>
                <w:sz w:val="18"/>
                <w:szCs w:val="18"/>
              </w:rPr>
              <w:tab/>
              <w:t xml:space="preserve">Communications under this law may be made in any language agreed between the competent authority and the other relevant authority. For the main parts, the General Directorate of </w:t>
            </w:r>
            <w:r w:rsidR="00467DB2">
              <w:rPr>
                <w:rFonts w:ascii="Times New Roman" w:eastAsia="Calibri" w:hAnsi="Times New Roman" w:cs="Times New Roman"/>
                <w:sz w:val="18"/>
                <w:szCs w:val="18"/>
              </w:rPr>
              <w:t>Taxation</w:t>
            </w:r>
            <w:r>
              <w:rPr>
                <w:rFonts w:ascii="Times New Roman" w:eastAsia="Calibri" w:hAnsi="Times New Roman" w:cs="Times New Roman"/>
                <w:sz w:val="18"/>
                <w:szCs w:val="18"/>
              </w:rPr>
              <w:t xml:space="preserve"> shall accept the use of the English language, when this is provided for by the implementing acts of the European Union.</w:t>
            </w:r>
          </w:p>
          <w:p w14:paraId="74EBE914" w14:textId="77777777" w:rsidR="008D434B" w:rsidRPr="008D434B" w:rsidRDefault="008D434B" w:rsidP="008D434B">
            <w:pPr>
              <w:rPr>
                <w:rFonts w:ascii="Times New Roman" w:eastAsia="Calibri" w:hAnsi="Times New Roman" w:cs="Times New Roman"/>
                <w:sz w:val="18"/>
                <w:szCs w:val="18"/>
              </w:rPr>
            </w:pPr>
            <w:r>
              <w:rPr>
                <w:rFonts w:ascii="Times New Roman" w:eastAsia="Calibri" w:hAnsi="Times New Roman" w:cs="Times New Roman"/>
                <w:sz w:val="18"/>
                <w:szCs w:val="18"/>
              </w:rPr>
              <w:t>4.</w:t>
            </w:r>
            <w:r>
              <w:rPr>
                <w:rFonts w:ascii="Times New Roman" w:eastAsia="Calibri" w:hAnsi="Times New Roman" w:cs="Times New Roman"/>
                <w:sz w:val="18"/>
                <w:szCs w:val="18"/>
              </w:rPr>
              <w:tab/>
              <w:t>The references to the implementing acts of the European Union refer to these acts, while the Decision of the Council of Ministers may update links to the other acts as necessary.</w:t>
            </w:r>
          </w:p>
          <w:p w14:paraId="19599842" w14:textId="77777777" w:rsidR="008D434B" w:rsidRPr="008D434B" w:rsidRDefault="008D434B" w:rsidP="008D434B">
            <w:pPr>
              <w:rPr>
                <w:rFonts w:ascii="Times New Roman" w:eastAsia="Calibri" w:hAnsi="Times New Roman" w:cs="Times New Roman"/>
                <w:sz w:val="18"/>
                <w:szCs w:val="18"/>
              </w:rPr>
            </w:pPr>
            <w:r>
              <w:rPr>
                <w:rFonts w:ascii="Times New Roman" w:eastAsia="Calibri" w:hAnsi="Times New Roman" w:cs="Times New Roman"/>
                <w:sz w:val="18"/>
                <w:szCs w:val="18"/>
              </w:rPr>
              <w:t>5.</w:t>
            </w:r>
            <w:r>
              <w:rPr>
                <w:rFonts w:ascii="Times New Roman" w:eastAsia="Calibri" w:hAnsi="Times New Roman" w:cs="Times New Roman"/>
                <w:sz w:val="18"/>
                <w:szCs w:val="18"/>
              </w:rPr>
              <w:tab/>
              <w:t>For the automatic exchanges under Article 11, the minimum data fields, verifications, formats and timetable are determined by Annex 1 and Annex 2 of the Decision of the Council of Ministers, ensuring standardisation, accuracy and transparency in the reporting and exchange of information.</w:t>
            </w:r>
          </w:p>
          <w:p w14:paraId="411098C9" w14:textId="77777777" w:rsidR="008D434B" w:rsidRDefault="008D434B" w:rsidP="008D434B">
            <w:pPr>
              <w:rPr>
                <w:rFonts w:ascii="Times New Roman" w:eastAsia="Calibri" w:hAnsi="Times New Roman" w:cs="Times New Roman"/>
                <w:sz w:val="18"/>
                <w:szCs w:val="18"/>
              </w:rPr>
            </w:pPr>
          </w:p>
          <w:p w14:paraId="1D32D659" w14:textId="2F573ECA" w:rsidR="008D434B" w:rsidRPr="008D434B" w:rsidRDefault="008D434B" w:rsidP="008D434B">
            <w:pPr>
              <w:rPr>
                <w:rFonts w:ascii="Times New Roman" w:eastAsia="Calibri" w:hAnsi="Times New Roman" w:cs="Times New Roman"/>
                <w:sz w:val="18"/>
                <w:szCs w:val="18"/>
              </w:rPr>
            </w:pPr>
            <w:r>
              <w:rPr>
                <w:rFonts w:ascii="Times New Roman" w:eastAsia="Calibri" w:hAnsi="Times New Roman" w:cs="Times New Roman"/>
                <w:sz w:val="18"/>
                <w:szCs w:val="18"/>
              </w:rPr>
              <w:t>Article 23</w:t>
            </w:r>
          </w:p>
          <w:p w14:paraId="4255DAEA" w14:textId="77777777" w:rsidR="008D434B" w:rsidRPr="008D434B" w:rsidRDefault="008D434B" w:rsidP="008D434B">
            <w:pPr>
              <w:rPr>
                <w:rFonts w:ascii="Times New Roman" w:eastAsia="Calibri" w:hAnsi="Times New Roman" w:cs="Times New Roman"/>
                <w:sz w:val="18"/>
                <w:szCs w:val="18"/>
              </w:rPr>
            </w:pPr>
            <w:r>
              <w:rPr>
                <w:rFonts w:ascii="Times New Roman" w:eastAsia="Calibri" w:hAnsi="Times New Roman" w:cs="Times New Roman"/>
                <w:sz w:val="18"/>
                <w:szCs w:val="18"/>
              </w:rPr>
              <w:lastRenderedPageBreak/>
              <w:t>Secure central registers, central interfaces and European information exchange systems</w:t>
            </w:r>
          </w:p>
          <w:p w14:paraId="72BC20E4" w14:textId="77777777" w:rsidR="008D434B" w:rsidRPr="008D434B" w:rsidRDefault="008D434B" w:rsidP="008D434B">
            <w:pPr>
              <w:rPr>
                <w:rFonts w:ascii="Times New Roman" w:eastAsia="Calibri" w:hAnsi="Times New Roman" w:cs="Times New Roman"/>
                <w:sz w:val="18"/>
                <w:szCs w:val="18"/>
              </w:rPr>
            </w:pPr>
            <w:r>
              <w:rPr>
                <w:rFonts w:ascii="Times New Roman" w:eastAsia="Calibri" w:hAnsi="Times New Roman" w:cs="Times New Roman"/>
                <w:sz w:val="18"/>
                <w:szCs w:val="18"/>
              </w:rPr>
              <w:t>1.</w:t>
            </w:r>
            <w:r>
              <w:rPr>
                <w:rFonts w:ascii="Times New Roman" w:eastAsia="Calibri" w:hAnsi="Times New Roman" w:cs="Times New Roman"/>
                <w:sz w:val="18"/>
                <w:szCs w:val="18"/>
              </w:rPr>
              <w:tab/>
              <w:t>When the legislation of the European Union provides for the use of central directories or other electronic systems for the exchange or making available of information for the purposes of this law, the General Directorate of Taxation uses these systems through the CCN network, in accordance with the practical arrangements adopted at the level of the European Union.</w:t>
            </w:r>
          </w:p>
          <w:p w14:paraId="3646BB85" w14:textId="77777777" w:rsidR="008D434B" w:rsidRPr="008D434B" w:rsidRDefault="008D434B" w:rsidP="008D434B">
            <w:pPr>
              <w:rPr>
                <w:rFonts w:ascii="Times New Roman" w:eastAsia="Calibri" w:hAnsi="Times New Roman" w:cs="Times New Roman"/>
                <w:sz w:val="18"/>
                <w:szCs w:val="18"/>
              </w:rPr>
            </w:pPr>
            <w:r>
              <w:rPr>
                <w:rFonts w:ascii="Times New Roman" w:eastAsia="Calibri" w:hAnsi="Times New Roman" w:cs="Times New Roman"/>
                <w:sz w:val="18"/>
                <w:szCs w:val="18"/>
              </w:rPr>
              <w:t>2.</w:t>
            </w:r>
            <w:r>
              <w:rPr>
                <w:rFonts w:ascii="Times New Roman" w:eastAsia="Calibri" w:hAnsi="Times New Roman" w:cs="Times New Roman"/>
                <w:sz w:val="18"/>
                <w:szCs w:val="18"/>
              </w:rPr>
              <w:tab/>
              <w:t>The General Directorate of Taxation ensures that the information and documents transmitted through these systems are accurate, complete, submitted on time and available to the competent authorities of the Member States, in accordance with this law.</w:t>
            </w:r>
          </w:p>
          <w:p w14:paraId="5B86E640" w14:textId="5294BE59" w:rsidR="008D434B" w:rsidRPr="00036F88" w:rsidRDefault="008D434B" w:rsidP="008D434B">
            <w:pPr>
              <w:rPr>
                <w:rFonts w:ascii="Times New Roman" w:eastAsia="Calibri" w:hAnsi="Times New Roman" w:cs="Times New Roman"/>
                <w:sz w:val="18"/>
                <w:szCs w:val="18"/>
              </w:rPr>
            </w:pPr>
            <w:r>
              <w:rPr>
                <w:rFonts w:ascii="Times New Roman" w:eastAsia="Calibri" w:hAnsi="Times New Roman" w:cs="Times New Roman"/>
                <w:sz w:val="18"/>
                <w:szCs w:val="18"/>
              </w:rPr>
              <w:t>3.</w:t>
            </w:r>
            <w:r>
              <w:rPr>
                <w:rFonts w:ascii="Times New Roman" w:eastAsia="Calibri" w:hAnsi="Times New Roman" w:cs="Times New Roman"/>
                <w:sz w:val="18"/>
                <w:szCs w:val="18"/>
              </w:rPr>
              <w:tab/>
              <w:t>The technical, procedural and organisational details for the use of these systems, including access and exchange of information, are determined by Decision of the Council of Ministers, in accordance with the acts of the European Union.</w:t>
            </w:r>
          </w:p>
        </w:tc>
      </w:tr>
      <w:tr w:rsidR="008036D5" w:rsidRPr="00036F88" w14:paraId="74829C0D" w14:textId="77777777" w:rsidTr="00D50C43">
        <w:trPr>
          <w:gridAfter w:val="1"/>
          <w:wAfter w:w="353" w:type="dxa"/>
          <w:trHeight w:val="1008"/>
        </w:trPr>
        <w:tc>
          <w:tcPr>
            <w:tcW w:w="630" w:type="dxa"/>
          </w:tcPr>
          <w:p w14:paraId="01EC6987" w14:textId="77777777" w:rsidR="008036D5" w:rsidRPr="00036F88" w:rsidRDefault="008036D5" w:rsidP="00AF6E05">
            <w:pPr>
              <w:jc w:val="both"/>
              <w:rPr>
                <w:rFonts w:ascii="Times New Roman" w:eastAsia="Calibri" w:hAnsi="Times New Roman" w:cs="Times New Roman"/>
                <w:sz w:val="18"/>
                <w:szCs w:val="18"/>
                <w:lang w:val="en-US"/>
              </w:rPr>
            </w:pPr>
            <w:bookmarkStart w:id="5" w:name="_Hlk227915506"/>
          </w:p>
        </w:tc>
        <w:tc>
          <w:tcPr>
            <w:tcW w:w="5400" w:type="dxa"/>
            <w:shd w:val="clear" w:color="auto" w:fill="D0CECE" w:themeFill="background2" w:themeFillShade="E6"/>
          </w:tcPr>
          <w:p w14:paraId="682E86F7" w14:textId="77777777" w:rsidR="008036D5" w:rsidRPr="001725D0" w:rsidRDefault="008036D5" w:rsidP="008036D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1(15) (Directive 2021/514/EU)</w:t>
            </w:r>
          </w:p>
          <w:p w14:paraId="5BFC917D" w14:textId="77777777" w:rsidR="008036D5" w:rsidRPr="001725D0" w:rsidRDefault="008036D5" w:rsidP="008036D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21, paragraph 7 (Directive 2011/16/EU)</w:t>
            </w:r>
          </w:p>
          <w:p w14:paraId="417807AF" w14:textId="77777777" w:rsidR="008036D5" w:rsidRPr="00036F88" w:rsidRDefault="008036D5" w:rsidP="008036D5">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34CB9C51" w14:textId="77777777" w:rsidR="008036D5" w:rsidRPr="00036F88" w:rsidRDefault="008036D5" w:rsidP="00AF6E05">
            <w:pPr>
              <w:rPr>
                <w:rFonts w:ascii="Times New Roman" w:eastAsia="Calibri" w:hAnsi="Times New Roman" w:cs="Times New Roman"/>
                <w:sz w:val="18"/>
                <w:szCs w:val="18"/>
              </w:rPr>
            </w:pPr>
          </w:p>
        </w:tc>
        <w:tc>
          <w:tcPr>
            <w:tcW w:w="720" w:type="dxa"/>
            <w:shd w:val="clear" w:color="auto" w:fill="D0CECE" w:themeFill="background2" w:themeFillShade="E6"/>
          </w:tcPr>
          <w:p w14:paraId="02389DCE" w14:textId="77777777" w:rsidR="008036D5" w:rsidRPr="00036F88" w:rsidRDefault="008036D5" w:rsidP="00AF6E05">
            <w:pPr>
              <w:rPr>
                <w:rFonts w:ascii="Times New Roman" w:eastAsia="Calibri" w:hAnsi="Times New Roman" w:cs="Times New Roman"/>
                <w:sz w:val="18"/>
                <w:szCs w:val="18"/>
                <w:lang w:val="en-US"/>
              </w:rPr>
            </w:pPr>
          </w:p>
        </w:tc>
        <w:tc>
          <w:tcPr>
            <w:tcW w:w="5040" w:type="dxa"/>
            <w:gridSpan w:val="2"/>
            <w:shd w:val="clear" w:color="auto" w:fill="D0CECE" w:themeFill="background2" w:themeFillShade="E6"/>
          </w:tcPr>
          <w:p w14:paraId="510A9B29" w14:textId="77777777" w:rsidR="008036D5" w:rsidRPr="00036F88" w:rsidRDefault="008036D5" w:rsidP="00AF6E05">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tc>
        <w:tc>
          <w:tcPr>
            <w:tcW w:w="720" w:type="dxa"/>
            <w:gridSpan w:val="2"/>
            <w:shd w:val="clear" w:color="auto" w:fill="D0CECE" w:themeFill="background2" w:themeFillShade="E6"/>
          </w:tcPr>
          <w:p w14:paraId="1EEF5DFF" w14:textId="77777777" w:rsidR="008036D5" w:rsidRPr="00036F88" w:rsidRDefault="008036D5" w:rsidP="00AF6E05">
            <w:pPr>
              <w:jc w:val="center"/>
              <w:rPr>
                <w:rFonts w:ascii="Times New Roman" w:eastAsia="Calibri" w:hAnsi="Times New Roman" w:cs="Times New Roman"/>
                <w:sz w:val="18"/>
                <w:szCs w:val="18"/>
                <w:lang w:val="en-US"/>
              </w:rPr>
            </w:pPr>
          </w:p>
        </w:tc>
        <w:tc>
          <w:tcPr>
            <w:tcW w:w="3240" w:type="dxa"/>
            <w:gridSpan w:val="2"/>
            <w:shd w:val="clear" w:color="auto" w:fill="D0CECE" w:themeFill="background2" w:themeFillShade="E6"/>
          </w:tcPr>
          <w:p w14:paraId="5FF5D1E8" w14:textId="77777777" w:rsidR="008036D5" w:rsidRPr="00036F88" w:rsidRDefault="008036D5" w:rsidP="00AF6E05">
            <w:pPr>
              <w:rPr>
                <w:rFonts w:ascii="Times New Roman" w:eastAsia="Calibri" w:hAnsi="Times New Roman" w:cs="Times New Roman"/>
                <w:sz w:val="18"/>
                <w:szCs w:val="18"/>
                <w:lang w:val="en-US"/>
              </w:rPr>
            </w:pPr>
          </w:p>
        </w:tc>
      </w:tr>
      <w:bookmarkEnd w:id="5"/>
      <w:tr w:rsidR="00E172D2" w:rsidRPr="00036F88" w14:paraId="54D572E0" w14:textId="77777777" w:rsidTr="00D50C43">
        <w:trPr>
          <w:gridAfter w:val="1"/>
          <w:wAfter w:w="353" w:type="dxa"/>
          <w:trHeight w:val="2204"/>
        </w:trPr>
        <w:tc>
          <w:tcPr>
            <w:tcW w:w="630" w:type="dxa"/>
          </w:tcPr>
          <w:p w14:paraId="24CACEBA" w14:textId="77777777" w:rsidR="00E172D2" w:rsidRPr="00036F88" w:rsidRDefault="00E172D2" w:rsidP="003C045B">
            <w:pPr>
              <w:jc w:val="both"/>
              <w:rPr>
                <w:rFonts w:ascii="Times New Roman" w:eastAsia="Calibri" w:hAnsi="Times New Roman" w:cs="Times New Roman"/>
                <w:sz w:val="18"/>
                <w:szCs w:val="18"/>
              </w:rPr>
            </w:pPr>
          </w:p>
        </w:tc>
        <w:tc>
          <w:tcPr>
            <w:tcW w:w="5400" w:type="dxa"/>
          </w:tcPr>
          <w:p w14:paraId="7EDDCC2C" w14:textId="77777777" w:rsidR="008036D5" w:rsidRPr="001725D0" w:rsidRDefault="008036D5" w:rsidP="008036D5">
            <w:pPr>
              <w:jc w:val="both"/>
              <w:rPr>
                <w:rFonts w:ascii="Times New Roman" w:eastAsia="Calibri" w:hAnsi="Times New Roman" w:cs="Times New Roman"/>
                <w:iCs/>
                <w:sz w:val="18"/>
                <w:szCs w:val="18"/>
                <w:lang w:val="en-US"/>
              </w:rPr>
            </w:pPr>
          </w:p>
          <w:p w14:paraId="136978BF" w14:textId="1DEEBEAE" w:rsidR="00E172D2" w:rsidRPr="001725D0" w:rsidRDefault="008036D5" w:rsidP="008036D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"7. The Commission develops and provides technical and logistical support for a secure central interface on administrative cooperation in the field of taxation, where the Member States communicate using standard forms in accordance with Article 20(1) and (3). The competent authorities of all Member States have access to that interface. For the purposes of collecting statistics, the Commission has access to information regarding the exchanges recorded in the interface and which can be extracted automatically. The Commission has access only to anonymous and aggregated data. Access by the Commission does not affect the obligation of the Member States to provide statistics on exchanges of information in accordance with Article 23(4). The Commission, by means of implementing acts, lays down the necessary practical arrangements. Those implementing acts shall be adopted in accordance with the procedure referred to in Article 26(2)."</w:t>
            </w:r>
          </w:p>
        </w:tc>
        <w:tc>
          <w:tcPr>
            <w:tcW w:w="540" w:type="dxa"/>
          </w:tcPr>
          <w:p w14:paraId="5049F7F0" w14:textId="77777777" w:rsidR="00E172D2" w:rsidRPr="00036F88" w:rsidRDefault="00E172D2" w:rsidP="003C045B">
            <w:pPr>
              <w:jc w:val="center"/>
              <w:rPr>
                <w:rFonts w:ascii="Times New Roman" w:eastAsia="Calibri" w:hAnsi="Times New Roman" w:cs="Times New Roman"/>
                <w:sz w:val="18"/>
                <w:szCs w:val="18"/>
                <w:highlight w:val="cyan"/>
              </w:rPr>
            </w:pPr>
          </w:p>
        </w:tc>
        <w:tc>
          <w:tcPr>
            <w:tcW w:w="720" w:type="dxa"/>
          </w:tcPr>
          <w:p w14:paraId="03864333" w14:textId="77777777" w:rsidR="00E172D2" w:rsidRDefault="00E172D2" w:rsidP="003C045B">
            <w:pPr>
              <w:jc w:val="center"/>
              <w:rPr>
                <w:rFonts w:ascii="Times New Roman" w:eastAsia="Calibri" w:hAnsi="Times New Roman" w:cs="Times New Roman"/>
                <w:sz w:val="18"/>
                <w:szCs w:val="18"/>
                <w:highlight w:val="cyan"/>
                <w:lang w:val="en-US"/>
              </w:rPr>
            </w:pPr>
          </w:p>
          <w:p w14:paraId="40B98B64" w14:textId="43882860" w:rsidR="00D2162C" w:rsidRPr="001725D0" w:rsidRDefault="00D2162C"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N/A</w:t>
            </w:r>
          </w:p>
        </w:tc>
        <w:tc>
          <w:tcPr>
            <w:tcW w:w="5040" w:type="dxa"/>
            <w:gridSpan w:val="2"/>
          </w:tcPr>
          <w:p w14:paraId="437308C7" w14:textId="77777777" w:rsidR="008036D5" w:rsidRDefault="008036D5" w:rsidP="008036D5">
            <w:pPr>
              <w:jc w:val="center"/>
              <w:rPr>
                <w:rFonts w:ascii="Times New Roman" w:hAnsi="Times New Roman" w:cs="Times New Roman"/>
                <w:sz w:val="18"/>
                <w:szCs w:val="18"/>
              </w:rPr>
            </w:pPr>
          </w:p>
          <w:p w14:paraId="29900B4F" w14:textId="77777777" w:rsidR="008036D5" w:rsidRDefault="008036D5" w:rsidP="008036D5">
            <w:pPr>
              <w:jc w:val="center"/>
              <w:rPr>
                <w:rFonts w:ascii="Times New Roman" w:hAnsi="Times New Roman" w:cs="Times New Roman"/>
                <w:sz w:val="18"/>
                <w:szCs w:val="18"/>
              </w:rPr>
            </w:pPr>
          </w:p>
          <w:p w14:paraId="29254B5A" w14:textId="2F2495B5" w:rsidR="00E172D2" w:rsidRPr="00036F88" w:rsidRDefault="008036D5" w:rsidP="008036D5">
            <w:pPr>
              <w:jc w:val="center"/>
              <w:rPr>
                <w:rFonts w:ascii="Times New Roman" w:hAnsi="Times New Roman" w:cs="Times New Roman"/>
                <w:sz w:val="18"/>
                <w:szCs w:val="18"/>
              </w:rPr>
            </w:pPr>
            <w:r>
              <w:rPr>
                <w:rFonts w:ascii="Times New Roman" w:hAnsi="Times New Roman" w:cs="Times New Roman"/>
                <w:sz w:val="18"/>
                <w:szCs w:val="18"/>
              </w:rPr>
              <w:t>N/A</w:t>
            </w:r>
          </w:p>
        </w:tc>
        <w:tc>
          <w:tcPr>
            <w:tcW w:w="720" w:type="dxa"/>
            <w:gridSpan w:val="2"/>
          </w:tcPr>
          <w:p w14:paraId="60E6235A" w14:textId="3BDBFDA2" w:rsidR="00E172D2" w:rsidRDefault="00E172D2" w:rsidP="003C045B">
            <w:pPr>
              <w:jc w:val="center"/>
              <w:rPr>
                <w:rFonts w:ascii="Times New Roman" w:eastAsia="Calibri" w:hAnsi="Times New Roman" w:cs="Times New Roman"/>
                <w:sz w:val="18"/>
                <w:szCs w:val="18"/>
                <w:lang w:val="en-US"/>
              </w:rPr>
            </w:pPr>
          </w:p>
          <w:p w14:paraId="77946034" w14:textId="77777777" w:rsidR="00D2162C" w:rsidRDefault="00D2162C" w:rsidP="003C045B">
            <w:pPr>
              <w:jc w:val="center"/>
              <w:rPr>
                <w:rFonts w:ascii="Times New Roman" w:eastAsia="Calibri" w:hAnsi="Times New Roman" w:cs="Times New Roman"/>
                <w:sz w:val="18"/>
                <w:szCs w:val="18"/>
              </w:rPr>
            </w:pPr>
          </w:p>
          <w:p w14:paraId="16C8953D" w14:textId="5CE86355" w:rsidR="00D2162C" w:rsidRDefault="00D2162C"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N/A</w:t>
            </w:r>
          </w:p>
        </w:tc>
        <w:tc>
          <w:tcPr>
            <w:tcW w:w="3240" w:type="dxa"/>
            <w:gridSpan w:val="2"/>
          </w:tcPr>
          <w:p w14:paraId="79853612" w14:textId="77777777" w:rsidR="008036D5" w:rsidRPr="008036D5" w:rsidRDefault="008036D5" w:rsidP="008036D5">
            <w:pPr>
              <w:rPr>
                <w:rFonts w:ascii="Times New Roman" w:eastAsia="Calibri" w:hAnsi="Times New Roman" w:cs="Times New Roman"/>
                <w:sz w:val="18"/>
                <w:szCs w:val="18"/>
              </w:rPr>
            </w:pPr>
          </w:p>
          <w:p w14:paraId="067838FE" w14:textId="77777777" w:rsidR="008036D5" w:rsidRPr="008036D5" w:rsidRDefault="008036D5" w:rsidP="008036D5">
            <w:pPr>
              <w:rPr>
                <w:rFonts w:ascii="Times New Roman" w:eastAsia="Calibri" w:hAnsi="Times New Roman" w:cs="Times New Roman"/>
                <w:sz w:val="18"/>
                <w:szCs w:val="18"/>
              </w:rPr>
            </w:pPr>
            <w:r>
              <w:rPr>
                <w:rFonts w:ascii="Times New Roman" w:eastAsia="Calibri" w:hAnsi="Times New Roman" w:cs="Times New Roman"/>
                <w:sz w:val="18"/>
                <w:szCs w:val="18"/>
              </w:rPr>
              <w:t>Institutional and technical security in a managed secure central interface</w:t>
            </w:r>
          </w:p>
          <w:p w14:paraId="4D2F23D7" w14:textId="77777777" w:rsidR="008036D5" w:rsidRPr="008036D5" w:rsidRDefault="008036D5" w:rsidP="008036D5">
            <w:pPr>
              <w:rPr>
                <w:rFonts w:ascii="Times New Roman" w:eastAsia="Calibri" w:hAnsi="Times New Roman" w:cs="Times New Roman"/>
                <w:sz w:val="18"/>
                <w:szCs w:val="18"/>
              </w:rPr>
            </w:pPr>
            <w:r>
              <w:rPr>
                <w:rFonts w:ascii="Times New Roman" w:eastAsia="Calibri" w:hAnsi="Times New Roman" w:cs="Times New Roman"/>
                <w:sz w:val="18"/>
                <w:szCs w:val="18"/>
              </w:rPr>
              <w:t>by the European Commission. Outside the scope of Annex V and does not require</w:t>
            </w:r>
          </w:p>
          <w:p w14:paraId="2811FAF6" w14:textId="05838C69" w:rsidR="00E172D2" w:rsidRPr="00036F88" w:rsidRDefault="008036D5" w:rsidP="008036D5">
            <w:pPr>
              <w:rPr>
                <w:rFonts w:ascii="Times New Roman" w:eastAsia="Calibri" w:hAnsi="Times New Roman" w:cs="Times New Roman"/>
                <w:sz w:val="18"/>
                <w:szCs w:val="18"/>
              </w:rPr>
            </w:pPr>
            <w:r>
              <w:rPr>
                <w:rFonts w:ascii="Times New Roman" w:eastAsia="Calibri" w:hAnsi="Times New Roman" w:cs="Times New Roman"/>
                <w:sz w:val="18"/>
                <w:szCs w:val="18"/>
              </w:rPr>
              <w:t>transposition into DAC 7 law.</w:t>
            </w:r>
          </w:p>
        </w:tc>
      </w:tr>
      <w:tr w:rsidR="000B5E85" w:rsidRPr="00036F88" w14:paraId="2E0CDEA6" w14:textId="77777777" w:rsidTr="00D50C43">
        <w:trPr>
          <w:gridAfter w:val="1"/>
          <w:wAfter w:w="353" w:type="dxa"/>
          <w:trHeight w:val="1008"/>
        </w:trPr>
        <w:tc>
          <w:tcPr>
            <w:tcW w:w="630" w:type="dxa"/>
          </w:tcPr>
          <w:p w14:paraId="04ADE44C" w14:textId="77777777" w:rsidR="000B5E85" w:rsidRPr="00036F88" w:rsidRDefault="000B5E85" w:rsidP="00AF6E05">
            <w:pPr>
              <w:jc w:val="both"/>
              <w:rPr>
                <w:rFonts w:ascii="Times New Roman" w:eastAsia="Calibri" w:hAnsi="Times New Roman" w:cs="Times New Roman"/>
                <w:sz w:val="18"/>
                <w:szCs w:val="18"/>
                <w:lang w:val="en-US"/>
              </w:rPr>
            </w:pPr>
            <w:bookmarkStart w:id="6" w:name="_Hlk227916334"/>
          </w:p>
        </w:tc>
        <w:tc>
          <w:tcPr>
            <w:tcW w:w="5400" w:type="dxa"/>
            <w:shd w:val="clear" w:color="auto" w:fill="D0CECE" w:themeFill="background2" w:themeFillShade="E6"/>
          </w:tcPr>
          <w:p w14:paraId="30E5735B" w14:textId="51353EF9" w:rsidR="000B5E85" w:rsidRPr="001725D0" w:rsidRDefault="000B5E85" w:rsidP="000B5E85">
            <w:pPr>
              <w:jc w:val="both"/>
              <w:rPr>
                <w:rFonts w:ascii="Times New Roman" w:eastAsia="Calibri" w:hAnsi="Times New Roman" w:cs="Times New Roman"/>
                <w:iCs/>
                <w:sz w:val="18"/>
                <w:szCs w:val="18"/>
                <w:lang w:val="en-US"/>
              </w:rPr>
            </w:pPr>
          </w:p>
          <w:p w14:paraId="2D117079" w14:textId="77777777" w:rsidR="000B5E85" w:rsidRPr="001725D0" w:rsidRDefault="000B5E85" w:rsidP="000B5E8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1(16) (Directive 2021/514/EU)</w:t>
            </w:r>
          </w:p>
          <w:p w14:paraId="11149698" w14:textId="77777777" w:rsidR="000B5E85" w:rsidRPr="001725D0" w:rsidRDefault="000B5E85" w:rsidP="000B5E8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22, paragraph 1a (Directive 2011/16/EU)</w:t>
            </w:r>
          </w:p>
          <w:p w14:paraId="6D872746" w14:textId="77777777" w:rsidR="000B5E85" w:rsidRPr="00036F88" w:rsidRDefault="000B5E85" w:rsidP="00AF6E05">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74FA91A0" w14:textId="77777777" w:rsidR="000B5E85" w:rsidRPr="00036F88" w:rsidRDefault="000B5E85" w:rsidP="00AF6E05">
            <w:pPr>
              <w:rPr>
                <w:rFonts w:ascii="Times New Roman" w:eastAsia="Calibri" w:hAnsi="Times New Roman" w:cs="Times New Roman"/>
                <w:sz w:val="18"/>
                <w:szCs w:val="18"/>
              </w:rPr>
            </w:pPr>
          </w:p>
        </w:tc>
        <w:tc>
          <w:tcPr>
            <w:tcW w:w="720" w:type="dxa"/>
            <w:shd w:val="clear" w:color="auto" w:fill="D0CECE" w:themeFill="background2" w:themeFillShade="E6"/>
          </w:tcPr>
          <w:p w14:paraId="4BB1A83A" w14:textId="77777777" w:rsidR="000B5E85" w:rsidRPr="00036F88" w:rsidRDefault="000B5E85" w:rsidP="00AF6E05">
            <w:pPr>
              <w:rPr>
                <w:rFonts w:ascii="Times New Roman" w:eastAsia="Calibri" w:hAnsi="Times New Roman" w:cs="Times New Roman"/>
                <w:sz w:val="18"/>
                <w:szCs w:val="18"/>
                <w:lang w:val="en-US"/>
              </w:rPr>
            </w:pPr>
          </w:p>
        </w:tc>
        <w:tc>
          <w:tcPr>
            <w:tcW w:w="5040" w:type="dxa"/>
            <w:gridSpan w:val="2"/>
            <w:shd w:val="clear" w:color="auto" w:fill="D0CECE" w:themeFill="background2" w:themeFillShade="E6"/>
          </w:tcPr>
          <w:p w14:paraId="798F91B5" w14:textId="77777777" w:rsidR="000B5E85" w:rsidRPr="00036F88" w:rsidRDefault="000B5E85" w:rsidP="00AF6E05">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tc>
        <w:tc>
          <w:tcPr>
            <w:tcW w:w="720" w:type="dxa"/>
            <w:gridSpan w:val="2"/>
            <w:shd w:val="clear" w:color="auto" w:fill="D0CECE" w:themeFill="background2" w:themeFillShade="E6"/>
          </w:tcPr>
          <w:p w14:paraId="13D5C863" w14:textId="77777777" w:rsidR="000B5E85" w:rsidRPr="00036F88" w:rsidRDefault="000B5E85" w:rsidP="00AF6E05">
            <w:pPr>
              <w:jc w:val="center"/>
              <w:rPr>
                <w:rFonts w:ascii="Times New Roman" w:eastAsia="Calibri" w:hAnsi="Times New Roman" w:cs="Times New Roman"/>
                <w:sz w:val="18"/>
                <w:szCs w:val="18"/>
                <w:lang w:val="en-US"/>
              </w:rPr>
            </w:pPr>
          </w:p>
        </w:tc>
        <w:tc>
          <w:tcPr>
            <w:tcW w:w="3240" w:type="dxa"/>
            <w:gridSpan w:val="2"/>
            <w:shd w:val="clear" w:color="auto" w:fill="D0CECE" w:themeFill="background2" w:themeFillShade="E6"/>
          </w:tcPr>
          <w:p w14:paraId="0B754CB8" w14:textId="77777777" w:rsidR="000B5E85" w:rsidRPr="00036F88" w:rsidRDefault="000B5E85" w:rsidP="00AF6E05">
            <w:pPr>
              <w:rPr>
                <w:rFonts w:ascii="Times New Roman" w:eastAsia="Calibri" w:hAnsi="Times New Roman" w:cs="Times New Roman"/>
                <w:sz w:val="18"/>
                <w:szCs w:val="18"/>
                <w:lang w:val="en-US"/>
              </w:rPr>
            </w:pPr>
          </w:p>
        </w:tc>
      </w:tr>
      <w:bookmarkEnd w:id="6"/>
      <w:tr w:rsidR="00E172D2" w:rsidRPr="00036F88" w14:paraId="2BBC9583" w14:textId="77777777" w:rsidTr="00D50C43">
        <w:trPr>
          <w:gridAfter w:val="1"/>
          <w:wAfter w:w="353" w:type="dxa"/>
          <w:trHeight w:val="2204"/>
        </w:trPr>
        <w:tc>
          <w:tcPr>
            <w:tcW w:w="630" w:type="dxa"/>
          </w:tcPr>
          <w:p w14:paraId="36644701" w14:textId="77777777" w:rsidR="00E172D2" w:rsidRPr="00036F88" w:rsidRDefault="00E172D2" w:rsidP="003C045B">
            <w:pPr>
              <w:jc w:val="both"/>
              <w:rPr>
                <w:rFonts w:ascii="Times New Roman" w:eastAsia="Calibri" w:hAnsi="Times New Roman" w:cs="Times New Roman"/>
                <w:sz w:val="18"/>
                <w:szCs w:val="18"/>
              </w:rPr>
            </w:pPr>
          </w:p>
        </w:tc>
        <w:tc>
          <w:tcPr>
            <w:tcW w:w="5400" w:type="dxa"/>
          </w:tcPr>
          <w:p w14:paraId="009268CC" w14:textId="77777777" w:rsidR="000B5E85" w:rsidRPr="001725D0" w:rsidRDefault="000B5E85" w:rsidP="000B5E85">
            <w:pPr>
              <w:jc w:val="both"/>
              <w:rPr>
                <w:rFonts w:ascii="Times New Roman" w:eastAsia="Calibri" w:hAnsi="Times New Roman" w:cs="Times New Roman"/>
                <w:iCs/>
                <w:sz w:val="18"/>
                <w:szCs w:val="18"/>
                <w:lang w:val="en-US"/>
              </w:rPr>
            </w:pPr>
          </w:p>
          <w:p w14:paraId="4004C5F5" w14:textId="0BCAF7B6" w:rsidR="00E172D2" w:rsidRPr="001725D0" w:rsidRDefault="000B5E85" w:rsidP="000B5E8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'1a. For the purposes of the implementation and enforcement of the laws of the Member States giving effect to this Directive and to ensure the functioning of the administrative cooperation that it lays down, the Member States shall provide by law for access by the tax authorities to the mechanisms, procedures, documents and information referred to in Articles 13, 30, 31, 32a and 40 of Directive (EU) 2015/849 of the European Parliament and of the Council.'</w:t>
            </w:r>
          </w:p>
        </w:tc>
        <w:tc>
          <w:tcPr>
            <w:tcW w:w="540" w:type="dxa"/>
          </w:tcPr>
          <w:p w14:paraId="122B249E" w14:textId="77777777" w:rsidR="00E172D2" w:rsidRPr="00036F88" w:rsidRDefault="00E172D2" w:rsidP="003C045B">
            <w:pPr>
              <w:jc w:val="center"/>
              <w:rPr>
                <w:rFonts w:ascii="Times New Roman" w:eastAsia="Calibri" w:hAnsi="Times New Roman" w:cs="Times New Roman"/>
                <w:sz w:val="18"/>
                <w:szCs w:val="18"/>
                <w:highlight w:val="cyan"/>
              </w:rPr>
            </w:pPr>
          </w:p>
        </w:tc>
        <w:tc>
          <w:tcPr>
            <w:tcW w:w="720" w:type="dxa"/>
          </w:tcPr>
          <w:p w14:paraId="24EAA7FA" w14:textId="77777777" w:rsidR="00E172D2" w:rsidRDefault="00E172D2" w:rsidP="003C045B">
            <w:pPr>
              <w:jc w:val="center"/>
              <w:rPr>
                <w:rFonts w:ascii="Times New Roman" w:eastAsia="Calibri" w:hAnsi="Times New Roman" w:cs="Times New Roman"/>
                <w:sz w:val="18"/>
                <w:szCs w:val="18"/>
                <w:highlight w:val="cyan"/>
                <w:lang w:val="en-US"/>
              </w:rPr>
            </w:pPr>
          </w:p>
          <w:p w14:paraId="440C7424" w14:textId="77777777" w:rsidR="00D2162C" w:rsidRDefault="00D2162C" w:rsidP="003C045B">
            <w:pPr>
              <w:jc w:val="center"/>
              <w:rPr>
                <w:rFonts w:ascii="Times New Roman" w:eastAsia="Calibri" w:hAnsi="Times New Roman" w:cs="Times New Roman"/>
                <w:sz w:val="18"/>
                <w:szCs w:val="18"/>
                <w:highlight w:val="cyan"/>
                <w:lang w:val="en-US"/>
              </w:rPr>
            </w:pPr>
          </w:p>
          <w:p w14:paraId="1C28885C" w14:textId="6A8C1F28" w:rsidR="00D2162C" w:rsidRPr="001725D0" w:rsidRDefault="00D2162C"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N/A</w:t>
            </w:r>
          </w:p>
        </w:tc>
        <w:tc>
          <w:tcPr>
            <w:tcW w:w="5040" w:type="dxa"/>
            <w:gridSpan w:val="2"/>
          </w:tcPr>
          <w:p w14:paraId="6344DA57" w14:textId="77777777" w:rsidR="000B5E85" w:rsidRDefault="000B5E85" w:rsidP="000B5E85">
            <w:pPr>
              <w:jc w:val="center"/>
              <w:rPr>
                <w:rFonts w:ascii="Times New Roman" w:hAnsi="Times New Roman" w:cs="Times New Roman"/>
                <w:sz w:val="18"/>
                <w:szCs w:val="18"/>
              </w:rPr>
            </w:pPr>
          </w:p>
          <w:p w14:paraId="39520FE7" w14:textId="77777777" w:rsidR="000B5E85" w:rsidRDefault="000B5E85" w:rsidP="000B5E85">
            <w:pPr>
              <w:jc w:val="center"/>
              <w:rPr>
                <w:rFonts w:ascii="Times New Roman" w:hAnsi="Times New Roman" w:cs="Times New Roman"/>
                <w:sz w:val="18"/>
                <w:szCs w:val="18"/>
              </w:rPr>
            </w:pPr>
          </w:p>
          <w:p w14:paraId="5A03E56C" w14:textId="63792374" w:rsidR="00E172D2" w:rsidRPr="00036F88" w:rsidRDefault="000B5E85" w:rsidP="000B5E85">
            <w:pPr>
              <w:jc w:val="center"/>
              <w:rPr>
                <w:rFonts w:ascii="Times New Roman" w:hAnsi="Times New Roman" w:cs="Times New Roman"/>
                <w:sz w:val="18"/>
                <w:szCs w:val="18"/>
              </w:rPr>
            </w:pPr>
            <w:r>
              <w:rPr>
                <w:rFonts w:ascii="Times New Roman" w:hAnsi="Times New Roman" w:cs="Times New Roman"/>
                <w:sz w:val="18"/>
                <w:szCs w:val="18"/>
              </w:rPr>
              <w:t>N/A</w:t>
            </w:r>
          </w:p>
        </w:tc>
        <w:tc>
          <w:tcPr>
            <w:tcW w:w="720" w:type="dxa"/>
            <w:gridSpan w:val="2"/>
          </w:tcPr>
          <w:p w14:paraId="0EC2529B" w14:textId="77777777" w:rsidR="00D2162C" w:rsidRDefault="00D2162C" w:rsidP="003C045B">
            <w:pPr>
              <w:jc w:val="center"/>
              <w:rPr>
                <w:rFonts w:ascii="Times New Roman" w:eastAsia="Calibri" w:hAnsi="Times New Roman" w:cs="Times New Roman"/>
                <w:sz w:val="18"/>
                <w:szCs w:val="18"/>
                <w:lang w:val="en-US"/>
              </w:rPr>
            </w:pPr>
          </w:p>
          <w:p w14:paraId="09D570ED" w14:textId="77777777" w:rsidR="00D2162C" w:rsidRDefault="00D2162C" w:rsidP="003C045B">
            <w:pPr>
              <w:jc w:val="center"/>
              <w:rPr>
                <w:rFonts w:ascii="Times New Roman" w:eastAsia="Calibri" w:hAnsi="Times New Roman" w:cs="Times New Roman"/>
                <w:sz w:val="18"/>
                <w:szCs w:val="18"/>
                <w:lang w:val="en-US"/>
              </w:rPr>
            </w:pPr>
          </w:p>
          <w:p w14:paraId="62853C52" w14:textId="019E10E3" w:rsidR="00E172D2" w:rsidRDefault="00D2162C"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lang w:val="en-US"/>
              </w:rPr>
              <w:t>N/A</w:t>
            </w:r>
          </w:p>
        </w:tc>
        <w:tc>
          <w:tcPr>
            <w:tcW w:w="3240" w:type="dxa"/>
            <w:gridSpan w:val="2"/>
          </w:tcPr>
          <w:p w14:paraId="41ECB9D7" w14:textId="77777777" w:rsidR="000B5E85" w:rsidRPr="000B5E85" w:rsidRDefault="000B5E85" w:rsidP="000B5E85">
            <w:pPr>
              <w:rPr>
                <w:rFonts w:ascii="Times New Roman" w:eastAsia="Calibri" w:hAnsi="Times New Roman" w:cs="Times New Roman"/>
                <w:sz w:val="18"/>
                <w:szCs w:val="18"/>
              </w:rPr>
            </w:pPr>
          </w:p>
          <w:p w14:paraId="31A24C0A" w14:textId="6EC2F92A" w:rsidR="000B5E85" w:rsidRPr="000B5E85" w:rsidRDefault="000B5E85" w:rsidP="000B5E85">
            <w:pPr>
              <w:rPr>
                <w:rFonts w:ascii="Times New Roman" w:eastAsia="Calibri" w:hAnsi="Times New Roman" w:cs="Times New Roman"/>
                <w:sz w:val="18"/>
                <w:szCs w:val="18"/>
              </w:rPr>
            </w:pPr>
            <w:r>
              <w:rPr>
                <w:rFonts w:ascii="Times New Roman" w:eastAsia="Calibri" w:hAnsi="Times New Roman" w:cs="Times New Roman"/>
                <w:sz w:val="18"/>
                <w:szCs w:val="18"/>
              </w:rPr>
              <w:t>Does not require transposition in this Law.</w:t>
            </w:r>
          </w:p>
          <w:p w14:paraId="3A4BFACB" w14:textId="77777777" w:rsidR="000B5E85" w:rsidRPr="000B5E85" w:rsidRDefault="000B5E85" w:rsidP="000B5E85">
            <w:pPr>
              <w:rPr>
                <w:rFonts w:ascii="Times New Roman" w:eastAsia="Calibri" w:hAnsi="Times New Roman" w:cs="Times New Roman"/>
                <w:sz w:val="18"/>
                <w:szCs w:val="18"/>
              </w:rPr>
            </w:pPr>
          </w:p>
          <w:p w14:paraId="625720AE" w14:textId="7AC31370" w:rsidR="000B5E85" w:rsidRPr="000B5E85" w:rsidRDefault="000B5E85" w:rsidP="000B5E85">
            <w:pPr>
              <w:rPr>
                <w:rFonts w:ascii="Times New Roman" w:eastAsia="Calibri" w:hAnsi="Times New Roman" w:cs="Times New Roman"/>
                <w:sz w:val="18"/>
                <w:szCs w:val="18"/>
              </w:rPr>
            </w:pPr>
            <w:r>
              <w:rPr>
                <w:rFonts w:ascii="Times New Roman" w:eastAsia="Calibri" w:hAnsi="Times New Roman" w:cs="Times New Roman"/>
                <w:sz w:val="18"/>
                <w:szCs w:val="18"/>
              </w:rPr>
              <w:t>This provision concerns the access of tax authorities to mechanisms, procedures, documents and information in accordance with Directive (EU) 2015/849, for the purposes of administrative cooperation. It is of an institutional and horizontal nature and does not establish reporting obligations.</w:t>
            </w:r>
          </w:p>
          <w:p w14:paraId="2C67F8B2" w14:textId="438DA062" w:rsidR="00E172D2" w:rsidRPr="00036F88" w:rsidRDefault="000B5E85" w:rsidP="000B5E85">
            <w:pPr>
              <w:rPr>
                <w:rFonts w:ascii="Times New Roman" w:eastAsia="Calibri" w:hAnsi="Times New Roman" w:cs="Times New Roman"/>
                <w:sz w:val="18"/>
                <w:szCs w:val="18"/>
              </w:rPr>
            </w:pPr>
            <w:r>
              <w:rPr>
                <w:rFonts w:ascii="Times New Roman" w:eastAsia="Calibri" w:hAnsi="Times New Roman" w:cs="Times New Roman"/>
                <w:sz w:val="18"/>
                <w:szCs w:val="18"/>
              </w:rPr>
              <w:t>platform operators.</w:t>
            </w:r>
          </w:p>
        </w:tc>
      </w:tr>
      <w:tr w:rsidR="00F763F5" w:rsidRPr="00036F88" w14:paraId="3EBFAD9B" w14:textId="77777777" w:rsidTr="00D50C43">
        <w:trPr>
          <w:gridAfter w:val="1"/>
          <w:wAfter w:w="353" w:type="dxa"/>
          <w:trHeight w:val="854"/>
        </w:trPr>
        <w:tc>
          <w:tcPr>
            <w:tcW w:w="630" w:type="dxa"/>
          </w:tcPr>
          <w:p w14:paraId="7626D77D" w14:textId="77777777" w:rsidR="00F763F5" w:rsidRPr="00036F88" w:rsidRDefault="00F763F5" w:rsidP="00AF6E05">
            <w:pPr>
              <w:jc w:val="both"/>
              <w:rPr>
                <w:rFonts w:ascii="Times New Roman" w:eastAsia="Calibri" w:hAnsi="Times New Roman" w:cs="Times New Roman"/>
                <w:sz w:val="18"/>
                <w:szCs w:val="18"/>
                <w:lang w:val="en-US"/>
              </w:rPr>
            </w:pPr>
            <w:bookmarkStart w:id="7" w:name="_Hlk227916690"/>
          </w:p>
        </w:tc>
        <w:tc>
          <w:tcPr>
            <w:tcW w:w="5400" w:type="dxa"/>
            <w:shd w:val="clear" w:color="auto" w:fill="D0CECE" w:themeFill="background2" w:themeFillShade="E6"/>
          </w:tcPr>
          <w:p w14:paraId="733927B6" w14:textId="77777777" w:rsidR="00F763F5" w:rsidRPr="00F763F5" w:rsidRDefault="00F763F5" w:rsidP="00F763F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1(17) (Directive 2021/514/EU)</w:t>
            </w:r>
          </w:p>
          <w:p w14:paraId="4ABC4DB3" w14:textId="72B56973" w:rsidR="00F763F5" w:rsidRPr="00036F88" w:rsidRDefault="00F763F5" w:rsidP="00F763F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23a, paragraph 2 (Directive 2011/16/EU)</w:t>
            </w:r>
          </w:p>
        </w:tc>
        <w:tc>
          <w:tcPr>
            <w:tcW w:w="540" w:type="dxa"/>
            <w:shd w:val="clear" w:color="auto" w:fill="D0CECE" w:themeFill="background2" w:themeFillShade="E6"/>
          </w:tcPr>
          <w:p w14:paraId="34FDB9B9" w14:textId="77777777" w:rsidR="00F763F5" w:rsidRPr="00036F88" w:rsidRDefault="00F763F5" w:rsidP="00AF6E05">
            <w:pPr>
              <w:rPr>
                <w:rFonts w:ascii="Times New Roman" w:eastAsia="Calibri" w:hAnsi="Times New Roman" w:cs="Times New Roman"/>
                <w:sz w:val="18"/>
                <w:szCs w:val="18"/>
              </w:rPr>
            </w:pPr>
          </w:p>
        </w:tc>
        <w:tc>
          <w:tcPr>
            <w:tcW w:w="720" w:type="dxa"/>
            <w:shd w:val="clear" w:color="auto" w:fill="D0CECE" w:themeFill="background2" w:themeFillShade="E6"/>
          </w:tcPr>
          <w:p w14:paraId="04CAC50E" w14:textId="77777777" w:rsidR="00F763F5" w:rsidRPr="00036F88" w:rsidRDefault="00F763F5" w:rsidP="00AF6E05">
            <w:pPr>
              <w:rPr>
                <w:rFonts w:ascii="Times New Roman" w:eastAsia="Calibri" w:hAnsi="Times New Roman" w:cs="Times New Roman"/>
                <w:sz w:val="18"/>
                <w:szCs w:val="18"/>
                <w:lang w:val="en-US"/>
              </w:rPr>
            </w:pPr>
          </w:p>
        </w:tc>
        <w:tc>
          <w:tcPr>
            <w:tcW w:w="5040" w:type="dxa"/>
            <w:gridSpan w:val="2"/>
            <w:shd w:val="clear" w:color="auto" w:fill="D0CECE" w:themeFill="background2" w:themeFillShade="E6"/>
          </w:tcPr>
          <w:p w14:paraId="71F64B34" w14:textId="77777777" w:rsidR="00F763F5" w:rsidRPr="00036F88" w:rsidRDefault="00F763F5" w:rsidP="00AF6E05">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tc>
        <w:tc>
          <w:tcPr>
            <w:tcW w:w="720" w:type="dxa"/>
            <w:gridSpan w:val="2"/>
            <w:shd w:val="clear" w:color="auto" w:fill="D0CECE" w:themeFill="background2" w:themeFillShade="E6"/>
          </w:tcPr>
          <w:p w14:paraId="10AFEEAC" w14:textId="77777777" w:rsidR="00F763F5" w:rsidRPr="00036F88" w:rsidRDefault="00F763F5" w:rsidP="00AF6E05">
            <w:pPr>
              <w:jc w:val="center"/>
              <w:rPr>
                <w:rFonts w:ascii="Times New Roman" w:eastAsia="Calibri" w:hAnsi="Times New Roman" w:cs="Times New Roman"/>
                <w:sz w:val="18"/>
                <w:szCs w:val="18"/>
                <w:lang w:val="en-US"/>
              </w:rPr>
            </w:pPr>
          </w:p>
        </w:tc>
        <w:tc>
          <w:tcPr>
            <w:tcW w:w="3240" w:type="dxa"/>
            <w:gridSpan w:val="2"/>
            <w:shd w:val="clear" w:color="auto" w:fill="D0CECE" w:themeFill="background2" w:themeFillShade="E6"/>
          </w:tcPr>
          <w:p w14:paraId="4863FBCC" w14:textId="77777777" w:rsidR="00F763F5" w:rsidRPr="00036F88" w:rsidRDefault="00F763F5" w:rsidP="00AF6E05">
            <w:pPr>
              <w:rPr>
                <w:rFonts w:ascii="Times New Roman" w:eastAsia="Calibri" w:hAnsi="Times New Roman" w:cs="Times New Roman"/>
                <w:sz w:val="18"/>
                <w:szCs w:val="18"/>
                <w:lang w:val="en-US"/>
              </w:rPr>
            </w:pPr>
          </w:p>
        </w:tc>
      </w:tr>
      <w:bookmarkEnd w:id="7"/>
      <w:tr w:rsidR="00E172D2" w:rsidRPr="00036F88" w14:paraId="5F79805F" w14:textId="77777777" w:rsidTr="00D50C43">
        <w:trPr>
          <w:gridAfter w:val="1"/>
          <w:wAfter w:w="353" w:type="dxa"/>
          <w:trHeight w:val="2204"/>
        </w:trPr>
        <w:tc>
          <w:tcPr>
            <w:tcW w:w="630" w:type="dxa"/>
          </w:tcPr>
          <w:p w14:paraId="2C1AD6B9" w14:textId="77777777" w:rsidR="00E172D2" w:rsidRPr="00036F88" w:rsidRDefault="00E172D2" w:rsidP="003C045B">
            <w:pPr>
              <w:jc w:val="both"/>
              <w:rPr>
                <w:rFonts w:ascii="Times New Roman" w:eastAsia="Calibri" w:hAnsi="Times New Roman" w:cs="Times New Roman"/>
                <w:sz w:val="18"/>
                <w:szCs w:val="18"/>
              </w:rPr>
            </w:pPr>
          </w:p>
        </w:tc>
        <w:tc>
          <w:tcPr>
            <w:tcW w:w="5400" w:type="dxa"/>
          </w:tcPr>
          <w:p w14:paraId="7F008401" w14:textId="77777777" w:rsidR="00F763F5" w:rsidRPr="001725D0" w:rsidRDefault="00F763F5" w:rsidP="00F763F5">
            <w:pPr>
              <w:jc w:val="both"/>
              <w:rPr>
                <w:rFonts w:ascii="Times New Roman" w:eastAsia="Calibri" w:hAnsi="Times New Roman" w:cs="Times New Roman"/>
                <w:iCs/>
                <w:sz w:val="18"/>
                <w:szCs w:val="18"/>
                <w:lang w:val="en-US"/>
              </w:rPr>
            </w:pPr>
          </w:p>
          <w:p w14:paraId="51D50D27" w14:textId="4646618E" w:rsidR="00F763F5" w:rsidRPr="001725D0" w:rsidRDefault="00F763F5" w:rsidP="00F763F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2. The information communicated to the Commission by a Member State pursuant to Article 23, as well as any report or document produced by the Commission using such information, may be transmitted to the other Member States. Such transmitted information is covered by the obligation of official secrecy and enjoys the protection granted to similar information under the national law of the Member State that has received it.</w:t>
            </w:r>
          </w:p>
          <w:p w14:paraId="7566757E" w14:textId="77777777" w:rsidR="00F763F5" w:rsidRPr="001725D0" w:rsidRDefault="00F763F5" w:rsidP="00F763F5">
            <w:pPr>
              <w:jc w:val="both"/>
              <w:rPr>
                <w:rFonts w:ascii="Times New Roman" w:eastAsia="Calibri" w:hAnsi="Times New Roman" w:cs="Times New Roman"/>
                <w:iCs/>
                <w:sz w:val="18"/>
                <w:szCs w:val="18"/>
                <w:lang w:val="en-US"/>
              </w:rPr>
            </w:pPr>
          </w:p>
          <w:p w14:paraId="76B66B4A" w14:textId="77777777" w:rsidR="00F763F5" w:rsidRPr="001725D0" w:rsidRDefault="00F763F5" w:rsidP="00F763F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The reports and documents produced by the Commission, referred to in the first subparagraph, may be used by the Member States only for analytical purposes and must not be published or made available to any other person or body without the express consent of the Commission.</w:t>
            </w:r>
          </w:p>
          <w:p w14:paraId="4F3EF449" w14:textId="77777777" w:rsidR="00F763F5" w:rsidRPr="001725D0" w:rsidRDefault="00F763F5" w:rsidP="00F763F5">
            <w:pPr>
              <w:jc w:val="both"/>
              <w:rPr>
                <w:rFonts w:ascii="Times New Roman" w:eastAsia="Calibri" w:hAnsi="Times New Roman" w:cs="Times New Roman"/>
                <w:iCs/>
                <w:sz w:val="18"/>
                <w:szCs w:val="18"/>
                <w:lang w:val="en-US"/>
              </w:rPr>
            </w:pPr>
          </w:p>
          <w:p w14:paraId="1CAC38C6" w14:textId="349B5631" w:rsidR="00E172D2" w:rsidRPr="001725D0" w:rsidRDefault="00F763F5" w:rsidP="00F763F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Notwithstanding the first and second subparagraphs, the Commission may publish each year anonymous summaries of the statistical data that the Member States communicate to it in accordance with Article 23(4).</w:t>
            </w:r>
          </w:p>
        </w:tc>
        <w:tc>
          <w:tcPr>
            <w:tcW w:w="540" w:type="dxa"/>
          </w:tcPr>
          <w:p w14:paraId="160AB4F0" w14:textId="77777777" w:rsidR="00E172D2" w:rsidRPr="00036F88" w:rsidRDefault="00E172D2" w:rsidP="003C045B">
            <w:pPr>
              <w:jc w:val="center"/>
              <w:rPr>
                <w:rFonts w:ascii="Times New Roman" w:eastAsia="Calibri" w:hAnsi="Times New Roman" w:cs="Times New Roman"/>
                <w:sz w:val="18"/>
                <w:szCs w:val="18"/>
                <w:highlight w:val="cyan"/>
              </w:rPr>
            </w:pPr>
          </w:p>
        </w:tc>
        <w:tc>
          <w:tcPr>
            <w:tcW w:w="720" w:type="dxa"/>
          </w:tcPr>
          <w:p w14:paraId="0026CFE0" w14:textId="77777777" w:rsidR="00E172D2" w:rsidRDefault="00E172D2" w:rsidP="003C045B">
            <w:pPr>
              <w:jc w:val="center"/>
              <w:rPr>
                <w:rFonts w:ascii="Times New Roman" w:eastAsia="Calibri" w:hAnsi="Times New Roman" w:cs="Times New Roman"/>
                <w:sz w:val="18"/>
                <w:szCs w:val="18"/>
                <w:highlight w:val="cyan"/>
                <w:lang w:val="en-US"/>
              </w:rPr>
            </w:pPr>
          </w:p>
          <w:p w14:paraId="25306275" w14:textId="77777777" w:rsidR="00D2162C" w:rsidRDefault="00D2162C" w:rsidP="003C045B">
            <w:pPr>
              <w:jc w:val="center"/>
              <w:rPr>
                <w:rFonts w:ascii="Times New Roman" w:eastAsia="Calibri" w:hAnsi="Times New Roman" w:cs="Times New Roman"/>
                <w:sz w:val="18"/>
                <w:szCs w:val="18"/>
                <w:highlight w:val="cyan"/>
                <w:lang w:val="en-US"/>
              </w:rPr>
            </w:pPr>
          </w:p>
          <w:p w14:paraId="33CC06B9" w14:textId="50FA1625" w:rsidR="00D2162C" w:rsidRPr="001725D0" w:rsidRDefault="00D2162C"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N/A</w:t>
            </w:r>
          </w:p>
        </w:tc>
        <w:tc>
          <w:tcPr>
            <w:tcW w:w="5040" w:type="dxa"/>
            <w:gridSpan w:val="2"/>
          </w:tcPr>
          <w:p w14:paraId="304D29D8" w14:textId="77777777" w:rsidR="00D2162C" w:rsidRDefault="00D2162C" w:rsidP="00D2162C">
            <w:pPr>
              <w:jc w:val="center"/>
              <w:rPr>
                <w:rFonts w:ascii="Times New Roman" w:hAnsi="Times New Roman" w:cs="Times New Roman"/>
                <w:sz w:val="18"/>
                <w:szCs w:val="18"/>
              </w:rPr>
            </w:pPr>
          </w:p>
          <w:p w14:paraId="29B64822" w14:textId="77777777" w:rsidR="00D2162C" w:rsidRDefault="00D2162C" w:rsidP="00D2162C">
            <w:pPr>
              <w:jc w:val="center"/>
              <w:rPr>
                <w:rFonts w:ascii="Times New Roman" w:hAnsi="Times New Roman" w:cs="Times New Roman"/>
                <w:sz w:val="18"/>
                <w:szCs w:val="18"/>
              </w:rPr>
            </w:pPr>
          </w:p>
          <w:p w14:paraId="352AAF24" w14:textId="1B4B101F" w:rsidR="00E172D2" w:rsidRPr="00036F88" w:rsidRDefault="00D2162C" w:rsidP="006E4603">
            <w:pPr>
              <w:jc w:val="center"/>
              <w:rPr>
                <w:rFonts w:ascii="Times New Roman" w:hAnsi="Times New Roman" w:cs="Times New Roman"/>
                <w:sz w:val="18"/>
                <w:szCs w:val="18"/>
              </w:rPr>
            </w:pPr>
            <w:r>
              <w:rPr>
                <w:rFonts w:ascii="Times New Roman" w:hAnsi="Times New Roman" w:cs="Times New Roman"/>
                <w:sz w:val="18"/>
                <w:szCs w:val="18"/>
              </w:rPr>
              <w:t>N/A</w:t>
            </w:r>
          </w:p>
        </w:tc>
        <w:tc>
          <w:tcPr>
            <w:tcW w:w="720" w:type="dxa"/>
            <w:gridSpan w:val="2"/>
          </w:tcPr>
          <w:p w14:paraId="7A9EBEA2" w14:textId="77777777" w:rsidR="00D2162C" w:rsidRDefault="00D2162C" w:rsidP="003C045B">
            <w:pPr>
              <w:jc w:val="center"/>
              <w:rPr>
                <w:rFonts w:ascii="Times New Roman" w:eastAsia="Calibri" w:hAnsi="Times New Roman" w:cs="Times New Roman"/>
                <w:sz w:val="18"/>
                <w:szCs w:val="18"/>
              </w:rPr>
            </w:pPr>
          </w:p>
          <w:p w14:paraId="3974B633" w14:textId="77777777" w:rsidR="00D2162C" w:rsidRDefault="00D2162C" w:rsidP="003C045B">
            <w:pPr>
              <w:jc w:val="center"/>
              <w:rPr>
                <w:rFonts w:ascii="Times New Roman" w:eastAsia="Calibri" w:hAnsi="Times New Roman" w:cs="Times New Roman"/>
                <w:sz w:val="18"/>
                <w:szCs w:val="18"/>
              </w:rPr>
            </w:pPr>
          </w:p>
          <w:p w14:paraId="418DB9F1" w14:textId="3704426A" w:rsidR="00E172D2" w:rsidRDefault="00D2162C"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N/A</w:t>
            </w:r>
          </w:p>
        </w:tc>
        <w:tc>
          <w:tcPr>
            <w:tcW w:w="3240" w:type="dxa"/>
            <w:gridSpan w:val="2"/>
          </w:tcPr>
          <w:p w14:paraId="5A5BD24F" w14:textId="77777777" w:rsidR="00F763F5" w:rsidRPr="00F763F5" w:rsidRDefault="00F763F5" w:rsidP="00F763F5">
            <w:pPr>
              <w:rPr>
                <w:rFonts w:ascii="Times New Roman" w:eastAsia="Calibri" w:hAnsi="Times New Roman" w:cs="Times New Roman"/>
                <w:sz w:val="18"/>
                <w:szCs w:val="18"/>
              </w:rPr>
            </w:pPr>
          </w:p>
          <w:p w14:paraId="0FA00C26" w14:textId="1A1FA9C7" w:rsidR="00F763F5" w:rsidRPr="00F763F5" w:rsidRDefault="00F763F5" w:rsidP="00F763F5">
            <w:pPr>
              <w:rPr>
                <w:rFonts w:ascii="Times New Roman" w:eastAsia="Calibri" w:hAnsi="Times New Roman" w:cs="Times New Roman"/>
                <w:sz w:val="18"/>
                <w:szCs w:val="18"/>
              </w:rPr>
            </w:pPr>
            <w:r>
              <w:rPr>
                <w:rFonts w:ascii="Times New Roman" w:eastAsia="Calibri" w:hAnsi="Times New Roman" w:cs="Times New Roman"/>
                <w:sz w:val="18"/>
                <w:szCs w:val="18"/>
              </w:rPr>
              <w:t>Does not require transposition in this Law.</w:t>
            </w:r>
          </w:p>
          <w:p w14:paraId="09FED36B" w14:textId="77777777" w:rsidR="00F763F5" w:rsidRPr="00F763F5" w:rsidRDefault="00F763F5" w:rsidP="00F763F5">
            <w:pPr>
              <w:rPr>
                <w:rFonts w:ascii="Times New Roman" w:eastAsia="Calibri" w:hAnsi="Times New Roman" w:cs="Times New Roman"/>
                <w:sz w:val="18"/>
                <w:szCs w:val="18"/>
              </w:rPr>
            </w:pPr>
          </w:p>
          <w:p w14:paraId="75231F6D" w14:textId="6E864203" w:rsidR="00E172D2" w:rsidRPr="00036F88" w:rsidRDefault="00F763F5" w:rsidP="00F763F5">
            <w:pPr>
              <w:rPr>
                <w:rFonts w:ascii="Times New Roman" w:eastAsia="Calibri" w:hAnsi="Times New Roman" w:cs="Times New Roman"/>
                <w:sz w:val="18"/>
                <w:szCs w:val="18"/>
              </w:rPr>
            </w:pPr>
            <w:r>
              <w:rPr>
                <w:rFonts w:ascii="Times New Roman" w:eastAsia="Calibri" w:hAnsi="Times New Roman" w:cs="Times New Roman"/>
                <w:sz w:val="18"/>
                <w:szCs w:val="18"/>
              </w:rPr>
              <w:t>This provision regulates the confidentiality and analytical use of statistical information and reports produced by the European Commission in the context of administrative cooperation.</w:t>
            </w:r>
          </w:p>
        </w:tc>
      </w:tr>
      <w:tr w:rsidR="00F763F5" w:rsidRPr="00036F88" w14:paraId="150C6D17" w14:textId="77777777" w:rsidTr="00D50C43">
        <w:trPr>
          <w:gridAfter w:val="1"/>
          <w:wAfter w:w="353" w:type="dxa"/>
          <w:trHeight w:val="854"/>
        </w:trPr>
        <w:tc>
          <w:tcPr>
            <w:tcW w:w="630" w:type="dxa"/>
          </w:tcPr>
          <w:p w14:paraId="7FD72FAA" w14:textId="77777777" w:rsidR="00F763F5" w:rsidRPr="00036F88" w:rsidRDefault="00F763F5" w:rsidP="00AF6E05">
            <w:pPr>
              <w:jc w:val="both"/>
              <w:rPr>
                <w:rFonts w:ascii="Times New Roman" w:eastAsia="Calibri" w:hAnsi="Times New Roman" w:cs="Times New Roman"/>
                <w:sz w:val="18"/>
                <w:szCs w:val="18"/>
                <w:lang w:val="en-US"/>
              </w:rPr>
            </w:pPr>
            <w:bookmarkStart w:id="8" w:name="_Hlk227917922"/>
          </w:p>
        </w:tc>
        <w:tc>
          <w:tcPr>
            <w:tcW w:w="5400" w:type="dxa"/>
            <w:shd w:val="clear" w:color="auto" w:fill="D0CECE" w:themeFill="background2" w:themeFillShade="E6"/>
          </w:tcPr>
          <w:p w14:paraId="7D4C786D" w14:textId="0AD3E478" w:rsidR="00F763F5" w:rsidRPr="00036F88" w:rsidRDefault="00F763F5" w:rsidP="00F763F5">
            <w:pPr>
              <w:jc w:val="both"/>
              <w:rPr>
                <w:rFonts w:ascii="Times New Roman" w:eastAsia="Calibri" w:hAnsi="Times New Roman" w:cs="Times New Roman"/>
                <w:iCs/>
                <w:sz w:val="18"/>
                <w:szCs w:val="18"/>
                <w:lang w:val="en-US"/>
              </w:rPr>
            </w:pPr>
          </w:p>
          <w:p w14:paraId="5A272086" w14:textId="77777777" w:rsidR="00F763F5" w:rsidRPr="001725D0" w:rsidRDefault="00F763F5" w:rsidP="00F763F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1(18) (Directive 2021/514/EU)</w:t>
            </w:r>
          </w:p>
          <w:p w14:paraId="2A17AAC5" w14:textId="77777777" w:rsidR="00F763F5" w:rsidRPr="001725D0" w:rsidRDefault="00F763F5" w:rsidP="00F763F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25 (Directive 2011/16/EU)</w:t>
            </w:r>
          </w:p>
          <w:p w14:paraId="79B4EE8C" w14:textId="18C1B698" w:rsidR="00F763F5" w:rsidRPr="00036F88" w:rsidRDefault="00F763F5" w:rsidP="00AF6E05">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2D3061ED" w14:textId="77777777" w:rsidR="00F763F5" w:rsidRPr="00036F88" w:rsidRDefault="00F763F5" w:rsidP="00AF6E05">
            <w:pPr>
              <w:rPr>
                <w:rFonts w:ascii="Times New Roman" w:eastAsia="Calibri" w:hAnsi="Times New Roman" w:cs="Times New Roman"/>
                <w:sz w:val="18"/>
                <w:szCs w:val="18"/>
              </w:rPr>
            </w:pPr>
          </w:p>
        </w:tc>
        <w:tc>
          <w:tcPr>
            <w:tcW w:w="720" w:type="dxa"/>
            <w:shd w:val="clear" w:color="auto" w:fill="D0CECE" w:themeFill="background2" w:themeFillShade="E6"/>
          </w:tcPr>
          <w:p w14:paraId="34299EAF" w14:textId="77777777" w:rsidR="00F763F5" w:rsidRPr="00036F88" w:rsidRDefault="00F763F5" w:rsidP="00AF6E05">
            <w:pPr>
              <w:rPr>
                <w:rFonts w:ascii="Times New Roman" w:eastAsia="Calibri" w:hAnsi="Times New Roman" w:cs="Times New Roman"/>
                <w:sz w:val="18"/>
                <w:szCs w:val="18"/>
                <w:lang w:val="en-US"/>
              </w:rPr>
            </w:pPr>
          </w:p>
        </w:tc>
        <w:tc>
          <w:tcPr>
            <w:tcW w:w="5040" w:type="dxa"/>
            <w:gridSpan w:val="2"/>
            <w:shd w:val="clear" w:color="auto" w:fill="D0CECE" w:themeFill="background2" w:themeFillShade="E6"/>
          </w:tcPr>
          <w:p w14:paraId="5B1D63C9" w14:textId="77777777" w:rsidR="005331A6" w:rsidRPr="006E4603" w:rsidRDefault="005331A6" w:rsidP="0084600B">
            <w:pPr>
              <w:jc w:val="center"/>
              <w:rPr>
                <w:rFonts w:ascii="Times New Roman" w:hAnsi="Times New Roman" w:cs="Times New Roman"/>
                <w:b/>
                <w:sz w:val="18"/>
                <w:szCs w:val="18"/>
              </w:rPr>
            </w:pPr>
            <w:r>
              <w:rPr>
                <w:rFonts w:ascii="Times New Roman" w:hAnsi="Times New Roman" w:cs="Times New Roman"/>
                <w:b/>
                <w:sz w:val="18"/>
                <w:szCs w:val="18"/>
              </w:rPr>
              <w:t>Article 16</w:t>
            </w:r>
          </w:p>
          <w:p w14:paraId="3BB97465" w14:textId="1855EB2E" w:rsidR="00F763F5" w:rsidRPr="00036F88" w:rsidRDefault="00467DB2" w:rsidP="0084600B">
            <w:pPr>
              <w:widowControl w:val="0"/>
              <w:tabs>
                <w:tab w:val="left" w:pos="742"/>
                <w:tab w:val="left" w:pos="744"/>
              </w:tabs>
              <w:autoSpaceDE w:val="0"/>
              <w:autoSpaceDN w:val="0"/>
              <w:ind w:right="15"/>
              <w:jc w:val="center"/>
              <w:rPr>
                <w:rFonts w:ascii="Times New Roman" w:eastAsia="Calibri" w:hAnsi="Times New Roman" w:cs="Times New Roman"/>
                <w:sz w:val="18"/>
                <w:szCs w:val="18"/>
                <w:lang w:val="en-US"/>
              </w:rPr>
            </w:pPr>
            <w:r w:rsidRPr="00467DB2">
              <w:rPr>
                <w:rFonts w:ascii="Times New Roman" w:hAnsi="Times New Roman" w:cs="Times New Roman"/>
                <w:b/>
                <w:sz w:val="18"/>
                <w:szCs w:val="18"/>
              </w:rPr>
              <w:t>Data protection</w:t>
            </w:r>
          </w:p>
        </w:tc>
        <w:tc>
          <w:tcPr>
            <w:tcW w:w="720" w:type="dxa"/>
            <w:gridSpan w:val="2"/>
            <w:shd w:val="clear" w:color="auto" w:fill="D0CECE" w:themeFill="background2" w:themeFillShade="E6"/>
          </w:tcPr>
          <w:p w14:paraId="54B311D8" w14:textId="77777777" w:rsidR="00F763F5" w:rsidRPr="00036F88" w:rsidRDefault="00F763F5" w:rsidP="00AF6E05">
            <w:pPr>
              <w:jc w:val="center"/>
              <w:rPr>
                <w:rFonts w:ascii="Times New Roman" w:eastAsia="Calibri" w:hAnsi="Times New Roman" w:cs="Times New Roman"/>
                <w:sz w:val="18"/>
                <w:szCs w:val="18"/>
                <w:lang w:val="en-US"/>
              </w:rPr>
            </w:pPr>
          </w:p>
        </w:tc>
        <w:tc>
          <w:tcPr>
            <w:tcW w:w="3240" w:type="dxa"/>
            <w:gridSpan w:val="2"/>
            <w:shd w:val="clear" w:color="auto" w:fill="D0CECE" w:themeFill="background2" w:themeFillShade="E6"/>
          </w:tcPr>
          <w:p w14:paraId="74C06C6C" w14:textId="77777777" w:rsidR="00F763F5" w:rsidRPr="00036F88" w:rsidRDefault="00F763F5" w:rsidP="00AF6E05">
            <w:pPr>
              <w:rPr>
                <w:rFonts w:ascii="Times New Roman" w:eastAsia="Calibri" w:hAnsi="Times New Roman" w:cs="Times New Roman"/>
                <w:sz w:val="18"/>
                <w:szCs w:val="18"/>
                <w:lang w:val="en-US"/>
              </w:rPr>
            </w:pPr>
          </w:p>
        </w:tc>
      </w:tr>
      <w:bookmarkEnd w:id="8"/>
      <w:tr w:rsidR="00E172D2" w:rsidRPr="00036F88" w14:paraId="0663FD53" w14:textId="77777777" w:rsidTr="00D50C43">
        <w:trPr>
          <w:gridAfter w:val="1"/>
          <w:wAfter w:w="353" w:type="dxa"/>
          <w:trHeight w:val="2204"/>
        </w:trPr>
        <w:tc>
          <w:tcPr>
            <w:tcW w:w="630" w:type="dxa"/>
          </w:tcPr>
          <w:p w14:paraId="50118096" w14:textId="77777777" w:rsidR="00E172D2" w:rsidRPr="00036F88" w:rsidRDefault="00E172D2" w:rsidP="003C045B">
            <w:pPr>
              <w:jc w:val="both"/>
              <w:rPr>
                <w:rFonts w:ascii="Times New Roman" w:eastAsia="Calibri" w:hAnsi="Times New Roman" w:cs="Times New Roman"/>
                <w:sz w:val="18"/>
                <w:szCs w:val="18"/>
              </w:rPr>
            </w:pPr>
          </w:p>
        </w:tc>
        <w:tc>
          <w:tcPr>
            <w:tcW w:w="5400" w:type="dxa"/>
          </w:tcPr>
          <w:p w14:paraId="67A4ABBE" w14:textId="77777777" w:rsidR="00F763F5" w:rsidRPr="001725D0" w:rsidRDefault="00F763F5" w:rsidP="00F763F5">
            <w:pPr>
              <w:jc w:val="both"/>
              <w:rPr>
                <w:rFonts w:ascii="Times New Roman" w:eastAsia="Calibri" w:hAnsi="Times New Roman" w:cs="Times New Roman"/>
                <w:iCs/>
                <w:sz w:val="18"/>
                <w:szCs w:val="18"/>
                <w:lang w:val="en-US"/>
              </w:rPr>
            </w:pPr>
          </w:p>
          <w:p w14:paraId="335D8306" w14:textId="77777777" w:rsidR="00F763F5" w:rsidRPr="001725D0" w:rsidRDefault="00F763F5" w:rsidP="00F763F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25</w:t>
            </w:r>
          </w:p>
          <w:p w14:paraId="25783F58" w14:textId="77777777" w:rsidR="00F763F5" w:rsidRPr="001725D0" w:rsidRDefault="00F763F5" w:rsidP="00F763F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Protection of data</w:t>
            </w:r>
          </w:p>
          <w:p w14:paraId="1122D55C" w14:textId="77777777" w:rsidR="00F763F5" w:rsidRPr="001725D0" w:rsidRDefault="00F763F5" w:rsidP="00F763F5">
            <w:pPr>
              <w:jc w:val="both"/>
              <w:rPr>
                <w:rFonts w:ascii="Times New Roman" w:eastAsia="Calibri" w:hAnsi="Times New Roman" w:cs="Times New Roman"/>
                <w:iCs/>
                <w:sz w:val="18"/>
                <w:szCs w:val="18"/>
                <w:lang w:val="en-US"/>
              </w:rPr>
            </w:pPr>
          </w:p>
          <w:p w14:paraId="005FDB5B" w14:textId="77777777" w:rsidR="00F763F5" w:rsidRPr="001725D0" w:rsidRDefault="00F763F5" w:rsidP="00F763F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1. Any exchange of information in accordance with this Directive shall be subject to Regulation (EU) 2016/679 of the European Parliament and of the Council (*). However, the Member States, for the purposes of the correct implementation of this Directive, shall restrict the scope of the obligations and rights provided for in Article 13, Article 14(1) and Article 15 of Regulation (EU) 2016/679, to the extent necessary to safeguard the interests referred to in point (e) of Article 23(1) of that Regulation.</w:t>
            </w:r>
          </w:p>
          <w:p w14:paraId="786ED69F" w14:textId="77777777" w:rsidR="00F763F5" w:rsidRPr="001725D0" w:rsidRDefault="00F763F5" w:rsidP="00F763F5">
            <w:pPr>
              <w:jc w:val="both"/>
              <w:rPr>
                <w:rFonts w:ascii="Times New Roman" w:eastAsia="Calibri" w:hAnsi="Times New Roman" w:cs="Times New Roman"/>
                <w:iCs/>
                <w:sz w:val="18"/>
                <w:szCs w:val="18"/>
                <w:lang w:val="en-US"/>
              </w:rPr>
            </w:pPr>
          </w:p>
          <w:p w14:paraId="4F2C842E" w14:textId="77777777" w:rsidR="00F763F5" w:rsidRPr="001725D0" w:rsidRDefault="00F763F5" w:rsidP="00F763F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 xml:space="preserve">2. Regulation (EU) 2018/1725 of the European Parliament and of the Council (**) applies to any processing of personal data under this Directive by the institutions, bodies, offices and agencies of the Union. However, for the purposes of the correct application of this Directive, the scope of the obligations and rights provided for in Article 15, Article </w:t>
            </w:r>
            <w:r>
              <w:rPr>
                <w:rFonts w:ascii="Times New Roman" w:eastAsia="Calibri" w:hAnsi="Times New Roman" w:cs="Times New Roman"/>
                <w:iCs/>
                <w:sz w:val="18"/>
                <w:szCs w:val="18"/>
                <w:lang w:val="en-US"/>
              </w:rPr>
              <w:lastRenderedPageBreak/>
              <w:t>16(1) and Articles 17 to 21 of Regulation (EU) 2018/1725 is limited to the extent necessary to protect the interests referred to in point (c) of Article 25(1) of that Regulation.</w:t>
            </w:r>
          </w:p>
          <w:p w14:paraId="79D7A8A8" w14:textId="77777777" w:rsidR="00F763F5" w:rsidRPr="001725D0" w:rsidRDefault="00F763F5" w:rsidP="00F763F5">
            <w:pPr>
              <w:jc w:val="both"/>
              <w:rPr>
                <w:rFonts w:ascii="Times New Roman" w:eastAsia="Calibri" w:hAnsi="Times New Roman" w:cs="Times New Roman"/>
                <w:iCs/>
                <w:sz w:val="18"/>
                <w:szCs w:val="18"/>
                <w:lang w:val="en-US"/>
              </w:rPr>
            </w:pPr>
          </w:p>
          <w:p w14:paraId="616E2DF7" w14:textId="77777777" w:rsidR="00F763F5" w:rsidRPr="001725D0" w:rsidRDefault="00F763F5" w:rsidP="00F763F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3. Reporting Financial Institutions, intermediaries, Reporting Platform Operators and competent authorities of the Member States are considered controllers of the data when, acting alone or jointly, they determine the purposes and means of the processing of personal data within the meaning of Regulation (EU) 2016/679.</w:t>
            </w:r>
          </w:p>
          <w:p w14:paraId="5AE63D29" w14:textId="77777777" w:rsidR="00F763F5" w:rsidRPr="001725D0" w:rsidRDefault="00F763F5" w:rsidP="00F763F5">
            <w:pPr>
              <w:jc w:val="both"/>
              <w:rPr>
                <w:rFonts w:ascii="Times New Roman" w:eastAsia="Calibri" w:hAnsi="Times New Roman" w:cs="Times New Roman"/>
                <w:iCs/>
                <w:sz w:val="18"/>
                <w:szCs w:val="18"/>
                <w:lang w:val="en-US"/>
              </w:rPr>
            </w:pPr>
          </w:p>
          <w:p w14:paraId="4DC54554" w14:textId="77777777" w:rsidR="00F763F5" w:rsidRPr="001725D0" w:rsidRDefault="00F763F5" w:rsidP="00F763F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4. Notwithstanding paragraph 1, each Member State shall ensure that each Reporting Financial Institution or intermediary or Reporting Platform Operator, as the case may be, that is under its jurisdiction: (a) informs each individual concerned that information relating to that individual will be collected and transferred in accordance with this Directive; and (b) provides each individual concerned with all the information that the individual is entitled to receive from the controller in sufficient time for that individual to exercise his/her data protection rights and, in any event, before the information is reported. Notwithstanding point (b) of the first subparagraph, each Member State shall lay down rules requiring Reporting Platform Operators to inform Reportable Sellers of the reported Consideration.</w:t>
            </w:r>
          </w:p>
          <w:p w14:paraId="240195E3" w14:textId="77777777" w:rsidR="00F763F5" w:rsidRPr="001725D0" w:rsidRDefault="00F763F5" w:rsidP="00F763F5">
            <w:pPr>
              <w:jc w:val="both"/>
              <w:rPr>
                <w:rFonts w:ascii="Times New Roman" w:eastAsia="Calibri" w:hAnsi="Times New Roman" w:cs="Times New Roman"/>
                <w:iCs/>
                <w:sz w:val="18"/>
                <w:szCs w:val="18"/>
                <w:lang w:val="en-US"/>
              </w:rPr>
            </w:pPr>
          </w:p>
          <w:p w14:paraId="6BDFEE4B" w14:textId="77777777" w:rsidR="00F763F5" w:rsidRPr="001725D0" w:rsidRDefault="00F763F5" w:rsidP="00F763F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5. The information processed in accordance with this Directive shall be kept no longer than is necessary to achieve the purposes of this Directive and, in any case, in accordance with the internal rules of each data controller on limitation periods.</w:t>
            </w:r>
          </w:p>
          <w:p w14:paraId="08C5A25E" w14:textId="77777777" w:rsidR="00F763F5" w:rsidRPr="001725D0" w:rsidRDefault="00F763F5" w:rsidP="00F763F5">
            <w:pPr>
              <w:jc w:val="both"/>
              <w:rPr>
                <w:rFonts w:ascii="Times New Roman" w:eastAsia="Calibri" w:hAnsi="Times New Roman" w:cs="Times New Roman"/>
                <w:iCs/>
                <w:sz w:val="18"/>
                <w:szCs w:val="18"/>
                <w:lang w:val="en-US"/>
              </w:rPr>
            </w:pPr>
          </w:p>
          <w:p w14:paraId="20F2B203" w14:textId="77777777" w:rsidR="00F763F5" w:rsidRPr="001725D0" w:rsidRDefault="00F763F5" w:rsidP="00F763F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 xml:space="preserve">6. A Member State where a data breach has occurred shall report the data breach and any subsequent corrective action to the Commission without delay. The Commission shall inform all Member States without delay of the data breach that has been reported to it or of which it is aware and any corrective action. Any Member State may suspend the exchange of information with the Member State(s) where the data breach has occurred by notifying the Commission and the relevant Member State(s) in writing. Such a suspension shall take immediate effect. The Member State(s) where the data breach has occurred shall investigate, contain and correct the data breach and, by notifying the Commission in writing, shall request the suspension of CCN access for the purposes of this </w:t>
            </w:r>
            <w:r>
              <w:rPr>
                <w:rFonts w:ascii="Times New Roman" w:eastAsia="Calibri" w:hAnsi="Times New Roman" w:cs="Times New Roman"/>
                <w:iCs/>
                <w:sz w:val="18"/>
                <w:szCs w:val="18"/>
                <w:lang w:val="en-US"/>
              </w:rPr>
              <w:lastRenderedPageBreak/>
              <w:t>Directive, if the data breach cannot be contained immediately and appropriately. Upon such a request, the Commission shall suspend the CCN access of that/those Member State(s) for the purposes of this Directive.</w:t>
            </w:r>
          </w:p>
          <w:p w14:paraId="19A3E9F8" w14:textId="77777777" w:rsidR="00F763F5" w:rsidRPr="001725D0" w:rsidRDefault="00F763F5" w:rsidP="00F763F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Following the reporting by the Member State where the data breach occurred on the correction of the data breach, the Commission shall restore access to the CCN of the relevant Member State/Member States for the purposes of this Directive. In the event that one or more Member States request the Commission to jointly verify whether the correction of the data breach has been successful, the Commission shall restore access to the CCN of that/those Member State/Member States for the purposes of this Directive after such a verification. When a data breach occurs in the central directory or CCN for the purposes of this Directive and when exchanges of the Member States through the CCN may potentially be affected, the Commission shall inform the Member States of the data breach and of any corrective action taken without undue delay. Such corrective actions may include the suspension of access to the directory central directory or CCN for the purposes of this Directive until the data breach is corrected.</w:t>
            </w:r>
          </w:p>
          <w:p w14:paraId="40539082" w14:textId="77777777" w:rsidR="00F763F5" w:rsidRPr="001725D0" w:rsidRDefault="00F763F5" w:rsidP="00F763F5">
            <w:pPr>
              <w:jc w:val="both"/>
              <w:rPr>
                <w:rFonts w:ascii="Times New Roman" w:eastAsia="Calibri" w:hAnsi="Times New Roman" w:cs="Times New Roman"/>
                <w:iCs/>
                <w:sz w:val="18"/>
                <w:szCs w:val="18"/>
                <w:lang w:val="en-US"/>
              </w:rPr>
            </w:pPr>
          </w:p>
          <w:p w14:paraId="4A7EDA53" w14:textId="60DB94A8" w:rsidR="00E172D2" w:rsidRPr="001725D0" w:rsidRDefault="00F763F5" w:rsidP="00F763F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7. The Member States, assisted by the Commission, agree on the practical arrangements necessary for the implementation of this Article, including data breach management processes which are in accordance with internationally recognised good practices and, where appropriate, a joint data controller agreement, a data processor - data controller agreement or models thereof.</w:t>
            </w:r>
          </w:p>
        </w:tc>
        <w:tc>
          <w:tcPr>
            <w:tcW w:w="540" w:type="dxa"/>
          </w:tcPr>
          <w:p w14:paraId="7F8A8833" w14:textId="77777777" w:rsidR="00E172D2" w:rsidRPr="00036F88" w:rsidRDefault="00E172D2" w:rsidP="003C045B">
            <w:pPr>
              <w:jc w:val="center"/>
              <w:rPr>
                <w:rFonts w:ascii="Times New Roman" w:eastAsia="Calibri" w:hAnsi="Times New Roman" w:cs="Times New Roman"/>
                <w:sz w:val="18"/>
                <w:szCs w:val="18"/>
                <w:highlight w:val="cyan"/>
              </w:rPr>
            </w:pPr>
          </w:p>
        </w:tc>
        <w:tc>
          <w:tcPr>
            <w:tcW w:w="720" w:type="dxa"/>
          </w:tcPr>
          <w:p w14:paraId="00981BDF" w14:textId="121A8FE9" w:rsidR="00E172D2"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Article 16</w:t>
            </w:r>
          </w:p>
        </w:tc>
        <w:tc>
          <w:tcPr>
            <w:tcW w:w="5040" w:type="dxa"/>
            <w:gridSpan w:val="2"/>
          </w:tcPr>
          <w:p w14:paraId="63D319DC" w14:textId="77777777" w:rsidR="00F763F5" w:rsidRDefault="00F763F5" w:rsidP="00F763F5">
            <w:pPr>
              <w:jc w:val="center"/>
              <w:rPr>
                <w:rFonts w:ascii="Times New Roman" w:hAnsi="Times New Roman" w:cs="Times New Roman"/>
                <w:sz w:val="18"/>
                <w:szCs w:val="18"/>
              </w:rPr>
            </w:pPr>
          </w:p>
          <w:p w14:paraId="5893623D" w14:textId="7316F344" w:rsidR="00AF3AF5" w:rsidRPr="00036F88" w:rsidRDefault="00AF3AF5" w:rsidP="00AF3AF5">
            <w:pPr>
              <w:jc w:val="both"/>
              <w:rPr>
                <w:rFonts w:ascii="Times New Roman" w:hAnsi="Times New Roman" w:cs="Times New Roman"/>
                <w:sz w:val="18"/>
                <w:szCs w:val="18"/>
              </w:rPr>
            </w:pPr>
          </w:p>
          <w:p w14:paraId="6671D98E" w14:textId="6312C01D" w:rsidR="00E172D2" w:rsidRPr="00740B67" w:rsidRDefault="00740B67" w:rsidP="00740B67">
            <w:pPr>
              <w:pStyle w:val="ListParagraph"/>
              <w:numPr>
                <w:ilvl w:val="0"/>
                <w:numId w:val="31"/>
              </w:numPr>
              <w:spacing w:after="0"/>
              <w:jc w:val="both"/>
              <w:rPr>
                <w:rFonts w:ascii="Times New Roman" w:hAnsi="Times New Roman" w:cs="Times New Roman"/>
                <w:sz w:val="18"/>
                <w:szCs w:val="18"/>
              </w:rPr>
            </w:pPr>
            <w:r w:rsidRPr="00740B67">
              <w:rPr>
                <w:rFonts w:ascii="Times New Roman" w:hAnsi="Times New Roman" w:cs="Times New Roman"/>
                <w:sz w:val="18"/>
                <w:szCs w:val="18"/>
              </w:rPr>
              <w:t>The provisions on the protection of personal data provided for in the Law “On Administrative Cooperation in the Field of Taxation and Exchange of Tax Information” shall also apply to this law.</w:t>
            </w:r>
          </w:p>
        </w:tc>
        <w:tc>
          <w:tcPr>
            <w:tcW w:w="720" w:type="dxa"/>
            <w:gridSpan w:val="2"/>
          </w:tcPr>
          <w:p w14:paraId="37F5F7FD" w14:textId="77777777" w:rsidR="00424D4A" w:rsidRDefault="00424D4A" w:rsidP="003C045B">
            <w:pPr>
              <w:jc w:val="center"/>
              <w:rPr>
                <w:rFonts w:ascii="Times New Roman" w:eastAsia="Calibri" w:hAnsi="Times New Roman" w:cs="Times New Roman"/>
                <w:sz w:val="18"/>
                <w:szCs w:val="18"/>
              </w:rPr>
            </w:pPr>
          </w:p>
          <w:p w14:paraId="38B4087C" w14:textId="27FA908F" w:rsidR="00E172D2" w:rsidRDefault="00D2162C"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524BA8E8" w14:textId="77777777" w:rsidR="00E16BA5" w:rsidRPr="00E16BA5" w:rsidRDefault="00E16BA5" w:rsidP="00E16BA5">
            <w:pPr>
              <w:rPr>
                <w:rFonts w:ascii="Times New Roman" w:eastAsia="Calibri" w:hAnsi="Times New Roman" w:cs="Times New Roman"/>
                <w:sz w:val="18"/>
                <w:szCs w:val="18"/>
              </w:rPr>
            </w:pPr>
          </w:p>
          <w:p w14:paraId="336C14ED" w14:textId="77777777" w:rsidR="00E16BA5" w:rsidRPr="00E16BA5" w:rsidRDefault="00E16BA5" w:rsidP="00E16BA5">
            <w:pPr>
              <w:rPr>
                <w:rFonts w:ascii="Times New Roman" w:eastAsia="Calibri" w:hAnsi="Times New Roman" w:cs="Times New Roman"/>
                <w:sz w:val="18"/>
                <w:szCs w:val="18"/>
              </w:rPr>
            </w:pPr>
          </w:p>
          <w:p w14:paraId="6DB65190" w14:textId="6060E957" w:rsidR="00E172D2" w:rsidRPr="00036F88" w:rsidRDefault="00E172D2" w:rsidP="00E16BA5">
            <w:pPr>
              <w:rPr>
                <w:rFonts w:ascii="Times New Roman" w:eastAsia="Calibri" w:hAnsi="Times New Roman" w:cs="Times New Roman"/>
                <w:sz w:val="18"/>
                <w:szCs w:val="18"/>
              </w:rPr>
            </w:pPr>
          </w:p>
        </w:tc>
      </w:tr>
      <w:tr w:rsidR="00424D4A" w:rsidRPr="00036F88" w14:paraId="33BA812D" w14:textId="77777777" w:rsidTr="00D50C43">
        <w:trPr>
          <w:gridAfter w:val="1"/>
          <w:wAfter w:w="353" w:type="dxa"/>
          <w:trHeight w:val="854"/>
        </w:trPr>
        <w:tc>
          <w:tcPr>
            <w:tcW w:w="630" w:type="dxa"/>
          </w:tcPr>
          <w:p w14:paraId="543E031D" w14:textId="77777777" w:rsidR="00424D4A" w:rsidRPr="00036F88" w:rsidRDefault="00424D4A" w:rsidP="00AF6E05">
            <w:pPr>
              <w:jc w:val="both"/>
              <w:rPr>
                <w:rFonts w:ascii="Times New Roman" w:eastAsia="Calibri" w:hAnsi="Times New Roman" w:cs="Times New Roman"/>
                <w:sz w:val="18"/>
                <w:szCs w:val="18"/>
                <w:lang w:val="en-US"/>
              </w:rPr>
            </w:pPr>
            <w:bookmarkStart w:id="9" w:name="_Hlk227918983"/>
          </w:p>
        </w:tc>
        <w:tc>
          <w:tcPr>
            <w:tcW w:w="5400" w:type="dxa"/>
            <w:shd w:val="clear" w:color="auto" w:fill="D0CECE" w:themeFill="background2" w:themeFillShade="E6"/>
          </w:tcPr>
          <w:p w14:paraId="6F6C6CD2" w14:textId="77777777" w:rsidR="00424D4A" w:rsidRPr="00424D4A" w:rsidRDefault="00424D4A" w:rsidP="00424D4A">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1(19) (Directive 2021/514/EU)</w:t>
            </w:r>
          </w:p>
          <w:p w14:paraId="1226FD18" w14:textId="2D97A3A2" w:rsidR="00424D4A" w:rsidRPr="00036F88" w:rsidRDefault="00424D4A" w:rsidP="00424D4A">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25a (Directive 2011/16/EU)</w:t>
            </w:r>
          </w:p>
        </w:tc>
        <w:tc>
          <w:tcPr>
            <w:tcW w:w="540" w:type="dxa"/>
            <w:shd w:val="clear" w:color="auto" w:fill="D0CECE" w:themeFill="background2" w:themeFillShade="E6"/>
          </w:tcPr>
          <w:p w14:paraId="7CC84FB7" w14:textId="77777777" w:rsidR="00424D4A" w:rsidRPr="00036F88" w:rsidRDefault="00424D4A" w:rsidP="00AF6E05">
            <w:pPr>
              <w:rPr>
                <w:rFonts w:ascii="Times New Roman" w:eastAsia="Calibri" w:hAnsi="Times New Roman" w:cs="Times New Roman"/>
                <w:sz w:val="18"/>
                <w:szCs w:val="18"/>
              </w:rPr>
            </w:pPr>
          </w:p>
        </w:tc>
        <w:tc>
          <w:tcPr>
            <w:tcW w:w="720" w:type="dxa"/>
            <w:shd w:val="clear" w:color="auto" w:fill="D0CECE" w:themeFill="background2" w:themeFillShade="E6"/>
          </w:tcPr>
          <w:p w14:paraId="2BA7230E" w14:textId="77777777" w:rsidR="00424D4A" w:rsidRPr="00036F88" w:rsidRDefault="00424D4A" w:rsidP="00AF6E05">
            <w:pPr>
              <w:rPr>
                <w:rFonts w:ascii="Times New Roman" w:eastAsia="Calibri" w:hAnsi="Times New Roman" w:cs="Times New Roman"/>
                <w:sz w:val="18"/>
                <w:szCs w:val="18"/>
                <w:lang w:val="en-US"/>
              </w:rPr>
            </w:pPr>
          </w:p>
        </w:tc>
        <w:tc>
          <w:tcPr>
            <w:tcW w:w="5040" w:type="dxa"/>
            <w:gridSpan w:val="2"/>
            <w:shd w:val="clear" w:color="auto" w:fill="D0CECE" w:themeFill="background2" w:themeFillShade="E6"/>
          </w:tcPr>
          <w:p w14:paraId="44149891" w14:textId="77777777" w:rsidR="005331A6" w:rsidRPr="00EF43AB" w:rsidRDefault="005331A6" w:rsidP="005331A6">
            <w:pPr>
              <w:jc w:val="center"/>
              <w:rPr>
                <w:rFonts w:ascii="Times New Roman" w:hAnsi="Times New Roman" w:cs="Times New Roman"/>
                <w:b/>
                <w:sz w:val="18"/>
                <w:szCs w:val="18"/>
              </w:rPr>
            </w:pPr>
            <w:r>
              <w:rPr>
                <w:rFonts w:ascii="Times New Roman" w:hAnsi="Times New Roman" w:cs="Times New Roman"/>
                <w:b/>
                <w:sz w:val="18"/>
                <w:szCs w:val="18"/>
              </w:rPr>
              <w:t>Article 17</w:t>
            </w:r>
          </w:p>
          <w:p w14:paraId="26D8AB25" w14:textId="3D4800E4" w:rsidR="00424D4A" w:rsidRPr="00036F88" w:rsidRDefault="005331A6" w:rsidP="005331A6">
            <w:pPr>
              <w:jc w:val="center"/>
              <w:rPr>
                <w:rFonts w:ascii="Times New Roman" w:eastAsia="Calibri" w:hAnsi="Times New Roman" w:cs="Times New Roman"/>
                <w:sz w:val="18"/>
                <w:szCs w:val="18"/>
                <w:lang w:val="en-US"/>
              </w:rPr>
            </w:pPr>
            <w:r>
              <w:rPr>
                <w:rFonts w:ascii="Times New Roman" w:hAnsi="Times New Roman" w:cs="Times New Roman"/>
                <w:b/>
                <w:sz w:val="18"/>
                <w:szCs w:val="18"/>
              </w:rPr>
              <w:t xml:space="preserve">Sanctions and measures </w:t>
            </w:r>
            <w:r w:rsidR="00C65C37" w:rsidRPr="00C65C37">
              <w:rPr>
                <w:rFonts w:ascii="Times New Roman" w:hAnsi="Times New Roman" w:cs="Times New Roman"/>
                <w:b/>
                <w:sz w:val="18"/>
                <w:szCs w:val="18"/>
              </w:rPr>
              <w:t xml:space="preserve">to ensure compliance  </w:t>
            </w:r>
          </w:p>
        </w:tc>
        <w:tc>
          <w:tcPr>
            <w:tcW w:w="720" w:type="dxa"/>
            <w:gridSpan w:val="2"/>
            <w:shd w:val="clear" w:color="auto" w:fill="D0CECE" w:themeFill="background2" w:themeFillShade="E6"/>
          </w:tcPr>
          <w:p w14:paraId="612A713F" w14:textId="77777777" w:rsidR="00424D4A" w:rsidRPr="00036F88" w:rsidRDefault="00424D4A" w:rsidP="00AF6E05">
            <w:pPr>
              <w:jc w:val="center"/>
              <w:rPr>
                <w:rFonts w:ascii="Times New Roman" w:eastAsia="Calibri" w:hAnsi="Times New Roman" w:cs="Times New Roman"/>
                <w:sz w:val="18"/>
                <w:szCs w:val="18"/>
                <w:lang w:val="en-US"/>
              </w:rPr>
            </w:pPr>
          </w:p>
        </w:tc>
        <w:tc>
          <w:tcPr>
            <w:tcW w:w="3240" w:type="dxa"/>
            <w:gridSpan w:val="2"/>
            <w:shd w:val="clear" w:color="auto" w:fill="D0CECE" w:themeFill="background2" w:themeFillShade="E6"/>
          </w:tcPr>
          <w:p w14:paraId="344770AE" w14:textId="77777777" w:rsidR="00424D4A" w:rsidRPr="00036F88" w:rsidRDefault="00424D4A" w:rsidP="00AF6E05">
            <w:pPr>
              <w:rPr>
                <w:rFonts w:ascii="Times New Roman" w:eastAsia="Calibri" w:hAnsi="Times New Roman" w:cs="Times New Roman"/>
                <w:sz w:val="18"/>
                <w:szCs w:val="18"/>
                <w:lang w:val="en-US"/>
              </w:rPr>
            </w:pPr>
          </w:p>
        </w:tc>
      </w:tr>
      <w:bookmarkEnd w:id="9"/>
      <w:tr w:rsidR="00424D4A" w:rsidRPr="00036F88" w14:paraId="70A20DEC" w14:textId="77777777" w:rsidTr="00C65C37">
        <w:trPr>
          <w:trHeight w:val="2204"/>
        </w:trPr>
        <w:tc>
          <w:tcPr>
            <w:tcW w:w="630" w:type="dxa"/>
          </w:tcPr>
          <w:p w14:paraId="67379463" w14:textId="77777777" w:rsidR="00424D4A" w:rsidRPr="00036F88" w:rsidRDefault="00424D4A" w:rsidP="003C045B">
            <w:pPr>
              <w:jc w:val="both"/>
              <w:rPr>
                <w:rFonts w:ascii="Times New Roman" w:eastAsia="Calibri" w:hAnsi="Times New Roman" w:cs="Times New Roman"/>
                <w:sz w:val="18"/>
                <w:szCs w:val="18"/>
              </w:rPr>
            </w:pPr>
          </w:p>
        </w:tc>
        <w:tc>
          <w:tcPr>
            <w:tcW w:w="5400" w:type="dxa"/>
          </w:tcPr>
          <w:p w14:paraId="721D52D7" w14:textId="77777777" w:rsidR="00424D4A" w:rsidRPr="001725D0" w:rsidRDefault="00424D4A" w:rsidP="00424D4A">
            <w:pPr>
              <w:jc w:val="both"/>
              <w:rPr>
                <w:rFonts w:ascii="Times New Roman" w:eastAsia="Calibri" w:hAnsi="Times New Roman" w:cs="Times New Roman"/>
                <w:iCs/>
                <w:sz w:val="18"/>
                <w:szCs w:val="18"/>
                <w:lang w:val="en-US"/>
              </w:rPr>
            </w:pPr>
          </w:p>
          <w:p w14:paraId="69FFFDA9" w14:textId="77777777" w:rsidR="00424D4A" w:rsidRPr="001725D0" w:rsidRDefault="00424D4A" w:rsidP="00424D4A">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25a</w:t>
            </w:r>
          </w:p>
          <w:p w14:paraId="1CB32A77" w14:textId="77777777" w:rsidR="00424D4A" w:rsidRPr="001725D0" w:rsidRDefault="00424D4A" w:rsidP="00424D4A">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Penalties</w:t>
            </w:r>
          </w:p>
          <w:p w14:paraId="2070EA8E" w14:textId="77777777" w:rsidR="00424D4A" w:rsidRPr="001725D0" w:rsidRDefault="00424D4A" w:rsidP="00424D4A">
            <w:pPr>
              <w:jc w:val="both"/>
              <w:rPr>
                <w:rFonts w:ascii="Times New Roman" w:eastAsia="Calibri" w:hAnsi="Times New Roman" w:cs="Times New Roman"/>
                <w:iCs/>
                <w:sz w:val="18"/>
                <w:szCs w:val="18"/>
                <w:lang w:val="en-US"/>
              </w:rPr>
            </w:pPr>
          </w:p>
          <w:p w14:paraId="5A447527" w14:textId="26E2FC77" w:rsidR="00424D4A" w:rsidRPr="001725D0" w:rsidRDefault="00424D4A" w:rsidP="00424D4A">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The Member States shall determine the rules on the sanctions applicable to infringements of the national provisions adopted in accordance with this Directive and in relation to Articles 8aa, 8ab and 8ac, and shall take all necessary measures to ensure that they are implemented. The sanctions provided for must be effective, proportionate and dissuasive.</w:t>
            </w:r>
          </w:p>
        </w:tc>
        <w:tc>
          <w:tcPr>
            <w:tcW w:w="540" w:type="dxa"/>
          </w:tcPr>
          <w:p w14:paraId="0F4F352F" w14:textId="77777777" w:rsidR="00424D4A" w:rsidRPr="00036F88" w:rsidRDefault="00424D4A" w:rsidP="003C045B">
            <w:pPr>
              <w:jc w:val="center"/>
              <w:rPr>
                <w:rFonts w:ascii="Times New Roman" w:eastAsia="Calibri" w:hAnsi="Times New Roman" w:cs="Times New Roman"/>
                <w:sz w:val="18"/>
                <w:szCs w:val="18"/>
                <w:highlight w:val="cyan"/>
              </w:rPr>
            </w:pPr>
          </w:p>
        </w:tc>
        <w:tc>
          <w:tcPr>
            <w:tcW w:w="803" w:type="dxa"/>
            <w:gridSpan w:val="2"/>
          </w:tcPr>
          <w:p w14:paraId="6CB801A5" w14:textId="628D2716" w:rsidR="00424D4A" w:rsidRPr="001725D0" w:rsidRDefault="00113DE2"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Article 17</w:t>
            </w:r>
          </w:p>
        </w:tc>
        <w:tc>
          <w:tcPr>
            <w:tcW w:w="5040" w:type="dxa"/>
            <w:gridSpan w:val="2"/>
          </w:tcPr>
          <w:p w14:paraId="772CB3E3" w14:textId="7A14A50E" w:rsidR="00EF43AB" w:rsidRDefault="00EF43AB" w:rsidP="00EF43AB">
            <w:pPr>
              <w:jc w:val="both"/>
              <w:rPr>
                <w:rFonts w:ascii="Times New Roman" w:hAnsi="Times New Roman" w:cs="Times New Roman"/>
                <w:sz w:val="18"/>
                <w:szCs w:val="18"/>
              </w:rPr>
            </w:pPr>
          </w:p>
          <w:p w14:paraId="28DC8865" w14:textId="77777777" w:rsidR="00AA253C" w:rsidRPr="00AA253C" w:rsidRDefault="00AA253C" w:rsidP="00AA253C">
            <w:pPr>
              <w:spacing w:line="276" w:lineRule="auto"/>
              <w:jc w:val="both"/>
              <w:rPr>
                <w:rFonts w:ascii="Times New Roman" w:hAnsi="Times New Roman" w:cs="Times New Roman"/>
                <w:sz w:val="18"/>
                <w:szCs w:val="18"/>
              </w:rPr>
            </w:pPr>
          </w:p>
          <w:p w14:paraId="2F694CDB" w14:textId="77777777" w:rsidR="00AA253C" w:rsidRPr="00AA253C" w:rsidRDefault="00AA253C" w:rsidP="00AA253C">
            <w:pPr>
              <w:spacing w:line="276" w:lineRule="auto"/>
              <w:jc w:val="both"/>
              <w:rPr>
                <w:rFonts w:ascii="Times New Roman" w:hAnsi="Times New Roman" w:cs="Times New Roman"/>
                <w:sz w:val="18"/>
                <w:szCs w:val="18"/>
              </w:rPr>
            </w:pPr>
            <w:r w:rsidRPr="00AA253C">
              <w:rPr>
                <w:rFonts w:ascii="Times New Roman" w:hAnsi="Times New Roman" w:cs="Times New Roman"/>
                <w:sz w:val="18"/>
                <w:szCs w:val="18"/>
              </w:rPr>
              <w:t>1.</w:t>
            </w:r>
            <w:r w:rsidRPr="00AA253C">
              <w:rPr>
                <w:rFonts w:ascii="Times New Roman" w:hAnsi="Times New Roman" w:cs="Times New Roman"/>
                <w:sz w:val="18"/>
                <w:szCs w:val="18"/>
              </w:rPr>
              <w:tab/>
              <w:t xml:space="preserve">The Platform Operator shall include in its cooperation agreement with the Seller a mandatory clause providing that, where the Seller fails to provide the required information following two reminders within a period of 60 days from the date of the first reminder, the Seller’s account on the platform shall be closed until the relevant obligation has been fulfilled. </w:t>
            </w:r>
          </w:p>
          <w:p w14:paraId="75B62FF1" w14:textId="77777777" w:rsidR="00AA253C" w:rsidRPr="00AA253C" w:rsidRDefault="00AA253C" w:rsidP="00AA253C">
            <w:pPr>
              <w:spacing w:line="276" w:lineRule="auto"/>
              <w:jc w:val="both"/>
              <w:rPr>
                <w:rFonts w:ascii="Times New Roman" w:hAnsi="Times New Roman" w:cs="Times New Roman"/>
                <w:sz w:val="18"/>
                <w:szCs w:val="18"/>
              </w:rPr>
            </w:pPr>
          </w:p>
          <w:p w14:paraId="695A2E34" w14:textId="77777777" w:rsidR="00AA253C" w:rsidRPr="00AA253C" w:rsidRDefault="00AA253C" w:rsidP="00AA253C">
            <w:pPr>
              <w:spacing w:line="276" w:lineRule="auto"/>
              <w:jc w:val="both"/>
              <w:rPr>
                <w:rFonts w:ascii="Times New Roman" w:hAnsi="Times New Roman" w:cs="Times New Roman"/>
                <w:sz w:val="18"/>
                <w:szCs w:val="18"/>
              </w:rPr>
            </w:pPr>
            <w:r w:rsidRPr="00AA253C">
              <w:rPr>
                <w:rFonts w:ascii="Times New Roman" w:hAnsi="Times New Roman" w:cs="Times New Roman"/>
                <w:sz w:val="18"/>
                <w:szCs w:val="18"/>
              </w:rPr>
              <w:t>2.</w:t>
            </w:r>
            <w:r w:rsidRPr="00AA253C">
              <w:rPr>
                <w:rFonts w:ascii="Times New Roman" w:hAnsi="Times New Roman" w:cs="Times New Roman"/>
                <w:sz w:val="18"/>
                <w:szCs w:val="18"/>
              </w:rPr>
              <w:tab/>
              <w:t>Where the agreement with the Seller provides for the payment of Consideration, such payment may be suspended until the complete information has been provided. In cases of continued non-cooperation, the Platform Operator shall prevent the Seller from re-registering, terminate the Seller’s access to the platform, or exclude the Seller from the platform with respect to Relevant Activities, until full compliance with the legal obligations has been achieved.</w:t>
            </w:r>
          </w:p>
          <w:p w14:paraId="43AB7242" w14:textId="77777777" w:rsidR="00AA253C" w:rsidRPr="00AA253C" w:rsidRDefault="00AA253C" w:rsidP="00AA253C">
            <w:pPr>
              <w:spacing w:line="276" w:lineRule="auto"/>
              <w:jc w:val="both"/>
              <w:rPr>
                <w:rFonts w:ascii="Times New Roman" w:hAnsi="Times New Roman" w:cs="Times New Roman"/>
                <w:sz w:val="18"/>
                <w:szCs w:val="18"/>
              </w:rPr>
            </w:pPr>
          </w:p>
          <w:p w14:paraId="234B2100" w14:textId="77777777" w:rsidR="00AA253C" w:rsidRPr="00AA253C" w:rsidRDefault="00AA253C" w:rsidP="00AA253C">
            <w:pPr>
              <w:spacing w:line="276" w:lineRule="auto"/>
              <w:jc w:val="both"/>
              <w:rPr>
                <w:rFonts w:ascii="Times New Roman" w:hAnsi="Times New Roman" w:cs="Times New Roman"/>
                <w:sz w:val="18"/>
                <w:szCs w:val="18"/>
              </w:rPr>
            </w:pPr>
            <w:r w:rsidRPr="00AA253C">
              <w:rPr>
                <w:rFonts w:ascii="Times New Roman" w:hAnsi="Times New Roman" w:cs="Times New Roman"/>
                <w:sz w:val="18"/>
                <w:szCs w:val="18"/>
              </w:rPr>
              <w:t>3.</w:t>
            </w:r>
            <w:r w:rsidRPr="00AA253C">
              <w:rPr>
                <w:rFonts w:ascii="Times New Roman" w:hAnsi="Times New Roman" w:cs="Times New Roman"/>
                <w:sz w:val="18"/>
                <w:szCs w:val="18"/>
              </w:rPr>
              <w:tab/>
              <w:t>For the purposes of this Law, the following violations committed by a Reporting Platform Operator shall constitute administrative offences and shall be sanctioned as follows:</w:t>
            </w:r>
          </w:p>
          <w:p w14:paraId="143DBA5F" w14:textId="77777777" w:rsidR="00AA253C" w:rsidRPr="00AA253C" w:rsidRDefault="00AA253C" w:rsidP="00AA253C">
            <w:pPr>
              <w:spacing w:line="276" w:lineRule="auto"/>
              <w:jc w:val="both"/>
              <w:rPr>
                <w:rFonts w:ascii="Times New Roman" w:hAnsi="Times New Roman" w:cs="Times New Roman"/>
                <w:sz w:val="18"/>
                <w:szCs w:val="18"/>
              </w:rPr>
            </w:pPr>
            <w:r w:rsidRPr="00AA253C">
              <w:rPr>
                <w:rFonts w:ascii="Times New Roman" w:hAnsi="Times New Roman" w:cs="Times New Roman"/>
                <w:sz w:val="18"/>
                <w:szCs w:val="18"/>
              </w:rPr>
              <w:t>a) Failure to submit the annual report within the deadlines set by this Law, shall be punishable by a fine ranging from 100,000 lek to 1,000,000 lek for each Reporting Period.</w:t>
            </w:r>
          </w:p>
          <w:p w14:paraId="1F2378EC" w14:textId="77777777" w:rsidR="00AA253C" w:rsidRPr="00AA253C" w:rsidRDefault="00AA253C" w:rsidP="00AA253C">
            <w:pPr>
              <w:spacing w:line="276" w:lineRule="auto"/>
              <w:jc w:val="both"/>
              <w:rPr>
                <w:rFonts w:ascii="Times New Roman" w:hAnsi="Times New Roman" w:cs="Times New Roman"/>
                <w:sz w:val="18"/>
                <w:szCs w:val="18"/>
              </w:rPr>
            </w:pPr>
            <w:r w:rsidRPr="00AA253C">
              <w:rPr>
                <w:rFonts w:ascii="Times New Roman" w:hAnsi="Times New Roman" w:cs="Times New Roman"/>
                <w:sz w:val="18"/>
                <w:szCs w:val="18"/>
              </w:rPr>
              <w:t>b) Submission of an annual report containing substantially incomplete, inaccurate or false information shall be punishable by a fine ranging from 100,000 lek to 500,000 lek for each Reporting Period.</w:t>
            </w:r>
          </w:p>
          <w:p w14:paraId="2EE2C83B" w14:textId="77777777" w:rsidR="00AA253C" w:rsidRPr="00AA253C" w:rsidRDefault="00AA253C" w:rsidP="00AA253C">
            <w:pPr>
              <w:spacing w:line="276" w:lineRule="auto"/>
              <w:jc w:val="both"/>
              <w:rPr>
                <w:rFonts w:ascii="Times New Roman" w:hAnsi="Times New Roman" w:cs="Times New Roman"/>
                <w:sz w:val="18"/>
                <w:szCs w:val="18"/>
              </w:rPr>
            </w:pPr>
            <w:r w:rsidRPr="00AA253C">
              <w:rPr>
                <w:rFonts w:ascii="Times New Roman" w:hAnsi="Times New Roman" w:cs="Times New Roman"/>
                <w:sz w:val="18"/>
                <w:szCs w:val="18"/>
              </w:rPr>
              <w:t>c) Failure to comply, in whole or in part, with the due diligence procedures in accordance with this Law and   bylaws implementing it, shall be punishable by a fine ranging from 100,000 lek to 750,000 lek for each Reporting Period.</w:t>
            </w:r>
          </w:p>
          <w:p w14:paraId="4D2858BF" w14:textId="77777777" w:rsidR="00AA253C" w:rsidRPr="00AA253C" w:rsidRDefault="00AA253C" w:rsidP="00AA253C">
            <w:pPr>
              <w:spacing w:line="276" w:lineRule="auto"/>
              <w:jc w:val="both"/>
              <w:rPr>
                <w:rFonts w:ascii="Times New Roman" w:hAnsi="Times New Roman" w:cs="Times New Roman"/>
                <w:sz w:val="18"/>
                <w:szCs w:val="18"/>
              </w:rPr>
            </w:pPr>
            <w:r w:rsidRPr="00AA253C">
              <w:rPr>
                <w:rFonts w:ascii="Times New Roman" w:hAnsi="Times New Roman" w:cs="Times New Roman"/>
                <w:sz w:val="18"/>
                <w:szCs w:val="18"/>
              </w:rPr>
              <w:t xml:space="preserve">ç) Failure to fulfill the obligation to preserve documentation, data and evidence for the period specified by this Law, shall be </w:t>
            </w:r>
            <w:r w:rsidRPr="00AA253C">
              <w:rPr>
                <w:rFonts w:ascii="Times New Roman" w:hAnsi="Times New Roman" w:cs="Times New Roman"/>
                <w:sz w:val="18"/>
                <w:szCs w:val="18"/>
              </w:rPr>
              <w:lastRenderedPageBreak/>
              <w:t>punishable by a fine in the amount of 50,000 lek to 300,000 lek for each Reporting Period.</w:t>
            </w:r>
          </w:p>
          <w:p w14:paraId="1FE18502" w14:textId="77777777" w:rsidR="00AA253C" w:rsidRPr="00AA253C" w:rsidRDefault="00AA253C" w:rsidP="00AA253C">
            <w:pPr>
              <w:spacing w:line="276" w:lineRule="auto"/>
              <w:jc w:val="both"/>
              <w:rPr>
                <w:rFonts w:ascii="Times New Roman" w:hAnsi="Times New Roman" w:cs="Times New Roman"/>
                <w:sz w:val="18"/>
                <w:szCs w:val="18"/>
              </w:rPr>
            </w:pPr>
            <w:r w:rsidRPr="00AA253C">
              <w:rPr>
                <w:rFonts w:ascii="Times New Roman" w:hAnsi="Times New Roman" w:cs="Times New Roman"/>
                <w:sz w:val="18"/>
                <w:szCs w:val="18"/>
              </w:rPr>
              <w:t>d) Failure to comply with the obligation to implement effective enforcement measures against non-cooperative sellers, including sending reminders, suspending accounts, closing access to the platform, exclusion from the platform or prohibiting re-registration, according to the provisions of this law, shall be punishable by a fine in the amount of 100,000 lek to 500,000 lek for each Reporting Period.</w:t>
            </w:r>
          </w:p>
          <w:p w14:paraId="29B86D9A" w14:textId="77777777" w:rsidR="00AA253C" w:rsidRPr="00AA253C" w:rsidRDefault="00AA253C" w:rsidP="00AA253C">
            <w:pPr>
              <w:spacing w:line="276" w:lineRule="auto"/>
              <w:jc w:val="both"/>
              <w:rPr>
                <w:rFonts w:ascii="Times New Roman" w:hAnsi="Times New Roman" w:cs="Times New Roman"/>
                <w:sz w:val="18"/>
                <w:szCs w:val="18"/>
              </w:rPr>
            </w:pPr>
            <w:r w:rsidRPr="00AA253C">
              <w:rPr>
                <w:rFonts w:ascii="Times New Roman" w:hAnsi="Times New Roman" w:cs="Times New Roman"/>
                <w:sz w:val="18"/>
                <w:szCs w:val="18"/>
              </w:rPr>
              <w:t>dh) Failure to register the platform operator according to this Law, shall be punishable by a fine of 1,000,000 lek.</w:t>
            </w:r>
          </w:p>
          <w:p w14:paraId="2351788D" w14:textId="77777777" w:rsidR="00AA253C" w:rsidRPr="00AA253C" w:rsidRDefault="00AA253C" w:rsidP="00AA253C">
            <w:pPr>
              <w:spacing w:line="276" w:lineRule="auto"/>
              <w:jc w:val="both"/>
              <w:rPr>
                <w:rFonts w:ascii="Times New Roman" w:hAnsi="Times New Roman" w:cs="Times New Roman"/>
                <w:sz w:val="18"/>
                <w:szCs w:val="18"/>
              </w:rPr>
            </w:pPr>
            <w:r w:rsidRPr="00AA253C">
              <w:rPr>
                <w:rFonts w:ascii="Times New Roman" w:hAnsi="Times New Roman" w:cs="Times New Roman"/>
                <w:sz w:val="18"/>
                <w:szCs w:val="18"/>
              </w:rPr>
              <w:t>4. For the violations referred to in paragraph 3 of this Article, the General Directorate of Taxation may, as appropriate and in accordance with the principle of proportionality, impose one or more of the following administrative measures:</w:t>
            </w:r>
          </w:p>
          <w:p w14:paraId="078A7744" w14:textId="77777777" w:rsidR="00AA253C" w:rsidRPr="00AA253C" w:rsidRDefault="00AA253C" w:rsidP="00AA253C">
            <w:pPr>
              <w:spacing w:line="276" w:lineRule="auto"/>
              <w:jc w:val="both"/>
              <w:rPr>
                <w:rFonts w:ascii="Times New Roman" w:hAnsi="Times New Roman" w:cs="Times New Roman"/>
                <w:sz w:val="18"/>
                <w:szCs w:val="18"/>
              </w:rPr>
            </w:pPr>
            <w:r w:rsidRPr="00AA253C">
              <w:rPr>
                <w:rFonts w:ascii="Times New Roman" w:hAnsi="Times New Roman" w:cs="Times New Roman"/>
                <w:sz w:val="18"/>
                <w:szCs w:val="18"/>
              </w:rPr>
              <w:t>a) issuing an order for the fulfillment of the violated obligation, setting a specific deadline for its implementation;</w:t>
            </w:r>
          </w:p>
          <w:p w14:paraId="660E2E76" w14:textId="77777777" w:rsidR="00AA253C" w:rsidRPr="00AA253C" w:rsidRDefault="00AA253C" w:rsidP="00AA253C">
            <w:pPr>
              <w:spacing w:line="276" w:lineRule="auto"/>
              <w:jc w:val="both"/>
              <w:rPr>
                <w:rFonts w:ascii="Times New Roman" w:hAnsi="Times New Roman" w:cs="Times New Roman"/>
                <w:sz w:val="18"/>
                <w:szCs w:val="18"/>
              </w:rPr>
            </w:pPr>
            <w:r w:rsidRPr="00AA253C">
              <w:rPr>
                <w:rFonts w:ascii="Times New Roman" w:hAnsi="Times New Roman" w:cs="Times New Roman"/>
                <w:sz w:val="18"/>
                <w:szCs w:val="18"/>
              </w:rPr>
              <w:t>b) in case of a repeated violation or failure to comply with the compliance order, suspend the status of the Platform Operator for reporting purposes under this Law until full compliance has been achieved.</w:t>
            </w:r>
          </w:p>
          <w:p w14:paraId="49195F00" w14:textId="77777777" w:rsidR="00AA253C" w:rsidRPr="00AA253C" w:rsidRDefault="00AA253C" w:rsidP="00AA253C">
            <w:pPr>
              <w:spacing w:line="276" w:lineRule="auto"/>
              <w:jc w:val="both"/>
              <w:rPr>
                <w:rFonts w:ascii="Times New Roman" w:hAnsi="Times New Roman" w:cs="Times New Roman"/>
                <w:sz w:val="18"/>
                <w:szCs w:val="18"/>
              </w:rPr>
            </w:pPr>
          </w:p>
          <w:p w14:paraId="6D5E5FAF" w14:textId="77777777" w:rsidR="00AA253C" w:rsidRPr="00AA253C" w:rsidRDefault="00AA253C" w:rsidP="00AA253C">
            <w:pPr>
              <w:spacing w:line="276" w:lineRule="auto"/>
              <w:jc w:val="both"/>
              <w:rPr>
                <w:rFonts w:ascii="Times New Roman" w:hAnsi="Times New Roman" w:cs="Times New Roman"/>
                <w:sz w:val="18"/>
                <w:szCs w:val="18"/>
              </w:rPr>
            </w:pPr>
            <w:r w:rsidRPr="00AA253C">
              <w:rPr>
                <w:rFonts w:ascii="Times New Roman" w:hAnsi="Times New Roman" w:cs="Times New Roman"/>
                <w:sz w:val="18"/>
                <w:szCs w:val="18"/>
              </w:rPr>
              <w:t>5. Fines shall be imposed by the head of the General Directorate of Taxation in accordance with the legislation in force on administrative offences and shall be effective, proportionate, and dissuasive.</w:t>
            </w:r>
          </w:p>
          <w:p w14:paraId="5889B0DD" w14:textId="77777777" w:rsidR="00AA253C" w:rsidRPr="00AA253C" w:rsidRDefault="00AA253C" w:rsidP="00AA253C">
            <w:pPr>
              <w:spacing w:line="276" w:lineRule="auto"/>
              <w:jc w:val="both"/>
              <w:rPr>
                <w:rFonts w:ascii="Times New Roman" w:hAnsi="Times New Roman" w:cs="Times New Roman"/>
                <w:sz w:val="18"/>
                <w:szCs w:val="18"/>
              </w:rPr>
            </w:pPr>
          </w:p>
          <w:p w14:paraId="40B5C4A9" w14:textId="3552E487" w:rsidR="00AA253C" w:rsidRDefault="00AA253C" w:rsidP="00AA253C">
            <w:pPr>
              <w:spacing w:line="276" w:lineRule="auto"/>
              <w:jc w:val="both"/>
              <w:rPr>
                <w:rFonts w:ascii="Times New Roman" w:hAnsi="Times New Roman" w:cs="Times New Roman"/>
                <w:sz w:val="18"/>
                <w:szCs w:val="18"/>
              </w:rPr>
            </w:pPr>
            <w:r w:rsidRPr="00AA253C">
              <w:rPr>
                <w:rFonts w:ascii="Times New Roman" w:hAnsi="Times New Roman" w:cs="Times New Roman"/>
                <w:sz w:val="18"/>
                <w:szCs w:val="18"/>
              </w:rPr>
              <w:t>6.</w:t>
            </w:r>
            <w:r w:rsidRPr="00AA253C">
              <w:rPr>
                <w:rFonts w:ascii="Times New Roman" w:hAnsi="Times New Roman" w:cs="Times New Roman"/>
                <w:sz w:val="18"/>
                <w:szCs w:val="18"/>
              </w:rPr>
              <w:tab/>
              <w:t>Decisions imposing fines may be appealed before the competent administrative court in accordance with the legislation in force governing administrative courts and the adjudication of administrative disputes.</w:t>
            </w:r>
          </w:p>
          <w:p w14:paraId="6A241245" w14:textId="59271A29" w:rsidR="00424D4A" w:rsidRDefault="00C65C37" w:rsidP="00EF43AB">
            <w:p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gridSpan w:val="2"/>
          </w:tcPr>
          <w:p w14:paraId="04DDE0AC" w14:textId="78BF4522" w:rsidR="00424D4A" w:rsidRDefault="00080E02"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F</w:t>
            </w:r>
          </w:p>
        </w:tc>
        <w:tc>
          <w:tcPr>
            <w:tcW w:w="3510" w:type="dxa"/>
            <w:gridSpan w:val="2"/>
          </w:tcPr>
          <w:p w14:paraId="4F00E6C6" w14:textId="1CD83B75" w:rsidR="00424D4A" w:rsidRPr="00E16BA5" w:rsidRDefault="00080E02" w:rsidP="00E16BA5">
            <w:pPr>
              <w:rPr>
                <w:rFonts w:ascii="Times New Roman" w:eastAsia="Calibri" w:hAnsi="Times New Roman" w:cs="Times New Roman"/>
                <w:sz w:val="18"/>
                <w:szCs w:val="18"/>
              </w:rPr>
            </w:pPr>
            <w:r>
              <w:rPr>
                <w:rFonts w:ascii="Times New Roman" w:eastAsia="Calibri" w:hAnsi="Times New Roman" w:cs="Times New Roman"/>
                <w:sz w:val="18"/>
                <w:szCs w:val="18"/>
              </w:rPr>
              <w:t>Complies. Article 17 of the Draft Law ("Sanctions and Measures for the Fulfilment of Obligations") includes: • fines for failure to submit annual reports on time; • fines for reports that are materially incomplete, false or inaccurate; • fines for failure to correctly implement due diligence procedures.</w:t>
            </w:r>
          </w:p>
        </w:tc>
      </w:tr>
      <w:tr w:rsidR="00080E02" w:rsidRPr="00036F88" w14:paraId="2D42599A" w14:textId="77777777" w:rsidTr="00D50C43">
        <w:trPr>
          <w:gridAfter w:val="1"/>
          <w:wAfter w:w="353" w:type="dxa"/>
          <w:trHeight w:val="854"/>
        </w:trPr>
        <w:tc>
          <w:tcPr>
            <w:tcW w:w="630" w:type="dxa"/>
          </w:tcPr>
          <w:p w14:paraId="4C0910AA" w14:textId="77777777" w:rsidR="00080E02" w:rsidRPr="00036F88" w:rsidRDefault="00080E02" w:rsidP="00AF6E05">
            <w:pPr>
              <w:jc w:val="both"/>
              <w:rPr>
                <w:rFonts w:ascii="Times New Roman" w:eastAsia="Calibri" w:hAnsi="Times New Roman" w:cs="Times New Roman"/>
                <w:sz w:val="18"/>
                <w:szCs w:val="18"/>
                <w:lang w:val="en-US"/>
              </w:rPr>
            </w:pPr>
            <w:bookmarkStart w:id="10" w:name="_Hlk227920533"/>
          </w:p>
        </w:tc>
        <w:tc>
          <w:tcPr>
            <w:tcW w:w="5400" w:type="dxa"/>
            <w:shd w:val="clear" w:color="auto" w:fill="D0CECE" w:themeFill="background2" w:themeFillShade="E6"/>
          </w:tcPr>
          <w:p w14:paraId="687ABC84" w14:textId="77777777" w:rsidR="00080E02" w:rsidRPr="001725D0" w:rsidRDefault="00080E02" w:rsidP="00080E02">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Article 1(20) (Directive 2021/514/EU)</w:t>
            </w:r>
          </w:p>
          <w:p w14:paraId="479EFBE1" w14:textId="77777777" w:rsidR="00080E02" w:rsidRPr="001725D0" w:rsidRDefault="00080E02" w:rsidP="00080E02">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Annex V (Directive 2011/16/EU)</w:t>
            </w:r>
          </w:p>
          <w:p w14:paraId="7EADFAF6" w14:textId="65743C0A" w:rsidR="00080E02" w:rsidRPr="00036F88" w:rsidRDefault="00080E02" w:rsidP="00AF6E05">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7381BBEE" w14:textId="77777777" w:rsidR="00080E02" w:rsidRPr="00036F88" w:rsidRDefault="00080E02" w:rsidP="00AF6E05">
            <w:pPr>
              <w:rPr>
                <w:rFonts w:ascii="Times New Roman" w:eastAsia="Calibri" w:hAnsi="Times New Roman" w:cs="Times New Roman"/>
                <w:sz w:val="18"/>
                <w:szCs w:val="18"/>
              </w:rPr>
            </w:pPr>
          </w:p>
        </w:tc>
        <w:tc>
          <w:tcPr>
            <w:tcW w:w="720" w:type="dxa"/>
            <w:shd w:val="clear" w:color="auto" w:fill="D0CECE" w:themeFill="background2" w:themeFillShade="E6"/>
          </w:tcPr>
          <w:p w14:paraId="5313905F" w14:textId="77777777" w:rsidR="00080E02" w:rsidRPr="00036F88" w:rsidRDefault="00080E02" w:rsidP="00AF6E05">
            <w:pPr>
              <w:rPr>
                <w:rFonts w:ascii="Times New Roman" w:eastAsia="Calibri" w:hAnsi="Times New Roman" w:cs="Times New Roman"/>
                <w:sz w:val="18"/>
                <w:szCs w:val="18"/>
                <w:lang w:val="en-US"/>
              </w:rPr>
            </w:pPr>
          </w:p>
        </w:tc>
        <w:tc>
          <w:tcPr>
            <w:tcW w:w="5040" w:type="dxa"/>
            <w:gridSpan w:val="2"/>
            <w:shd w:val="clear" w:color="auto" w:fill="D0CECE" w:themeFill="background2" w:themeFillShade="E6"/>
          </w:tcPr>
          <w:p w14:paraId="3A099CAB" w14:textId="77777777" w:rsidR="00080E02" w:rsidRPr="00036F88" w:rsidRDefault="00080E02" w:rsidP="00080E02">
            <w:pPr>
              <w:jc w:val="center"/>
              <w:rPr>
                <w:rFonts w:ascii="Times New Roman" w:eastAsia="Calibri" w:hAnsi="Times New Roman" w:cs="Times New Roman"/>
                <w:sz w:val="18"/>
                <w:szCs w:val="18"/>
                <w:lang w:val="en-US"/>
              </w:rPr>
            </w:pPr>
          </w:p>
        </w:tc>
        <w:tc>
          <w:tcPr>
            <w:tcW w:w="720" w:type="dxa"/>
            <w:gridSpan w:val="2"/>
            <w:shd w:val="clear" w:color="auto" w:fill="D0CECE" w:themeFill="background2" w:themeFillShade="E6"/>
          </w:tcPr>
          <w:p w14:paraId="1DCC26F0" w14:textId="77777777" w:rsidR="00080E02" w:rsidRPr="00036F88" w:rsidRDefault="00080E02" w:rsidP="00AF6E05">
            <w:pPr>
              <w:jc w:val="center"/>
              <w:rPr>
                <w:rFonts w:ascii="Times New Roman" w:eastAsia="Calibri" w:hAnsi="Times New Roman" w:cs="Times New Roman"/>
                <w:sz w:val="18"/>
                <w:szCs w:val="18"/>
                <w:lang w:val="en-US"/>
              </w:rPr>
            </w:pPr>
          </w:p>
        </w:tc>
        <w:tc>
          <w:tcPr>
            <w:tcW w:w="3240" w:type="dxa"/>
            <w:gridSpan w:val="2"/>
            <w:shd w:val="clear" w:color="auto" w:fill="D0CECE" w:themeFill="background2" w:themeFillShade="E6"/>
          </w:tcPr>
          <w:p w14:paraId="3BFE7E5C" w14:textId="77777777" w:rsidR="00080E02" w:rsidRPr="00036F88" w:rsidRDefault="00080E02" w:rsidP="00AF6E05">
            <w:pPr>
              <w:rPr>
                <w:rFonts w:ascii="Times New Roman" w:eastAsia="Calibri" w:hAnsi="Times New Roman" w:cs="Times New Roman"/>
                <w:sz w:val="18"/>
                <w:szCs w:val="18"/>
                <w:lang w:val="en-US"/>
              </w:rPr>
            </w:pPr>
          </w:p>
        </w:tc>
      </w:tr>
      <w:bookmarkEnd w:id="10"/>
      <w:tr w:rsidR="00080E02" w:rsidRPr="00036F88" w14:paraId="5AAB20EA" w14:textId="77777777" w:rsidTr="00D50C43">
        <w:trPr>
          <w:gridAfter w:val="1"/>
          <w:wAfter w:w="353" w:type="dxa"/>
          <w:trHeight w:val="2204"/>
        </w:trPr>
        <w:tc>
          <w:tcPr>
            <w:tcW w:w="630" w:type="dxa"/>
          </w:tcPr>
          <w:p w14:paraId="7B8114C7" w14:textId="77777777" w:rsidR="00080E02" w:rsidRPr="00036F88" w:rsidRDefault="00080E02" w:rsidP="003C045B">
            <w:pPr>
              <w:jc w:val="both"/>
              <w:rPr>
                <w:rFonts w:ascii="Times New Roman" w:eastAsia="Calibri" w:hAnsi="Times New Roman" w:cs="Times New Roman"/>
                <w:sz w:val="18"/>
                <w:szCs w:val="18"/>
              </w:rPr>
            </w:pPr>
          </w:p>
        </w:tc>
        <w:tc>
          <w:tcPr>
            <w:tcW w:w="5400" w:type="dxa"/>
          </w:tcPr>
          <w:p w14:paraId="0FC617E8" w14:textId="77777777" w:rsidR="00080E02" w:rsidRPr="001725D0" w:rsidRDefault="00080E02" w:rsidP="00080E02">
            <w:pPr>
              <w:jc w:val="both"/>
              <w:rPr>
                <w:rFonts w:ascii="Times New Roman" w:eastAsia="Calibri" w:hAnsi="Times New Roman" w:cs="Times New Roman"/>
                <w:iCs/>
                <w:sz w:val="18"/>
                <w:szCs w:val="18"/>
                <w:lang w:val="en-US"/>
              </w:rPr>
            </w:pPr>
          </w:p>
          <w:p w14:paraId="3D8FCC50" w14:textId="77777777" w:rsidR="00080E02" w:rsidRPr="001725D0" w:rsidRDefault="00080E02" w:rsidP="00080E02">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ANNEX V</w:t>
            </w:r>
          </w:p>
          <w:p w14:paraId="509DF945" w14:textId="77777777" w:rsidR="00080E02" w:rsidRPr="001725D0" w:rsidRDefault="00080E02" w:rsidP="00080E02">
            <w:pPr>
              <w:jc w:val="both"/>
              <w:rPr>
                <w:rFonts w:ascii="Times New Roman" w:eastAsia="Calibri" w:hAnsi="Times New Roman" w:cs="Times New Roman"/>
                <w:iCs/>
                <w:sz w:val="18"/>
                <w:szCs w:val="18"/>
                <w:lang w:val="en-US"/>
              </w:rPr>
            </w:pPr>
          </w:p>
          <w:p w14:paraId="5770AE99" w14:textId="77777777" w:rsidR="00080E02" w:rsidRPr="001725D0" w:rsidRDefault="00080E02" w:rsidP="00080E02">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PROCEDURES OF DUE REVIEWS, REPORTING REQUIREMENTS AND OTHER RULES FOR PLATFORM OPERATORS</w:t>
            </w:r>
          </w:p>
          <w:p w14:paraId="18E6F7F4" w14:textId="77777777" w:rsidR="00080E02" w:rsidRPr="001725D0" w:rsidRDefault="00080E02" w:rsidP="00080E02">
            <w:pPr>
              <w:jc w:val="both"/>
              <w:rPr>
                <w:rFonts w:ascii="Times New Roman" w:eastAsia="Calibri" w:hAnsi="Times New Roman" w:cs="Times New Roman"/>
                <w:iCs/>
                <w:sz w:val="18"/>
                <w:szCs w:val="18"/>
                <w:lang w:val="en-US"/>
              </w:rPr>
            </w:pPr>
          </w:p>
          <w:p w14:paraId="6FC31358" w14:textId="77777777" w:rsidR="00080E02" w:rsidRPr="001725D0" w:rsidRDefault="00080E02" w:rsidP="00080E02">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This Annex sets out the due diligence procedures, reporting requirements and other rules to be applied by Reporting Platform Operators in order for Member States to enable the communication, by means of automatic exchange, of the information referred to in Article 8ac of this Directive.</w:t>
            </w:r>
          </w:p>
          <w:p w14:paraId="29CA10A7" w14:textId="77777777" w:rsidR="00080E02" w:rsidRPr="001725D0" w:rsidRDefault="00080E02" w:rsidP="00080E02">
            <w:pPr>
              <w:jc w:val="both"/>
              <w:rPr>
                <w:rFonts w:ascii="Times New Roman" w:eastAsia="Calibri" w:hAnsi="Times New Roman" w:cs="Times New Roman"/>
                <w:iCs/>
                <w:sz w:val="18"/>
                <w:szCs w:val="18"/>
                <w:lang w:val="en-US"/>
              </w:rPr>
            </w:pPr>
          </w:p>
          <w:p w14:paraId="220711C7" w14:textId="47EDAFE8" w:rsidR="00080E02" w:rsidRPr="001725D0" w:rsidRDefault="00080E02" w:rsidP="00080E02">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This Annex also establishes the administrative rules and procedures that the Member States must have in force to ensure the effective implementation of and compliance with the due diligence procedures and reporting requirements set out therein.</w:t>
            </w:r>
          </w:p>
        </w:tc>
        <w:tc>
          <w:tcPr>
            <w:tcW w:w="540" w:type="dxa"/>
          </w:tcPr>
          <w:p w14:paraId="0441BFF6" w14:textId="77777777" w:rsidR="00080E02" w:rsidRPr="00036F88" w:rsidRDefault="00080E02" w:rsidP="003C045B">
            <w:pPr>
              <w:jc w:val="center"/>
              <w:rPr>
                <w:rFonts w:ascii="Times New Roman" w:eastAsia="Calibri" w:hAnsi="Times New Roman" w:cs="Times New Roman"/>
                <w:sz w:val="18"/>
                <w:szCs w:val="18"/>
                <w:highlight w:val="cyan"/>
              </w:rPr>
            </w:pPr>
          </w:p>
        </w:tc>
        <w:tc>
          <w:tcPr>
            <w:tcW w:w="720" w:type="dxa"/>
          </w:tcPr>
          <w:p w14:paraId="696DEA7A" w14:textId="732D1CC2" w:rsidR="00080E02" w:rsidRPr="001725D0" w:rsidRDefault="00EF43AB" w:rsidP="003C045B">
            <w:pPr>
              <w:jc w:val="center"/>
              <w:rPr>
                <w:rFonts w:ascii="Times New Roman" w:eastAsia="Calibri" w:hAnsi="Times New Roman" w:cs="Times New Roman"/>
                <w:sz w:val="18"/>
                <w:szCs w:val="18"/>
                <w:highlight w:val="cyan"/>
                <w:lang w:val="en-US"/>
              </w:rPr>
            </w:pPr>
            <w:r w:rsidRPr="00C65C37">
              <w:rPr>
                <w:rFonts w:ascii="Times New Roman" w:eastAsia="Calibri" w:hAnsi="Times New Roman" w:cs="Times New Roman"/>
                <w:sz w:val="14"/>
                <w:szCs w:val="18"/>
              </w:rPr>
              <w:t>From Article 2 to Article 17</w:t>
            </w:r>
          </w:p>
        </w:tc>
        <w:tc>
          <w:tcPr>
            <w:tcW w:w="5040" w:type="dxa"/>
            <w:gridSpan w:val="2"/>
          </w:tcPr>
          <w:p w14:paraId="2FC7E141" w14:textId="77777777" w:rsidR="00080E02" w:rsidRDefault="00080E02" w:rsidP="00080E02">
            <w:pPr>
              <w:jc w:val="center"/>
              <w:rPr>
                <w:rFonts w:ascii="Times New Roman" w:hAnsi="Times New Roman" w:cs="Times New Roman"/>
                <w:sz w:val="18"/>
                <w:szCs w:val="18"/>
              </w:rPr>
            </w:pPr>
          </w:p>
          <w:p w14:paraId="38C9274F" w14:textId="1C4C222D" w:rsidR="00080E02" w:rsidRPr="00FE09EE" w:rsidRDefault="00080E02" w:rsidP="00080E02">
            <w:pPr>
              <w:jc w:val="center"/>
              <w:rPr>
                <w:rFonts w:ascii="Times New Roman" w:hAnsi="Times New Roman" w:cs="Times New Roman"/>
                <w:sz w:val="18"/>
                <w:szCs w:val="18"/>
              </w:rPr>
            </w:pPr>
            <w:r>
              <w:rPr>
                <w:rFonts w:ascii="Times New Roman" w:hAnsi="Times New Roman" w:cs="Times New Roman"/>
                <w:sz w:val="18"/>
                <w:szCs w:val="18"/>
              </w:rPr>
              <w:t>“Articles 2–17 of the Draft Law”</w:t>
            </w:r>
          </w:p>
        </w:tc>
        <w:tc>
          <w:tcPr>
            <w:tcW w:w="720" w:type="dxa"/>
            <w:gridSpan w:val="2"/>
          </w:tcPr>
          <w:p w14:paraId="17F5C523" w14:textId="62F24D4E" w:rsidR="00080E02" w:rsidRDefault="00F11DDC"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34EE10C9" w14:textId="77777777" w:rsidR="004E0D2B" w:rsidRPr="004E0D2B" w:rsidRDefault="004E0D2B" w:rsidP="004E0D2B">
            <w:pPr>
              <w:rPr>
                <w:rFonts w:ascii="Times New Roman" w:eastAsia="Calibri" w:hAnsi="Times New Roman" w:cs="Times New Roman"/>
                <w:sz w:val="18"/>
                <w:szCs w:val="18"/>
              </w:rPr>
            </w:pPr>
          </w:p>
          <w:p w14:paraId="4A989579" w14:textId="4C2C84DF" w:rsidR="00080E02" w:rsidRPr="00080E02" w:rsidRDefault="004E0D2B" w:rsidP="004E0D2B">
            <w:pPr>
              <w:rPr>
                <w:rFonts w:ascii="Times New Roman" w:eastAsia="Calibri" w:hAnsi="Times New Roman" w:cs="Times New Roman"/>
                <w:sz w:val="18"/>
                <w:szCs w:val="18"/>
              </w:rPr>
            </w:pPr>
            <w:r>
              <w:rPr>
                <w:rFonts w:ascii="Times New Roman" w:eastAsia="Calibri" w:hAnsi="Times New Roman" w:cs="Times New Roman"/>
                <w:sz w:val="18"/>
                <w:szCs w:val="18"/>
              </w:rPr>
              <w:t>These requirements apply throughout the entire Draft Law, which is entirely dedicated to the transposition of Annex V.</w:t>
            </w:r>
          </w:p>
        </w:tc>
      </w:tr>
      <w:tr w:rsidR="00F11DDC" w:rsidRPr="00036F88" w14:paraId="3C8948EF" w14:textId="77777777" w:rsidTr="00D50C43">
        <w:trPr>
          <w:gridAfter w:val="1"/>
          <w:wAfter w:w="353" w:type="dxa"/>
          <w:trHeight w:val="854"/>
        </w:trPr>
        <w:tc>
          <w:tcPr>
            <w:tcW w:w="630" w:type="dxa"/>
          </w:tcPr>
          <w:p w14:paraId="498A0570" w14:textId="77777777" w:rsidR="00F11DDC" w:rsidRPr="00036F88" w:rsidRDefault="00F11DDC" w:rsidP="00AF6E05">
            <w:pPr>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72C15102" w14:textId="77777777" w:rsidR="00F11DDC" w:rsidRPr="00F11DDC" w:rsidRDefault="00F11DDC" w:rsidP="00F11DDC">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SECTION OF</w:t>
            </w:r>
          </w:p>
          <w:p w14:paraId="7D4D9CC7" w14:textId="77777777" w:rsidR="00F11DDC" w:rsidRPr="00F11DDC" w:rsidRDefault="00F11DDC" w:rsidP="00F11DDC">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DEFINED TERMS</w:t>
            </w:r>
          </w:p>
          <w:p w14:paraId="50C742E9" w14:textId="25848398" w:rsidR="00F11DDC" w:rsidRPr="00036F88" w:rsidRDefault="00F11DDC" w:rsidP="00F11DDC">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The following terms have the meaning defined below:</w:t>
            </w:r>
          </w:p>
        </w:tc>
        <w:tc>
          <w:tcPr>
            <w:tcW w:w="540" w:type="dxa"/>
            <w:shd w:val="clear" w:color="auto" w:fill="D0CECE" w:themeFill="background2" w:themeFillShade="E6"/>
          </w:tcPr>
          <w:p w14:paraId="075ECCCC" w14:textId="77777777" w:rsidR="00F11DDC" w:rsidRPr="00036F88" w:rsidRDefault="00F11DDC" w:rsidP="00AF6E05">
            <w:pPr>
              <w:rPr>
                <w:rFonts w:ascii="Times New Roman" w:eastAsia="Calibri" w:hAnsi="Times New Roman" w:cs="Times New Roman"/>
                <w:sz w:val="18"/>
                <w:szCs w:val="18"/>
              </w:rPr>
            </w:pPr>
          </w:p>
        </w:tc>
        <w:tc>
          <w:tcPr>
            <w:tcW w:w="720" w:type="dxa"/>
            <w:shd w:val="clear" w:color="auto" w:fill="D0CECE" w:themeFill="background2" w:themeFillShade="E6"/>
          </w:tcPr>
          <w:p w14:paraId="5AE37404" w14:textId="77777777" w:rsidR="00F11DDC" w:rsidRPr="00036F88" w:rsidRDefault="00F11DDC" w:rsidP="00AF6E05">
            <w:pPr>
              <w:rPr>
                <w:rFonts w:ascii="Times New Roman" w:eastAsia="Calibri" w:hAnsi="Times New Roman" w:cs="Times New Roman"/>
                <w:sz w:val="18"/>
                <w:szCs w:val="18"/>
                <w:lang w:val="en-US"/>
              </w:rPr>
            </w:pPr>
          </w:p>
        </w:tc>
        <w:tc>
          <w:tcPr>
            <w:tcW w:w="5040" w:type="dxa"/>
            <w:gridSpan w:val="2"/>
            <w:shd w:val="clear" w:color="auto" w:fill="D0CECE" w:themeFill="background2" w:themeFillShade="E6"/>
          </w:tcPr>
          <w:p w14:paraId="62E6A959" w14:textId="77777777" w:rsidR="00F11DDC" w:rsidRPr="00036F88" w:rsidRDefault="00F11DDC" w:rsidP="00AF6E05">
            <w:pPr>
              <w:jc w:val="center"/>
              <w:rPr>
                <w:rFonts w:ascii="Times New Roman" w:eastAsia="Calibri" w:hAnsi="Times New Roman" w:cs="Times New Roman"/>
                <w:sz w:val="18"/>
                <w:szCs w:val="18"/>
                <w:lang w:val="en-US"/>
              </w:rPr>
            </w:pPr>
          </w:p>
        </w:tc>
        <w:tc>
          <w:tcPr>
            <w:tcW w:w="720" w:type="dxa"/>
            <w:gridSpan w:val="2"/>
            <w:shd w:val="clear" w:color="auto" w:fill="D0CECE" w:themeFill="background2" w:themeFillShade="E6"/>
          </w:tcPr>
          <w:p w14:paraId="45FBAAC0" w14:textId="77777777" w:rsidR="00F11DDC" w:rsidRPr="00036F88" w:rsidRDefault="00F11DDC" w:rsidP="00AF6E05">
            <w:pPr>
              <w:jc w:val="center"/>
              <w:rPr>
                <w:rFonts w:ascii="Times New Roman" w:eastAsia="Calibri" w:hAnsi="Times New Roman" w:cs="Times New Roman"/>
                <w:sz w:val="18"/>
                <w:szCs w:val="18"/>
                <w:lang w:val="en-US"/>
              </w:rPr>
            </w:pPr>
          </w:p>
        </w:tc>
        <w:tc>
          <w:tcPr>
            <w:tcW w:w="3240" w:type="dxa"/>
            <w:gridSpan w:val="2"/>
            <w:shd w:val="clear" w:color="auto" w:fill="D0CECE" w:themeFill="background2" w:themeFillShade="E6"/>
          </w:tcPr>
          <w:p w14:paraId="62D26569" w14:textId="77777777" w:rsidR="00F11DDC" w:rsidRPr="00036F88" w:rsidRDefault="00F11DDC" w:rsidP="00AF6E05">
            <w:pPr>
              <w:rPr>
                <w:rFonts w:ascii="Times New Roman" w:eastAsia="Calibri" w:hAnsi="Times New Roman" w:cs="Times New Roman"/>
                <w:sz w:val="18"/>
                <w:szCs w:val="18"/>
                <w:lang w:val="en-US"/>
              </w:rPr>
            </w:pPr>
          </w:p>
        </w:tc>
      </w:tr>
      <w:tr w:rsidR="00080E02" w:rsidRPr="00036F88" w14:paraId="69140D85" w14:textId="77777777" w:rsidTr="00D50C43">
        <w:trPr>
          <w:gridAfter w:val="1"/>
          <w:wAfter w:w="353" w:type="dxa"/>
          <w:trHeight w:val="2204"/>
        </w:trPr>
        <w:tc>
          <w:tcPr>
            <w:tcW w:w="630" w:type="dxa"/>
          </w:tcPr>
          <w:p w14:paraId="46D55F9A" w14:textId="77777777" w:rsidR="00080E02" w:rsidRPr="00036F88" w:rsidRDefault="00080E02" w:rsidP="003C045B">
            <w:pPr>
              <w:jc w:val="both"/>
              <w:rPr>
                <w:rFonts w:ascii="Times New Roman" w:eastAsia="Calibri" w:hAnsi="Times New Roman" w:cs="Times New Roman"/>
                <w:sz w:val="18"/>
                <w:szCs w:val="18"/>
              </w:rPr>
            </w:pPr>
          </w:p>
        </w:tc>
        <w:tc>
          <w:tcPr>
            <w:tcW w:w="5400" w:type="dxa"/>
          </w:tcPr>
          <w:p w14:paraId="230DAF59" w14:textId="77777777" w:rsidR="00F11DDC" w:rsidRPr="001725D0" w:rsidRDefault="00F11DDC" w:rsidP="00F11DDC">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1. "Platform" means any computer program, including a website or part thereof and applications, including mobile applications, accessible by users and that allows Sellers to connect with other users for the purpose of carrying out a Relevant Activity, directly or indirectly, for such users. It also includes any arrangement for the collection and payment of a Consideration in connection with the Relevant Activity.</w:t>
            </w:r>
          </w:p>
          <w:p w14:paraId="5F0CA533" w14:textId="77777777" w:rsidR="00F11DDC" w:rsidRPr="001725D0" w:rsidRDefault="00F11DDC" w:rsidP="00F11DDC">
            <w:pPr>
              <w:jc w:val="both"/>
              <w:rPr>
                <w:rFonts w:ascii="Times New Roman" w:eastAsia="Calibri" w:hAnsi="Times New Roman" w:cs="Times New Roman"/>
                <w:iCs/>
                <w:sz w:val="18"/>
                <w:szCs w:val="18"/>
                <w:lang w:val="en-US"/>
              </w:rPr>
            </w:pPr>
          </w:p>
          <w:p w14:paraId="02C17270" w14:textId="032A7464" w:rsidR="00080E02" w:rsidRPr="001725D0" w:rsidRDefault="00F11DDC" w:rsidP="00F11DDC">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The term "Platform" does not include software that, without any further intervention in the carrying out of a Relevant Activity, allows exclusively any of the following: (a) the processing of payments in relation to the Relevant Activity; (b) users to list or advertise a Relevant Activity; (c) the redirection or transfer of users to a Platform.</w:t>
            </w:r>
          </w:p>
        </w:tc>
        <w:tc>
          <w:tcPr>
            <w:tcW w:w="540" w:type="dxa"/>
          </w:tcPr>
          <w:p w14:paraId="524FDDD8" w14:textId="77777777" w:rsidR="00080E02" w:rsidRPr="00036F88" w:rsidRDefault="00080E02" w:rsidP="003C045B">
            <w:pPr>
              <w:jc w:val="center"/>
              <w:rPr>
                <w:rFonts w:ascii="Times New Roman" w:eastAsia="Calibri" w:hAnsi="Times New Roman" w:cs="Times New Roman"/>
                <w:sz w:val="18"/>
                <w:szCs w:val="18"/>
                <w:highlight w:val="cyan"/>
              </w:rPr>
            </w:pPr>
          </w:p>
        </w:tc>
        <w:tc>
          <w:tcPr>
            <w:tcW w:w="720" w:type="dxa"/>
          </w:tcPr>
          <w:p w14:paraId="5CFE9949" w14:textId="0FB82881" w:rsidR="00080E02"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Article 2</w:t>
            </w:r>
          </w:p>
        </w:tc>
        <w:tc>
          <w:tcPr>
            <w:tcW w:w="5040" w:type="dxa"/>
            <w:gridSpan w:val="2"/>
          </w:tcPr>
          <w:p w14:paraId="728922CD" w14:textId="167EDD9F" w:rsidR="005331A6" w:rsidRPr="005331A6" w:rsidRDefault="005331A6" w:rsidP="005331A6">
            <w:pPr>
              <w:jc w:val="both"/>
              <w:rPr>
                <w:rFonts w:ascii="Times New Roman" w:hAnsi="Times New Roman" w:cs="Times New Roman"/>
                <w:sz w:val="18"/>
                <w:szCs w:val="18"/>
              </w:rPr>
            </w:pPr>
            <w:r>
              <w:rPr>
                <w:rFonts w:ascii="Times New Roman" w:hAnsi="Times New Roman" w:cs="Times New Roman"/>
                <w:sz w:val="18"/>
                <w:szCs w:val="18"/>
              </w:rPr>
              <w:t xml:space="preserve">For the purposes of this Law, the following terms </w:t>
            </w:r>
            <w:r w:rsidR="00C65C37">
              <w:rPr>
                <w:rFonts w:ascii="Times New Roman" w:hAnsi="Times New Roman" w:cs="Times New Roman"/>
                <w:sz w:val="18"/>
                <w:szCs w:val="18"/>
              </w:rPr>
              <w:t xml:space="preserve">shall </w:t>
            </w:r>
            <w:r>
              <w:rPr>
                <w:rFonts w:ascii="Times New Roman" w:hAnsi="Times New Roman" w:cs="Times New Roman"/>
                <w:sz w:val="18"/>
                <w:szCs w:val="18"/>
              </w:rPr>
              <w:t>have the following meanings:</w:t>
            </w:r>
          </w:p>
          <w:p w14:paraId="2B83BB9A" w14:textId="77777777" w:rsidR="00EF43AB" w:rsidRDefault="00EF43AB" w:rsidP="00EF43AB">
            <w:pPr>
              <w:spacing w:line="276" w:lineRule="auto"/>
              <w:jc w:val="both"/>
              <w:rPr>
                <w:rFonts w:ascii="Times New Roman" w:hAnsi="Times New Roman" w:cs="Times New Roman"/>
                <w:sz w:val="18"/>
                <w:szCs w:val="18"/>
              </w:rPr>
            </w:pPr>
          </w:p>
          <w:p w14:paraId="6EE72B02"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a) "Platform" means any software accessible by users, including websites, their respective parts and applications, including mobile ones, that enables sellers to connect with other users, directly or indirectly, for the purpose of carrying out a reportable activity.</w:t>
            </w:r>
          </w:p>
          <w:p w14:paraId="3569ED0E" w14:textId="77777777" w:rsidR="00C65C37" w:rsidRPr="00C65C37" w:rsidRDefault="00C65C37" w:rsidP="00C65C37">
            <w:pPr>
              <w:spacing w:line="276" w:lineRule="auto"/>
              <w:jc w:val="both"/>
              <w:rPr>
                <w:rFonts w:ascii="Times New Roman" w:hAnsi="Times New Roman" w:cs="Times New Roman"/>
                <w:sz w:val="18"/>
                <w:szCs w:val="18"/>
              </w:rPr>
            </w:pPr>
          </w:p>
          <w:p w14:paraId="3BB7F958"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 xml:space="preserve">For the purposes of this law, this definition also includes any mechanism integrated into the platform that enables the collection or payment of remuneration in relation to the reportable activity. </w:t>
            </w:r>
          </w:p>
          <w:p w14:paraId="1BE574D8"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This does not include software that, without further intervention to perform the repo rtable activity, performs only one of the following activities:</w:t>
            </w:r>
          </w:p>
          <w:p w14:paraId="4CC04E12"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lastRenderedPageBreak/>
              <w:t>i. payment processing;</w:t>
            </w:r>
          </w:p>
          <w:p w14:paraId="087FECF2"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ii. cataloguing or advertising the activity;</w:t>
            </w:r>
          </w:p>
          <w:p w14:paraId="2EB1C2AD"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iii. redirecting or transferring users to another platform.</w:t>
            </w:r>
          </w:p>
          <w:p w14:paraId="2E4B72FE" w14:textId="5BFF5EDD" w:rsidR="00080E02" w:rsidRPr="00EF43AB" w:rsidRDefault="00080E02" w:rsidP="00EF43AB">
            <w:pPr>
              <w:spacing w:line="276" w:lineRule="auto"/>
              <w:jc w:val="both"/>
              <w:rPr>
                <w:rFonts w:ascii="Times New Roman" w:hAnsi="Times New Roman" w:cs="Times New Roman"/>
                <w:sz w:val="18"/>
                <w:szCs w:val="18"/>
              </w:rPr>
            </w:pPr>
          </w:p>
        </w:tc>
        <w:tc>
          <w:tcPr>
            <w:tcW w:w="720" w:type="dxa"/>
            <w:gridSpan w:val="2"/>
          </w:tcPr>
          <w:p w14:paraId="1F873C36" w14:textId="0BD89872" w:rsidR="00080E02" w:rsidRDefault="00F11DDC"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F</w:t>
            </w:r>
          </w:p>
        </w:tc>
        <w:tc>
          <w:tcPr>
            <w:tcW w:w="3240" w:type="dxa"/>
            <w:gridSpan w:val="2"/>
          </w:tcPr>
          <w:p w14:paraId="221DB777" w14:textId="77777777" w:rsidR="00080E02" w:rsidRPr="00080E02" w:rsidRDefault="00080E02" w:rsidP="00E16BA5">
            <w:pPr>
              <w:rPr>
                <w:rFonts w:ascii="Times New Roman" w:eastAsia="Calibri" w:hAnsi="Times New Roman" w:cs="Times New Roman"/>
                <w:sz w:val="18"/>
                <w:szCs w:val="18"/>
              </w:rPr>
            </w:pPr>
          </w:p>
        </w:tc>
      </w:tr>
      <w:tr w:rsidR="00F11DDC" w:rsidRPr="00036F88" w14:paraId="67D07670" w14:textId="77777777" w:rsidTr="00D50C43">
        <w:trPr>
          <w:gridAfter w:val="1"/>
          <w:wAfter w:w="353" w:type="dxa"/>
          <w:trHeight w:val="2204"/>
        </w:trPr>
        <w:tc>
          <w:tcPr>
            <w:tcW w:w="630" w:type="dxa"/>
          </w:tcPr>
          <w:p w14:paraId="64BD27CC" w14:textId="77777777" w:rsidR="00F11DDC" w:rsidRPr="00036F88" w:rsidRDefault="00F11DDC" w:rsidP="003C045B">
            <w:pPr>
              <w:jc w:val="both"/>
              <w:rPr>
                <w:rFonts w:ascii="Times New Roman" w:eastAsia="Calibri" w:hAnsi="Times New Roman" w:cs="Times New Roman"/>
                <w:sz w:val="18"/>
                <w:szCs w:val="18"/>
              </w:rPr>
            </w:pPr>
          </w:p>
        </w:tc>
        <w:tc>
          <w:tcPr>
            <w:tcW w:w="5400" w:type="dxa"/>
          </w:tcPr>
          <w:p w14:paraId="47AC972C" w14:textId="401B98AE" w:rsidR="00F11DDC" w:rsidRPr="001725D0" w:rsidRDefault="00F11DDC" w:rsidP="00F11DDC">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2. "Platform Operator" means an Entity that enters into a contract with Sellers to make available to these Sellers all or part of a Platform.</w:t>
            </w:r>
          </w:p>
        </w:tc>
        <w:tc>
          <w:tcPr>
            <w:tcW w:w="540" w:type="dxa"/>
          </w:tcPr>
          <w:p w14:paraId="43305990" w14:textId="77777777" w:rsidR="00F11DDC" w:rsidRPr="00036F88" w:rsidRDefault="00F11DDC" w:rsidP="003C045B">
            <w:pPr>
              <w:jc w:val="center"/>
              <w:rPr>
                <w:rFonts w:ascii="Times New Roman" w:eastAsia="Calibri" w:hAnsi="Times New Roman" w:cs="Times New Roman"/>
                <w:sz w:val="18"/>
                <w:szCs w:val="18"/>
                <w:highlight w:val="cyan"/>
              </w:rPr>
            </w:pPr>
          </w:p>
        </w:tc>
        <w:tc>
          <w:tcPr>
            <w:tcW w:w="720" w:type="dxa"/>
          </w:tcPr>
          <w:p w14:paraId="30E8B657" w14:textId="637C263A" w:rsidR="00F11DDC"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 xml:space="preserve">Article 2 </w:t>
            </w:r>
          </w:p>
        </w:tc>
        <w:tc>
          <w:tcPr>
            <w:tcW w:w="5040" w:type="dxa"/>
            <w:gridSpan w:val="2"/>
          </w:tcPr>
          <w:p w14:paraId="62E9B16C" w14:textId="77777777" w:rsidR="00C65C37" w:rsidRPr="00C65C37" w:rsidRDefault="00EF43AB" w:rsidP="00C65C37">
            <w:pPr>
              <w:jc w:val="both"/>
              <w:rPr>
                <w:rFonts w:ascii="Times New Roman" w:hAnsi="Times New Roman" w:cs="Times New Roman"/>
                <w:sz w:val="18"/>
                <w:szCs w:val="18"/>
              </w:rPr>
            </w:pPr>
            <w:r>
              <w:rPr>
                <w:rFonts w:ascii="Times New Roman" w:hAnsi="Times New Roman" w:cs="Times New Roman"/>
                <w:sz w:val="18"/>
                <w:szCs w:val="18"/>
              </w:rPr>
              <w:t xml:space="preserve">b) “Platform operator” </w:t>
            </w:r>
            <w:r w:rsidR="00C65C37" w:rsidRPr="00C65C37">
              <w:rPr>
                <w:rFonts w:ascii="Times New Roman" w:hAnsi="Times New Roman" w:cs="Times New Roman"/>
                <w:sz w:val="18"/>
                <w:szCs w:val="18"/>
              </w:rPr>
              <w:t>means any entity that enters into a contract with sellers to make all or part of the platform available to the latter.</w:t>
            </w:r>
          </w:p>
          <w:p w14:paraId="1C33248E" w14:textId="04968304" w:rsidR="00EF43AB" w:rsidRPr="00F11DDC" w:rsidRDefault="00C65C37" w:rsidP="00C65C37">
            <w:pPr>
              <w:jc w:val="both"/>
              <w:rPr>
                <w:rFonts w:ascii="Times New Roman" w:hAnsi="Times New Roman" w:cs="Times New Roman"/>
                <w:sz w:val="18"/>
                <w:szCs w:val="18"/>
              </w:rPr>
            </w:pPr>
            <w:r w:rsidRPr="00C65C37">
              <w:rPr>
                <w:rFonts w:ascii="Times New Roman" w:hAnsi="Times New Roman" w:cs="Times New Roman"/>
                <w:sz w:val="18"/>
                <w:szCs w:val="18"/>
              </w:rPr>
              <w:t>In cases where a platform contains mixed functions, any functionality that supports a reportable activity is considered part of the platform, according to this law</w:t>
            </w:r>
            <w:r>
              <w:rPr>
                <w:rFonts w:ascii="Times New Roman" w:hAnsi="Times New Roman" w:cs="Times New Roman"/>
                <w:sz w:val="18"/>
                <w:szCs w:val="18"/>
              </w:rPr>
              <w:t>.</w:t>
            </w:r>
          </w:p>
          <w:p w14:paraId="6AA7F6F4" w14:textId="77C0C3FB" w:rsidR="00F11DDC" w:rsidRPr="00F11DDC" w:rsidRDefault="00F11DDC" w:rsidP="005331A6">
            <w:pPr>
              <w:jc w:val="both"/>
              <w:rPr>
                <w:rFonts w:ascii="Times New Roman" w:hAnsi="Times New Roman" w:cs="Times New Roman"/>
                <w:sz w:val="18"/>
                <w:szCs w:val="18"/>
              </w:rPr>
            </w:pPr>
          </w:p>
        </w:tc>
        <w:tc>
          <w:tcPr>
            <w:tcW w:w="720" w:type="dxa"/>
            <w:gridSpan w:val="2"/>
          </w:tcPr>
          <w:p w14:paraId="48B9D631" w14:textId="78B94E0F" w:rsidR="00F11DDC" w:rsidRDefault="00F11DDC"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1C5AF0B1" w14:textId="77777777" w:rsidR="00F11DDC" w:rsidRPr="00080E02" w:rsidRDefault="00F11DDC" w:rsidP="00E16BA5">
            <w:pPr>
              <w:rPr>
                <w:rFonts w:ascii="Times New Roman" w:eastAsia="Calibri" w:hAnsi="Times New Roman" w:cs="Times New Roman"/>
                <w:sz w:val="18"/>
                <w:szCs w:val="18"/>
              </w:rPr>
            </w:pPr>
          </w:p>
        </w:tc>
      </w:tr>
      <w:tr w:rsidR="00F11DDC" w:rsidRPr="00036F88" w14:paraId="5BB58EFE" w14:textId="77777777" w:rsidTr="00D50C43">
        <w:trPr>
          <w:gridAfter w:val="1"/>
          <w:wAfter w:w="353" w:type="dxa"/>
          <w:trHeight w:val="2204"/>
        </w:trPr>
        <w:tc>
          <w:tcPr>
            <w:tcW w:w="630" w:type="dxa"/>
          </w:tcPr>
          <w:p w14:paraId="05DFE67D" w14:textId="77777777" w:rsidR="00F11DDC" w:rsidRPr="00036F88" w:rsidRDefault="00F11DDC" w:rsidP="003C045B">
            <w:pPr>
              <w:jc w:val="both"/>
              <w:rPr>
                <w:rFonts w:ascii="Times New Roman" w:eastAsia="Calibri" w:hAnsi="Times New Roman" w:cs="Times New Roman"/>
                <w:sz w:val="18"/>
                <w:szCs w:val="18"/>
              </w:rPr>
            </w:pPr>
          </w:p>
        </w:tc>
        <w:tc>
          <w:tcPr>
            <w:tcW w:w="5400" w:type="dxa"/>
          </w:tcPr>
          <w:p w14:paraId="7999FF21" w14:textId="3340BDD7" w:rsidR="00F11DDC" w:rsidRPr="001725D0" w:rsidRDefault="00F11DDC" w:rsidP="00F11DDC">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3. "Excluded Platform Operator" means a Platform Operator which has demonstrated in advance and on an annual basis in accordance with the competent authority of the Member State, to which, in accordance with the rules set out in subparagraphs A(1) to A(3) of Section III, the Platform Operator would otherwise have had to report that the entire business model of the Platform is such that it has no Reportable Sellers.</w:t>
            </w:r>
          </w:p>
        </w:tc>
        <w:tc>
          <w:tcPr>
            <w:tcW w:w="540" w:type="dxa"/>
          </w:tcPr>
          <w:p w14:paraId="23DD9E42" w14:textId="77777777" w:rsidR="00F11DDC" w:rsidRPr="00036F88" w:rsidRDefault="00F11DDC" w:rsidP="003C045B">
            <w:pPr>
              <w:jc w:val="center"/>
              <w:rPr>
                <w:rFonts w:ascii="Times New Roman" w:eastAsia="Calibri" w:hAnsi="Times New Roman" w:cs="Times New Roman"/>
                <w:sz w:val="18"/>
                <w:szCs w:val="18"/>
                <w:highlight w:val="cyan"/>
              </w:rPr>
            </w:pPr>
          </w:p>
        </w:tc>
        <w:tc>
          <w:tcPr>
            <w:tcW w:w="720" w:type="dxa"/>
          </w:tcPr>
          <w:p w14:paraId="080D1AD4" w14:textId="3D4E7208" w:rsidR="00F11DDC"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 xml:space="preserve">Article 2 </w:t>
            </w:r>
          </w:p>
        </w:tc>
        <w:tc>
          <w:tcPr>
            <w:tcW w:w="5040" w:type="dxa"/>
            <w:gridSpan w:val="2"/>
          </w:tcPr>
          <w:p w14:paraId="6DC7DAA2" w14:textId="35FB62FE" w:rsidR="00EF43AB" w:rsidRPr="00F11DDC" w:rsidRDefault="00EF43AB" w:rsidP="00EF43AB">
            <w:pPr>
              <w:jc w:val="both"/>
              <w:rPr>
                <w:rFonts w:ascii="Times New Roman" w:hAnsi="Times New Roman" w:cs="Times New Roman"/>
                <w:sz w:val="18"/>
                <w:szCs w:val="18"/>
              </w:rPr>
            </w:pPr>
          </w:p>
          <w:p w14:paraId="79CAEA1D" w14:textId="5BF4090C" w:rsidR="00F11DDC" w:rsidRPr="00F11DDC" w:rsidRDefault="00EF43AB" w:rsidP="005331A6">
            <w:pPr>
              <w:jc w:val="both"/>
              <w:rPr>
                <w:rFonts w:ascii="Times New Roman" w:hAnsi="Times New Roman" w:cs="Times New Roman"/>
                <w:sz w:val="18"/>
                <w:szCs w:val="18"/>
              </w:rPr>
            </w:pPr>
            <w:r>
              <w:rPr>
                <w:rFonts w:ascii="Times New Roman" w:hAnsi="Times New Roman" w:cs="Times New Roman"/>
                <w:sz w:val="18"/>
                <w:szCs w:val="18"/>
              </w:rPr>
              <w:t xml:space="preserve">c) “Excluded Platform Operator” </w:t>
            </w:r>
            <w:r w:rsidR="00C65C37" w:rsidRPr="00C65C37">
              <w:rPr>
                <w:rFonts w:ascii="Times New Roman" w:hAnsi="Times New Roman" w:cs="Times New Roman"/>
                <w:sz w:val="18"/>
                <w:szCs w:val="18"/>
              </w:rPr>
              <w:t>means the platform operator who, in advance and on an annual basis, proves that its entire business model is such that there are no reportable sellers.</w:t>
            </w:r>
          </w:p>
        </w:tc>
        <w:tc>
          <w:tcPr>
            <w:tcW w:w="720" w:type="dxa"/>
            <w:gridSpan w:val="2"/>
          </w:tcPr>
          <w:p w14:paraId="78845617" w14:textId="77F48D42" w:rsidR="00F11DDC" w:rsidRDefault="00F11DDC"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07E79E6E" w14:textId="77777777" w:rsidR="00F11DDC" w:rsidRPr="00080E02" w:rsidRDefault="00F11DDC" w:rsidP="00E16BA5">
            <w:pPr>
              <w:rPr>
                <w:rFonts w:ascii="Times New Roman" w:eastAsia="Calibri" w:hAnsi="Times New Roman" w:cs="Times New Roman"/>
                <w:sz w:val="18"/>
                <w:szCs w:val="18"/>
              </w:rPr>
            </w:pPr>
          </w:p>
        </w:tc>
      </w:tr>
      <w:tr w:rsidR="00F11DDC" w:rsidRPr="00036F88" w14:paraId="2BE8D685" w14:textId="77777777" w:rsidTr="00D50C43">
        <w:trPr>
          <w:gridAfter w:val="1"/>
          <w:wAfter w:w="353" w:type="dxa"/>
          <w:trHeight w:val="2204"/>
        </w:trPr>
        <w:tc>
          <w:tcPr>
            <w:tcW w:w="630" w:type="dxa"/>
          </w:tcPr>
          <w:p w14:paraId="260F0D40" w14:textId="77777777" w:rsidR="00F11DDC" w:rsidRPr="00036F88" w:rsidRDefault="00F11DDC" w:rsidP="003C045B">
            <w:pPr>
              <w:jc w:val="both"/>
              <w:rPr>
                <w:rFonts w:ascii="Times New Roman" w:eastAsia="Calibri" w:hAnsi="Times New Roman" w:cs="Times New Roman"/>
                <w:sz w:val="18"/>
                <w:szCs w:val="18"/>
              </w:rPr>
            </w:pPr>
          </w:p>
        </w:tc>
        <w:tc>
          <w:tcPr>
            <w:tcW w:w="5400" w:type="dxa"/>
          </w:tcPr>
          <w:p w14:paraId="470FCE5F" w14:textId="77777777" w:rsidR="00F11DDC" w:rsidRPr="001725D0" w:rsidRDefault="00F11DDC" w:rsidP="00F11DDC">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4. "Reporting Platform Operator" means any Platform Operator, except for an Excluded Platform Operator, which is located in one of the following situations:</w:t>
            </w:r>
          </w:p>
          <w:p w14:paraId="446CE04A" w14:textId="77777777" w:rsidR="00F11DDC" w:rsidRPr="001725D0" w:rsidRDefault="00F11DDC" w:rsidP="00F11DDC">
            <w:pPr>
              <w:jc w:val="both"/>
              <w:rPr>
                <w:rFonts w:ascii="Times New Roman" w:eastAsia="Calibri" w:hAnsi="Times New Roman" w:cs="Times New Roman"/>
                <w:iCs/>
                <w:sz w:val="18"/>
                <w:szCs w:val="18"/>
                <w:lang w:val="en-US"/>
              </w:rPr>
            </w:pPr>
          </w:p>
          <w:p w14:paraId="1FE53F31" w14:textId="77777777" w:rsidR="00F11DDC" w:rsidRPr="001725D0" w:rsidRDefault="00F11DDC" w:rsidP="00F11DDC">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 is resident for tax purposes in a Member State or, where such a Platform Operator does not have residence for tax purposes in a Member State, it fulfils any of the following conditions: (i) is incorporated under the laws of a Member State; (ii) has its place of management (including effective management) in a Member State; (iii) has a permanent establishment in a Member State and is not a Qualified Non-Union Platform Operator;</w:t>
            </w:r>
          </w:p>
          <w:p w14:paraId="38B5F924" w14:textId="77777777" w:rsidR="00F11DDC" w:rsidRPr="001725D0" w:rsidRDefault="00F11DDC" w:rsidP="00F11DDC">
            <w:pPr>
              <w:jc w:val="both"/>
              <w:rPr>
                <w:rFonts w:ascii="Times New Roman" w:eastAsia="Calibri" w:hAnsi="Times New Roman" w:cs="Times New Roman"/>
                <w:iCs/>
                <w:sz w:val="18"/>
                <w:szCs w:val="18"/>
                <w:lang w:val="en-US"/>
              </w:rPr>
            </w:pPr>
          </w:p>
          <w:p w14:paraId="2A7C1B7B" w14:textId="3823B8B7" w:rsidR="00F11DDC" w:rsidRPr="001725D0" w:rsidRDefault="00F11DDC" w:rsidP="00F11DDC">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(b) is neither resident for tax purposes, nor established or managed in a Member State, nor has a permanent establishment in a Member State, but facilitates the carrying out of a Relevant Activity by Reportable Sellers or a Relevant Activity involving the rental of immovable property located in a Member State and is not a Qualified Non-Union Platform Operator.</w:t>
            </w:r>
          </w:p>
        </w:tc>
        <w:tc>
          <w:tcPr>
            <w:tcW w:w="540" w:type="dxa"/>
          </w:tcPr>
          <w:p w14:paraId="7636FF3E" w14:textId="77777777" w:rsidR="00F11DDC" w:rsidRPr="00036F88" w:rsidRDefault="00F11DDC" w:rsidP="003C045B">
            <w:pPr>
              <w:jc w:val="center"/>
              <w:rPr>
                <w:rFonts w:ascii="Times New Roman" w:eastAsia="Calibri" w:hAnsi="Times New Roman" w:cs="Times New Roman"/>
                <w:sz w:val="18"/>
                <w:szCs w:val="18"/>
                <w:highlight w:val="cyan"/>
              </w:rPr>
            </w:pPr>
          </w:p>
        </w:tc>
        <w:tc>
          <w:tcPr>
            <w:tcW w:w="720" w:type="dxa"/>
          </w:tcPr>
          <w:p w14:paraId="36EAEB41" w14:textId="6E3B6535" w:rsidR="00F11DDC"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 xml:space="preserve">Article 2 </w:t>
            </w:r>
          </w:p>
        </w:tc>
        <w:tc>
          <w:tcPr>
            <w:tcW w:w="5040" w:type="dxa"/>
            <w:gridSpan w:val="2"/>
          </w:tcPr>
          <w:p w14:paraId="28A786F3"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ç) “ Reporting platform operator ” means any platform operator, other than an exempted one, that is in one of the following situations:</w:t>
            </w:r>
          </w:p>
          <w:p w14:paraId="3DF0EA53"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1. Operator resident for tax purposes in the Republic of Albania or, in the absence of tax residence, who meets one of the following conditions:</w:t>
            </w:r>
          </w:p>
          <w:p w14:paraId="5E5A4805"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i. is established under Albanian law;</w:t>
            </w:r>
          </w:p>
          <w:p w14:paraId="4889C7CD"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ii. has its place of management and effective centre of administration in Albania or in a Member State;</w:t>
            </w:r>
          </w:p>
          <w:p w14:paraId="68C2D119"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iii. has a permanent establishment in Albania or in a Member State and is not a non-EU qualified platform operator.</w:t>
            </w:r>
          </w:p>
          <w:p w14:paraId="14DC8CD1" w14:textId="77777777" w:rsidR="00C65C37" w:rsidRPr="00C65C37" w:rsidRDefault="00C65C37" w:rsidP="00C65C37">
            <w:pPr>
              <w:spacing w:line="276" w:lineRule="auto"/>
              <w:jc w:val="both"/>
              <w:rPr>
                <w:rFonts w:ascii="Times New Roman" w:hAnsi="Times New Roman" w:cs="Times New Roman"/>
                <w:sz w:val="18"/>
                <w:szCs w:val="18"/>
              </w:rPr>
            </w:pPr>
          </w:p>
          <w:p w14:paraId="6D4FEEA8" w14:textId="6C12F482" w:rsidR="00F11DDC" w:rsidRPr="00F11DDC" w:rsidRDefault="00C65C37" w:rsidP="00C65C37">
            <w:pPr>
              <w:jc w:val="both"/>
              <w:rPr>
                <w:rFonts w:ascii="Times New Roman" w:hAnsi="Times New Roman" w:cs="Times New Roman"/>
                <w:sz w:val="18"/>
                <w:szCs w:val="18"/>
              </w:rPr>
            </w:pPr>
            <w:r w:rsidRPr="00C65C37">
              <w:rPr>
                <w:rFonts w:ascii="Times New Roman" w:hAnsi="Times New Roman" w:cs="Times New Roman"/>
                <w:sz w:val="18"/>
                <w:szCs w:val="18"/>
              </w:rPr>
              <w:t>2. Operator that is not resident, established or managed in Albania or a Member State, and that is not a qualified non-EU platform operator, nor does it have a permanent establishment in a Member State, but facilitates the performance of reportable activities by sellers, including cases related to the rental of immovable property in the territory of the Republic of Albania.</w:t>
            </w:r>
          </w:p>
        </w:tc>
        <w:tc>
          <w:tcPr>
            <w:tcW w:w="720" w:type="dxa"/>
            <w:gridSpan w:val="2"/>
          </w:tcPr>
          <w:p w14:paraId="2E839F44" w14:textId="7BDC07E5" w:rsidR="00F11DDC" w:rsidRDefault="00F11DDC"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0A81AD7A" w14:textId="77777777" w:rsidR="00F11DDC" w:rsidRPr="00080E02" w:rsidRDefault="00F11DDC" w:rsidP="00E16BA5">
            <w:pPr>
              <w:rPr>
                <w:rFonts w:ascii="Times New Roman" w:eastAsia="Calibri" w:hAnsi="Times New Roman" w:cs="Times New Roman"/>
                <w:sz w:val="18"/>
                <w:szCs w:val="18"/>
              </w:rPr>
            </w:pPr>
          </w:p>
        </w:tc>
      </w:tr>
      <w:tr w:rsidR="00F11DDC" w:rsidRPr="00036F88" w14:paraId="4862D5F2" w14:textId="77777777" w:rsidTr="00D50C43">
        <w:trPr>
          <w:gridAfter w:val="1"/>
          <w:wAfter w:w="353" w:type="dxa"/>
          <w:trHeight w:val="2204"/>
        </w:trPr>
        <w:tc>
          <w:tcPr>
            <w:tcW w:w="630" w:type="dxa"/>
          </w:tcPr>
          <w:p w14:paraId="5E495E12" w14:textId="77777777" w:rsidR="00F11DDC" w:rsidRPr="00036F88" w:rsidRDefault="00F11DDC" w:rsidP="003C045B">
            <w:pPr>
              <w:jc w:val="both"/>
              <w:rPr>
                <w:rFonts w:ascii="Times New Roman" w:eastAsia="Calibri" w:hAnsi="Times New Roman" w:cs="Times New Roman"/>
                <w:sz w:val="18"/>
                <w:szCs w:val="18"/>
              </w:rPr>
            </w:pPr>
          </w:p>
        </w:tc>
        <w:tc>
          <w:tcPr>
            <w:tcW w:w="5400" w:type="dxa"/>
          </w:tcPr>
          <w:p w14:paraId="3FAABB38" w14:textId="119B1048" w:rsidR="00F11DDC" w:rsidRPr="001725D0" w:rsidRDefault="00F11DDC" w:rsidP="00F11DDC">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5. "Qualified Non-Union Platform Operator" means a Platform Operator for which all the Relevant Activities that it facilitates are also Qualified Relevant Activities and that is resident for tax purposes in a Qualified Non-Union Jurisdiction or, where such a Platform Operator does not have a residence for tax purposes in a Qualified Non-Union Jurisdiction, it meets any of the following conditions: (a) is incorporated under the laws of a Qualified Non-Union Jurisdiction; or (b) has its place of management (including effective management) in a Qualified Non-Union Jurisdiction.</w:t>
            </w:r>
          </w:p>
        </w:tc>
        <w:tc>
          <w:tcPr>
            <w:tcW w:w="540" w:type="dxa"/>
          </w:tcPr>
          <w:p w14:paraId="13DD35A7" w14:textId="77777777" w:rsidR="00F11DDC" w:rsidRPr="00036F88" w:rsidRDefault="00F11DDC" w:rsidP="003C045B">
            <w:pPr>
              <w:jc w:val="center"/>
              <w:rPr>
                <w:rFonts w:ascii="Times New Roman" w:eastAsia="Calibri" w:hAnsi="Times New Roman" w:cs="Times New Roman"/>
                <w:sz w:val="18"/>
                <w:szCs w:val="18"/>
                <w:highlight w:val="cyan"/>
              </w:rPr>
            </w:pPr>
          </w:p>
        </w:tc>
        <w:tc>
          <w:tcPr>
            <w:tcW w:w="720" w:type="dxa"/>
          </w:tcPr>
          <w:p w14:paraId="28600722" w14:textId="6B22C302" w:rsidR="00F11DDC"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 xml:space="preserve">Article 2 </w:t>
            </w:r>
          </w:p>
        </w:tc>
        <w:tc>
          <w:tcPr>
            <w:tcW w:w="5040" w:type="dxa"/>
            <w:gridSpan w:val="2"/>
          </w:tcPr>
          <w:p w14:paraId="7C8F34D4"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d) "Non-EU Qualified Platform Operator" means the Platform Operator that facilitates qualified reportable activities as defined in this law and that is not tax resident in a Member State but is resident for tax purposes in a qualifying non-EU jurisdiction, or that, in the absence of tax residence, meets one of the following conditions:</w:t>
            </w:r>
          </w:p>
          <w:p w14:paraId="1CEAA7CC"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i. is incorporated under the laws of a qualifying non-EU jurisdiction;</w:t>
            </w:r>
          </w:p>
          <w:p w14:paraId="7133FD78"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ii. has its place of management and effective centre of administration in a qualifying non-EU jurisdiction.</w:t>
            </w:r>
          </w:p>
          <w:p w14:paraId="06FE776D" w14:textId="77A68E4C" w:rsidR="00F11DDC" w:rsidRPr="00F11DDC" w:rsidRDefault="00F11DDC" w:rsidP="005331A6">
            <w:pPr>
              <w:jc w:val="both"/>
              <w:rPr>
                <w:rFonts w:ascii="Times New Roman" w:hAnsi="Times New Roman" w:cs="Times New Roman"/>
                <w:sz w:val="18"/>
                <w:szCs w:val="18"/>
              </w:rPr>
            </w:pPr>
          </w:p>
        </w:tc>
        <w:tc>
          <w:tcPr>
            <w:tcW w:w="720" w:type="dxa"/>
            <w:gridSpan w:val="2"/>
          </w:tcPr>
          <w:p w14:paraId="6B383C6E" w14:textId="5B72FE90" w:rsidR="00F11DDC"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67732BC3" w14:textId="77777777" w:rsidR="00F11DDC" w:rsidRPr="00080E02" w:rsidRDefault="00F11DDC" w:rsidP="00E16BA5">
            <w:pPr>
              <w:rPr>
                <w:rFonts w:ascii="Times New Roman" w:eastAsia="Calibri" w:hAnsi="Times New Roman" w:cs="Times New Roman"/>
                <w:sz w:val="18"/>
                <w:szCs w:val="18"/>
              </w:rPr>
            </w:pPr>
          </w:p>
        </w:tc>
      </w:tr>
      <w:tr w:rsidR="00F11DDC" w:rsidRPr="00036F88" w14:paraId="1667F8DF" w14:textId="77777777" w:rsidTr="00D50C43">
        <w:trPr>
          <w:gridAfter w:val="1"/>
          <w:wAfter w:w="353" w:type="dxa"/>
          <w:trHeight w:val="2204"/>
        </w:trPr>
        <w:tc>
          <w:tcPr>
            <w:tcW w:w="630" w:type="dxa"/>
          </w:tcPr>
          <w:p w14:paraId="2127C901" w14:textId="77777777" w:rsidR="00F11DDC" w:rsidRPr="00036F88" w:rsidRDefault="00F11DDC" w:rsidP="003C045B">
            <w:pPr>
              <w:jc w:val="both"/>
              <w:rPr>
                <w:rFonts w:ascii="Times New Roman" w:eastAsia="Calibri" w:hAnsi="Times New Roman" w:cs="Times New Roman"/>
                <w:sz w:val="18"/>
                <w:szCs w:val="18"/>
              </w:rPr>
            </w:pPr>
          </w:p>
        </w:tc>
        <w:tc>
          <w:tcPr>
            <w:tcW w:w="5400" w:type="dxa"/>
          </w:tcPr>
          <w:p w14:paraId="0E56FCBD" w14:textId="11177CC1" w:rsidR="00F11DDC" w:rsidRPr="001725D0" w:rsidRDefault="005D1762" w:rsidP="00F11DDC">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6. "Qualified Non-Union Jurisdiction" means a non-Union jurisdiction that has in effect an Effective Qualifying Competent Authority Agreement with the competent authorities of all Member States which are identified as reportable jurisdictions in a list published by the non-Union jurisdiction.</w:t>
            </w:r>
          </w:p>
        </w:tc>
        <w:tc>
          <w:tcPr>
            <w:tcW w:w="540" w:type="dxa"/>
          </w:tcPr>
          <w:p w14:paraId="3A2A9C2D" w14:textId="77777777" w:rsidR="00F11DDC" w:rsidRPr="00036F88" w:rsidRDefault="00F11DDC" w:rsidP="003C045B">
            <w:pPr>
              <w:jc w:val="center"/>
              <w:rPr>
                <w:rFonts w:ascii="Times New Roman" w:eastAsia="Calibri" w:hAnsi="Times New Roman" w:cs="Times New Roman"/>
                <w:sz w:val="18"/>
                <w:szCs w:val="18"/>
                <w:highlight w:val="cyan"/>
              </w:rPr>
            </w:pPr>
          </w:p>
        </w:tc>
        <w:tc>
          <w:tcPr>
            <w:tcW w:w="720" w:type="dxa"/>
          </w:tcPr>
          <w:p w14:paraId="0FB6490F" w14:textId="16860069" w:rsidR="00F11DDC"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Article 2</w:t>
            </w:r>
          </w:p>
        </w:tc>
        <w:tc>
          <w:tcPr>
            <w:tcW w:w="5040" w:type="dxa"/>
            <w:gridSpan w:val="2"/>
          </w:tcPr>
          <w:p w14:paraId="5F1D8EB4" w14:textId="0BEF139E" w:rsidR="00F11DDC" w:rsidRPr="00F11DDC" w:rsidRDefault="00C65C37" w:rsidP="00EF43AB">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dh) "Non-EU Qualified Jurisdiction" means any jurisdiction outside the European Union which has an effective qualifying agreement in force between the competent authorities of all Member States that are identified as reporting jurisdictions in a list published by the non-EU jurisdiction itself.</w:t>
            </w:r>
          </w:p>
        </w:tc>
        <w:tc>
          <w:tcPr>
            <w:tcW w:w="720" w:type="dxa"/>
            <w:gridSpan w:val="2"/>
          </w:tcPr>
          <w:p w14:paraId="0BF86975" w14:textId="0F3D0590" w:rsidR="00F11DDC"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53F26DB7" w14:textId="77777777" w:rsidR="00F11DDC" w:rsidRPr="00080E02" w:rsidRDefault="00F11DDC" w:rsidP="00E16BA5">
            <w:pPr>
              <w:rPr>
                <w:rFonts w:ascii="Times New Roman" w:eastAsia="Calibri" w:hAnsi="Times New Roman" w:cs="Times New Roman"/>
                <w:sz w:val="18"/>
                <w:szCs w:val="18"/>
              </w:rPr>
            </w:pPr>
          </w:p>
        </w:tc>
      </w:tr>
      <w:tr w:rsidR="00F11DDC" w:rsidRPr="00036F88" w14:paraId="6E72927B" w14:textId="77777777" w:rsidTr="00D50C43">
        <w:trPr>
          <w:gridAfter w:val="1"/>
          <w:wAfter w:w="353" w:type="dxa"/>
          <w:trHeight w:val="2204"/>
        </w:trPr>
        <w:tc>
          <w:tcPr>
            <w:tcW w:w="630" w:type="dxa"/>
          </w:tcPr>
          <w:p w14:paraId="2F113FCC" w14:textId="77777777" w:rsidR="00F11DDC" w:rsidRPr="00036F88" w:rsidRDefault="00F11DDC" w:rsidP="003C045B">
            <w:pPr>
              <w:jc w:val="both"/>
              <w:rPr>
                <w:rFonts w:ascii="Times New Roman" w:eastAsia="Calibri" w:hAnsi="Times New Roman" w:cs="Times New Roman"/>
                <w:sz w:val="18"/>
                <w:szCs w:val="18"/>
              </w:rPr>
            </w:pPr>
          </w:p>
        </w:tc>
        <w:tc>
          <w:tcPr>
            <w:tcW w:w="5400" w:type="dxa"/>
          </w:tcPr>
          <w:p w14:paraId="43C9419C" w14:textId="1E8A558D" w:rsidR="00F11DDC" w:rsidRPr="001725D0" w:rsidRDefault="005D1762" w:rsidP="00F11DDC">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7. "Effective agreement of the Qualifying Competent Authority" means an agreement between the competent authorities of a Member State and a non-Union jurisdiction that requires the automatic exchange of information equivalent to that specified in paragraph B of Section III of this Annex, as confirmed by an implementing act in accordance with Article 8ac(7).</w:t>
            </w:r>
          </w:p>
        </w:tc>
        <w:tc>
          <w:tcPr>
            <w:tcW w:w="540" w:type="dxa"/>
          </w:tcPr>
          <w:p w14:paraId="1AE6E8F9" w14:textId="77777777" w:rsidR="00F11DDC" w:rsidRPr="00036F88" w:rsidRDefault="00F11DDC" w:rsidP="003C045B">
            <w:pPr>
              <w:jc w:val="center"/>
              <w:rPr>
                <w:rFonts w:ascii="Times New Roman" w:eastAsia="Calibri" w:hAnsi="Times New Roman" w:cs="Times New Roman"/>
                <w:sz w:val="18"/>
                <w:szCs w:val="18"/>
                <w:highlight w:val="cyan"/>
              </w:rPr>
            </w:pPr>
          </w:p>
        </w:tc>
        <w:tc>
          <w:tcPr>
            <w:tcW w:w="720" w:type="dxa"/>
          </w:tcPr>
          <w:p w14:paraId="27845021" w14:textId="2549B406" w:rsidR="00F11DDC"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Article 2</w:t>
            </w:r>
          </w:p>
        </w:tc>
        <w:tc>
          <w:tcPr>
            <w:tcW w:w="5040" w:type="dxa"/>
            <w:gridSpan w:val="2"/>
          </w:tcPr>
          <w:p w14:paraId="1A02DA42" w14:textId="6B4C7EA0" w:rsidR="00F11DDC" w:rsidRPr="00F11DDC" w:rsidRDefault="00C65C37" w:rsidP="00EF43AB">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e) "Effective Qualifying Agreement" means any agreement between a competent authority and another non-EU jurisdiction, which provides for the automatic exchange of tax information set forth in this Law, and confirmed by an implementing act in accordance with Article 8ac (7) of Directive 2011/16/EU.</w:t>
            </w:r>
          </w:p>
        </w:tc>
        <w:tc>
          <w:tcPr>
            <w:tcW w:w="720" w:type="dxa"/>
            <w:gridSpan w:val="2"/>
          </w:tcPr>
          <w:p w14:paraId="7A7BC866" w14:textId="481496E0" w:rsidR="00F11DDC"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79C3FA9F" w14:textId="77777777" w:rsidR="00F11DDC" w:rsidRPr="00080E02" w:rsidRDefault="00F11DDC" w:rsidP="00E16BA5">
            <w:pPr>
              <w:rPr>
                <w:rFonts w:ascii="Times New Roman" w:eastAsia="Calibri" w:hAnsi="Times New Roman" w:cs="Times New Roman"/>
                <w:sz w:val="18"/>
                <w:szCs w:val="18"/>
              </w:rPr>
            </w:pPr>
          </w:p>
        </w:tc>
      </w:tr>
      <w:tr w:rsidR="00F11DDC" w:rsidRPr="00036F88" w14:paraId="5AC645F9" w14:textId="77777777" w:rsidTr="00D50C43">
        <w:trPr>
          <w:gridAfter w:val="1"/>
          <w:wAfter w:w="353" w:type="dxa"/>
          <w:trHeight w:val="2204"/>
        </w:trPr>
        <w:tc>
          <w:tcPr>
            <w:tcW w:w="630" w:type="dxa"/>
          </w:tcPr>
          <w:p w14:paraId="43D7968E" w14:textId="77777777" w:rsidR="00F11DDC" w:rsidRPr="00036F88" w:rsidRDefault="00F11DDC" w:rsidP="003C045B">
            <w:pPr>
              <w:jc w:val="both"/>
              <w:rPr>
                <w:rFonts w:ascii="Times New Roman" w:eastAsia="Calibri" w:hAnsi="Times New Roman" w:cs="Times New Roman"/>
                <w:sz w:val="18"/>
                <w:szCs w:val="18"/>
              </w:rPr>
            </w:pPr>
          </w:p>
        </w:tc>
        <w:tc>
          <w:tcPr>
            <w:tcW w:w="5400" w:type="dxa"/>
          </w:tcPr>
          <w:p w14:paraId="242DE219" w14:textId="77777777" w:rsidR="005D1762" w:rsidRPr="001725D0" w:rsidRDefault="005D1762" w:rsidP="005D1762">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8. "Important activity" means an activity carried out for consideration and which is one of the following:</w:t>
            </w:r>
          </w:p>
          <w:p w14:paraId="0F479315" w14:textId="77777777" w:rsidR="005D1762" w:rsidRPr="001725D0" w:rsidRDefault="005D1762" w:rsidP="005D1762">
            <w:pPr>
              <w:jc w:val="both"/>
              <w:rPr>
                <w:rFonts w:ascii="Times New Roman" w:eastAsia="Calibri" w:hAnsi="Times New Roman" w:cs="Times New Roman"/>
                <w:iCs/>
                <w:sz w:val="18"/>
                <w:szCs w:val="18"/>
                <w:lang w:val="en-US"/>
              </w:rPr>
            </w:pPr>
          </w:p>
          <w:p w14:paraId="47E23BDF" w14:textId="77777777" w:rsidR="005D1762" w:rsidRPr="001725D0" w:rsidRDefault="005D1762" w:rsidP="005D1762">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 the rental of immovable property, including both residential and commercial property, as well as any other immovable property and parking spaces; (b) a Personal Service; (c) the sale of Goods; (d) the rental of any means of transport.</w:t>
            </w:r>
          </w:p>
          <w:p w14:paraId="4D1FB4C9" w14:textId="77777777" w:rsidR="005D1762" w:rsidRPr="001725D0" w:rsidRDefault="005D1762" w:rsidP="005D1762">
            <w:pPr>
              <w:jc w:val="both"/>
              <w:rPr>
                <w:rFonts w:ascii="Times New Roman" w:eastAsia="Calibri" w:hAnsi="Times New Roman" w:cs="Times New Roman"/>
                <w:iCs/>
                <w:sz w:val="18"/>
                <w:szCs w:val="18"/>
                <w:lang w:val="en-US"/>
              </w:rPr>
            </w:pPr>
          </w:p>
          <w:p w14:paraId="40B7AD23" w14:textId="54677236" w:rsidR="00F11DDC" w:rsidRPr="001725D0" w:rsidRDefault="005D1762" w:rsidP="005D1762">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The term "Relevant Activity" does not include an activity carried out by a Seller acting as an employee of the Platform Operator or an Entity affiliated with the Platform Operator.</w:t>
            </w:r>
          </w:p>
        </w:tc>
        <w:tc>
          <w:tcPr>
            <w:tcW w:w="540" w:type="dxa"/>
          </w:tcPr>
          <w:p w14:paraId="6179F29A" w14:textId="77777777" w:rsidR="00F11DDC" w:rsidRPr="00036F88" w:rsidRDefault="00F11DDC" w:rsidP="003C045B">
            <w:pPr>
              <w:jc w:val="center"/>
              <w:rPr>
                <w:rFonts w:ascii="Times New Roman" w:eastAsia="Calibri" w:hAnsi="Times New Roman" w:cs="Times New Roman"/>
                <w:sz w:val="18"/>
                <w:szCs w:val="18"/>
                <w:highlight w:val="cyan"/>
              </w:rPr>
            </w:pPr>
          </w:p>
        </w:tc>
        <w:tc>
          <w:tcPr>
            <w:tcW w:w="720" w:type="dxa"/>
          </w:tcPr>
          <w:p w14:paraId="1E5CE473" w14:textId="22A254D9" w:rsidR="00F11DDC"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Article 2</w:t>
            </w:r>
          </w:p>
        </w:tc>
        <w:tc>
          <w:tcPr>
            <w:tcW w:w="5040" w:type="dxa"/>
            <w:gridSpan w:val="2"/>
          </w:tcPr>
          <w:p w14:paraId="24C746E9" w14:textId="127DC8DB" w:rsidR="00EF43AB" w:rsidRPr="00F11DDC" w:rsidRDefault="00EF43AB" w:rsidP="00EF43AB">
            <w:pPr>
              <w:jc w:val="both"/>
              <w:rPr>
                <w:rFonts w:ascii="Times New Roman" w:hAnsi="Times New Roman" w:cs="Times New Roman"/>
                <w:sz w:val="18"/>
                <w:szCs w:val="18"/>
              </w:rPr>
            </w:pPr>
          </w:p>
          <w:p w14:paraId="5631D432"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ë) "Reportable Activity" means any activity carried out by a Seller for the Consideration of consideration, including:</w:t>
            </w:r>
          </w:p>
          <w:p w14:paraId="50A66F69"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i. Leasing of immovable property;</w:t>
            </w:r>
          </w:p>
          <w:p w14:paraId="1C0CE28B"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ii. leasing of means of transport;</w:t>
            </w:r>
          </w:p>
          <w:p w14:paraId="355BA857"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iii. providing personal services;</w:t>
            </w:r>
          </w:p>
          <w:p w14:paraId="1855F424"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iv. Sale of goods.</w:t>
            </w:r>
          </w:p>
          <w:p w14:paraId="3483B716" w14:textId="77777777" w:rsidR="00C65C37" w:rsidRPr="00C65C37" w:rsidRDefault="00C65C37" w:rsidP="00C65C37">
            <w:pPr>
              <w:spacing w:line="276" w:lineRule="auto"/>
              <w:jc w:val="both"/>
              <w:rPr>
                <w:rFonts w:ascii="Times New Roman" w:hAnsi="Times New Roman" w:cs="Times New Roman"/>
                <w:sz w:val="18"/>
                <w:szCs w:val="18"/>
              </w:rPr>
            </w:pPr>
          </w:p>
          <w:p w14:paraId="6CB4D5D5" w14:textId="3C138EB3" w:rsidR="00F11DDC" w:rsidRPr="00F11DDC"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"Reportable Activity" is not considered an activity performed by a Seller acting as an employee of the Platform Operator or an Entity affiliated with the Platform Operator, when these activities are of an administrative, managerial or support nature.</w:t>
            </w:r>
          </w:p>
        </w:tc>
        <w:tc>
          <w:tcPr>
            <w:tcW w:w="720" w:type="dxa"/>
            <w:gridSpan w:val="2"/>
          </w:tcPr>
          <w:p w14:paraId="707C4636" w14:textId="0566323C" w:rsidR="00F11DDC"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6A9E6CF1" w14:textId="77777777" w:rsidR="00F11DDC" w:rsidRPr="00080E02" w:rsidRDefault="00F11DDC" w:rsidP="00E16BA5">
            <w:pPr>
              <w:rPr>
                <w:rFonts w:ascii="Times New Roman" w:eastAsia="Calibri" w:hAnsi="Times New Roman" w:cs="Times New Roman"/>
                <w:sz w:val="18"/>
                <w:szCs w:val="18"/>
              </w:rPr>
            </w:pPr>
          </w:p>
        </w:tc>
      </w:tr>
      <w:tr w:rsidR="00F11DDC" w:rsidRPr="00036F88" w14:paraId="11ECAD20" w14:textId="77777777" w:rsidTr="00D50C43">
        <w:trPr>
          <w:gridAfter w:val="1"/>
          <w:wAfter w:w="353" w:type="dxa"/>
          <w:trHeight w:val="2204"/>
        </w:trPr>
        <w:tc>
          <w:tcPr>
            <w:tcW w:w="630" w:type="dxa"/>
          </w:tcPr>
          <w:p w14:paraId="53D0142D" w14:textId="77777777" w:rsidR="00F11DDC" w:rsidRPr="00036F88" w:rsidRDefault="00F11DDC" w:rsidP="003C045B">
            <w:pPr>
              <w:jc w:val="both"/>
              <w:rPr>
                <w:rFonts w:ascii="Times New Roman" w:eastAsia="Calibri" w:hAnsi="Times New Roman" w:cs="Times New Roman"/>
                <w:sz w:val="18"/>
                <w:szCs w:val="18"/>
              </w:rPr>
            </w:pPr>
          </w:p>
        </w:tc>
        <w:tc>
          <w:tcPr>
            <w:tcW w:w="5400" w:type="dxa"/>
          </w:tcPr>
          <w:p w14:paraId="70A2E267" w14:textId="3ED8D714" w:rsidR="00F11DDC" w:rsidRPr="001725D0" w:rsidRDefault="005D1762" w:rsidP="00F11DDC">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9. "Relevant Qualified Activities" means any Relevant Activity covered by automatic exchange in accordance with a Qualifying Competent Authority Agreement.</w:t>
            </w:r>
          </w:p>
        </w:tc>
        <w:tc>
          <w:tcPr>
            <w:tcW w:w="540" w:type="dxa"/>
          </w:tcPr>
          <w:p w14:paraId="33D48460" w14:textId="77777777" w:rsidR="00F11DDC" w:rsidRPr="00036F88" w:rsidRDefault="00F11DDC" w:rsidP="003C045B">
            <w:pPr>
              <w:jc w:val="center"/>
              <w:rPr>
                <w:rFonts w:ascii="Times New Roman" w:eastAsia="Calibri" w:hAnsi="Times New Roman" w:cs="Times New Roman"/>
                <w:sz w:val="18"/>
                <w:szCs w:val="18"/>
                <w:highlight w:val="cyan"/>
              </w:rPr>
            </w:pPr>
          </w:p>
        </w:tc>
        <w:tc>
          <w:tcPr>
            <w:tcW w:w="720" w:type="dxa"/>
          </w:tcPr>
          <w:p w14:paraId="7AE7338F" w14:textId="7792861D" w:rsidR="00F11DDC"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Article 2</w:t>
            </w:r>
          </w:p>
        </w:tc>
        <w:tc>
          <w:tcPr>
            <w:tcW w:w="5040" w:type="dxa"/>
            <w:gridSpan w:val="2"/>
          </w:tcPr>
          <w:p w14:paraId="12B1E93E" w14:textId="4AC49588" w:rsidR="00F11DDC" w:rsidRPr="00F11DDC" w:rsidRDefault="00C65C37" w:rsidP="00F11DDC">
            <w:pPr>
              <w:jc w:val="both"/>
              <w:rPr>
                <w:rFonts w:ascii="Times New Roman" w:hAnsi="Times New Roman" w:cs="Times New Roman"/>
                <w:sz w:val="18"/>
                <w:szCs w:val="18"/>
              </w:rPr>
            </w:pPr>
            <w:r>
              <w:t xml:space="preserve"> </w:t>
            </w:r>
            <w:r w:rsidRPr="00C65C37">
              <w:rPr>
                <w:rFonts w:ascii="Times New Roman" w:hAnsi="Times New Roman" w:cs="Times New Roman"/>
                <w:sz w:val="18"/>
                <w:szCs w:val="18"/>
              </w:rPr>
              <w:t>f) "Qualifying Reportable Activity" means any Reportable Activity that is subject to the automatic exchange of tax information under an effective qualifying agreement.</w:t>
            </w:r>
          </w:p>
        </w:tc>
        <w:tc>
          <w:tcPr>
            <w:tcW w:w="720" w:type="dxa"/>
            <w:gridSpan w:val="2"/>
          </w:tcPr>
          <w:p w14:paraId="4E4D9F67" w14:textId="60798B2D" w:rsidR="00F11DDC"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12E90EE2" w14:textId="77777777" w:rsidR="00F11DDC" w:rsidRPr="00080E02" w:rsidRDefault="00F11DDC" w:rsidP="00E16BA5">
            <w:pPr>
              <w:rPr>
                <w:rFonts w:ascii="Times New Roman" w:eastAsia="Calibri" w:hAnsi="Times New Roman" w:cs="Times New Roman"/>
                <w:sz w:val="18"/>
                <w:szCs w:val="18"/>
              </w:rPr>
            </w:pPr>
          </w:p>
        </w:tc>
      </w:tr>
      <w:tr w:rsidR="00F11DDC" w:rsidRPr="00036F88" w14:paraId="742D86C0" w14:textId="77777777" w:rsidTr="00D50C43">
        <w:trPr>
          <w:gridAfter w:val="1"/>
          <w:wAfter w:w="353" w:type="dxa"/>
          <w:trHeight w:val="2204"/>
        </w:trPr>
        <w:tc>
          <w:tcPr>
            <w:tcW w:w="630" w:type="dxa"/>
          </w:tcPr>
          <w:p w14:paraId="298E606E" w14:textId="77777777" w:rsidR="00F11DDC" w:rsidRPr="00036F88" w:rsidRDefault="00F11DDC" w:rsidP="003C045B">
            <w:pPr>
              <w:jc w:val="both"/>
              <w:rPr>
                <w:rFonts w:ascii="Times New Roman" w:eastAsia="Calibri" w:hAnsi="Times New Roman" w:cs="Times New Roman"/>
                <w:sz w:val="18"/>
                <w:szCs w:val="18"/>
              </w:rPr>
            </w:pPr>
          </w:p>
        </w:tc>
        <w:tc>
          <w:tcPr>
            <w:tcW w:w="5400" w:type="dxa"/>
          </w:tcPr>
          <w:p w14:paraId="56162727" w14:textId="071EDAEC" w:rsidR="00F11DDC" w:rsidRPr="001725D0" w:rsidRDefault="005D1762" w:rsidP="00F11DDC">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10. "Compensation" means compensation in any form, reduced by any fee, commission or tax withheld or charged by the Reporting Platform Operator, that is paid or credited to a Seller in connection with the Relevant Activity, the amount of which is known or reasonably knowable by the Platform Operator.</w:t>
            </w:r>
          </w:p>
        </w:tc>
        <w:tc>
          <w:tcPr>
            <w:tcW w:w="540" w:type="dxa"/>
          </w:tcPr>
          <w:p w14:paraId="2AE8D46E" w14:textId="77777777" w:rsidR="00F11DDC" w:rsidRPr="00036F88" w:rsidRDefault="00F11DDC" w:rsidP="003C045B">
            <w:pPr>
              <w:jc w:val="center"/>
              <w:rPr>
                <w:rFonts w:ascii="Times New Roman" w:eastAsia="Calibri" w:hAnsi="Times New Roman" w:cs="Times New Roman"/>
                <w:sz w:val="18"/>
                <w:szCs w:val="18"/>
                <w:highlight w:val="cyan"/>
              </w:rPr>
            </w:pPr>
          </w:p>
        </w:tc>
        <w:tc>
          <w:tcPr>
            <w:tcW w:w="720" w:type="dxa"/>
          </w:tcPr>
          <w:p w14:paraId="412A463E" w14:textId="54001A33" w:rsidR="00F11DDC"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 xml:space="preserve">Article 2 </w:t>
            </w:r>
          </w:p>
        </w:tc>
        <w:tc>
          <w:tcPr>
            <w:tcW w:w="5040" w:type="dxa"/>
            <w:gridSpan w:val="2"/>
          </w:tcPr>
          <w:p w14:paraId="0DD5A0E7" w14:textId="1731E62A" w:rsidR="00F11DDC" w:rsidRPr="00F11DDC" w:rsidRDefault="00C65C37" w:rsidP="00F11DDC">
            <w:pPr>
              <w:jc w:val="both"/>
              <w:rPr>
                <w:rFonts w:ascii="Times New Roman" w:hAnsi="Times New Roman" w:cs="Times New Roman"/>
                <w:sz w:val="18"/>
                <w:szCs w:val="18"/>
              </w:rPr>
            </w:pPr>
            <w:r w:rsidRPr="00C65C37">
              <w:rPr>
                <w:rFonts w:ascii="Times New Roman" w:hAnsi="Times New Roman" w:cs="Times New Roman"/>
                <w:sz w:val="18"/>
                <w:szCs w:val="18"/>
              </w:rPr>
              <w:t>g) " Consideration " means any compensation, fees, commissions or tax withheld by the Platform Operator, that is paid or credited to a Seller for the Reportable Activity, in any form, including money, credit or other economic Considerations, the amount of which is known or reasonably knowable by the Platform Operator.</w:t>
            </w:r>
          </w:p>
        </w:tc>
        <w:tc>
          <w:tcPr>
            <w:tcW w:w="720" w:type="dxa"/>
            <w:gridSpan w:val="2"/>
          </w:tcPr>
          <w:p w14:paraId="578A725E" w14:textId="657BF7FF" w:rsidR="00F11DDC"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75525FAE" w14:textId="77777777" w:rsidR="00F11DDC" w:rsidRPr="00080E02" w:rsidRDefault="00F11DDC" w:rsidP="00E16BA5">
            <w:pPr>
              <w:rPr>
                <w:rFonts w:ascii="Times New Roman" w:eastAsia="Calibri" w:hAnsi="Times New Roman" w:cs="Times New Roman"/>
                <w:sz w:val="18"/>
                <w:szCs w:val="18"/>
              </w:rPr>
            </w:pPr>
          </w:p>
        </w:tc>
      </w:tr>
      <w:tr w:rsidR="005D1762" w:rsidRPr="00036F88" w14:paraId="0A6072A7" w14:textId="77777777" w:rsidTr="00D50C43">
        <w:trPr>
          <w:gridAfter w:val="1"/>
          <w:wAfter w:w="353" w:type="dxa"/>
          <w:trHeight w:val="2204"/>
        </w:trPr>
        <w:tc>
          <w:tcPr>
            <w:tcW w:w="630" w:type="dxa"/>
          </w:tcPr>
          <w:p w14:paraId="637A9BDC" w14:textId="77777777" w:rsidR="005D1762" w:rsidRPr="00036F88" w:rsidRDefault="005D1762" w:rsidP="003C045B">
            <w:pPr>
              <w:jc w:val="both"/>
              <w:rPr>
                <w:rFonts w:ascii="Times New Roman" w:eastAsia="Calibri" w:hAnsi="Times New Roman" w:cs="Times New Roman"/>
                <w:sz w:val="18"/>
                <w:szCs w:val="18"/>
              </w:rPr>
            </w:pPr>
          </w:p>
        </w:tc>
        <w:tc>
          <w:tcPr>
            <w:tcW w:w="5400" w:type="dxa"/>
          </w:tcPr>
          <w:p w14:paraId="71BA4360" w14:textId="0C97BA25" w:rsidR="005D1762" w:rsidRPr="001725D0" w:rsidRDefault="005D1762" w:rsidP="00F11DDC">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11. "Personal Service" means a service that includes work based on time or a task performed by one or more individuals, acting independently or on behalf of an Entity, and that is carried out at the request of a user, whether online or physically offline, after having been facilitated through a Platform.</w:t>
            </w:r>
          </w:p>
        </w:tc>
        <w:tc>
          <w:tcPr>
            <w:tcW w:w="540" w:type="dxa"/>
          </w:tcPr>
          <w:p w14:paraId="11B7AEC4" w14:textId="77777777" w:rsidR="005D1762" w:rsidRPr="00036F88" w:rsidRDefault="005D1762" w:rsidP="003C045B">
            <w:pPr>
              <w:jc w:val="center"/>
              <w:rPr>
                <w:rFonts w:ascii="Times New Roman" w:eastAsia="Calibri" w:hAnsi="Times New Roman" w:cs="Times New Roman"/>
                <w:sz w:val="18"/>
                <w:szCs w:val="18"/>
                <w:highlight w:val="cyan"/>
              </w:rPr>
            </w:pPr>
          </w:p>
        </w:tc>
        <w:tc>
          <w:tcPr>
            <w:tcW w:w="720" w:type="dxa"/>
          </w:tcPr>
          <w:p w14:paraId="4EB85677" w14:textId="0B08C88C" w:rsidR="005D1762"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Article 2</w:t>
            </w:r>
          </w:p>
        </w:tc>
        <w:tc>
          <w:tcPr>
            <w:tcW w:w="5040" w:type="dxa"/>
            <w:gridSpan w:val="2"/>
          </w:tcPr>
          <w:p w14:paraId="10D9F517" w14:textId="1C481278" w:rsidR="005D1762" w:rsidRPr="005D1762" w:rsidRDefault="00C65C37" w:rsidP="00F11DDC">
            <w:pPr>
              <w:jc w:val="both"/>
              <w:rPr>
                <w:rFonts w:ascii="Times New Roman" w:hAnsi="Times New Roman" w:cs="Times New Roman"/>
                <w:sz w:val="18"/>
                <w:szCs w:val="18"/>
              </w:rPr>
            </w:pPr>
            <w:r w:rsidRPr="00C65C37">
              <w:rPr>
                <w:rFonts w:ascii="Times New Roman" w:hAnsi="Times New Roman" w:cs="Times New Roman"/>
                <w:sz w:val="18"/>
                <w:szCs w:val="18"/>
              </w:rPr>
              <w:t>gj) "Personal Service" is a service provided online or physically by one or more independent persons or on behalf of an entity, performed at the request of the user and facilitated by the Platform.</w:t>
            </w:r>
          </w:p>
        </w:tc>
        <w:tc>
          <w:tcPr>
            <w:tcW w:w="720" w:type="dxa"/>
            <w:gridSpan w:val="2"/>
          </w:tcPr>
          <w:p w14:paraId="149C2F60" w14:textId="22AB0262" w:rsidR="005D1762"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46D23C4F" w14:textId="77777777" w:rsidR="005D1762" w:rsidRPr="00080E02" w:rsidRDefault="005D1762" w:rsidP="00E16BA5">
            <w:pPr>
              <w:rPr>
                <w:rFonts w:ascii="Times New Roman" w:eastAsia="Calibri" w:hAnsi="Times New Roman" w:cs="Times New Roman"/>
                <w:sz w:val="18"/>
                <w:szCs w:val="18"/>
              </w:rPr>
            </w:pPr>
          </w:p>
        </w:tc>
      </w:tr>
      <w:tr w:rsidR="005D1762" w:rsidRPr="00036F88" w14:paraId="7EBCBA1E" w14:textId="77777777" w:rsidTr="00D50C43">
        <w:trPr>
          <w:gridAfter w:val="1"/>
          <w:wAfter w:w="353" w:type="dxa"/>
          <w:trHeight w:val="2204"/>
        </w:trPr>
        <w:tc>
          <w:tcPr>
            <w:tcW w:w="630" w:type="dxa"/>
          </w:tcPr>
          <w:p w14:paraId="3C45FF5B" w14:textId="77777777" w:rsidR="005D1762" w:rsidRPr="00036F88" w:rsidRDefault="005D1762" w:rsidP="003C045B">
            <w:pPr>
              <w:jc w:val="both"/>
              <w:rPr>
                <w:rFonts w:ascii="Times New Roman" w:eastAsia="Calibri" w:hAnsi="Times New Roman" w:cs="Times New Roman"/>
                <w:sz w:val="18"/>
                <w:szCs w:val="18"/>
              </w:rPr>
            </w:pPr>
          </w:p>
        </w:tc>
        <w:tc>
          <w:tcPr>
            <w:tcW w:w="5400" w:type="dxa"/>
          </w:tcPr>
          <w:p w14:paraId="64621A47" w14:textId="622F970C" w:rsidR="005D1762" w:rsidRPr="001725D0" w:rsidRDefault="005D1762" w:rsidP="00F11DDC">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1. "Seller" means a user of the Platform, whether an individual or an Entity, who is registered at any time during the Reportable Period on the Platform and carries out a Relevant Activity.</w:t>
            </w:r>
          </w:p>
        </w:tc>
        <w:tc>
          <w:tcPr>
            <w:tcW w:w="540" w:type="dxa"/>
          </w:tcPr>
          <w:p w14:paraId="2296F5EE" w14:textId="77777777" w:rsidR="005D1762" w:rsidRPr="00036F88" w:rsidRDefault="005D1762" w:rsidP="003C045B">
            <w:pPr>
              <w:jc w:val="center"/>
              <w:rPr>
                <w:rFonts w:ascii="Times New Roman" w:eastAsia="Calibri" w:hAnsi="Times New Roman" w:cs="Times New Roman"/>
                <w:sz w:val="18"/>
                <w:szCs w:val="18"/>
                <w:highlight w:val="cyan"/>
              </w:rPr>
            </w:pPr>
          </w:p>
        </w:tc>
        <w:tc>
          <w:tcPr>
            <w:tcW w:w="720" w:type="dxa"/>
          </w:tcPr>
          <w:p w14:paraId="146560AA" w14:textId="018D7C9A" w:rsidR="005D1762"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 xml:space="preserve">Article 2 </w:t>
            </w:r>
          </w:p>
        </w:tc>
        <w:tc>
          <w:tcPr>
            <w:tcW w:w="5040" w:type="dxa"/>
            <w:gridSpan w:val="2"/>
          </w:tcPr>
          <w:p w14:paraId="103A0BE3" w14:textId="67C93ED5" w:rsidR="005D1762" w:rsidRPr="005D1762" w:rsidRDefault="00C65C37" w:rsidP="00F11DDC">
            <w:pPr>
              <w:jc w:val="both"/>
              <w:rPr>
                <w:rFonts w:ascii="Times New Roman" w:hAnsi="Times New Roman" w:cs="Times New Roman"/>
                <w:sz w:val="18"/>
                <w:szCs w:val="18"/>
              </w:rPr>
            </w:pPr>
            <w:r w:rsidRPr="00C65C37">
              <w:rPr>
                <w:rFonts w:ascii="Times New Roman" w:hAnsi="Times New Roman" w:cs="Times New Roman"/>
                <w:sz w:val="18"/>
                <w:szCs w:val="18"/>
              </w:rPr>
              <w:t>h) "Seller" means any user of the platform who performs a reportable activity, who is registered on the platform at any time during the reporting period and performs a reportable activity.</w:t>
            </w:r>
          </w:p>
        </w:tc>
        <w:tc>
          <w:tcPr>
            <w:tcW w:w="720" w:type="dxa"/>
            <w:gridSpan w:val="2"/>
          </w:tcPr>
          <w:p w14:paraId="1DE6CACD" w14:textId="65F43779" w:rsidR="005D1762"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39FECAF4" w14:textId="77777777" w:rsidR="005D1762" w:rsidRPr="00080E02" w:rsidRDefault="005D1762" w:rsidP="00E16BA5">
            <w:pPr>
              <w:rPr>
                <w:rFonts w:ascii="Times New Roman" w:eastAsia="Calibri" w:hAnsi="Times New Roman" w:cs="Times New Roman"/>
                <w:sz w:val="18"/>
                <w:szCs w:val="18"/>
              </w:rPr>
            </w:pPr>
          </w:p>
        </w:tc>
      </w:tr>
      <w:tr w:rsidR="005D1762" w:rsidRPr="00036F88" w14:paraId="2F872405" w14:textId="77777777" w:rsidTr="00D50C43">
        <w:trPr>
          <w:gridAfter w:val="1"/>
          <w:wAfter w:w="353" w:type="dxa"/>
          <w:trHeight w:val="2204"/>
        </w:trPr>
        <w:tc>
          <w:tcPr>
            <w:tcW w:w="630" w:type="dxa"/>
          </w:tcPr>
          <w:p w14:paraId="7DA123B4" w14:textId="77777777" w:rsidR="005D1762" w:rsidRPr="00036F88" w:rsidRDefault="005D1762" w:rsidP="003C045B">
            <w:pPr>
              <w:jc w:val="both"/>
              <w:rPr>
                <w:rFonts w:ascii="Times New Roman" w:eastAsia="Calibri" w:hAnsi="Times New Roman" w:cs="Times New Roman"/>
                <w:sz w:val="18"/>
                <w:szCs w:val="18"/>
              </w:rPr>
            </w:pPr>
          </w:p>
        </w:tc>
        <w:tc>
          <w:tcPr>
            <w:tcW w:w="5400" w:type="dxa"/>
          </w:tcPr>
          <w:p w14:paraId="29E3BD2F" w14:textId="64A33682" w:rsidR="005D1762" w:rsidRPr="001725D0" w:rsidRDefault="002234E1" w:rsidP="00F11DDC">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2. "Active Seller" means any Seller that either offers a Relevant Activity during the Reporting Period or is paid or credited Consideration in relation to a Relevant Activity during the Reporting Period.</w:t>
            </w:r>
          </w:p>
        </w:tc>
        <w:tc>
          <w:tcPr>
            <w:tcW w:w="540" w:type="dxa"/>
          </w:tcPr>
          <w:p w14:paraId="20DD733E" w14:textId="77777777" w:rsidR="005D1762" w:rsidRPr="00036F88" w:rsidRDefault="005D1762" w:rsidP="003C045B">
            <w:pPr>
              <w:jc w:val="center"/>
              <w:rPr>
                <w:rFonts w:ascii="Times New Roman" w:eastAsia="Calibri" w:hAnsi="Times New Roman" w:cs="Times New Roman"/>
                <w:sz w:val="18"/>
                <w:szCs w:val="18"/>
                <w:highlight w:val="cyan"/>
              </w:rPr>
            </w:pPr>
          </w:p>
        </w:tc>
        <w:tc>
          <w:tcPr>
            <w:tcW w:w="720" w:type="dxa"/>
          </w:tcPr>
          <w:p w14:paraId="6A9AC9B8" w14:textId="337570A9" w:rsidR="005D1762"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 xml:space="preserve">Article 2 </w:t>
            </w:r>
          </w:p>
        </w:tc>
        <w:tc>
          <w:tcPr>
            <w:tcW w:w="5040" w:type="dxa"/>
            <w:gridSpan w:val="2"/>
          </w:tcPr>
          <w:p w14:paraId="4F397A86" w14:textId="4DED8BF9" w:rsidR="005D1762" w:rsidRPr="005D1762" w:rsidRDefault="00C65C37" w:rsidP="00EF43AB">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i) "Active Seller" means a seller who performs reportable activity or receives remuneration during the reporting period.</w:t>
            </w:r>
          </w:p>
        </w:tc>
        <w:tc>
          <w:tcPr>
            <w:tcW w:w="720" w:type="dxa"/>
            <w:gridSpan w:val="2"/>
          </w:tcPr>
          <w:p w14:paraId="6B1E48FC" w14:textId="0799E1E7" w:rsidR="005D1762"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03E2D161" w14:textId="77777777" w:rsidR="005D1762" w:rsidRPr="00080E02" w:rsidRDefault="005D1762" w:rsidP="00E16BA5">
            <w:pPr>
              <w:rPr>
                <w:rFonts w:ascii="Times New Roman" w:eastAsia="Calibri" w:hAnsi="Times New Roman" w:cs="Times New Roman"/>
                <w:sz w:val="18"/>
                <w:szCs w:val="18"/>
              </w:rPr>
            </w:pPr>
          </w:p>
        </w:tc>
      </w:tr>
      <w:tr w:rsidR="005D1762" w:rsidRPr="00036F88" w14:paraId="05A35841" w14:textId="77777777" w:rsidTr="00D50C43">
        <w:trPr>
          <w:gridAfter w:val="1"/>
          <w:wAfter w:w="353" w:type="dxa"/>
          <w:trHeight w:val="2204"/>
        </w:trPr>
        <w:tc>
          <w:tcPr>
            <w:tcW w:w="630" w:type="dxa"/>
          </w:tcPr>
          <w:p w14:paraId="13AF72CA" w14:textId="77777777" w:rsidR="005D1762" w:rsidRPr="00036F88" w:rsidRDefault="005D1762" w:rsidP="003C045B">
            <w:pPr>
              <w:jc w:val="both"/>
              <w:rPr>
                <w:rFonts w:ascii="Times New Roman" w:eastAsia="Calibri" w:hAnsi="Times New Roman" w:cs="Times New Roman"/>
                <w:sz w:val="18"/>
                <w:szCs w:val="18"/>
              </w:rPr>
            </w:pPr>
          </w:p>
        </w:tc>
        <w:tc>
          <w:tcPr>
            <w:tcW w:w="5400" w:type="dxa"/>
          </w:tcPr>
          <w:p w14:paraId="4CD3670E" w14:textId="79805BA8" w:rsidR="005D1762" w:rsidRPr="001725D0" w:rsidRDefault="002234E1" w:rsidP="00F11DDC">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3. "Reportable Seller" means any Active Seller, except an Excluded Seller, that is resident in a Member State or that has rented out immovable property located in a Member State.</w:t>
            </w:r>
          </w:p>
        </w:tc>
        <w:tc>
          <w:tcPr>
            <w:tcW w:w="540" w:type="dxa"/>
          </w:tcPr>
          <w:p w14:paraId="65255C59" w14:textId="77777777" w:rsidR="005D1762" w:rsidRPr="00036F88" w:rsidRDefault="005D1762" w:rsidP="003C045B">
            <w:pPr>
              <w:jc w:val="center"/>
              <w:rPr>
                <w:rFonts w:ascii="Times New Roman" w:eastAsia="Calibri" w:hAnsi="Times New Roman" w:cs="Times New Roman"/>
                <w:sz w:val="18"/>
                <w:szCs w:val="18"/>
                <w:highlight w:val="cyan"/>
              </w:rPr>
            </w:pPr>
          </w:p>
        </w:tc>
        <w:tc>
          <w:tcPr>
            <w:tcW w:w="720" w:type="dxa"/>
          </w:tcPr>
          <w:p w14:paraId="6554C17C" w14:textId="5BE7C787" w:rsidR="005D1762"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 xml:space="preserve">Article 2 </w:t>
            </w:r>
          </w:p>
        </w:tc>
        <w:tc>
          <w:tcPr>
            <w:tcW w:w="5040" w:type="dxa"/>
            <w:gridSpan w:val="2"/>
          </w:tcPr>
          <w:p w14:paraId="7F8F9540" w14:textId="7B7601F6" w:rsidR="005D1762" w:rsidRPr="005D1762" w:rsidRDefault="00C65C37" w:rsidP="00EF43AB">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j) "Reporting Seller" means any active seller, other than an exempt seller, who is resident for tax purposes in a a Member State, or who has rented real estate located in the territory of that Member State.</w:t>
            </w:r>
          </w:p>
        </w:tc>
        <w:tc>
          <w:tcPr>
            <w:tcW w:w="720" w:type="dxa"/>
            <w:gridSpan w:val="2"/>
          </w:tcPr>
          <w:p w14:paraId="425DA4F9" w14:textId="7F9E63BC" w:rsidR="005D1762"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1D8EAD84" w14:textId="77777777" w:rsidR="005D1762" w:rsidRPr="00080E02" w:rsidRDefault="005D1762" w:rsidP="00E16BA5">
            <w:pPr>
              <w:rPr>
                <w:rFonts w:ascii="Times New Roman" w:eastAsia="Calibri" w:hAnsi="Times New Roman" w:cs="Times New Roman"/>
                <w:sz w:val="18"/>
                <w:szCs w:val="18"/>
              </w:rPr>
            </w:pPr>
          </w:p>
        </w:tc>
      </w:tr>
      <w:tr w:rsidR="005D1762" w:rsidRPr="00036F88" w14:paraId="66FF321E" w14:textId="77777777" w:rsidTr="00D50C43">
        <w:trPr>
          <w:gridAfter w:val="1"/>
          <w:wAfter w:w="353" w:type="dxa"/>
          <w:trHeight w:val="2204"/>
        </w:trPr>
        <w:tc>
          <w:tcPr>
            <w:tcW w:w="630" w:type="dxa"/>
          </w:tcPr>
          <w:p w14:paraId="59AC9CDD" w14:textId="77777777" w:rsidR="005D1762" w:rsidRPr="00036F88" w:rsidRDefault="005D1762" w:rsidP="003C045B">
            <w:pPr>
              <w:jc w:val="both"/>
              <w:rPr>
                <w:rFonts w:ascii="Times New Roman" w:eastAsia="Calibri" w:hAnsi="Times New Roman" w:cs="Times New Roman"/>
                <w:sz w:val="18"/>
                <w:szCs w:val="18"/>
              </w:rPr>
            </w:pPr>
          </w:p>
        </w:tc>
        <w:tc>
          <w:tcPr>
            <w:tcW w:w="5400" w:type="dxa"/>
          </w:tcPr>
          <w:p w14:paraId="68C94565" w14:textId="77777777" w:rsidR="002234E1" w:rsidRPr="001725D0" w:rsidRDefault="002234E1" w:rsidP="002234E1">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4. "Excluded Seller" means any Seller (a) that is a Government Entity; (b) that is an Entity the shares of which are regularly traded on an established securities market or an Entity related to an Entity the shares of which are regularly traded on an established securities market; ENGOfficial Journal of the European Union 25.3.2021 L 104/19</w:t>
            </w:r>
          </w:p>
          <w:p w14:paraId="4E0AB4E8" w14:textId="0C78292F" w:rsidR="005D1762" w:rsidRPr="001725D0" w:rsidRDefault="002234E1" w:rsidP="002234E1">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(c) that is an Entity for which the Platform Operator has facilitated more than 2 000 Relevant Activities by means of the rental of immovable property in relation to a Listed Property during the Reporting Period; or (d) for which the Platform Operator has facilitated fewer than 30 Relevant Activities by means of the sale of Goods and for which the total amount of the Consideration paid or credited did not exceed 2 000 EUR during the Reporting Period.</w:t>
            </w:r>
          </w:p>
        </w:tc>
        <w:tc>
          <w:tcPr>
            <w:tcW w:w="540" w:type="dxa"/>
          </w:tcPr>
          <w:p w14:paraId="0BCB1455" w14:textId="77777777" w:rsidR="005D1762" w:rsidRPr="00036F88" w:rsidRDefault="005D1762" w:rsidP="003C045B">
            <w:pPr>
              <w:jc w:val="center"/>
              <w:rPr>
                <w:rFonts w:ascii="Times New Roman" w:eastAsia="Calibri" w:hAnsi="Times New Roman" w:cs="Times New Roman"/>
                <w:sz w:val="18"/>
                <w:szCs w:val="18"/>
                <w:highlight w:val="cyan"/>
              </w:rPr>
            </w:pPr>
          </w:p>
        </w:tc>
        <w:tc>
          <w:tcPr>
            <w:tcW w:w="720" w:type="dxa"/>
          </w:tcPr>
          <w:p w14:paraId="08D7B183" w14:textId="457BB3A6" w:rsidR="005D1762"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 xml:space="preserve">Article 2 </w:t>
            </w:r>
          </w:p>
        </w:tc>
        <w:tc>
          <w:tcPr>
            <w:tcW w:w="5040" w:type="dxa"/>
            <w:gridSpan w:val="2"/>
          </w:tcPr>
          <w:p w14:paraId="1C6FAC71"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k) "Excluded Seller" means a Seller that is not subject to reporting obligations under this law, including:</w:t>
            </w:r>
          </w:p>
          <w:p w14:paraId="03373336"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i. Public institutions and Public Legal Entities;</w:t>
            </w:r>
          </w:p>
          <w:p w14:paraId="77B44F05"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ii. An entity whose shares are regularly traded on a regulated securities market, or an entity affiliated with an entity whose shares are regularly traded on a regulated securities market.</w:t>
            </w:r>
          </w:p>
          <w:p w14:paraId="5B4859B2" w14:textId="77777777" w:rsidR="00C65C37" w:rsidRPr="00C65C37"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iii. Sellers who, during the reporting period, have carried out no more than 30 relevant activities through the sale of goods and for whom the total amount of consideration paid or credited has not exceeded 2000 euros;</w:t>
            </w:r>
          </w:p>
          <w:p w14:paraId="55C19DA5" w14:textId="01A5DB35" w:rsidR="005D1762" w:rsidRPr="005D1762" w:rsidRDefault="00C65C37" w:rsidP="00C65C37">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iv. sellers for whom the Platform Operator has facilitated, during the reporting period, more than 2 000 relevant activities through the lease of real estate for the same property listing.</w:t>
            </w:r>
          </w:p>
        </w:tc>
        <w:tc>
          <w:tcPr>
            <w:tcW w:w="720" w:type="dxa"/>
            <w:gridSpan w:val="2"/>
          </w:tcPr>
          <w:p w14:paraId="7FC99F79" w14:textId="6B41E4A8" w:rsidR="005D1762"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74F7F1AB" w14:textId="77777777" w:rsidR="005D1762" w:rsidRPr="00080E02" w:rsidRDefault="005D1762" w:rsidP="00E16BA5">
            <w:pPr>
              <w:rPr>
                <w:rFonts w:ascii="Times New Roman" w:eastAsia="Calibri" w:hAnsi="Times New Roman" w:cs="Times New Roman"/>
                <w:sz w:val="18"/>
                <w:szCs w:val="18"/>
              </w:rPr>
            </w:pPr>
          </w:p>
        </w:tc>
      </w:tr>
      <w:tr w:rsidR="002234E1" w:rsidRPr="00036F88" w14:paraId="498965D3" w14:textId="77777777" w:rsidTr="00D50C43">
        <w:trPr>
          <w:gridAfter w:val="1"/>
          <w:wAfter w:w="353" w:type="dxa"/>
          <w:trHeight w:val="2204"/>
        </w:trPr>
        <w:tc>
          <w:tcPr>
            <w:tcW w:w="630" w:type="dxa"/>
          </w:tcPr>
          <w:p w14:paraId="7A5DF21B" w14:textId="77777777" w:rsidR="002234E1" w:rsidRPr="00036F88" w:rsidRDefault="002234E1" w:rsidP="003C045B">
            <w:pPr>
              <w:jc w:val="both"/>
              <w:rPr>
                <w:rFonts w:ascii="Times New Roman" w:eastAsia="Calibri" w:hAnsi="Times New Roman" w:cs="Times New Roman"/>
                <w:sz w:val="18"/>
                <w:szCs w:val="18"/>
              </w:rPr>
            </w:pPr>
          </w:p>
        </w:tc>
        <w:tc>
          <w:tcPr>
            <w:tcW w:w="5400" w:type="dxa"/>
          </w:tcPr>
          <w:p w14:paraId="7209C476" w14:textId="77777777" w:rsidR="002234E1" w:rsidRPr="001725D0" w:rsidRDefault="002234E1" w:rsidP="00EF43AB">
            <w:pPr>
              <w:spacing w:line="276" w:lineRule="auto"/>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1. "Entity" means a legal person or a legal arrangement, such as a corporation, partnership, trust or foundation. An Entity is an Entity related to another Entity if one Entity controls the other Entity, or both Entities are under common control. For this purpose, control includes the direct or indirect ownership of more than 50% of the votes and value in an Entity. In indirect participation, fulfillment of the requirement for holding more than 50% of the right of ownership in the capital of the other Entity is determined by multiplying the holding rates through successive levels. A person who holds more than 50% of the voting rights is considered to hold 100%.</w:t>
            </w:r>
          </w:p>
          <w:p w14:paraId="011DEA67" w14:textId="7BC2CFF6" w:rsidR="002234E1" w:rsidRPr="001725D0" w:rsidRDefault="002234E1" w:rsidP="00EF43AB">
            <w:pPr>
              <w:spacing w:line="276" w:lineRule="auto"/>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2. "Governmental Entity" means the government of a Member State or other jurisdiction, any political subdivision of a Member State or other jurisdiction (which includes a state, province, county or municipality), or any agency or instrument wholly owned by a Member State or other jurisdiction or by one or more of the foregoing (each, a "Governmental Entity").</w:t>
            </w:r>
          </w:p>
        </w:tc>
        <w:tc>
          <w:tcPr>
            <w:tcW w:w="540" w:type="dxa"/>
          </w:tcPr>
          <w:p w14:paraId="73B616CE" w14:textId="77777777" w:rsidR="002234E1" w:rsidRPr="00036F88" w:rsidRDefault="002234E1" w:rsidP="003C045B">
            <w:pPr>
              <w:jc w:val="center"/>
              <w:rPr>
                <w:rFonts w:ascii="Times New Roman" w:eastAsia="Calibri" w:hAnsi="Times New Roman" w:cs="Times New Roman"/>
                <w:sz w:val="18"/>
                <w:szCs w:val="18"/>
                <w:highlight w:val="cyan"/>
              </w:rPr>
            </w:pPr>
          </w:p>
        </w:tc>
        <w:tc>
          <w:tcPr>
            <w:tcW w:w="720" w:type="dxa"/>
          </w:tcPr>
          <w:p w14:paraId="2B95CF2E" w14:textId="7D5168E7" w:rsidR="002234E1"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Article 2</w:t>
            </w:r>
          </w:p>
        </w:tc>
        <w:tc>
          <w:tcPr>
            <w:tcW w:w="5040" w:type="dxa"/>
            <w:gridSpan w:val="2"/>
          </w:tcPr>
          <w:p w14:paraId="2D39DDC5" w14:textId="0BD42E89" w:rsidR="002234E1" w:rsidRPr="002234E1" w:rsidRDefault="00C65C37" w:rsidP="00EF43AB">
            <w:pPr>
              <w:spacing w:line="276" w:lineRule="auto"/>
              <w:jc w:val="both"/>
              <w:rPr>
                <w:rFonts w:ascii="Times New Roman" w:hAnsi="Times New Roman" w:cs="Times New Roman"/>
                <w:sz w:val="18"/>
                <w:szCs w:val="18"/>
              </w:rPr>
            </w:pPr>
            <w:r w:rsidRPr="00C65C37">
              <w:rPr>
                <w:rFonts w:ascii="Times New Roman" w:hAnsi="Times New Roman" w:cs="Times New Roman"/>
                <w:sz w:val="18"/>
                <w:szCs w:val="18"/>
              </w:rPr>
              <w:t>l) "Entity" means any legal person, such as a corporation, trust or non-profit organization, as well as any other form of organization. An Entity is considered to be a related Entity of another Entity if one of the Entities manages the other, or if the two Entities are under common control. For this purpose, control includes direct or indirect ownership of more than 50 % of the capital or voting rights of an Entity. In indirect participation, the fulfillment of obligations for the possession of more than 50% of the ownership right of ownership in the capital of another Entity shall be determined by multiplying the participation rate by the successive percentage of participation. A person holding more than 50 %   of the voting rights shall be deemed to hold 100 %.</w:t>
            </w:r>
          </w:p>
        </w:tc>
        <w:tc>
          <w:tcPr>
            <w:tcW w:w="720" w:type="dxa"/>
            <w:gridSpan w:val="2"/>
          </w:tcPr>
          <w:p w14:paraId="1FFDA20A" w14:textId="4C95A63B" w:rsidR="002234E1"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603E1A72" w14:textId="77777777" w:rsidR="002234E1" w:rsidRPr="00080E02" w:rsidRDefault="002234E1" w:rsidP="00E16BA5">
            <w:pPr>
              <w:rPr>
                <w:rFonts w:ascii="Times New Roman" w:eastAsia="Calibri" w:hAnsi="Times New Roman" w:cs="Times New Roman"/>
                <w:sz w:val="18"/>
                <w:szCs w:val="18"/>
              </w:rPr>
            </w:pPr>
          </w:p>
        </w:tc>
      </w:tr>
      <w:tr w:rsidR="002234E1" w:rsidRPr="00036F88" w14:paraId="01FD25F3" w14:textId="77777777" w:rsidTr="00D50C43">
        <w:trPr>
          <w:gridAfter w:val="1"/>
          <w:wAfter w:w="353" w:type="dxa"/>
          <w:trHeight w:val="2204"/>
        </w:trPr>
        <w:tc>
          <w:tcPr>
            <w:tcW w:w="630" w:type="dxa"/>
          </w:tcPr>
          <w:p w14:paraId="143B87F9" w14:textId="77777777" w:rsidR="002234E1" w:rsidRPr="00036F88" w:rsidRDefault="002234E1" w:rsidP="003C045B">
            <w:pPr>
              <w:jc w:val="both"/>
              <w:rPr>
                <w:rFonts w:ascii="Times New Roman" w:eastAsia="Calibri" w:hAnsi="Times New Roman" w:cs="Times New Roman"/>
                <w:sz w:val="18"/>
                <w:szCs w:val="18"/>
              </w:rPr>
            </w:pPr>
          </w:p>
        </w:tc>
        <w:tc>
          <w:tcPr>
            <w:tcW w:w="5400" w:type="dxa"/>
          </w:tcPr>
          <w:p w14:paraId="4ADC226A" w14:textId="0DDA23DB" w:rsidR="002234E1" w:rsidRPr="001725D0" w:rsidRDefault="002234E1" w:rsidP="002234E1">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3. "NIPT" means a Taxpayer Identification Number, issued by a Member State, or a functional equivalent in the absence of a Taxpayer Identification Number.</w:t>
            </w:r>
          </w:p>
        </w:tc>
        <w:tc>
          <w:tcPr>
            <w:tcW w:w="540" w:type="dxa"/>
          </w:tcPr>
          <w:p w14:paraId="7A2116DE" w14:textId="77777777" w:rsidR="002234E1" w:rsidRPr="00036F88" w:rsidRDefault="002234E1" w:rsidP="003C045B">
            <w:pPr>
              <w:jc w:val="center"/>
              <w:rPr>
                <w:rFonts w:ascii="Times New Roman" w:eastAsia="Calibri" w:hAnsi="Times New Roman" w:cs="Times New Roman"/>
                <w:sz w:val="18"/>
                <w:szCs w:val="18"/>
                <w:highlight w:val="cyan"/>
              </w:rPr>
            </w:pPr>
          </w:p>
        </w:tc>
        <w:tc>
          <w:tcPr>
            <w:tcW w:w="720" w:type="dxa"/>
          </w:tcPr>
          <w:p w14:paraId="62774519" w14:textId="47277CB7" w:rsidR="002234E1" w:rsidRPr="001725D0" w:rsidRDefault="00EF43A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Article 2</w:t>
            </w:r>
          </w:p>
        </w:tc>
        <w:tc>
          <w:tcPr>
            <w:tcW w:w="5040" w:type="dxa"/>
            <w:gridSpan w:val="2"/>
          </w:tcPr>
          <w:p w14:paraId="14A2B311" w14:textId="53994BA2" w:rsidR="002234E1" w:rsidRPr="002234E1" w:rsidRDefault="00C65C37" w:rsidP="002234E1">
            <w:pPr>
              <w:jc w:val="both"/>
              <w:rPr>
                <w:rFonts w:ascii="Times New Roman" w:hAnsi="Times New Roman" w:cs="Times New Roman"/>
                <w:sz w:val="18"/>
                <w:szCs w:val="18"/>
              </w:rPr>
            </w:pPr>
            <w:r w:rsidRPr="00C65C37">
              <w:rPr>
                <w:rFonts w:ascii="Times New Roman" w:hAnsi="Times New Roman" w:cs="Times New Roman"/>
                <w:sz w:val="18"/>
                <w:szCs w:val="18"/>
              </w:rPr>
              <w:t>n) “TIN” Tax Identification Number of the  taxable person means the unique number given by the competent authority to identify the taxpayer.</w:t>
            </w:r>
          </w:p>
        </w:tc>
        <w:tc>
          <w:tcPr>
            <w:tcW w:w="720" w:type="dxa"/>
            <w:gridSpan w:val="2"/>
          </w:tcPr>
          <w:p w14:paraId="40BC44A1" w14:textId="747832C0" w:rsidR="002234E1"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11A1A9D6" w14:textId="77777777" w:rsidR="002234E1" w:rsidRPr="00080E02" w:rsidRDefault="002234E1" w:rsidP="00E16BA5">
            <w:pPr>
              <w:rPr>
                <w:rFonts w:ascii="Times New Roman" w:eastAsia="Calibri" w:hAnsi="Times New Roman" w:cs="Times New Roman"/>
                <w:sz w:val="18"/>
                <w:szCs w:val="18"/>
              </w:rPr>
            </w:pPr>
          </w:p>
        </w:tc>
      </w:tr>
      <w:tr w:rsidR="002234E1" w:rsidRPr="00036F88" w14:paraId="539C53C5" w14:textId="77777777" w:rsidTr="00D50C43">
        <w:trPr>
          <w:gridAfter w:val="1"/>
          <w:wAfter w:w="353" w:type="dxa"/>
          <w:trHeight w:val="2204"/>
        </w:trPr>
        <w:tc>
          <w:tcPr>
            <w:tcW w:w="630" w:type="dxa"/>
          </w:tcPr>
          <w:p w14:paraId="40D00D0D" w14:textId="77777777" w:rsidR="002234E1" w:rsidRPr="00036F88" w:rsidRDefault="002234E1" w:rsidP="003C045B">
            <w:pPr>
              <w:jc w:val="both"/>
              <w:rPr>
                <w:rFonts w:ascii="Times New Roman" w:eastAsia="Calibri" w:hAnsi="Times New Roman" w:cs="Times New Roman"/>
                <w:sz w:val="18"/>
                <w:szCs w:val="18"/>
              </w:rPr>
            </w:pPr>
          </w:p>
        </w:tc>
        <w:tc>
          <w:tcPr>
            <w:tcW w:w="5400" w:type="dxa"/>
          </w:tcPr>
          <w:p w14:paraId="089185CA" w14:textId="69C742EF" w:rsidR="002234E1" w:rsidRPr="001725D0" w:rsidRDefault="002234E1" w:rsidP="002234E1">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2. "Government Entity" means the government of a Member State or other jurisdiction, any political subdivision of a Member State or other jurisdiction (which includes a state, province, county or municipality), or any agency or instrument wholly owned by a Member State or other jurisdiction or by one or more of the foregoing (each, a "Government Entity").</w:t>
            </w:r>
          </w:p>
        </w:tc>
        <w:tc>
          <w:tcPr>
            <w:tcW w:w="540" w:type="dxa"/>
          </w:tcPr>
          <w:p w14:paraId="51C65698" w14:textId="77777777" w:rsidR="002234E1" w:rsidRPr="00036F88" w:rsidRDefault="002234E1" w:rsidP="003C045B">
            <w:pPr>
              <w:jc w:val="center"/>
              <w:rPr>
                <w:rFonts w:ascii="Times New Roman" w:eastAsia="Calibri" w:hAnsi="Times New Roman" w:cs="Times New Roman"/>
                <w:sz w:val="18"/>
                <w:szCs w:val="18"/>
                <w:highlight w:val="cyan"/>
              </w:rPr>
            </w:pPr>
          </w:p>
        </w:tc>
        <w:tc>
          <w:tcPr>
            <w:tcW w:w="720" w:type="dxa"/>
          </w:tcPr>
          <w:p w14:paraId="40F4F89C" w14:textId="3CAE56BF" w:rsidR="002234E1" w:rsidRPr="001725D0" w:rsidRDefault="009A64FF"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Article 2</w:t>
            </w:r>
          </w:p>
        </w:tc>
        <w:tc>
          <w:tcPr>
            <w:tcW w:w="5040" w:type="dxa"/>
            <w:gridSpan w:val="2"/>
          </w:tcPr>
          <w:p w14:paraId="10F24806" w14:textId="03739141" w:rsidR="002234E1" w:rsidRPr="002234E1" w:rsidRDefault="00C65C37" w:rsidP="002234E1">
            <w:pPr>
              <w:jc w:val="both"/>
              <w:rPr>
                <w:rFonts w:ascii="Times New Roman" w:hAnsi="Times New Roman" w:cs="Times New Roman"/>
                <w:sz w:val="18"/>
                <w:szCs w:val="18"/>
              </w:rPr>
            </w:pPr>
            <w:r w:rsidRPr="00C65C37">
              <w:rPr>
                <w:rFonts w:ascii="Times New Roman" w:hAnsi="Times New Roman" w:cs="Times New Roman"/>
                <w:sz w:val="18"/>
                <w:szCs w:val="18"/>
              </w:rPr>
              <w:t>ll) Public entity means any body of the central or local state administration, including public institutions, agencies and legal entities, that are owned or under full control of the state.</w:t>
            </w:r>
          </w:p>
        </w:tc>
        <w:tc>
          <w:tcPr>
            <w:tcW w:w="720" w:type="dxa"/>
            <w:gridSpan w:val="2"/>
          </w:tcPr>
          <w:p w14:paraId="39C1CF5E" w14:textId="5C74C37E" w:rsidR="002234E1"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5B3D2409" w14:textId="77777777" w:rsidR="002234E1" w:rsidRPr="00080E02" w:rsidRDefault="002234E1" w:rsidP="00E16BA5">
            <w:pPr>
              <w:rPr>
                <w:rFonts w:ascii="Times New Roman" w:eastAsia="Calibri" w:hAnsi="Times New Roman" w:cs="Times New Roman"/>
                <w:sz w:val="18"/>
                <w:szCs w:val="18"/>
              </w:rPr>
            </w:pPr>
          </w:p>
        </w:tc>
      </w:tr>
      <w:tr w:rsidR="002234E1" w:rsidRPr="00036F88" w14:paraId="6525AF8F" w14:textId="77777777" w:rsidTr="00D50C43">
        <w:trPr>
          <w:gridAfter w:val="1"/>
          <w:wAfter w:w="353" w:type="dxa"/>
          <w:trHeight w:val="2204"/>
        </w:trPr>
        <w:tc>
          <w:tcPr>
            <w:tcW w:w="630" w:type="dxa"/>
          </w:tcPr>
          <w:p w14:paraId="1162D0DF" w14:textId="77777777" w:rsidR="002234E1" w:rsidRPr="00036F88" w:rsidRDefault="002234E1" w:rsidP="003C045B">
            <w:pPr>
              <w:jc w:val="both"/>
              <w:rPr>
                <w:rFonts w:ascii="Times New Roman" w:eastAsia="Calibri" w:hAnsi="Times New Roman" w:cs="Times New Roman"/>
                <w:sz w:val="18"/>
                <w:szCs w:val="18"/>
              </w:rPr>
            </w:pPr>
          </w:p>
        </w:tc>
        <w:tc>
          <w:tcPr>
            <w:tcW w:w="5400" w:type="dxa"/>
          </w:tcPr>
          <w:p w14:paraId="16F3A9B2" w14:textId="3E15B3CD" w:rsidR="002234E1" w:rsidRPr="001725D0" w:rsidRDefault="002234E1" w:rsidP="002234E1">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4. "VAT identification number" means the unique number that identifies a taxable person or a non-taxable legal person that is registered for value added tax purposes.</w:t>
            </w:r>
          </w:p>
        </w:tc>
        <w:tc>
          <w:tcPr>
            <w:tcW w:w="540" w:type="dxa"/>
          </w:tcPr>
          <w:p w14:paraId="1CC1CB5C" w14:textId="77777777" w:rsidR="002234E1" w:rsidRPr="00036F88" w:rsidRDefault="002234E1" w:rsidP="003C045B">
            <w:pPr>
              <w:jc w:val="center"/>
              <w:rPr>
                <w:rFonts w:ascii="Times New Roman" w:eastAsia="Calibri" w:hAnsi="Times New Roman" w:cs="Times New Roman"/>
                <w:sz w:val="18"/>
                <w:szCs w:val="18"/>
                <w:highlight w:val="cyan"/>
              </w:rPr>
            </w:pPr>
          </w:p>
        </w:tc>
        <w:tc>
          <w:tcPr>
            <w:tcW w:w="720" w:type="dxa"/>
          </w:tcPr>
          <w:p w14:paraId="51A35D04" w14:textId="61E0A9F1" w:rsidR="002234E1" w:rsidRPr="001725D0" w:rsidRDefault="009A64FF"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Article 2</w:t>
            </w:r>
          </w:p>
        </w:tc>
        <w:tc>
          <w:tcPr>
            <w:tcW w:w="5040" w:type="dxa"/>
            <w:gridSpan w:val="2"/>
          </w:tcPr>
          <w:p w14:paraId="03343F12" w14:textId="25C5FAF8" w:rsidR="002234E1" w:rsidRPr="002234E1" w:rsidRDefault="00C65C37" w:rsidP="002234E1">
            <w:pPr>
              <w:jc w:val="both"/>
              <w:rPr>
                <w:rFonts w:ascii="Times New Roman" w:hAnsi="Times New Roman" w:cs="Times New Roman"/>
                <w:sz w:val="18"/>
                <w:szCs w:val="18"/>
              </w:rPr>
            </w:pPr>
            <w:r w:rsidRPr="00C65C37">
              <w:rPr>
                <w:rFonts w:ascii="Times New Roman" w:hAnsi="Times New Roman" w:cs="Times New Roman"/>
                <w:sz w:val="18"/>
                <w:szCs w:val="18"/>
              </w:rPr>
              <w:t>nj) “VAT identification number” means the unique identification number for value added tax purposes.</w:t>
            </w:r>
          </w:p>
        </w:tc>
        <w:tc>
          <w:tcPr>
            <w:tcW w:w="720" w:type="dxa"/>
            <w:gridSpan w:val="2"/>
          </w:tcPr>
          <w:p w14:paraId="06643623" w14:textId="4A2041D8" w:rsidR="002234E1"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4D7D90B8" w14:textId="77777777" w:rsidR="002234E1" w:rsidRPr="00080E02" w:rsidRDefault="002234E1" w:rsidP="00E16BA5">
            <w:pPr>
              <w:rPr>
                <w:rFonts w:ascii="Times New Roman" w:eastAsia="Calibri" w:hAnsi="Times New Roman" w:cs="Times New Roman"/>
                <w:sz w:val="18"/>
                <w:szCs w:val="18"/>
              </w:rPr>
            </w:pPr>
          </w:p>
        </w:tc>
      </w:tr>
      <w:tr w:rsidR="002234E1" w:rsidRPr="00036F88" w14:paraId="33046966" w14:textId="77777777" w:rsidTr="00D50C43">
        <w:trPr>
          <w:gridAfter w:val="1"/>
          <w:wAfter w:w="353" w:type="dxa"/>
          <w:trHeight w:val="2204"/>
        </w:trPr>
        <w:tc>
          <w:tcPr>
            <w:tcW w:w="630" w:type="dxa"/>
          </w:tcPr>
          <w:p w14:paraId="05EB081C" w14:textId="77777777" w:rsidR="002234E1" w:rsidRPr="00036F88" w:rsidRDefault="002234E1" w:rsidP="003C045B">
            <w:pPr>
              <w:jc w:val="both"/>
              <w:rPr>
                <w:rFonts w:ascii="Times New Roman" w:eastAsia="Calibri" w:hAnsi="Times New Roman" w:cs="Times New Roman"/>
                <w:sz w:val="18"/>
                <w:szCs w:val="18"/>
              </w:rPr>
            </w:pPr>
          </w:p>
        </w:tc>
        <w:tc>
          <w:tcPr>
            <w:tcW w:w="5400" w:type="dxa"/>
          </w:tcPr>
          <w:p w14:paraId="24A2C7A8" w14:textId="6724FB1F" w:rsidR="002234E1" w:rsidRPr="001725D0" w:rsidRDefault="002234E1" w:rsidP="002234E1">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5. "Main Address" means the address that is the principal residence of a Seller who is an individual, as well as the address that is the registered office of a Seller who is an Entity.</w:t>
            </w:r>
          </w:p>
        </w:tc>
        <w:tc>
          <w:tcPr>
            <w:tcW w:w="540" w:type="dxa"/>
          </w:tcPr>
          <w:p w14:paraId="13D23553" w14:textId="77777777" w:rsidR="002234E1" w:rsidRPr="00036F88" w:rsidRDefault="002234E1" w:rsidP="003C045B">
            <w:pPr>
              <w:jc w:val="center"/>
              <w:rPr>
                <w:rFonts w:ascii="Times New Roman" w:eastAsia="Calibri" w:hAnsi="Times New Roman" w:cs="Times New Roman"/>
                <w:sz w:val="18"/>
                <w:szCs w:val="18"/>
                <w:highlight w:val="cyan"/>
              </w:rPr>
            </w:pPr>
          </w:p>
        </w:tc>
        <w:tc>
          <w:tcPr>
            <w:tcW w:w="720" w:type="dxa"/>
          </w:tcPr>
          <w:p w14:paraId="02547AF6" w14:textId="77108A2F" w:rsidR="002234E1" w:rsidRPr="001725D0" w:rsidRDefault="008C3267"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**Article 2**</w:t>
            </w:r>
          </w:p>
        </w:tc>
        <w:tc>
          <w:tcPr>
            <w:tcW w:w="5040" w:type="dxa"/>
            <w:gridSpan w:val="2"/>
          </w:tcPr>
          <w:p w14:paraId="7DFDDF9E" w14:textId="617F6F4B" w:rsidR="002234E1" w:rsidRPr="002234E1" w:rsidRDefault="00C65C37" w:rsidP="002234E1">
            <w:pPr>
              <w:jc w:val="both"/>
              <w:rPr>
                <w:rFonts w:ascii="Times New Roman" w:hAnsi="Times New Roman" w:cs="Times New Roman"/>
                <w:sz w:val="18"/>
                <w:szCs w:val="18"/>
              </w:rPr>
            </w:pPr>
            <w:r w:rsidRPr="00C65C37">
              <w:rPr>
                <w:rFonts w:ascii="Times New Roman" w:hAnsi="Times New Roman" w:cs="Times New Roman"/>
                <w:sz w:val="18"/>
                <w:szCs w:val="18"/>
              </w:rPr>
              <w:t>o) “Primary address” means the residential address for sellers who are individuals or the registered office address for sellers who are legal entities.</w:t>
            </w:r>
          </w:p>
        </w:tc>
        <w:tc>
          <w:tcPr>
            <w:tcW w:w="720" w:type="dxa"/>
            <w:gridSpan w:val="2"/>
          </w:tcPr>
          <w:p w14:paraId="0F78AFB5" w14:textId="3E6D9B9A" w:rsidR="002234E1"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23F96E2D" w14:textId="77777777" w:rsidR="002234E1" w:rsidRPr="00080E02" w:rsidRDefault="002234E1" w:rsidP="00E16BA5">
            <w:pPr>
              <w:rPr>
                <w:rFonts w:ascii="Times New Roman" w:eastAsia="Calibri" w:hAnsi="Times New Roman" w:cs="Times New Roman"/>
                <w:sz w:val="18"/>
                <w:szCs w:val="18"/>
              </w:rPr>
            </w:pPr>
          </w:p>
        </w:tc>
      </w:tr>
      <w:tr w:rsidR="002234E1" w:rsidRPr="00036F88" w14:paraId="22AC2B2D" w14:textId="77777777" w:rsidTr="00D50C43">
        <w:trPr>
          <w:gridAfter w:val="1"/>
          <w:wAfter w:w="353" w:type="dxa"/>
          <w:trHeight w:val="2204"/>
        </w:trPr>
        <w:tc>
          <w:tcPr>
            <w:tcW w:w="630" w:type="dxa"/>
          </w:tcPr>
          <w:p w14:paraId="7BEA283A" w14:textId="77777777" w:rsidR="002234E1" w:rsidRPr="00036F88" w:rsidRDefault="002234E1" w:rsidP="003C045B">
            <w:pPr>
              <w:jc w:val="both"/>
              <w:rPr>
                <w:rFonts w:ascii="Times New Roman" w:eastAsia="Calibri" w:hAnsi="Times New Roman" w:cs="Times New Roman"/>
                <w:sz w:val="18"/>
                <w:szCs w:val="18"/>
              </w:rPr>
            </w:pPr>
          </w:p>
        </w:tc>
        <w:tc>
          <w:tcPr>
            <w:tcW w:w="5400" w:type="dxa"/>
          </w:tcPr>
          <w:p w14:paraId="61162C4F" w14:textId="6F9B8D43" w:rsidR="002234E1" w:rsidRPr="001725D0" w:rsidRDefault="002234E1" w:rsidP="002234E1">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6. "Reportable Period" means the calendar year in relation to which reporting is being carried out in accordance with Section III.</w:t>
            </w:r>
          </w:p>
        </w:tc>
        <w:tc>
          <w:tcPr>
            <w:tcW w:w="540" w:type="dxa"/>
          </w:tcPr>
          <w:p w14:paraId="2AAEBAA0" w14:textId="77777777" w:rsidR="002234E1" w:rsidRPr="00036F88" w:rsidRDefault="002234E1" w:rsidP="003C045B">
            <w:pPr>
              <w:jc w:val="center"/>
              <w:rPr>
                <w:rFonts w:ascii="Times New Roman" w:eastAsia="Calibri" w:hAnsi="Times New Roman" w:cs="Times New Roman"/>
                <w:sz w:val="18"/>
                <w:szCs w:val="18"/>
                <w:highlight w:val="cyan"/>
              </w:rPr>
            </w:pPr>
          </w:p>
        </w:tc>
        <w:tc>
          <w:tcPr>
            <w:tcW w:w="720" w:type="dxa"/>
          </w:tcPr>
          <w:p w14:paraId="0C3A637F" w14:textId="34D72CF2" w:rsidR="002234E1" w:rsidRPr="001725D0" w:rsidRDefault="009A64FF"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Article 2</w:t>
            </w:r>
          </w:p>
        </w:tc>
        <w:tc>
          <w:tcPr>
            <w:tcW w:w="5040" w:type="dxa"/>
            <w:gridSpan w:val="2"/>
          </w:tcPr>
          <w:p w14:paraId="3707AAAC" w14:textId="70AD08D5" w:rsidR="002234E1" w:rsidRPr="002234E1" w:rsidRDefault="00C65C37" w:rsidP="002234E1">
            <w:pPr>
              <w:jc w:val="both"/>
              <w:rPr>
                <w:rFonts w:ascii="Times New Roman" w:hAnsi="Times New Roman" w:cs="Times New Roman"/>
                <w:sz w:val="18"/>
                <w:szCs w:val="18"/>
              </w:rPr>
            </w:pPr>
            <w:r w:rsidRPr="00C65C37">
              <w:rPr>
                <w:rFonts w:ascii="Times New Roman" w:hAnsi="Times New Roman" w:cs="Times New Roman"/>
                <w:sz w:val="18"/>
                <w:szCs w:val="18"/>
              </w:rPr>
              <w:t>p) “Reporting period” means the calendar year for which the platform operator is obliged to collect and report data on reporting sellers.</w:t>
            </w:r>
          </w:p>
        </w:tc>
        <w:tc>
          <w:tcPr>
            <w:tcW w:w="720" w:type="dxa"/>
            <w:gridSpan w:val="2"/>
          </w:tcPr>
          <w:p w14:paraId="3C2B506B" w14:textId="0C22BF30" w:rsidR="002234E1"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64B8DABB" w14:textId="77777777" w:rsidR="002234E1" w:rsidRPr="00080E02" w:rsidRDefault="002234E1" w:rsidP="00E16BA5">
            <w:pPr>
              <w:rPr>
                <w:rFonts w:ascii="Times New Roman" w:eastAsia="Calibri" w:hAnsi="Times New Roman" w:cs="Times New Roman"/>
                <w:sz w:val="18"/>
                <w:szCs w:val="18"/>
              </w:rPr>
            </w:pPr>
          </w:p>
        </w:tc>
      </w:tr>
      <w:tr w:rsidR="002234E1" w:rsidRPr="00036F88" w14:paraId="0ABE86D3" w14:textId="77777777" w:rsidTr="00D50C43">
        <w:trPr>
          <w:gridAfter w:val="1"/>
          <w:wAfter w:w="353" w:type="dxa"/>
          <w:trHeight w:val="2204"/>
        </w:trPr>
        <w:tc>
          <w:tcPr>
            <w:tcW w:w="630" w:type="dxa"/>
          </w:tcPr>
          <w:p w14:paraId="561B4F69" w14:textId="77777777" w:rsidR="002234E1" w:rsidRPr="00036F88" w:rsidRDefault="002234E1" w:rsidP="003C045B">
            <w:pPr>
              <w:jc w:val="both"/>
              <w:rPr>
                <w:rFonts w:ascii="Times New Roman" w:eastAsia="Calibri" w:hAnsi="Times New Roman" w:cs="Times New Roman"/>
                <w:sz w:val="18"/>
                <w:szCs w:val="18"/>
              </w:rPr>
            </w:pPr>
          </w:p>
        </w:tc>
        <w:tc>
          <w:tcPr>
            <w:tcW w:w="5400" w:type="dxa"/>
          </w:tcPr>
          <w:p w14:paraId="70C25784" w14:textId="7A054AA2" w:rsidR="002234E1" w:rsidRPr="001725D0" w:rsidRDefault="002234E1" w:rsidP="002234E1">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7. "Property List" means all units of immovable property located at the same street address, owned by the same owner and offered for rent on a Platform by the same Seller.</w:t>
            </w:r>
          </w:p>
        </w:tc>
        <w:tc>
          <w:tcPr>
            <w:tcW w:w="540" w:type="dxa"/>
          </w:tcPr>
          <w:p w14:paraId="6AA46421" w14:textId="77777777" w:rsidR="002234E1" w:rsidRPr="00036F88" w:rsidRDefault="002234E1" w:rsidP="003C045B">
            <w:pPr>
              <w:jc w:val="center"/>
              <w:rPr>
                <w:rFonts w:ascii="Times New Roman" w:eastAsia="Calibri" w:hAnsi="Times New Roman" w:cs="Times New Roman"/>
                <w:sz w:val="18"/>
                <w:szCs w:val="18"/>
                <w:highlight w:val="cyan"/>
              </w:rPr>
            </w:pPr>
          </w:p>
        </w:tc>
        <w:tc>
          <w:tcPr>
            <w:tcW w:w="720" w:type="dxa"/>
          </w:tcPr>
          <w:p w14:paraId="3FA22586" w14:textId="08DFA9E4" w:rsidR="002234E1" w:rsidRPr="001725D0" w:rsidRDefault="009A64FF"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Article2</w:t>
            </w:r>
          </w:p>
        </w:tc>
        <w:tc>
          <w:tcPr>
            <w:tcW w:w="5040" w:type="dxa"/>
            <w:gridSpan w:val="2"/>
          </w:tcPr>
          <w:p w14:paraId="4A864FDC" w14:textId="0AE742B9" w:rsidR="002234E1" w:rsidRPr="002234E1" w:rsidRDefault="00C65C37" w:rsidP="002234E1">
            <w:pPr>
              <w:jc w:val="both"/>
              <w:rPr>
                <w:rFonts w:ascii="Times New Roman" w:hAnsi="Times New Roman" w:cs="Times New Roman"/>
                <w:sz w:val="18"/>
                <w:szCs w:val="18"/>
              </w:rPr>
            </w:pPr>
            <w:r w:rsidRPr="00C65C37">
              <w:rPr>
                <w:rFonts w:ascii="Times New Roman" w:hAnsi="Times New Roman" w:cs="Times New Roman"/>
                <w:sz w:val="18"/>
                <w:szCs w:val="18"/>
              </w:rPr>
              <w:t>q) “Listed Property” means all real estate units at the same address, owned by the same owner and offered for rent on the platform by the same seller.</w:t>
            </w:r>
          </w:p>
        </w:tc>
        <w:tc>
          <w:tcPr>
            <w:tcW w:w="720" w:type="dxa"/>
            <w:gridSpan w:val="2"/>
          </w:tcPr>
          <w:p w14:paraId="1DB27E05" w14:textId="475DAC1D" w:rsidR="002234E1"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63994A26" w14:textId="77777777" w:rsidR="002234E1" w:rsidRPr="00080E02" w:rsidRDefault="002234E1" w:rsidP="00E16BA5">
            <w:pPr>
              <w:rPr>
                <w:rFonts w:ascii="Times New Roman" w:eastAsia="Calibri" w:hAnsi="Times New Roman" w:cs="Times New Roman"/>
                <w:sz w:val="18"/>
                <w:szCs w:val="18"/>
              </w:rPr>
            </w:pPr>
          </w:p>
        </w:tc>
      </w:tr>
      <w:tr w:rsidR="002234E1" w:rsidRPr="00036F88" w14:paraId="75503625" w14:textId="77777777" w:rsidTr="00D50C43">
        <w:trPr>
          <w:gridAfter w:val="1"/>
          <w:wAfter w:w="353" w:type="dxa"/>
          <w:trHeight w:val="2204"/>
        </w:trPr>
        <w:tc>
          <w:tcPr>
            <w:tcW w:w="630" w:type="dxa"/>
          </w:tcPr>
          <w:p w14:paraId="2B7EA4F4" w14:textId="77777777" w:rsidR="002234E1" w:rsidRPr="00036F88" w:rsidRDefault="002234E1" w:rsidP="003C045B">
            <w:pPr>
              <w:jc w:val="both"/>
              <w:rPr>
                <w:rFonts w:ascii="Times New Roman" w:eastAsia="Calibri" w:hAnsi="Times New Roman" w:cs="Times New Roman"/>
                <w:sz w:val="18"/>
                <w:szCs w:val="18"/>
              </w:rPr>
            </w:pPr>
          </w:p>
        </w:tc>
        <w:tc>
          <w:tcPr>
            <w:tcW w:w="5400" w:type="dxa"/>
          </w:tcPr>
          <w:p w14:paraId="348AF0D8" w14:textId="3D9B827E" w:rsidR="002234E1" w:rsidRPr="001725D0" w:rsidRDefault="002234E1" w:rsidP="002234E1">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8. "Financial Account Identifier" means the unique identifying number or reference available to the Platform Operator of the bank account or another similar payment services account to which the Consideration is paid or credited.</w:t>
            </w:r>
          </w:p>
        </w:tc>
        <w:tc>
          <w:tcPr>
            <w:tcW w:w="540" w:type="dxa"/>
          </w:tcPr>
          <w:p w14:paraId="51465DE4" w14:textId="77777777" w:rsidR="002234E1" w:rsidRPr="00036F88" w:rsidRDefault="002234E1" w:rsidP="003C045B">
            <w:pPr>
              <w:jc w:val="center"/>
              <w:rPr>
                <w:rFonts w:ascii="Times New Roman" w:eastAsia="Calibri" w:hAnsi="Times New Roman" w:cs="Times New Roman"/>
                <w:sz w:val="18"/>
                <w:szCs w:val="18"/>
                <w:highlight w:val="cyan"/>
              </w:rPr>
            </w:pPr>
          </w:p>
        </w:tc>
        <w:tc>
          <w:tcPr>
            <w:tcW w:w="720" w:type="dxa"/>
          </w:tcPr>
          <w:p w14:paraId="138CE25A" w14:textId="1AFDD6A0" w:rsidR="002234E1" w:rsidRPr="001725D0" w:rsidRDefault="009A64FF"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Article 2</w:t>
            </w:r>
          </w:p>
        </w:tc>
        <w:tc>
          <w:tcPr>
            <w:tcW w:w="5040" w:type="dxa"/>
            <w:gridSpan w:val="2"/>
          </w:tcPr>
          <w:p w14:paraId="1ED4471A" w14:textId="76E73CAA" w:rsidR="002234E1" w:rsidRPr="002234E1" w:rsidRDefault="00C65C37" w:rsidP="002234E1">
            <w:pPr>
              <w:jc w:val="both"/>
              <w:rPr>
                <w:rFonts w:ascii="Times New Roman" w:hAnsi="Times New Roman" w:cs="Times New Roman"/>
                <w:sz w:val="18"/>
                <w:szCs w:val="18"/>
              </w:rPr>
            </w:pPr>
            <w:r w:rsidRPr="00C65C37">
              <w:rPr>
                <w:rFonts w:ascii="Times New Roman" w:hAnsi="Times New Roman" w:cs="Times New Roman"/>
                <w:sz w:val="18"/>
                <w:szCs w:val="18"/>
              </w:rPr>
              <w:t>r) "Financial Account Identifier" means the unique identification number or reference made available to the Platform Operator for the bank account or other similar payment services account to which the reward is paid or credited.</w:t>
            </w:r>
          </w:p>
        </w:tc>
        <w:tc>
          <w:tcPr>
            <w:tcW w:w="720" w:type="dxa"/>
            <w:gridSpan w:val="2"/>
          </w:tcPr>
          <w:p w14:paraId="50B870F5" w14:textId="2A979732" w:rsidR="002234E1"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4ED24FE7" w14:textId="77777777" w:rsidR="002234E1" w:rsidRPr="00080E02" w:rsidRDefault="002234E1" w:rsidP="00E16BA5">
            <w:pPr>
              <w:rPr>
                <w:rFonts w:ascii="Times New Roman" w:eastAsia="Calibri" w:hAnsi="Times New Roman" w:cs="Times New Roman"/>
                <w:sz w:val="18"/>
                <w:szCs w:val="18"/>
              </w:rPr>
            </w:pPr>
          </w:p>
        </w:tc>
      </w:tr>
      <w:tr w:rsidR="002234E1" w:rsidRPr="00036F88" w14:paraId="4F6DAE32" w14:textId="77777777" w:rsidTr="00D50C43">
        <w:trPr>
          <w:gridAfter w:val="1"/>
          <w:wAfter w:w="353" w:type="dxa"/>
          <w:trHeight w:val="2204"/>
        </w:trPr>
        <w:tc>
          <w:tcPr>
            <w:tcW w:w="630" w:type="dxa"/>
          </w:tcPr>
          <w:p w14:paraId="224D4A03" w14:textId="77777777" w:rsidR="002234E1" w:rsidRPr="00036F88" w:rsidRDefault="002234E1" w:rsidP="003C045B">
            <w:pPr>
              <w:jc w:val="both"/>
              <w:rPr>
                <w:rFonts w:ascii="Times New Roman" w:eastAsia="Calibri" w:hAnsi="Times New Roman" w:cs="Times New Roman"/>
                <w:sz w:val="18"/>
                <w:szCs w:val="18"/>
              </w:rPr>
            </w:pPr>
          </w:p>
        </w:tc>
        <w:tc>
          <w:tcPr>
            <w:tcW w:w="5400" w:type="dxa"/>
          </w:tcPr>
          <w:p w14:paraId="0A1D2784" w14:textId="656F0C75" w:rsidR="002234E1" w:rsidRPr="001725D0" w:rsidRDefault="002234E1" w:rsidP="002234E1">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9. "Goods" shall mean any tangible property.</w:t>
            </w:r>
          </w:p>
        </w:tc>
        <w:tc>
          <w:tcPr>
            <w:tcW w:w="540" w:type="dxa"/>
          </w:tcPr>
          <w:p w14:paraId="1B819EF0" w14:textId="77777777" w:rsidR="002234E1" w:rsidRPr="00036F88" w:rsidRDefault="002234E1" w:rsidP="003C045B">
            <w:pPr>
              <w:jc w:val="center"/>
              <w:rPr>
                <w:rFonts w:ascii="Times New Roman" w:eastAsia="Calibri" w:hAnsi="Times New Roman" w:cs="Times New Roman"/>
                <w:sz w:val="18"/>
                <w:szCs w:val="18"/>
                <w:highlight w:val="cyan"/>
              </w:rPr>
            </w:pPr>
          </w:p>
        </w:tc>
        <w:tc>
          <w:tcPr>
            <w:tcW w:w="720" w:type="dxa"/>
          </w:tcPr>
          <w:p w14:paraId="56BB2890" w14:textId="57BEEE4E" w:rsidR="002234E1" w:rsidRPr="001725D0" w:rsidRDefault="009A64FF"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Article 2</w:t>
            </w:r>
          </w:p>
        </w:tc>
        <w:tc>
          <w:tcPr>
            <w:tcW w:w="5040" w:type="dxa"/>
            <w:gridSpan w:val="2"/>
          </w:tcPr>
          <w:p w14:paraId="6510122C" w14:textId="1D255507" w:rsidR="002234E1" w:rsidRPr="002234E1" w:rsidRDefault="005331A6" w:rsidP="002234E1">
            <w:pPr>
              <w:jc w:val="both"/>
              <w:rPr>
                <w:rFonts w:ascii="Times New Roman" w:hAnsi="Times New Roman" w:cs="Times New Roman"/>
                <w:sz w:val="18"/>
                <w:szCs w:val="18"/>
              </w:rPr>
            </w:pPr>
            <w:r>
              <w:rPr>
                <w:rFonts w:ascii="Times New Roman" w:hAnsi="Times New Roman" w:cs="Times New Roman"/>
                <w:sz w:val="18"/>
                <w:szCs w:val="18"/>
              </w:rPr>
              <w:t xml:space="preserve">rr) "Goods" </w:t>
            </w:r>
            <w:r w:rsidR="00C65C37" w:rsidRPr="00C65C37">
              <w:rPr>
                <w:rFonts w:ascii="Times New Roman" w:hAnsi="Times New Roman" w:cs="Times New Roman"/>
                <w:sz w:val="18"/>
                <w:szCs w:val="18"/>
              </w:rPr>
              <w:t>are any material asset.</w:t>
            </w:r>
          </w:p>
        </w:tc>
        <w:tc>
          <w:tcPr>
            <w:tcW w:w="720" w:type="dxa"/>
            <w:gridSpan w:val="2"/>
          </w:tcPr>
          <w:p w14:paraId="34961779" w14:textId="442A3962" w:rsidR="002234E1"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7D0F4F99" w14:textId="77777777" w:rsidR="002234E1" w:rsidRPr="00080E02" w:rsidRDefault="002234E1" w:rsidP="00E16BA5">
            <w:pPr>
              <w:rPr>
                <w:rFonts w:ascii="Times New Roman" w:eastAsia="Calibri" w:hAnsi="Times New Roman" w:cs="Times New Roman"/>
                <w:sz w:val="18"/>
                <w:szCs w:val="18"/>
              </w:rPr>
            </w:pPr>
          </w:p>
        </w:tc>
      </w:tr>
      <w:tr w:rsidR="00714583" w:rsidRPr="00036F88" w14:paraId="62F1DDB0" w14:textId="77777777" w:rsidTr="00D50C43">
        <w:trPr>
          <w:gridAfter w:val="1"/>
          <w:wAfter w:w="353" w:type="dxa"/>
          <w:trHeight w:val="2204"/>
        </w:trPr>
        <w:tc>
          <w:tcPr>
            <w:tcW w:w="630" w:type="dxa"/>
          </w:tcPr>
          <w:p w14:paraId="079257D1" w14:textId="77777777" w:rsidR="00714583" w:rsidRPr="00036F88" w:rsidRDefault="00714583" w:rsidP="003C045B">
            <w:pPr>
              <w:jc w:val="both"/>
              <w:rPr>
                <w:rFonts w:ascii="Times New Roman" w:eastAsia="Calibri" w:hAnsi="Times New Roman" w:cs="Times New Roman"/>
                <w:sz w:val="18"/>
                <w:szCs w:val="18"/>
              </w:rPr>
            </w:pPr>
          </w:p>
        </w:tc>
        <w:tc>
          <w:tcPr>
            <w:tcW w:w="5400" w:type="dxa"/>
          </w:tcPr>
          <w:p w14:paraId="3FA32187" w14:textId="77777777" w:rsidR="00A20927" w:rsidRPr="001725D0" w:rsidRDefault="00A20927" w:rsidP="00A20927">
            <w:pPr>
              <w:jc w:val="center"/>
              <w:rPr>
                <w:rFonts w:ascii="Times New Roman" w:eastAsia="Calibri" w:hAnsi="Times New Roman" w:cs="Times New Roman"/>
                <w:iCs/>
                <w:sz w:val="18"/>
                <w:szCs w:val="18"/>
                <w:lang w:val="en-US"/>
              </w:rPr>
            </w:pPr>
          </w:p>
          <w:p w14:paraId="143FA1E7" w14:textId="6AE3C901" w:rsidR="00714583" w:rsidRPr="002234E1" w:rsidRDefault="00A20927" w:rsidP="00A20927">
            <w:pPr>
              <w:jc w:val="center"/>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N/A</w:t>
            </w:r>
          </w:p>
        </w:tc>
        <w:tc>
          <w:tcPr>
            <w:tcW w:w="540" w:type="dxa"/>
          </w:tcPr>
          <w:p w14:paraId="6832DE80" w14:textId="77777777" w:rsidR="00714583" w:rsidRPr="00036F88" w:rsidRDefault="00714583" w:rsidP="003C045B">
            <w:pPr>
              <w:jc w:val="center"/>
              <w:rPr>
                <w:rFonts w:ascii="Times New Roman" w:eastAsia="Calibri" w:hAnsi="Times New Roman" w:cs="Times New Roman"/>
                <w:sz w:val="18"/>
                <w:szCs w:val="18"/>
                <w:highlight w:val="cyan"/>
              </w:rPr>
            </w:pPr>
          </w:p>
        </w:tc>
        <w:tc>
          <w:tcPr>
            <w:tcW w:w="720" w:type="dxa"/>
          </w:tcPr>
          <w:p w14:paraId="028ECE90" w14:textId="7DEBB132" w:rsidR="00714583" w:rsidRPr="00036F88" w:rsidRDefault="009A64FF"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Article 2</w:t>
            </w:r>
          </w:p>
        </w:tc>
        <w:tc>
          <w:tcPr>
            <w:tcW w:w="5040" w:type="dxa"/>
            <w:gridSpan w:val="2"/>
          </w:tcPr>
          <w:p w14:paraId="3B9719AB" w14:textId="03D3AFFE" w:rsidR="00714583" w:rsidRPr="00714583" w:rsidRDefault="00714583" w:rsidP="002234E1">
            <w:pPr>
              <w:jc w:val="both"/>
              <w:rPr>
                <w:rFonts w:ascii="Times New Roman" w:hAnsi="Times New Roman" w:cs="Times New Roman"/>
                <w:sz w:val="18"/>
                <w:szCs w:val="18"/>
              </w:rPr>
            </w:pPr>
            <w:r>
              <w:rPr>
                <w:rFonts w:ascii="Times New Roman" w:hAnsi="Times New Roman" w:cs="Times New Roman"/>
                <w:sz w:val="18"/>
                <w:szCs w:val="18"/>
              </w:rPr>
              <w:t xml:space="preserve">s) "Competent Authority" for the purposes of this Law is the General Directorate of </w:t>
            </w:r>
            <w:r w:rsidR="00467DB2">
              <w:rPr>
                <w:rFonts w:ascii="Times New Roman" w:hAnsi="Times New Roman" w:cs="Times New Roman"/>
                <w:sz w:val="18"/>
                <w:szCs w:val="18"/>
              </w:rPr>
              <w:t>Taxation</w:t>
            </w:r>
            <w:r>
              <w:rPr>
                <w:rFonts w:ascii="Times New Roman" w:hAnsi="Times New Roman" w:cs="Times New Roman"/>
                <w:sz w:val="18"/>
                <w:szCs w:val="18"/>
              </w:rPr>
              <w:t>.</w:t>
            </w:r>
          </w:p>
        </w:tc>
        <w:tc>
          <w:tcPr>
            <w:tcW w:w="720" w:type="dxa"/>
            <w:gridSpan w:val="2"/>
          </w:tcPr>
          <w:p w14:paraId="2EC0872C" w14:textId="77777777" w:rsidR="00714583" w:rsidRDefault="00714583" w:rsidP="003C045B">
            <w:pPr>
              <w:jc w:val="center"/>
              <w:rPr>
                <w:rFonts w:ascii="Times New Roman" w:eastAsia="Calibri" w:hAnsi="Times New Roman" w:cs="Times New Roman"/>
                <w:sz w:val="18"/>
                <w:szCs w:val="18"/>
              </w:rPr>
            </w:pPr>
          </w:p>
        </w:tc>
        <w:tc>
          <w:tcPr>
            <w:tcW w:w="3240" w:type="dxa"/>
            <w:gridSpan w:val="2"/>
          </w:tcPr>
          <w:p w14:paraId="2947A0AB" w14:textId="77777777" w:rsidR="00A20927" w:rsidRPr="00A20927" w:rsidRDefault="00A20927" w:rsidP="00A20927">
            <w:pPr>
              <w:rPr>
                <w:rFonts w:ascii="Times New Roman" w:eastAsia="Calibri" w:hAnsi="Times New Roman" w:cs="Times New Roman"/>
                <w:sz w:val="18"/>
                <w:szCs w:val="18"/>
              </w:rPr>
            </w:pPr>
          </w:p>
          <w:p w14:paraId="3BEB88BA" w14:textId="77777777" w:rsidR="00A20927" w:rsidRPr="00A20927" w:rsidRDefault="00A20927" w:rsidP="00A20927">
            <w:pPr>
              <w:rPr>
                <w:rFonts w:ascii="Times New Roman" w:eastAsia="Calibri" w:hAnsi="Times New Roman" w:cs="Times New Roman"/>
                <w:sz w:val="18"/>
                <w:szCs w:val="18"/>
              </w:rPr>
            </w:pPr>
            <w:r>
              <w:rPr>
                <w:rFonts w:ascii="Times New Roman" w:eastAsia="Calibri" w:hAnsi="Times New Roman" w:cs="Times New Roman"/>
                <w:sz w:val="18"/>
                <w:szCs w:val="18"/>
              </w:rPr>
              <w:t>Directive 2011/16/EC requires Member States to designate a competent authority</w:t>
            </w:r>
          </w:p>
          <w:p w14:paraId="2B0E697E" w14:textId="55E921C8" w:rsidR="00714583" w:rsidRPr="00080E02" w:rsidRDefault="00A20927" w:rsidP="00A20927">
            <w:pPr>
              <w:rPr>
                <w:rFonts w:ascii="Times New Roman" w:eastAsia="Calibri" w:hAnsi="Times New Roman" w:cs="Times New Roman"/>
                <w:sz w:val="18"/>
                <w:szCs w:val="18"/>
              </w:rPr>
            </w:pPr>
            <w:r>
              <w:rPr>
                <w:rFonts w:ascii="Times New Roman" w:eastAsia="Calibri" w:hAnsi="Times New Roman" w:cs="Times New Roman"/>
                <w:sz w:val="18"/>
                <w:szCs w:val="18"/>
              </w:rPr>
              <w:t>responsible for the implementation of the Directive.</w:t>
            </w:r>
          </w:p>
        </w:tc>
      </w:tr>
      <w:tr w:rsidR="00714583" w:rsidRPr="00036F88" w14:paraId="0BCF5F39" w14:textId="77777777" w:rsidTr="00D50C43">
        <w:trPr>
          <w:gridAfter w:val="1"/>
          <w:wAfter w:w="353" w:type="dxa"/>
          <w:trHeight w:val="2204"/>
        </w:trPr>
        <w:tc>
          <w:tcPr>
            <w:tcW w:w="630" w:type="dxa"/>
          </w:tcPr>
          <w:p w14:paraId="2B72A93C" w14:textId="77777777" w:rsidR="00714583" w:rsidRPr="00036F88" w:rsidRDefault="00714583" w:rsidP="003C045B">
            <w:pPr>
              <w:jc w:val="both"/>
              <w:rPr>
                <w:rFonts w:ascii="Times New Roman" w:eastAsia="Calibri" w:hAnsi="Times New Roman" w:cs="Times New Roman"/>
                <w:sz w:val="18"/>
                <w:szCs w:val="18"/>
              </w:rPr>
            </w:pPr>
          </w:p>
        </w:tc>
        <w:tc>
          <w:tcPr>
            <w:tcW w:w="5400" w:type="dxa"/>
          </w:tcPr>
          <w:p w14:paraId="54596CC2" w14:textId="77777777" w:rsidR="00714583" w:rsidRPr="001725D0" w:rsidRDefault="00714583" w:rsidP="00714583">
            <w:pPr>
              <w:jc w:val="center"/>
              <w:rPr>
                <w:rFonts w:ascii="Times New Roman" w:eastAsia="Calibri" w:hAnsi="Times New Roman" w:cs="Times New Roman"/>
                <w:iCs/>
                <w:sz w:val="18"/>
                <w:szCs w:val="18"/>
                <w:lang w:val="en-US"/>
              </w:rPr>
            </w:pPr>
          </w:p>
          <w:p w14:paraId="08DF93FA" w14:textId="77777777" w:rsidR="00714583" w:rsidRPr="001725D0" w:rsidRDefault="00714583" w:rsidP="00714583">
            <w:pPr>
              <w:jc w:val="center"/>
              <w:rPr>
                <w:rFonts w:ascii="Times New Roman" w:eastAsia="Calibri" w:hAnsi="Times New Roman" w:cs="Times New Roman"/>
                <w:iCs/>
                <w:sz w:val="18"/>
                <w:szCs w:val="18"/>
                <w:lang w:val="en-US"/>
              </w:rPr>
            </w:pPr>
          </w:p>
          <w:p w14:paraId="68D33A3C" w14:textId="05AE4026" w:rsidR="00714583" w:rsidRPr="002234E1" w:rsidRDefault="00714583" w:rsidP="00714583">
            <w:pPr>
              <w:jc w:val="center"/>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N/A</w:t>
            </w:r>
          </w:p>
        </w:tc>
        <w:tc>
          <w:tcPr>
            <w:tcW w:w="540" w:type="dxa"/>
          </w:tcPr>
          <w:p w14:paraId="0A6E0F07" w14:textId="77777777" w:rsidR="00714583" w:rsidRPr="00036F88" w:rsidRDefault="00714583" w:rsidP="003C045B">
            <w:pPr>
              <w:jc w:val="center"/>
              <w:rPr>
                <w:rFonts w:ascii="Times New Roman" w:eastAsia="Calibri" w:hAnsi="Times New Roman" w:cs="Times New Roman"/>
                <w:sz w:val="18"/>
                <w:szCs w:val="18"/>
                <w:highlight w:val="cyan"/>
              </w:rPr>
            </w:pPr>
          </w:p>
        </w:tc>
        <w:tc>
          <w:tcPr>
            <w:tcW w:w="720" w:type="dxa"/>
          </w:tcPr>
          <w:p w14:paraId="3B43435B" w14:textId="537A45D5" w:rsidR="00714583" w:rsidRPr="00036F88" w:rsidRDefault="009A64FF"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Article 2</w:t>
            </w:r>
          </w:p>
        </w:tc>
        <w:tc>
          <w:tcPr>
            <w:tcW w:w="5040" w:type="dxa"/>
            <w:gridSpan w:val="2"/>
          </w:tcPr>
          <w:p w14:paraId="1E7BBC4C" w14:textId="2B52BCB7" w:rsidR="00714583" w:rsidRPr="00714583" w:rsidRDefault="009A64FF" w:rsidP="009A64FF">
            <w:p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sh) “Identification service” </w:t>
            </w:r>
            <w:r w:rsidR="001F0A51">
              <w:rPr>
                <w:rFonts w:ascii="Times New Roman" w:hAnsi="Times New Roman" w:cs="Times New Roman"/>
                <w:sz w:val="18"/>
                <w:szCs w:val="18"/>
              </w:rPr>
              <w:t>means</w:t>
            </w:r>
            <w:r w:rsidR="001F0A51" w:rsidRPr="001F0A51">
              <w:rPr>
                <w:rFonts w:ascii="Times New Roman" w:hAnsi="Times New Roman" w:cs="Times New Roman"/>
                <w:sz w:val="18"/>
                <w:szCs w:val="18"/>
              </w:rPr>
              <w:t xml:space="preserve"> a free electronic process, provided by a Member State or by the European Union, that enables the platform operator to verify the identity and tax residence of a seller, in accordance with tax legislation. The use of this service does not remove the obligation of the operator to collect and report all data required by this law and bylaws, except in cases provided as exceptions by the relevant EU regulation on electronic identification services.</w:t>
            </w:r>
          </w:p>
        </w:tc>
        <w:tc>
          <w:tcPr>
            <w:tcW w:w="720" w:type="dxa"/>
            <w:gridSpan w:val="2"/>
          </w:tcPr>
          <w:p w14:paraId="0BF378F8" w14:textId="77777777" w:rsidR="00714583" w:rsidRDefault="00714583" w:rsidP="003C045B">
            <w:pPr>
              <w:jc w:val="center"/>
              <w:rPr>
                <w:rFonts w:ascii="Times New Roman" w:eastAsia="Calibri" w:hAnsi="Times New Roman" w:cs="Times New Roman"/>
                <w:sz w:val="18"/>
                <w:szCs w:val="18"/>
              </w:rPr>
            </w:pPr>
          </w:p>
        </w:tc>
        <w:tc>
          <w:tcPr>
            <w:tcW w:w="3240" w:type="dxa"/>
            <w:gridSpan w:val="2"/>
          </w:tcPr>
          <w:p w14:paraId="485D9885" w14:textId="77777777" w:rsidR="00714583" w:rsidRPr="00714583" w:rsidRDefault="00714583" w:rsidP="00714583">
            <w:pPr>
              <w:rPr>
                <w:rFonts w:ascii="Times New Roman" w:eastAsia="Calibri" w:hAnsi="Times New Roman" w:cs="Times New Roman"/>
                <w:sz w:val="18"/>
                <w:szCs w:val="18"/>
              </w:rPr>
            </w:pPr>
          </w:p>
          <w:p w14:paraId="24A803FE" w14:textId="5B722160" w:rsidR="00714583" w:rsidRPr="00714583" w:rsidRDefault="00714583" w:rsidP="00714583">
            <w:pPr>
              <w:rPr>
                <w:rFonts w:ascii="Times New Roman" w:eastAsia="Calibri" w:hAnsi="Times New Roman" w:cs="Times New Roman"/>
                <w:sz w:val="18"/>
                <w:szCs w:val="18"/>
              </w:rPr>
            </w:pPr>
            <w:r>
              <w:rPr>
                <w:rFonts w:ascii="Times New Roman" w:eastAsia="Calibri" w:hAnsi="Times New Roman" w:cs="Times New Roman"/>
                <w:sz w:val="18"/>
                <w:szCs w:val="18"/>
              </w:rPr>
              <w:t>The concept of an “Identification Service” is not clearly defined in Directive (EU) 2021/514. The draft law introduces a definition for this term for</w:t>
            </w:r>
          </w:p>
          <w:p w14:paraId="16746EE7" w14:textId="44775776" w:rsidR="00714583" w:rsidRPr="00080E02" w:rsidRDefault="00714583" w:rsidP="00714583">
            <w:pPr>
              <w:rPr>
                <w:rFonts w:ascii="Times New Roman" w:eastAsia="Calibri" w:hAnsi="Times New Roman" w:cs="Times New Roman"/>
                <w:sz w:val="18"/>
                <w:szCs w:val="18"/>
              </w:rPr>
            </w:pPr>
            <w:r>
              <w:rPr>
                <w:rFonts w:ascii="Times New Roman" w:eastAsia="Calibri" w:hAnsi="Times New Roman" w:cs="Times New Roman"/>
                <w:sz w:val="18"/>
                <w:szCs w:val="18"/>
              </w:rPr>
              <w:t>clarity and consistency with the EU's electronic identification mechanisms.</w:t>
            </w:r>
          </w:p>
        </w:tc>
      </w:tr>
      <w:tr w:rsidR="00714583" w:rsidRPr="00036F88" w14:paraId="622F21C1" w14:textId="77777777" w:rsidTr="00D50C43">
        <w:trPr>
          <w:gridAfter w:val="1"/>
          <w:wAfter w:w="353" w:type="dxa"/>
          <w:trHeight w:val="2204"/>
        </w:trPr>
        <w:tc>
          <w:tcPr>
            <w:tcW w:w="630" w:type="dxa"/>
          </w:tcPr>
          <w:p w14:paraId="4E5AD9FE" w14:textId="77777777" w:rsidR="00714583" w:rsidRPr="00036F88" w:rsidRDefault="00714583" w:rsidP="003C045B">
            <w:pPr>
              <w:jc w:val="both"/>
              <w:rPr>
                <w:rFonts w:ascii="Times New Roman" w:eastAsia="Calibri" w:hAnsi="Times New Roman" w:cs="Times New Roman"/>
                <w:sz w:val="18"/>
                <w:szCs w:val="18"/>
              </w:rPr>
            </w:pPr>
          </w:p>
        </w:tc>
        <w:tc>
          <w:tcPr>
            <w:tcW w:w="5400" w:type="dxa"/>
          </w:tcPr>
          <w:p w14:paraId="06B991DD" w14:textId="77777777" w:rsidR="00714583" w:rsidRPr="001725D0" w:rsidRDefault="00714583" w:rsidP="00714583">
            <w:pPr>
              <w:jc w:val="center"/>
              <w:rPr>
                <w:rFonts w:ascii="Times New Roman" w:eastAsia="Calibri" w:hAnsi="Times New Roman" w:cs="Times New Roman"/>
                <w:iCs/>
                <w:sz w:val="18"/>
                <w:szCs w:val="18"/>
                <w:lang w:val="en-US"/>
              </w:rPr>
            </w:pPr>
          </w:p>
          <w:p w14:paraId="0E69CF30" w14:textId="0EEF205F" w:rsidR="00714583" w:rsidRPr="00714583" w:rsidRDefault="00714583" w:rsidP="00714583">
            <w:pPr>
              <w:jc w:val="center"/>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N/A</w:t>
            </w:r>
          </w:p>
        </w:tc>
        <w:tc>
          <w:tcPr>
            <w:tcW w:w="540" w:type="dxa"/>
          </w:tcPr>
          <w:p w14:paraId="0C3E216F" w14:textId="77777777" w:rsidR="00714583" w:rsidRPr="00036F88" w:rsidRDefault="00714583" w:rsidP="003C045B">
            <w:pPr>
              <w:jc w:val="center"/>
              <w:rPr>
                <w:rFonts w:ascii="Times New Roman" w:eastAsia="Calibri" w:hAnsi="Times New Roman" w:cs="Times New Roman"/>
                <w:sz w:val="18"/>
                <w:szCs w:val="18"/>
                <w:highlight w:val="cyan"/>
              </w:rPr>
            </w:pPr>
          </w:p>
        </w:tc>
        <w:tc>
          <w:tcPr>
            <w:tcW w:w="720" w:type="dxa"/>
          </w:tcPr>
          <w:p w14:paraId="46954D41" w14:textId="15521C4C" w:rsidR="00714583" w:rsidRPr="00036F88" w:rsidRDefault="009A64FF"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lang w:val="en-US"/>
              </w:rPr>
              <w:t>Article 2</w:t>
            </w:r>
          </w:p>
        </w:tc>
        <w:tc>
          <w:tcPr>
            <w:tcW w:w="5040" w:type="dxa"/>
            <w:gridSpan w:val="2"/>
          </w:tcPr>
          <w:p w14:paraId="68C19DB6" w14:textId="71AE038D" w:rsidR="00714583" w:rsidRPr="00714583" w:rsidRDefault="009A64FF" w:rsidP="002234E1">
            <w:pPr>
              <w:jc w:val="both"/>
              <w:rPr>
                <w:rFonts w:ascii="Times New Roman" w:hAnsi="Times New Roman" w:cs="Times New Roman"/>
                <w:sz w:val="18"/>
                <w:szCs w:val="18"/>
              </w:rPr>
            </w:pPr>
            <w:r>
              <w:rPr>
                <w:rFonts w:ascii="Times New Roman" w:hAnsi="Times New Roman" w:cs="Times New Roman"/>
                <w:sz w:val="18"/>
                <w:szCs w:val="18"/>
              </w:rPr>
              <w:t xml:space="preserve">t) “data breach” has the same meaning as defined in the </w:t>
            </w:r>
            <w:r w:rsidR="001F0A51">
              <w:rPr>
                <w:rFonts w:ascii="Times New Roman" w:hAnsi="Times New Roman" w:cs="Times New Roman"/>
                <w:sz w:val="18"/>
                <w:szCs w:val="18"/>
              </w:rPr>
              <w:t>L</w:t>
            </w:r>
            <w:r>
              <w:rPr>
                <w:rFonts w:ascii="Times New Roman" w:hAnsi="Times New Roman" w:cs="Times New Roman"/>
                <w:sz w:val="18"/>
                <w:szCs w:val="18"/>
              </w:rPr>
              <w:t>aw ‘On administrative cooperation in the field of taxation and exchange of tax information”.</w:t>
            </w:r>
          </w:p>
        </w:tc>
        <w:tc>
          <w:tcPr>
            <w:tcW w:w="720" w:type="dxa"/>
            <w:gridSpan w:val="2"/>
          </w:tcPr>
          <w:p w14:paraId="66CC4CEB" w14:textId="77777777" w:rsidR="00714583" w:rsidRDefault="00714583" w:rsidP="003C045B">
            <w:pPr>
              <w:jc w:val="center"/>
              <w:rPr>
                <w:rFonts w:ascii="Times New Roman" w:eastAsia="Calibri" w:hAnsi="Times New Roman" w:cs="Times New Roman"/>
                <w:sz w:val="18"/>
                <w:szCs w:val="18"/>
              </w:rPr>
            </w:pPr>
          </w:p>
        </w:tc>
        <w:tc>
          <w:tcPr>
            <w:tcW w:w="3240" w:type="dxa"/>
            <w:gridSpan w:val="2"/>
          </w:tcPr>
          <w:p w14:paraId="6316C608" w14:textId="77777777" w:rsidR="00714583" w:rsidRPr="00714583" w:rsidRDefault="00714583" w:rsidP="00714583">
            <w:pPr>
              <w:rPr>
                <w:rFonts w:ascii="Times New Roman" w:eastAsia="Calibri" w:hAnsi="Times New Roman" w:cs="Times New Roman"/>
                <w:sz w:val="18"/>
                <w:szCs w:val="18"/>
              </w:rPr>
            </w:pPr>
          </w:p>
          <w:p w14:paraId="7BB7FF50" w14:textId="77777777" w:rsidR="00714583" w:rsidRPr="00714583" w:rsidRDefault="00714583" w:rsidP="00714583">
            <w:pPr>
              <w:rPr>
                <w:rFonts w:ascii="Times New Roman" w:eastAsia="Calibri" w:hAnsi="Times New Roman" w:cs="Times New Roman"/>
                <w:sz w:val="18"/>
                <w:szCs w:val="18"/>
              </w:rPr>
            </w:pPr>
            <w:r>
              <w:rPr>
                <w:rFonts w:ascii="Times New Roman" w:eastAsia="Calibri" w:hAnsi="Times New Roman" w:cs="Times New Roman"/>
                <w:sz w:val="18"/>
                <w:szCs w:val="18"/>
              </w:rPr>
              <w:t>The concept of a "data breach" is not expressly defined in Directive (EU) 2021/514.</w:t>
            </w:r>
          </w:p>
          <w:p w14:paraId="65495591" w14:textId="06B8527A" w:rsidR="00714583" w:rsidRPr="00714583" w:rsidRDefault="00714583" w:rsidP="00714583">
            <w:pPr>
              <w:rPr>
                <w:rFonts w:ascii="Times New Roman" w:eastAsia="Calibri" w:hAnsi="Times New Roman" w:cs="Times New Roman"/>
                <w:sz w:val="18"/>
                <w:szCs w:val="18"/>
              </w:rPr>
            </w:pPr>
            <w:r>
              <w:rPr>
                <w:rFonts w:ascii="Times New Roman" w:eastAsia="Calibri" w:hAnsi="Times New Roman" w:cs="Times New Roman"/>
                <w:sz w:val="18"/>
                <w:szCs w:val="18"/>
              </w:rPr>
              <w:t>To ensure legal clarity and compliance with existing national legislation, in the framework on administrative cooperation, the draft law refers to the definition of “data breach” as already defined in the Law “On Administrative Cooperation”</w:t>
            </w:r>
          </w:p>
          <w:p w14:paraId="46AFD299" w14:textId="5EE5A194" w:rsidR="00714583" w:rsidRPr="00080E02" w:rsidRDefault="00714583" w:rsidP="00714583">
            <w:pPr>
              <w:rPr>
                <w:rFonts w:ascii="Times New Roman" w:eastAsia="Calibri" w:hAnsi="Times New Roman" w:cs="Times New Roman"/>
                <w:sz w:val="18"/>
                <w:szCs w:val="18"/>
              </w:rPr>
            </w:pPr>
            <w:r>
              <w:rPr>
                <w:rFonts w:ascii="Times New Roman" w:eastAsia="Calibri" w:hAnsi="Times New Roman" w:cs="Times New Roman"/>
                <w:sz w:val="18"/>
                <w:szCs w:val="18"/>
              </w:rPr>
              <w:t xml:space="preserve">in the Field of </w:t>
            </w:r>
            <w:r w:rsidR="00467DB2">
              <w:rPr>
                <w:rFonts w:ascii="Times New Roman" w:eastAsia="Calibri" w:hAnsi="Times New Roman" w:cs="Times New Roman"/>
                <w:sz w:val="18"/>
                <w:szCs w:val="18"/>
              </w:rPr>
              <w:t>Taxation</w:t>
            </w:r>
            <w:r>
              <w:rPr>
                <w:rFonts w:ascii="Times New Roman" w:eastAsia="Calibri" w:hAnsi="Times New Roman" w:cs="Times New Roman"/>
                <w:sz w:val="18"/>
                <w:szCs w:val="18"/>
              </w:rPr>
              <w:t xml:space="preserve"> and Exchange of Tax Information”.</w:t>
            </w:r>
          </w:p>
        </w:tc>
      </w:tr>
      <w:tr w:rsidR="00FC68D3" w:rsidRPr="00036F88" w14:paraId="54A5379B" w14:textId="77777777" w:rsidTr="00D50C43">
        <w:trPr>
          <w:gridAfter w:val="1"/>
          <w:wAfter w:w="353" w:type="dxa"/>
          <w:trHeight w:val="854"/>
        </w:trPr>
        <w:tc>
          <w:tcPr>
            <w:tcW w:w="630" w:type="dxa"/>
          </w:tcPr>
          <w:p w14:paraId="6507A054" w14:textId="77777777" w:rsidR="00FC68D3" w:rsidRPr="00036F88" w:rsidRDefault="00FC68D3" w:rsidP="00AF6E05">
            <w:pPr>
              <w:jc w:val="both"/>
              <w:rPr>
                <w:rFonts w:ascii="Times New Roman" w:eastAsia="Calibri" w:hAnsi="Times New Roman" w:cs="Times New Roman"/>
                <w:sz w:val="18"/>
                <w:szCs w:val="18"/>
                <w:lang w:val="en-US"/>
              </w:rPr>
            </w:pPr>
            <w:bookmarkStart w:id="11" w:name="_Hlk227922509"/>
          </w:p>
        </w:tc>
        <w:tc>
          <w:tcPr>
            <w:tcW w:w="5400" w:type="dxa"/>
            <w:shd w:val="clear" w:color="auto" w:fill="D0CECE" w:themeFill="background2" w:themeFillShade="E6"/>
          </w:tcPr>
          <w:p w14:paraId="4E41AAE5" w14:textId="77777777" w:rsidR="00FC68D3" w:rsidRPr="001725D0" w:rsidRDefault="00FC68D3" w:rsidP="00FC68D3">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 Sellers are not subject to review</w:t>
            </w:r>
          </w:p>
          <w:p w14:paraId="3584056D" w14:textId="77777777" w:rsidR="00FC68D3" w:rsidRPr="00036F88" w:rsidRDefault="00FC68D3" w:rsidP="00AF6E05">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24D0EBAF" w14:textId="77777777" w:rsidR="00FC68D3" w:rsidRPr="00036F88" w:rsidRDefault="00FC68D3" w:rsidP="00AF6E05">
            <w:pPr>
              <w:rPr>
                <w:rFonts w:ascii="Times New Roman" w:eastAsia="Calibri" w:hAnsi="Times New Roman" w:cs="Times New Roman"/>
                <w:sz w:val="18"/>
                <w:szCs w:val="18"/>
              </w:rPr>
            </w:pPr>
          </w:p>
        </w:tc>
        <w:tc>
          <w:tcPr>
            <w:tcW w:w="720" w:type="dxa"/>
            <w:shd w:val="clear" w:color="auto" w:fill="D0CECE" w:themeFill="background2" w:themeFillShade="E6"/>
          </w:tcPr>
          <w:p w14:paraId="7DEE5E2E" w14:textId="77777777" w:rsidR="00FC68D3" w:rsidRPr="00036F88" w:rsidRDefault="00FC68D3" w:rsidP="00AF6E05">
            <w:pPr>
              <w:rPr>
                <w:rFonts w:ascii="Times New Roman" w:eastAsia="Calibri" w:hAnsi="Times New Roman" w:cs="Times New Roman"/>
                <w:sz w:val="18"/>
                <w:szCs w:val="18"/>
                <w:lang w:val="en-US"/>
              </w:rPr>
            </w:pPr>
          </w:p>
        </w:tc>
        <w:tc>
          <w:tcPr>
            <w:tcW w:w="5040" w:type="dxa"/>
            <w:gridSpan w:val="2"/>
            <w:shd w:val="clear" w:color="auto" w:fill="D0CECE" w:themeFill="background2" w:themeFillShade="E6"/>
          </w:tcPr>
          <w:p w14:paraId="6B9BB5F1" w14:textId="77777777" w:rsidR="005331A6" w:rsidRPr="00294727" w:rsidRDefault="005331A6" w:rsidP="005331A6">
            <w:pPr>
              <w:jc w:val="center"/>
              <w:rPr>
                <w:rFonts w:ascii="Times New Roman" w:hAnsi="Times New Roman" w:cs="Times New Roman"/>
                <w:b/>
                <w:sz w:val="18"/>
                <w:szCs w:val="18"/>
              </w:rPr>
            </w:pPr>
            <w:r>
              <w:rPr>
                <w:rFonts w:ascii="Times New Roman" w:hAnsi="Times New Roman" w:cs="Times New Roman"/>
                <w:b/>
                <w:sz w:val="18"/>
                <w:szCs w:val="18"/>
              </w:rPr>
              <w:t>Article 3</w:t>
            </w:r>
          </w:p>
          <w:p w14:paraId="3CA00119" w14:textId="4F9FD5C3" w:rsidR="00FC68D3" w:rsidRPr="00036F88" w:rsidRDefault="005331A6" w:rsidP="005331A6">
            <w:pPr>
              <w:jc w:val="center"/>
              <w:rPr>
                <w:rFonts w:ascii="Times New Roman" w:eastAsia="Calibri" w:hAnsi="Times New Roman" w:cs="Times New Roman"/>
                <w:sz w:val="18"/>
                <w:szCs w:val="18"/>
                <w:lang w:val="en-US"/>
              </w:rPr>
            </w:pPr>
            <w:r>
              <w:rPr>
                <w:rFonts w:ascii="Times New Roman" w:hAnsi="Times New Roman" w:cs="Times New Roman"/>
                <w:b/>
                <w:sz w:val="18"/>
                <w:szCs w:val="18"/>
              </w:rPr>
              <w:t>Identification of excluded sellers</w:t>
            </w:r>
          </w:p>
        </w:tc>
        <w:tc>
          <w:tcPr>
            <w:tcW w:w="720" w:type="dxa"/>
            <w:gridSpan w:val="2"/>
            <w:shd w:val="clear" w:color="auto" w:fill="D0CECE" w:themeFill="background2" w:themeFillShade="E6"/>
          </w:tcPr>
          <w:p w14:paraId="6156F59F" w14:textId="77777777" w:rsidR="00FC68D3" w:rsidRPr="00036F88" w:rsidRDefault="00FC68D3" w:rsidP="00AF6E05">
            <w:pPr>
              <w:jc w:val="center"/>
              <w:rPr>
                <w:rFonts w:ascii="Times New Roman" w:eastAsia="Calibri" w:hAnsi="Times New Roman" w:cs="Times New Roman"/>
                <w:sz w:val="18"/>
                <w:szCs w:val="18"/>
                <w:lang w:val="en-US"/>
              </w:rPr>
            </w:pPr>
          </w:p>
        </w:tc>
        <w:tc>
          <w:tcPr>
            <w:tcW w:w="3240" w:type="dxa"/>
            <w:gridSpan w:val="2"/>
            <w:shd w:val="clear" w:color="auto" w:fill="D0CECE" w:themeFill="background2" w:themeFillShade="E6"/>
          </w:tcPr>
          <w:p w14:paraId="6019B0EC" w14:textId="77777777" w:rsidR="00FC68D3" w:rsidRPr="00036F88" w:rsidRDefault="00FC68D3" w:rsidP="00AF6E05">
            <w:pPr>
              <w:rPr>
                <w:rFonts w:ascii="Times New Roman" w:eastAsia="Calibri" w:hAnsi="Times New Roman" w:cs="Times New Roman"/>
                <w:sz w:val="18"/>
                <w:szCs w:val="18"/>
                <w:lang w:val="en-US"/>
              </w:rPr>
            </w:pPr>
          </w:p>
        </w:tc>
      </w:tr>
      <w:bookmarkEnd w:id="11"/>
      <w:tr w:rsidR="00FC68D3" w:rsidRPr="00036F88" w14:paraId="4CFD47F4" w14:textId="77777777" w:rsidTr="00D50C43">
        <w:trPr>
          <w:gridAfter w:val="1"/>
          <w:wAfter w:w="353" w:type="dxa"/>
          <w:trHeight w:val="2204"/>
        </w:trPr>
        <w:tc>
          <w:tcPr>
            <w:tcW w:w="630" w:type="dxa"/>
          </w:tcPr>
          <w:p w14:paraId="33EDC2A7" w14:textId="77777777" w:rsidR="00FC68D3" w:rsidRPr="00036F88" w:rsidRDefault="00FC68D3" w:rsidP="003C045B">
            <w:pPr>
              <w:jc w:val="both"/>
              <w:rPr>
                <w:rFonts w:ascii="Times New Roman" w:eastAsia="Calibri" w:hAnsi="Times New Roman" w:cs="Times New Roman"/>
                <w:sz w:val="18"/>
                <w:szCs w:val="18"/>
              </w:rPr>
            </w:pPr>
          </w:p>
        </w:tc>
        <w:tc>
          <w:tcPr>
            <w:tcW w:w="5400" w:type="dxa"/>
          </w:tcPr>
          <w:p w14:paraId="69272E8D" w14:textId="77777777" w:rsidR="00FC68D3" w:rsidRPr="001725D0" w:rsidRDefault="00FC68D3" w:rsidP="00FC68D3">
            <w:pPr>
              <w:jc w:val="both"/>
              <w:rPr>
                <w:rFonts w:ascii="Times New Roman" w:eastAsia="Calibri" w:hAnsi="Times New Roman" w:cs="Times New Roman"/>
                <w:iCs/>
                <w:sz w:val="18"/>
                <w:szCs w:val="18"/>
                <w:lang w:val="en-US"/>
              </w:rPr>
            </w:pPr>
          </w:p>
          <w:p w14:paraId="43513FD5" w14:textId="1F31C0B9" w:rsidR="00FC68D3" w:rsidRPr="001725D0" w:rsidRDefault="00FC68D3" w:rsidP="00FC68D3">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For the purpose of determining whether a Seller that is an Entity qualifies as an Excluded Seller described in points (a) and (b) of subparagraph B(4) of Section I, a Reporting Platform Operator may rely on publicly available information or on a confirmation from the Seller that is an Entity. For the purpose of determining whether a Seller qualifies as an Excluded Seller described in points (c) and (d) of subparagraph B(4) of Section I, a Reporting Platform Operator may rely on its available data.</w:t>
            </w:r>
          </w:p>
        </w:tc>
        <w:tc>
          <w:tcPr>
            <w:tcW w:w="540" w:type="dxa"/>
          </w:tcPr>
          <w:p w14:paraId="1F0AACF1" w14:textId="77777777" w:rsidR="00FC68D3" w:rsidRPr="00036F88" w:rsidRDefault="00FC68D3" w:rsidP="003C045B">
            <w:pPr>
              <w:jc w:val="center"/>
              <w:rPr>
                <w:rFonts w:ascii="Times New Roman" w:eastAsia="Calibri" w:hAnsi="Times New Roman" w:cs="Times New Roman"/>
                <w:sz w:val="18"/>
                <w:szCs w:val="18"/>
                <w:highlight w:val="cyan"/>
              </w:rPr>
            </w:pPr>
          </w:p>
        </w:tc>
        <w:tc>
          <w:tcPr>
            <w:tcW w:w="720" w:type="dxa"/>
          </w:tcPr>
          <w:p w14:paraId="779955DD" w14:textId="18EBEC1D" w:rsidR="00FC68D3" w:rsidRPr="001725D0" w:rsidRDefault="00294727"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Article 3</w:t>
            </w:r>
          </w:p>
        </w:tc>
        <w:tc>
          <w:tcPr>
            <w:tcW w:w="5040" w:type="dxa"/>
            <w:gridSpan w:val="2"/>
          </w:tcPr>
          <w:p w14:paraId="5E72D273" w14:textId="77777777" w:rsidR="001F0A51" w:rsidRPr="001F0A51" w:rsidRDefault="001F0A51" w:rsidP="001F0A51">
            <w:pPr>
              <w:jc w:val="both"/>
              <w:rPr>
                <w:rFonts w:ascii="Times New Roman" w:hAnsi="Times New Roman" w:cs="Times New Roman"/>
                <w:sz w:val="18"/>
                <w:szCs w:val="18"/>
              </w:rPr>
            </w:pPr>
            <w:r w:rsidRPr="001F0A51">
              <w:rPr>
                <w:rFonts w:ascii="Times New Roman" w:hAnsi="Times New Roman" w:cs="Times New Roman"/>
                <w:sz w:val="18"/>
                <w:szCs w:val="18"/>
              </w:rPr>
              <w:t>1.</w:t>
            </w:r>
            <w:r w:rsidRPr="001F0A51">
              <w:rPr>
                <w:rFonts w:ascii="Times New Roman" w:hAnsi="Times New Roman" w:cs="Times New Roman"/>
                <w:sz w:val="18"/>
                <w:szCs w:val="18"/>
              </w:rPr>
              <w:tab/>
              <w:t>The Reporting Platform Operator performs the appropriate tax verification procedures to identify the excluded sellers.</w:t>
            </w:r>
          </w:p>
          <w:p w14:paraId="76007A5D" w14:textId="77777777" w:rsidR="001F0A51" w:rsidRPr="001F0A51" w:rsidRDefault="001F0A51" w:rsidP="001F0A51">
            <w:pPr>
              <w:jc w:val="both"/>
              <w:rPr>
                <w:rFonts w:ascii="Times New Roman" w:hAnsi="Times New Roman" w:cs="Times New Roman"/>
                <w:sz w:val="18"/>
                <w:szCs w:val="18"/>
              </w:rPr>
            </w:pPr>
            <w:r w:rsidRPr="001F0A51">
              <w:rPr>
                <w:rFonts w:ascii="Times New Roman" w:hAnsi="Times New Roman" w:cs="Times New Roman"/>
                <w:sz w:val="18"/>
                <w:szCs w:val="18"/>
              </w:rPr>
              <w:t>2.</w:t>
            </w:r>
            <w:r w:rsidRPr="001F0A51">
              <w:rPr>
                <w:rFonts w:ascii="Times New Roman" w:hAnsi="Times New Roman" w:cs="Times New Roman"/>
                <w:sz w:val="18"/>
                <w:szCs w:val="18"/>
              </w:rPr>
              <w:tab/>
              <w:t>In order to determine whether a seller is exempt the reporting platform operator shall rely on publicly available information or confirmation from the seller that is an entity.</w:t>
            </w:r>
          </w:p>
          <w:p w14:paraId="0B6333E8" w14:textId="77777777" w:rsidR="001F0A51" w:rsidRPr="001F0A51" w:rsidRDefault="001F0A51" w:rsidP="001F0A51">
            <w:pPr>
              <w:jc w:val="both"/>
              <w:rPr>
                <w:rFonts w:ascii="Times New Roman" w:hAnsi="Times New Roman" w:cs="Times New Roman"/>
                <w:sz w:val="18"/>
                <w:szCs w:val="18"/>
              </w:rPr>
            </w:pPr>
            <w:r w:rsidRPr="001F0A51">
              <w:rPr>
                <w:rFonts w:ascii="Times New Roman" w:hAnsi="Times New Roman" w:cs="Times New Roman"/>
                <w:sz w:val="18"/>
                <w:szCs w:val="18"/>
              </w:rPr>
              <w:t>3.</w:t>
            </w:r>
            <w:r w:rsidRPr="001F0A51">
              <w:rPr>
                <w:rFonts w:ascii="Times New Roman" w:hAnsi="Times New Roman" w:cs="Times New Roman"/>
                <w:sz w:val="18"/>
                <w:szCs w:val="18"/>
              </w:rPr>
              <w:tab/>
              <w:t>In order to determine whether a seller is exempt, the reporting platform operator relies on the data at its disposal.</w:t>
            </w:r>
          </w:p>
          <w:p w14:paraId="508007F4" w14:textId="77CAF0F8" w:rsidR="00FC68D3" w:rsidRPr="002234E1" w:rsidRDefault="001F0A51" w:rsidP="001F0A51">
            <w:pPr>
              <w:jc w:val="both"/>
              <w:rPr>
                <w:rFonts w:ascii="Times New Roman" w:hAnsi="Times New Roman" w:cs="Times New Roman"/>
                <w:sz w:val="18"/>
                <w:szCs w:val="18"/>
              </w:rPr>
            </w:pPr>
            <w:r w:rsidRPr="001F0A51">
              <w:rPr>
                <w:rFonts w:ascii="Times New Roman" w:hAnsi="Times New Roman" w:cs="Times New Roman"/>
                <w:sz w:val="18"/>
                <w:szCs w:val="18"/>
              </w:rPr>
              <w:t>4.</w:t>
            </w:r>
            <w:r w:rsidRPr="001F0A51">
              <w:rPr>
                <w:rFonts w:ascii="Times New Roman" w:hAnsi="Times New Roman" w:cs="Times New Roman"/>
                <w:sz w:val="18"/>
                <w:szCs w:val="18"/>
              </w:rPr>
              <w:tab/>
              <w:t xml:space="preserve">The modalities of verification of exemption, the details of the documents and information used to verify the status of a seller </w:t>
            </w:r>
            <w:r w:rsidRPr="001F0A51">
              <w:rPr>
                <w:rFonts w:ascii="Times New Roman" w:hAnsi="Times New Roman" w:cs="Times New Roman"/>
                <w:sz w:val="18"/>
                <w:szCs w:val="18"/>
              </w:rPr>
              <w:lastRenderedPageBreak/>
              <w:t>as exempt, as well as the forms of recording these data, shall be determined by Decision of the Council of Ministers.</w:t>
            </w:r>
          </w:p>
        </w:tc>
        <w:tc>
          <w:tcPr>
            <w:tcW w:w="720" w:type="dxa"/>
            <w:gridSpan w:val="2"/>
          </w:tcPr>
          <w:p w14:paraId="5ABE0178" w14:textId="112CFE44" w:rsidR="00FC68D3"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F</w:t>
            </w:r>
          </w:p>
        </w:tc>
        <w:tc>
          <w:tcPr>
            <w:tcW w:w="3240" w:type="dxa"/>
            <w:gridSpan w:val="2"/>
          </w:tcPr>
          <w:p w14:paraId="464B2CAA" w14:textId="77777777" w:rsidR="00FC68D3" w:rsidRPr="00080E02" w:rsidRDefault="00FC68D3" w:rsidP="00E16BA5">
            <w:pPr>
              <w:rPr>
                <w:rFonts w:ascii="Times New Roman" w:eastAsia="Calibri" w:hAnsi="Times New Roman" w:cs="Times New Roman"/>
                <w:sz w:val="18"/>
                <w:szCs w:val="18"/>
              </w:rPr>
            </w:pPr>
          </w:p>
        </w:tc>
      </w:tr>
      <w:tr w:rsidR="00FC68D3" w:rsidRPr="00036F88" w14:paraId="5F7DCA8A" w14:textId="77777777" w:rsidTr="00D50C43">
        <w:trPr>
          <w:gridAfter w:val="1"/>
          <w:wAfter w:w="353" w:type="dxa"/>
          <w:trHeight w:val="854"/>
        </w:trPr>
        <w:tc>
          <w:tcPr>
            <w:tcW w:w="630" w:type="dxa"/>
          </w:tcPr>
          <w:p w14:paraId="2CAE455F" w14:textId="77777777" w:rsidR="00FC68D3" w:rsidRPr="00036F88" w:rsidRDefault="00FC68D3" w:rsidP="00AF6E05">
            <w:pPr>
              <w:jc w:val="both"/>
              <w:rPr>
                <w:rFonts w:ascii="Times New Roman" w:eastAsia="Calibri" w:hAnsi="Times New Roman" w:cs="Times New Roman"/>
                <w:sz w:val="18"/>
                <w:szCs w:val="18"/>
                <w:lang w:val="en-US"/>
              </w:rPr>
            </w:pPr>
            <w:bookmarkStart w:id="12" w:name="_Hlk227922680"/>
          </w:p>
        </w:tc>
        <w:tc>
          <w:tcPr>
            <w:tcW w:w="5400" w:type="dxa"/>
            <w:shd w:val="clear" w:color="auto" w:fill="D0CECE" w:themeFill="background2" w:themeFillShade="E6"/>
          </w:tcPr>
          <w:p w14:paraId="34A80F3A" w14:textId="0643EBE3" w:rsidR="00FC68D3" w:rsidRPr="00FC68D3" w:rsidRDefault="00FC68D3" w:rsidP="00AF6E05">
            <w:pPr>
              <w:jc w:val="both"/>
              <w:rPr>
                <w:rFonts w:ascii="Times New Roman" w:eastAsia="Calibri" w:hAnsi="Times New Roman" w:cs="Times New Roman"/>
                <w:iCs/>
                <w:sz w:val="18"/>
                <w:szCs w:val="18"/>
                <w:lang w:val="en-US"/>
              </w:rPr>
            </w:pPr>
          </w:p>
          <w:p w14:paraId="620AB1F9" w14:textId="77777777" w:rsidR="00FC68D3" w:rsidRPr="00FC68D3" w:rsidRDefault="00FC68D3" w:rsidP="00FC68D3">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B. Collection of the Seller's information</w:t>
            </w:r>
          </w:p>
          <w:p w14:paraId="2E5CE303" w14:textId="77777777" w:rsidR="00FC68D3" w:rsidRPr="00036F88" w:rsidRDefault="00FC68D3" w:rsidP="00AF6E05">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3C7DB3BF" w14:textId="77777777" w:rsidR="00FC68D3" w:rsidRPr="00036F88" w:rsidRDefault="00FC68D3" w:rsidP="00AF6E05">
            <w:pPr>
              <w:rPr>
                <w:rFonts w:ascii="Times New Roman" w:eastAsia="Calibri" w:hAnsi="Times New Roman" w:cs="Times New Roman"/>
                <w:sz w:val="18"/>
                <w:szCs w:val="18"/>
              </w:rPr>
            </w:pPr>
          </w:p>
        </w:tc>
        <w:tc>
          <w:tcPr>
            <w:tcW w:w="720" w:type="dxa"/>
            <w:shd w:val="clear" w:color="auto" w:fill="D0CECE" w:themeFill="background2" w:themeFillShade="E6"/>
          </w:tcPr>
          <w:p w14:paraId="3D656F11" w14:textId="77777777" w:rsidR="00FC68D3" w:rsidRPr="00036F88" w:rsidRDefault="00FC68D3" w:rsidP="00AF6E05">
            <w:pPr>
              <w:rPr>
                <w:rFonts w:ascii="Times New Roman" w:eastAsia="Calibri" w:hAnsi="Times New Roman" w:cs="Times New Roman"/>
                <w:sz w:val="18"/>
                <w:szCs w:val="18"/>
                <w:lang w:val="en-US"/>
              </w:rPr>
            </w:pPr>
          </w:p>
        </w:tc>
        <w:tc>
          <w:tcPr>
            <w:tcW w:w="5040" w:type="dxa"/>
            <w:gridSpan w:val="2"/>
            <w:shd w:val="clear" w:color="auto" w:fill="D0CECE" w:themeFill="background2" w:themeFillShade="E6"/>
          </w:tcPr>
          <w:p w14:paraId="13A238DA" w14:textId="77777777" w:rsidR="00294727" w:rsidRPr="00294727" w:rsidRDefault="00294727" w:rsidP="00294727">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Article 4</w:t>
            </w:r>
          </w:p>
          <w:p w14:paraId="516BAFB4" w14:textId="77777777" w:rsidR="00294727" w:rsidRPr="00294727" w:rsidRDefault="00294727" w:rsidP="00294727">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 xml:space="preserve">Identification of sellers </w:t>
            </w:r>
            <w:bookmarkStart w:id="13" w:name="_Hlk231283860"/>
            <w:r>
              <w:rPr>
                <w:rFonts w:ascii="Times New Roman" w:eastAsia="Calibri" w:hAnsi="Times New Roman" w:cs="Times New Roman"/>
                <w:b/>
                <w:sz w:val="18"/>
                <w:szCs w:val="18"/>
                <w:lang w:val="en-US"/>
              </w:rPr>
              <w:t>to be reported</w:t>
            </w:r>
          </w:p>
          <w:bookmarkEnd w:id="13"/>
          <w:p w14:paraId="49E04E4D" w14:textId="5ED3015A" w:rsidR="00FC68D3" w:rsidRPr="00036F88" w:rsidRDefault="00FC68D3" w:rsidP="005331A6">
            <w:pPr>
              <w:jc w:val="center"/>
              <w:rPr>
                <w:rFonts w:ascii="Times New Roman" w:eastAsia="Calibri" w:hAnsi="Times New Roman" w:cs="Times New Roman"/>
                <w:sz w:val="18"/>
                <w:szCs w:val="18"/>
                <w:lang w:val="en-US"/>
              </w:rPr>
            </w:pPr>
          </w:p>
        </w:tc>
        <w:tc>
          <w:tcPr>
            <w:tcW w:w="720" w:type="dxa"/>
            <w:gridSpan w:val="2"/>
            <w:shd w:val="clear" w:color="auto" w:fill="D0CECE" w:themeFill="background2" w:themeFillShade="E6"/>
          </w:tcPr>
          <w:p w14:paraId="3D28AC8D" w14:textId="77777777" w:rsidR="00FC68D3" w:rsidRPr="00036F88" w:rsidRDefault="00FC68D3" w:rsidP="00AF6E05">
            <w:pPr>
              <w:jc w:val="center"/>
              <w:rPr>
                <w:rFonts w:ascii="Times New Roman" w:eastAsia="Calibri" w:hAnsi="Times New Roman" w:cs="Times New Roman"/>
                <w:sz w:val="18"/>
                <w:szCs w:val="18"/>
                <w:lang w:val="en-US"/>
              </w:rPr>
            </w:pPr>
          </w:p>
        </w:tc>
        <w:tc>
          <w:tcPr>
            <w:tcW w:w="3240" w:type="dxa"/>
            <w:gridSpan w:val="2"/>
            <w:shd w:val="clear" w:color="auto" w:fill="D0CECE" w:themeFill="background2" w:themeFillShade="E6"/>
          </w:tcPr>
          <w:p w14:paraId="5C706920" w14:textId="77777777" w:rsidR="00FC68D3" w:rsidRPr="00036F88" w:rsidRDefault="00FC68D3" w:rsidP="00AF6E05">
            <w:pPr>
              <w:rPr>
                <w:rFonts w:ascii="Times New Roman" w:eastAsia="Calibri" w:hAnsi="Times New Roman" w:cs="Times New Roman"/>
                <w:sz w:val="18"/>
                <w:szCs w:val="18"/>
                <w:lang w:val="en-US"/>
              </w:rPr>
            </w:pPr>
          </w:p>
        </w:tc>
      </w:tr>
      <w:bookmarkEnd w:id="12"/>
      <w:tr w:rsidR="00FC68D3" w:rsidRPr="00036F88" w14:paraId="38B0A545" w14:textId="77777777" w:rsidTr="00D50C43">
        <w:trPr>
          <w:gridAfter w:val="1"/>
          <w:wAfter w:w="353" w:type="dxa"/>
          <w:trHeight w:val="2204"/>
        </w:trPr>
        <w:tc>
          <w:tcPr>
            <w:tcW w:w="630" w:type="dxa"/>
          </w:tcPr>
          <w:p w14:paraId="7D86CCC2" w14:textId="77777777" w:rsidR="00FC68D3" w:rsidRPr="00036F88" w:rsidRDefault="00FC68D3" w:rsidP="003C045B">
            <w:pPr>
              <w:jc w:val="both"/>
              <w:rPr>
                <w:rFonts w:ascii="Times New Roman" w:eastAsia="Calibri" w:hAnsi="Times New Roman" w:cs="Times New Roman"/>
                <w:sz w:val="18"/>
                <w:szCs w:val="18"/>
              </w:rPr>
            </w:pPr>
          </w:p>
        </w:tc>
        <w:tc>
          <w:tcPr>
            <w:tcW w:w="5400" w:type="dxa"/>
          </w:tcPr>
          <w:p w14:paraId="37C5664A" w14:textId="77777777" w:rsidR="00FC68D3" w:rsidRPr="001725D0" w:rsidRDefault="00FC68D3" w:rsidP="00FC68D3">
            <w:pPr>
              <w:jc w:val="both"/>
              <w:rPr>
                <w:rFonts w:ascii="Times New Roman" w:eastAsia="Calibri" w:hAnsi="Times New Roman" w:cs="Times New Roman"/>
                <w:iCs/>
                <w:sz w:val="18"/>
                <w:szCs w:val="18"/>
                <w:lang w:val="en-US"/>
              </w:rPr>
            </w:pPr>
          </w:p>
          <w:p w14:paraId="2AF1FFB3" w14:textId="77777777" w:rsidR="00FC68D3" w:rsidRPr="001725D0" w:rsidRDefault="00FC68D3" w:rsidP="00FC68D3">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1. The Reporting Platform Operator must collect all of the following information for each Seller who is an individual and not an Excluded Seller: (a) first and last name; (b) Primary Address; (c) any Tax Identification Number (NIPT) issued to that Seller, including any Member State of issuance, and in the absence of a Tax Identification Number, the place of birth of that Seller; (d) that Seller's VAT identification number, where available; (e) date of birth.</w:t>
            </w:r>
          </w:p>
          <w:p w14:paraId="20EB2F33" w14:textId="77777777" w:rsidR="00FC68D3" w:rsidRPr="001725D0" w:rsidRDefault="00FC68D3" w:rsidP="00FC68D3">
            <w:pPr>
              <w:jc w:val="both"/>
              <w:rPr>
                <w:rFonts w:ascii="Times New Roman" w:eastAsia="Calibri" w:hAnsi="Times New Roman" w:cs="Times New Roman"/>
                <w:iCs/>
                <w:sz w:val="18"/>
                <w:szCs w:val="18"/>
                <w:lang w:val="en-US"/>
              </w:rPr>
            </w:pPr>
          </w:p>
          <w:p w14:paraId="797E81B4" w14:textId="77777777" w:rsidR="00FC68D3" w:rsidRPr="001725D0" w:rsidRDefault="00FC68D3" w:rsidP="00FC68D3">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2. The Reporting Platform Operator must collect all of the following information for each Seller that is an Entity and not an Excluded Seller: (a) the legal name; (b) the Primary Address; (c) any Personal Data Number issued to that Seller, including any Member State of issuance; (d) that Seller’s VAT identification number, where available; (e) the business registration number; (f) the existence of any permanent establishment through which Relevant Activities are carried out in the Union, where available, indicating each respective Member State where such a permanent establishment is located.</w:t>
            </w:r>
          </w:p>
          <w:p w14:paraId="0542CFDA" w14:textId="77777777" w:rsidR="00FC68D3" w:rsidRPr="001725D0" w:rsidRDefault="00FC68D3" w:rsidP="00FC68D3">
            <w:pPr>
              <w:jc w:val="both"/>
              <w:rPr>
                <w:rFonts w:ascii="Times New Roman" w:eastAsia="Calibri" w:hAnsi="Times New Roman" w:cs="Times New Roman"/>
                <w:iCs/>
                <w:sz w:val="18"/>
                <w:szCs w:val="18"/>
                <w:lang w:val="en-US"/>
              </w:rPr>
            </w:pPr>
          </w:p>
          <w:p w14:paraId="6F2CA29A" w14:textId="77777777" w:rsidR="00FC68D3" w:rsidRPr="001725D0" w:rsidRDefault="00FC68D3" w:rsidP="00FC68D3">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 xml:space="preserve">3. Notwithstanding subparagraphs B(1) and (2), the Reporting Platform Operator shall not be required to collect the information of the mentioned in points (b) to (e) of subparagraph B(1) and points (b) to (f) of subparagraph B(2) when it relies on the direct confirmation of the identity and residence of the Seller through an identification service </w:t>
            </w:r>
            <w:r>
              <w:rPr>
                <w:rFonts w:ascii="Times New Roman" w:eastAsia="Calibri" w:hAnsi="Times New Roman" w:cs="Times New Roman"/>
                <w:iCs/>
                <w:sz w:val="18"/>
                <w:szCs w:val="18"/>
                <w:lang w:val="en-US"/>
              </w:rPr>
              <w:lastRenderedPageBreak/>
              <w:t>made available by a Member State or the Union to determine the identity and tax residence of the Seller.</w:t>
            </w:r>
          </w:p>
          <w:p w14:paraId="1E66E7EE" w14:textId="77777777" w:rsidR="00FC68D3" w:rsidRPr="001725D0" w:rsidRDefault="00FC68D3" w:rsidP="00FC68D3">
            <w:pPr>
              <w:jc w:val="both"/>
              <w:rPr>
                <w:rFonts w:ascii="Times New Roman" w:eastAsia="Calibri" w:hAnsi="Times New Roman" w:cs="Times New Roman"/>
                <w:iCs/>
                <w:sz w:val="18"/>
                <w:szCs w:val="18"/>
                <w:lang w:val="en-US"/>
              </w:rPr>
            </w:pPr>
          </w:p>
          <w:p w14:paraId="376A326D" w14:textId="6CDC6435" w:rsidR="00FC68D3" w:rsidRPr="001725D0" w:rsidRDefault="00FC68D3" w:rsidP="00FC68D3">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4. Notwithstanding point (c) of subparagraph B(1) and points (c) and (e) of subparagraph B(2), the Reporting Platform Operator shall not be required to collect the TIN or the business registration number, as the case may be, in any of the following situations: (a) The Member State of residence of the Seller does not issue a TIN or business registration number to the Seller; (b) The Member State of residence of the Seller does not require the collection of the TIN issued to the Seller.</w:t>
            </w:r>
          </w:p>
        </w:tc>
        <w:tc>
          <w:tcPr>
            <w:tcW w:w="540" w:type="dxa"/>
          </w:tcPr>
          <w:p w14:paraId="001D547F" w14:textId="77777777" w:rsidR="00FC68D3" w:rsidRPr="00036F88" w:rsidRDefault="00FC68D3" w:rsidP="003C045B">
            <w:pPr>
              <w:jc w:val="center"/>
              <w:rPr>
                <w:rFonts w:ascii="Times New Roman" w:eastAsia="Calibri" w:hAnsi="Times New Roman" w:cs="Times New Roman"/>
                <w:sz w:val="18"/>
                <w:szCs w:val="18"/>
                <w:highlight w:val="cyan"/>
              </w:rPr>
            </w:pPr>
          </w:p>
        </w:tc>
        <w:tc>
          <w:tcPr>
            <w:tcW w:w="720" w:type="dxa"/>
          </w:tcPr>
          <w:p w14:paraId="003F37E6" w14:textId="00107494" w:rsidR="00FC68D3" w:rsidRPr="001725D0" w:rsidRDefault="00294727"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Article 4</w:t>
            </w:r>
          </w:p>
        </w:tc>
        <w:tc>
          <w:tcPr>
            <w:tcW w:w="5040" w:type="dxa"/>
            <w:gridSpan w:val="2"/>
          </w:tcPr>
          <w:p w14:paraId="1E6A8361" w14:textId="77777777" w:rsidR="00FC68D3" w:rsidRPr="00FC68D3" w:rsidRDefault="00FC68D3" w:rsidP="00FC68D3">
            <w:pPr>
              <w:jc w:val="both"/>
              <w:rPr>
                <w:rFonts w:ascii="Times New Roman" w:hAnsi="Times New Roman" w:cs="Times New Roman"/>
                <w:sz w:val="18"/>
                <w:szCs w:val="18"/>
              </w:rPr>
            </w:pPr>
          </w:p>
          <w:p w14:paraId="5E873604" w14:textId="37822C9D" w:rsidR="00DA527B" w:rsidRPr="00294727" w:rsidRDefault="00DA527B" w:rsidP="00294727">
            <w:pPr>
              <w:jc w:val="both"/>
              <w:rPr>
                <w:rFonts w:ascii="Times New Roman" w:hAnsi="Times New Roman" w:cs="Times New Roman"/>
              </w:rPr>
            </w:pPr>
          </w:p>
          <w:p w14:paraId="17DE9A25" w14:textId="321864BF" w:rsidR="001F0A51" w:rsidRPr="001F0A51" w:rsidRDefault="00294727" w:rsidP="001F0A51">
            <w:pPr>
              <w:spacing w:line="276" w:lineRule="auto"/>
              <w:jc w:val="both"/>
              <w:rPr>
                <w:rFonts w:ascii="Times New Roman" w:hAnsi="Times New Roman" w:cs="Times New Roman"/>
                <w:sz w:val="18"/>
                <w:szCs w:val="18"/>
              </w:rPr>
            </w:pPr>
            <w:r>
              <w:rPr>
                <w:rFonts w:ascii="Times New Roman" w:hAnsi="Times New Roman" w:cs="Times New Roman"/>
                <w:sz w:val="18"/>
                <w:szCs w:val="18"/>
              </w:rPr>
              <w:t>1</w:t>
            </w:r>
            <w:r w:rsidR="001F0A51">
              <w:t xml:space="preserve"> </w:t>
            </w:r>
            <w:r w:rsidR="001F0A51" w:rsidRPr="001F0A51">
              <w:rPr>
                <w:rFonts w:ascii="Times New Roman" w:hAnsi="Times New Roman" w:cs="Times New Roman"/>
                <w:sz w:val="18"/>
                <w:szCs w:val="18"/>
              </w:rPr>
              <w:tab/>
              <w:t>The Reporting Platform Operator shall conduct appropriate tax verification procedures to identify reportable sellers.</w:t>
            </w:r>
          </w:p>
          <w:p w14:paraId="51CC4020"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2.</w:t>
            </w:r>
            <w:r w:rsidRPr="001F0A51">
              <w:rPr>
                <w:rFonts w:ascii="Times New Roman" w:hAnsi="Times New Roman" w:cs="Times New Roman"/>
                <w:sz w:val="18"/>
                <w:szCs w:val="18"/>
              </w:rPr>
              <w:tab/>
              <w:t>For each seller who is an individual or natural person and who is not an exempt seller, the operator of the reporting platform shall collect and verify, using reasonable efforts, the following data:</w:t>
            </w:r>
          </w:p>
          <w:p w14:paraId="23C4FECB"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a) the name and surname;</w:t>
            </w:r>
          </w:p>
          <w:p w14:paraId="576F6C30"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b) the main residential address;</w:t>
            </w:r>
          </w:p>
          <w:p w14:paraId="68966159"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c) any Tax Identification Number of the taxable person (TIN) issued to the seller, indicating the issuing country and, in its absence, the seller's place of birth;</w:t>
            </w:r>
          </w:p>
          <w:p w14:paraId="6C219375"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d) VAT identification number, if available;</w:t>
            </w:r>
          </w:p>
          <w:p w14:paraId="5F22E092"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e) date of birth.</w:t>
            </w:r>
          </w:p>
          <w:p w14:paraId="580E1EA0"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3. For each seller that is an entity and that is not an exempt seller, the reporting platform operator shall collect and verify, using reasonable efforts, the following data:</w:t>
            </w:r>
          </w:p>
          <w:p w14:paraId="30B9B4F2"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a) the legal name of the entity;</w:t>
            </w:r>
          </w:p>
          <w:p w14:paraId="5F5F7311"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b) the main address of the headquarters;</w:t>
            </w:r>
          </w:p>
          <w:p w14:paraId="6BCE3421"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lastRenderedPageBreak/>
              <w:t>c) any Tax Identification Number (TIN) issued to the seller, indicating the issuing country;</w:t>
            </w:r>
          </w:p>
          <w:p w14:paraId="60B2D7D6"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d) VAT identification number, if available;</w:t>
            </w:r>
          </w:p>
          <w:p w14:paraId="480F24B4"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e) business registration number;</w:t>
            </w:r>
          </w:p>
          <w:p w14:paraId="07FFDFD1"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f) information on the existence of any permanent establishment through which the seller carries out relevant activities within the European Union, indicating the Member State where that establishment is located, if applicable.</w:t>
            </w:r>
          </w:p>
          <w:p w14:paraId="7E3A00E8"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4. Notwithstanding points 2 and 3 of this Article, the platform operator with the reporting obligation may rely on a direct confirmation of the identity and tax residence of the seller through an identification service provided by a Member State or by the European Union, for the purposes of verifying the identity and tax residence of the seller. In such cases, the platform operator may not separately collect the data set out in point 2, letters b) to e), and in point 3, letters b) to f), to the extent that these data are covered by the identification service used and are available for the purposes of this Law.</w:t>
            </w:r>
          </w:p>
          <w:p w14:paraId="1241B607"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5. Notwithstanding point 2, letter c), and point 3, letters c) and e), the operator of the reporting platform is not obliged to collect the taxable person identification number (TIN) or the business registration number, as the case may be, when one of the following conditions is met:</w:t>
            </w:r>
          </w:p>
          <w:p w14:paraId="7DF0D3D3"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a) the seller's state of tax residence does not issue a taxable person identification number or business registration number to that seller;</w:t>
            </w:r>
          </w:p>
          <w:p w14:paraId="1AFB4914"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b) the state of tax residence of the seller does not require the collection of a taxable person identification number for that seller.</w:t>
            </w:r>
          </w:p>
          <w:p w14:paraId="352F4ED2"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6. The reporting platform operator shall assess the reliability of the information collected under this Article, Article 6 and Article 7 of this Law, using the information and documents it has in its archives, as well as any electronic verification interface or service made available free of charge by a state or the European Union.</w:t>
            </w:r>
          </w:p>
          <w:p w14:paraId="72EF9DDC"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 xml:space="preserve">7. For sellers registered on the platform at the time of entry into force of this law or at the time when the platform operator becomes </w:t>
            </w:r>
            <w:r w:rsidRPr="001F0A51">
              <w:rPr>
                <w:rFonts w:ascii="Times New Roman" w:hAnsi="Times New Roman" w:cs="Times New Roman"/>
                <w:sz w:val="18"/>
                <w:szCs w:val="18"/>
              </w:rPr>
              <w:lastRenderedPageBreak/>
              <w:t>a reporting platform operator, the reporting platform operator shall assess the reliability of the information collected under this Article, Article 6 and Article 7 of this law, using the information and documentation at its disposal, including information held in its searchable electronic records.</w:t>
            </w:r>
          </w:p>
          <w:p w14:paraId="6D87FD60"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8. Where the platform operator has reason to believe that any of the information collected under this Article, Article 6 and Article 7 is inaccurate, it shall require the seller to correct the information and to provide supporting documents, data or information from an independent source, including, where applicable:</w:t>
            </w:r>
          </w:p>
          <w:p w14:paraId="151040D7"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a) a valid identification document issued by state authorities;</w:t>
            </w:r>
          </w:p>
          <w:p w14:paraId="5360D19E" w14:textId="77A5C18C" w:rsidR="005331A6" w:rsidRDefault="00294727" w:rsidP="00294727">
            <w:p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b) </w:t>
            </w:r>
            <w:bookmarkStart w:id="14" w:name="_Hlk231283952"/>
            <w:r>
              <w:rPr>
                <w:rFonts w:ascii="Times New Roman" w:hAnsi="Times New Roman" w:cs="Times New Roman"/>
                <w:sz w:val="18"/>
                <w:szCs w:val="18"/>
              </w:rPr>
              <w:t>a recent tax residence certificate.</w:t>
            </w:r>
          </w:p>
          <w:bookmarkEnd w:id="14"/>
          <w:p w14:paraId="14502908" w14:textId="1E315588" w:rsidR="00FC68D3" w:rsidRPr="00FC68D3" w:rsidRDefault="005331A6" w:rsidP="00294727">
            <w:p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gridSpan w:val="2"/>
          </w:tcPr>
          <w:p w14:paraId="6242DBC7" w14:textId="0C6DF6A8" w:rsidR="00FC68D3"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F</w:t>
            </w:r>
          </w:p>
        </w:tc>
        <w:tc>
          <w:tcPr>
            <w:tcW w:w="3240" w:type="dxa"/>
            <w:gridSpan w:val="2"/>
          </w:tcPr>
          <w:p w14:paraId="39F64B39" w14:textId="77777777" w:rsidR="00FC68D3" w:rsidRPr="00080E02" w:rsidRDefault="00FC68D3" w:rsidP="00E16BA5">
            <w:pPr>
              <w:rPr>
                <w:rFonts w:ascii="Times New Roman" w:eastAsia="Calibri" w:hAnsi="Times New Roman" w:cs="Times New Roman"/>
                <w:sz w:val="18"/>
                <w:szCs w:val="18"/>
              </w:rPr>
            </w:pPr>
          </w:p>
        </w:tc>
      </w:tr>
      <w:tr w:rsidR="00FC68D3" w:rsidRPr="00036F88" w14:paraId="2AE8CE05" w14:textId="77777777" w:rsidTr="00D50C43">
        <w:trPr>
          <w:gridAfter w:val="1"/>
          <w:wAfter w:w="353" w:type="dxa"/>
          <w:trHeight w:val="854"/>
        </w:trPr>
        <w:tc>
          <w:tcPr>
            <w:tcW w:w="630" w:type="dxa"/>
          </w:tcPr>
          <w:p w14:paraId="68921CAE" w14:textId="77777777" w:rsidR="00FC68D3" w:rsidRPr="00036F88" w:rsidRDefault="00FC68D3" w:rsidP="00AF6E05">
            <w:pPr>
              <w:jc w:val="both"/>
              <w:rPr>
                <w:rFonts w:ascii="Times New Roman" w:eastAsia="Calibri" w:hAnsi="Times New Roman" w:cs="Times New Roman"/>
                <w:sz w:val="18"/>
                <w:szCs w:val="18"/>
                <w:lang w:val="en-US"/>
              </w:rPr>
            </w:pPr>
            <w:bookmarkStart w:id="15" w:name="_Hlk227922937"/>
          </w:p>
        </w:tc>
        <w:tc>
          <w:tcPr>
            <w:tcW w:w="5400" w:type="dxa"/>
            <w:shd w:val="clear" w:color="auto" w:fill="D0CECE" w:themeFill="background2" w:themeFillShade="E6"/>
          </w:tcPr>
          <w:p w14:paraId="486338E5" w14:textId="77777777" w:rsidR="00FC68D3" w:rsidRPr="00FC68D3" w:rsidRDefault="00FC68D3" w:rsidP="00AF6E05">
            <w:pPr>
              <w:jc w:val="both"/>
              <w:rPr>
                <w:rFonts w:ascii="Times New Roman" w:eastAsia="Calibri" w:hAnsi="Times New Roman" w:cs="Times New Roman"/>
                <w:iCs/>
                <w:sz w:val="18"/>
                <w:szCs w:val="18"/>
                <w:lang w:val="en-US"/>
              </w:rPr>
            </w:pPr>
          </w:p>
          <w:p w14:paraId="2F49D2E6" w14:textId="77777777" w:rsidR="00FC68D3" w:rsidRPr="00FC68D3" w:rsidRDefault="00FC68D3" w:rsidP="00FC68D3">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C. Verification of the Seller's information</w:t>
            </w:r>
          </w:p>
          <w:p w14:paraId="218A826F" w14:textId="32F7BC62" w:rsidR="00FC68D3" w:rsidRPr="00FC68D3" w:rsidRDefault="00FC68D3" w:rsidP="00AF6E05">
            <w:pPr>
              <w:jc w:val="both"/>
              <w:rPr>
                <w:rFonts w:ascii="Times New Roman" w:eastAsia="Calibri" w:hAnsi="Times New Roman" w:cs="Times New Roman"/>
                <w:iCs/>
                <w:sz w:val="18"/>
                <w:szCs w:val="18"/>
                <w:lang w:val="en-US"/>
              </w:rPr>
            </w:pPr>
          </w:p>
          <w:p w14:paraId="59BA9C9D" w14:textId="77777777" w:rsidR="00FC68D3" w:rsidRPr="00036F88" w:rsidRDefault="00FC68D3" w:rsidP="00AF6E05">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67170707" w14:textId="77777777" w:rsidR="00FC68D3" w:rsidRPr="00036F88" w:rsidRDefault="00FC68D3" w:rsidP="00AF6E05">
            <w:pPr>
              <w:rPr>
                <w:rFonts w:ascii="Times New Roman" w:eastAsia="Calibri" w:hAnsi="Times New Roman" w:cs="Times New Roman"/>
                <w:sz w:val="18"/>
                <w:szCs w:val="18"/>
              </w:rPr>
            </w:pPr>
          </w:p>
        </w:tc>
        <w:tc>
          <w:tcPr>
            <w:tcW w:w="720" w:type="dxa"/>
            <w:shd w:val="clear" w:color="auto" w:fill="D0CECE" w:themeFill="background2" w:themeFillShade="E6"/>
          </w:tcPr>
          <w:p w14:paraId="79758922" w14:textId="77777777" w:rsidR="00FC68D3" w:rsidRPr="00036F88" w:rsidRDefault="00FC68D3" w:rsidP="00AF6E05">
            <w:pPr>
              <w:rPr>
                <w:rFonts w:ascii="Times New Roman" w:eastAsia="Calibri" w:hAnsi="Times New Roman" w:cs="Times New Roman"/>
                <w:sz w:val="18"/>
                <w:szCs w:val="18"/>
                <w:lang w:val="en-US"/>
              </w:rPr>
            </w:pPr>
          </w:p>
        </w:tc>
        <w:tc>
          <w:tcPr>
            <w:tcW w:w="5040" w:type="dxa"/>
            <w:gridSpan w:val="2"/>
            <w:shd w:val="clear" w:color="auto" w:fill="D0CECE" w:themeFill="background2" w:themeFillShade="E6"/>
          </w:tcPr>
          <w:p w14:paraId="277D92EC" w14:textId="77777777" w:rsidR="00BA0D16" w:rsidRPr="00294727" w:rsidRDefault="00BA0D16" w:rsidP="00BA0D16">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Article 4</w:t>
            </w:r>
          </w:p>
          <w:p w14:paraId="770F0C3B" w14:textId="177A3C7B" w:rsidR="00FC68D3" w:rsidRPr="00036F88" w:rsidRDefault="00BA0D16" w:rsidP="00BA0D16">
            <w:pPr>
              <w:jc w:val="center"/>
              <w:rPr>
                <w:rFonts w:ascii="Times New Roman" w:eastAsia="Calibri" w:hAnsi="Times New Roman" w:cs="Times New Roman"/>
                <w:sz w:val="18"/>
                <w:szCs w:val="18"/>
                <w:lang w:val="en-US"/>
              </w:rPr>
            </w:pPr>
            <w:r>
              <w:rPr>
                <w:rFonts w:ascii="Times New Roman" w:eastAsia="Calibri" w:hAnsi="Times New Roman" w:cs="Times New Roman"/>
                <w:b/>
                <w:sz w:val="18"/>
                <w:szCs w:val="18"/>
                <w:lang w:val="en-US"/>
              </w:rPr>
              <w:t>Identification of sellers to be reported</w:t>
            </w:r>
          </w:p>
        </w:tc>
        <w:tc>
          <w:tcPr>
            <w:tcW w:w="720" w:type="dxa"/>
            <w:gridSpan w:val="2"/>
            <w:shd w:val="clear" w:color="auto" w:fill="D0CECE" w:themeFill="background2" w:themeFillShade="E6"/>
          </w:tcPr>
          <w:p w14:paraId="175532AA" w14:textId="77777777" w:rsidR="00FC68D3" w:rsidRPr="00036F88" w:rsidRDefault="00FC68D3" w:rsidP="00AF6E05">
            <w:pPr>
              <w:jc w:val="center"/>
              <w:rPr>
                <w:rFonts w:ascii="Times New Roman" w:eastAsia="Calibri" w:hAnsi="Times New Roman" w:cs="Times New Roman"/>
                <w:sz w:val="18"/>
                <w:szCs w:val="18"/>
                <w:lang w:val="en-US"/>
              </w:rPr>
            </w:pPr>
          </w:p>
        </w:tc>
        <w:tc>
          <w:tcPr>
            <w:tcW w:w="3240" w:type="dxa"/>
            <w:gridSpan w:val="2"/>
            <w:shd w:val="clear" w:color="auto" w:fill="D0CECE" w:themeFill="background2" w:themeFillShade="E6"/>
          </w:tcPr>
          <w:p w14:paraId="3A8567B8" w14:textId="77777777" w:rsidR="00FC68D3" w:rsidRPr="00036F88" w:rsidRDefault="00FC68D3" w:rsidP="00AF6E05">
            <w:pPr>
              <w:rPr>
                <w:rFonts w:ascii="Times New Roman" w:eastAsia="Calibri" w:hAnsi="Times New Roman" w:cs="Times New Roman"/>
                <w:sz w:val="18"/>
                <w:szCs w:val="18"/>
                <w:lang w:val="en-US"/>
              </w:rPr>
            </w:pPr>
          </w:p>
        </w:tc>
      </w:tr>
      <w:bookmarkEnd w:id="15"/>
      <w:tr w:rsidR="00FC68D3" w:rsidRPr="00036F88" w14:paraId="03A909BD" w14:textId="77777777" w:rsidTr="00D50C43">
        <w:trPr>
          <w:gridAfter w:val="1"/>
          <w:wAfter w:w="353" w:type="dxa"/>
          <w:trHeight w:val="2204"/>
        </w:trPr>
        <w:tc>
          <w:tcPr>
            <w:tcW w:w="630" w:type="dxa"/>
          </w:tcPr>
          <w:p w14:paraId="425296D7" w14:textId="77777777" w:rsidR="00FC68D3" w:rsidRPr="00036F88" w:rsidRDefault="00FC68D3" w:rsidP="003C045B">
            <w:pPr>
              <w:jc w:val="both"/>
              <w:rPr>
                <w:rFonts w:ascii="Times New Roman" w:eastAsia="Calibri" w:hAnsi="Times New Roman" w:cs="Times New Roman"/>
                <w:sz w:val="18"/>
                <w:szCs w:val="18"/>
              </w:rPr>
            </w:pPr>
          </w:p>
        </w:tc>
        <w:tc>
          <w:tcPr>
            <w:tcW w:w="5400" w:type="dxa"/>
          </w:tcPr>
          <w:p w14:paraId="6A3E8152" w14:textId="77777777" w:rsidR="00FC68D3" w:rsidRPr="001725D0" w:rsidRDefault="00FC68D3" w:rsidP="00FC68D3">
            <w:pPr>
              <w:jc w:val="both"/>
              <w:rPr>
                <w:rFonts w:ascii="Times New Roman" w:eastAsia="Calibri" w:hAnsi="Times New Roman" w:cs="Times New Roman"/>
                <w:iCs/>
                <w:sz w:val="18"/>
                <w:szCs w:val="18"/>
                <w:lang w:val="en-US"/>
              </w:rPr>
            </w:pPr>
          </w:p>
          <w:p w14:paraId="7AF42929" w14:textId="77777777" w:rsidR="00FC68D3" w:rsidRPr="001725D0" w:rsidRDefault="00FC68D3" w:rsidP="00FC68D3">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1. The Reporting Platform Operator determines whether the information collected pursuant to paragraph A, subparagraph B(1), points (a) to (e) of subparagraph B(2) and paragraph E is reliable, using all information and documents available to the Reporting Platform Operator in its records, as well as any electronic interface made available by a Member State or the Union free of charge to verify the validity of the VAT identification number and/or VAT.</w:t>
            </w:r>
          </w:p>
          <w:p w14:paraId="03DC0C33" w14:textId="77777777" w:rsidR="00FC68D3" w:rsidRPr="001725D0" w:rsidRDefault="00FC68D3" w:rsidP="00FC68D3">
            <w:pPr>
              <w:jc w:val="both"/>
              <w:rPr>
                <w:rFonts w:ascii="Times New Roman" w:eastAsia="Calibri" w:hAnsi="Times New Roman" w:cs="Times New Roman"/>
                <w:iCs/>
                <w:sz w:val="18"/>
                <w:szCs w:val="18"/>
                <w:lang w:val="en-US"/>
              </w:rPr>
            </w:pPr>
          </w:p>
          <w:p w14:paraId="2BCCAF36" w14:textId="77777777" w:rsidR="00FC68D3" w:rsidRPr="001725D0" w:rsidRDefault="00FC68D3" w:rsidP="00FC68D3">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2. Notwithstanding subparagraph C(1), for the completion of the due diligence procedures under subparagraph F(2), the Reporting Platform Operator may determine whether the information collected under paragraph A, subparagraph B(1), points (a) to (e) of subparagraph B(2) and paragraph E is reliable, by using the information and documents available to the Reporting Platform Operator in its electronically searchable records.</w:t>
            </w:r>
          </w:p>
          <w:p w14:paraId="666A644F" w14:textId="77777777" w:rsidR="00FC68D3" w:rsidRPr="001725D0" w:rsidRDefault="00FC68D3" w:rsidP="00FC68D3">
            <w:pPr>
              <w:jc w:val="both"/>
              <w:rPr>
                <w:rFonts w:ascii="Times New Roman" w:eastAsia="Calibri" w:hAnsi="Times New Roman" w:cs="Times New Roman"/>
                <w:iCs/>
                <w:sz w:val="18"/>
                <w:szCs w:val="18"/>
                <w:lang w:val="en-US"/>
              </w:rPr>
            </w:pPr>
          </w:p>
          <w:p w14:paraId="75718F7E" w14:textId="1A9725A9" w:rsidR="00FC68D3" w:rsidRPr="001725D0" w:rsidRDefault="00FC68D3" w:rsidP="00FC68D3">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 xml:space="preserve">3. In implementation of point (b) of subparagraph F(3) and notwithstanding subparagraphs C(1) and C(2), in cases where the Reporting Platform Operator has reason to know that any of the </w:t>
            </w:r>
            <w:r>
              <w:rPr>
                <w:rFonts w:ascii="Times New Roman" w:eastAsia="Calibri" w:hAnsi="Times New Roman" w:cs="Times New Roman"/>
                <w:iCs/>
                <w:sz w:val="18"/>
                <w:szCs w:val="18"/>
                <w:lang w:val="en-US"/>
              </w:rPr>
              <w:lastRenderedPageBreak/>
              <w:t>information described in paragraph B or E may be inaccurate due to the information provided by the competent authority of a Member State in a request concerning a specific Seller, it must require the Seller to correct the information found to be inaccurate and to provide supporting documents, data or information, which are reliable and from an independent source, such as: (a) a valid identification document issued by the government, (b) a recent certificate of tax residence.</w:t>
            </w:r>
          </w:p>
        </w:tc>
        <w:tc>
          <w:tcPr>
            <w:tcW w:w="540" w:type="dxa"/>
          </w:tcPr>
          <w:p w14:paraId="209AC95D" w14:textId="77777777" w:rsidR="00FC68D3" w:rsidRPr="00036F88" w:rsidRDefault="00FC68D3" w:rsidP="003C045B">
            <w:pPr>
              <w:jc w:val="center"/>
              <w:rPr>
                <w:rFonts w:ascii="Times New Roman" w:eastAsia="Calibri" w:hAnsi="Times New Roman" w:cs="Times New Roman"/>
                <w:sz w:val="18"/>
                <w:szCs w:val="18"/>
                <w:highlight w:val="cyan"/>
              </w:rPr>
            </w:pPr>
          </w:p>
        </w:tc>
        <w:tc>
          <w:tcPr>
            <w:tcW w:w="720" w:type="dxa"/>
          </w:tcPr>
          <w:p w14:paraId="6D2BC089" w14:textId="3FF31086" w:rsidR="00FC68D3" w:rsidRPr="001725D0" w:rsidRDefault="00294727"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Article 4</w:t>
            </w:r>
          </w:p>
        </w:tc>
        <w:tc>
          <w:tcPr>
            <w:tcW w:w="5040" w:type="dxa"/>
            <w:gridSpan w:val="2"/>
          </w:tcPr>
          <w:p w14:paraId="762703DD"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5. Notwithstanding paragraph 2, letter c), and paragraph 3, letters c) and e), the operator of the reporting platform is not obliged to collect the taxable person identification number (TIN) or the business registration number, as the case may be, when one of the following conditions is met:</w:t>
            </w:r>
          </w:p>
          <w:p w14:paraId="51CC34E3"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a) the seller's state of tax residence does not issue a taxable person identification number or business registration number to that seller;</w:t>
            </w:r>
          </w:p>
          <w:p w14:paraId="2215CF32"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b) the state of tax residence of the seller does not require the collection of a taxable person identification number for that seller.</w:t>
            </w:r>
          </w:p>
          <w:p w14:paraId="39BA65C4"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6. The reporting platform operator shall assess the reliability of the information collected under this Article, Article 6 and Article 7 of this Law, using the information and documents it has in its archives, as well as any electronic verification interface or service made available free of charge by a state or the European Union.</w:t>
            </w:r>
          </w:p>
          <w:p w14:paraId="3EDED74F"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 xml:space="preserve">7. For sellers registered on the platform at the time of entry into force of this law or at the time when the platform operator becomes a reporting platform operator, the reporting platform operator shall </w:t>
            </w:r>
            <w:r w:rsidRPr="001F0A51">
              <w:rPr>
                <w:rFonts w:ascii="Times New Roman" w:hAnsi="Times New Roman" w:cs="Times New Roman"/>
                <w:sz w:val="18"/>
                <w:szCs w:val="18"/>
              </w:rPr>
              <w:lastRenderedPageBreak/>
              <w:t>assess the reliability of the information collected under this Article, Article 6 and Article 7 of this law, using the information and documentation at its disposal, including information held in its searchable electronic records.</w:t>
            </w:r>
          </w:p>
          <w:p w14:paraId="05F6DA01"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8. Where the platform operator has reason to believe that any of the information collected under this Article, Article 6 and Article 7 is inaccurate, it shall require the seller to correct the information and to provide supporting documents, data or information from an independent source, including, where applicable:</w:t>
            </w:r>
          </w:p>
          <w:p w14:paraId="6A1605D8"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a) a valid identification document issued by state authorities;</w:t>
            </w:r>
          </w:p>
          <w:p w14:paraId="42863A1C" w14:textId="7A497C6D" w:rsidR="00FC68D3" w:rsidRPr="00FC68D3"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b) a recent tax residence certificate.</w:t>
            </w:r>
            <w:r>
              <w:rPr>
                <w:rFonts w:ascii="Times New Roman" w:hAnsi="Times New Roman" w:cs="Times New Roman"/>
                <w:sz w:val="18"/>
                <w:szCs w:val="18"/>
              </w:rPr>
              <w:t xml:space="preserve"> </w:t>
            </w:r>
          </w:p>
        </w:tc>
        <w:tc>
          <w:tcPr>
            <w:tcW w:w="720" w:type="dxa"/>
            <w:gridSpan w:val="2"/>
          </w:tcPr>
          <w:p w14:paraId="32702535" w14:textId="6B54B934" w:rsidR="00FC68D3"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F</w:t>
            </w:r>
          </w:p>
        </w:tc>
        <w:tc>
          <w:tcPr>
            <w:tcW w:w="3240" w:type="dxa"/>
            <w:gridSpan w:val="2"/>
          </w:tcPr>
          <w:p w14:paraId="13501E59" w14:textId="77777777" w:rsidR="00FC68D3" w:rsidRPr="00080E02" w:rsidRDefault="00FC68D3" w:rsidP="00E16BA5">
            <w:pPr>
              <w:rPr>
                <w:rFonts w:ascii="Times New Roman" w:eastAsia="Calibri" w:hAnsi="Times New Roman" w:cs="Times New Roman"/>
                <w:sz w:val="18"/>
                <w:szCs w:val="18"/>
              </w:rPr>
            </w:pPr>
          </w:p>
        </w:tc>
      </w:tr>
      <w:tr w:rsidR="00AF6E05" w:rsidRPr="00036F88" w14:paraId="3BAB2CAD" w14:textId="77777777" w:rsidTr="00D50C43">
        <w:trPr>
          <w:gridAfter w:val="1"/>
          <w:wAfter w:w="353" w:type="dxa"/>
          <w:trHeight w:val="854"/>
        </w:trPr>
        <w:tc>
          <w:tcPr>
            <w:tcW w:w="630" w:type="dxa"/>
          </w:tcPr>
          <w:p w14:paraId="4EF003A6" w14:textId="77777777" w:rsidR="00AF6E05" w:rsidRPr="00036F88" w:rsidRDefault="00AF6E05" w:rsidP="00AF6E05">
            <w:pPr>
              <w:jc w:val="both"/>
              <w:rPr>
                <w:rFonts w:ascii="Times New Roman" w:eastAsia="Calibri" w:hAnsi="Times New Roman" w:cs="Times New Roman"/>
                <w:sz w:val="18"/>
                <w:szCs w:val="18"/>
                <w:lang w:val="en-US"/>
              </w:rPr>
            </w:pPr>
            <w:bookmarkStart w:id="16" w:name="_Hlk227923076"/>
          </w:p>
        </w:tc>
        <w:tc>
          <w:tcPr>
            <w:tcW w:w="5400" w:type="dxa"/>
            <w:shd w:val="clear" w:color="auto" w:fill="D0CECE" w:themeFill="background2" w:themeFillShade="E6"/>
          </w:tcPr>
          <w:p w14:paraId="68C8CD05" w14:textId="77777777" w:rsidR="00AF6E05" w:rsidRPr="001725D0" w:rsidRDefault="00AF6E05" w:rsidP="00AF6E05">
            <w:pPr>
              <w:jc w:val="both"/>
              <w:rPr>
                <w:rFonts w:ascii="Times New Roman" w:eastAsia="Calibri" w:hAnsi="Times New Roman" w:cs="Times New Roman"/>
                <w:iCs/>
                <w:sz w:val="18"/>
                <w:szCs w:val="18"/>
                <w:lang w:val="en-US"/>
              </w:rPr>
            </w:pPr>
          </w:p>
          <w:p w14:paraId="79051D50" w14:textId="77777777" w:rsidR="00AF6E05" w:rsidRPr="001725D0" w:rsidRDefault="00AF6E05" w:rsidP="00AF6E0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D. Determination of the Member State/States of residence of the Seller for the purposes of this Directive</w:t>
            </w:r>
          </w:p>
          <w:p w14:paraId="7A6E3139" w14:textId="3D1EC905" w:rsidR="00AF6E05" w:rsidRPr="001725D0" w:rsidRDefault="00AF6E05" w:rsidP="00AF6E05">
            <w:pPr>
              <w:jc w:val="both"/>
              <w:rPr>
                <w:rFonts w:ascii="Times New Roman" w:eastAsia="Calibri" w:hAnsi="Times New Roman" w:cs="Times New Roman"/>
                <w:iCs/>
                <w:sz w:val="18"/>
                <w:szCs w:val="18"/>
                <w:lang w:val="en-US"/>
              </w:rPr>
            </w:pPr>
          </w:p>
          <w:p w14:paraId="706353EF" w14:textId="77777777" w:rsidR="00AF6E05" w:rsidRPr="001725D0" w:rsidRDefault="00AF6E05" w:rsidP="00AF6E05">
            <w:pPr>
              <w:jc w:val="both"/>
              <w:rPr>
                <w:rFonts w:ascii="Times New Roman" w:eastAsia="Calibri" w:hAnsi="Times New Roman" w:cs="Times New Roman"/>
                <w:iCs/>
                <w:sz w:val="18"/>
                <w:szCs w:val="18"/>
                <w:lang w:val="en-US"/>
              </w:rPr>
            </w:pPr>
          </w:p>
          <w:p w14:paraId="2D97FE52" w14:textId="77777777" w:rsidR="00AF6E05" w:rsidRPr="00036F88" w:rsidRDefault="00AF6E05" w:rsidP="00AF6E05">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3B046B6D" w14:textId="77777777" w:rsidR="00AF6E05" w:rsidRPr="00036F88" w:rsidRDefault="00AF6E05" w:rsidP="00AF6E05">
            <w:pPr>
              <w:rPr>
                <w:rFonts w:ascii="Times New Roman" w:eastAsia="Calibri" w:hAnsi="Times New Roman" w:cs="Times New Roman"/>
                <w:sz w:val="18"/>
                <w:szCs w:val="18"/>
              </w:rPr>
            </w:pPr>
          </w:p>
        </w:tc>
        <w:tc>
          <w:tcPr>
            <w:tcW w:w="720" w:type="dxa"/>
            <w:shd w:val="clear" w:color="auto" w:fill="D0CECE" w:themeFill="background2" w:themeFillShade="E6"/>
          </w:tcPr>
          <w:p w14:paraId="339A140F" w14:textId="77777777" w:rsidR="00AF6E05" w:rsidRPr="00036F88" w:rsidRDefault="00AF6E05" w:rsidP="00AF6E05">
            <w:pPr>
              <w:rPr>
                <w:rFonts w:ascii="Times New Roman" w:eastAsia="Calibri" w:hAnsi="Times New Roman" w:cs="Times New Roman"/>
                <w:sz w:val="18"/>
                <w:szCs w:val="18"/>
                <w:lang w:val="en-US"/>
              </w:rPr>
            </w:pPr>
          </w:p>
        </w:tc>
        <w:tc>
          <w:tcPr>
            <w:tcW w:w="5040" w:type="dxa"/>
            <w:gridSpan w:val="2"/>
            <w:shd w:val="clear" w:color="auto" w:fill="D0CECE" w:themeFill="background2" w:themeFillShade="E6"/>
          </w:tcPr>
          <w:p w14:paraId="6FFC0051" w14:textId="77777777" w:rsidR="00294727" w:rsidRPr="00294727" w:rsidRDefault="00294727" w:rsidP="00294727">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Article 6</w:t>
            </w:r>
          </w:p>
          <w:p w14:paraId="5AA3989C" w14:textId="31A51D43" w:rsidR="00AF6E05" w:rsidRPr="00036F88" w:rsidRDefault="00294727" w:rsidP="00294727">
            <w:pPr>
              <w:jc w:val="center"/>
              <w:rPr>
                <w:rFonts w:ascii="Times New Roman" w:eastAsia="Calibri" w:hAnsi="Times New Roman" w:cs="Times New Roman"/>
                <w:sz w:val="18"/>
                <w:szCs w:val="18"/>
                <w:lang w:val="en-US"/>
              </w:rPr>
            </w:pPr>
            <w:bookmarkStart w:id="17" w:name="_Hlk231284183"/>
            <w:r>
              <w:rPr>
                <w:rFonts w:ascii="Times New Roman" w:eastAsia="Calibri" w:hAnsi="Times New Roman" w:cs="Times New Roman"/>
                <w:b/>
                <w:sz w:val="18"/>
                <w:szCs w:val="18"/>
                <w:lang w:val="en-US"/>
              </w:rPr>
              <w:t>Determination of the State or States of residence of the seller</w:t>
            </w:r>
            <w:bookmarkEnd w:id="17"/>
          </w:p>
        </w:tc>
        <w:tc>
          <w:tcPr>
            <w:tcW w:w="720" w:type="dxa"/>
            <w:gridSpan w:val="2"/>
            <w:shd w:val="clear" w:color="auto" w:fill="D0CECE" w:themeFill="background2" w:themeFillShade="E6"/>
          </w:tcPr>
          <w:p w14:paraId="512282FF" w14:textId="77777777" w:rsidR="00AF6E05" w:rsidRPr="00036F88" w:rsidRDefault="00AF6E05" w:rsidP="00AF6E05">
            <w:pPr>
              <w:jc w:val="center"/>
              <w:rPr>
                <w:rFonts w:ascii="Times New Roman" w:eastAsia="Calibri" w:hAnsi="Times New Roman" w:cs="Times New Roman"/>
                <w:sz w:val="18"/>
                <w:szCs w:val="18"/>
                <w:lang w:val="en-US"/>
              </w:rPr>
            </w:pPr>
          </w:p>
        </w:tc>
        <w:tc>
          <w:tcPr>
            <w:tcW w:w="3240" w:type="dxa"/>
            <w:gridSpan w:val="2"/>
            <w:shd w:val="clear" w:color="auto" w:fill="D0CECE" w:themeFill="background2" w:themeFillShade="E6"/>
          </w:tcPr>
          <w:p w14:paraId="340840D0" w14:textId="77777777" w:rsidR="00AF6E05" w:rsidRPr="00036F88" w:rsidRDefault="00AF6E05" w:rsidP="00AF6E05">
            <w:pPr>
              <w:rPr>
                <w:rFonts w:ascii="Times New Roman" w:eastAsia="Calibri" w:hAnsi="Times New Roman" w:cs="Times New Roman"/>
                <w:sz w:val="18"/>
                <w:szCs w:val="18"/>
                <w:lang w:val="en-US"/>
              </w:rPr>
            </w:pPr>
          </w:p>
        </w:tc>
      </w:tr>
      <w:bookmarkEnd w:id="16"/>
      <w:tr w:rsidR="00AF6E05" w:rsidRPr="00036F88" w14:paraId="75C7E130" w14:textId="77777777" w:rsidTr="00D50C43">
        <w:trPr>
          <w:gridAfter w:val="1"/>
          <w:wAfter w:w="353" w:type="dxa"/>
          <w:trHeight w:val="2204"/>
        </w:trPr>
        <w:tc>
          <w:tcPr>
            <w:tcW w:w="630" w:type="dxa"/>
          </w:tcPr>
          <w:p w14:paraId="548945EB" w14:textId="77777777" w:rsidR="00AF6E05" w:rsidRPr="00036F88" w:rsidRDefault="00AF6E05" w:rsidP="003C045B">
            <w:pPr>
              <w:jc w:val="both"/>
              <w:rPr>
                <w:rFonts w:ascii="Times New Roman" w:eastAsia="Calibri" w:hAnsi="Times New Roman" w:cs="Times New Roman"/>
                <w:sz w:val="18"/>
                <w:szCs w:val="18"/>
              </w:rPr>
            </w:pPr>
          </w:p>
        </w:tc>
        <w:tc>
          <w:tcPr>
            <w:tcW w:w="5400" w:type="dxa"/>
          </w:tcPr>
          <w:p w14:paraId="2AF9BB17" w14:textId="77777777" w:rsidR="00AF6E05" w:rsidRPr="001725D0" w:rsidRDefault="00AF6E05" w:rsidP="00AF6E05">
            <w:pPr>
              <w:jc w:val="both"/>
              <w:rPr>
                <w:rFonts w:ascii="Times New Roman" w:eastAsia="Calibri" w:hAnsi="Times New Roman" w:cs="Times New Roman"/>
                <w:iCs/>
                <w:sz w:val="18"/>
                <w:szCs w:val="18"/>
                <w:lang w:val="en-US"/>
              </w:rPr>
            </w:pPr>
          </w:p>
          <w:p w14:paraId="498B1FFF" w14:textId="77777777" w:rsidR="00AF6E05" w:rsidRPr="001725D0" w:rsidRDefault="00AF6E05" w:rsidP="00AF6E0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1. A Reporting Platform Operator must consider a Seller resident in the Member State of the Seller's Primary Address. Where it is different from the Member State of the Seller's Primary Address, a Reporting Platform Operator must also consider the Seller resident in the Member State of issuance of the Personal Data Number (NIPT). Where the Seller has provided information regarding the existence of a permanent establishment pursuant to point (f) of subparagraph B(2), a Reporting Platform Operator must also consider a Seller resident in the relevant Member State, as specified by the Seller.</w:t>
            </w:r>
          </w:p>
          <w:p w14:paraId="79574DC7" w14:textId="77777777" w:rsidR="00AF6E05" w:rsidRPr="001725D0" w:rsidRDefault="00AF6E05" w:rsidP="00AF6E05">
            <w:pPr>
              <w:jc w:val="both"/>
              <w:rPr>
                <w:rFonts w:ascii="Times New Roman" w:eastAsia="Calibri" w:hAnsi="Times New Roman" w:cs="Times New Roman"/>
                <w:iCs/>
                <w:sz w:val="18"/>
                <w:szCs w:val="18"/>
                <w:lang w:val="en-US"/>
              </w:rPr>
            </w:pPr>
          </w:p>
          <w:p w14:paraId="314C328C" w14:textId="254FCAD3" w:rsidR="00AF6E05" w:rsidRPr="001725D0" w:rsidRDefault="00AF6E05" w:rsidP="00AF6E0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2. Notwithstanding subparagraph D(1), a Reporting Platform Operator shall consider a Seller resident in any Member State confirmed by an electronic identification service made available by a Member State or the Union in accordance with subparagraph B(3).</w:t>
            </w:r>
          </w:p>
        </w:tc>
        <w:tc>
          <w:tcPr>
            <w:tcW w:w="540" w:type="dxa"/>
          </w:tcPr>
          <w:p w14:paraId="533BE718" w14:textId="77777777" w:rsidR="00AF6E05" w:rsidRPr="00036F88" w:rsidRDefault="00AF6E05" w:rsidP="003C045B">
            <w:pPr>
              <w:jc w:val="center"/>
              <w:rPr>
                <w:rFonts w:ascii="Times New Roman" w:eastAsia="Calibri" w:hAnsi="Times New Roman" w:cs="Times New Roman"/>
                <w:sz w:val="18"/>
                <w:szCs w:val="18"/>
                <w:highlight w:val="cyan"/>
              </w:rPr>
            </w:pPr>
          </w:p>
        </w:tc>
        <w:tc>
          <w:tcPr>
            <w:tcW w:w="720" w:type="dxa"/>
          </w:tcPr>
          <w:p w14:paraId="3C1D7370" w14:textId="33741A0A" w:rsidR="00AF6E05" w:rsidRPr="001725D0" w:rsidRDefault="00294727"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 xml:space="preserve">Article  6 </w:t>
            </w:r>
          </w:p>
        </w:tc>
        <w:tc>
          <w:tcPr>
            <w:tcW w:w="5040" w:type="dxa"/>
            <w:gridSpan w:val="2"/>
          </w:tcPr>
          <w:p w14:paraId="6FB30844" w14:textId="77777777" w:rsidR="00294727" w:rsidRPr="00294727" w:rsidRDefault="00294727" w:rsidP="00294727">
            <w:pPr>
              <w:spacing w:line="276" w:lineRule="auto"/>
              <w:jc w:val="both"/>
              <w:rPr>
                <w:rFonts w:ascii="Times New Roman" w:hAnsi="Times New Roman" w:cs="Times New Roman"/>
                <w:sz w:val="18"/>
                <w:szCs w:val="18"/>
              </w:rPr>
            </w:pPr>
            <w:r>
              <w:rPr>
                <w:rFonts w:ascii="Times New Roman" w:hAnsi="Times New Roman" w:cs="Times New Roman"/>
                <w:sz w:val="18"/>
                <w:szCs w:val="18"/>
              </w:rPr>
              <w:t>1. The Reporting Platform Operator considers a seller resident in the state where the seller's primary address is located.</w:t>
            </w:r>
          </w:p>
          <w:p w14:paraId="42510F77" w14:textId="77777777" w:rsidR="00294727" w:rsidRPr="00294727" w:rsidRDefault="00294727" w:rsidP="00294727">
            <w:pPr>
              <w:spacing w:line="276" w:lineRule="auto"/>
              <w:jc w:val="both"/>
              <w:rPr>
                <w:rFonts w:ascii="Times New Roman" w:hAnsi="Times New Roman" w:cs="Times New Roman"/>
                <w:sz w:val="18"/>
                <w:szCs w:val="18"/>
              </w:rPr>
            </w:pPr>
          </w:p>
          <w:p w14:paraId="1D5724AE" w14:textId="16BEE165" w:rsidR="00294727" w:rsidRPr="00294727" w:rsidRDefault="001F0A51" w:rsidP="00294727">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2. When the seller's primary address differs from the state that issued the seller's tax identification number (TIN), the operator considers the seller also resident in the State that issued this TIN.</w:t>
            </w:r>
            <w:r w:rsidR="00294727" w:rsidRPr="00294727">
              <w:rPr>
                <w:rFonts w:ascii="Times New Roman" w:hAnsi="Times New Roman" w:cs="Times New Roman"/>
                <w:sz w:val="18"/>
                <w:szCs w:val="18"/>
              </w:rPr>
              <w:tab/>
            </w:r>
          </w:p>
          <w:p w14:paraId="32EDD438" w14:textId="77777777" w:rsidR="001F0A51" w:rsidRPr="001F0A51"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3. When the seller has provided information on the existence of a permanent establishment, the platform operator shall consider the seller also to be resident in the State where the declared permanent establishment is located, in accordance with Article 4, paragraph 3, letter f).</w:t>
            </w:r>
          </w:p>
          <w:p w14:paraId="550B7018" w14:textId="77777777" w:rsidR="001F0A51" w:rsidRPr="001F0A51" w:rsidRDefault="001F0A51" w:rsidP="001F0A51">
            <w:pPr>
              <w:spacing w:line="276" w:lineRule="auto"/>
              <w:jc w:val="both"/>
              <w:rPr>
                <w:rFonts w:ascii="Times New Roman" w:hAnsi="Times New Roman" w:cs="Times New Roman"/>
                <w:sz w:val="18"/>
                <w:szCs w:val="18"/>
              </w:rPr>
            </w:pPr>
          </w:p>
          <w:p w14:paraId="50E262DB" w14:textId="32D82435" w:rsidR="00AF6E05" w:rsidRPr="00FC68D3" w:rsidRDefault="001F0A51" w:rsidP="001F0A51">
            <w:pPr>
              <w:spacing w:line="276" w:lineRule="auto"/>
              <w:jc w:val="both"/>
              <w:rPr>
                <w:rFonts w:ascii="Times New Roman" w:hAnsi="Times New Roman" w:cs="Times New Roman"/>
                <w:sz w:val="18"/>
                <w:szCs w:val="18"/>
              </w:rPr>
            </w:pPr>
            <w:r w:rsidRPr="001F0A51">
              <w:rPr>
                <w:rFonts w:ascii="Times New Roman" w:hAnsi="Times New Roman" w:cs="Times New Roman"/>
                <w:sz w:val="18"/>
                <w:szCs w:val="18"/>
              </w:rPr>
              <w:t>4. Notwithstanding paragraphs 1 to 3, the reporting platform operator shall consider a seller to be resident in any country for which the seller's residence has been confirmed through an electronic identification service made available by a country or by the European Union, in accordance with Article 4 paragraph 4.</w:t>
            </w:r>
          </w:p>
        </w:tc>
        <w:tc>
          <w:tcPr>
            <w:tcW w:w="720" w:type="dxa"/>
            <w:gridSpan w:val="2"/>
          </w:tcPr>
          <w:p w14:paraId="17F75D3A" w14:textId="1DE44F4C" w:rsidR="00AF6E05"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07C0429B" w14:textId="77777777" w:rsidR="00AF6E05" w:rsidRPr="00080E02" w:rsidRDefault="00AF6E05" w:rsidP="00E16BA5">
            <w:pPr>
              <w:rPr>
                <w:rFonts w:ascii="Times New Roman" w:eastAsia="Calibri" w:hAnsi="Times New Roman" w:cs="Times New Roman"/>
                <w:sz w:val="18"/>
                <w:szCs w:val="18"/>
              </w:rPr>
            </w:pPr>
          </w:p>
        </w:tc>
      </w:tr>
      <w:tr w:rsidR="00AF6E05" w:rsidRPr="00036F88" w14:paraId="41873863" w14:textId="77777777" w:rsidTr="00D50C43">
        <w:trPr>
          <w:gridAfter w:val="1"/>
          <w:wAfter w:w="353" w:type="dxa"/>
          <w:trHeight w:val="854"/>
        </w:trPr>
        <w:tc>
          <w:tcPr>
            <w:tcW w:w="630" w:type="dxa"/>
          </w:tcPr>
          <w:p w14:paraId="7050930A" w14:textId="77777777" w:rsidR="00AF6E05" w:rsidRPr="00036F88" w:rsidRDefault="00AF6E05" w:rsidP="00AF6E05">
            <w:pPr>
              <w:jc w:val="both"/>
              <w:rPr>
                <w:rFonts w:ascii="Times New Roman" w:eastAsia="Calibri" w:hAnsi="Times New Roman" w:cs="Times New Roman"/>
                <w:sz w:val="18"/>
                <w:szCs w:val="18"/>
                <w:lang w:val="en-US"/>
              </w:rPr>
            </w:pPr>
            <w:bookmarkStart w:id="18" w:name="_Hlk227923227"/>
          </w:p>
        </w:tc>
        <w:tc>
          <w:tcPr>
            <w:tcW w:w="5400" w:type="dxa"/>
            <w:shd w:val="clear" w:color="auto" w:fill="D0CECE" w:themeFill="background2" w:themeFillShade="E6"/>
          </w:tcPr>
          <w:p w14:paraId="6C6C3036" w14:textId="10CA41C7" w:rsidR="00AF6E05" w:rsidRPr="001725D0" w:rsidRDefault="00AF6E05" w:rsidP="00AF6E05">
            <w:pPr>
              <w:jc w:val="both"/>
              <w:rPr>
                <w:rFonts w:ascii="Times New Roman" w:eastAsia="Calibri" w:hAnsi="Times New Roman" w:cs="Times New Roman"/>
                <w:iCs/>
                <w:sz w:val="18"/>
                <w:szCs w:val="18"/>
                <w:lang w:val="en-US"/>
              </w:rPr>
            </w:pPr>
          </w:p>
          <w:p w14:paraId="0D82808E" w14:textId="77777777" w:rsidR="00AF6E05" w:rsidRPr="001725D0" w:rsidRDefault="00AF6E05" w:rsidP="00AF6E05">
            <w:pPr>
              <w:jc w:val="both"/>
              <w:rPr>
                <w:rFonts w:ascii="Times New Roman" w:eastAsia="Calibri" w:hAnsi="Times New Roman" w:cs="Times New Roman"/>
                <w:iCs/>
                <w:sz w:val="18"/>
                <w:szCs w:val="18"/>
                <w:lang w:val="en-US"/>
              </w:rPr>
            </w:pPr>
          </w:p>
          <w:p w14:paraId="53226D37" w14:textId="77777777" w:rsidR="00AF6E05" w:rsidRPr="001725D0" w:rsidRDefault="00AF6E05" w:rsidP="00AF6E0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E. Collection of information on immovable property given for rent</w:t>
            </w:r>
          </w:p>
          <w:p w14:paraId="769CDB1A" w14:textId="77777777" w:rsidR="00AF6E05" w:rsidRPr="00036F88" w:rsidRDefault="00AF6E05" w:rsidP="00AF6E05">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7A8E62D0" w14:textId="77777777" w:rsidR="00AF6E05" w:rsidRPr="00036F88" w:rsidRDefault="00AF6E05" w:rsidP="00AF6E05">
            <w:pPr>
              <w:rPr>
                <w:rFonts w:ascii="Times New Roman" w:eastAsia="Calibri" w:hAnsi="Times New Roman" w:cs="Times New Roman"/>
                <w:sz w:val="18"/>
                <w:szCs w:val="18"/>
              </w:rPr>
            </w:pPr>
          </w:p>
        </w:tc>
        <w:tc>
          <w:tcPr>
            <w:tcW w:w="720" w:type="dxa"/>
            <w:shd w:val="clear" w:color="auto" w:fill="D0CECE" w:themeFill="background2" w:themeFillShade="E6"/>
          </w:tcPr>
          <w:p w14:paraId="4371B4D5" w14:textId="77777777" w:rsidR="00AF6E05" w:rsidRPr="00036F88" w:rsidRDefault="00AF6E05" w:rsidP="00AF6E05">
            <w:pPr>
              <w:rPr>
                <w:rFonts w:ascii="Times New Roman" w:eastAsia="Calibri" w:hAnsi="Times New Roman" w:cs="Times New Roman"/>
                <w:sz w:val="18"/>
                <w:szCs w:val="18"/>
                <w:lang w:val="en-US"/>
              </w:rPr>
            </w:pPr>
          </w:p>
        </w:tc>
        <w:tc>
          <w:tcPr>
            <w:tcW w:w="5040" w:type="dxa"/>
            <w:gridSpan w:val="2"/>
            <w:shd w:val="clear" w:color="auto" w:fill="D0CECE" w:themeFill="background2" w:themeFillShade="E6"/>
          </w:tcPr>
          <w:p w14:paraId="7C331F2D" w14:textId="77777777" w:rsidR="00AF6E05" w:rsidRDefault="00AF6E05" w:rsidP="00AF6E05">
            <w:pPr>
              <w:jc w:val="center"/>
              <w:rPr>
                <w:rFonts w:ascii="Times New Roman" w:eastAsia="Calibri" w:hAnsi="Times New Roman" w:cs="Times New Roman"/>
                <w:sz w:val="18"/>
                <w:szCs w:val="18"/>
                <w:lang w:val="en-US"/>
              </w:rPr>
            </w:pPr>
          </w:p>
          <w:p w14:paraId="571CD95B" w14:textId="77777777" w:rsidR="00294727" w:rsidRPr="00294727" w:rsidRDefault="00294727" w:rsidP="00294727">
            <w:pPr>
              <w:jc w:val="center"/>
              <w:rPr>
                <w:rFonts w:ascii="Times New Roman" w:eastAsia="Calibri" w:hAnsi="Times New Roman" w:cs="Times New Roman"/>
                <w:b/>
                <w:sz w:val="20"/>
                <w:szCs w:val="18"/>
                <w:lang w:val="en-US"/>
              </w:rPr>
            </w:pPr>
            <w:r>
              <w:rPr>
                <w:rFonts w:ascii="Times New Roman" w:eastAsia="Calibri" w:hAnsi="Times New Roman" w:cs="Times New Roman"/>
                <w:b/>
                <w:sz w:val="20"/>
                <w:szCs w:val="18"/>
                <w:lang w:val="en-US"/>
              </w:rPr>
              <w:t>Article 7</w:t>
            </w:r>
          </w:p>
          <w:p w14:paraId="3F5AD47E" w14:textId="7C68DA9F" w:rsidR="00AF6E05" w:rsidRPr="00036F88" w:rsidRDefault="00294727" w:rsidP="00294727">
            <w:pPr>
              <w:jc w:val="center"/>
              <w:rPr>
                <w:rFonts w:ascii="Times New Roman" w:eastAsia="Calibri" w:hAnsi="Times New Roman" w:cs="Times New Roman"/>
                <w:sz w:val="18"/>
                <w:szCs w:val="18"/>
                <w:lang w:val="en-US"/>
              </w:rPr>
            </w:pPr>
            <w:r>
              <w:rPr>
                <w:rFonts w:ascii="Times New Roman" w:eastAsia="Calibri" w:hAnsi="Times New Roman" w:cs="Times New Roman"/>
                <w:b/>
                <w:sz w:val="20"/>
                <w:szCs w:val="18"/>
                <w:lang w:val="en-US"/>
              </w:rPr>
              <w:t xml:space="preserve">Collection of information on immovable properties </w:t>
            </w:r>
            <w:r w:rsidR="001F0A51">
              <w:rPr>
                <w:rFonts w:ascii="Times New Roman" w:eastAsia="Calibri" w:hAnsi="Times New Roman" w:cs="Times New Roman"/>
                <w:b/>
                <w:sz w:val="20"/>
                <w:szCs w:val="18"/>
                <w:lang w:val="en-US"/>
              </w:rPr>
              <w:t>rentals</w:t>
            </w:r>
          </w:p>
        </w:tc>
        <w:tc>
          <w:tcPr>
            <w:tcW w:w="720" w:type="dxa"/>
            <w:gridSpan w:val="2"/>
            <w:shd w:val="clear" w:color="auto" w:fill="D0CECE" w:themeFill="background2" w:themeFillShade="E6"/>
          </w:tcPr>
          <w:p w14:paraId="1A96CE87" w14:textId="77777777" w:rsidR="00AF6E05" w:rsidRPr="00036F88" w:rsidRDefault="00AF6E05" w:rsidP="00AF6E05">
            <w:pPr>
              <w:jc w:val="center"/>
              <w:rPr>
                <w:rFonts w:ascii="Times New Roman" w:eastAsia="Calibri" w:hAnsi="Times New Roman" w:cs="Times New Roman"/>
                <w:sz w:val="18"/>
                <w:szCs w:val="18"/>
                <w:lang w:val="en-US"/>
              </w:rPr>
            </w:pPr>
          </w:p>
        </w:tc>
        <w:tc>
          <w:tcPr>
            <w:tcW w:w="3240" w:type="dxa"/>
            <w:gridSpan w:val="2"/>
            <w:shd w:val="clear" w:color="auto" w:fill="D0CECE" w:themeFill="background2" w:themeFillShade="E6"/>
          </w:tcPr>
          <w:p w14:paraId="267DC1F9" w14:textId="77777777" w:rsidR="00AF6E05" w:rsidRPr="00036F88" w:rsidRDefault="00AF6E05" w:rsidP="00AF6E05">
            <w:pPr>
              <w:rPr>
                <w:rFonts w:ascii="Times New Roman" w:eastAsia="Calibri" w:hAnsi="Times New Roman" w:cs="Times New Roman"/>
                <w:sz w:val="18"/>
                <w:szCs w:val="18"/>
                <w:lang w:val="en-US"/>
              </w:rPr>
            </w:pPr>
          </w:p>
        </w:tc>
      </w:tr>
      <w:bookmarkEnd w:id="18"/>
      <w:tr w:rsidR="00AF6E05" w:rsidRPr="00036F88" w14:paraId="5F94EEB0" w14:textId="77777777" w:rsidTr="00D50C43">
        <w:trPr>
          <w:gridAfter w:val="1"/>
          <w:wAfter w:w="353" w:type="dxa"/>
          <w:trHeight w:val="2204"/>
        </w:trPr>
        <w:tc>
          <w:tcPr>
            <w:tcW w:w="630" w:type="dxa"/>
          </w:tcPr>
          <w:p w14:paraId="31E31C4F" w14:textId="77777777" w:rsidR="00AF6E05" w:rsidRPr="00036F88" w:rsidRDefault="00AF6E05" w:rsidP="003C045B">
            <w:pPr>
              <w:jc w:val="both"/>
              <w:rPr>
                <w:rFonts w:ascii="Times New Roman" w:eastAsia="Calibri" w:hAnsi="Times New Roman" w:cs="Times New Roman"/>
                <w:sz w:val="18"/>
                <w:szCs w:val="18"/>
              </w:rPr>
            </w:pPr>
          </w:p>
        </w:tc>
        <w:tc>
          <w:tcPr>
            <w:tcW w:w="5400" w:type="dxa"/>
          </w:tcPr>
          <w:p w14:paraId="48543F0A" w14:textId="77777777" w:rsidR="00AF6E05" w:rsidRPr="001725D0" w:rsidRDefault="00AF6E05" w:rsidP="00AF6E05">
            <w:pPr>
              <w:jc w:val="both"/>
              <w:rPr>
                <w:rFonts w:ascii="Times New Roman" w:eastAsia="Calibri" w:hAnsi="Times New Roman" w:cs="Times New Roman"/>
                <w:iCs/>
                <w:sz w:val="18"/>
                <w:szCs w:val="18"/>
                <w:lang w:val="en-US"/>
              </w:rPr>
            </w:pPr>
          </w:p>
          <w:p w14:paraId="70C1C622" w14:textId="63032E89" w:rsidR="00AF6E05" w:rsidRPr="001725D0" w:rsidRDefault="00AF6E05" w:rsidP="00AF6E0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When a Seller is engaged in a Relevant Activity involving the rental of immovable property, the Reporting Platform Operator must collect the address of each Property Listing and, where issued, the respective land registration number or its equivalent under the national law of the Member State where it is located. Where a Reporting Platform Operator has facilitated more than 2,000 Relevant Activities by means of the rental of a Property Listing for the same Seller that is an Entity, the Reporting Platform Operator must collect supporting documents, data or information that the Property Listing is owned by the same owner.</w:t>
            </w:r>
          </w:p>
        </w:tc>
        <w:tc>
          <w:tcPr>
            <w:tcW w:w="540" w:type="dxa"/>
          </w:tcPr>
          <w:p w14:paraId="54DAF279" w14:textId="77777777" w:rsidR="00AF6E05" w:rsidRPr="00036F88" w:rsidRDefault="00AF6E05" w:rsidP="003C045B">
            <w:pPr>
              <w:jc w:val="center"/>
              <w:rPr>
                <w:rFonts w:ascii="Times New Roman" w:eastAsia="Calibri" w:hAnsi="Times New Roman" w:cs="Times New Roman"/>
                <w:sz w:val="18"/>
                <w:szCs w:val="18"/>
                <w:highlight w:val="cyan"/>
              </w:rPr>
            </w:pPr>
          </w:p>
        </w:tc>
        <w:tc>
          <w:tcPr>
            <w:tcW w:w="720" w:type="dxa"/>
          </w:tcPr>
          <w:p w14:paraId="6E94E9FD" w14:textId="3A952FAA" w:rsidR="00AF6E05" w:rsidRPr="001725D0" w:rsidRDefault="00294727"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 xml:space="preserve">Article 7 </w:t>
            </w:r>
          </w:p>
        </w:tc>
        <w:tc>
          <w:tcPr>
            <w:tcW w:w="5040" w:type="dxa"/>
            <w:gridSpan w:val="2"/>
          </w:tcPr>
          <w:p w14:paraId="05A866E8" w14:textId="77777777" w:rsidR="001F0A51" w:rsidRPr="001F0A51" w:rsidRDefault="001F0A51" w:rsidP="001F0A51">
            <w:pPr>
              <w:jc w:val="both"/>
              <w:rPr>
                <w:rFonts w:ascii="Times New Roman" w:hAnsi="Times New Roman" w:cs="Times New Roman"/>
                <w:sz w:val="18"/>
                <w:szCs w:val="18"/>
              </w:rPr>
            </w:pPr>
            <w:r w:rsidRPr="001F0A51">
              <w:rPr>
                <w:rFonts w:ascii="Times New Roman" w:hAnsi="Times New Roman" w:cs="Times New Roman"/>
                <w:sz w:val="18"/>
                <w:szCs w:val="18"/>
              </w:rPr>
              <w:t>1.</w:t>
            </w:r>
            <w:r w:rsidRPr="001F0A51">
              <w:rPr>
                <w:rFonts w:ascii="Times New Roman" w:hAnsi="Times New Roman" w:cs="Times New Roman"/>
                <w:sz w:val="18"/>
                <w:szCs w:val="18"/>
              </w:rPr>
              <w:tab/>
              <w:t>For the purpose of collecting information on immovable property rentals, a Reporting Platform Operator shall collect the address of each listed property and, where available, the cadastral registration number or an equivalent identifier provided for under the applicable legal framework.</w:t>
            </w:r>
          </w:p>
          <w:p w14:paraId="28808409" w14:textId="77777777" w:rsidR="001F0A51" w:rsidRPr="001F0A51" w:rsidRDefault="001F0A51" w:rsidP="001F0A51">
            <w:pPr>
              <w:jc w:val="both"/>
              <w:rPr>
                <w:rFonts w:ascii="Times New Roman" w:hAnsi="Times New Roman" w:cs="Times New Roman"/>
                <w:sz w:val="18"/>
                <w:szCs w:val="18"/>
              </w:rPr>
            </w:pPr>
          </w:p>
          <w:p w14:paraId="6556181F" w14:textId="77777777" w:rsidR="001F0A51" w:rsidRPr="001F0A51" w:rsidRDefault="001F0A51" w:rsidP="001F0A51">
            <w:pPr>
              <w:jc w:val="both"/>
              <w:rPr>
                <w:rFonts w:ascii="Times New Roman" w:hAnsi="Times New Roman" w:cs="Times New Roman"/>
                <w:sz w:val="18"/>
                <w:szCs w:val="18"/>
              </w:rPr>
            </w:pPr>
            <w:r w:rsidRPr="001F0A51">
              <w:rPr>
                <w:rFonts w:ascii="Times New Roman" w:hAnsi="Times New Roman" w:cs="Times New Roman"/>
                <w:sz w:val="18"/>
                <w:szCs w:val="18"/>
              </w:rPr>
              <w:t>2.</w:t>
            </w:r>
            <w:r w:rsidRPr="001F0A51">
              <w:rPr>
                <w:rFonts w:ascii="Times New Roman" w:hAnsi="Times New Roman" w:cs="Times New Roman"/>
                <w:sz w:val="18"/>
                <w:szCs w:val="18"/>
              </w:rPr>
              <w:tab/>
              <w:t xml:space="preserve"> For each Seller that has carried out Reportable Activities for rental in respect of a listed property through the platform, the Reporting Platform Operator shall collect supporting documents, data, or information demonstrating that the listed property belongs to the same owner, to the extent that such information is available and can reasonably be obtained.</w:t>
            </w:r>
          </w:p>
          <w:p w14:paraId="32E848B6" w14:textId="77777777" w:rsidR="001F0A51" w:rsidRPr="001F0A51" w:rsidRDefault="001F0A51" w:rsidP="001F0A51">
            <w:pPr>
              <w:jc w:val="both"/>
              <w:rPr>
                <w:rFonts w:ascii="Times New Roman" w:hAnsi="Times New Roman" w:cs="Times New Roman"/>
                <w:sz w:val="18"/>
                <w:szCs w:val="18"/>
              </w:rPr>
            </w:pPr>
          </w:p>
          <w:p w14:paraId="143A33BB" w14:textId="77777777" w:rsidR="001F0A51" w:rsidRPr="001F0A51" w:rsidRDefault="001F0A51" w:rsidP="001F0A51">
            <w:pPr>
              <w:jc w:val="both"/>
              <w:rPr>
                <w:rFonts w:ascii="Times New Roman" w:hAnsi="Times New Roman" w:cs="Times New Roman"/>
                <w:sz w:val="18"/>
                <w:szCs w:val="18"/>
              </w:rPr>
            </w:pPr>
            <w:r w:rsidRPr="001F0A51">
              <w:rPr>
                <w:rFonts w:ascii="Times New Roman" w:hAnsi="Times New Roman" w:cs="Times New Roman"/>
                <w:sz w:val="18"/>
                <w:szCs w:val="18"/>
              </w:rPr>
              <w:t>3.</w:t>
            </w:r>
            <w:r w:rsidRPr="001F0A51">
              <w:rPr>
                <w:rFonts w:ascii="Times New Roman" w:hAnsi="Times New Roman" w:cs="Times New Roman"/>
                <w:sz w:val="18"/>
                <w:szCs w:val="18"/>
              </w:rPr>
              <w:tab/>
              <w:t>For Sellers offering rental activities, the Platform Operator may collect supporting documentation where this is required for verification purposes relating to ownership of, or rights of use over, the listed property, in accordance with the rules prescribed by the relevant secondary legislation.</w:t>
            </w:r>
          </w:p>
          <w:p w14:paraId="17DF3699" w14:textId="77777777" w:rsidR="001F0A51" w:rsidRPr="001F0A51" w:rsidRDefault="001F0A51" w:rsidP="001F0A51">
            <w:pPr>
              <w:jc w:val="both"/>
              <w:rPr>
                <w:rFonts w:ascii="Times New Roman" w:hAnsi="Times New Roman" w:cs="Times New Roman"/>
                <w:sz w:val="18"/>
                <w:szCs w:val="18"/>
              </w:rPr>
            </w:pPr>
          </w:p>
          <w:p w14:paraId="61E18D8A" w14:textId="693E3EC2" w:rsidR="00AF6E05" w:rsidRPr="00FC68D3" w:rsidRDefault="001F0A51" w:rsidP="001F0A51">
            <w:pPr>
              <w:jc w:val="both"/>
              <w:rPr>
                <w:rFonts w:ascii="Times New Roman" w:hAnsi="Times New Roman" w:cs="Times New Roman"/>
                <w:sz w:val="18"/>
                <w:szCs w:val="18"/>
              </w:rPr>
            </w:pPr>
            <w:r w:rsidRPr="001F0A51">
              <w:rPr>
                <w:rFonts w:ascii="Times New Roman" w:hAnsi="Times New Roman" w:cs="Times New Roman"/>
                <w:sz w:val="18"/>
                <w:szCs w:val="18"/>
              </w:rPr>
              <w:t>4.</w:t>
            </w:r>
            <w:r w:rsidRPr="001F0A51">
              <w:rPr>
                <w:rFonts w:ascii="Times New Roman" w:hAnsi="Times New Roman" w:cs="Times New Roman"/>
                <w:sz w:val="18"/>
                <w:szCs w:val="18"/>
              </w:rPr>
              <w:tab/>
              <w:t xml:space="preserve"> Where multiple listings are registered for the same immovable property, or where a Seller that is an Entity offers more than 2,000 Reportable Activities in relation to the same property, the Reporting Platform Operator shall be required to obtain from the Seller documentation evidencing ownership of, or rights of use over, the property, and shall retain the relevant evidence for verification and reporting purposes.</w:t>
            </w:r>
          </w:p>
        </w:tc>
        <w:tc>
          <w:tcPr>
            <w:tcW w:w="720" w:type="dxa"/>
            <w:gridSpan w:val="2"/>
          </w:tcPr>
          <w:p w14:paraId="24FFC013" w14:textId="3DC66869" w:rsidR="00AF6E05"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027863AF" w14:textId="77777777" w:rsidR="00AF6E05" w:rsidRPr="00080E02" w:rsidRDefault="00AF6E05" w:rsidP="00E16BA5">
            <w:pPr>
              <w:rPr>
                <w:rFonts w:ascii="Times New Roman" w:eastAsia="Calibri" w:hAnsi="Times New Roman" w:cs="Times New Roman"/>
                <w:sz w:val="18"/>
                <w:szCs w:val="18"/>
              </w:rPr>
            </w:pPr>
          </w:p>
        </w:tc>
      </w:tr>
      <w:tr w:rsidR="00AF6E05" w:rsidRPr="00036F88" w14:paraId="7EF76BDA" w14:textId="77777777" w:rsidTr="00D50C43">
        <w:trPr>
          <w:gridAfter w:val="1"/>
          <w:wAfter w:w="353" w:type="dxa"/>
          <w:trHeight w:val="854"/>
        </w:trPr>
        <w:tc>
          <w:tcPr>
            <w:tcW w:w="630" w:type="dxa"/>
          </w:tcPr>
          <w:p w14:paraId="570F5894" w14:textId="77777777" w:rsidR="00AF6E05" w:rsidRPr="00036F88" w:rsidRDefault="00AF6E05" w:rsidP="00AF6E05">
            <w:pPr>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02C5F87E" w14:textId="77777777" w:rsidR="00AF6E05" w:rsidRPr="001725D0" w:rsidRDefault="00AF6E05" w:rsidP="00AF6E05">
            <w:pPr>
              <w:jc w:val="both"/>
              <w:rPr>
                <w:rFonts w:ascii="Times New Roman" w:eastAsia="Calibri" w:hAnsi="Times New Roman" w:cs="Times New Roman"/>
                <w:iCs/>
                <w:sz w:val="18"/>
                <w:szCs w:val="18"/>
                <w:lang w:val="en-US"/>
              </w:rPr>
            </w:pPr>
          </w:p>
          <w:p w14:paraId="401D4FD3" w14:textId="77777777" w:rsidR="00AF6E05" w:rsidRPr="001725D0" w:rsidRDefault="00AF6E05" w:rsidP="00AF6E0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F. Duration and validity of due diligence procedures</w:t>
            </w:r>
          </w:p>
          <w:p w14:paraId="7FDA9B43" w14:textId="77777777" w:rsidR="00AF6E05" w:rsidRPr="001725D0" w:rsidRDefault="00AF6E05" w:rsidP="00AF6E05">
            <w:pPr>
              <w:jc w:val="both"/>
              <w:rPr>
                <w:rFonts w:ascii="Times New Roman" w:eastAsia="Calibri" w:hAnsi="Times New Roman" w:cs="Times New Roman"/>
                <w:iCs/>
                <w:sz w:val="18"/>
                <w:szCs w:val="18"/>
                <w:lang w:val="en-US"/>
              </w:rPr>
            </w:pPr>
          </w:p>
          <w:p w14:paraId="4B2BA571" w14:textId="77777777" w:rsidR="00AF6E05" w:rsidRPr="00036F88" w:rsidRDefault="00AF6E05" w:rsidP="00AF6E05">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6476C55A" w14:textId="77777777" w:rsidR="00AF6E05" w:rsidRPr="00036F88" w:rsidRDefault="00AF6E05" w:rsidP="00AF6E05">
            <w:pPr>
              <w:rPr>
                <w:rFonts w:ascii="Times New Roman" w:eastAsia="Calibri" w:hAnsi="Times New Roman" w:cs="Times New Roman"/>
                <w:sz w:val="18"/>
                <w:szCs w:val="18"/>
              </w:rPr>
            </w:pPr>
          </w:p>
        </w:tc>
        <w:tc>
          <w:tcPr>
            <w:tcW w:w="720" w:type="dxa"/>
            <w:shd w:val="clear" w:color="auto" w:fill="D0CECE" w:themeFill="background2" w:themeFillShade="E6"/>
          </w:tcPr>
          <w:p w14:paraId="3B7E092E" w14:textId="77777777" w:rsidR="00AF6E05" w:rsidRPr="00036F88" w:rsidRDefault="00AF6E05" w:rsidP="00AF6E05">
            <w:pPr>
              <w:rPr>
                <w:rFonts w:ascii="Times New Roman" w:eastAsia="Calibri" w:hAnsi="Times New Roman" w:cs="Times New Roman"/>
                <w:sz w:val="18"/>
                <w:szCs w:val="18"/>
                <w:lang w:val="en-US"/>
              </w:rPr>
            </w:pPr>
          </w:p>
        </w:tc>
        <w:tc>
          <w:tcPr>
            <w:tcW w:w="5040" w:type="dxa"/>
            <w:gridSpan w:val="2"/>
            <w:shd w:val="clear" w:color="auto" w:fill="D0CECE" w:themeFill="background2" w:themeFillShade="E6"/>
          </w:tcPr>
          <w:p w14:paraId="6D32EA5F" w14:textId="77777777" w:rsidR="00AF6E05" w:rsidRDefault="00AF6E05" w:rsidP="00AF6E05">
            <w:pPr>
              <w:jc w:val="center"/>
              <w:rPr>
                <w:rFonts w:ascii="Times New Roman" w:eastAsia="Calibri" w:hAnsi="Times New Roman" w:cs="Times New Roman"/>
                <w:sz w:val="18"/>
                <w:szCs w:val="18"/>
                <w:lang w:val="en-US"/>
              </w:rPr>
            </w:pPr>
          </w:p>
          <w:p w14:paraId="131F154F" w14:textId="77777777" w:rsidR="00BA0D16" w:rsidRPr="00294727" w:rsidRDefault="00BA0D16" w:rsidP="00294727">
            <w:pPr>
              <w:jc w:val="center"/>
              <w:rPr>
                <w:rFonts w:ascii="Times New Roman" w:hAnsi="Times New Roman" w:cs="Times New Roman"/>
                <w:b/>
                <w:sz w:val="18"/>
                <w:szCs w:val="18"/>
              </w:rPr>
            </w:pPr>
            <w:r>
              <w:rPr>
                <w:rFonts w:ascii="Times New Roman" w:hAnsi="Times New Roman" w:cs="Times New Roman"/>
                <w:b/>
                <w:sz w:val="18"/>
                <w:szCs w:val="18"/>
              </w:rPr>
              <w:t>Article 8</w:t>
            </w:r>
          </w:p>
          <w:p w14:paraId="0805F0F8" w14:textId="5456DB0E" w:rsidR="00AF6E05" w:rsidRPr="00036F88" w:rsidRDefault="001F0A51" w:rsidP="00294727">
            <w:pPr>
              <w:jc w:val="center"/>
              <w:rPr>
                <w:rFonts w:ascii="Times New Roman" w:eastAsia="Calibri" w:hAnsi="Times New Roman" w:cs="Times New Roman"/>
                <w:sz w:val="18"/>
                <w:szCs w:val="18"/>
                <w:lang w:val="en-US"/>
              </w:rPr>
            </w:pPr>
            <w:r w:rsidRPr="001F0A51">
              <w:rPr>
                <w:rFonts w:ascii="Times New Roman" w:hAnsi="Times New Roman" w:cs="Times New Roman"/>
                <w:b/>
                <w:sz w:val="18"/>
                <w:szCs w:val="18"/>
              </w:rPr>
              <w:t xml:space="preserve">Deadlines and </w:t>
            </w:r>
            <w:r w:rsidR="00BA0D16">
              <w:rPr>
                <w:rFonts w:ascii="Times New Roman" w:hAnsi="Times New Roman" w:cs="Times New Roman"/>
                <w:b/>
                <w:sz w:val="18"/>
                <w:szCs w:val="18"/>
              </w:rPr>
              <w:t>validity of procedures</w:t>
            </w:r>
          </w:p>
        </w:tc>
        <w:tc>
          <w:tcPr>
            <w:tcW w:w="720" w:type="dxa"/>
            <w:gridSpan w:val="2"/>
            <w:shd w:val="clear" w:color="auto" w:fill="D0CECE" w:themeFill="background2" w:themeFillShade="E6"/>
          </w:tcPr>
          <w:p w14:paraId="66FA179C" w14:textId="77777777" w:rsidR="00AF6E05" w:rsidRPr="00036F88" w:rsidRDefault="00AF6E05" w:rsidP="00AF6E05">
            <w:pPr>
              <w:jc w:val="center"/>
              <w:rPr>
                <w:rFonts w:ascii="Times New Roman" w:eastAsia="Calibri" w:hAnsi="Times New Roman" w:cs="Times New Roman"/>
                <w:sz w:val="18"/>
                <w:szCs w:val="18"/>
                <w:lang w:val="en-US"/>
              </w:rPr>
            </w:pPr>
          </w:p>
        </w:tc>
        <w:tc>
          <w:tcPr>
            <w:tcW w:w="3240" w:type="dxa"/>
            <w:gridSpan w:val="2"/>
            <w:shd w:val="clear" w:color="auto" w:fill="D0CECE" w:themeFill="background2" w:themeFillShade="E6"/>
          </w:tcPr>
          <w:p w14:paraId="23689A62" w14:textId="77777777" w:rsidR="00AF6E05" w:rsidRPr="00036F88" w:rsidRDefault="00AF6E05" w:rsidP="00AF6E05">
            <w:pPr>
              <w:rPr>
                <w:rFonts w:ascii="Times New Roman" w:eastAsia="Calibri" w:hAnsi="Times New Roman" w:cs="Times New Roman"/>
                <w:sz w:val="18"/>
                <w:szCs w:val="18"/>
                <w:lang w:val="en-US"/>
              </w:rPr>
            </w:pPr>
          </w:p>
        </w:tc>
      </w:tr>
      <w:tr w:rsidR="00AF6E05" w:rsidRPr="00036F88" w14:paraId="701D9574" w14:textId="77777777" w:rsidTr="00D50C43">
        <w:trPr>
          <w:gridAfter w:val="1"/>
          <w:wAfter w:w="353" w:type="dxa"/>
          <w:trHeight w:val="2204"/>
        </w:trPr>
        <w:tc>
          <w:tcPr>
            <w:tcW w:w="630" w:type="dxa"/>
          </w:tcPr>
          <w:p w14:paraId="659811A2" w14:textId="77777777" w:rsidR="00AF6E05" w:rsidRPr="00036F88" w:rsidRDefault="00AF6E05" w:rsidP="003C045B">
            <w:pPr>
              <w:jc w:val="both"/>
              <w:rPr>
                <w:rFonts w:ascii="Times New Roman" w:eastAsia="Calibri" w:hAnsi="Times New Roman" w:cs="Times New Roman"/>
                <w:sz w:val="18"/>
                <w:szCs w:val="18"/>
              </w:rPr>
            </w:pPr>
          </w:p>
        </w:tc>
        <w:tc>
          <w:tcPr>
            <w:tcW w:w="5400" w:type="dxa"/>
          </w:tcPr>
          <w:p w14:paraId="22B068FE" w14:textId="77777777" w:rsidR="00AF6E05" w:rsidRPr="001725D0" w:rsidRDefault="00AF6E05" w:rsidP="00AF6E05">
            <w:pPr>
              <w:jc w:val="both"/>
              <w:rPr>
                <w:rFonts w:ascii="Times New Roman" w:eastAsia="Calibri" w:hAnsi="Times New Roman" w:cs="Times New Roman"/>
                <w:iCs/>
                <w:sz w:val="18"/>
                <w:szCs w:val="18"/>
                <w:lang w:val="en-US"/>
              </w:rPr>
            </w:pPr>
          </w:p>
          <w:p w14:paraId="64B88EE5" w14:textId="77777777" w:rsidR="00AF6E05" w:rsidRPr="001725D0" w:rsidRDefault="00AF6E05" w:rsidP="00AF6E0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1. A Reporting Platform Operator must complete the due diligence procedures set out in paragraphs A to E by 31 December of the Reportable Period.</w:t>
            </w:r>
          </w:p>
          <w:p w14:paraId="174ED0FE" w14:textId="77777777" w:rsidR="00AF6E05" w:rsidRPr="001725D0" w:rsidRDefault="00AF6E05" w:rsidP="00AF6E0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2. Notwithstanding subparagraph F(1), for Sellers that were already registered on the Platform as of 1 January 2023 or as of the date on which an Entity becomes a Reporting Platform Operator, the due diligence procedures set out in paragraphs A to E must be completed by 31 December of the second Reporting Period for the Reporting Platform Operator.</w:t>
            </w:r>
          </w:p>
          <w:p w14:paraId="45B46608" w14:textId="77777777" w:rsidR="00AF6E05" w:rsidRPr="001725D0" w:rsidRDefault="00AF6E05" w:rsidP="00AF6E05">
            <w:pPr>
              <w:jc w:val="both"/>
              <w:rPr>
                <w:rFonts w:ascii="Times New Roman" w:eastAsia="Calibri" w:hAnsi="Times New Roman" w:cs="Times New Roman"/>
                <w:iCs/>
                <w:sz w:val="18"/>
                <w:szCs w:val="18"/>
                <w:lang w:val="en-US"/>
              </w:rPr>
            </w:pPr>
          </w:p>
          <w:p w14:paraId="15E96093" w14:textId="34BB1EDE" w:rsidR="00AF6E05" w:rsidRPr="001725D0" w:rsidRDefault="00AF6E05" w:rsidP="00AF6E0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3. Notwithstanding subparagraph F(1), a Reporting Platform Operator may rely on the due diligence procedures carried out in connection with previous Reportable Periods, provided that: (a) the Seller information required in subparagraphs B(1) and B(2) has been collected and verified or confirmed within the last 36 months; and (b) the Reporting Platform Operator has no reason to know that the information collected in accordance with paragraphs A, B and E is or has become unreliable or inaccurate.</w:t>
            </w:r>
          </w:p>
        </w:tc>
        <w:tc>
          <w:tcPr>
            <w:tcW w:w="540" w:type="dxa"/>
          </w:tcPr>
          <w:p w14:paraId="352AB062" w14:textId="77777777" w:rsidR="00AF6E05" w:rsidRPr="00036F88" w:rsidRDefault="00AF6E05" w:rsidP="003C045B">
            <w:pPr>
              <w:jc w:val="center"/>
              <w:rPr>
                <w:rFonts w:ascii="Times New Roman" w:eastAsia="Calibri" w:hAnsi="Times New Roman" w:cs="Times New Roman"/>
                <w:sz w:val="18"/>
                <w:szCs w:val="18"/>
                <w:highlight w:val="cyan"/>
              </w:rPr>
            </w:pPr>
          </w:p>
        </w:tc>
        <w:tc>
          <w:tcPr>
            <w:tcW w:w="720" w:type="dxa"/>
          </w:tcPr>
          <w:p w14:paraId="41BD764B" w14:textId="1070DB6A" w:rsidR="00AF6E05" w:rsidRPr="001725D0" w:rsidRDefault="00294727"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 xml:space="preserve">Article 8 </w:t>
            </w:r>
          </w:p>
        </w:tc>
        <w:tc>
          <w:tcPr>
            <w:tcW w:w="5040" w:type="dxa"/>
            <w:gridSpan w:val="2"/>
          </w:tcPr>
          <w:p w14:paraId="7FE1BCC8" w14:textId="77777777" w:rsidR="001F0A51" w:rsidRPr="001F0A51" w:rsidRDefault="001F0A51" w:rsidP="001F0A51">
            <w:pPr>
              <w:jc w:val="both"/>
              <w:rPr>
                <w:rFonts w:ascii="Times New Roman" w:hAnsi="Times New Roman" w:cs="Times New Roman"/>
                <w:sz w:val="18"/>
                <w:szCs w:val="18"/>
              </w:rPr>
            </w:pPr>
            <w:r w:rsidRPr="001F0A51">
              <w:rPr>
                <w:rFonts w:ascii="Times New Roman" w:hAnsi="Times New Roman" w:cs="Times New Roman"/>
                <w:sz w:val="18"/>
                <w:szCs w:val="18"/>
              </w:rPr>
              <w:t>1.</w:t>
            </w:r>
            <w:r w:rsidRPr="001F0A51">
              <w:rPr>
                <w:rFonts w:ascii="Times New Roman" w:hAnsi="Times New Roman" w:cs="Times New Roman"/>
                <w:sz w:val="18"/>
                <w:szCs w:val="18"/>
              </w:rPr>
              <w:tab/>
              <w:t xml:space="preserve">The Reporting Platform Operator shall carry out the due diligence procedures, in accordance with Articles 3, 4, 5, 6 and 7, by 31 December of the reporting period. </w:t>
            </w:r>
          </w:p>
          <w:p w14:paraId="12143580" w14:textId="77777777" w:rsidR="001F0A51" w:rsidRPr="001F0A51" w:rsidRDefault="001F0A51" w:rsidP="001F0A51">
            <w:pPr>
              <w:jc w:val="both"/>
              <w:rPr>
                <w:rFonts w:ascii="Times New Roman" w:hAnsi="Times New Roman" w:cs="Times New Roman"/>
                <w:sz w:val="18"/>
                <w:szCs w:val="18"/>
              </w:rPr>
            </w:pPr>
            <w:r w:rsidRPr="001F0A51">
              <w:rPr>
                <w:rFonts w:ascii="Times New Roman" w:hAnsi="Times New Roman" w:cs="Times New Roman"/>
                <w:sz w:val="18"/>
                <w:szCs w:val="18"/>
              </w:rPr>
              <w:t>By way of exception to this rule, the due diligence procedures shall be carried out by 31 December of the second reporting period, in cases where:</w:t>
            </w:r>
          </w:p>
          <w:p w14:paraId="2C553842" w14:textId="77777777" w:rsidR="001F0A51" w:rsidRPr="001F0A51" w:rsidRDefault="001F0A51" w:rsidP="001F0A51">
            <w:pPr>
              <w:jc w:val="both"/>
              <w:rPr>
                <w:rFonts w:ascii="Times New Roman" w:hAnsi="Times New Roman" w:cs="Times New Roman"/>
                <w:sz w:val="18"/>
                <w:szCs w:val="18"/>
              </w:rPr>
            </w:pPr>
          </w:p>
          <w:p w14:paraId="5C5BFDC3" w14:textId="77777777" w:rsidR="001F0A51" w:rsidRPr="001F0A51" w:rsidRDefault="001F0A51" w:rsidP="001F0A51">
            <w:pPr>
              <w:jc w:val="both"/>
              <w:rPr>
                <w:rFonts w:ascii="Times New Roman" w:hAnsi="Times New Roman" w:cs="Times New Roman"/>
                <w:sz w:val="18"/>
                <w:szCs w:val="18"/>
              </w:rPr>
            </w:pPr>
            <w:r w:rsidRPr="001F0A51">
              <w:rPr>
                <w:rFonts w:ascii="Times New Roman" w:hAnsi="Times New Roman" w:cs="Times New Roman"/>
                <w:sz w:val="18"/>
                <w:szCs w:val="18"/>
              </w:rPr>
              <w:t xml:space="preserve">a) sellers were registered on the platform on the date of entry into force of this law; or </w:t>
            </w:r>
          </w:p>
          <w:p w14:paraId="50230E1C" w14:textId="77777777" w:rsidR="001F0A51" w:rsidRPr="001F0A51" w:rsidRDefault="001F0A51" w:rsidP="001F0A51">
            <w:pPr>
              <w:jc w:val="both"/>
              <w:rPr>
                <w:rFonts w:ascii="Times New Roman" w:hAnsi="Times New Roman" w:cs="Times New Roman"/>
                <w:sz w:val="18"/>
                <w:szCs w:val="18"/>
              </w:rPr>
            </w:pPr>
            <w:r w:rsidRPr="001F0A51">
              <w:rPr>
                <w:rFonts w:ascii="Times New Roman" w:hAnsi="Times New Roman" w:cs="Times New Roman"/>
                <w:sz w:val="18"/>
                <w:szCs w:val="18"/>
              </w:rPr>
              <w:t>b) an entity becomes a reporting platform operator for the first time.</w:t>
            </w:r>
          </w:p>
          <w:p w14:paraId="6BE13411" w14:textId="77777777" w:rsidR="001F0A51" w:rsidRPr="001F0A51" w:rsidRDefault="001F0A51" w:rsidP="001F0A51">
            <w:pPr>
              <w:jc w:val="both"/>
              <w:rPr>
                <w:rFonts w:ascii="Times New Roman" w:hAnsi="Times New Roman" w:cs="Times New Roman"/>
                <w:sz w:val="18"/>
                <w:szCs w:val="18"/>
              </w:rPr>
            </w:pPr>
          </w:p>
          <w:p w14:paraId="39975F98" w14:textId="77777777" w:rsidR="001F0A51" w:rsidRPr="001F0A51" w:rsidRDefault="001F0A51" w:rsidP="001F0A51">
            <w:pPr>
              <w:jc w:val="both"/>
              <w:rPr>
                <w:rFonts w:ascii="Times New Roman" w:hAnsi="Times New Roman" w:cs="Times New Roman"/>
                <w:sz w:val="18"/>
                <w:szCs w:val="18"/>
              </w:rPr>
            </w:pPr>
            <w:r w:rsidRPr="001F0A51">
              <w:rPr>
                <w:rFonts w:ascii="Times New Roman" w:hAnsi="Times New Roman" w:cs="Times New Roman"/>
                <w:sz w:val="18"/>
                <w:szCs w:val="18"/>
              </w:rPr>
              <w:t>2.</w:t>
            </w:r>
            <w:r w:rsidRPr="001F0A51">
              <w:rPr>
                <w:rFonts w:ascii="Times New Roman" w:hAnsi="Times New Roman" w:cs="Times New Roman"/>
                <w:sz w:val="18"/>
                <w:szCs w:val="18"/>
              </w:rPr>
              <w:tab/>
              <w:t>With the exception of the provision in paragraph 1, the Reporting Platform Operator may rely on the data collected from the due tax verification procedures carried out for previous reporting periods, as long as all the following conditions are met:</w:t>
            </w:r>
          </w:p>
          <w:p w14:paraId="7F3B27F3" w14:textId="77777777" w:rsidR="001F0A51" w:rsidRPr="001F0A51" w:rsidRDefault="001F0A51" w:rsidP="001F0A51">
            <w:pPr>
              <w:jc w:val="both"/>
              <w:rPr>
                <w:rFonts w:ascii="Times New Roman" w:hAnsi="Times New Roman" w:cs="Times New Roman"/>
                <w:sz w:val="18"/>
                <w:szCs w:val="18"/>
              </w:rPr>
            </w:pPr>
            <w:r w:rsidRPr="001F0A51">
              <w:rPr>
                <w:rFonts w:ascii="Times New Roman" w:hAnsi="Times New Roman" w:cs="Times New Roman"/>
                <w:sz w:val="18"/>
                <w:szCs w:val="18"/>
              </w:rPr>
              <w:t>a) the information on the seller, according to Article 4, paragraphs 1 and 2, has been collected and verified or confirmed within the last 36 months;</w:t>
            </w:r>
          </w:p>
          <w:p w14:paraId="1B789E66" w14:textId="77777777" w:rsidR="001F0A51" w:rsidRPr="001F0A51" w:rsidRDefault="001F0A51" w:rsidP="001F0A51">
            <w:pPr>
              <w:jc w:val="both"/>
              <w:rPr>
                <w:rFonts w:ascii="Times New Roman" w:hAnsi="Times New Roman" w:cs="Times New Roman"/>
                <w:sz w:val="18"/>
                <w:szCs w:val="18"/>
              </w:rPr>
            </w:pPr>
            <w:r w:rsidRPr="001F0A51">
              <w:rPr>
                <w:rFonts w:ascii="Times New Roman" w:hAnsi="Times New Roman" w:cs="Times New Roman"/>
                <w:sz w:val="18"/>
                <w:szCs w:val="18"/>
              </w:rPr>
              <w:t>b) the operator of the reporting platform has no reason to believe that the information collected in accordance with Articles 3, 4, 6 and 7 is inaccurate, incomplete or unreliable.</w:t>
            </w:r>
          </w:p>
          <w:p w14:paraId="7D61721D" w14:textId="77777777" w:rsidR="001F0A51" w:rsidRPr="001F0A51" w:rsidRDefault="001F0A51" w:rsidP="001F0A51">
            <w:pPr>
              <w:jc w:val="both"/>
              <w:rPr>
                <w:rFonts w:ascii="Times New Roman" w:hAnsi="Times New Roman" w:cs="Times New Roman"/>
                <w:sz w:val="18"/>
                <w:szCs w:val="18"/>
              </w:rPr>
            </w:pPr>
          </w:p>
          <w:p w14:paraId="1C6FFB28" w14:textId="1E63B22E" w:rsidR="00AF6E05" w:rsidRPr="00AF6E05" w:rsidRDefault="001F0A51" w:rsidP="001F0A51">
            <w:pPr>
              <w:jc w:val="both"/>
              <w:rPr>
                <w:rFonts w:ascii="Times New Roman" w:hAnsi="Times New Roman" w:cs="Times New Roman"/>
                <w:sz w:val="18"/>
                <w:szCs w:val="18"/>
              </w:rPr>
            </w:pPr>
            <w:r w:rsidRPr="001F0A51">
              <w:rPr>
                <w:rFonts w:ascii="Times New Roman" w:hAnsi="Times New Roman" w:cs="Times New Roman"/>
                <w:sz w:val="18"/>
                <w:szCs w:val="18"/>
              </w:rPr>
              <w:t>3.</w:t>
            </w:r>
            <w:r w:rsidRPr="001F0A51">
              <w:rPr>
                <w:rFonts w:ascii="Times New Roman" w:hAnsi="Times New Roman" w:cs="Times New Roman"/>
                <w:sz w:val="18"/>
                <w:szCs w:val="18"/>
              </w:rPr>
              <w:tab/>
              <w:t>Reports rejected for technical or administrative reasons within data communication procedures may be re-submitted within 30 calendar days from the date of notification of refusal, while maintaining the unique reporting identifier. In the cases provided by the data verification rules, the reporting correction procedure may be used, which enables the correction or replacement of the previous reporting with accurate and complete data, in accordance with the modalities set out in the bylaws pursuant to this Law.</w:t>
            </w:r>
          </w:p>
        </w:tc>
        <w:tc>
          <w:tcPr>
            <w:tcW w:w="720" w:type="dxa"/>
            <w:gridSpan w:val="2"/>
          </w:tcPr>
          <w:p w14:paraId="0F02F431" w14:textId="3913E2AA" w:rsidR="00AF6E05"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7F5EBA4A" w14:textId="77777777" w:rsidR="00AF6E05" w:rsidRPr="00080E02" w:rsidRDefault="00AF6E05" w:rsidP="00E16BA5">
            <w:pPr>
              <w:rPr>
                <w:rFonts w:ascii="Times New Roman" w:eastAsia="Calibri" w:hAnsi="Times New Roman" w:cs="Times New Roman"/>
                <w:sz w:val="18"/>
                <w:szCs w:val="18"/>
              </w:rPr>
            </w:pPr>
          </w:p>
        </w:tc>
      </w:tr>
      <w:tr w:rsidR="00AF6E05" w:rsidRPr="00036F88" w14:paraId="7AD9602D" w14:textId="77777777" w:rsidTr="00D50C43">
        <w:trPr>
          <w:gridAfter w:val="1"/>
          <w:wAfter w:w="353" w:type="dxa"/>
          <w:trHeight w:val="854"/>
        </w:trPr>
        <w:tc>
          <w:tcPr>
            <w:tcW w:w="630" w:type="dxa"/>
          </w:tcPr>
          <w:p w14:paraId="2A582143" w14:textId="77777777" w:rsidR="00AF6E05" w:rsidRPr="00036F88" w:rsidRDefault="00AF6E05" w:rsidP="00AF6E05">
            <w:pPr>
              <w:jc w:val="both"/>
              <w:rPr>
                <w:rFonts w:ascii="Times New Roman" w:eastAsia="Calibri" w:hAnsi="Times New Roman" w:cs="Times New Roman"/>
                <w:sz w:val="18"/>
                <w:szCs w:val="18"/>
              </w:rPr>
            </w:pPr>
            <w:bookmarkStart w:id="19" w:name="_Hlk227923525"/>
          </w:p>
        </w:tc>
        <w:tc>
          <w:tcPr>
            <w:tcW w:w="5400" w:type="dxa"/>
            <w:shd w:val="clear" w:color="auto" w:fill="D0CECE" w:themeFill="background2" w:themeFillShade="E6"/>
          </w:tcPr>
          <w:p w14:paraId="5AA51299" w14:textId="77777777" w:rsidR="00D026D5" w:rsidRPr="001725D0" w:rsidRDefault="00D026D5" w:rsidP="00D026D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G. Application of due diligence procedures only for Active Sellers</w:t>
            </w:r>
          </w:p>
          <w:p w14:paraId="1200DE7C" w14:textId="77777777" w:rsidR="00AF6E05" w:rsidRPr="001725D0" w:rsidRDefault="00AF6E05" w:rsidP="00AF6E05">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4663F80A" w14:textId="77777777" w:rsidR="00AF6E05" w:rsidRPr="00036F88" w:rsidRDefault="00AF6E05" w:rsidP="00AF6E05">
            <w:pPr>
              <w:rPr>
                <w:rFonts w:ascii="Times New Roman" w:eastAsia="Calibri" w:hAnsi="Times New Roman" w:cs="Times New Roman"/>
                <w:sz w:val="18"/>
                <w:szCs w:val="18"/>
              </w:rPr>
            </w:pPr>
          </w:p>
        </w:tc>
        <w:tc>
          <w:tcPr>
            <w:tcW w:w="720" w:type="dxa"/>
            <w:shd w:val="clear" w:color="auto" w:fill="D0CECE" w:themeFill="background2" w:themeFillShade="E6"/>
          </w:tcPr>
          <w:p w14:paraId="042F6BEE" w14:textId="77777777" w:rsidR="00AF6E05" w:rsidRPr="00036F88" w:rsidRDefault="00AF6E05" w:rsidP="00AF6E05">
            <w:pPr>
              <w:rPr>
                <w:rFonts w:ascii="Times New Roman" w:eastAsia="Calibri" w:hAnsi="Times New Roman" w:cs="Times New Roman"/>
                <w:sz w:val="18"/>
                <w:szCs w:val="18"/>
              </w:rPr>
            </w:pPr>
          </w:p>
        </w:tc>
        <w:tc>
          <w:tcPr>
            <w:tcW w:w="5040" w:type="dxa"/>
            <w:gridSpan w:val="2"/>
            <w:shd w:val="clear" w:color="auto" w:fill="D0CECE" w:themeFill="background2" w:themeFillShade="E6"/>
          </w:tcPr>
          <w:p w14:paraId="0AF44B6B" w14:textId="77777777" w:rsidR="00294727" w:rsidRPr="00BA0D16" w:rsidRDefault="00294727" w:rsidP="00294727">
            <w:pPr>
              <w:jc w:val="center"/>
              <w:rPr>
                <w:rFonts w:ascii="Times New Roman" w:hAnsi="Times New Roman" w:cs="Times New Roman"/>
                <w:b/>
                <w:sz w:val="18"/>
                <w:szCs w:val="18"/>
              </w:rPr>
            </w:pPr>
            <w:r>
              <w:rPr>
                <w:rFonts w:ascii="Times New Roman" w:hAnsi="Times New Roman" w:cs="Times New Roman"/>
                <w:b/>
                <w:sz w:val="18"/>
                <w:szCs w:val="18"/>
              </w:rPr>
              <w:t>Article 9</w:t>
            </w:r>
          </w:p>
          <w:p w14:paraId="2A4C4A33" w14:textId="47827A89" w:rsidR="00AF6E05" w:rsidRDefault="0061567F" w:rsidP="00294727">
            <w:pPr>
              <w:jc w:val="center"/>
              <w:rPr>
                <w:rFonts w:ascii="Times New Roman" w:eastAsia="Calibri" w:hAnsi="Times New Roman" w:cs="Times New Roman"/>
                <w:sz w:val="18"/>
                <w:szCs w:val="18"/>
              </w:rPr>
            </w:pPr>
            <w:r w:rsidRPr="0061567F">
              <w:rPr>
                <w:rFonts w:ascii="Times New Roman" w:hAnsi="Times New Roman" w:cs="Times New Roman"/>
                <w:b/>
                <w:sz w:val="18"/>
                <w:szCs w:val="18"/>
              </w:rPr>
              <w:t xml:space="preserve">Implementing verification procedures only for active sellers </w:t>
            </w:r>
          </w:p>
        </w:tc>
        <w:tc>
          <w:tcPr>
            <w:tcW w:w="720" w:type="dxa"/>
            <w:gridSpan w:val="2"/>
            <w:shd w:val="clear" w:color="auto" w:fill="D0CECE" w:themeFill="background2" w:themeFillShade="E6"/>
          </w:tcPr>
          <w:p w14:paraId="4BC75DF8" w14:textId="77777777" w:rsidR="00AF6E05" w:rsidRPr="00036F88" w:rsidRDefault="00AF6E05" w:rsidP="00294727">
            <w:pPr>
              <w:jc w:val="center"/>
              <w:rPr>
                <w:rFonts w:ascii="Times New Roman" w:eastAsia="Calibri" w:hAnsi="Times New Roman" w:cs="Times New Roman"/>
                <w:sz w:val="18"/>
                <w:szCs w:val="18"/>
              </w:rPr>
            </w:pPr>
          </w:p>
        </w:tc>
        <w:tc>
          <w:tcPr>
            <w:tcW w:w="3240" w:type="dxa"/>
            <w:gridSpan w:val="2"/>
            <w:shd w:val="clear" w:color="auto" w:fill="D0CECE" w:themeFill="background2" w:themeFillShade="E6"/>
          </w:tcPr>
          <w:p w14:paraId="3A6CCBF6" w14:textId="77777777" w:rsidR="00AF6E05" w:rsidRPr="00036F88" w:rsidRDefault="00AF6E05" w:rsidP="00294727">
            <w:pPr>
              <w:jc w:val="center"/>
              <w:rPr>
                <w:rFonts w:ascii="Times New Roman" w:eastAsia="Calibri" w:hAnsi="Times New Roman" w:cs="Times New Roman"/>
                <w:sz w:val="18"/>
                <w:szCs w:val="18"/>
              </w:rPr>
            </w:pPr>
          </w:p>
        </w:tc>
      </w:tr>
      <w:bookmarkEnd w:id="19"/>
      <w:tr w:rsidR="00AF6E05" w:rsidRPr="00036F88" w14:paraId="7948150D" w14:textId="77777777" w:rsidTr="00D50C43">
        <w:trPr>
          <w:gridAfter w:val="1"/>
          <w:wAfter w:w="353" w:type="dxa"/>
          <w:trHeight w:val="2204"/>
        </w:trPr>
        <w:tc>
          <w:tcPr>
            <w:tcW w:w="630" w:type="dxa"/>
          </w:tcPr>
          <w:p w14:paraId="38D19C59" w14:textId="77777777" w:rsidR="00AF6E05" w:rsidRPr="00036F88" w:rsidRDefault="00AF6E05" w:rsidP="003C045B">
            <w:pPr>
              <w:jc w:val="both"/>
              <w:rPr>
                <w:rFonts w:ascii="Times New Roman" w:eastAsia="Calibri" w:hAnsi="Times New Roman" w:cs="Times New Roman"/>
                <w:sz w:val="18"/>
                <w:szCs w:val="18"/>
              </w:rPr>
            </w:pPr>
          </w:p>
        </w:tc>
        <w:tc>
          <w:tcPr>
            <w:tcW w:w="5400" w:type="dxa"/>
          </w:tcPr>
          <w:p w14:paraId="406FE6BD" w14:textId="77777777" w:rsidR="00D026D5" w:rsidRPr="001725D0" w:rsidRDefault="00D026D5" w:rsidP="00D026D5">
            <w:pPr>
              <w:jc w:val="both"/>
              <w:rPr>
                <w:rFonts w:ascii="Times New Roman" w:eastAsia="Calibri" w:hAnsi="Times New Roman" w:cs="Times New Roman"/>
                <w:iCs/>
                <w:sz w:val="18"/>
                <w:szCs w:val="18"/>
                <w:lang w:val="en-US"/>
              </w:rPr>
            </w:pPr>
          </w:p>
          <w:p w14:paraId="5C67E23D" w14:textId="1FF3C8BD" w:rsidR="00AF6E05" w:rsidRPr="001725D0" w:rsidRDefault="00D026D5" w:rsidP="00D026D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 Reporting Platform Operator may choose to complete the due diligence procedures under paragraphs A to F only in relation to Active Sellers.</w:t>
            </w:r>
          </w:p>
        </w:tc>
        <w:tc>
          <w:tcPr>
            <w:tcW w:w="540" w:type="dxa"/>
          </w:tcPr>
          <w:p w14:paraId="185F2B2F" w14:textId="77777777" w:rsidR="00AF6E05" w:rsidRPr="00036F88" w:rsidRDefault="00AF6E05" w:rsidP="003C045B">
            <w:pPr>
              <w:jc w:val="center"/>
              <w:rPr>
                <w:rFonts w:ascii="Times New Roman" w:eastAsia="Calibri" w:hAnsi="Times New Roman" w:cs="Times New Roman"/>
                <w:sz w:val="18"/>
                <w:szCs w:val="18"/>
                <w:highlight w:val="cyan"/>
              </w:rPr>
            </w:pPr>
          </w:p>
        </w:tc>
        <w:tc>
          <w:tcPr>
            <w:tcW w:w="720" w:type="dxa"/>
          </w:tcPr>
          <w:p w14:paraId="16086891" w14:textId="3763F3A3" w:rsidR="00AF6E05" w:rsidRPr="001725D0" w:rsidRDefault="00294727"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 xml:space="preserve">Article 9 </w:t>
            </w:r>
          </w:p>
        </w:tc>
        <w:tc>
          <w:tcPr>
            <w:tcW w:w="5040" w:type="dxa"/>
            <w:gridSpan w:val="2"/>
          </w:tcPr>
          <w:p w14:paraId="5E1F8814" w14:textId="77777777" w:rsidR="0061567F" w:rsidRPr="0061567F" w:rsidRDefault="00D026D5" w:rsidP="0061567F">
            <w:pPr>
              <w:jc w:val="both"/>
              <w:rPr>
                <w:rFonts w:ascii="Times New Roman" w:hAnsi="Times New Roman" w:cs="Times New Roman"/>
                <w:sz w:val="18"/>
                <w:szCs w:val="18"/>
              </w:rPr>
            </w:pPr>
            <w:r>
              <w:rPr>
                <w:rFonts w:ascii="Times New Roman" w:hAnsi="Times New Roman" w:cs="Times New Roman"/>
                <w:sz w:val="18"/>
                <w:szCs w:val="18"/>
              </w:rPr>
              <w:t xml:space="preserve">  </w:t>
            </w:r>
            <w:r w:rsidR="0061567F" w:rsidRPr="0061567F">
              <w:rPr>
                <w:rFonts w:ascii="Times New Roman" w:hAnsi="Times New Roman" w:cs="Times New Roman"/>
                <w:sz w:val="18"/>
                <w:szCs w:val="18"/>
              </w:rPr>
              <w:t>1.</w:t>
            </w:r>
            <w:r w:rsidR="0061567F" w:rsidRPr="0061567F">
              <w:rPr>
                <w:rFonts w:ascii="Times New Roman" w:hAnsi="Times New Roman" w:cs="Times New Roman"/>
                <w:sz w:val="18"/>
                <w:szCs w:val="18"/>
              </w:rPr>
              <w:tab/>
              <w:t>The Reporting Platform Operator platform is obliged to carry out the appropriate verification procedures for the identification and collection of minimum data, according to Articles 3 to 7 of this Law, only for sellers active during the reporting period, who have carried out reportable activities on the platform.</w:t>
            </w:r>
          </w:p>
          <w:p w14:paraId="7AB4576E" w14:textId="77777777" w:rsidR="0061567F" w:rsidRPr="0061567F" w:rsidRDefault="0061567F" w:rsidP="0061567F">
            <w:pPr>
              <w:jc w:val="both"/>
              <w:rPr>
                <w:rFonts w:ascii="Times New Roman" w:hAnsi="Times New Roman" w:cs="Times New Roman"/>
                <w:sz w:val="18"/>
                <w:szCs w:val="18"/>
              </w:rPr>
            </w:pPr>
          </w:p>
          <w:p w14:paraId="738B13F0"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2.</w:t>
            </w:r>
            <w:r w:rsidRPr="0061567F">
              <w:rPr>
                <w:rFonts w:ascii="Times New Roman" w:hAnsi="Times New Roman" w:cs="Times New Roman"/>
                <w:sz w:val="18"/>
                <w:szCs w:val="18"/>
              </w:rPr>
              <w:tab/>
              <w:t>If, within the reporting period or within the deadline provided for in Article 17, paragraph 1, for the completion of the verification procedures, the seller has not made available all the necessary data for the fulfillment of the requirements of this Law, the operator of the reporting platform shall take reasonable measures to prevent the performance of reportable activities or to suspend the payment of the remuneration through the platform until the verification requirements are met and notifies the General Directorate of Taxation  for the measures taken.</w:t>
            </w:r>
          </w:p>
          <w:p w14:paraId="3988DD7E" w14:textId="77777777" w:rsidR="0061567F" w:rsidRPr="0061567F" w:rsidRDefault="0061567F" w:rsidP="0061567F">
            <w:pPr>
              <w:jc w:val="both"/>
              <w:rPr>
                <w:rFonts w:ascii="Times New Roman" w:hAnsi="Times New Roman" w:cs="Times New Roman"/>
                <w:sz w:val="18"/>
                <w:szCs w:val="18"/>
              </w:rPr>
            </w:pPr>
          </w:p>
          <w:p w14:paraId="1BCCEA82" w14:textId="239950FE" w:rsidR="005E013B" w:rsidRPr="005E013B" w:rsidRDefault="005E013B" w:rsidP="005E013B">
            <w:pPr>
              <w:jc w:val="both"/>
              <w:rPr>
                <w:rFonts w:ascii="Times New Roman" w:hAnsi="Times New Roman" w:cs="Times New Roman"/>
                <w:sz w:val="18"/>
                <w:szCs w:val="18"/>
              </w:rPr>
            </w:pPr>
            <w:r w:rsidRPr="005E013B">
              <w:rPr>
                <w:rFonts w:ascii="Times New Roman" w:hAnsi="Times New Roman" w:cs="Times New Roman"/>
                <w:sz w:val="18"/>
                <w:szCs w:val="18"/>
              </w:rPr>
              <w:t>3.</w:t>
            </w:r>
            <w:r>
              <w:rPr>
                <w:rFonts w:ascii="Times New Roman" w:hAnsi="Times New Roman" w:cs="Times New Roman"/>
                <w:sz w:val="18"/>
                <w:szCs w:val="18"/>
              </w:rPr>
              <w:t xml:space="preserve"> </w:t>
            </w:r>
            <w:r w:rsidRPr="005E013B">
              <w:rPr>
                <w:rFonts w:ascii="Times New Roman" w:hAnsi="Times New Roman" w:cs="Times New Roman"/>
                <w:sz w:val="18"/>
                <w:szCs w:val="18"/>
              </w:rPr>
              <w:t>The Platform Operator shall be responsible for retaining the data and documentation used for verification and communication with the Seller until 31 December of the fifth year following the year in which the communication or reporting was carried out.</w:t>
            </w:r>
          </w:p>
          <w:p w14:paraId="1F4D3221" w14:textId="77777777" w:rsidR="005E013B" w:rsidRPr="005E013B" w:rsidRDefault="005E013B" w:rsidP="005E013B">
            <w:pPr>
              <w:jc w:val="both"/>
              <w:rPr>
                <w:rFonts w:ascii="Times New Roman" w:hAnsi="Times New Roman" w:cs="Times New Roman"/>
                <w:sz w:val="18"/>
                <w:szCs w:val="18"/>
              </w:rPr>
            </w:pPr>
          </w:p>
          <w:p w14:paraId="43CCE692" w14:textId="33963BAE" w:rsidR="0061567F" w:rsidRPr="0061567F" w:rsidRDefault="005E013B" w:rsidP="005E013B">
            <w:pPr>
              <w:jc w:val="both"/>
              <w:rPr>
                <w:rFonts w:ascii="Times New Roman" w:hAnsi="Times New Roman" w:cs="Times New Roman"/>
                <w:sz w:val="18"/>
                <w:szCs w:val="18"/>
              </w:rPr>
            </w:pPr>
            <w:r w:rsidRPr="005E013B">
              <w:rPr>
                <w:rFonts w:ascii="Times New Roman" w:hAnsi="Times New Roman" w:cs="Times New Roman"/>
                <w:sz w:val="18"/>
                <w:szCs w:val="18"/>
              </w:rPr>
              <w:t>4.</w:t>
            </w:r>
            <w:r>
              <w:rPr>
                <w:rFonts w:ascii="Times New Roman" w:hAnsi="Times New Roman" w:cs="Times New Roman"/>
                <w:sz w:val="18"/>
                <w:szCs w:val="18"/>
              </w:rPr>
              <w:t xml:space="preserve">  </w:t>
            </w:r>
            <w:r w:rsidRPr="005E013B">
              <w:rPr>
                <w:rFonts w:ascii="Times New Roman" w:hAnsi="Times New Roman" w:cs="Times New Roman"/>
                <w:sz w:val="18"/>
                <w:szCs w:val="18"/>
              </w:rPr>
              <w:t xml:space="preserve">For individual sellers, the requirements of Article 4, paragraph 1 apply. </w:t>
            </w:r>
          </w:p>
          <w:p w14:paraId="5BA048E2" w14:textId="702C6C81" w:rsidR="00AF6E05" w:rsidRPr="00AF6E05" w:rsidRDefault="005E013B" w:rsidP="0061567F">
            <w:pPr>
              <w:jc w:val="both"/>
              <w:rPr>
                <w:rFonts w:ascii="Times New Roman" w:hAnsi="Times New Roman" w:cs="Times New Roman"/>
                <w:sz w:val="18"/>
                <w:szCs w:val="18"/>
              </w:rPr>
            </w:pPr>
            <w:r>
              <w:rPr>
                <w:rFonts w:ascii="Times New Roman" w:hAnsi="Times New Roman" w:cs="Times New Roman"/>
                <w:sz w:val="18"/>
                <w:szCs w:val="18"/>
              </w:rPr>
              <w:t xml:space="preserve">5. </w:t>
            </w:r>
            <w:r w:rsidR="0061567F" w:rsidRPr="0061567F">
              <w:rPr>
                <w:rFonts w:ascii="Times New Roman" w:hAnsi="Times New Roman" w:cs="Times New Roman"/>
                <w:sz w:val="18"/>
                <w:szCs w:val="18"/>
              </w:rPr>
              <w:t>When Reporting Platform Operator uses the Identification Service provided by the competent authority or by the European Union, it can rely on the results of this service only for the purpose of verifying the identity and residence of the reporting seller, in accordance with the conditions and limits set out in the relevant bylaws. However, the platform operator remains obliged to report all elements of the information required by this law and bylaws, even when these data have been generated or verified through the Identification Service.</w:t>
            </w:r>
          </w:p>
        </w:tc>
        <w:tc>
          <w:tcPr>
            <w:tcW w:w="720" w:type="dxa"/>
            <w:gridSpan w:val="2"/>
          </w:tcPr>
          <w:p w14:paraId="2F18E782" w14:textId="341A9A70" w:rsidR="00AF6E05"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69764529" w14:textId="77777777" w:rsidR="00AF6E05" w:rsidRPr="00080E02" w:rsidRDefault="00AF6E05" w:rsidP="00E16BA5">
            <w:pPr>
              <w:rPr>
                <w:rFonts w:ascii="Times New Roman" w:eastAsia="Calibri" w:hAnsi="Times New Roman" w:cs="Times New Roman"/>
                <w:sz w:val="18"/>
                <w:szCs w:val="18"/>
              </w:rPr>
            </w:pPr>
          </w:p>
        </w:tc>
      </w:tr>
      <w:tr w:rsidR="00D026D5" w:rsidRPr="00036F88" w14:paraId="1AA2BD57" w14:textId="77777777" w:rsidTr="00D50C43">
        <w:trPr>
          <w:gridAfter w:val="1"/>
          <w:wAfter w:w="353" w:type="dxa"/>
          <w:trHeight w:val="854"/>
        </w:trPr>
        <w:tc>
          <w:tcPr>
            <w:tcW w:w="630" w:type="dxa"/>
          </w:tcPr>
          <w:p w14:paraId="1EA7ABA6" w14:textId="77777777" w:rsidR="00D026D5" w:rsidRPr="00036F88" w:rsidRDefault="00D026D5" w:rsidP="005331A6">
            <w:pPr>
              <w:jc w:val="both"/>
              <w:rPr>
                <w:rFonts w:ascii="Times New Roman" w:eastAsia="Calibri" w:hAnsi="Times New Roman" w:cs="Times New Roman"/>
                <w:sz w:val="18"/>
                <w:szCs w:val="18"/>
              </w:rPr>
            </w:pPr>
            <w:bookmarkStart w:id="20" w:name="_Hlk227923691"/>
          </w:p>
        </w:tc>
        <w:tc>
          <w:tcPr>
            <w:tcW w:w="5400" w:type="dxa"/>
            <w:shd w:val="clear" w:color="auto" w:fill="D0CECE" w:themeFill="background2" w:themeFillShade="E6"/>
          </w:tcPr>
          <w:p w14:paraId="2170B87A" w14:textId="5939D49E" w:rsidR="00D026D5" w:rsidRPr="001725D0" w:rsidRDefault="00D026D5" w:rsidP="005331A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 xml:space="preserve"> </w:t>
            </w:r>
          </w:p>
          <w:p w14:paraId="784EF7EA" w14:textId="77777777" w:rsidR="00D026D5" w:rsidRPr="001725D0" w:rsidRDefault="00D026D5" w:rsidP="00D026D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H. Completion of due diligence verification procedures by third parties</w:t>
            </w:r>
          </w:p>
          <w:p w14:paraId="7C61EA7F" w14:textId="77777777" w:rsidR="00D026D5" w:rsidRPr="001725D0" w:rsidRDefault="00D026D5" w:rsidP="005331A6">
            <w:pPr>
              <w:jc w:val="both"/>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536E0398" w14:textId="77777777" w:rsidR="00D026D5" w:rsidRPr="00036F88" w:rsidRDefault="00D026D5" w:rsidP="005331A6">
            <w:pPr>
              <w:rPr>
                <w:rFonts w:ascii="Times New Roman" w:eastAsia="Calibri" w:hAnsi="Times New Roman" w:cs="Times New Roman"/>
                <w:sz w:val="18"/>
                <w:szCs w:val="18"/>
              </w:rPr>
            </w:pPr>
          </w:p>
        </w:tc>
        <w:tc>
          <w:tcPr>
            <w:tcW w:w="720" w:type="dxa"/>
            <w:shd w:val="clear" w:color="auto" w:fill="D0CECE" w:themeFill="background2" w:themeFillShade="E6"/>
          </w:tcPr>
          <w:p w14:paraId="3E8CC8FE" w14:textId="77777777" w:rsidR="00D026D5" w:rsidRPr="00036F88" w:rsidRDefault="00D026D5" w:rsidP="005331A6">
            <w:pPr>
              <w:rPr>
                <w:rFonts w:ascii="Times New Roman" w:eastAsia="Calibri" w:hAnsi="Times New Roman" w:cs="Times New Roman"/>
                <w:sz w:val="18"/>
                <w:szCs w:val="18"/>
              </w:rPr>
            </w:pPr>
          </w:p>
        </w:tc>
        <w:tc>
          <w:tcPr>
            <w:tcW w:w="5040" w:type="dxa"/>
            <w:gridSpan w:val="2"/>
            <w:shd w:val="clear" w:color="auto" w:fill="D0CECE" w:themeFill="background2" w:themeFillShade="E6"/>
          </w:tcPr>
          <w:p w14:paraId="7066D048" w14:textId="77777777" w:rsidR="00BA0D16" w:rsidRPr="00462428" w:rsidRDefault="00BA0D16" w:rsidP="00BA0D16">
            <w:pPr>
              <w:jc w:val="center"/>
              <w:rPr>
                <w:rFonts w:ascii="Times New Roman" w:hAnsi="Times New Roman" w:cs="Times New Roman"/>
                <w:b/>
                <w:sz w:val="18"/>
                <w:szCs w:val="18"/>
              </w:rPr>
            </w:pPr>
            <w:r>
              <w:rPr>
                <w:rFonts w:ascii="Times New Roman" w:hAnsi="Times New Roman" w:cs="Times New Roman"/>
                <w:b/>
                <w:sz w:val="18"/>
                <w:szCs w:val="18"/>
              </w:rPr>
              <w:t>Article 10</w:t>
            </w:r>
          </w:p>
          <w:p w14:paraId="3A078BE5" w14:textId="094DE083" w:rsidR="00D026D5" w:rsidRDefault="0061567F" w:rsidP="00BA0D16">
            <w:pPr>
              <w:jc w:val="center"/>
              <w:rPr>
                <w:rFonts w:ascii="Times New Roman" w:eastAsia="Calibri" w:hAnsi="Times New Roman" w:cs="Times New Roman"/>
                <w:sz w:val="18"/>
                <w:szCs w:val="18"/>
              </w:rPr>
            </w:pPr>
            <w:r w:rsidRPr="0061567F">
              <w:rPr>
                <w:rFonts w:ascii="Times New Roman" w:hAnsi="Times New Roman" w:cs="Times New Roman"/>
                <w:b/>
                <w:sz w:val="18"/>
                <w:szCs w:val="18"/>
              </w:rPr>
              <w:t>Conducting procedures by third parties</w:t>
            </w:r>
          </w:p>
        </w:tc>
        <w:tc>
          <w:tcPr>
            <w:tcW w:w="720" w:type="dxa"/>
            <w:gridSpan w:val="2"/>
            <w:shd w:val="clear" w:color="auto" w:fill="D0CECE" w:themeFill="background2" w:themeFillShade="E6"/>
          </w:tcPr>
          <w:p w14:paraId="4E8E9EF1" w14:textId="77777777" w:rsidR="00D026D5" w:rsidRPr="00036F88" w:rsidRDefault="00D026D5" w:rsidP="005331A6">
            <w:pPr>
              <w:jc w:val="center"/>
              <w:rPr>
                <w:rFonts w:ascii="Times New Roman" w:eastAsia="Calibri" w:hAnsi="Times New Roman" w:cs="Times New Roman"/>
                <w:sz w:val="18"/>
                <w:szCs w:val="18"/>
              </w:rPr>
            </w:pPr>
          </w:p>
        </w:tc>
        <w:tc>
          <w:tcPr>
            <w:tcW w:w="3240" w:type="dxa"/>
            <w:gridSpan w:val="2"/>
            <w:shd w:val="clear" w:color="auto" w:fill="D0CECE" w:themeFill="background2" w:themeFillShade="E6"/>
          </w:tcPr>
          <w:p w14:paraId="507459B8" w14:textId="77777777" w:rsidR="00D026D5" w:rsidRPr="00036F88" w:rsidRDefault="00D026D5" w:rsidP="005331A6">
            <w:pPr>
              <w:rPr>
                <w:rFonts w:ascii="Times New Roman" w:eastAsia="Calibri" w:hAnsi="Times New Roman" w:cs="Times New Roman"/>
                <w:sz w:val="18"/>
                <w:szCs w:val="18"/>
              </w:rPr>
            </w:pPr>
          </w:p>
        </w:tc>
      </w:tr>
      <w:bookmarkEnd w:id="20"/>
      <w:tr w:rsidR="00D026D5" w:rsidRPr="00036F88" w14:paraId="07E1C9A1" w14:textId="77777777" w:rsidTr="00D50C43">
        <w:trPr>
          <w:gridAfter w:val="1"/>
          <w:wAfter w:w="353" w:type="dxa"/>
          <w:trHeight w:val="2204"/>
        </w:trPr>
        <w:tc>
          <w:tcPr>
            <w:tcW w:w="630" w:type="dxa"/>
          </w:tcPr>
          <w:p w14:paraId="4DCEE55B" w14:textId="77777777" w:rsidR="00D026D5" w:rsidRPr="00036F88" w:rsidRDefault="00D026D5" w:rsidP="003C045B">
            <w:pPr>
              <w:jc w:val="both"/>
              <w:rPr>
                <w:rFonts w:ascii="Times New Roman" w:eastAsia="Calibri" w:hAnsi="Times New Roman" w:cs="Times New Roman"/>
                <w:sz w:val="18"/>
                <w:szCs w:val="18"/>
              </w:rPr>
            </w:pPr>
          </w:p>
        </w:tc>
        <w:tc>
          <w:tcPr>
            <w:tcW w:w="5400" w:type="dxa"/>
          </w:tcPr>
          <w:p w14:paraId="570BECE7" w14:textId="77777777" w:rsidR="00D026D5" w:rsidRPr="001725D0" w:rsidRDefault="00D026D5" w:rsidP="00D026D5">
            <w:pPr>
              <w:jc w:val="both"/>
              <w:rPr>
                <w:rFonts w:ascii="Times New Roman" w:eastAsia="Calibri" w:hAnsi="Times New Roman" w:cs="Times New Roman"/>
                <w:iCs/>
                <w:sz w:val="18"/>
                <w:szCs w:val="18"/>
                <w:lang w:val="en-US"/>
              </w:rPr>
            </w:pPr>
          </w:p>
          <w:p w14:paraId="7F8C34BA" w14:textId="77777777" w:rsidR="00D026D5" w:rsidRPr="001725D0" w:rsidRDefault="00D026D5" w:rsidP="00D026D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1. A Reporting Platform Operator may rely on a third-party service provider to fulfil the due diligence obligations set out in this Section, but such obligations shall remain the responsibility of the Reporting Platform Operator.</w:t>
            </w:r>
          </w:p>
          <w:p w14:paraId="40CFC978" w14:textId="77777777" w:rsidR="00D026D5" w:rsidRPr="001725D0" w:rsidRDefault="00D026D5" w:rsidP="00D026D5">
            <w:pPr>
              <w:jc w:val="both"/>
              <w:rPr>
                <w:rFonts w:ascii="Times New Roman" w:eastAsia="Calibri" w:hAnsi="Times New Roman" w:cs="Times New Roman"/>
                <w:iCs/>
                <w:sz w:val="18"/>
                <w:szCs w:val="18"/>
                <w:lang w:val="en-US"/>
              </w:rPr>
            </w:pPr>
          </w:p>
          <w:p w14:paraId="1541C042" w14:textId="7E70CAD8" w:rsidR="00D026D5" w:rsidRPr="001725D0" w:rsidRDefault="00D026D5" w:rsidP="00D026D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2. When a Platform Operator fulfils the due diligence obligations for a Reporting Platform Operator in relation to the same Platform under subparagraph H(1), such a Platform Operator must carry out the due diligence procedures in accordance with the rules set out in this Section. The due diligence obligations shall remain the responsibility of the Reporting Platform Operator.</w:t>
            </w:r>
          </w:p>
        </w:tc>
        <w:tc>
          <w:tcPr>
            <w:tcW w:w="540" w:type="dxa"/>
          </w:tcPr>
          <w:p w14:paraId="1679628B" w14:textId="77777777" w:rsidR="00D026D5" w:rsidRPr="00036F88" w:rsidRDefault="00D026D5" w:rsidP="003C045B">
            <w:pPr>
              <w:jc w:val="center"/>
              <w:rPr>
                <w:rFonts w:ascii="Times New Roman" w:eastAsia="Calibri" w:hAnsi="Times New Roman" w:cs="Times New Roman"/>
                <w:sz w:val="18"/>
                <w:szCs w:val="18"/>
                <w:highlight w:val="cyan"/>
              </w:rPr>
            </w:pPr>
          </w:p>
        </w:tc>
        <w:tc>
          <w:tcPr>
            <w:tcW w:w="720" w:type="dxa"/>
          </w:tcPr>
          <w:p w14:paraId="49C63BAC" w14:textId="6A56F969" w:rsidR="00D026D5" w:rsidRPr="001725D0" w:rsidRDefault="00462428"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Article 10</w:t>
            </w:r>
          </w:p>
        </w:tc>
        <w:tc>
          <w:tcPr>
            <w:tcW w:w="5040" w:type="dxa"/>
            <w:gridSpan w:val="2"/>
          </w:tcPr>
          <w:p w14:paraId="08B8B9D8" w14:textId="77777777" w:rsidR="00D026D5" w:rsidRDefault="00D026D5" w:rsidP="00BA0D16">
            <w:pPr>
              <w:jc w:val="both"/>
              <w:rPr>
                <w:rFonts w:ascii="Times New Roman" w:hAnsi="Times New Roman" w:cs="Times New Roman"/>
                <w:sz w:val="18"/>
                <w:szCs w:val="18"/>
              </w:rPr>
            </w:pPr>
          </w:p>
          <w:p w14:paraId="667D79DF" w14:textId="77777777" w:rsidR="00462428" w:rsidRPr="00462428" w:rsidRDefault="00462428" w:rsidP="00462428">
            <w:pPr>
              <w:jc w:val="both"/>
              <w:rPr>
                <w:rFonts w:ascii="Times New Roman" w:hAnsi="Times New Roman" w:cs="Times New Roman"/>
                <w:sz w:val="18"/>
                <w:szCs w:val="18"/>
              </w:rPr>
            </w:pPr>
          </w:p>
          <w:p w14:paraId="38C4CF1C" w14:textId="1ADD222A" w:rsidR="0061567F" w:rsidRPr="0061567F" w:rsidRDefault="00462428" w:rsidP="0061567F">
            <w:pPr>
              <w:jc w:val="both"/>
              <w:rPr>
                <w:rFonts w:ascii="Times New Roman" w:hAnsi="Times New Roman" w:cs="Times New Roman"/>
                <w:sz w:val="18"/>
                <w:szCs w:val="18"/>
              </w:rPr>
            </w:pPr>
            <w:r>
              <w:rPr>
                <w:rFonts w:ascii="Times New Roman" w:hAnsi="Times New Roman" w:cs="Times New Roman"/>
                <w:sz w:val="18"/>
                <w:szCs w:val="18"/>
              </w:rPr>
              <w:t>1.</w:t>
            </w:r>
            <w:r w:rsidR="005E013B">
              <w:rPr>
                <w:rFonts w:ascii="Times New Roman" w:hAnsi="Times New Roman" w:cs="Times New Roman"/>
                <w:sz w:val="18"/>
                <w:szCs w:val="18"/>
              </w:rPr>
              <w:t xml:space="preserve"> </w:t>
            </w:r>
            <w:r w:rsidR="0061567F" w:rsidRPr="0061567F">
              <w:rPr>
                <w:rFonts w:ascii="Times New Roman" w:hAnsi="Times New Roman" w:cs="Times New Roman"/>
                <w:sz w:val="18"/>
                <w:szCs w:val="18"/>
              </w:rPr>
              <w:t xml:space="preserve">The Reporting Platform Operator may entrust a third-party service provider or another platform operator with the task of fulfilling the due diligence obligation under Articles 3 to 9, only for sellers that are active during the reporting period. </w:t>
            </w:r>
          </w:p>
          <w:p w14:paraId="714A2ED3"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2.</w:t>
            </w:r>
            <w:r w:rsidRPr="0061567F">
              <w:rPr>
                <w:rFonts w:ascii="Times New Roman" w:hAnsi="Times New Roman" w:cs="Times New Roman"/>
                <w:sz w:val="18"/>
                <w:szCs w:val="18"/>
              </w:rPr>
              <w:tab/>
              <w:t>With the exception of the provision in paragraph 1 of this Article, the responsibility for fulfilling these obligations remains with the platform operator with the reporting obligation.</w:t>
            </w:r>
          </w:p>
          <w:p w14:paraId="45F343B2"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3.</w:t>
            </w:r>
            <w:r w:rsidRPr="0061567F">
              <w:rPr>
                <w:rFonts w:ascii="Times New Roman" w:hAnsi="Times New Roman" w:cs="Times New Roman"/>
                <w:sz w:val="18"/>
                <w:szCs w:val="18"/>
              </w:rPr>
              <w:tab/>
              <w:t xml:space="preserve"> The operator of the mandatory reporting platform bears the responsibility for maintaining audit records and evidence documenting the performance of mandatory verification procedures, even when the task is delegated to third parties.</w:t>
            </w:r>
          </w:p>
          <w:p w14:paraId="54EC12C5" w14:textId="2078E500" w:rsidR="00462428" w:rsidRPr="00D026D5"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4.</w:t>
            </w:r>
            <w:r w:rsidRPr="0061567F">
              <w:rPr>
                <w:rFonts w:ascii="Times New Roman" w:hAnsi="Times New Roman" w:cs="Times New Roman"/>
                <w:sz w:val="18"/>
                <w:szCs w:val="18"/>
              </w:rPr>
              <w:tab/>
              <w:t>The ways and forms of communication between the operators of the reporting platform and the third parties in charge of carrying out the procedures shall be determined by decision of the Council of Ministers, guaranteeing the security, confidentiality and integrity of the exchanged data.</w:t>
            </w:r>
          </w:p>
        </w:tc>
        <w:tc>
          <w:tcPr>
            <w:tcW w:w="720" w:type="dxa"/>
            <w:gridSpan w:val="2"/>
          </w:tcPr>
          <w:p w14:paraId="7F98EEDF" w14:textId="1BEB667F" w:rsidR="00D026D5"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2910E304" w14:textId="77777777" w:rsidR="00D026D5" w:rsidRPr="00080E02" w:rsidRDefault="00D026D5" w:rsidP="00E16BA5">
            <w:pPr>
              <w:rPr>
                <w:rFonts w:ascii="Times New Roman" w:eastAsia="Calibri" w:hAnsi="Times New Roman" w:cs="Times New Roman"/>
                <w:sz w:val="18"/>
                <w:szCs w:val="18"/>
              </w:rPr>
            </w:pPr>
          </w:p>
        </w:tc>
      </w:tr>
      <w:tr w:rsidR="00D026D5" w:rsidRPr="00036F88" w14:paraId="76DFC7FC" w14:textId="77777777" w:rsidTr="00D50C43">
        <w:trPr>
          <w:gridAfter w:val="1"/>
          <w:wAfter w:w="353" w:type="dxa"/>
          <w:trHeight w:val="854"/>
        </w:trPr>
        <w:tc>
          <w:tcPr>
            <w:tcW w:w="630" w:type="dxa"/>
          </w:tcPr>
          <w:p w14:paraId="4F6804BA" w14:textId="77777777" w:rsidR="00D026D5" w:rsidRPr="00036F88" w:rsidRDefault="00D026D5" w:rsidP="005331A6">
            <w:pPr>
              <w:jc w:val="both"/>
              <w:rPr>
                <w:rFonts w:ascii="Times New Roman" w:eastAsia="Calibri" w:hAnsi="Times New Roman" w:cs="Times New Roman"/>
                <w:sz w:val="18"/>
                <w:szCs w:val="18"/>
              </w:rPr>
            </w:pPr>
            <w:bookmarkStart w:id="21" w:name="_Hlk227924092"/>
          </w:p>
        </w:tc>
        <w:tc>
          <w:tcPr>
            <w:tcW w:w="5400" w:type="dxa"/>
            <w:shd w:val="clear" w:color="auto" w:fill="D0CECE" w:themeFill="background2" w:themeFillShade="E6"/>
          </w:tcPr>
          <w:p w14:paraId="22509A17" w14:textId="37E38BCC" w:rsidR="00D026D5" w:rsidRPr="00D026D5" w:rsidRDefault="00D026D5" w:rsidP="005331A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 xml:space="preserve"> </w:t>
            </w:r>
          </w:p>
          <w:p w14:paraId="2E2DBCCB" w14:textId="77777777" w:rsidR="00D026D5" w:rsidRDefault="00D026D5" w:rsidP="00D026D5">
            <w:pPr>
              <w:spacing w:line="276" w:lineRule="auto"/>
              <w:jc w:val="center"/>
              <w:rPr>
                <w:rFonts w:ascii="Times New Roman" w:hAnsi="Times New Roman" w:cs="Times New Roman"/>
                <w:lang w:val="en-US"/>
              </w:rPr>
            </w:pPr>
            <w:r>
              <w:rPr>
                <w:rFonts w:ascii="Times New Roman" w:hAnsi="Times New Roman" w:cs="Times New Roman"/>
                <w:lang w:val="en-US"/>
              </w:rPr>
              <w:t>SECTION III</w:t>
            </w:r>
          </w:p>
          <w:p w14:paraId="0934179C" w14:textId="2BB09628" w:rsidR="00D026D5" w:rsidRPr="00AF6E05" w:rsidRDefault="00D026D5" w:rsidP="00D026D5">
            <w:pPr>
              <w:jc w:val="center"/>
              <w:rPr>
                <w:rFonts w:ascii="Times New Roman" w:eastAsia="Calibri" w:hAnsi="Times New Roman" w:cs="Times New Roman"/>
                <w:iCs/>
                <w:sz w:val="18"/>
                <w:szCs w:val="18"/>
                <w:lang w:val="en-US"/>
              </w:rPr>
            </w:pPr>
            <w:r>
              <w:rPr>
                <w:rFonts w:ascii="Times New Roman" w:hAnsi="Times New Roman" w:cs="Times New Roman"/>
                <w:b/>
                <w:bCs/>
                <w:lang w:val="en-US"/>
              </w:rPr>
              <w:t>REPORTING REQUIREMENTS</w:t>
            </w:r>
          </w:p>
        </w:tc>
        <w:tc>
          <w:tcPr>
            <w:tcW w:w="540" w:type="dxa"/>
            <w:shd w:val="clear" w:color="auto" w:fill="D0CECE" w:themeFill="background2" w:themeFillShade="E6"/>
          </w:tcPr>
          <w:p w14:paraId="2E7A7871" w14:textId="77777777" w:rsidR="00D026D5" w:rsidRPr="00036F88" w:rsidRDefault="00D026D5" w:rsidP="005331A6">
            <w:pPr>
              <w:rPr>
                <w:rFonts w:ascii="Times New Roman" w:eastAsia="Calibri" w:hAnsi="Times New Roman" w:cs="Times New Roman"/>
                <w:sz w:val="18"/>
                <w:szCs w:val="18"/>
              </w:rPr>
            </w:pPr>
          </w:p>
        </w:tc>
        <w:tc>
          <w:tcPr>
            <w:tcW w:w="720" w:type="dxa"/>
            <w:shd w:val="clear" w:color="auto" w:fill="D0CECE" w:themeFill="background2" w:themeFillShade="E6"/>
          </w:tcPr>
          <w:p w14:paraId="2B6B4671" w14:textId="77777777" w:rsidR="00D026D5" w:rsidRPr="00036F88" w:rsidRDefault="00D026D5" w:rsidP="005331A6">
            <w:pPr>
              <w:rPr>
                <w:rFonts w:ascii="Times New Roman" w:eastAsia="Calibri" w:hAnsi="Times New Roman" w:cs="Times New Roman"/>
                <w:sz w:val="18"/>
                <w:szCs w:val="18"/>
              </w:rPr>
            </w:pPr>
          </w:p>
        </w:tc>
        <w:tc>
          <w:tcPr>
            <w:tcW w:w="5040" w:type="dxa"/>
            <w:gridSpan w:val="2"/>
            <w:shd w:val="clear" w:color="auto" w:fill="D0CECE" w:themeFill="background2" w:themeFillShade="E6"/>
          </w:tcPr>
          <w:p w14:paraId="60950F4B" w14:textId="77777777" w:rsidR="00462428" w:rsidRPr="009D338E" w:rsidRDefault="00462428" w:rsidP="00462428">
            <w:pPr>
              <w:spacing w:line="276" w:lineRule="auto"/>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 xml:space="preserve">Article 11 </w:t>
            </w:r>
          </w:p>
          <w:p w14:paraId="5178AAC1" w14:textId="77777777" w:rsidR="00462428" w:rsidRPr="009D338E" w:rsidRDefault="00462428" w:rsidP="00462428">
            <w:pPr>
              <w:spacing w:line="276" w:lineRule="auto"/>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Communication obligations and exceptions</w:t>
            </w:r>
          </w:p>
          <w:p w14:paraId="12A9A87B" w14:textId="25AB0FB5" w:rsidR="00D026D5" w:rsidRDefault="00D026D5" w:rsidP="00462428">
            <w:pPr>
              <w:jc w:val="center"/>
              <w:rPr>
                <w:rFonts w:ascii="Times New Roman" w:eastAsia="Calibri" w:hAnsi="Times New Roman" w:cs="Times New Roman"/>
                <w:sz w:val="18"/>
                <w:szCs w:val="18"/>
              </w:rPr>
            </w:pPr>
          </w:p>
        </w:tc>
        <w:tc>
          <w:tcPr>
            <w:tcW w:w="720" w:type="dxa"/>
            <w:gridSpan w:val="2"/>
            <w:shd w:val="clear" w:color="auto" w:fill="D0CECE" w:themeFill="background2" w:themeFillShade="E6"/>
          </w:tcPr>
          <w:p w14:paraId="11B12B96" w14:textId="77777777" w:rsidR="00D026D5" w:rsidRPr="00036F88" w:rsidRDefault="00D026D5" w:rsidP="005331A6">
            <w:pPr>
              <w:jc w:val="center"/>
              <w:rPr>
                <w:rFonts w:ascii="Times New Roman" w:eastAsia="Calibri" w:hAnsi="Times New Roman" w:cs="Times New Roman"/>
                <w:sz w:val="18"/>
                <w:szCs w:val="18"/>
              </w:rPr>
            </w:pPr>
          </w:p>
        </w:tc>
        <w:tc>
          <w:tcPr>
            <w:tcW w:w="3240" w:type="dxa"/>
            <w:gridSpan w:val="2"/>
            <w:shd w:val="clear" w:color="auto" w:fill="D0CECE" w:themeFill="background2" w:themeFillShade="E6"/>
          </w:tcPr>
          <w:p w14:paraId="54E1D61C" w14:textId="77777777" w:rsidR="00D026D5" w:rsidRPr="00036F88" w:rsidRDefault="00D026D5" w:rsidP="005331A6">
            <w:pPr>
              <w:rPr>
                <w:rFonts w:ascii="Times New Roman" w:eastAsia="Calibri" w:hAnsi="Times New Roman" w:cs="Times New Roman"/>
                <w:sz w:val="18"/>
                <w:szCs w:val="18"/>
              </w:rPr>
            </w:pPr>
          </w:p>
        </w:tc>
      </w:tr>
      <w:bookmarkEnd w:id="21"/>
      <w:tr w:rsidR="00D026D5" w:rsidRPr="00036F88" w14:paraId="2F4FD058" w14:textId="77777777" w:rsidTr="00D50C43">
        <w:trPr>
          <w:gridAfter w:val="1"/>
          <w:wAfter w:w="353" w:type="dxa"/>
          <w:trHeight w:val="2204"/>
        </w:trPr>
        <w:tc>
          <w:tcPr>
            <w:tcW w:w="630" w:type="dxa"/>
          </w:tcPr>
          <w:p w14:paraId="03AED221" w14:textId="77777777" w:rsidR="00D026D5" w:rsidRPr="00036F88" w:rsidRDefault="00D026D5" w:rsidP="003C045B">
            <w:pPr>
              <w:jc w:val="both"/>
              <w:rPr>
                <w:rFonts w:ascii="Times New Roman" w:eastAsia="Calibri" w:hAnsi="Times New Roman" w:cs="Times New Roman"/>
                <w:sz w:val="18"/>
                <w:szCs w:val="18"/>
              </w:rPr>
            </w:pPr>
          </w:p>
        </w:tc>
        <w:tc>
          <w:tcPr>
            <w:tcW w:w="5400" w:type="dxa"/>
          </w:tcPr>
          <w:p w14:paraId="3929C9B6" w14:textId="77777777" w:rsidR="00D026D5" w:rsidRPr="001725D0" w:rsidRDefault="00D026D5" w:rsidP="00D026D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 Time and manner of reporting</w:t>
            </w:r>
          </w:p>
          <w:p w14:paraId="132C1C31" w14:textId="77777777" w:rsidR="00D026D5" w:rsidRPr="001725D0" w:rsidRDefault="00D026D5" w:rsidP="00D026D5">
            <w:pPr>
              <w:jc w:val="both"/>
              <w:rPr>
                <w:rFonts w:ascii="Times New Roman" w:eastAsia="Calibri" w:hAnsi="Times New Roman" w:cs="Times New Roman"/>
                <w:iCs/>
                <w:sz w:val="18"/>
                <w:szCs w:val="18"/>
                <w:lang w:val="en-US"/>
              </w:rPr>
            </w:pPr>
          </w:p>
          <w:p w14:paraId="1E424BCF" w14:textId="77777777" w:rsidR="00D026D5" w:rsidRPr="001725D0" w:rsidRDefault="00D026D5" w:rsidP="00D026D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1. A Reporting Platform Operator within the meaning of point (a) of subparagraph A(4) of Section I shall report to the competent authority of the Member State determined in accordance with point (a) of subparagraph A(4) of Section I the information specified in paragraph B of this Section in relation to the Reportable Period no later than 31 January of the year following the calendar year in which the Seller is identified as a Reportable Seller. Where there is more than one Reporting Platform Operator, each of those Reporting Platform Operators shall be exempt from reporting the information if there is evidence, in accordance with national law, that the same information has been reported by another Reporting Platform Operator.</w:t>
            </w:r>
          </w:p>
          <w:p w14:paraId="70630D07" w14:textId="77777777" w:rsidR="00D026D5" w:rsidRPr="001725D0" w:rsidRDefault="00D026D5" w:rsidP="00D026D5">
            <w:pPr>
              <w:jc w:val="both"/>
              <w:rPr>
                <w:rFonts w:ascii="Times New Roman" w:eastAsia="Calibri" w:hAnsi="Times New Roman" w:cs="Times New Roman"/>
                <w:iCs/>
                <w:sz w:val="18"/>
                <w:szCs w:val="18"/>
                <w:lang w:val="en-US"/>
              </w:rPr>
            </w:pPr>
          </w:p>
          <w:p w14:paraId="22F7B4AA" w14:textId="77777777" w:rsidR="00D026D5" w:rsidRPr="001725D0" w:rsidRDefault="00D026D5" w:rsidP="00D026D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 xml:space="preserve">2. If a Reporting Platform Operator within the meaning of point (a) of subparagraph A(4) of Section I meets any of the conditions listed therein in more than one Member State, it shall choose one of those Member </w:t>
            </w:r>
            <w:r>
              <w:rPr>
                <w:rFonts w:ascii="Times New Roman" w:eastAsia="Calibri" w:hAnsi="Times New Roman" w:cs="Times New Roman"/>
                <w:iCs/>
                <w:sz w:val="18"/>
                <w:szCs w:val="18"/>
                <w:lang w:val="en-US"/>
              </w:rPr>
              <w:lastRenderedPageBreak/>
              <w:t>States in which it shall fulfil the reporting requirements set out in this Section. Such a Reporting Platform Operator shall report the information listed in paragraph B of this Section in relation to the Reporting Period to the competent authority of the Member State of choice, as determined in accordance with paragraph E of Section IV, no later than 31 January of the year following the calendar year in which the Seller is identified as a Reportable Seller. When there is more than one Operator Reporting Platform, any of those Reporting Platform Operators shall be excluded from reporting the information if it has proof, in accordance with national law, that the same information has been reported by another Reporting Platform Operator in another Member State.</w:t>
            </w:r>
          </w:p>
          <w:p w14:paraId="13DA9F9F" w14:textId="77777777" w:rsidR="00D026D5" w:rsidRPr="001725D0" w:rsidRDefault="00D026D5" w:rsidP="00D026D5">
            <w:pPr>
              <w:jc w:val="both"/>
              <w:rPr>
                <w:rFonts w:ascii="Times New Roman" w:eastAsia="Calibri" w:hAnsi="Times New Roman" w:cs="Times New Roman"/>
                <w:iCs/>
                <w:sz w:val="18"/>
                <w:szCs w:val="18"/>
                <w:lang w:val="en-US"/>
              </w:rPr>
            </w:pPr>
          </w:p>
          <w:p w14:paraId="452A63A3" w14:textId="77777777" w:rsidR="00D026D5" w:rsidRPr="001725D0" w:rsidRDefault="00D026D5" w:rsidP="00D026D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3. A Reporting Platform Operator within the meaning of point (b) of subparagraph A(4) of Section I shall report the information specified in paragraph B of this Section in relation to the Reportable Period to the competent authority of the Member State of registration, as determined in accordance with subparagraph F(1) of Section IV, no later than 31 January of the year following the calendar year in which the Seller is identified as a Reportable Seller.</w:t>
            </w:r>
          </w:p>
          <w:p w14:paraId="063D4BFF" w14:textId="77777777" w:rsidR="00D026D5" w:rsidRPr="001725D0" w:rsidRDefault="00D026D5" w:rsidP="00D026D5">
            <w:pPr>
              <w:jc w:val="both"/>
              <w:rPr>
                <w:rFonts w:ascii="Times New Roman" w:eastAsia="Calibri" w:hAnsi="Times New Roman" w:cs="Times New Roman"/>
                <w:iCs/>
                <w:sz w:val="18"/>
                <w:szCs w:val="18"/>
                <w:lang w:val="en-US"/>
              </w:rPr>
            </w:pPr>
          </w:p>
          <w:p w14:paraId="789918B3" w14:textId="77777777" w:rsidR="00D026D5" w:rsidRPr="001725D0" w:rsidRDefault="00D026D5" w:rsidP="00D026D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4. Notwithstanding subparagraph A(3) of this Section, a Reporting Platform Operator within the meaning of point (b) of subparagraph A(4) of Section I shall not be required to provide the information specified in paragraph B of this Section in relation to Relevant Qualified Activities, covered by an Effective Qualifying Competent Authority Agreement, which already provides for the automatic exchange of information equivalent with a Member State on Reportable Sellers resident in that Member State.</w:t>
            </w:r>
          </w:p>
          <w:p w14:paraId="24558B88" w14:textId="77777777" w:rsidR="00D026D5" w:rsidRPr="001725D0" w:rsidRDefault="00D026D5" w:rsidP="00D026D5">
            <w:pPr>
              <w:jc w:val="both"/>
              <w:rPr>
                <w:rFonts w:ascii="Times New Roman" w:eastAsia="Calibri" w:hAnsi="Times New Roman" w:cs="Times New Roman"/>
                <w:iCs/>
                <w:sz w:val="18"/>
                <w:szCs w:val="18"/>
                <w:lang w:val="en-US"/>
              </w:rPr>
            </w:pPr>
          </w:p>
          <w:p w14:paraId="00D6A7AB" w14:textId="77777777" w:rsidR="00D026D5" w:rsidRPr="001725D0" w:rsidRDefault="00D026D5" w:rsidP="00D026D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5. A Reporting Platform Operator must also provide the information specified in subparagraphs B(2) and B(3) to the Reportable Seller to whom it relates, no later than 31 January of the year following the calendar year in which the Seller is identified as a Reportable Seller.</w:t>
            </w:r>
          </w:p>
          <w:p w14:paraId="45EAF4A2" w14:textId="77777777" w:rsidR="00D026D5" w:rsidRPr="001725D0" w:rsidRDefault="00D026D5" w:rsidP="00D026D5">
            <w:pPr>
              <w:jc w:val="both"/>
              <w:rPr>
                <w:rFonts w:ascii="Times New Roman" w:eastAsia="Calibri" w:hAnsi="Times New Roman" w:cs="Times New Roman"/>
                <w:iCs/>
                <w:sz w:val="18"/>
                <w:szCs w:val="18"/>
                <w:lang w:val="en-US"/>
              </w:rPr>
            </w:pPr>
          </w:p>
          <w:p w14:paraId="61B7B674" w14:textId="77777777" w:rsidR="00D026D5" w:rsidRPr="001725D0" w:rsidRDefault="00D026D5" w:rsidP="00D026D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 xml:space="preserve">6. The information regarding the Consideration paid or credited in a fiat currency must be reported in the currency in which it was paid or credited. In the event that the Consideration was paid or credited in a form other than fiat currency, it must be reported in the domestic </w:t>
            </w:r>
            <w:r>
              <w:rPr>
                <w:rFonts w:ascii="Times New Roman" w:eastAsia="Calibri" w:hAnsi="Times New Roman" w:cs="Times New Roman"/>
                <w:iCs/>
                <w:sz w:val="18"/>
                <w:szCs w:val="18"/>
                <w:lang w:val="en-US"/>
              </w:rPr>
              <w:lastRenderedPageBreak/>
              <w:t>currency, converted or valued in a manner that is determined consistently by the Reporting Platform Operator.</w:t>
            </w:r>
          </w:p>
          <w:p w14:paraId="5FDF7002" w14:textId="77777777" w:rsidR="00D026D5" w:rsidRPr="001725D0" w:rsidRDefault="00D026D5" w:rsidP="00D026D5">
            <w:pPr>
              <w:jc w:val="both"/>
              <w:rPr>
                <w:rFonts w:ascii="Times New Roman" w:eastAsia="Calibri" w:hAnsi="Times New Roman" w:cs="Times New Roman"/>
                <w:iCs/>
                <w:sz w:val="18"/>
                <w:szCs w:val="18"/>
                <w:lang w:val="en-US"/>
              </w:rPr>
            </w:pPr>
          </w:p>
          <w:p w14:paraId="64BFF515" w14:textId="19D8DDD6" w:rsidR="00D026D5" w:rsidRPr="001725D0" w:rsidRDefault="00D026D5" w:rsidP="00D026D5">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7. The information regarding the Remuneration and the other amounts must be reported in relation to the quarter of the Reporting Period in which the Remuneration has been paid or credited.</w:t>
            </w:r>
          </w:p>
        </w:tc>
        <w:tc>
          <w:tcPr>
            <w:tcW w:w="540" w:type="dxa"/>
          </w:tcPr>
          <w:p w14:paraId="332A1034" w14:textId="77777777" w:rsidR="00D026D5" w:rsidRPr="00036F88" w:rsidRDefault="00D026D5" w:rsidP="003C045B">
            <w:pPr>
              <w:jc w:val="center"/>
              <w:rPr>
                <w:rFonts w:ascii="Times New Roman" w:eastAsia="Calibri" w:hAnsi="Times New Roman" w:cs="Times New Roman"/>
                <w:sz w:val="18"/>
                <w:szCs w:val="18"/>
                <w:highlight w:val="cyan"/>
              </w:rPr>
            </w:pPr>
          </w:p>
        </w:tc>
        <w:tc>
          <w:tcPr>
            <w:tcW w:w="720" w:type="dxa"/>
          </w:tcPr>
          <w:p w14:paraId="527CED06" w14:textId="0E79E695" w:rsidR="00D026D5" w:rsidRPr="006E4603" w:rsidRDefault="008C3267"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highlight w:val="cyan"/>
                <w:lang w:val="en-US"/>
              </w:rPr>
              <w:t xml:space="preserve"> </w:t>
            </w:r>
            <w:r>
              <w:rPr>
                <w:rFonts w:ascii="Times New Roman" w:eastAsia="Calibri" w:hAnsi="Times New Roman" w:cs="Times New Roman"/>
                <w:sz w:val="18"/>
                <w:szCs w:val="18"/>
              </w:rPr>
              <w:t xml:space="preserve">Article 11 </w:t>
            </w:r>
          </w:p>
          <w:p w14:paraId="73FBFA9D" w14:textId="24CA41B6" w:rsidR="008C3267" w:rsidRPr="006E4603" w:rsidRDefault="008C3267" w:rsidP="003C045B">
            <w:pPr>
              <w:jc w:val="center"/>
              <w:rPr>
                <w:rFonts w:ascii="Times New Roman" w:eastAsia="Calibri" w:hAnsi="Times New Roman" w:cs="Times New Roman"/>
                <w:sz w:val="18"/>
                <w:szCs w:val="18"/>
                <w:lang w:val="en-US"/>
              </w:rPr>
            </w:pPr>
          </w:p>
          <w:p w14:paraId="7E47B383" w14:textId="65CBA0DB" w:rsidR="008C3267" w:rsidRPr="006E4603" w:rsidRDefault="00462428"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rPr>
              <w:t>Article 12</w:t>
            </w:r>
          </w:p>
          <w:p w14:paraId="4B452A5E" w14:textId="77777777" w:rsidR="008C3267" w:rsidRDefault="008C3267" w:rsidP="003C045B">
            <w:pPr>
              <w:jc w:val="center"/>
              <w:rPr>
                <w:rFonts w:ascii="Times New Roman" w:eastAsia="Calibri" w:hAnsi="Times New Roman" w:cs="Times New Roman"/>
                <w:sz w:val="18"/>
                <w:szCs w:val="18"/>
                <w:highlight w:val="cyan"/>
                <w:lang w:val="en-US"/>
              </w:rPr>
            </w:pPr>
          </w:p>
          <w:p w14:paraId="6FBC721B" w14:textId="1D9DD6C6" w:rsidR="008C3267" w:rsidRPr="001725D0" w:rsidRDefault="008C3267" w:rsidP="003C045B">
            <w:pPr>
              <w:jc w:val="center"/>
              <w:rPr>
                <w:rFonts w:ascii="Times New Roman" w:eastAsia="Calibri" w:hAnsi="Times New Roman" w:cs="Times New Roman"/>
                <w:sz w:val="18"/>
                <w:szCs w:val="18"/>
                <w:highlight w:val="cyan"/>
                <w:lang w:val="en-US"/>
              </w:rPr>
            </w:pPr>
          </w:p>
        </w:tc>
        <w:tc>
          <w:tcPr>
            <w:tcW w:w="5040" w:type="dxa"/>
            <w:gridSpan w:val="2"/>
          </w:tcPr>
          <w:p w14:paraId="196A87E8" w14:textId="2CAA668A" w:rsidR="00D026D5" w:rsidRDefault="00D026D5" w:rsidP="00462428">
            <w:pPr>
              <w:rPr>
                <w:rFonts w:ascii="Times New Roman" w:hAnsi="Times New Roman" w:cs="Times New Roman"/>
                <w:sz w:val="18"/>
                <w:szCs w:val="18"/>
              </w:rPr>
            </w:pPr>
          </w:p>
          <w:p w14:paraId="06ACE232"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1.</w:t>
            </w:r>
            <w:r w:rsidRPr="0061567F">
              <w:rPr>
                <w:rFonts w:ascii="Times New Roman" w:hAnsi="Times New Roman" w:cs="Times New Roman"/>
                <w:sz w:val="18"/>
                <w:szCs w:val="18"/>
              </w:rPr>
              <w:tab/>
              <w:t>The Reporting Platform Operator, according to Article 2, letter (ç), shall communicate to the competent authority the information specified in Articles 12 and 13 of this Law, for each seller that must be reported, within the framework of the annual reporting, no later than January 31 of the year following the reporting period, in which the seller is identified as a reportable seller.</w:t>
            </w:r>
          </w:p>
          <w:p w14:paraId="316E40ED"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2.</w:t>
            </w:r>
            <w:r w:rsidRPr="0061567F">
              <w:rPr>
                <w:rFonts w:ascii="Times New Roman" w:hAnsi="Times New Roman" w:cs="Times New Roman"/>
                <w:sz w:val="18"/>
                <w:szCs w:val="18"/>
              </w:rPr>
              <w:tab/>
              <w:t>If there are more than one platform operator with a reporting obligation for the same seller, those operators who can prove, on the basis of relevant evidence, that the same information has already been communicated by another operator, either within the territory of the Republic of Albania, or in another country, are exempt from the reporting obligation.</w:t>
            </w:r>
          </w:p>
          <w:p w14:paraId="6DBD96BE"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3.</w:t>
            </w:r>
            <w:r w:rsidRPr="0061567F">
              <w:rPr>
                <w:rFonts w:ascii="Times New Roman" w:hAnsi="Times New Roman" w:cs="Times New Roman"/>
                <w:sz w:val="18"/>
                <w:szCs w:val="18"/>
              </w:rPr>
              <w:tab/>
              <w:t xml:space="preserve">When the operator of the Reporting Platform Operator is required to report in more than one country and chooses to fulfill the reporting obligation in the Republic of Albania, it </w:t>
            </w:r>
            <w:r w:rsidRPr="0061567F">
              <w:rPr>
                <w:rFonts w:ascii="Times New Roman" w:hAnsi="Times New Roman" w:cs="Times New Roman"/>
                <w:sz w:val="18"/>
                <w:szCs w:val="18"/>
              </w:rPr>
              <w:lastRenderedPageBreak/>
              <w:t>communicates the information to the Tax Authority no later than 31st of January of the year following the reporting period, in accordance with the methods and criteria set out in Article 13 of this law.</w:t>
            </w:r>
          </w:p>
          <w:p w14:paraId="1D4CDE47"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4.</w:t>
            </w:r>
            <w:r w:rsidRPr="0061567F">
              <w:rPr>
                <w:rFonts w:ascii="Times New Roman" w:hAnsi="Times New Roman" w:cs="Times New Roman"/>
                <w:sz w:val="18"/>
                <w:szCs w:val="18"/>
              </w:rPr>
              <w:tab/>
              <w:t>Except from paragraph 3 of this Article, platform operators are not obliged to report information on activities that are covered by an effective qualifying agreement between the competent authorities, which provides for automatic exchange of tax information with the Republic of Albania, for sellers’ resident in the Republic of Albania, provided that this information is actually reported and exchanged within the framework of this agreement.</w:t>
            </w:r>
          </w:p>
          <w:p w14:paraId="28F808F6"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5.</w:t>
            </w:r>
            <w:r w:rsidRPr="0061567F">
              <w:rPr>
                <w:rFonts w:ascii="Times New Roman" w:hAnsi="Times New Roman" w:cs="Times New Roman"/>
                <w:sz w:val="18"/>
                <w:szCs w:val="18"/>
              </w:rPr>
              <w:tab/>
              <w:t xml:space="preserve">Reporting platform operators shall make available to the competent authority and the reporting traders the information specified in this Article, paragraph 1, no later than 31st of January of the year following the reporting period, in the manner specified in the by-laws. The information with respect to the Consideration paid or credited in a fiat currency shall be reported in the currency in which it was paid or credited. In case the Consideration was paid or credited in a form other than fiat currency, it shall be reported in the local currency, converted or valued in a manner that is consistently determined by the Reporting Platform Operator. </w:t>
            </w:r>
          </w:p>
          <w:p w14:paraId="4E7C7D90"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6.</w:t>
            </w:r>
            <w:r w:rsidRPr="0061567F">
              <w:rPr>
                <w:rFonts w:ascii="Times New Roman" w:hAnsi="Times New Roman" w:cs="Times New Roman"/>
                <w:sz w:val="18"/>
                <w:szCs w:val="18"/>
              </w:rPr>
              <w:tab/>
              <w:t xml:space="preserve">Information on the Consideration and other relevant data shall be reported as part of the annual reporting in respect of the quarter of the reporting period during which the Consideration was paid or credited. </w:t>
            </w:r>
          </w:p>
          <w:p w14:paraId="76E628C5" w14:textId="18E9DFFF" w:rsidR="00BA0D16"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7.</w:t>
            </w:r>
            <w:r w:rsidRPr="0061567F">
              <w:rPr>
                <w:rFonts w:ascii="Times New Roman" w:hAnsi="Times New Roman" w:cs="Times New Roman"/>
                <w:sz w:val="18"/>
                <w:szCs w:val="18"/>
              </w:rPr>
              <w:tab/>
              <w:t>Non-EU platform operators, who are not qualified non-EU operators and who are subject to reporting obligations under this law, shall register in a single country. Where the Republic of Albania is the country of registration, they shall register with the General Directorate of Taxation and fulfil the reporting obligations under this law.</w:t>
            </w:r>
          </w:p>
          <w:p w14:paraId="59C33490" w14:textId="77777777" w:rsidR="00462428" w:rsidRPr="00462428" w:rsidRDefault="00462428" w:rsidP="00462428">
            <w:pPr>
              <w:jc w:val="center"/>
              <w:rPr>
                <w:rFonts w:ascii="Times New Roman" w:hAnsi="Times New Roman" w:cs="Times New Roman"/>
                <w:b/>
                <w:sz w:val="20"/>
                <w:szCs w:val="18"/>
              </w:rPr>
            </w:pPr>
            <w:r>
              <w:rPr>
                <w:rFonts w:ascii="Times New Roman" w:hAnsi="Times New Roman" w:cs="Times New Roman"/>
                <w:b/>
                <w:sz w:val="20"/>
                <w:szCs w:val="18"/>
              </w:rPr>
              <w:t>Article 12</w:t>
            </w:r>
          </w:p>
          <w:p w14:paraId="7FB89244" w14:textId="3D9C756E" w:rsidR="00BA0D16" w:rsidRDefault="00462428" w:rsidP="00462428">
            <w:pPr>
              <w:jc w:val="center"/>
              <w:rPr>
                <w:rFonts w:ascii="Times New Roman" w:hAnsi="Times New Roman" w:cs="Times New Roman"/>
                <w:b/>
                <w:sz w:val="20"/>
                <w:szCs w:val="18"/>
              </w:rPr>
            </w:pPr>
            <w:r>
              <w:rPr>
                <w:rFonts w:ascii="Times New Roman" w:hAnsi="Times New Roman" w:cs="Times New Roman"/>
                <w:b/>
                <w:sz w:val="20"/>
                <w:szCs w:val="18"/>
              </w:rPr>
              <w:t>Annual reporting and avoid</w:t>
            </w:r>
            <w:r w:rsidR="0061567F">
              <w:rPr>
                <w:rFonts w:ascii="Times New Roman" w:hAnsi="Times New Roman" w:cs="Times New Roman"/>
                <w:b/>
                <w:sz w:val="20"/>
                <w:szCs w:val="18"/>
              </w:rPr>
              <w:t>ing</w:t>
            </w:r>
            <w:r>
              <w:rPr>
                <w:rFonts w:ascii="Times New Roman" w:hAnsi="Times New Roman" w:cs="Times New Roman"/>
                <w:b/>
                <w:sz w:val="20"/>
                <w:szCs w:val="18"/>
              </w:rPr>
              <w:t xml:space="preserve"> duplication of data</w:t>
            </w:r>
          </w:p>
          <w:p w14:paraId="08F3400C" w14:textId="77777777" w:rsidR="00462428" w:rsidRPr="00462428" w:rsidRDefault="00462428" w:rsidP="00462428">
            <w:pPr>
              <w:jc w:val="center"/>
              <w:rPr>
                <w:rFonts w:ascii="Times New Roman" w:hAnsi="Times New Roman" w:cs="Times New Roman"/>
                <w:b/>
                <w:sz w:val="20"/>
                <w:szCs w:val="18"/>
              </w:rPr>
            </w:pPr>
          </w:p>
          <w:p w14:paraId="751AB44E" w14:textId="77777777" w:rsidR="00D026D5" w:rsidRDefault="00D026D5" w:rsidP="00462428">
            <w:pPr>
              <w:rPr>
                <w:rFonts w:ascii="Times New Roman" w:hAnsi="Times New Roman" w:cs="Times New Roman"/>
                <w:sz w:val="18"/>
                <w:szCs w:val="18"/>
              </w:rPr>
            </w:pPr>
          </w:p>
          <w:p w14:paraId="785646CF" w14:textId="77777777" w:rsidR="0061567F" w:rsidRPr="0061567F" w:rsidRDefault="0061567F" w:rsidP="0061567F">
            <w:pPr>
              <w:rPr>
                <w:rFonts w:ascii="Times New Roman" w:hAnsi="Times New Roman" w:cs="Times New Roman"/>
                <w:sz w:val="18"/>
                <w:szCs w:val="18"/>
              </w:rPr>
            </w:pPr>
            <w:r w:rsidRPr="0061567F">
              <w:rPr>
                <w:rFonts w:ascii="Times New Roman" w:hAnsi="Times New Roman" w:cs="Times New Roman"/>
                <w:sz w:val="18"/>
                <w:szCs w:val="18"/>
              </w:rPr>
              <w:t>1.</w:t>
            </w:r>
            <w:r w:rsidRPr="0061567F">
              <w:rPr>
                <w:rFonts w:ascii="Times New Roman" w:hAnsi="Times New Roman" w:cs="Times New Roman"/>
                <w:sz w:val="18"/>
                <w:szCs w:val="18"/>
              </w:rPr>
              <w:tab/>
              <w:t xml:space="preserve">Platform operators shall submit the annual report containing the information for each Reportable Seller no later than 31 January of the year following the Reporting Period, in </w:t>
            </w:r>
            <w:r w:rsidRPr="0061567F">
              <w:rPr>
                <w:rFonts w:ascii="Times New Roman" w:hAnsi="Times New Roman" w:cs="Times New Roman"/>
                <w:sz w:val="18"/>
                <w:szCs w:val="18"/>
              </w:rPr>
              <w:lastRenderedPageBreak/>
              <w:t>accordance with the structure and formats determined by an Instruction of the Minister of Finance.</w:t>
            </w:r>
          </w:p>
          <w:p w14:paraId="20E77E1E" w14:textId="77777777" w:rsidR="0061567F" w:rsidRPr="0061567F" w:rsidRDefault="0061567F" w:rsidP="0061567F">
            <w:pPr>
              <w:rPr>
                <w:rFonts w:ascii="Times New Roman" w:hAnsi="Times New Roman" w:cs="Times New Roman"/>
                <w:sz w:val="18"/>
                <w:szCs w:val="18"/>
              </w:rPr>
            </w:pPr>
            <w:r w:rsidRPr="0061567F">
              <w:rPr>
                <w:rFonts w:ascii="Times New Roman" w:hAnsi="Times New Roman" w:cs="Times New Roman"/>
                <w:sz w:val="18"/>
                <w:szCs w:val="18"/>
              </w:rPr>
              <w:t>2.</w:t>
            </w:r>
            <w:r w:rsidRPr="0061567F">
              <w:rPr>
                <w:rFonts w:ascii="Times New Roman" w:hAnsi="Times New Roman" w:cs="Times New Roman"/>
                <w:sz w:val="18"/>
                <w:szCs w:val="18"/>
              </w:rPr>
              <w:tab/>
              <w:t>The report shall include data on the identification of the seller, the transactions carried out and any other information required under this law and the bylaws implementing it, for tax purposes, aggregated for the annual Reporting Period.</w:t>
            </w:r>
          </w:p>
          <w:p w14:paraId="6BDE15BE" w14:textId="77777777" w:rsidR="0061567F" w:rsidRPr="0061567F" w:rsidRDefault="0061567F" w:rsidP="0061567F">
            <w:pPr>
              <w:rPr>
                <w:rFonts w:ascii="Times New Roman" w:hAnsi="Times New Roman" w:cs="Times New Roman"/>
                <w:sz w:val="18"/>
                <w:szCs w:val="18"/>
              </w:rPr>
            </w:pPr>
            <w:r w:rsidRPr="0061567F">
              <w:rPr>
                <w:rFonts w:ascii="Times New Roman" w:hAnsi="Times New Roman" w:cs="Times New Roman"/>
                <w:sz w:val="18"/>
                <w:szCs w:val="18"/>
              </w:rPr>
              <w:t>3.</w:t>
            </w:r>
            <w:r w:rsidRPr="0061567F">
              <w:rPr>
                <w:rFonts w:ascii="Times New Roman" w:hAnsi="Times New Roman" w:cs="Times New Roman"/>
                <w:sz w:val="18"/>
                <w:szCs w:val="18"/>
              </w:rPr>
              <w:tab/>
              <w:t>The annual report of the Reporting Platform Operator shall contain, for each Reportable Seller and for each Member State of the Seller’s residence, all the information elements    required by this Law, to the extent necessary for the fulfillment of the reporting obligations.</w:t>
            </w:r>
          </w:p>
          <w:p w14:paraId="41F519DA" w14:textId="77777777" w:rsidR="0061567F" w:rsidRPr="0061567F" w:rsidRDefault="0061567F" w:rsidP="0061567F">
            <w:pPr>
              <w:rPr>
                <w:rFonts w:ascii="Times New Roman" w:hAnsi="Times New Roman" w:cs="Times New Roman"/>
                <w:sz w:val="18"/>
                <w:szCs w:val="18"/>
              </w:rPr>
            </w:pPr>
            <w:r w:rsidRPr="0061567F">
              <w:rPr>
                <w:rFonts w:ascii="Times New Roman" w:hAnsi="Times New Roman" w:cs="Times New Roman"/>
                <w:sz w:val="18"/>
                <w:szCs w:val="18"/>
              </w:rPr>
              <w:t>4.</w:t>
            </w:r>
            <w:r w:rsidRPr="0061567F">
              <w:rPr>
                <w:rFonts w:ascii="Times New Roman" w:hAnsi="Times New Roman" w:cs="Times New Roman"/>
                <w:sz w:val="18"/>
                <w:szCs w:val="18"/>
              </w:rPr>
              <w:tab/>
              <w:t xml:space="preserve">The exchange of information reported under this Article shall be carried out by the competent authority in accordance with the deadlines, formats and procedures established under this Law. </w:t>
            </w:r>
          </w:p>
          <w:p w14:paraId="3E5151A7" w14:textId="77777777" w:rsidR="00462428" w:rsidRDefault="0061567F" w:rsidP="0061567F">
            <w:pPr>
              <w:rPr>
                <w:rFonts w:ascii="Times New Roman" w:hAnsi="Times New Roman" w:cs="Times New Roman"/>
                <w:sz w:val="18"/>
                <w:szCs w:val="18"/>
              </w:rPr>
            </w:pPr>
            <w:r w:rsidRPr="0061567F">
              <w:rPr>
                <w:rFonts w:ascii="Times New Roman" w:hAnsi="Times New Roman" w:cs="Times New Roman"/>
                <w:sz w:val="18"/>
                <w:szCs w:val="18"/>
              </w:rPr>
              <w:t>5.</w:t>
            </w:r>
            <w:r w:rsidRPr="0061567F">
              <w:rPr>
                <w:rFonts w:ascii="Times New Roman" w:hAnsi="Times New Roman" w:cs="Times New Roman"/>
                <w:sz w:val="18"/>
                <w:szCs w:val="18"/>
              </w:rPr>
              <w:tab/>
              <w:t>Where the information required to be reported under this Law has already been reported and exchanged in accordance with the provisions of this Law or the relevant legislation on the automatic exchange of tax information, the Platform Operator shall not be required to report such information again, insofar as this avoids the duplication of reporting of the same information.</w:t>
            </w:r>
          </w:p>
          <w:p w14:paraId="2B726022" w14:textId="1F8EA4B4" w:rsidR="0061567F" w:rsidRPr="00BA0D16" w:rsidRDefault="0061567F" w:rsidP="0061567F">
            <w:pPr>
              <w:rPr>
                <w:rFonts w:ascii="Times New Roman" w:hAnsi="Times New Roman" w:cs="Times New Roman"/>
                <w:sz w:val="18"/>
                <w:szCs w:val="18"/>
              </w:rPr>
            </w:pPr>
          </w:p>
        </w:tc>
        <w:tc>
          <w:tcPr>
            <w:tcW w:w="720" w:type="dxa"/>
            <w:gridSpan w:val="2"/>
          </w:tcPr>
          <w:p w14:paraId="5DDEC899" w14:textId="1E4EF366" w:rsidR="00D026D5"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F</w:t>
            </w:r>
          </w:p>
        </w:tc>
        <w:tc>
          <w:tcPr>
            <w:tcW w:w="3240" w:type="dxa"/>
            <w:gridSpan w:val="2"/>
          </w:tcPr>
          <w:p w14:paraId="46C28407" w14:textId="77777777" w:rsidR="00D026D5" w:rsidRPr="00080E02" w:rsidRDefault="00D026D5" w:rsidP="00E16BA5">
            <w:pPr>
              <w:rPr>
                <w:rFonts w:ascii="Times New Roman" w:eastAsia="Calibri" w:hAnsi="Times New Roman" w:cs="Times New Roman"/>
                <w:sz w:val="18"/>
                <w:szCs w:val="18"/>
              </w:rPr>
            </w:pPr>
          </w:p>
        </w:tc>
      </w:tr>
      <w:tr w:rsidR="00E12826" w:rsidRPr="00036F88" w14:paraId="0B9ED55E" w14:textId="77777777" w:rsidTr="00D50C43">
        <w:trPr>
          <w:gridAfter w:val="1"/>
          <w:wAfter w:w="353" w:type="dxa"/>
          <w:trHeight w:val="854"/>
        </w:trPr>
        <w:tc>
          <w:tcPr>
            <w:tcW w:w="630" w:type="dxa"/>
          </w:tcPr>
          <w:p w14:paraId="19A2F1D9" w14:textId="77777777" w:rsidR="00E12826" w:rsidRPr="00036F88" w:rsidRDefault="00E12826" w:rsidP="005331A6">
            <w:pPr>
              <w:jc w:val="both"/>
              <w:rPr>
                <w:rFonts w:ascii="Times New Roman" w:eastAsia="Calibri" w:hAnsi="Times New Roman" w:cs="Times New Roman"/>
                <w:sz w:val="18"/>
                <w:szCs w:val="18"/>
              </w:rPr>
            </w:pPr>
            <w:bookmarkStart w:id="22" w:name="_Hlk227924217"/>
          </w:p>
        </w:tc>
        <w:tc>
          <w:tcPr>
            <w:tcW w:w="5400" w:type="dxa"/>
            <w:shd w:val="clear" w:color="auto" w:fill="D0CECE" w:themeFill="background2" w:themeFillShade="E6"/>
          </w:tcPr>
          <w:p w14:paraId="1B24D306" w14:textId="77777777" w:rsidR="00E12826" w:rsidRPr="001725D0" w:rsidRDefault="00E12826" w:rsidP="005331A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 xml:space="preserve"> </w:t>
            </w:r>
          </w:p>
          <w:p w14:paraId="60A57CE4" w14:textId="5D2B0660" w:rsidR="00E12826" w:rsidRPr="001725D0" w:rsidRDefault="00E12826" w:rsidP="005331A6">
            <w:pPr>
              <w:jc w:val="center"/>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B. Information that must be reported</w:t>
            </w:r>
          </w:p>
        </w:tc>
        <w:tc>
          <w:tcPr>
            <w:tcW w:w="540" w:type="dxa"/>
            <w:shd w:val="clear" w:color="auto" w:fill="D0CECE" w:themeFill="background2" w:themeFillShade="E6"/>
          </w:tcPr>
          <w:p w14:paraId="47B52340" w14:textId="77777777" w:rsidR="00E12826" w:rsidRPr="00036F88" w:rsidRDefault="00E12826" w:rsidP="005331A6">
            <w:pPr>
              <w:rPr>
                <w:rFonts w:ascii="Times New Roman" w:eastAsia="Calibri" w:hAnsi="Times New Roman" w:cs="Times New Roman"/>
                <w:sz w:val="18"/>
                <w:szCs w:val="18"/>
              </w:rPr>
            </w:pPr>
          </w:p>
        </w:tc>
        <w:tc>
          <w:tcPr>
            <w:tcW w:w="720" w:type="dxa"/>
            <w:shd w:val="clear" w:color="auto" w:fill="D0CECE" w:themeFill="background2" w:themeFillShade="E6"/>
          </w:tcPr>
          <w:p w14:paraId="0B1621B9" w14:textId="77777777" w:rsidR="00E12826" w:rsidRPr="00036F88" w:rsidRDefault="00E12826" w:rsidP="005331A6">
            <w:pPr>
              <w:rPr>
                <w:rFonts w:ascii="Times New Roman" w:eastAsia="Calibri" w:hAnsi="Times New Roman" w:cs="Times New Roman"/>
                <w:sz w:val="18"/>
                <w:szCs w:val="18"/>
              </w:rPr>
            </w:pPr>
          </w:p>
        </w:tc>
        <w:tc>
          <w:tcPr>
            <w:tcW w:w="5040" w:type="dxa"/>
            <w:gridSpan w:val="2"/>
            <w:shd w:val="clear" w:color="auto" w:fill="D0CECE" w:themeFill="background2" w:themeFillShade="E6"/>
          </w:tcPr>
          <w:p w14:paraId="52E4EE17" w14:textId="77777777" w:rsidR="00462428" w:rsidRPr="00462428" w:rsidRDefault="00462428" w:rsidP="00462428">
            <w:pPr>
              <w:jc w:val="center"/>
              <w:rPr>
                <w:rFonts w:ascii="Times New Roman" w:eastAsia="Calibri" w:hAnsi="Times New Roman" w:cs="Times New Roman"/>
                <w:b/>
                <w:sz w:val="18"/>
                <w:szCs w:val="18"/>
              </w:rPr>
            </w:pPr>
            <w:r>
              <w:rPr>
                <w:rFonts w:ascii="Times New Roman" w:eastAsia="Calibri" w:hAnsi="Times New Roman" w:cs="Times New Roman"/>
                <w:b/>
                <w:sz w:val="18"/>
                <w:szCs w:val="18"/>
              </w:rPr>
              <w:t>Article 13</w:t>
            </w:r>
          </w:p>
          <w:p w14:paraId="638C5AD0" w14:textId="4A311D5B" w:rsidR="00E12826" w:rsidRDefault="00462428" w:rsidP="00462428">
            <w:pPr>
              <w:jc w:val="center"/>
              <w:rPr>
                <w:rFonts w:ascii="Times New Roman" w:eastAsia="Calibri" w:hAnsi="Times New Roman" w:cs="Times New Roman"/>
                <w:sz w:val="18"/>
                <w:szCs w:val="18"/>
              </w:rPr>
            </w:pPr>
            <w:r>
              <w:rPr>
                <w:rFonts w:ascii="Times New Roman" w:eastAsia="Calibri" w:hAnsi="Times New Roman" w:cs="Times New Roman"/>
                <w:b/>
                <w:sz w:val="18"/>
                <w:szCs w:val="18"/>
              </w:rPr>
              <w:t xml:space="preserve">Information </w:t>
            </w:r>
            <w:r w:rsidR="0061567F">
              <w:rPr>
                <w:rFonts w:ascii="Times New Roman" w:eastAsia="Calibri" w:hAnsi="Times New Roman" w:cs="Times New Roman"/>
                <w:b/>
                <w:sz w:val="18"/>
                <w:szCs w:val="18"/>
              </w:rPr>
              <w:t>to</w:t>
            </w:r>
            <w:r>
              <w:rPr>
                <w:rFonts w:ascii="Times New Roman" w:eastAsia="Calibri" w:hAnsi="Times New Roman" w:cs="Times New Roman"/>
                <w:b/>
                <w:sz w:val="18"/>
                <w:szCs w:val="18"/>
              </w:rPr>
              <w:t xml:space="preserve"> be communicated</w:t>
            </w:r>
          </w:p>
        </w:tc>
        <w:tc>
          <w:tcPr>
            <w:tcW w:w="720" w:type="dxa"/>
            <w:gridSpan w:val="2"/>
            <w:shd w:val="clear" w:color="auto" w:fill="D0CECE" w:themeFill="background2" w:themeFillShade="E6"/>
          </w:tcPr>
          <w:p w14:paraId="1A84C81D" w14:textId="77777777" w:rsidR="00E12826" w:rsidRPr="00036F88" w:rsidRDefault="00E12826" w:rsidP="005331A6">
            <w:pPr>
              <w:jc w:val="center"/>
              <w:rPr>
                <w:rFonts w:ascii="Times New Roman" w:eastAsia="Calibri" w:hAnsi="Times New Roman" w:cs="Times New Roman"/>
                <w:sz w:val="18"/>
                <w:szCs w:val="18"/>
              </w:rPr>
            </w:pPr>
          </w:p>
        </w:tc>
        <w:tc>
          <w:tcPr>
            <w:tcW w:w="3240" w:type="dxa"/>
            <w:gridSpan w:val="2"/>
            <w:shd w:val="clear" w:color="auto" w:fill="D0CECE" w:themeFill="background2" w:themeFillShade="E6"/>
          </w:tcPr>
          <w:p w14:paraId="72FDBF3F" w14:textId="77777777" w:rsidR="00E12826" w:rsidRPr="00036F88" w:rsidRDefault="00E12826" w:rsidP="005331A6">
            <w:pPr>
              <w:rPr>
                <w:rFonts w:ascii="Times New Roman" w:eastAsia="Calibri" w:hAnsi="Times New Roman" w:cs="Times New Roman"/>
                <w:sz w:val="18"/>
                <w:szCs w:val="18"/>
              </w:rPr>
            </w:pPr>
          </w:p>
        </w:tc>
      </w:tr>
      <w:bookmarkEnd w:id="22"/>
      <w:tr w:rsidR="00E12826" w:rsidRPr="00036F88" w14:paraId="460D2046" w14:textId="77777777" w:rsidTr="00D50C43">
        <w:trPr>
          <w:gridAfter w:val="1"/>
          <w:wAfter w:w="353" w:type="dxa"/>
          <w:trHeight w:val="2204"/>
        </w:trPr>
        <w:tc>
          <w:tcPr>
            <w:tcW w:w="630" w:type="dxa"/>
          </w:tcPr>
          <w:p w14:paraId="0DC7EC7E" w14:textId="77777777" w:rsidR="00E12826" w:rsidRPr="00036F88" w:rsidRDefault="00E12826" w:rsidP="003C045B">
            <w:pPr>
              <w:jc w:val="both"/>
              <w:rPr>
                <w:rFonts w:ascii="Times New Roman" w:eastAsia="Calibri" w:hAnsi="Times New Roman" w:cs="Times New Roman"/>
                <w:sz w:val="18"/>
                <w:szCs w:val="18"/>
              </w:rPr>
            </w:pPr>
          </w:p>
        </w:tc>
        <w:tc>
          <w:tcPr>
            <w:tcW w:w="5400" w:type="dxa"/>
          </w:tcPr>
          <w:p w14:paraId="3B4FC474" w14:textId="77777777" w:rsidR="00E12826" w:rsidRPr="001725D0" w:rsidRDefault="00E12826" w:rsidP="00E12826">
            <w:pPr>
              <w:jc w:val="both"/>
              <w:rPr>
                <w:rFonts w:ascii="Times New Roman" w:eastAsia="Calibri" w:hAnsi="Times New Roman" w:cs="Times New Roman"/>
                <w:iCs/>
                <w:sz w:val="18"/>
                <w:szCs w:val="18"/>
                <w:lang w:val="en-US"/>
              </w:rPr>
            </w:pPr>
          </w:p>
          <w:p w14:paraId="7E3065F0" w14:textId="77777777" w:rsidR="00E12826" w:rsidRPr="001725D0" w:rsidRDefault="00E12826" w:rsidP="00E1282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Every Reporting Platform Operator must report the following information:</w:t>
            </w:r>
          </w:p>
          <w:p w14:paraId="21C39330" w14:textId="77777777" w:rsidR="00E12826" w:rsidRPr="001725D0" w:rsidRDefault="00E12826" w:rsidP="00E12826">
            <w:pPr>
              <w:jc w:val="both"/>
              <w:rPr>
                <w:rFonts w:ascii="Times New Roman" w:eastAsia="Calibri" w:hAnsi="Times New Roman" w:cs="Times New Roman"/>
                <w:iCs/>
                <w:sz w:val="18"/>
                <w:szCs w:val="18"/>
                <w:lang w:val="en-US"/>
              </w:rPr>
            </w:pPr>
          </w:p>
          <w:p w14:paraId="66F25A99" w14:textId="77777777" w:rsidR="00E12826" w:rsidRPr="001725D0" w:rsidRDefault="00E12826" w:rsidP="00E1282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1. The name, address of the registered office, NIPT and, where necessary, the individual identification number assigned pursuant to subparagraph F(4) of Section IV of the Reporting Platform Operator, as well as the business name(s) of the Platform(s) in relation to which the Reporting Platform Operator is reporting.</w:t>
            </w:r>
          </w:p>
          <w:p w14:paraId="7A8A8854" w14:textId="77777777" w:rsidR="00E12826" w:rsidRPr="001725D0" w:rsidRDefault="00E12826" w:rsidP="00E12826">
            <w:pPr>
              <w:jc w:val="both"/>
              <w:rPr>
                <w:rFonts w:ascii="Times New Roman" w:eastAsia="Calibri" w:hAnsi="Times New Roman" w:cs="Times New Roman"/>
                <w:iCs/>
                <w:sz w:val="18"/>
                <w:szCs w:val="18"/>
                <w:lang w:val="en-US"/>
              </w:rPr>
            </w:pPr>
          </w:p>
          <w:p w14:paraId="2F9CFC2C" w14:textId="77777777" w:rsidR="00E12826" w:rsidRPr="001725D0" w:rsidRDefault="00E12826" w:rsidP="00E1282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 xml:space="preserve">2. With regard to each Reportable Seller that has carried out Relevant Activity, except for the rental of immovable property: (a) the information required to be collected pursuant to paragraph B of Section II; (b) the Financial Account Identifier, insofar as it is available to the Reporting </w:t>
            </w:r>
            <w:r>
              <w:rPr>
                <w:rFonts w:ascii="Times New Roman" w:eastAsia="Calibri" w:hAnsi="Times New Roman" w:cs="Times New Roman"/>
                <w:iCs/>
                <w:sz w:val="18"/>
                <w:szCs w:val="18"/>
                <w:lang w:val="en-US"/>
              </w:rPr>
              <w:lastRenderedPageBreak/>
              <w:t>Platform Operator and the competent authority of the Member State where the Reportable Seller is resident within the meaning of paragraph D of Section II has not published that it does not intend to use the Financial Account Identifier for this purpose; (c) where it is different from the name of the Reportable Seller, in addition to the Identifier of the Financial Account, the name of the holder of the financial account into which the Consideration is paid or credited, to the extent that it is available to the Reporting Platform Operator, as well as any other financial identification information available to the Reporting Platform Operator in relation to that account holder; (d) each Member State in which the Reportable Seller is resident for the purposes of this Directive as determined in accordance with paragraph D of Section II;</w:t>
            </w:r>
          </w:p>
          <w:p w14:paraId="3482EEFD" w14:textId="77777777" w:rsidR="00E12826" w:rsidRPr="001725D0" w:rsidRDefault="00E12826" w:rsidP="00E1282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(e) the total of the Consideration paid or credited during each quarter of the Reporting Period and the number of Relevant Activities in respect of which it was paid or credited; (f) any fee, commission or tax withheld or charged by the Reporting Platform Operator during each quarter of the Reporting Period.</w:t>
            </w:r>
          </w:p>
          <w:p w14:paraId="1E1732EF" w14:textId="77777777" w:rsidR="00E12826" w:rsidRPr="001725D0" w:rsidRDefault="00E12826" w:rsidP="00E12826">
            <w:pPr>
              <w:jc w:val="both"/>
              <w:rPr>
                <w:rFonts w:ascii="Times New Roman" w:eastAsia="Calibri" w:hAnsi="Times New Roman" w:cs="Times New Roman"/>
                <w:iCs/>
                <w:sz w:val="18"/>
                <w:szCs w:val="18"/>
                <w:lang w:val="en-US"/>
              </w:rPr>
            </w:pPr>
          </w:p>
          <w:p w14:paraId="49C86508" w14:textId="7B09B830" w:rsidR="00E12826" w:rsidRPr="001725D0" w:rsidRDefault="00E12826" w:rsidP="00E1282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 xml:space="preserve">3. With regard to each Reportable Seller that carried out Relevant Activity involving the rental of immovable property: (a) the items of information required to be collected pursuant to paragraph B of Section II; (b) the Financial Account Identifier, insofar as it is available to the Reporting Platform Operator and the competent authority of the Member State where the Reportable Seller is resident within the meaning of paragraph D of Section II has not published that it does not intend to use the Financial Account Identifier for this purpose; (c) where it is different from the name of the Reportable Seller, in addition to the Financial Account Identifier, the name of the holder of the financial account into which the Consideration is paid or credited, to the extent available to the Reporting Platform Operator, as well as any other financial identification information available to the Reporting Platform Operator with respect to the account holder; (d) each Member State in which the Reportable Seller is resident for the purposes of this Directive as determined in accordance with subparagraph D of Section II; (e) the address of each Property Listing, determined on the basis of the procedures set out in paragraph E of Section II, and the respective land registration number or its equivalent under the national law of the Member State where it is located, where available; (f) the total Compensation paid or credited during each quarter of the Reporting Period and the number of Relevant </w:t>
            </w:r>
            <w:r>
              <w:rPr>
                <w:rFonts w:ascii="Times New Roman" w:eastAsia="Calibri" w:hAnsi="Times New Roman" w:cs="Times New Roman"/>
                <w:iCs/>
                <w:sz w:val="18"/>
                <w:szCs w:val="18"/>
                <w:lang w:val="en-US"/>
              </w:rPr>
              <w:lastRenderedPageBreak/>
              <w:t>Activities provided with respect to each Property Listing; (g) any fee, commission or tax withheld or charged by the Reporting Platform Operator during each quarter of the Reporting Period; (h) where available, the number of days that each Listing of the Properties was rented during the Reporting Period and the type of each Property Listing.</w:t>
            </w:r>
          </w:p>
        </w:tc>
        <w:tc>
          <w:tcPr>
            <w:tcW w:w="540" w:type="dxa"/>
          </w:tcPr>
          <w:p w14:paraId="27D8B3C8" w14:textId="77777777" w:rsidR="00E12826" w:rsidRPr="00036F88" w:rsidRDefault="00E12826" w:rsidP="003C045B">
            <w:pPr>
              <w:jc w:val="center"/>
              <w:rPr>
                <w:rFonts w:ascii="Times New Roman" w:eastAsia="Calibri" w:hAnsi="Times New Roman" w:cs="Times New Roman"/>
                <w:sz w:val="18"/>
                <w:szCs w:val="18"/>
                <w:highlight w:val="cyan"/>
              </w:rPr>
            </w:pPr>
          </w:p>
        </w:tc>
        <w:tc>
          <w:tcPr>
            <w:tcW w:w="720" w:type="dxa"/>
          </w:tcPr>
          <w:p w14:paraId="3F75CB42" w14:textId="22554C9D" w:rsidR="00E12826" w:rsidRPr="001725D0" w:rsidRDefault="00462428"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 xml:space="preserve">Article 13 </w:t>
            </w:r>
          </w:p>
        </w:tc>
        <w:tc>
          <w:tcPr>
            <w:tcW w:w="5040" w:type="dxa"/>
            <w:gridSpan w:val="2"/>
          </w:tcPr>
          <w:p w14:paraId="2A4CCD66"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1.</w:t>
            </w:r>
            <w:r w:rsidRPr="0061567F">
              <w:rPr>
                <w:rFonts w:ascii="Times New Roman" w:hAnsi="Times New Roman" w:cs="Times New Roman"/>
                <w:sz w:val="18"/>
                <w:szCs w:val="18"/>
              </w:rPr>
              <w:tab/>
              <w:t>The Reporting Platform Operator communicates to the Competent Authority, within the framework of the annual data report, the following information:</w:t>
            </w:r>
          </w:p>
          <w:p w14:paraId="5F70802B"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a) Identification data of the platform operator: name, registered office address, tax identification number of the platform operator with reporting obligation and, where applicable, unique identification number provided by the competent authority, as well as the trade name of the platform or platforms for which the operator makes the communication. In case the platform operator is an entity with residence or head office in more than one Member State, all the states of tax residence and permanent establishments concerned shall be reported.</w:t>
            </w:r>
          </w:p>
          <w:p w14:paraId="79F1E1B6"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b) Identifying data of each reportable seller:</w:t>
            </w:r>
          </w:p>
          <w:p w14:paraId="4F6CF921"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lastRenderedPageBreak/>
              <w:t>i. Information about the seller according to Article 4, paragraphs 1 and 2;</w:t>
            </w:r>
          </w:p>
          <w:p w14:paraId="229E4420"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ii. The Financial Account Identifier, to the extent that it is available to the operator of the reporting platform and to the extent that the competent authority of the Member State where the reportable seller is resident has not published that it does not intend to use the financial account identifier for this purpose;</w:t>
            </w:r>
          </w:p>
          <w:p w14:paraId="2CA85100"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iii. The name of the holder of the Financial Account, where different from the name of the Reportable Seller, for the Financial Account to which the Consideration is paid or credited, as well as any other financial identifying information available to the Reporting Platform Operator with respect to that account holder;</w:t>
            </w:r>
          </w:p>
          <w:p w14:paraId="50382A84"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iv. Member States where the seller is resident according to Article 6;</w:t>
            </w:r>
          </w:p>
          <w:p w14:paraId="15C3E8AA"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v. The total amount of Consideration paid or credited during each quarter of the Reporting Period and the number of Relevant Activities in respect of which the Consideration was paid or credited;</w:t>
            </w:r>
          </w:p>
          <w:p w14:paraId="17C18C04"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vi. Fees, commissions, or or taxes withheld or charged by the Platform Operator during each quarter of the Reporting Period;</w:t>
            </w:r>
          </w:p>
          <w:p w14:paraId="77252927"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c) For reportable seller who rent real estate, the following information shall also be included:</w:t>
            </w:r>
          </w:p>
          <w:p w14:paraId="67A8A3BE"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i. Information about the Seller according to Article 4, paragraphs 1 and 2;</w:t>
            </w:r>
          </w:p>
          <w:p w14:paraId="4B9EA37D"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ii. the Financial Account Identifier, to the extent that it is available to the operator of the reporting platform and to the extent that the competent authority of the Member State where the reportable seller is resident has not published that it does not intend to use the financial account identifier for this purpose;</w:t>
            </w:r>
          </w:p>
          <w:p w14:paraId="1FF2C8BB"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iii. The name of the Financial Account Holder, where different from the name of the Reportable Seller, for the financial account to which the consideration is paid or credited, as well as any other financial identifying information available from the platform operator with reporting obligations in relation to such account holder;</w:t>
            </w:r>
          </w:p>
          <w:p w14:paraId="400B6B00"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iv. Member States where the seller is resident pursuant to Article 6;</w:t>
            </w:r>
          </w:p>
          <w:p w14:paraId="1114BA44"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v. Address of the listed property and, where available, the cadastral registration number;</w:t>
            </w:r>
          </w:p>
          <w:p w14:paraId="633A7F51"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 xml:space="preserve">vi. The total amount of Consideration paid or credited during each quarter of the reporting period, as well as the number of reportable </w:t>
            </w:r>
            <w:r w:rsidRPr="0061567F">
              <w:rPr>
                <w:rFonts w:ascii="Times New Roman" w:hAnsi="Times New Roman" w:cs="Times New Roman"/>
                <w:sz w:val="18"/>
                <w:szCs w:val="18"/>
              </w:rPr>
              <w:lastRenderedPageBreak/>
              <w:t>activities for which Consideration was paid or credited in relation to the listed asset;</w:t>
            </w:r>
          </w:p>
          <w:p w14:paraId="5633449B"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vii. Fees, commissions or taxes withheld or charged by the platform operator during each quarter of the reporting period;</w:t>
            </w:r>
          </w:p>
          <w:p w14:paraId="07DBC3A8"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viii. Number of rental days during the reporting period and typology of the real estate, when this information is available.</w:t>
            </w:r>
          </w:p>
          <w:p w14:paraId="14EDB33D" w14:textId="77777777" w:rsidR="0061567F" w:rsidRPr="0061567F"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2.</w:t>
            </w:r>
            <w:r w:rsidRPr="0061567F">
              <w:rPr>
                <w:rFonts w:ascii="Times New Roman" w:hAnsi="Times New Roman" w:cs="Times New Roman"/>
                <w:sz w:val="18"/>
                <w:szCs w:val="18"/>
              </w:rPr>
              <w:tab/>
              <w:t>Platform operators that qualify as exempted operators under Article 5 are not subject to the reporting of the information set out in this Article, as long as they maintain this status, in accordance with the conditions and procedures provided by this Law.</w:t>
            </w:r>
          </w:p>
          <w:p w14:paraId="11AC3137" w14:textId="630ECB23" w:rsidR="00462428" w:rsidRPr="00462428" w:rsidRDefault="0061567F" w:rsidP="0061567F">
            <w:pPr>
              <w:jc w:val="both"/>
              <w:rPr>
                <w:rFonts w:ascii="Times New Roman" w:hAnsi="Times New Roman" w:cs="Times New Roman"/>
                <w:sz w:val="18"/>
                <w:szCs w:val="18"/>
              </w:rPr>
            </w:pPr>
            <w:r w:rsidRPr="0061567F">
              <w:rPr>
                <w:rFonts w:ascii="Times New Roman" w:hAnsi="Times New Roman" w:cs="Times New Roman"/>
                <w:sz w:val="18"/>
                <w:szCs w:val="18"/>
              </w:rPr>
              <w:t>3.</w:t>
            </w:r>
            <w:r w:rsidRPr="0061567F">
              <w:rPr>
                <w:rFonts w:ascii="Times New Roman" w:hAnsi="Times New Roman" w:cs="Times New Roman"/>
                <w:sz w:val="18"/>
                <w:szCs w:val="18"/>
              </w:rPr>
              <w:tab/>
              <w:t>The technical modalities, electronic formats and methods of communicating this information shall be determined by decision of the Council of Ministers.</w:t>
            </w:r>
            <w:r>
              <w:rPr>
                <w:rFonts w:ascii="Times New Roman" w:hAnsi="Times New Roman" w:cs="Times New Roman"/>
                <w:sz w:val="18"/>
                <w:szCs w:val="18"/>
              </w:rPr>
              <w:t xml:space="preserve">  </w:t>
            </w:r>
          </w:p>
          <w:p w14:paraId="25038762" w14:textId="066C7C89" w:rsidR="00E12826" w:rsidRPr="00D026D5" w:rsidRDefault="0061567F" w:rsidP="00462428">
            <w:pPr>
              <w:jc w:val="both"/>
              <w:rPr>
                <w:rFonts w:ascii="Times New Roman" w:hAnsi="Times New Roman" w:cs="Times New Roman"/>
                <w:sz w:val="18"/>
                <w:szCs w:val="18"/>
              </w:rPr>
            </w:pPr>
            <w:r>
              <w:rPr>
                <w:rFonts w:ascii="Times New Roman" w:hAnsi="Times New Roman" w:cs="Times New Roman"/>
                <w:sz w:val="18"/>
                <w:szCs w:val="18"/>
              </w:rPr>
              <w:t xml:space="preserve"> </w:t>
            </w:r>
          </w:p>
        </w:tc>
        <w:tc>
          <w:tcPr>
            <w:tcW w:w="720" w:type="dxa"/>
            <w:gridSpan w:val="2"/>
          </w:tcPr>
          <w:p w14:paraId="136D7D5E" w14:textId="589825D6" w:rsidR="00E12826" w:rsidRDefault="00E12826"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F</w:t>
            </w:r>
          </w:p>
        </w:tc>
        <w:tc>
          <w:tcPr>
            <w:tcW w:w="3240" w:type="dxa"/>
            <w:gridSpan w:val="2"/>
          </w:tcPr>
          <w:p w14:paraId="6A6F2C8D" w14:textId="77777777" w:rsidR="00E12826" w:rsidRPr="00080E02" w:rsidRDefault="00E12826" w:rsidP="00E16BA5">
            <w:pPr>
              <w:rPr>
                <w:rFonts w:ascii="Times New Roman" w:eastAsia="Calibri" w:hAnsi="Times New Roman" w:cs="Times New Roman"/>
                <w:sz w:val="18"/>
                <w:szCs w:val="18"/>
              </w:rPr>
            </w:pPr>
          </w:p>
        </w:tc>
      </w:tr>
      <w:tr w:rsidR="00E12826" w:rsidRPr="00036F88" w14:paraId="4820EADD" w14:textId="77777777" w:rsidTr="00D50C43">
        <w:trPr>
          <w:gridAfter w:val="1"/>
          <w:wAfter w:w="353" w:type="dxa"/>
          <w:trHeight w:val="854"/>
        </w:trPr>
        <w:tc>
          <w:tcPr>
            <w:tcW w:w="630" w:type="dxa"/>
          </w:tcPr>
          <w:p w14:paraId="116D030C" w14:textId="77777777" w:rsidR="00E12826" w:rsidRPr="00036F88" w:rsidRDefault="00E12826" w:rsidP="005331A6">
            <w:pPr>
              <w:jc w:val="both"/>
              <w:rPr>
                <w:rFonts w:ascii="Times New Roman" w:eastAsia="Calibri" w:hAnsi="Times New Roman" w:cs="Times New Roman"/>
                <w:sz w:val="18"/>
                <w:szCs w:val="18"/>
              </w:rPr>
            </w:pPr>
            <w:bookmarkStart w:id="23" w:name="_Hlk227924465"/>
          </w:p>
        </w:tc>
        <w:tc>
          <w:tcPr>
            <w:tcW w:w="5400" w:type="dxa"/>
            <w:shd w:val="clear" w:color="auto" w:fill="D0CECE" w:themeFill="background2" w:themeFillShade="E6"/>
          </w:tcPr>
          <w:p w14:paraId="1E1AA2C0" w14:textId="77777777" w:rsidR="00E12826" w:rsidRPr="00D026D5" w:rsidRDefault="00E12826" w:rsidP="005331A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 xml:space="preserve"> </w:t>
            </w:r>
          </w:p>
          <w:p w14:paraId="1A2C7800" w14:textId="77777777" w:rsidR="00E12826" w:rsidRPr="00E12826" w:rsidRDefault="00E12826" w:rsidP="00E12826">
            <w:pPr>
              <w:jc w:val="center"/>
              <w:rPr>
                <w:rFonts w:ascii="Times New Roman" w:eastAsia="Calibri" w:hAnsi="Times New Roman" w:cs="Times New Roman"/>
                <w:b/>
                <w:iCs/>
                <w:sz w:val="18"/>
                <w:szCs w:val="18"/>
                <w:lang w:val="en-US"/>
              </w:rPr>
            </w:pPr>
            <w:r>
              <w:rPr>
                <w:rFonts w:ascii="Times New Roman" w:eastAsia="Calibri" w:hAnsi="Times New Roman" w:cs="Times New Roman"/>
                <w:b/>
                <w:iCs/>
                <w:sz w:val="18"/>
                <w:szCs w:val="18"/>
                <w:lang w:val="en-US"/>
              </w:rPr>
              <w:t>SECTION IV</w:t>
            </w:r>
          </w:p>
          <w:p w14:paraId="7EE26CD9" w14:textId="37045285" w:rsidR="00E12826" w:rsidRPr="00AF6E05" w:rsidRDefault="00E12826" w:rsidP="00E12826">
            <w:pPr>
              <w:jc w:val="center"/>
              <w:rPr>
                <w:rFonts w:ascii="Times New Roman" w:eastAsia="Calibri" w:hAnsi="Times New Roman" w:cs="Times New Roman"/>
                <w:iCs/>
                <w:sz w:val="18"/>
                <w:szCs w:val="18"/>
                <w:lang w:val="en-US"/>
              </w:rPr>
            </w:pPr>
            <w:r>
              <w:rPr>
                <w:rFonts w:ascii="Times New Roman" w:eastAsia="Calibri" w:hAnsi="Times New Roman" w:cs="Times New Roman"/>
                <w:b/>
                <w:iCs/>
                <w:sz w:val="18"/>
                <w:szCs w:val="18"/>
                <w:lang w:val="en-US"/>
              </w:rPr>
              <w:t>EFFECTIVE IMPLEMENTATION</w:t>
            </w:r>
          </w:p>
        </w:tc>
        <w:tc>
          <w:tcPr>
            <w:tcW w:w="540" w:type="dxa"/>
            <w:shd w:val="clear" w:color="auto" w:fill="D0CECE" w:themeFill="background2" w:themeFillShade="E6"/>
          </w:tcPr>
          <w:p w14:paraId="4F76BD83" w14:textId="77777777" w:rsidR="00E12826" w:rsidRPr="00036F88" w:rsidRDefault="00E12826" w:rsidP="005331A6">
            <w:pPr>
              <w:rPr>
                <w:rFonts w:ascii="Times New Roman" w:eastAsia="Calibri" w:hAnsi="Times New Roman" w:cs="Times New Roman"/>
                <w:sz w:val="18"/>
                <w:szCs w:val="18"/>
              </w:rPr>
            </w:pPr>
          </w:p>
        </w:tc>
        <w:tc>
          <w:tcPr>
            <w:tcW w:w="720" w:type="dxa"/>
            <w:shd w:val="clear" w:color="auto" w:fill="D0CECE" w:themeFill="background2" w:themeFillShade="E6"/>
          </w:tcPr>
          <w:p w14:paraId="19512E06" w14:textId="77777777" w:rsidR="00E12826" w:rsidRPr="00036F88" w:rsidRDefault="00E12826" w:rsidP="005331A6">
            <w:pPr>
              <w:rPr>
                <w:rFonts w:ascii="Times New Roman" w:eastAsia="Calibri" w:hAnsi="Times New Roman" w:cs="Times New Roman"/>
                <w:sz w:val="18"/>
                <w:szCs w:val="18"/>
              </w:rPr>
            </w:pPr>
          </w:p>
        </w:tc>
        <w:tc>
          <w:tcPr>
            <w:tcW w:w="5040" w:type="dxa"/>
            <w:gridSpan w:val="2"/>
            <w:shd w:val="clear" w:color="auto" w:fill="D0CECE" w:themeFill="background2" w:themeFillShade="E6"/>
          </w:tcPr>
          <w:p w14:paraId="23AD0CBD" w14:textId="77777777" w:rsidR="00462428" w:rsidRPr="00462428" w:rsidRDefault="00462428" w:rsidP="00462428">
            <w:pPr>
              <w:jc w:val="center"/>
              <w:rPr>
                <w:rFonts w:ascii="Times New Roman" w:eastAsia="Calibri" w:hAnsi="Times New Roman" w:cs="Times New Roman"/>
                <w:b/>
                <w:sz w:val="18"/>
                <w:szCs w:val="18"/>
              </w:rPr>
            </w:pPr>
            <w:r>
              <w:rPr>
                <w:rFonts w:ascii="Times New Roman" w:eastAsia="Calibri" w:hAnsi="Times New Roman" w:cs="Times New Roman"/>
                <w:b/>
                <w:sz w:val="18"/>
                <w:szCs w:val="18"/>
              </w:rPr>
              <w:t>Article 9</w:t>
            </w:r>
          </w:p>
          <w:p w14:paraId="7D18B5D7" w14:textId="77777777" w:rsidR="00E12826" w:rsidRDefault="0061567F" w:rsidP="00462428">
            <w:pPr>
              <w:jc w:val="center"/>
              <w:rPr>
                <w:rFonts w:ascii="Times New Roman" w:eastAsia="Calibri" w:hAnsi="Times New Roman" w:cs="Times New Roman"/>
                <w:b/>
                <w:sz w:val="18"/>
                <w:szCs w:val="18"/>
              </w:rPr>
            </w:pPr>
            <w:r w:rsidRPr="0061567F">
              <w:rPr>
                <w:rFonts w:ascii="Times New Roman" w:eastAsia="Calibri" w:hAnsi="Times New Roman" w:cs="Times New Roman"/>
                <w:b/>
                <w:sz w:val="18"/>
                <w:szCs w:val="18"/>
              </w:rPr>
              <w:t>Implementing verification procedures only for active sellers</w:t>
            </w:r>
          </w:p>
          <w:p w14:paraId="30A0EBAC" w14:textId="77777777" w:rsidR="005E013B" w:rsidRDefault="005E013B" w:rsidP="00462428">
            <w:pPr>
              <w:jc w:val="center"/>
              <w:rPr>
                <w:rFonts w:ascii="Times New Roman" w:eastAsia="Calibri" w:hAnsi="Times New Roman" w:cs="Times New Roman"/>
                <w:sz w:val="18"/>
                <w:szCs w:val="18"/>
              </w:rPr>
            </w:pPr>
          </w:p>
          <w:p w14:paraId="6BAB825B" w14:textId="77777777" w:rsidR="005E013B" w:rsidRPr="005E013B" w:rsidRDefault="005E013B" w:rsidP="005E013B">
            <w:pPr>
              <w:jc w:val="center"/>
              <w:rPr>
                <w:rFonts w:ascii="Times New Roman" w:eastAsia="Calibri" w:hAnsi="Times New Roman" w:cs="Times New Roman"/>
                <w:b/>
                <w:sz w:val="18"/>
                <w:szCs w:val="18"/>
              </w:rPr>
            </w:pPr>
            <w:r w:rsidRPr="005E013B">
              <w:rPr>
                <w:rFonts w:ascii="Times New Roman" w:eastAsia="Calibri" w:hAnsi="Times New Roman" w:cs="Times New Roman"/>
                <w:b/>
                <w:sz w:val="18"/>
                <w:szCs w:val="18"/>
              </w:rPr>
              <w:t>Article 17</w:t>
            </w:r>
          </w:p>
          <w:p w14:paraId="15B64F40" w14:textId="2DB4D34C" w:rsidR="005E013B" w:rsidRDefault="005E013B" w:rsidP="005E013B">
            <w:pPr>
              <w:jc w:val="center"/>
              <w:rPr>
                <w:rFonts w:ascii="Times New Roman" w:eastAsia="Calibri" w:hAnsi="Times New Roman" w:cs="Times New Roman"/>
                <w:sz w:val="18"/>
                <w:szCs w:val="18"/>
              </w:rPr>
            </w:pPr>
            <w:r w:rsidRPr="005E013B">
              <w:rPr>
                <w:rFonts w:ascii="Times New Roman" w:eastAsia="Calibri" w:hAnsi="Times New Roman" w:cs="Times New Roman"/>
                <w:b/>
                <w:sz w:val="18"/>
                <w:szCs w:val="18"/>
              </w:rPr>
              <w:t>Sanctions and measures to ensure compliance</w:t>
            </w:r>
            <w:r w:rsidRPr="005E013B">
              <w:rPr>
                <w:rFonts w:ascii="Times New Roman" w:eastAsia="Calibri" w:hAnsi="Times New Roman" w:cs="Times New Roman"/>
                <w:sz w:val="18"/>
                <w:szCs w:val="18"/>
              </w:rPr>
              <w:t xml:space="preserve">  </w:t>
            </w:r>
          </w:p>
        </w:tc>
        <w:tc>
          <w:tcPr>
            <w:tcW w:w="720" w:type="dxa"/>
            <w:gridSpan w:val="2"/>
            <w:shd w:val="clear" w:color="auto" w:fill="D0CECE" w:themeFill="background2" w:themeFillShade="E6"/>
          </w:tcPr>
          <w:p w14:paraId="0E0AFBB5" w14:textId="77777777" w:rsidR="00E12826" w:rsidRPr="00036F88" w:rsidRDefault="00E12826" w:rsidP="005331A6">
            <w:pPr>
              <w:jc w:val="center"/>
              <w:rPr>
                <w:rFonts w:ascii="Times New Roman" w:eastAsia="Calibri" w:hAnsi="Times New Roman" w:cs="Times New Roman"/>
                <w:sz w:val="18"/>
                <w:szCs w:val="18"/>
              </w:rPr>
            </w:pPr>
          </w:p>
        </w:tc>
        <w:tc>
          <w:tcPr>
            <w:tcW w:w="3240" w:type="dxa"/>
            <w:gridSpan w:val="2"/>
            <w:shd w:val="clear" w:color="auto" w:fill="D0CECE" w:themeFill="background2" w:themeFillShade="E6"/>
          </w:tcPr>
          <w:p w14:paraId="5666FDBC" w14:textId="77777777" w:rsidR="00E12826" w:rsidRPr="00036F88" w:rsidRDefault="00E12826" w:rsidP="005331A6">
            <w:pPr>
              <w:rPr>
                <w:rFonts w:ascii="Times New Roman" w:eastAsia="Calibri" w:hAnsi="Times New Roman" w:cs="Times New Roman"/>
                <w:sz w:val="18"/>
                <w:szCs w:val="18"/>
              </w:rPr>
            </w:pPr>
          </w:p>
        </w:tc>
      </w:tr>
      <w:bookmarkEnd w:id="23"/>
      <w:tr w:rsidR="00E12826" w:rsidRPr="00036F88" w14:paraId="39DA771A" w14:textId="77777777" w:rsidTr="00D50C43">
        <w:trPr>
          <w:gridAfter w:val="1"/>
          <w:wAfter w:w="353" w:type="dxa"/>
          <w:trHeight w:val="2204"/>
        </w:trPr>
        <w:tc>
          <w:tcPr>
            <w:tcW w:w="630" w:type="dxa"/>
          </w:tcPr>
          <w:p w14:paraId="7117B4EF" w14:textId="77777777" w:rsidR="00E12826" w:rsidRPr="00036F88" w:rsidRDefault="00E12826" w:rsidP="003C045B">
            <w:pPr>
              <w:jc w:val="both"/>
              <w:rPr>
                <w:rFonts w:ascii="Times New Roman" w:eastAsia="Calibri" w:hAnsi="Times New Roman" w:cs="Times New Roman"/>
                <w:sz w:val="18"/>
                <w:szCs w:val="18"/>
              </w:rPr>
            </w:pPr>
          </w:p>
        </w:tc>
        <w:tc>
          <w:tcPr>
            <w:tcW w:w="5400" w:type="dxa"/>
          </w:tcPr>
          <w:p w14:paraId="625BB3AF" w14:textId="77777777" w:rsidR="00E12826" w:rsidRPr="001725D0" w:rsidRDefault="00E12826" w:rsidP="00E1282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In accordance with Article 8ac, the Member States shall have administrative rules and procedures in place to ensure the effective implementation of and compliance with the due diligence procedures and reporting requirements set out in Sections II and III of this Annex.</w:t>
            </w:r>
          </w:p>
          <w:p w14:paraId="730922BA" w14:textId="77777777" w:rsidR="00E12826" w:rsidRPr="001725D0" w:rsidRDefault="00E12826" w:rsidP="00E12826">
            <w:pPr>
              <w:jc w:val="both"/>
              <w:rPr>
                <w:rFonts w:ascii="Times New Roman" w:eastAsia="Calibri" w:hAnsi="Times New Roman" w:cs="Times New Roman"/>
                <w:iCs/>
                <w:sz w:val="18"/>
                <w:szCs w:val="18"/>
                <w:lang w:val="en-US"/>
              </w:rPr>
            </w:pPr>
          </w:p>
          <w:p w14:paraId="408637D3" w14:textId="77777777" w:rsidR="00E12826" w:rsidRPr="001725D0" w:rsidRDefault="00E12826" w:rsidP="00E12826">
            <w:pPr>
              <w:jc w:val="both"/>
              <w:rPr>
                <w:rFonts w:ascii="Times New Roman" w:eastAsia="Calibri" w:hAnsi="Times New Roman" w:cs="Times New Roman"/>
                <w:iCs/>
                <w:sz w:val="18"/>
                <w:szCs w:val="18"/>
                <w:lang w:val="en-US"/>
              </w:rPr>
            </w:pPr>
          </w:p>
          <w:p w14:paraId="78187609" w14:textId="77777777" w:rsidR="00E12826" w:rsidRPr="001725D0" w:rsidRDefault="00E12826" w:rsidP="00E1282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A. Rules for the implementation of the collection and verification requirements set out in Section II</w:t>
            </w:r>
          </w:p>
          <w:p w14:paraId="5D75360C" w14:textId="77777777" w:rsidR="00E12826" w:rsidRPr="001725D0" w:rsidRDefault="00E12826" w:rsidP="00E12826">
            <w:pPr>
              <w:jc w:val="both"/>
              <w:rPr>
                <w:rFonts w:ascii="Times New Roman" w:eastAsia="Calibri" w:hAnsi="Times New Roman" w:cs="Times New Roman"/>
                <w:iCs/>
                <w:sz w:val="18"/>
                <w:szCs w:val="18"/>
                <w:lang w:val="en-US"/>
              </w:rPr>
            </w:pPr>
          </w:p>
          <w:p w14:paraId="74A75115" w14:textId="77777777" w:rsidR="00E12826" w:rsidRPr="001725D0" w:rsidRDefault="00E12826" w:rsidP="00E1282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1. Member States shall take the necessary measures to require Reporting Platform Operators to apply the collection and verification requirements under Section II in relation to their Sellers.</w:t>
            </w:r>
          </w:p>
          <w:p w14:paraId="51DE93F4" w14:textId="77777777" w:rsidR="00E12826" w:rsidRPr="001725D0" w:rsidRDefault="00E12826" w:rsidP="00E12826">
            <w:pPr>
              <w:jc w:val="both"/>
              <w:rPr>
                <w:rFonts w:ascii="Times New Roman" w:eastAsia="Calibri" w:hAnsi="Times New Roman" w:cs="Times New Roman"/>
                <w:iCs/>
                <w:sz w:val="18"/>
                <w:szCs w:val="18"/>
                <w:lang w:val="en-US"/>
              </w:rPr>
            </w:pPr>
          </w:p>
          <w:p w14:paraId="35851CE7" w14:textId="62DEE542" w:rsidR="00E12826" w:rsidRPr="001725D0" w:rsidRDefault="00E12826" w:rsidP="00E1282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 xml:space="preserve">2. When a Seller does not provide the information requested under Section II after two reminder notices following the initial request from the Reporting Platform Operator, but not before the expiry of 60 days, the Reporting Platform Operator shall close the Seller's account and shall prevent the Seller from re-registering on the Platform or shall withhold </w:t>
            </w:r>
            <w:r>
              <w:rPr>
                <w:rFonts w:ascii="Times New Roman" w:eastAsia="Calibri" w:hAnsi="Times New Roman" w:cs="Times New Roman"/>
                <w:iCs/>
                <w:sz w:val="18"/>
                <w:szCs w:val="18"/>
                <w:lang w:val="en-US"/>
              </w:rPr>
              <w:lastRenderedPageBreak/>
              <w:t>payment of the Consideration for the Seller for as long as the Seller does not provide the requested information.</w:t>
            </w:r>
          </w:p>
        </w:tc>
        <w:tc>
          <w:tcPr>
            <w:tcW w:w="540" w:type="dxa"/>
          </w:tcPr>
          <w:p w14:paraId="4EB288EF" w14:textId="77777777" w:rsidR="00E12826" w:rsidRPr="00036F88" w:rsidRDefault="00E12826" w:rsidP="003C045B">
            <w:pPr>
              <w:jc w:val="center"/>
              <w:rPr>
                <w:rFonts w:ascii="Times New Roman" w:eastAsia="Calibri" w:hAnsi="Times New Roman" w:cs="Times New Roman"/>
                <w:sz w:val="18"/>
                <w:szCs w:val="18"/>
                <w:highlight w:val="cyan"/>
              </w:rPr>
            </w:pPr>
          </w:p>
        </w:tc>
        <w:tc>
          <w:tcPr>
            <w:tcW w:w="720" w:type="dxa"/>
          </w:tcPr>
          <w:p w14:paraId="4E3EC89E" w14:textId="31539DD6" w:rsidR="00E12826" w:rsidRDefault="00462428" w:rsidP="003C045B">
            <w:pPr>
              <w:jc w:val="center"/>
              <w:rPr>
                <w:rFonts w:ascii="Times New Roman" w:eastAsia="Calibri" w:hAnsi="Times New Roman" w:cs="Times New Roman"/>
                <w:sz w:val="18"/>
                <w:szCs w:val="18"/>
                <w:lang w:val="en-US"/>
              </w:rPr>
            </w:pPr>
            <w:r>
              <w:rPr>
                <w:rFonts w:ascii="Times New Roman" w:eastAsia="Calibri" w:hAnsi="Times New Roman" w:cs="Times New Roman"/>
                <w:sz w:val="18"/>
                <w:szCs w:val="18"/>
              </w:rPr>
              <w:t xml:space="preserve">Article 9 </w:t>
            </w:r>
          </w:p>
          <w:p w14:paraId="6737E7B9" w14:textId="77777777" w:rsidR="008C3267" w:rsidRDefault="008C3267" w:rsidP="003C045B">
            <w:pPr>
              <w:jc w:val="center"/>
              <w:rPr>
                <w:rFonts w:ascii="Times New Roman" w:eastAsia="Calibri" w:hAnsi="Times New Roman" w:cs="Times New Roman"/>
                <w:sz w:val="18"/>
                <w:szCs w:val="18"/>
                <w:highlight w:val="cyan"/>
                <w:lang w:val="en-US"/>
              </w:rPr>
            </w:pPr>
          </w:p>
          <w:p w14:paraId="2ADC03B4" w14:textId="77777777" w:rsidR="008C3267" w:rsidRDefault="008C3267" w:rsidP="003C045B">
            <w:pPr>
              <w:jc w:val="center"/>
              <w:rPr>
                <w:rFonts w:ascii="Times New Roman" w:eastAsia="Calibri" w:hAnsi="Times New Roman" w:cs="Times New Roman"/>
                <w:sz w:val="18"/>
                <w:szCs w:val="18"/>
                <w:highlight w:val="cyan"/>
                <w:lang w:val="en-US"/>
              </w:rPr>
            </w:pPr>
          </w:p>
          <w:p w14:paraId="323C0973" w14:textId="5DF8EF77" w:rsidR="008C3267" w:rsidRPr="001725D0" w:rsidRDefault="00462428"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Article 17</w:t>
            </w:r>
          </w:p>
        </w:tc>
        <w:tc>
          <w:tcPr>
            <w:tcW w:w="5040" w:type="dxa"/>
            <w:gridSpan w:val="2"/>
          </w:tcPr>
          <w:p w14:paraId="15192B70" w14:textId="77777777" w:rsidR="005E013B" w:rsidRPr="005E013B" w:rsidRDefault="005E013B" w:rsidP="005E013B">
            <w:pPr>
              <w:jc w:val="center"/>
              <w:rPr>
                <w:rFonts w:ascii="Times New Roman" w:hAnsi="Times New Roman" w:cs="Times New Roman"/>
                <w:b/>
                <w:sz w:val="18"/>
                <w:szCs w:val="18"/>
              </w:rPr>
            </w:pPr>
            <w:r w:rsidRPr="005E013B">
              <w:rPr>
                <w:rFonts w:ascii="Times New Roman" w:hAnsi="Times New Roman" w:cs="Times New Roman"/>
                <w:b/>
                <w:sz w:val="18"/>
                <w:szCs w:val="18"/>
              </w:rPr>
              <w:t>Article 9</w:t>
            </w:r>
          </w:p>
          <w:p w14:paraId="01A42642" w14:textId="77777777" w:rsidR="005E013B" w:rsidRPr="005E013B" w:rsidRDefault="005E013B" w:rsidP="005E013B">
            <w:pPr>
              <w:jc w:val="center"/>
              <w:rPr>
                <w:rFonts w:ascii="Times New Roman" w:hAnsi="Times New Roman" w:cs="Times New Roman"/>
                <w:b/>
                <w:sz w:val="18"/>
                <w:szCs w:val="18"/>
              </w:rPr>
            </w:pPr>
            <w:r w:rsidRPr="005E013B">
              <w:rPr>
                <w:rFonts w:ascii="Times New Roman" w:hAnsi="Times New Roman" w:cs="Times New Roman"/>
                <w:b/>
                <w:sz w:val="18"/>
                <w:szCs w:val="18"/>
              </w:rPr>
              <w:t>Implementing verification procedures only for active sellers</w:t>
            </w:r>
          </w:p>
          <w:p w14:paraId="115C58CB" w14:textId="77777777" w:rsidR="005E013B" w:rsidRPr="005E013B" w:rsidRDefault="005E013B" w:rsidP="005E013B">
            <w:pPr>
              <w:jc w:val="both"/>
              <w:rPr>
                <w:rFonts w:ascii="Times New Roman" w:hAnsi="Times New Roman" w:cs="Times New Roman"/>
                <w:sz w:val="18"/>
                <w:szCs w:val="18"/>
              </w:rPr>
            </w:pPr>
          </w:p>
          <w:p w14:paraId="1EC71AAC" w14:textId="77777777" w:rsidR="005E013B" w:rsidRPr="005E013B" w:rsidRDefault="005E013B" w:rsidP="005E013B">
            <w:pPr>
              <w:jc w:val="both"/>
              <w:rPr>
                <w:rFonts w:ascii="Times New Roman" w:hAnsi="Times New Roman" w:cs="Times New Roman"/>
                <w:sz w:val="18"/>
                <w:szCs w:val="18"/>
              </w:rPr>
            </w:pPr>
            <w:r w:rsidRPr="005E013B">
              <w:rPr>
                <w:rFonts w:ascii="Times New Roman" w:hAnsi="Times New Roman" w:cs="Times New Roman"/>
                <w:sz w:val="18"/>
                <w:szCs w:val="18"/>
              </w:rPr>
              <w:t>1.</w:t>
            </w:r>
            <w:r w:rsidRPr="005E013B">
              <w:rPr>
                <w:rFonts w:ascii="Times New Roman" w:hAnsi="Times New Roman" w:cs="Times New Roman"/>
                <w:sz w:val="18"/>
                <w:szCs w:val="18"/>
              </w:rPr>
              <w:tab/>
              <w:t>The Reporting Platform Operator platform is obliged to carry out the appropriate verification procedures for the identification and collection of minimum data, according to Articles 3 to 7 of this Law, only for sellers active during the reporting period, who have carried out reportable activities on the platform.</w:t>
            </w:r>
          </w:p>
          <w:p w14:paraId="5756FCEE" w14:textId="77777777" w:rsidR="005E013B" w:rsidRPr="005E013B" w:rsidRDefault="005E013B" w:rsidP="005E013B">
            <w:pPr>
              <w:jc w:val="both"/>
              <w:rPr>
                <w:rFonts w:ascii="Times New Roman" w:hAnsi="Times New Roman" w:cs="Times New Roman"/>
                <w:sz w:val="18"/>
                <w:szCs w:val="18"/>
              </w:rPr>
            </w:pPr>
          </w:p>
          <w:p w14:paraId="3F3220BF" w14:textId="77777777" w:rsidR="005E013B" w:rsidRPr="005E013B" w:rsidRDefault="005E013B" w:rsidP="005E013B">
            <w:pPr>
              <w:jc w:val="both"/>
              <w:rPr>
                <w:rFonts w:ascii="Times New Roman" w:hAnsi="Times New Roman" w:cs="Times New Roman"/>
                <w:sz w:val="18"/>
                <w:szCs w:val="18"/>
              </w:rPr>
            </w:pPr>
            <w:r w:rsidRPr="005E013B">
              <w:rPr>
                <w:rFonts w:ascii="Times New Roman" w:hAnsi="Times New Roman" w:cs="Times New Roman"/>
                <w:sz w:val="18"/>
                <w:szCs w:val="18"/>
              </w:rPr>
              <w:t>2.</w:t>
            </w:r>
            <w:r w:rsidRPr="005E013B">
              <w:rPr>
                <w:rFonts w:ascii="Times New Roman" w:hAnsi="Times New Roman" w:cs="Times New Roman"/>
                <w:sz w:val="18"/>
                <w:szCs w:val="18"/>
              </w:rPr>
              <w:tab/>
              <w:t>If, within the reporting period or within the deadline provided for in Article 17, paragraph 1, for the completion of the verification procedures, the seller has not made available all the necessary data for the fulfillment of the requirements of this Law, the operator of the reporting platform shall take reasonable measures to prevent the performance of reportable activities or to suspend the payment of the remuneration through the platform until the verification requirements are met and notifies the General Directorate of Taxation  for the measures taken.</w:t>
            </w:r>
          </w:p>
          <w:p w14:paraId="011F1F4D" w14:textId="77777777" w:rsidR="005E013B" w:rsidRPr="005E013B" w:rsidRDefault="005E013B" w:rsidP="005E013B">
            <w:pPr>
              <w:jc w:val="both"/>
              <w:rPr>
                <w:rFonts w:ascii="Times New Roman" w:hAnsi="Times New Roman" w:cs="Times New Roman"/>
                <w:sz w:val="18"/>
                <w:szCs w:val="18"/>
              </w:rPr>
            </w:pPr>
          </w:p>
          <w:p w14:paraId="22006D45" w14:textId="77777777" w:rsidR="005E013B" w:rsidRPr="005E013B" w:rsidRDefault="005E013B" w:rsidP="005E013B">
            <w:pPr>
              <w:jc w:val="both"/>
              <w:rPr>
                <w:rFonts w:ascii="Times New Roman" w:hAnsi="Times New Roman" w:cs="Times New Roman"/>
                <w:sz w:val="18"/>
                <w:szCs w:val="18"/>
              </w:rPr>
            </w:pPr>
            <w:r w:rsidRPr="005E013B">
              <w:rPr>
                <w:rFonts w:ascii="Times New Roman" w:hAnsi="Times New Roman" w:cs="Times New Roman"/>
                <w:sz w:val="18"/>
                <w:szCs w:val="18"/>
              </w:rPr>
              <w:lastRenderedPageBreak/>
              <w:t>3.</w:t>
            </w:r>
            <w:r w:rsidRPr="005E013B">
              <w:rPr>
                <w:rFonts w:ascii="Times New Roman" w:hAnsi="Times New Roman" w:cs="Times New Roman"/>
                <w:sz w:val="18"/>
                <w:szCs w:val="18"/>
              </w:rPr>
              <w:tab/>
              <w:t>The Platform Operator shall be responsible for retaining the data and documentation used for verification and communication with the Seller until 31 December of the fifth year following the year in which the communication or reporting was carried out.</w:t>
            </w:r>
          </w:p>
          <w:p w14:paraId="056CAE90" w14:textId="77777777" w:rsidR="005E013B" w:rsidRPr="005E013B" w:rsidRDefault="005E013B" w:rsidP="005E013B">
            <w:pPr>
              <w:jc w:val="both"/>
              <w:rPr>
                <w:rFonts w:ascii="Times New Roman" w:hAnsi="Times New Roman" w:cs="Times New Roman"/>
                <w:sz w:val="18"/>
                <w:szCs w:val="18"/>
              </w:rPr>
            </w:pPr>
          </w:p>
          <w:p w14:paraId="357175A9" w14:textId="77777777" w:rsidR="005E013B" w:rsidRPr="005E013B" w:rsidRDefault="005E013B" w:rsidP="005E013B">
            <w:pPr>
              <w:jc w:val="both"/>
              <w:rPr>
                <w:rFonts w:ascii="Times New Roman" w:hAnsi="Times New Roman" w:cs="Times New Roman"/>
                <w:sz w:val="18"/>
                <w:szCs w:val="18"/>
              </w:rPr>
            </w:pPr>
            <w:r w:rsidRPr="005E013B">
              <w:rPr>
                <w:rFonts w:ascii="Times New Roman" w:hAnsi="Times New Roman" w:cs="Times New Roman"/>
                <w:sz w:val="18"/>
                <w:szCs w:val="18"/>
              </w:rPr>
              <w:t>4.</w:t>
            </w:r>
            <w:r w:rsidRPr="005E013B">
              <w:rPr>
                <w:rFonts w:ascii="Times New Roman" w:hAnsi="Times New Roman" w:cs="Times New Roman"/>
                <w:sz w:val="18"/>
                <w:szCs w:val="18"/>
              </w:rPr>
              <w:tab/>
              <w:t xml:space="preserve">For individual sellers, the requirements of Article 4, paragraph 1 apply. </w:t>
            </w:r>
          </w:p>
          <w:p w14:paraId="5CBB9E16" w14:textId="77777777" w:rsidR="005E013B" w:rsidRPr="005E013B" w:rsidRDefault="005E013B" w:rsidP="005E013B">
            <w:pPr>
              <w:jc w:val="both"/>
              <w:rPr>
                <w:rFonts w:ascii="Times New Roman" w:hAnsi="Times New Roman" w:cs="Times New Roman"/>
                <w:sz w:val="18"/>
                <w:szCs w:val="18"/>
              </w:rPr>
            </w:pPr>
          </w:p>
          <w:p w14:paraId="7389CA21" w14:textId="77777777" w:rsidR="005E013B" w:rsidRDefault="005E013B" w:rsidP="005E013B">
            <w:pPr>
              <w:jc w:val="both"/>
              <w:rPr>
                <w:rFonts w:ascii="Times New Roman" w:hAnsi="Times New Roman" w:cs="Times New Roman"/>
                <w:sz w:val="18"/>
                <w:szCs w:val="18"/>
              </w:rPr>
            </w:pPr>
            <w:r w:rsidRPr="005E013B">
              <w:rPr>
                <w:rFonts w:ascii="Times New Roman" w:hAnsi="Times New Roman" w:cs="Times New Roman"/>
                <w:sz w:val="18"/>
                <w:szCs w:val="18"/>
              </w:rPr>
              <w:t>5.</w:t>
            </w:r>
            <w:r w:rsidRPr="005E013B">
              <w:rPr>
                <w:rFonts w:ascii="Times New Roman" w:hAnsi="Times New Roman" w:cs="Times New Roman"/>
                <w:sz w:val="18"/>
                <w:szCs w:val="18"/>
              </w:rPr>
              <w:tab/>
              <w:t>When Reporting Platform Operator uses the Identification Service provided by the competent authority or by the European Union, it can rely on the results of this service only for the purpose of verifying the identity and residence of the reporting seller, in accordance with the conditions and limits set out in the relevant bylaws. However, the platform operator remains obliged to report all elements of the information required by this law and bylaws, even when these data have been generated or verified through the Identification Service.</w:t>
            </w:r>
          </w:p>
          <w:p w14:paraId="3E72949B" w14:textId="77777777" w:rsidR="005E013B" w:rsidRDefault="005E013B" w:rsidP="005E013B">
            <w:pPr>
              <w:jc w:val="both"/>
              <w:rPr>
                <w:rFonts w:ascii="Times New Roman" w:hAnsi="Times New Roman" w:cs="Times New Roman"/>
                <w:sz w:val="18"/>
                <w:szCs w:val="18"/>
              </w:rPr>
            </w:pPr>
          </w:p>
          <w:p w14:paraId="2FF8DB5C" w14:textId="4815EB81" w:rsidR="0061567F" w:rsidRDefault="0061567F" w:rsidP="0061567F">
            <w:pPr>
              <w:jc w:val="both"/>
              <w:rPr>
                <w:rFonts w:ascii="Times New Roman" w:hAnsi="Times New Roman" w:cs="Times New Roman"/>
                <w:b/>
                <w:bCs/>
                <w:color w:val="000000" w:themeColor="text1"/>
                <w:sz w:val="18"/>
                <w:szCs w:val="24"/>
                <w:lang w:val="en-GB"/>
              </w:rPr>
            </w:pPr>
          </w:p>
          <w:p w14:paraId="5A404F1C" w14:textId="7027CF1E" w:rsidR="00AA253C" w:rsidRDefault="00AA253C" w:rsidP="0061567F">
            <w:pPr>
              <w:jc w:val="both"/>
              <w:rPr>
                <w:rFonts w:ascii="Times New Roman" w:hAnsi="Times New Roman" w:cs="Times New Roman"/>
                <w:sz w:val="18"/>
                <w:szCs w:val="18"/>
              </w:rPr>
            </w:pPr>
          </w:p>
          <w:p w14:paraId="4241ABF5" w14:textId="6C6EABCB" w:rsidR="00AA253C" w:rsidRDefault="00AA253C" w:rsidP="0061567F">
            <w:pPr>
              <w:jc w:val="both"/>
              <w:rPr>
                <w:rFonts w:ascii="Times New Roman" w:hAnsi="Times New Roman" w:cs="Times New Roman"/>
                <w:sz w:val="18"/>
                <w:szCs w:val="18"/>
              </w:rPr>
            </w:pPr>
          </w:p>
          <w:p w14:paraId="6CC18A1F" w14:textId="57DCBF5F" w:rsidR="00AA253C" w:rsidRDefault="00AA253C" w:rsidP="0061567F">
            <w:pPr>
              <w:jc w:val="both"/>
              <w:rPr>
                <w:rFonts w:ascii="Times New Roman" w:hAnsi="Times New Roman" w:cs="Times New Roman"/>
                <w:sz w:val="18"/>
                <w:szCs w:val="18"/>
              </w:rPr>
            </w:pPr>
          </w:p>
          <w:p w14:paraId="1E7F8591" w14:textId="77777777" w:rsidR="00AA253C" w:rsidRPr="00AA253C" w:rsidRDefault="00AA253C" w:rsidP="00AA253C">
            <w:pPr>
              <w:jc w:val="center"/>
              <w:rPr>
                <w:rFonts w:ascii="Times New Roman" w:hAnsi="Times New Roman" w:cs="Times New Roman"/>
                <w:b/>
                <w:sz w:val="18"/>
                <w:szCs w:val="18"/>
              </w:rPr>
            </w:pPr>
            <w:r w:rsidRPr="00AA253C">
              <w:rPr>
                <w:rFonts w:ascii="Times New Roman" w:hAnsi="Times New Roman" w:cs="Times New Roman"/>
                <w:b/>
                <w:sz w:val="18"/>
                <w:szCs w:val="18"/>
              </w:rPr>
              <w:t>Article 17</w:t>
            </w:r>
          </w:p>
          <w:p w14:paraId="1D33CFF0" w14:textId="12A28644" w:rsidR="00AA253C" w:rsidRPr="00AA253C" w:rsidRDefault="00AA253C" w:rsidP="00AA253C">
            <w:pPr>
              <w:jc w:val="center"/>
              <w:rPr>
                <w:rFonts w:ascii="Times New Roman" w:hAnsi="Times New Roman" w:cs="Times New Roman"/>
                <w:b/>
                <w:sz w:val="18"/>
                <w:szCs w:val="18"/>
              </w:rPr>
            </w:pPr>
            <w:r w:rsidRPr="00AA253C">
              <w:rPr>
                <w:rFonts w:ascii="Times New Roman" w:hAnsi="Times New Roman" w:cs="Times New Roman"/>
                <w:b/>
                <w:sz w:val="18"/>
                <w:szCs w:val="18"/>
              </w:rPr>
              <w:t>Sanctions and measures to ensure compliance</w:t>
            </w:r>
          </w:p>
          <w:p w14:paraId="67BCEFDE" w14:textId="77777777" w:rsidR="00AA253C" w:rsidRPr="00AA253C" w:rsidRDefault="00AA253C" w:rsidP="00AA253C">
            <w:pPr>
              <w:jc w:val="both"/>
              <w:rPr>
                <w:rFonts w:ascii="Times New Roman" w:hAnsi="Times New Roman" w:cs="Times New Roman"/>
                <w:sz w:val="18"/>
                <w:szCs w:val="18"/>
              </w:rPr>
            </w:pPr>
          </w:p>
          <w:p w14:paraId="564B1501" w14:textId="77777777" w:rsidR="00AA253C" w:rsidRPr="00AA253C" w:rsidRDefault="00AA253C" w:rsidP="00AA253C">
            <w:pPr>
              <w:jc w:val="both"/>
              <w:rPr>
                <w:rFonts w:ascii="Times New Roman" w:hAnsi="Times New Roman" w:cs="Times New Roman"/>
                <w:sz w:val="18"/>
                <w:szCs w:val="18"/>
              </w:rPr>
            </w:pPr>
            <w:r w:rsidRPr="00AA253C">
              <w:rPr>
                <w:rFonts w:ascii="Times New Roman" w:hAnsi="Times New Roman" w:cs="Times New Roman"/>
                <w:sz w:val="18"/>
                <w:szCs w:val="18"/>
              </w:rPr>
              <w:t>1.</w:t>
            </w:r>
            <w:r w:rsidRPr="00AA253C">
              <w:rPr>
                <w:rFonts w:ascii="Times New Roman" w:hAnsi="Times New Roman" w:cs="Times New Roman"/>
                <w:sz w:val="18"/>
                <w:szCs w:val="18"/>
              </w:rPr>
              <w:tab/>
              <w:t xml:space="preserve">The Platform Operator shall include in its cooperation agreement with the Seller a mandatory clause providing that, where the Seller fails to provide the required information following two reminders within a period of 60 days from the date of the first reminder, the Seller’s account on the platform shall be closed until the relevant obligation has been fulfilled. </w:t>
            </w:r>
          </w:p>
          <w:p w14:paraId="19719CC9" w14:textId="77777777" w:rsidR="00AA253C" w:rsidRPr="00AA253C" w:rsidRDefault="00AA253C" w:rsidP="00AA253C">
            <w:pPr>
              <w:jc w:val="both"/>
              <w:rPr>
                <w:rFonts w:ascii="Times New Roman" w:hAnsi="Times New Roman" w:cs="Times New Roman"/>
                <w:sz w:val="18"/>
                <w:szCs w:val="18"/>
              </w:rPr>
            </w:pPr>
          </w:p>
          <w:p w14:paraId="36988132" w14:textId="77777777" w:rsidR="00AA253C" w:rsidRPr="00AA253C" w:rsidRDefault="00AA253C" w:rsidP="00AA253C">
            <w:pPr>
              <w:jc w:val="both"/>
              <w:rPr>
                <w:rFonts w:ascii="Times New Roman" w:hAnsi="Times New Roman" w:cs="Times New Roman"/>
                <w:sz w:val="18"/>
                <w:szCs w:val="18"/>
              </w:rPr>
            </w:pPr>
            <w:r w:rsidRPr="00AA253C">
              <w:rPr>
                <w:rFonts w:ascii="Times New Roman" w:hAnsi="Times New Roman" w:cs="Times New Roman"/>
                <w:sz w:val="18"/>
                <w:szCs w:val="18"/>
              </w:rPr>
              <w:t>2.</w:t>
            </w:r>
            <w:r w:rsidRPr="00AA253C">
              <w:rPr>
                <w:rFonts w:ascii="Times New Roman" w:hAnsi="Times New Roman" w:cs="Times New Roman"/>
                <w:sz w:val="18"/>
                <w:szCs w:val="18"/>
              </w:rPr>
              <w:tab/>
              <w:t xml:space="preserve">Where the agreement with the Seller provides for the payment of Consideration, such payment may be suspended until the complete information has been provided. In cases of continued non-cooperation, the Platform Operator shall prevent the Seller from re-registering, terminate the Seller’s access to the platform, or exclude the Seller from the platform with respect to Relevant </w:t>
            </w:r>
            <w:r w:rsidRPr="00AA253C">
              <w:rPr>
                <w:rFonts w:ascii="Times New Roman" w:hAnsi="Times New Roman" w:cs="Times New Roman"/>
                <w:sz w:val="18"/>
                <w:szCs w:val="18"/>
              </w:rPr>
              <w:lastRenderedPageBreak/>
              <w:t>Activities, until full compliance with the legal obligations has been achieved.</w:t>
            </w:r>
          </w:p>
          <w:p w14:paraId="13A11B28" w14:textId="77777777" w:rsidR="00AA253C" w:rsidRPr="00AA253C" w:rsidRDefault="00AA253C" w:rsidP="00AA253C">
            <w:pPr>
              <w:jc w:val="both"/>
              <w:rPr>
                <w:rFonts w:ascii="Times New Roman" w:hAnsi="Times New Roman" w:cs="Times New Roman"/>
                <w:sz w:val="18"/>
                <w:szCs w:val="18"/>
              </w:rPr>
            </w:pPr>
          </w:p>
          <w:p w14:paraId="269B85A8" w14:textId="77777777" w:rsidR="00AA253C" w:rsidRPr="00AA253C" w:rsidRDefault="00AA253C" w:rsidP="00AA253C">
            <w:pPr>
              <w:jc w:val="both"/>
              <w:rPr>
                <w:rFonts w:ascii="Times New Roman" w:hAnsi="Times New Roman" w:cs="Times New Roman"/>
                <w:sz w:val="18"/>
                <w:szCs w:val="18"/>
              </w:rPr>
            </w:pPr>
            <w:r w:rsidRPr="00AA253C">
              <w:rPr>
                <w:rFonts w:ascii="Times New Roman" w:hAnsi="Times New Roman" w:cs="Times New Roman"/>
                <w:sz w:val="18"/>
                <w:szCs w:val="18"/>
              </w:rPr>
              <w:t>3.</w:t>
            </w:r>
            <w:r w:rsidRPr="00AA253C">
              <w:rPr>
                <w:rFonts w:ascii="Times New Roman" w:hAnsi="Times New Roman" w:cs="Times New Roman"/>
                <w:sz w:val="18"/>
                <w:szCs w:val="18"/>
              </w:rPr>
              <w:tab/>
              <w:t>For the purposes of this Law, the following violations committed by a Reporting Platform Operator shall constitute administrative offences and shall be sanctioned as follows:</w:t>
            </w:r>
          </w:p>
          <w:p w14:paraId="37633362" w14:textId="77777777" w:rsidR="00AA253C" w:rsidRPr="00AA253C" w:rsidRDefault="00AA253C" w:rsidP="00AA253C">
            <w:pPr>
              <w:jc w:val="both"/>
              <w:rPr>
                <w:rFonts w:ascii="Times New Roman" w:hAnsi="Times New Roman" w:cs="Times New Roman"/>
                <w:sz w:val="18"/>
                <w:szCs w:val="18"/>
              </w:rPr>
            </w:pPr>
            <w:r w:rsidRPr="00AA253C">
              <w:rPr>
                <w:rFonts w:ascii="Times New Roman" w:hAnsi="Times New Roman" w:cs="Times New Roman"/>
                <w:sz w:val="18"/>
                <w:szCs w:val="18"/>
              </w:rPr>
              <w:t>a) Failure to submit the annual report within the deadlines set by this Law, shall be punishable by a fine ranging from 100,000 lek to 1,000,000 lek for each Reporting Period.</w:t>
            </w:r>
          </w:p>
          <w:p w14:paraId="73B6F6AA" w14:textId="77777777" w:rsidR="00AA253C" w:rsidRPr="00AA253C" w:rsidRDefault="00AA253C" w:rsidP="00AA253C">
            <w:pPr>
              <w:jc w:val="both"/>
              <w:rPr>
                <w:rFonts w:ascii="Times New Roman" w:hAnsi="Times New Roman" w:cs="Times New Roman"/>
                <w:sz w:val="18"/>
                <w:szCs w:val="18"/>
              </w:rPr>
            </w:pPr>
            <w:r w:rsidRPr="00AA253C">
              <w:rPr>
                <w:rFonts w:ascii="Times New Roman" w:hAnsi="Times New Roman" w:cs="Times New Roman"/>
                <w:sz w:val="18"/>
                <w:szCs w:val="18"/>
              </w:rPr>
              <w:t>b) Submission of an annual report containing substantially incomplete, inaccurate or false information shall be punishable by a fine ranging from 100,000 lek to 500,000 lek for each Reporting Period.</w:t>
            </w:r>
          </w:p>
          <w:p w14:paraId="4D21BD36" w14:textId="77777777" w:rsidR="00AA253C" w:rsidRPr="00AA253C" w:rsidRDefault="00AA253C" w:rsidP="00AA253C">
            <w:pPr>
              <w:jc w:val="both"/>
              <w:rPr>
                <w:rFonts w:ascii="Times New Roman" w:hAnsi="Times New Roman" w:cs="Times New Roman"/>
                <w:sz w:val="18"/>
                <w:szCs w:val="18"/>
              </w:rPr>
            </w:pPr>
            <w:r w:rsidRPr="00AA253C">
              <w:rPr>
                <w:rFonts w:ascii="Times New Roman" w:hAnsi="Times New Roman" w:cs="Times New Roman"/>
                <w:sz w:val="18"/>
                <w:szCs w:val="18"/>
              </w:rPr>
              <w:t>c) Failure to comply, in whole or in part, with the due diligence procedures in accordance with this Law and   bylaws implementing it, shall be punishable by a fine ranging from 100,000 lek to 750,000 lek for each Reporting Period.</w:t>
            </w:r>
          </w:p>
          <w:p w14:paraId="2264985C" w14:textId="77777777" w:rsidR="00AA253C" w:rsidRPr="00AA253C" w:rsidRDefault="00AA253C" w:rsidP="00AA253C">
            <w:pPr>
              <w:jc w:val="both"/>
              <w:rPr>
                <w:rFonts w:ascii="Times New Roman" w:hAnsi="Times New Roman" w:cs="Times New Roman"/>
                <w:sz w:val="18"/>
                <w:szCs w:val="18"/>
              </w:rPr>
            </w:pPr>
            <w:r w:rsidRPr="00AA253C">
              <w:rPr>
                <w:rFonts w:ascii="Times New Roman" w:hAnsi="Times New Roman" w:cs="Times New Roman"/>
                <w:sz w:val="18"/>
                <w:szCs w:val="18"/>
              </w:rPr>
              <w:t>ç) Failure to fulfill the obligation to preserve documentation, data and evidence for the period specified by this Law, shall be punishable by a fine in the amount of 50,000 lek to 300,000 lek for each Reporting Period.</w:t>
            </w:r>
          </w:p>
          <w:p w14:paraId="0835CFCD" w14:textId="77777777" w:rsidR="00AA253C" w:rsidRPr="00AA253C" w:rsidRDefault="00AA253C" w:rsidP="00AA253C">
            <w:pPr>
              <w:jc w:val="both"/>
              <w:rPr>
                <w:rFonts w:ascii="Times New Roman" w:hAnsi="Times New Roman" w:cs="Times New Roman"/>
                <w:sz w:val="18"/>
                <w:szCs w:val="18"/>
              </w:rPr>
            </w:pPr>
            <w:r w:rsidRPr="00AA253C">
              <w:rPr>
                <w:rFonts w:ascii="Times New Roman" w:hAnsi="Times New Roman" w:cs="Times New Roman"/>
                <w:sz w:val="18"/>
                <w:szCs w:val="18"/>
              </w:rPr>
              <w:t>d) Failure to comply with the obligation to implement effective enforcement measures against non-cooperative sellers, including sending reminders, suspending accounts, closing access to the platform, exclusion from the platform or prohibiting re-registration, according to the provisions of this law, shall be punishable by a fine in the amount of 100,000 lek to 500,000 lek for each Reporting Period.</w:t>
            </w:r>
          </w:p>
          <w:p w14:paraId="13719ECD" w14:textId="77777777" w:rsidR="00AA253C" w:rsidRPr="00AA253C" w:rsidRDefault="00AA253C" w:rsidP="00AA253C">
            <w:pPr>
              <w:jc w:val="both"/>
              <w:rPr>
                <w:rFonts w:ascii="Times New Roman" w:hAnsi="Times New Roman" w:cs="Times New Roman"/>
                <w:sz w:val="18"/>
                <w:szCs w:val="18"/>
              </w:rPr>
            </w:pPr>
            <w:r w:rsidRPr="00AA253C">
              <w:rPr>
                <w:rFonts w:ascii="Times New Roman" w:hAnsi="Times New Roman" w:cs="Times New Roman"/>
                <w:sz w:val="18"/>
                <w:szCs w:val="18"/>
              </w:rPr>
              <w:t>dh) Failure to register the platform operator according to this Law, shall be punishable by a fine of 1,000,000 lek.</w:t>
            </w:r>
          </w:p>
          <w:p w14:paraId="08E5E236" w14:textId="77777777" w:rsidR="00AA253C" w:rsidRPr="00AA253C" w:rsidRDefault="00AA253C" w:rsidP="00AA253C">
            <w:pPr>
              <w:jc w:val="both"/>
              <w:rPr>
                <w:rFonts w:ascii="Times New Roman" w:hAnsi="Times New Roman" w:cs="Times New Roman"/>
                <w:sz w:val="18"/>
                <w:szCs w:val="18"/>
              </w:rPr>
            </w:pPr>
            <w:r w:rsidRPr="00AA253C">
              <w:rPr>
                <w:rFonts w:ascii="Times New Roman" w:hAnsi="Times New Roman" w:cs="Times New Roman"/>
                <w:sz w:val="18"/>
                <w:szCs w:val="18"/>
              </w:rPr>
              <w:t>4. For the violations referred to in paragraph 3 of this Article, the General Directorate of Taxation may, as appropriate and in accordance with the principle of proportionality, impose one or more of the following administrative measures:</w:t>
            </w:r>
          </w:p>
          <w:p w14:paraId="7623ECE2" w14:textId="77777777" w:rsidR="00AA253C" w:rsidRPr="00AA253C" w:rsidRDefault="00AA253C" w:rsidP="00AA253C">
            <w:pPr>
              <w:jc w:val="both"/>
              <w:rPr>
                <w:rFonts w:ascii="Times New Roman" w:hAnsi="Times New Roman" w:cs="Times New Roman"/>
                <w:sz w:val="18"/>
                <w:szCs w:val="18"/>
              </w:rPr>
            </w:pPr>
            <w:r w:rsidRPr="00AA253C">
              <w:rPr>
                <w:rFonts w:ascii="Times New Roman" w:hAnsi="Times New Roman" w:cs="Times New Roman"/>
                <w:sz w:val="18"/>
                <w:szCs w:val="18"/>
              </w:rPr>
              <w:t>a) issuing an order for the fulfillment of the violated obligation, setting a specific deadline for its implementation;</w:t>
            </w:r>
          </w:p>
          <w:p w14:paraId="5B438DF0" w14:textId="77777777" w:rsidR="00AA253C" w:rsidRPr="00AA253C" w:rsidRDefault="00AA253C" w:rsidP="00AA253C">
            <w:pPr>
              <w:jc w:val="both"/>
              <w:rPr>
                <w:rFonts w:ascii="Times New Roman" w:hAnsi="Times New Roman" w:cs="Times New Roman"/>
                <w:sz w:val="18"/>
                <w:szCs w:val="18"/>
              </w:rPr>
            </w:pPr>
            <w:r w:rsidRPr="00AA253C">
              <w:rPr>
                <w:rFonts w:ascii="Times New Roman" w:hAnsi="Times New Roman" w:cs="Times New Roman"/>
                <w:sz w:val="18"/>
                <w:szCs w:val="18"/>
              </w:rPr>
              <w:t xml:space="preserve">b) in case of a repeated violation or failure to comply with the compliance order, suspend the status of the Platform Operator for </w:t>
            </w:r>
            <w:r w:rsidRPr="00AA253C">
              <w:rPr>
                <w:rFonts w:ascii="Times New Roman" w:hAnsi="Times New Roman" w:cs="Times New Roman"/>
                <w:sz w:val="18"/>
                <w:szCs w:val="18"/>
              </w:rPr>
              <w:lastRenderedPageBreak/>
              <w:t>reporting purposes under this Law until full compliance has been achieved.</w:t>
            </w:r>
          </w:p>
          <w:p w14:paraId="49A9297F" w14:textId="77777777" w:rsidR="00AA253C" w:rsidRPr="00AA253C" w:rsidRDefault="00AA253C" w:rsidP="00AA253C">
            <w:pPr>
              <w:jc w:val="both"/>
              <w:rPr>
                <w:rFonts w:ascii="Times New Roman" w:hAnsi="Times New Roman" w:cs="Times New Roman"/>
                <w:sz w:val="18"/>
                <w:szCs w:val="18"/>
              </w:rPr>
            </w:pPr>
          </w:p>
          <w:p w14:paraId="79A9C9E5" w14:textId="77777777" w:rsidR="00AA253C" w:rsidRPr="00AA253C" w:rsidRDefault="00AA253C" w:rsidP="00AA253C">
            <w:pPr>
              <w:jc w:val="both"/>
              <w:rPr>
                <w:rFonts w:ascii="Times New Roman" w:hAnsi="Times New Roman" w:cs="Times New Roman"/>
                <w:sz w:val="18"/>
                <w:szCs w:val="18"/>
              </w:rPr>
            </w:pPr>
            <w:r w:rsidRPr="00AA253C">
              <w:rPr>
                <w:rFonts w:ascii="Times New Roman" w:hAnsi="Times New Roman" w:cs="Times New Roman"/>
                <w:sz w:val="18"/>
                <w:szCs w:val="18"/>
              </w:rPr>
              <w:t>5. Fines shall be imposed by the head of the General Directorate of Taxation in accordance with the legislation in force on administrative offences and shall be effective, proportionate, and dissuasive.</w:t>
            </w:r>
          </w:p>
          <w:p w14:paraId="01B35174" w14:textId="77777777" w:rsidR="00AA253C" w:rsidRPr="00AA253C" w:rsidRDefault="00AA253C" w:rsidP="00AA253C">
            <w:pPr>
              <w:jc w:val="both"/>
              <w:rPr>
                <w:rFonts w:ascii="Times New Roman" w:hAnsi="Times New Roman" w:cs="Times New Roman"/>
                <w:sz w:val="18"/>
                <w:szCs w:val="18"/>
              </w:rPr>
            </w:pPr>
          </w:p>
          <w:p w14:paraId="4AA67FF2" w14:textId="57487AF9" w:rsidR="00AA253C" w:rsidRDefault="00AA253C" w:rsidP="00AA253C">
            <w:pPr>
              <w:jc w:val="both"/>
              <w:rPr>
                <w:rFonts w:ascii="Times New Roman" w:hAnsi="Times New Roman" w:cs="Times New Roman"/>
                <w:sz w:val="18"/>
                <w:szCs w:val="18"/>
              </w:rPr>
            </w:pPr>
            <w:r w:rsidRPr="00AA253C">
              <w:rPr>
                <w:rFonts w:ascii="Times New Roman" w:hAnsi="Times New Roman" w:cs="Times New Roman"/>
                <w:sz w:val="18"/>
                <w:szCs w:val="18"/>
              </w:rPr>
              <w:t>6.</w:t>
            </w:r>
            <w:r w:rsidRPr="00AA253C">
              <w:rPr>
                <w:rFonts w:ascii="Times New Roman" w:hAnsi="Times New Roman" w:cs="Times New Roman"/>
                <w:sz w:val="18"/>
                <w:szCs w:val="18"/>
              </w:rPr>
              <w:tab/>
              <w:t>Decisions imposing fines may be appealed before the competent administrative court in accordance with the legislation in force governing administrative courts and the adjudication of administrative disputes.</w:t>
            </w:r>
          </w:p>
          <w:p w14:paraId="0E7BACEB" w14:textId="77777777" w:rsidR="00AA253C" w:rsidRPr="0061567F" w:rsidRDefault="00AA253C" w:rsidP="0061567F">
            <w:pPr>
              <w:jc w:val="both"/>
              <w:rPr>
                <w:rFonts w:ascii="Times New Roman" w:hAnsi="Times New Roman" w:cs="Times New Roman"/>
                <w:sz w:val="18"/>
                <w:szCs w:val="18"/>
              </w:rPr>
            </w:pPr>
          </w:p>
          <w:p w14:paraId="44434556" w14:textId="5F9436B7" w:rsidR="00E12826" w:rsidRPr="00E12826" w:rsidRDefault="00E12826" w:rsidP="00BA0D16">
            <w:pPr>
              <w:jc w:val="both"/>
              <w:rPr>
                <w:rFonts w:ascii="Times New Roman" w:hAnsi="Times New Roman" w:cs="Times New Roman"/>
                <w:sz w:val="18"/>
                <w:szCs w:val="18"/>
              </w:rPr>
            </w:pPr>
          </w:p>
        </w:tc>
        <w:tc>
          <w:tcPr>
            <w:tcW w:w="720" w:type="dxa"/>
            <w:gridSpan w:val="2"/>
          </w:tcPr>
          <w:p w14:paraId="63C7D5CC" w14:textId="02311E4C" w:rsidR="00E12826"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F</w:t>
            </w:r>
          </w:p>
        </w:tc>
        <w:tc>
          <w:tcPr>
            <w:tcW w:w="3240" w:type="dxa"/>
            <w:gridSpan w:val="2"/>
          </w:tcPr>
          <w:p w14:paraId="0461DFFC" w14:textId="77777777" w:rsidR="00E12826" w:rsidRPr="00080E02" w:rsidRDefault="00E12826" w:rsidP="00E16BA5">
            <w:pPr>
              <w:rPr>
                <w:rFonts w:ascii="Times New Roman" w:eastAsia="Calibri" w:hAnsi="Times New Roman" w:cs="Times New Roman"/>
                <w:sz w:val="18"/>
                <w:szCs w:val="18"/>
              </w:rPr>
            </w:pPr>
          </w:p>
        </w:tc>
      </w:tr>
      <w:tr w:rsidR="00E12826" w:rsidRPr="00036F88" w14:paraId="30244A85" w14:textId="77777777" w:rsidTr="00D50C43">
        <w:trPr>
          <w:gridAfter w:val="1"/>
          <w:wAfter w:w="353" w:type="dxa"/>
          <w:trHeight w:val="854"/>
        </w:trPr>
        <w:tc>
          <w:tcPr>
            <w:tcW w:w="630" w:type="dxa"/>
          </w:tcPr>
          <w:p w14:paraId="4D97AFE6" w14:textId="77777777" w:rsidR="00E12826" w:rsidRPr="00036F88" w:rsidRDefault="00E12826" w:rsidP="005331A6">
            <w:pPr>
              <w:jc w:val="both"/>
              <w:rPr>
                <w:rFonts w:ascii="Times New Roman" w:eastAsia="Calibri" w:hAnsi="Times New Roman" w:cs="Times New Roman"/>
                <w:sz w:val="18"/>
                <w:szCs w:val="18"/>
              </w:rPr>
            </w:pPr>
          </w:p>
        </w:tc>
        <w:tc>
          <w:tcPr>
            <w:tcW w:w="5400" w:type="dxa"/>
            <w:shd w:val="clear" w:color="auto" w:fill="D0CECE" w:themeFill="background2" w:themeFillShade="E6"/>
          </w:tcPr>
          <w:p w14:paraId="4F43E870" w14:textId="77777777" w:rsidR="00E12826" w:rsidRPr="00D026D5" w:rsidRDefault="00E12826" w:rsidP="005331A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 xml:space="preserve"> </w:t>
            </w:r>
          </w:p>
          <w:p w14:paraId="54F6C745" w14:textId="7B4B91E0" w:rsidR="00E12826" w:rsidRPr="00AF6E05" w:rsidRDefault="00E12826" w:rsidP="005331A6">
            <w:pPr>
              <w:jc w:val="center"/>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1A47849A" w14:textId="77777777" w:rsidR="00E12826" w:rsidRPr="00036F88" w:rsidRDefault="00E12826" w:rsidP="005331A6">
            <w:pPr>
              <w:rPr>
                <w:rFonts w:ascii="Times New Roman" w:eastAsia="Calibri" w:hAnsi="Times New Roman" w:cs="Times New Roman"/>
                <w:sz w:val="18"/>
                <w:szCs w:val="18"/>
              </w:rPr>
            </w:pPr>
          </w:p>
        </w:tc>
        <w:tc>
          <w:tcPr>
            <w:tcW w:w="720" w:type="dxa"/>
            <w:shd w:val="clear" w:color="auto" w:fill="D0CECE" w:themeFill="background2" w:themeFillShade="E6"/>
          </w:tcPr>
          <w:p w14:paraId="44B6B5F4" w14:textId="77777777" w:rsidR="00E12826" w:rsidRPr="00036F88" w:rsidRDefault="00E12826" w:rsidP="005331A6">
            <w:pPr>
              <w:rPr>
                <w:rFonts w:ascii="Times New Roman" w:eastAsia="Calibri" w:hAnsi="Times New Roman" w:cs="Times New Roman"/>
                <w:sz w:val="18"/>
                <w:szCs w:val="18"/>
              </w:rPr>
            </w:pPr>
          </w:p>
        </w:tc>
        <w:tc>
          <w:tcPr>
            <w:tcW w:w="5040" w:type="dxa"/>
            <w:gridSpan w:val="2"/>
            <w:shd w:val="clear" w:color="auto" w:fill="D0CECE" w:themeFill="background2" w:themeFillShade="E6"/>
          </w:tcPr>
          <w:p w14:paraId="0F0E6CDF" w14:textId="77777777" w:rsidR="00462428" w:rsidRPr="005E013B" w:rsidRDefault="00462428" w:rsidP="00462428">
            <w:pPr>
              <w:spacing w:line="276" w:lineRule="auto"/>
              <w:jc w:val="center"/>
              <w:rPr>
                <w:rFonts w:ascii="Times New Roman" w:hAnsi="Times New Roman" w:cs="Times New Roman"/>
                <w:b/>
                <w:bCs/>
                <w:color w:val="000000" w:themeColor="text1"/>
                <w:sz w:val="20"/>
                <w:szCs w:val="24"/>
                <w:lang w:val="en-US"/>
              </w:rPr>
            </w:pPr>
            <w:r w:rsidRPr="005E013B">
              <w:rPr>
                <w:rFonts w:ascii="Times New Roman" w:hAnsi="Times New Roman" w:cs="Times New Roman"/>
                <w:b/>
                <w:bCs/>
                <w:color w:val="000000" w:themeColor="text1"/>
                <w:sz w:val="20"/>
                <w:szCs w:val="24"/>
                <w:lang w:val="en-US"/>
              </w:rPr>
              <w:t>Article 9</w:t>
            </w:r>
          </w:p>
          <w:p w14:paraId="096C65E9" w14:textId="07484D8B" w:rsidR="00E12826" w:rsidRDefault="005E013B" w:rsidP="00462428">
            <w:pPr>
              <w:jc w:val="center"/>
              <w:rPr>
                <w:rFonts w:ascii="Times New Roman" w:eastAsia="Calibri" w:hAnsi="Times New Roman" w:cs="Times New Roman"/>
                <w:sz w:val="18"/>
                <w:szCs w:val="18"/>
              </w:rPr>
            </w:pPr>
            <w:r w:rsidRPr="005E013B">
              <w:rPr>
                <w:rFonts w:ascii="Times New Roman" w:hAnsi="Times New Roman" w:cs="Times New Roman"/>
                <w:b/>
                <w:bCs/>
                <w:color w:val="000000" w:themeColor="text1"/>
                <w:sz w:val="20"/>
                <w:szCs w:val="24"/>
              </w:rPr>
              <w:t>Implementing verification procedures only for active sellers</w:t>
            </w:r>
          </w:p>
        </w:tc>
        <w:tc>
          <w:tcPr>
            <w:tcW w:w="720" w:type="dxa"/>
            <w:gridSpan w:val="2"/>
            <w:shd w:val="clear" w:color="auto" w:fill="D0CECE" w:themeFill="background2" w:themeFillShade="E6"/>
          </w:tcPr>
          <w:p w14:paraId="1E8E5BEF" w14:textId="77777777" w:rsidR="00E12826" w:rsidRPr="00036F88" w:rsidRDefault="00E12826" w:rsidP="005331A6">
            <w:pPr>
              <w:jc w:val="center"/>
              <w:rPr>
                <w:rFonts w:ascii="Times New Roman" w:eastAsia="Calibri" w:hAnsi="Times New Roman" w:cs="Times New Roman"/>
                <w:sz w:val="18"/>
                <w:szCs w:val="18"/>
              </w:rPr>
            </w:pPr>
          </w:p>
        </w:tc>
        <w:tc>
          <w:tcPr>
            <w:tcW w:w="3240" w:type="dxa"/>
            <w:gridSpan w:val="2"/>
            <w:shd w:val="clear" w:color="auto" w:fill="D0CECE" w:themeFill="background2" w:themeFillShade="E6"/>
          </w:tcPr>
          <w:p w14:paraId="5669B3D1" w14:textId="77777777" w:rsidR="00E12826" w:rsidRPr="00036F88" w:rsidRDefault="00E12826" w:rsidP="005331A6">
            <w:pPr>
              <w:rPr>
                <w:rFonts w:ascii="Times New Roman" w:eastAsia="Calibri" w:hAnsi="Times New Roman" w:cs="Times New Roman"/>
                <w:sz w:val="18"/>
                <w:szCs w:val="18"/>
              </w:rPr>
            </w:pPr>
          </w:p>
        </w:tc>
      </w:tr>
      <w:tr w:rsidR="00E12826" w:rsidRPr="00036F88" w14:paraId="17445BCF" w14:textId="77777777" w:rsidTr="00D50C43">
        <w:trPr>
          <w:gridAfter w:val="1"/>
          <w:wAfter w:w="353" w:type="dxa"/>
          <w:trHeight w:val="2204"/>
        </w:trPr>
        <w:tc>
          <w:tcPr>
            <w:tcW w:w="630" w:type="dxa"/>
          </w:tcPr>
          <w:p w14:paraId="1CA01D23" w14:textId="77777777" w:rsidR="00E12826" w:rsidRPr="00036F88" w:rsidRDefault="00E12826" w:rsidP="003C045B">
            <w:pPr>
              <w:jc w:val="both"/>
              <w:rPr>
                <w:rFonts w:ascii="Times New Roman" w:eastAsia="Calibri" w:hAnsi="Times New Roman" w:cs="Times New Roman"/>
                <w:sz w:val="18"/>
                <w:szCs w:val="18"/>
              </w:rPr>
            </w:pPr>
          </w:p>
        </w:tc>
        <w:tc>
          <w:tcPr>
            <w:tcW w:w="5400" w:type="dxa"/>
          </w:tcPr>
          <w:p w14:paraId="04A01941" w14:textId="77777777" w:rsidR="00E12826" w:rsidRPr="001725D0" w:rsidRDefault="00E12826" w:rsidP="00E1282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B. Rules requiring Reporting Platform Operators to keep records of the steps taken and any information relied upon for carrying out the due diligence procedures and reporting requirements, as well as the appropriate measures to obtain these records.</w:t>
            </w:r>
          </w:p>
          <w:p w14:paraId="0CF58CE9" w14:textId="77777777" w:rsidR="00E12826" w:rsidRPr="001725D0" w:rsidRDefault="00E12826" w:rsidP="00E12826">
            <w:pPr>
              <w:jc w:val="both"/>
              <w:rPr>
                <w:rFonts w:ascii="Times New Roman" w:eastAsia="Calibri" w:hAnsi="Times New Roman" w:cs="Times New Roman"/>
                <w:iCs/>
                <w:sz w:val="18"/>
                <w:szCs w:val="18"/>
                <w:lang w:val="en-US"/>
              </w:rPr>
            </w:pPr>
          </w:p>
          <w:p w14:paraId="432B8642" w14:textId="77777777" w:rsidR="00E12826" w:rsidRPr="001725D0" w:rsidRDefault="00E12826" w:rsidP="00E1282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1. Member States shall take the necessary measures to require Reporting Platform Operators to keep records of the steps taken and any information relied upon for carrying out the due diligence procedures and reporting requirements set out in Sections II and III. Such records shall remain available for a sufficiently long period of time and in any case for a period of not less than 5 years, but not more than 10 years after the end of the Reportable Period to which they relate.</w:t>
            </w:r>
          </w:p>
          <w:p w14:paraId="77CA73FB" w14:textId="77777777" w:rsidR="00E12826" w:rsidRPr="001725D0" w:rsidRDefault="00E12826" w:rsidP="00E12826">
            <w:pPr>
              <w:jc w:val="both"/>
              <w:rPr>
                <w:rFonts w:ascii="Times New Roman" w:eastAsia="Calibri" w:hAnsi="Times New Roman" w:cs="Times New Roman"/>
                <w:iCs/>
                <w:sz w:val="18"/>
                <w:szCs w:val="18"/>
                <w:lang w:val="en-US"/>
              </w:rPr>
            </w:pPr>
          </w:p>
          <w:p w14:paraId="458A9830" w14:textId="2CD05481" w:rsidR="00E12826" w:rsidRPr="001725D0" w:rsidRDefault="00E12826" w:rsidP="00E1282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2. Member States take the necessary measures, including the possibility of addressing an order for reporting to the Reporting Platform Operators, in order to ensure that all the necessary information is reported to the competent authorities so that the latter can fulfil the obligation to communicate information in accordance with Article 8ac(2).</w:t>
            </w:r>
          </w:p>
        </w:tc>
        <w:tc>
          <w:tcPr>
            <w:tcW w:w="540" w:type="dxa"/>
          </w:tcPr>
          <w:p w14:paraId="70FD466C" w14:textId="77777777" w:rsidR="00E12826" w:rsidRPr="00036F88" w:rsidRDefault="00E12826" w:rsidP="003C045B">
            <w:pPr>
              <w:jc w:val="center"/>
              <w:rPr>
                <w:rFonts w:ascii="Times New Roman" w:eastAsia="Calibri" w:hAnsi="Times New Roman" w:cs="Times New Roman"/>
                <w:sz w:val="18"/>
                <w:szCs w:val="18"/>
                <w:highlight w:val="cyan"/>
              </w:rPr>
            </w:pPr>
          </w:p>
        </w:tc>
        <w:tc>
          <w:tcPr>
            <w:tcW w:w="720" w:type="dxa"/>
          </w:tcPr>
          <w:p w14:paraId="04080C04" w14:textId="77777777" w:rsidR="00E12826" w:rsidRDefault="00E12826" w:rsidP="003C045B">
            <w:pPr>
              <w:jc w:val="center"/>
              <w:rPr>
                <w:rFonts w:ascii="Times New Roman" w:eastAsia="Calibri" w:hAnsi="Times New Roman" w:cs="Times New Roman"/>
                <w:sz w:val="18"/>
                <w:szCs w:val="18"/>
                <w:highlight w:val="cyan"/>
                <w:lang w:val="en-US"/>
              </w:rPr>
            </w:pPr>
          </w:p>
          <w:p w14:paraId="3F838709" w14:textId="7A46FAF4" w:rsidR="008C3267" w:rsidRPr="001725D0" w:rsidRDefault="00462428"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 xml:space="preserve">Article </w:t>
            </w:r>
            <w:r w:rsidR="0061567F">
              <w:rPr>
                <w:rFonts w:ascii="Times New Roman" w:eastAsia="Calibri" w:hAnsi="Times New Roman" w:cs="Times New Roman"/>
                <w:sz w:val="18"/>
                <w:szCs w:val="18"/>
              </w:rPr>
              <w:t>9</w:t>
            </w:r>
          </w:p>
        </w:tc>
        <w:tc>
          <w:tcPr>
            <w:tcW w:w="5040" w:type="dxa"/>
            <w:gridSpan w:val="2"/>
          </w:tcPr>
          <w:p w14:paraId="5EE1B032" w14:textId="14987947" w:rsidR="00BA0D16" w:rsidRPr="00BA0D16" w:rsidRDefault="00BA0D16" w:rsidP="00DA527B">
            <w:pPr>
              <w:pStyle w:val="ListParagraph"/>
              <w:spacing w:after="0"/>
              <w:ind w:left="360"/>
              <w:jc w:val="both"/>
              <w:rPr>
                <w:rFonts w:ascii="Times New Roman" w:hAnsi="Times New Roman" w:cs="Times New Roman"/>
                <w:color w:val="000000" w:themeColor="text1"/>
                <w:sz w:val="18"/>
                <w:szCs w:val="24"/>
                <w:lang w:val="en-US"/>
              </w:rPr>
            </w:pPr>
          </w:p>
          <w:p w14:paraId="13315F4F" w14:textId="07AF2572" w:rsidR="00BA0D16" w:rsidRPr="00BA0D16" w:rsidRDefault="005E013B" w:rsidP="005E013B">
            <w:pPr>
              <w:pStyle w:val="ListParagraph"/>
              <w:spacing w:after="0"/>
              <w:ind w:left="360"/>
              <w:jc w:val="both"/>
              <w:rPr>
                <w:rFonts w:ascii="Times New Roman" w:hAnsi="Times New Roman" w:cs="Times New Roman"/>
                <w:color w:val="000000" w:themeColor="text1"/>
                <w:sz w:val="18"/>
                <w:szCs w:val="24"/>
                <w:lang w:val="en-US"/>
              </w:rPr>
            </w:pPr>
            <w:r>
              <w:rPr>
                <w:rFonts w:ascii="Times New Roman" w:hAnsi="Times New Roman" w:cs="Times New Roman"/>
                <w:color w:val="000000" w:themeColor="text1"/>
                <w:sz w:val="18"/>
                <w:szCs w:val="24"/>
                <w:lang w:val="en-US"/>
              </w:rPr>
              <w:t xml:space="preserve">  </w:t>
            </w:r>
            <w:r w:rsidRPr="005E013B">
              <w:rPr>
                <w:rFonts w:ascii="Times New Roman" w:hAnsi="Times New Roman" w:cs="Times New Roman"/>
                <w:color w:val="000000" w:themeColor="text1"/>
                <w:sz w:val="18"/>
                <w:szCs w:val="24"/>
                <w:lang w:val="en-US"/>
              </w:rPr>
              <w:t>3.</w:t>
            </w:r>
            <w:r w:rsidRPr="005E013B">
              <w:rPr>
                <w:rFonts w:ascii="Times New Roman" w:hAnsi="Times New Roman" w:cs="Times New Roman"/>
                <w:color w:val="000000" w:themeColor="text1"/>
                <w:sz w:val="18"/>
                <w:szCs w:val="24"/>
                <w:lang w:val="en-US"/>
              </w:rPr>
              <w:tab/>
              <w:t>The Platform Operator shall be responsible for retaining the data and documentation used for verification and communication with the Seller until 31 December of the fifth year following the year in which the communication or reporting was carried out.</w:t>
            </w:r>
          </w:p>
          <w:p w14:paraId="33E02A07" w14:textId="595CB4FD" w:rsidR="00E12826" w:rsidRPr="00BA0D16" w:rsidRDefault="00E12826" w:rsidP="00DA527B">
            <w:pPr>
              <w:pStyle w:val="ListParagraph"/>
              <w:spacing w:after="0"/>
              <w:ind w:left="360"/>
              <w:jc w:val="both"/>
              <w:rPr>
                <w:rFonts w:ascii="Times New Roman" w:hAnsi="Times New Roman" w:cs="Times New Roman"/>
                <w:sz w:val="18"/>
                <w:szCs w:val="18"/>
              </w:rPr>
            </w:pPr>
          </w:p>
        </w:tc>
        <w:tc>
          <w:tcPr>
            <w:tcW w:w="720" w:type="dxa"/>
            <w:gridSpan w:val="2"/>
          </w:tcPr>
          <w:p w14:paraId="39B92C81" w14:textId="53C67588" w:rsidR="00E12826"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240" w:type="dxa"/>
            <w:gridSpan w:val="2"/>
          </w:tcPr>
          <w:p w14:paraId="0FED222A" w14:textId="77777777" w:rsidR="00E12826" w:rsidRPr="00080E02" w:rsidRDefault="00E12826" w:rsidP="00E16BA5">
            <w:pPr>
              <w:rPr>
                <w:rFonts w:ascii="Times New Roman" w:eastAsia="Calibri" w:hAnsi="Times New Roman" w:cs="Times New Roman"/>
                <w:sz w:val="18"/>
                <w:szCs w:val="18"/>
              </w:rPr>
            </w:pPr>
          </w:p>
        </w:tc>
      </w:tr>
      <w:tr w:rsidR="00E12826" w:rsidRPr="00036F88" w14:paraId="6A72EE33" w14:textId="77777777" w:rsidTr="00D50C43">
        <w:trPr>
          <w:gridAfter w:val="1"/>
          <w:wAfter w:w="353" w:type="dxa"/>
          <w:trHeight w:val="2204"/>
        </w:trPr>
        <w:tc>
          <w:tcPr>
            <w:tcW w:w="630" w:type="dxa"/>
          </w:tcPr>
          <w:p w14:paraId="409013F9" w14:textId="77777777" w:rsidR="00E12826" w:rsidRPr="00036F88" w:rsidRDefault="00E12826" w:rsidP="003C045B">
            <w:pPr>
              <w:jc w:val="both"/>
              <w:rPr>
                <w:rFonts w:ascii="Times New Roman" w:eastAsia="Calibri" w:hAnsi="Times New Roman" w:cs="Times New Roman"/>
                <w:sz w:val="18"/>
                <w:szCs w:val="18"/>
              </w:rPr>
            </w:pPr>
          </w:p>
        </w:tc>
        <w:tc>
          <w:tcPr>
            <w:tcW w:w="5400" w:type="dxa"/>
          </w:tcPr>
          <w:p w14:paraId="1D9DB60D" w14:textId="77777777" w:rsidR="00E12826" w:rsidRPr="001725D0" w:rsidRDefault="00E12826" w:rsidP="00E1282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C. Administrative procedures to verify the compliance of Reporting Platform Operators with due diligence procedures and reporting requirements</w:t>
            </w:r>
          </w:p>
          <w:p w14:paraId="465DE5C4" w14:textId="77777777" w:rsidR="00E12826" w:rsidRPr="001725D0" w:rsidRDefault="00E12826" w:rsidP="00E12826">
            <w:pPr>
              <w:jc w:val="both"/>
              <w:rPr>
                <w:rFonts w:ascii="Times New Roman" w:eastAsia="Calibri" w:hAnsi="Times New Roman" w:cs="Times New Roman"/>
                <w:iCs/>
                <w:sz w:val="18"/>
                <w:szCs w:val="18"/>
                <w:lang w:val="en-US"/>
              </w:rPr>
            </w:pPr>
          </w:p>
          <w:p w14:paraId="725B0574" w14:textId="1B447044" w:rsidR="00E12826" w:rsidRPr="001725D0" w:rsidRDefault="00E12826" w:rsidP="00E12826">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The Member States establish administrative procedures to verify the compliance of Reporting Platform Operators with the due diligence procedures and reporting requirements set out in Sections II and III.</w:t>
            </w:r>
          </w:p>
        </w:tc>
        <w:tc>
          <w:tcPr>
            <w:tcW w:w="540" w:type="dxa"/>
          </w:tcPr>
          <w:p w14:paraId="28ED36B7" w14:textId="77777777" w:rsidR="00E12826" w:rsidRPr="00036F88" w:rsidRDefault="00E12826" w:rsidP="003C045B">
            <w:pPr>
              <w:jc w:val="center"/>
              <w:rPr>
                <w:rFonts w:ascii="Times New Roman" w:eastAsia="Calibri" w:hAnsi="Times New Roman" w:cs="Times New Roman"/>
                <w:sz w:val="18"/>
                <w:szCs w:val="18"/>
                <w:highlight w:val="cyan"/>
              </w:rPr>
            </w:pPr>
          </w:p>
        </w:tc>
        <w:tc>
          <w:tcPr>
            <w:tcW w:w="720" w:type="dxa"/>
          </w:tcPr>
          <w:p w14:paraId="2F58E2D3" w14:textId="77777777" w:rsidR="00E12826" w:rsidRPr="001725D0" w:rsidRDefault="00E12826" w:rsidP="003C045B">
            <w:pPr>
              <w:jc w:val="center"/>
              <w:rPr>
                <w:rFonts w:ascii="Times New Roman" w:eastAsia="Calibri" w:hAnsi="Times New Roman" w:cs="Times New Roman"/>
                <w:sz w:val="18"/>
                <w:szCs w:val="18"/>
                <w:highlight w:val="cyan"/>
                <w:lang w:val="en-US"/>
              </w:rPr>
            </w:pPr>
          </w:p>
        </w:tc>
        <w:tc>
          <w:tcPr>
            <w:tcW w:w="5040" w:type="dxa"/>
            <w:gridSpan w:val="2"/>
          </w:tcPr>
          <w:p w14:paraId="1F7B7A52" w14:textId="77777777" w:rsidR="006566CD" w:rsidRDefault="006566CD" w:rsidP="006566CD">
            <w:pPr>
              <w:jc w:val="center"/>
              <w:rPr>
                <w:rFonts w:ascii="Times New Roman" w:hAnsi="Times New Roman" w:cs="Times New Roman"/>
                <w:sz w:val="18"/>
                <w:szCs w:val="18"/>
              </w:rPr>
            </w:pPr>
          </w:p>
          <w:p w14:paraId="0002720D" w14:textId="1548A8AC" w:rsidR="00E12826" w:rsidRPr="00E12826" w:rsidRDefault="006566CD" w:rsidP="006566CD">
            <w:pPr>
              <w:jc w:val="center"/>
              <w:rPr>
                <w:rFonts w:ascii="Times New Roman" w:hAnsi="Times New Roman" w:cs="Times New Roman"/>
                <w:sz w:val="18"/>
                <w:szCs w:val="18"/>
              </w:rPr>
            </w:pPr>
            <w:r>
              <w:rPr>
                <w:rFonts w:ascii="Times New Roman" w:hAnsi="Times New Roman" w:cs="Times New Roman"/>
                <w:sz w:val="18"/>
                <w:szCs w:val="18"/>
              </w:rPr>
              <w:t>N/A</w:t>
            </w:r>
          </w:p>
        </w:tc>
        <w:tc>
          <w:tcPr>
            <w:tcW w:w="720" w:type="dxa"/>
            <w:gridSpan w:val="2"/>
          </w:tcPr>
          <w:p w14:paraId="78DE1571" w14:textId="5B56D306" w:rsidR="00E12826" w:rsidRPr="00C7263F" w:rsidRDefault="00060D2B" w:rsidP="003C045B">
            <w:pPr>
              <w:jc w:val="center"/>
              <w:rPr>
                <w:rFonts w:ascii="Times New Roman" w:eastAsia="Calibri" w:hAnsi="Times New Roman" w:cs="Times New Roman"/>
                <w:sz w:val="18"/>
                <w:szCs w:val="18"/>
              </w:rPr>
            </w:pPr>
            <w:r>
              <w:rPr>
                <w:rFonts w:ascii="Times New Roman" w:hAnsi="Times New Roman" w:cs="Times New Roman"/>
                <w:sz w:val="18"/>
                <w:szCs w:val="18"/>
              </w:rPr>
              <w:t>N/A</w:t>
            </w:r>
          </w:p>
        </w:tc>
        <w:tc>
          <w:tcPr>
            <w:tcW w:w="3240" w:type="dxa"/>
            <w:gridSpan w:val="2"/>
          </w:tcPr>
          <w:p w14:paraId="5F16332C" w14:textId="77777777" w:rsidR="006566CD" w:rsidRPr="006566CD" w:rsidRDefault="006566CD" w:rsidP="006566CD">
            <w:pPr>
              <w:rPr>
                <w:rFonts w:ascii="Times New Roman" w:eastAsia="Calibri" w:hAnsi="Times New Roman" w:cs="Times New Roman"/>
                <w:sz w:val="18"/>
                <w:szCs w:val="18"/>
              </w:rPr>
            </w:pPr>
          </w:p>
          <w:p w14:paraId="71B606C2" w14:textId="3F0EEDA8" w:rsidR="006566CD" w:rsidRPr="006566CD" w:rsidRDefault="006566CD" w:rsidP="006566CD">
            <w:pPr>
              <w:rPr>
                <w:rFonts w:ascii="Times New Roman" w:eastAsia="Calibri" w:hAnsi="Times New Roman" w:cs="Times New Roman"/>
                <w:sz w:val="18"/>
                <w:szCs w:val="18"/>
              </w:rPr>
            </w:pPr>
            <w:r>
              <w:rPr>
                <w:rFonts w:ascii="Times New Roman" w:eastAsia="Calibri" w:hAnsi="Times New Roman" w:cs="Times New Roman"/>
                <w:sz w:val="18"/>
                <w:szCs w:val="18"/>
              </w:rPr>
              <w:t>Annex V, Section IV (C) requires that the Member States have administrative procedures in</w:t>
            </w:r>
          </w:p>
          <w:p w14:paraId="59FEA134" w14:textId="10F454C9" w:rsidR="006566CD" w:rsidRPr="006566CD" w:rsidRDefault="006566CD" w:rsidP="006566CD">
            <w:pPr>
              <w:rPr>
                <w:rFonts w:ascii="Times New Roman" w:eastAsia="Calibri" w:hAnsi="Times New Roman" w:cs="Times New Roman"/>
                <w:sz w:val="18"/>
                <w:szCs w:val="18"/>
              </w:rPr>
            </w:pPr>
            <w:r>
              <w:rPr>
                <w:rFonts w:ascii="Times New Roman" w:eastAsia="Calibri" w:hAnsi="Times New Roman" w:cs="Times New Roman"/>
                <w:sz w:val="18"/>
                <w:szCs w:val="18"/>
              </w:rPr>
              <w:t>place to verify the compliance of Reporting Platform Operators with the appropriate due diligence and reporting requirements.</w:t>
            </w:r>
          </w:p>
          <w:p w14:paraId="187B3583" w14:textId="77777777" w:rsidR="006566CD" w:rsidRPr="006566CD" w:rsidRDefault="006566CD" w:rsidP="006566CD">
            <w:pPr>
              <w:rPr>
                <w:rFonts w:ascii="Times New Roman" w:eastAsia="Calibri" w:hAnsi="Times New Roman" w:cs="Times New Roman"/>
                <w:sz w:val="18"/>
                <w:szCs w:val="18"/>
              </w:rPr>
            </w:pPr>
          </w:p>
          <w:p w14:paraId="7AE97D25" w14:textId="048F91B3" w:rsidR="00E12826" w:rsidRPr="00080E02" w:rsidRDefault="00AE469F" w:rsidP="005D2C74">
            <w:pPr>
              <w:rPr>
                <w:rFonts w:ascii="Times New Roman" w:eastAsia="Calibri" w:hAnsi="Times New Roman" w:cs="Times New Roman"/>
                <w:sz w:val="18"/>
                <w:szCs w:val="18"/>
              </w:rPr>
            </w:pPr>
            <w:r>
              <w:rPr>
                <w:rFonts w:ascii="Times New Roman" w:eastAsia="Calibri" w:hAnsi="Times New Roman" w:cs="Times New Roman"/>
                <w:sz w:val="18"/>
                <w:szCs w:val="18"/>
              </w:rPr>
              <w:t>These procedures may be determined through bylaws.</w:t>
            </w:r>
          </w:p>
        </w:tc>
      </w:tr>
      <w:tr w:rsidR="006566CD" w:rsidRPr="00036F88" w14:paraId="575EF129" w14:textId="77777777" w:rsidTr="00D50C43">
        <w:trPr>
          <w:gridAfter w:val="1"/>
          <w:wAfter w:w="353" w:type="dxa"/>
          <w:trHeight w:val="2204"/>
        </w:trPr>
        <w:tc>
          <w:tcPr>
            <w:tcW w:w="630" w:type="dxa"/>
          </w:tcPr>
          <w:p w14:paraId="3415519D" w14:textId="77777777" w:rsidR="006566CD" w:rsidRPr="00036F88" w:rsidRDefault="006566CD" w:rsidP="003C045B">
            <w:pPr>
              <w:jc w:val="both"/>
              <w:rPr>
                <w:rFonts w:ascii="Times New Roman" w:eastAsia="Calibri" w:hAnsi="Times New Roman" w:cs="Times New Roman"/>
                <w:sz w:val="18"/>
                <w:szCs w:val="18"/>
              </w:rPr>
            </w:pPr>
          </w:p>
        </w:tc>
        <w:tc>
          <w:tcPr>
            <w:tcW w:w="5400" w:type="dxa"/>
          </w:tcPr>
          <w:p w14:paraId="385702DA" w14:textId="77777777" w:rsidR="006566CD" w:rsidRPr="001725D0" w:rsidRDefault="006566CD" w:rsidP="006566CD">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D. Administrative procedures to follow a Reporting Platform Operator when incomplete or inaccurate information is reported</w:t>
            </w:r>
          </w:p>
          <w:p w14:paraId="7D153ECE" w14:textId="77777777" w:rsidR="006566CD" w:rsidRPr="001725D0" w:rsidRDefault="006566CD" w:rsidP="006566CD">
            <w:pPr>
              <w:jc w:val="both"/>
              <w:rPr>
                <w:rFonts w:ascii="Times New Roman" w:eastAsia="Calibri" w:hAnsi="Times New Roman" w:cs="Times New Roman"/>
                <w:iCs/>
                <w:sz w:val="18"/>
                <w:szCs w:val="18"/>
                <w:lang w:val="en-US"/>
              </w:rPr>
            </w:pPr>
          </w:p>
          <w:p w14:paraId="30E8CCD4" w14:textId="33176E55" w:rsidR="006566CD" w:rsidRPr="001725D0" w:rsidRDefault="006566CD" w:rsidP="006566CD">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Member States shall determine the procedures for following up actions with Reporting Platform Operators when the reported information is incomplete or inaccurate.</w:t>
            </w:r>
          </w:p>
        </w:tc>
        <w:tc>
          <w:tcPr>
            <w:tcW w:w="540" w:type="dxa"/>
          </w:tcPr>
          <w:p w14:paraId="6E069DDB" w14:textId="77777777" w:rsidR="006566CD" w:rsidRPr="00036F88" w:rsidRDefault="006566CD" w:rsidP="003C045B">
            <w:pPr>
              <w:jc w:val="center"/>
              <w:rPr>
                <w:rFonts w:ascii="Times New Roman" w:eastAsia="Calibri" w:hAnsi="Times New Roman" w:cs="Times New Roman"/>
                <w:sz w:val="18"/>
                <w:szCs w:val="18"/>
                <w:highlight w:val="cyan"/>
              </w:rPr>
            </w:pPr>
          </w:p>
        </w:tc>
        <w:tc>
          <w:tcPr>
            <w:tcW w:w="720" w:type="dxa"/>
          </w:tcPr>
          <w:p w14:paraId="0EE2C748" w14:textId="5EC5D507" w:rsidR="006566CD" w:rsidRPr="001725D0" w:rsidRDefault="00060D2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N/A</w:t>
            </w:r>
          </w:p>
        </w:tc>
        <w:tc>
          <w:tcPr>
            <w:tcW w:w="5040" w:type="dxa"/>
            <w:gridSpan w:val="2"/>
          </w:tcPr>
          <w:p w14:paraId="2D03DE36" w14:textId="272D1708" w:rsidR="006566CD" w:rsidRDefault="006566CD" w:rsidP="006566CD">
            <w:pPr>
              <w:jc w:val="center"/>
              <w:rPr>
                <w:rFonts w:ascii="Times New Roman" w:hAnsi="Times New Roman" w:cs="Times New Roman"/>
                <w:sz w:val="18"/>
                <w:szCs w:val="18"/>
              </w:rPr>
            </w:pPr>
            <w:r>
              <w:rPr>
                <w:rFonts w:ascii="Times New Roman" w:hAnsi="Times New Roman" w:cs="Times New Roman"/>
                <w:sz w:val="18"/>
                <w:szCs w:val="18"/>
              </w:rPr>
              <w:t>N/A</w:t>
            </w:r>
          </w:p>
        </w:tc>
        <w:tc>
          <w:tcPr>
            <w:tcW w:w="720" w:type="dxa"/>
            <w:gridSpan w:val="2"/>
          </w:tcPr>
          <w:p w14:paraId="08709B48" w14:textId="20FC13DD" w:rsidR="006566CD" w:rsidRPr="00C7263F" w:rsidRDefault="00060D2B" w:rsidP="003C045B">
            <w:pPr>
              <w:jc w:val="center"/>
              <w:rPr>
                <w:rFonts w:ascii="Times New Roman" w:eastAsia="Calibri" w:hAnsi="Times New Roman" w:cs="Times New Roman"/>
                <w:sz w:val="18"/>
                <w:szCs w:val="18"/>
              </w:rPr>
            </w:pPr>
            <w:r>
              <w:rPr>
                <w:rFonts w:ascii="Times New Roman" w:hAnsi="Times New Roman" w:cs="Times New Roman"/>
                <w:sz w:val="18"/>
                <w:szCs w:val="18"/>
              </w:rPr>
              <w:t>N/A</w:t>
            </w:r>
          </w:p>
        </w:tc>
        <w:tc>
          <w:tcPr>
            <w:tcW w:w="3240" w:type="dxa"/>
            <w:gridSpan w:val="2"/>
          </w:tcPr>
          <w:p w14:paraId="4961F26A" w14:textId="77777777" w:rsidR="00AE469F" w:rsidRDefault="00AE469F" w:rsidP="006566CD">
            <w:pPr>
              <w:rPr>
                <w:rFonts w:ascii="Times New Roman" w:eastAsia="Calibri" w:hAnsi="Times New Roman" w:cs="Times New Roman"/>
                <w:sz w:val="18"/>
                <w:szCs w:val="18"/>
              </w:rPr>
            </w:pPr>
            <w:r>
              <w:rPr>
                <w:rFonts w:ascii="Times New Roman" w:eastAsia="Calibri" w:hAnsi="Times New Roman" w:cs="Times New Roman"/>
                <w:sz w:val="18"/>
                <w:szCs w:val="18"/>
              </w:rPr>
              <w:t>The draft law provides for the obligation of platform operators to implement due diligence procedures. However, the draft law does not specify specific administrative procedures for pursuing or supervising the compliance of platform operators.</w:t>
            </w:r>
          </w:p>
          <w:p w14:paraId="3567E5F8" w14:textId="77777777" w:rsidR="00AE469F" w:rsidRDefault="00AE469F" w:rsidP="006566CD">
            <w:pPr>
              <w:rPr>
                <w:rFonts w:ascii="Times New Roman" w:eastAsia="Calibri" w:hAnsi="Times New Roman" w:cs="Times New Roman"/>
                <w:sz w:val="18"/>
                <w:szCs w:val="18"/>
              </w:rPr>
            </w:pPr>
          </w:p>
          <w:p w14:paraId="6301CE94" w14:textId="452BCBD7" w:rsidR="006566CD" w:rsidRPr="006566CD" w:rsidRDefault="00AE469F" w:rsidP="006566CD">
            <w:pPr>
              <w:rPr>
                <w:rFonts w:ascii="Times New Roman" w:eastAsia="Calibri" w:hAnsi="Times New Roman" w:cs="Times New Roman"/>
                <w:sz w:val="18"/>
                <w:szCs w:val="18"/>
              </w:rPr>
            </w:pPr>
            <w:r>
              <w:rPr>
                <w:rFonts w:ascii="Times New Roman" w:eastAsia="Calibri" w:hAnsi="Times New Roman" w:cs="Times New Roman"/>
                <w:sz w:val="18"/>
                <w:szCs w:val="18"/>
              </w:rPr>
              <w:t xml:space="preserve"> These procedures may be determined through bylaws.</w:t>
            </w:r>
          </w:p>
        </w:tc>
      </w:tr>
      <w:tr w:rsidR="006566CD" w:rsidRPr="00036F88" w14:paraId="047B55CA" w14:textId="77777777" w:rsidTr="00D50C43">
        <w:trPr>
          <w:gridAfter w:val="1"/>
          <w:wAfter w:w="353" w:type="dxa"/>
          <w:trHeight w:val="2204"/>
        </w:trPr>
        <w:tc>
          <w:tcPr>
            <w:tcW w:w="630" w:type="dxa"/>
          </w:tcPr>
          <w:p w14:paraId="3B27C15F" w14:textId="77777777" w:rsidR="006566CD" w:rsidRPr="00036F88" w:rsidRDefault="006566CD" w:rsidP="003C045B">
            <w:pPr>
              <w:jc w:val="both"/>
              <w:rPr>
                <w:rFonts w:ascii="Times New Roman" w:eastAsia="Calibri" w:hAnsi="Times New Roman" w:cs="Times New Roman"/>
                <w:sz w:val="18"/>
                <w:szCs w:val="18"/>
              </w:rPr>
            </w:pPr>
          </w:p>
        </w:tc>
        <w:tc>
          <w:tcPr>
            <w:tcW w:w="5400" w:type="dxa"/>
          </w:tcPr>
          <w:p w14:paraId="2AF4EA37" w14:textId="77777777" w:rsidR="006566CD" w:rsidRPr="001725D0" w:rsidRDefault="006566CD" w:rsidP="006566CD">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E. Administrative procedure for choosing a single Member State in which reporting will take place</w:t>
            </w:r>
          </w:p>
          <w:p w14:paraId="10CA0DD6" w14:textId="77777777" w:rsidR="006566CD" w:rsidRPr="001725D0" w:rsidRDefault="006566CD" w:rsidP="006566CD">
            <w:pPr>
              <w:jc w:val="both"/>
              <w:rPr>
                <w:rFonts w:ascii="Times New Roman" w:eastAsia="Calibri" w:hAnsi="Times New Roman" w:cs="Times New Roman"/>
                <w:iCs/>
                <w:sz w:val="18"/>
                <w:szCs w:val="18"/>
                <w:lang w:val="en-US"/>
              </w:rPr>
            </w:pPr>
          </w:p>
          <w:p w14:paraId="7F323C44" w14:textId="328173A7" w:rsidR="006566CD" w:rsidRPr="001725D0" w:rsidRDefault="006566CD" w:rsidP="006566CD">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If a Reporting Platform Operator within the meaning of point (a) of subparagraph A(4) of Section I meets any of the conditions listed there in more than one Member State, it shall choose one of those Member States, to fulfil its reporting requirements under Section III. The Reporting Platform Operator shall notify all competent authorities of those Member States of its choice.</w:t>
            </w:r>
          </w:p>
        </w:tc>
        <w:tc>
          <w:tcPr>
            <w:tcW w:w="540" w:type="dxa"/>
          </w:tcPr>
          <w:p w14:paraId="453EE5FA" w14:textId="77777777" w:rsidR="006566CD" w:rsidRPr="00036F88" w:rsidRDefault="006566CD" w:rsidP="003C045B">
            <w:pPr>
              <w:jc w:val="center"/>
              <w:rPr>
                <w:rFonts w:ascii="Times New Roman" w:eastAsia="Calibri" w:hAnsi="Times New Roman" w:cs="Times New Roman"/>
                <w:sz w:val="18"/>
                <w:szCs w:val="18"/>
                <w:highlight w:val="cyan"/>
              </w:rPr>
            </w:pPr>
          </w:p>
        </w:tc>
        <w:tc>
          <w:tcPr>
            <w:tcW w:w="720" w:type="dxa"/>
          </w:tcPr>
          <w:p w14:paraId="0D997561" w14:textId="77777777" w:rsidR="00060D2B" w:rsidRDefault="00060D2B" w:rsidP="003C045B">
            <w:pPr>
              <w:jc w:val="center"/>
              <w:rPr>
                <w:rFonts w:ascii="Times New Roman" w:eastAsia="Calibri" w:hAnsi="Times New Roman" w:cs="Times New Roman"/>
                <w:sz w:val="18"/>
                <w:szCs w:val="18"/>
                <w:lang w:val="en-US"/>
              </w:rPr>
            </w:pPr>
          </w:p>
          <w:p w14:paraId="1909899B" w14:textId="70126AD6" w:rsidR="006566CD" w:rsidRPr="001725D0" w:rsidRDefault="00060D2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N/A</w:t>
            </w:r>
          </w:p>
        </w:tc>
        <w:tc>
          <w:tcPr>
            <w:tcW w:w="5040" w:type="dxa"/>
            <w:gridSpan w:val="2"/>
          </w:tcPr>
          <w:p w14:paraId="1DF0B45C" w14:textId="12D53528" w:rsidR="006566CD" w:rsidRDefault="006566CD" w:rsidP="00AE469F">
            <w:pPr>
              <w:jc w:val="center"/>
              <w:rPr>
                <w:rFonts w:ascii="Times New Roman" w:hAnsi="Times New Roman" w:cs="Times New Roman"/>
                <w:sz w:val="18"/>
                <w:szCs w:val="18"/>
              </w:rPr>
            </w:pPr>
            <w:r>
              <w:rPr>
                <w:rFonts w:ascii="Times New Roman" w:hAnsi="Times New Roman" w:cs="Times New Roman"/>
                <w:sz w:val="18"/>
                <w:szCs w:val="18"/>
              </w:rPr>
              <w:t>N/A</w:t>
            </w:r>
          </w:p>
        </w:tc>
        <w:tc>
          <w:tcPr>
            <w:tcW w:w="720" w:type="dxa"/>
            <w:gridSpan w:val="2"/>
          </w:tcPr>
          <w:p w14:paraId="3643F7FA" w14:textId="6151D995" w:rsidR="006566CD" w:rsidRDefault="00060D2B"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N/A</w:t>
            </w:r>
          </w:p>
        </w:tc>
        <w:tc>
          <w:tcPr>
            <w:tcW w:w="3240" w:type="dxa"/>
            <w:gridSpan w:val="2"/>
          </w:tcPr>
          <w:p w14:paraId="25E85551" w14:textId="77777777" w:rsidR="00AE469F" w:rsidRDefault="00AE469F" w:rsidP="006566CD">
            <w:pPr>
              <w:rPr>
                <w:rFonts w:ascii="Times New Roman" w:eastAsia="Calibri" w:hAnsi="Times New Roman" w:cs="Times New Roman"/>
                <w:sz w:val="18"/>
                <w:szCs w:val="18"/>
              </w:rPr>
            </w:pPr>
            <w:r>
              <w:rPr>
                <w:rFonts w:ascii="Times New Roman" w:eastAsia="Calibri" w:hAnsi="Times New Roman" w:cs="Times New Roman"/>
                <w:sz w:val="18"/>
                <w:szCs w:val="18"/>
              </w:rPr>
              <w:t xml:space="preserve">The draft law provides for applicable sanctions against platform operators in cases of non-compliance with reporting obligations. However, the draft law does not expressly provide for specific administrative procedures for pursuing platform operators in cases where the information reported under DAC7 is incomplete or inaccurate. </w:t>
            </w:r>
          </w:p>
          <w:p w14:paraId="590AE03E" w14:textId="77777777" w:rsidR="00AE469F" w:rsidRDefault="00AE469F" w:rsidP="006566CD">
            <w:pPr>
              <w:rPr>
                <w:rFonts w:ascii="Times New Roman" w:eastAsia="Calibri" w:hAnsi="Times New Roman" w:cs="Times New Roman"/>
                <w:sz w:val="18"/>
                <w:szCs w:val="18"/>
              </w:rPr>
            </w:pPr>
          </w:p>
          <w:p w14:paraId="688D0164" w14:textId="4538B0CF" w:rsidR="006566CD" w:rsidRPr="006566CD" w:rsidRDefault="00AE469F" w:rsidP="006566CD">
            <w:pPr>
              <w:rPr>
                <w:rFonts w:ascii="Times New Roman" w:eastAsia="Calibri" w:hAnsi="Times New Roman" w:cs="Times New Roman"/>
                <w:sz w:val="18"/>
                <w:szCs w:val="18"/>
              </w:rPr>
            </w:pPr>
            <w:r>
              <w:rPr>
                <w:rFonts w:ascii="Times New Roman" w:eastAsia="Calibri" w:hAnsi="Times New Roman" w:cs="Times New Roman"/>
                <w:sz w:val="18"/>
                <w:szCs w:val="18"/>
              </w:rPr>
              <w:t>These procedures may be determined through bylaws.</w:t>
            </w:r>
          </w:p>
        </w:tc>
      </w:tr>
      <w:tr w:rsidR="006566CD" w:rsidRPr="00036F88" w14:paraId="66C69145" w14:textId="77777777" w:rsidTr="00D50C43">
        <w:trPr>
          <w:gridAfter w:val="1"/>
          <w:wAfter w:w="353" w:type="dxa"/>
          <w:trHeight w:val="2204"/>
        </w:trPr>
        <w:tc>
          <w:tcPr>
            <w:tcW w:w="630" w:type="dxa"/>
          </w:tcPr>
          <w:p w14:paraId="294BF111" w14:textId="77777777" w:rsidR="006566CD" w:rsidRPr="00036F88" w:rsidRDefault="006566CD" w:rsidP="003C045B">
            <w:pPr>
              <w:jc w:val="both"/>
              <w:rPr>
                <w:rFonts w:ascii="Times New Roman" w:eastAsia="Calibri" w:hAnsi="Times New Roman" w:cs="Times New Roman"/>
                <w:sz w:val="18"/>
                <w:szCs w:val="18"/>
              </w:rPr>
            </w:pPr>
          </w:p>
        </w:tc>
        <w:tc>
          <w:tcPr>
            <w:tcW w:w="5400" w:type="dxa"/>
          </w:tcPr>
          <w:p w14:paraId="69B3A589" w14:textId="77777777" w:rsidR="006566CD" w:rsidRPr="001725D0" w:rsidRDefault="006566CD" w:rsidP="006566CD">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F. Administrative procedure for the sole registration of a Reporting Platform Operator</w:t>
            </w:r>
          </w:p>
          <w:p w14:paraId="2BE25D66" w14:textId="77777777" w:rsidR="006566CD" w:rsidRPr="001725D0" w:rsidRDefault="006566CD" w:rsidP="006566CD">
            <w:pPr>
              <w:jc w:val="both"/>
              <w:rPr>
                <w:rFonts w:ascii="Times New Roman" w:eastAsia="Calibri" w:hAnsi="Times New Roman" w:cs="Times New Roman"/>
                <w:iCs/>
                <w:sz w:val="18"/>
                <w:szCs w:val="18"/>
                <w:lang w:val="en-US"/>
              </w:rPr>
            </w:pPr>
          </w:p>
          <w:p w14:paraId="2625E9B9" w14:textId="77777777" w:rsidR="006566CD" w:rsidRPr="001725D0" w:rsidRDefault="006566CD" w:rsidP="006566CD">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1. A Reporting Platform Operator within the meaning of point (b) of subparagraph A(4) of Section I of this Annex shall register with the competent authority of each Member State in accordance with Article 8ac(4) when it begins its activity as a Platform Operator.</w:t>
            </w:r>
          </w:p>
          <w:p w14:paraId="1784259E" w14:textId="77777777" w:rsidR="006566CD" w:rsidRPr="001725D0" w:rsidRDefault="006566CD" w:rsidP="006566CD">
            <w:pPr>
              <w:jc w:val="both"/>
              <w:rPr>
                <w:rFonts w:ascii="Times New Roman" w:eastAsia="Calibri" w:hAnsi="Times New Roman" w:cs="Times New Roman"/>
                <w:iCs/>
                <w:sz w:val="18"/>
                <w:szCs w:val="18"/>
                <w:lang w:val="en-US"/>
              </w:rPr>
            </w:pPr>
          </w:p>
          <w:p w14:paraId="43A3D5D8" w14:textId="77777777" w:rsidR="006566CD" w:rsidRPr="001725D0" w:rsidRDefault="006566CD" w:rsidP="006566CD">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2. The Reporting Platform Operator must communicate to its sole Member State of registration the following information: (a) the name; (b) the postal address; (c) the electronic addresses, including websites; (d) any Personal Data Number issued to the Reporting Platform Operator; (e) a statement with information relating to the identification of that Reporting Platform Operator for VAT purposes within the Union, in accordance with Title XII, Chapter 6, Sections 2 and 3 of Council Directive 2006/112/EC (*); (f) the Member States in which the Reportable Sellers are resident within the meaning of paragraph D of Section II.</w:t>
            </w:r>
          </w:p>
          <w:p w14:paraId="7F4FA930" w14:textId="77777777" w:rsidR="006566CD" w:rsidRPr="001725D0" w:rsidRDefault="006566CD" w:rsidP="006566CD">
            <w:pPr>
              <w:jc w:val="both"/>
              <w:rPr>
                <w:rFonts w:ascii="Times New Roman" w:eastAsia="Calibri" w:hAnsi="Times New Roman" w:cs="Times New Roman"/>
                <w:iCs/>
                <w:sz w:val="18"/>
                <w:szCs w:val="18"/>
                <w:lang w:val="en-US"/>
              </w:rPr>
            </w:pPr>
          </w:p>
          <w:p w14:paraId="2E1AA1F5" w14:textId="77777777" w:rsidR="006566CD" w:rsidRPr="001725D0" w:rsidRDefault="006566CD" w:rsidP="006566CD">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3. The Reporting Platform Operator must notify the Member State of single registration of any change in the information provided pursuant to subparagraph F(2).</w:t>
            </w:r>
          </w:p>
          <w:p w14:paraId="4EC3EFDF" w14:textId="77777777" w:rsidR="006566CD" w:rsidRPr="001725D0" w:rsidRDefault="006566CD" w:rsidP="006566CD">
            <w:pPr>
              <w:jc w:val="both"/>
              <w:rPr>
                <w:rFonts w:ascii="Times New Roman" w:eastAsia="Calibri" w:hAnsi="Times New Roman" w:cs="Times New Roman"/>
                <w:iCs/>
                <w:sz w:val="18"/>
                <w:szCs w:val="18"/>
                <w:lang w:val="en-US"/>
              </w:rPr>
            </w:pPr>
          </w:p>
          <w:p w14:paraId="4DD61CDF" w14:textId="77777777" w:rsidR="006566CD" w:rsidRPr="001725D0" w:rsidRDefault="006566CD" w:rsidP="006566CD">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4. The single Member State of registration assigns the Reporting Platform Operator an individual identification number and notifies it to the competent authorities of all Member States by electronic means.</w:t>
            </w:r>
          </w:p>
          <w:p w14:paraId="2A1E6F34" w14:textId="77777777" w:rsidR="006566CD" w:rsidRPr="001725D0" w:rsidRDefault="006566CD" w:rsidP="006566CD">
            <w:pPr>
              <w:jc w:val="both"/>
              <w:rPr>
                <w:rFonts w:ascii="Times New Roman" w:eastAsia="Calibri" w:hAnsi="Times New Roman" w:cs="Times New Roman"/>
                <w:iCs/>
                <w:sz w:val="18"/>
                <w:szCs w:val="18"/>
                <w:lang w:val="en-US"/>
              </w:rPr>
            </w:pPr>
          </w:p>
          <w:p w14:paraId="6C9CEFB6" w14:textId="77777777" w:rsidR="006566CD" w:rsidRPr="001725D0" w:rsidRDefault="006566CD" w:rsidP="006566CD">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5. The single Member State of registration requests the Commission to remove a Reporting Platform Operator from the central register in the following cases: (a) the Platform Operator notifies that Member State that it no longer carries out any activity as a Platform Operator; (b) in the absence of a notification pursuant to point (a), there are reasons to assume that the activity of a Platform Operator has ceased; (c) the Platform Operator no longer fulfils the conditions set out in point (b) of subparagraph A(4) of Section I; (d) the Member State has revoked the registration with its competent authority pursuant to subparagraph F(7).</w:t>
            </w:r>
          </w:p>
          <w:p w14:paraId="5BA50071" w14:textId="77777777" w:rsidR="006566CD" w:rsidRPr="001725D0" w:rsidRDefault="006566CD" w:rsidP="006566CD">
            <w:pPr>
              <w:jc w:val="both"/>
              <w:rPr>
                <w:rFonts w:ascii="Times New Roman" w:eastAsia="Calibri" w:hAnsi="Times New Roman" w:cs="Times New Roman"/>
                <w:iCs/>
                <w:sz w:val="18"/>
                <w:szCs w:val="18"/>
                <w:lang w:val="en-US"/>
              </w:rPr>
            </w:pPr>
          </w:p>
          <w:p w14:paraId="640EDB78" w14:textId="77777777" w:rsidR="006566CD" w:rsidRPr="001725D0" w:rsidRDefault="006566CD" w:rsidP="006566CD">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 xml:space="preserve">6. Each Member State shall immediately notify the Commission of any Platform Operator within the meaning of point (b) of subparagraph A(4) </w:t>
            </w:r>
            <w:r>
              <w:rPr>
                <w:rFonts w:ascii="Times New Roman" w:eastAsia="Calibri" w:hAnsi="Times New Roman" w:cs="Times New Roman"/>
                <w:iCs/>
                <w:sz w:val="18"/>
                <w:szCs w:val="18"/>
                <w:lang w:val="en-US"/>
              </w:rPr>
              <w:lastRenderedPageBreak/>
              <w:t>of Section I that begins its activity as a Platform Operator while it is not registered under this paragraph. Where a Reporting Platform Operator does not comply with the obligation to register or where its registration has been revoked in accordance with subparagraph F(7) of this Section, the Member States, without prejudice to Article 25a, shall take effective, proportionate and dissuasive measures to enforce compliance within their jurisdiction. The choice of such measures shall remain at the discretion of the Member States. The Member States shall also seek to coordinate their actions aimed at enforcing compliance, including preventing the Reporting Platform Operator from being able to operate within the Union as a last resort.</w:t>
            </w:r>
          </w:p>
          <w:p w14:paraId="2906846E" w14:textId="77777777" w:rsidR="006566CD" w:rsidRPr="001725D0" w:rsidRDefault="006566CD" w:rsidP="006566CD">
            <w:pPr>
              <w:jc w:val="both"/>
              <w:rPr>
                <w:rFonts w:ascii="Times New Roman" w:eastAsia="Calibri" w:hAnsi="Times New Roman" w:cs="Times New Roman"/>
                <w:iCs/>
                <w:sz w:val="18"/>
                <w:szCs w:val="18"/>
                <w:lang w:val="en-US"/>
              </w:rPr>
            </w:pPr>
          </w:p>
          <w:p w14:paraId="616BDC4F" w14:textId="7A1330C5" w:rsidR="006566CD" w:rsidRPr="001725D0" w:rsidRDefault="006566CD" w:rsidP="006566CD">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7. When a Reporting Platform Operator does not fulfil the obligation to report in accordance with subparagraph A(3) of Section III of this Annex after two notifications for single registration from the Member State, the Member State, without prejudice to Article 25a, must take the necessary measures to revoke the registration of the Reporting Platform Operator made in accordance with Article 8ac(4). The registration must be revoked no later than after the expiry of 90 days, but not before the expiry of 30 days after the second notification.</w:t>
            </w:r>
          </w:p>
        </w:tc>
        <w:tc>
          <w:tcPr>
            <w:tcW w:w="540" w:type="dxa"/>
          </w:tcPr>
          <w:p w14:paraId="01EFB951" w14:textId="77777777" w:rsidR="006566CD" w:rsidRPr="00036F88" w:rsidRDefault="006566CD" w:rsidP="003C045B">
            <w:pPr>
              <w:jc w:val="center"/>
              <w:rPr>
                <w:rFonts w:ascii="Times New Roman" w:eastAsia="Calibri" w:hAnsi="Times New Roman" w:cs="Times New Roman"/>
                <w:sz w:val="18"/>
                <w:szCs w:val="18"/>
                <w:highlight w:val="cyan"/>
              </w:rPr>
            </w:pPr>
          </w:p>
        </w:tc>
        <w:tc>
          <w:tcPr>
            <w:tcW w:w="720" w:type="dxa"/>
          </w:tcPr>
          <w:p w14:paraId="64A4FA24" w14:textId="7EB92FCE" w:rsidR="006566CD" w:rsidRPr="001725D0" w:rsidRDefault="0084600B" w:rsidP="003C045B">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Article 15</w:t>
            </w:r>
          </w:p>
        </w:tc>
        <w:tc>
          <w:tcPr>
            <w:tcW w:w="5040" w:type="dxa"/>
            <w:gridSpan w:val="2"/>
          </w:tcPr>
          <w:p w14:paraId="3136ACB9" w14:textId="1F6D2FCA" w:rsidR="0084600B" w:rsidRPr="0084600B" w:rsidRDefault="0084600B" w:rsidP="0084600B">
            <w:pPr>
              <w:rPr>
                <w:rFonts w:ascii="Times New Roman" w:hAnsi="Times New Roman" w:cs="Times New Roman"/>
                <w:sz w:val="20"/>
                <w:szCs w:val="18"/>
              </w:rPr>
            </w:pPr>
          </w:p>
          <w:p w14:paraId="1E33A8D1" w14:textId="77777777" w:rsidR="0084600B" w:rsidRPr="0084600B" w:rsidRDefault="0084600B" w:rsidP="0084600B">
            <w:pPr>
              <w:spacing w:line="276" w:lineRule="auto"/>
              <w:jc w:val="center"/>
              <w:rPr>
                <w:rFonts w:ascii="Times New Roman" w:hAnsi="Times New Roman" w:cs="Times New Roman"/>
                <w:b/>
                <w:sz w:val="18"/>
                <w:szCs w:val="18"/>
              </w:rPr>
            </w:pPr>
            <w:r>
              <w:rPr>
                <w:rFonts w:ascii="Times New Roman" w:hAnsi="Times New Roman" w:cs="Times New Roman"/>
                <w:b/>
                <w:sz w:val="18"/>
                <w:szCs w:val="18"/>
              </w:rPr>
              <w:t>Article 15</w:t>
            </w:r>
          </w:p>
          <w:p w14:paraId="2580D691" w14:textId="0F7E012E" w:rsidR="0084600B" w:rsidRDefault="0061567F" w:rsidP="0084600B">
            <w:pPr>
              <w:spacing w:line="276" w:lineRule="auto"/>
              <w:jc w:val="center"/>
              <w:rPr>
                <w:rFonts w:ascii="Times New Roman" w:hAnsi="Times New Roman" w:cs="Times New Roman"/>
                <w:b/>
                <w:sz w:val="18"/>
                <w:szCs w:val="18"/>
              </w:rPr>
            </w:pPr>
            <w:r w:rsidRPr="0061567F">
              <w:rPr>
                <w:rFonts w:ascii="Times New Roman" w:hAnsi="Times New Roman" w:cs="Times New Roman"/>
                <w:b/>
                <w:sz w:val="18"/>
                <w:szCs w:val="18"/>
              </w:rPr>
              <w:t>Reporting Platform Operator Registration</w:t>
            </w:r>
          </w:p>
          <w:p w14:paraId="6FFFF4F6" w14:textId="77777777" w:rsidR="0061567F" w:rsidRPr="0084600B" w:rsidRDefault="0061567F" w:rsidP="0084600B">
            <w:pPr>
              <w:spacing w:line="276" w:lineRule="auto"/>
              <w:jc w:val="center"/>
              <w:rPr>
                <w:rFonts w:ascii="Times New Roman" w:hAnsi="Times New Roman" w:cs="Times New Roman"/>
                <w:b/>
                <w:sz w:val="18"/>
                <w:szCs w:val="18"/>
              </w:rPr>
            </w:pPr>
          </w:p>
          <w:p w14:paraId="7EE909C1" w14:textId="77777777"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1.</w:t>
            </w:r>
            <w:r w:rsidRPr="0061567F">
              <w:rPr>
                <w:rFonts w:ascii="Times New Roman" w:hAnsi="Times New Roman" w:cs="Times New Roman"/>
                <w:sz w:val="18"/>
                <w:szCs w:val="18"/>
              </w:rPr>
              <w:tab/>
              <w:t>A Reporting Platform Operator shall be required to register with the Competent Authority prior to submitting its first report under this Law where the Reportable Sellers carrying out Relevant Activities:</w:t>
            </w:r>
          </w:p>
          <w:p w14:paraId="4D282CAB" w14:textId="77777777"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 xml:space="preserve">a) have a domicile or tax residence in Albania; or </w:t>
            </w:r>
          </w:p>
          <w:p w14:paraId="19468A32" w14:textId="77777777"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b) realize income from the rental of real estate located in Albania.</w:t>
            </w:r>
          </w:p>
          <w:p w14:paraId="42304D1F" w14:textId="77777777"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2.</w:t>
            </w:r>
            <w:r w:rsidRPr="0061567F">
              <w:rPr>
                <w:rFonts w:ascii="Times New Roman" w:hAnsi="Times New Roman" w:cs="Times New Roman"/>
                <w:sz w:val="18"/>
                <w:szCs w:val="18"/>
              </w:rPr>
              <w:tab/>
              <w:t>The operators of the reporting platform are registered with the General Directorate of Taxation, submitting at least the following data:</w:t>
            </w:r>
          </w:p>
          <w:p w14:paraId="520B7780" w14:textId="77777777"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 Name and address of the registered office;</w:t>
            </w:r>
          </w:p>
          <w:p w14:paraId="1CF45027" w14:textId="77777777"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 Contact email address;</w:t>
            </w:r>
          </w:p>
          <w:p w14:paraId="63B3BC29" w14:textId="77777777"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 Tax Identification Number (TIN) for the taxable person, when applicable;</w:t>
            </w:r>
          </w:p>
          <w:p w14:paraId="0146627D" w14:textId="77777777"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 details of the VAT identification number, when applicable;</w:t>
            </w:r>
          </w:p>
          <w:p w14:paraId="043D16FA" w14:textId="77777777"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 the State or Member States of residence or registration of the platform operator.</w:t>
            </w:r>
          </w:p>
          <w:p w14:paraId="36A725D3" w14:textId="77777777"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3.</w:t>
            </w:r>
            <w:r w:rsidRPr="0061567F">
              <w:rPr>
                <w:rFonts w:ascii="Times New Roman" w:hAnsi="Times New Roman" w:cs="Times New Roman"/>
                <w:sz w:val="18"/>
                <w:szCs w:val="18"/>
              </w:rPr>
              <w:tab/>
              <w:t>Any change in the registration information shall be notified to the General Directorate of Taxation without unjustified delay and no later than 30 days from the date of the change.</w:t>
            </w:r>
          </w:p>
          <w:p w14:paraId="4562ED0C" w14:textId="77777777" w:rsidR="0061567F" w:rsidRPr="0061567F" w:rsidRDefault="0061567F" w:rsidP="0061567F">
            <w:pPr>
              <w:spacing w:line="276" w:lineRule="auto"/>
              <w:jc w:val="both"/>
              <w:rPr>
                <w:rFonts w:ascii="Times New Roman" w:hAnsi="Times New Roman" w:cs="Times New Roman"/>
                <w:sz w:val="18"/>
                <w:szCs w:val="18"/>
              </w:rPr>
            </w:pPr>
          </w:p>
          <w:p w14:paraId="710F0BF3" w14:textId="0C1E8528"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4.</w:t>
            </w:r>
            <w:r w:rsidRPr="0061567F">
              <w:rPr>
                <w:rFonts w:ascii="Times New Roman" w:hAnsi="Times New Roman" w:cs="Times New Roman"/>
                <w:sz w:val="18"/>
                <w:szCs w:val="18"/>
              </w:rPr>
              <w:tab/>
              <w:t xml:space="preserve">After the completion of the registration procedure, the General Directorate of Taxation shall issue a unique identification number to Non-EU Reporting Platform Operators that are required to register in the Republic of Albania. This number shall be used for reporting and exchange of information purposes and shall be communicated in accordance with the Law on Administrative Cooperation in the Field of Taxation and the Exchange of Tax Information. </w:t>
            </w:r>
          </w:p>
          <w:p w14:paraId="694A58D8" w14:textId="77777777"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5.</w:t>
            </w:r>
            <w:r w:rsidRPr="0061567F">
              <w:rPr>
                <w:rFonts w:ascii="Times New Roman" w:hAnsi="Times New Roman" w:cs="Times New Roman"/>
                <w:sz w:val="18"/>
                <w:szCs w:val="18"/>
              </w:rPr>
              <w:tab/>
              <w:t xml:space="preserve">Non-EU Reporting Platform Operators that are not Non-EU Qualified Platform Operator and that do not qualify as Excluded </w:t>
            </w:r>
            <w:r w:rsidRPr="0061567F">
              <w:rPr>
                <w:rFonts w:ascii="Times New Roman" w:hAnsi="Times New Roman" w:cs="Times New Roman"/>
                <w:sz w:val="18"/>
                <w:szCs w:val="18"/>
              </w:rPr>
              <w:lastRenderedPageBreak/>
              <w:t>Platform Operators shall register in only one jurisdiction (single registration), in accordance with the applicable rules. Where they choose the Republic of Albania as their jurisdiction of registration, they shall register with the General Directorate of Taxation.</w:t>
            </w:r>
          </w:p>
          <w:p w14:paraId="4D833FE1" w14:textId="07D11901"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6.</w:t>
            </w:r>
            <w:r w:rsidRPr="0061567F">
              <w:rPr>
                <w:rFonts w:ascii="Times New Roman" w:hAnsi="Times New Roman" w:cs="Times New Roman"/>
                <w:sz w:val="18"/>
                <w:szCs w:val="18"/>
              </w:rPr>
              <w:tab/>
              <w:t>Non-EU Qualified Platform Operator shall not be subject to the registration obligation under this Law where a Qualifying Competent Authority Agreement is in effect.</w:t>
            </w:r>
          </w:p>
          <w:p w14:paraId="3F367567" w14:textId="77777777"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7.</w:t>
            </w:r>
            <w:r w:rsidRPr="0061567F">
              <w:rPr>
                <w:rFonts w:ascii="Times New Roman" w:hAnsi="Times New Roman" w:cs="Times New Roman"/>
                <w:sz w:val="18"/>
                <w:szCs w:val="18"/>
              </w:rPr>
              <w:tab/>
              <w:t>Reporting Platform Operators that are resident in a Member State or in the Republic of Albania shall fulfil their reporting obligations in the State of residence or in a single jurisdiction of their choice where they have reporting obligations in more than one jurisdiction, in accordance with the applicable rules. The procedure for notifying such choice shall be prescribed in the subordinate legislation implementing this Law.</w:t>
            </w:r>
          </w:p>
          <w:p w14:paraId="2742C204" w14:textId="77777777"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8.</w:t>
            </w:r>
            <w:r w:rsidRPr="0061567F">
              <w:rPr>
                <w:rFonts w:ascii="Times New Roman" w:hAnsi="Times New Roman" w:cs="Times New Roman"/>
                <w:sz w:val="18"/>
                <w:szCs w:val="18"/>
              </w:rPr>
              <w:tab/>
              <w:t>The General Directorate of Taxes may remove the Platform Operator from the register in the cases expressly provided for by this law, including:</w:t>
            </w:r>
          </w:p>
          <w:p w14:paraId="4719E5E0" w14:textId="77777777"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 xml:space="preserve">a)  the termination of the reporting activity; </w:t>
            </w:r>
          </w:p>
          <w:p w14:paraId="479494B9" w14:textId="77777777"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b)</w:t>
            </w:r>
            <w:r w:rsidRPr="0061567F">
              <w:rPr>
                <w:rFonts w:ascii="Times New Roman" w:hAnsi="Times New Roman" w:cs="Times New Roman"/>
                <w:sz w:val="18"/>
                <w:szCs w:val="18"/>
              </w:rPr>
              <w:tab/>
              <w:t xml:space="preserve">loss of the status of a Reporting Platform Operator; </w:t>
            </w:r>
          </w:p>
          <w:p w14:paraId="2A1A4896" w14:textId="77777777"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c)</w:t>
            </w:r>
            <w:r w:rsidRPr="0061567F">
              <w:rPr>
                <w:rFonts w:ascii="Times New Roman" w:hAnsi="Times New Roman" w:cs="Times New Roman"/>
                <w:sz w:val="18"/>
                <w:szCs w:val="18"/>
              </w:rPr>
              <w:tab/>
              <w:t>non-compliance with the obligations of this Law, according to the procedures set out in the bylaws implementing it.</w:t>
            </w:r>
          </w:p>
          <w:p w14:paraId="4D5F71FE" w14:textId="77777777"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9.</w:t>
            </w:r>
            <w:r w:rsidRPr="0061567F">
              <w:rPr>
                <w:rFonts w:ascii="Times New Roman" w:hAnsi="Times New Roman" w:cs="Times New Roman"/>
                <w:sz w:val="18"/>
                <w:szCs w:val="18"/>
              </w:rPr>
              <w:tab/>
              <w:t xml:space="preserve">The removal from the register of a Non-EU Reporting Platform Operator that is not a Qualified Non-EU Platform Operator shall not exempt it from the obligation to fulfil its reporting obligations for the periods during which it was registered. </w:t>
            </w:r>
          </w:p>
          <w:p w14:paraId="61A4EC65" w14:textId="77777777"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10.</w:t>
            </w:r>
            <w:r w:rsidRPr="0061567F">
              <w:rPr>
                <w:rFonts w:ascii="Times New Roman" w:hAnsi="Times New Roman" w:cs="Times New Roman"/>
                <w:sz w:val="18"/>
                <w:szCs w:val="18"/>
              </w:rPr>
              <w:tab/>
              <w:t>In case of deregistration of the Reporting Platform Operator, the General Directorate of Taxation shall inform the European Commission and the competent authorities of the relevant Member States, in accordance with the Law on Administrative Cooperation in the Field of Taxation and the Exchange of Tax Information.</w:t>
            </w:r>
          </w:p>
          <w:p w14:paraId="0F0DD7B4" w14:textId="77777777"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11.</w:t>
            </w:r>
            <w:r w:rsidRPr="0061567F">
              <w:rPr>
                <w:rFonts w:ascii="Times New Roman" w:hAnsi="Times New Roman" w:cs="Times New Roman"/>
                <w:sz w:val="18"/>
                <w:szCs w:val="18"/>
              </w:rPr>
              <w:tab/>
              <w:t xml:space="preserve">The warning procedures, administrative measures and consequences of non-compliance of communication and reporting </w:t>
            </w:r>
            <w:r w:rsidRPr="0061567F">
              <w:rPr>
                <w:rFonts w:ascii="Times New Roman" w:hAnsi="Times New Roman" w:cs="Times New Roman"/>
                <w:sz w:val="18"/>
                <w:szCs w:val="18"/>
              </w:rPr>
              <w:lastRenderedPageBreak/>
              <w:t>obligations are regulated in the relevant article of this Law and in the bylaws implementing it.</w:t>
            </w:r>
          </w:p>
          <w:p w14:paraId="2118D548" w14:textId="77777777"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12.</w:t>
            </w:r>
            <w:r w:rsidRPr="0061567F">
              <w:rPr>
                <w:rFonts w:ascii="Times New Roman" w:hAnsi="Times New Roman" w:cs="Times New Roman"/>
                <w:sz w:val="18"/>
                <w:szCs w:val="18"/>
              </w:rPr>
              <w:tab/>
              <w:t>Reporting Platform Operators can request a new registration with the General Directorate of Taxation, in accordance with the conditions and procedures set out in the bylaws, after having fulfilled the previously unfulfilled obligations.</w:t>
            </w:r>
          </w:p>
          <w:p w14:paraId="50BAEA2C" w14:textId="77777777" w:rsidR="0061567F" w:rsidRPr="0061567F"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13.</w:t>
            </w:r>
            <w:r w:rsidRPr="0061567F">
              <w:rPr>
                <w:rFonts w:ascii="Times New Roman" w:hAnsi="Times New Roman" w:cs="Times New Roman"/>
                <w:sz w:val="18"/>
                <w:szCs w:val="18"/>
              </w:rPr>
              <w:tab/>
              <w:t>The General Directorate of Taxation receives information on the measures of suspension or deregistration of Platform Operators from the competent authorities of other Member States through the information exchange mechanisms provided for by the Law on Administrative Cooperation in the Field of Taxation and the Exchange of Tax Information.</w:t>
            </w:r>
          </w:p>
          <w:p w14:paraId="7104908B" w14:textId="2DB66A9C" w:rsidR="0084600B" w:rsidRPr="0084600B" w:rsidRDefault="0061567F" w:rsidP="0061567F">
            <w:pPr>
              <w:spacing w:line="276" w:lineRule="auto"/>
              <w:jc w:val="both"/>
              <w:rPr>
                <w:rFonts w:ascii="Times New Roman" w:hAnsi="Times New Roman" w:cs="Times New Roman"/>
                <w:sz w:val="18"/>
                <w:szCs w:val="18"/>
              </w:rPr>
            </w:pPr>
            <w:r w:rsidRPr="0061567F">
              <w:rPr>
                <w:rFonts w:ascii="Times New Roman" w:hAnsi="Times New Roman" w:cs="Times New Roman"/>
                <w:sz w:val="18"/>
                <w:szCs w:val="18"/>
              </w:rPr>
              <w:t>14.</w:t>
            </w:r>
            <w:r w:rsidRPr="0061567F">
              <w:rPr>
                <w:rFonts w:ascii="Times New Roman" w:hAnsi="Times New Roman" w:cs="Times New Roman"/>
                <w:sz w:val="18"/>
                <w:szCs w:val="18"/>
              </w:rPr>
              <w:tab/>
              <w:t>The General Directorate of Taxation shall register Reporting Platform Operators in the national register and shall transmit the relevant information to the European Commission’s central register of Platform Operators, in accordance with the Law on Administrative Cooperation in the Field of Taxation and the Exchange of Tax Information.</w:t>
            </w:r>
            <w:r>
              <w:rPr>
                <w:rFonts w:ascii="Times New Roman" w:hAnsi="Times New Roman" w:cs="Times New Roman"/>
                <w:sz w:val="18"/>
                <w:szCs w:val="18"/>
              </w:rPr>
              <w:t xml:space="preserve"> </w:t>
            </w:r>
          </w:p>
          <w:p w14:paraId="281D2D3F" w14:textId="6FDD272E" w:rsidR="006566CD" w:rsidRDefault="0061567F" w:rsidP="0061567F">
            <w:p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84600B">
              <w:rPr>
                <w:rFonts w:ascii="Times New Roman" w:hAnsi="Times New Roman" w:cs="Times New Roman"/>
                <w:sz w:val="18"/>
                <w:szCs w:val="18"/>
              </w:rPr>
              <w:t xml:space="preserve"> </w:t>
            </w:r>
            <w:r>
              <w:rPr>
                <w:rFonts w:ascii="Times New Roman" w:hAnsi="Times New Roman" w:cs="Times New Roman"/>
                <w:sz w:val="18"/>
                <w:szCs w:val="18"/>
              </w:rPr>
              <w:t xml:space="preserve"> </w:t>
            </w:r>
          </w:p>
        </w:tc>
        <w:tc>
          <w:tcPr>
            <w:tcW w:w="720" w:type="dxa"/>
            <w:gridSpan w:val="2"/>
          </w:tcPr>
          <w:p w14:paraId="025D7F2A" w14:textId="5C2DDDD9" w:rsidR="006566CD" w:rsidRDefault="00986E09"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F</w:t>
            </w:r>
          </w:p>
        </w:tc>
        <w:tc>
          <w:tcPr>
            <w:tcW w:w="3240" w:type="dxa"/>
            <w:gridSpan w:val="2"/>
          </w:tcPr>
          <w:p w14:paraId="57E4275A" w14:textId="77777777" w:rsidR="006566CD" w:rsidRPr="006566CD" w:rsidRDefault="006566CD" w:rsidP="006566CD">
            <w:pPr>
              <w:rPr>
                <w:rFonts w:ascii="Times New Roman" w:eastAsia="Calibri" w:hAnsi="Times New Roman" w:cs="Times New Roman"/>
                <w:sz w:val="18"/>
                <w:szCs w:val="18"/>
              </w:rPr>
            </w:pPr>
          </w:p>
        </w:tc>
      </w:tr>
      <w:tr w:rsidR="001725D0" w:rsidRPr="00036F88" w14:paraId="06830AD5" w14:textId="77777777" w:rsidTr="00D50C43">
        <w:trPr>
          <w:gridAfter w:val="1"/>
          <w:wAfter w:w="353" w:type="dxa"/>
          <w:trHeight w:val="2204"/>
        </w:trPr>
        <w:tc>
          <w:tcPr>
            <w:tcW w:w="630" w:type="dxa"/>
          </w:tcPr>
          <w:p w14:paraId="56382D25" w14:textId="77777777" w:rsidR="001725D0" w:rsidRPr="00036F88" w:rsidRDefault="001725D0" w:rsidP="001725D0">
            <w:pPr>
              <w:jc w:val="both"/>
              <w:rPr>
                <w:rFonts w:ascii="Times New Roman" w:eastAsia="Calibri" w:hAnsi="Times New Roman" w:cs="Times New Roman"/>
                <w:sz w:val="18"/>
                <w:szCs w:val="18"/>
              </w:rPr>
            </w:pPr>
          </w:p>
        </w:tc>
        <w:tc>
          <w:tcPr>
            <w:tcW w:w="5400" w:type="dxa"/>
          </w:tcPr>
          <w:p w14:paraId="786ACF01" w14:textId="77777777" w:rsidR="001725D0" w:rsidRPr="001725D0" w:rsidRDefault="001725D0" w:rsidP="001725D0">
            <w:pPr>
              <w:jc w:val="both"/>
              <w:rPr>
                <w:rFonts w:ascii="Times New Roman" w:eastAsia="Calibri" w:hAnsi="Times New Roman" w:cs="Times New Roman"/>
                <w:b/>
                <w:iCs/>
                <w:sz w:val="18"/>
                <w:szCs w:val="18"/>
                <w:lang w:val="en-US"/>
              </w:rPr>
            </w:pPr>
            <w:r>
              <w:rPr>
                <w:rFonts w:ascii="Times New Roman" w:eastAsia="Calibri" w:hAnsi="Times New Roman" w:cs="Times New Roman"/>
                <w:b/>
                <w:iCs/>
                <w:sz w:val="18"/>
                <w:szCs w:val="18"/>
                <w:lang w:val="en-US"/>
              </w:rPr>
              <w:t>Article 2 (Directive 2021/514/EU)</w:t>
            </w:r>
          </w:p>
          <w:p w14:paraId="34944855" w14:textId="77777777" w:rsidR="001725D0" w:rsidRPr="001725D0" w:rsidRDefault="001725D0" w:rsidP="001725D0">
            <w:pPr>
              <w:jc w:val="both"/>
              <w:rPr>
                <w:rFonts w:ascii="Times New Roman" w:eastAsia="Calibri" w:hAnsi="Times New Roman" w:cs="Times New Roman"/>
                <w:iCs/>
                <w:sz w:val="18"/>
                <w:szCs w:val="18"/>
                <w:lang w:val="en-US"/>
              </w:rPr>
            </w:pPr>
          </w:p>
          <w:p w14:paraId="37A7BF2B" w14:textId="77777777" w:rsidR="001725D0" w:rsidRPr="001725D0" w:rsidRDefault="001725D0" w:rsidP="001725D0">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1. Member States shall adopt and publish, by 31 December 2022, the laws, regulations and administrative provisions necessary to comply with this Directive. They shall immediately inform the Commission thereof.</w:t>
            </w:r>
          </w:p>
          <w:p w14:paraId="395DA9BE" w14:textId="77777777" w:rsidR="001725D0" w:rsidRPr="001725D0" w:rsidRDefault="001725D0" w:rsidP="001725D0">
            <w:pPr>
              <w:jc w:val="both"/>
              <w:rPr>
                <w:rFonts w:ascii="Times New Roman" w:eastAsia="Calibri" w:hAnsi="Times New Roman" w:cs="Times New Roman"/>
                <w:iCs/>
                <w:sz w:val="18"/>
                <w:szCs w:val="18"/>
                <w:lang w:val="en-US"/>
              </w:rPr>
            </w:pPr>
          </w:p>
          <w:p w14:paraId="59459EAF" w14:textId="77777777" w:rsidR="001725D0" w:rsidRPr="001725D0" w:rsidRDefault="001725D0" w:rsidP="001725D0">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They shall apply these provisions from 1 January 2023.</w:t>
            </w:r>
          </w:p>
          <w:p w14:paraId="5EE59669" w14:textId="77777777" w:rsidR="001725D0" w:rsidRPr="001725D0" w:rsidRDefault="001725D0" w:rsidP="001725D0">
            <w:pPr>
              <w:jc w:val="both"/>
              <w:rPr>
                <w:rFonts w:ascii="Times New Roman" w:eastAsia="Calibri" w:hAnsi="Times New Roman" w:cs="Times New Roman"/>
                <w:iCs/>
                <w:sz w:val="18"/>
                <w:szCs w:val="18"/>
                <w:lang w:val="en-US"/>
              </w:rPr>
            </w:pPr>
          </w:p>
          <w:p w14:paraId="28C81722" w14:textId="77777777" w:rsidR="001725D0" w:rsidRPr="001725D0" w:rsidRDefault="001725D0" w:rsidP="001725D0">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When the Member States adopt these provisions, they shall contain a reference to this Directive or shall be accompanied by such a reference on the occasion of their official publication. The methods of making such a reference shall be determined by the Member States.</w:t>
            </w:r>
          </w:p>
          <w:p w14:paraId="1F2C36CA" w14:textId="77777777" w:rsidR="001725D0" w:rsidRPr="001725D0" w:rsidRDefault="001725D0" w:rsidP="001725D0">
            <w:pPr>
              <w:jc w:val="both"/>
              <w:rPr>
                <w:rFonts w:ascii="Times New Roman" w:eastAsia="Calibri" w:hAnsi="Times New Roman" w:cs="Times New Roman"/>
                <w:iCs/>
                <w:sz w:val="18"/>
                <w:szCs w:val="18"/>
                <w:lang w:val="en-US"/>
              </w:rPr>
            </w:pPr>
          </w:p>
          <w:p w14:paraId="7E3EA923" w14:textId="77777777" w:rsidR="001725D0" w:rsidRPr="001725D0" w:rsidRDefault="001725D0" w:rsidP="001725D0">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 xml:space="preserve">2. Notwithstanding paragraph 1 of this Article, the Member States shall adopt and publish, by 31 December 2023, the laws, regulations and administrative provisions necessary to comply with point (1)(d) of Article 1 of this Directive in relation to point (26) of Article 3 of </w:t>
            </w:r>
            <w:r>
              <w:rPr>
                <w:rFonts w:ascii="Times New Roman" w:eastAsia="Calibri" w:hAnsi="Times New Roman" w:cs="Times New Roman"/>
                <w:iCs/>
                <w:sz w:val="18"/>
                <w:szCs w:val="18"/>
                <w:lang w:val="en-US"/>
              </w:rPr>
              <w:lastRenderedPageBreak/>
              <w:t>Directive 2011/16/EU and with point (12) of Article 1 of this Directive in relation to Section IIa of Directive 2011/16/EU. They shall immediately inform the Commission thereof.</w:t>
            </w:r>
          </w:p>
          <w:p w14:paraId="44EBA80A" w14:textId="77777777" w:rsidR="001725D0" w:rsidRPr="001725D0" w:rsidRDefault="001725D0" w:rsidP="001725D0">
            <w:pPr>
              <w:jc w:val="both"/>
              <w:rPr>
                <w:rFonts w:ascii="Times New Roman" w:eastAsia="Calibri" w:hAnsi="Times New Roman" w:cs="Times New Roman"/>
                <w:iCs/>
                <w:sz w:val="18"/>
                <w:szCs w:val="18"/>
                <w:lang w:val="en-US"/>
              </w:rPr>
            </w:pPr>
          </w:p>
          <w:p w14:paraId="1F9A5915" w14:textId="77777777" w:rsidR="001725D0" w:rsidRPr="001725D0" w:rsidRDefault="001725D0" w:rsidP="001725D0">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They shall apply these provisions from 1 January 2024, at the latest.</w:t>
            </w:r>
          </w:p>
          <w:p w14:paraId="7F583F1C" w14:textId="77777777" w:rsidR="001725D0" w:rsidRPr="001725D0" w:rsidRDefault="001725D0" w:rsidP="001725D0">
            <w:pPr>
              <w:jc w:val="both"/>
              <w:rPr>
                <w:rFonts w:ascii="Times New Roman" w:eastAsia="Calibri" w:hAnsi="Times New Roman" w:cs="Times New Roman"/>
                <w:iCs/>
                <w:sz w:val="18"/>
                <w:szCs w:val="18"/>
                <w:lang w:val="en-US"/>
              </w:rPr>
            </w:pPr>
          </w:p>
          <w:p w14:paraId="777A161F" w14:textId="77777777" w:rsidR="001725D0" w:rsidRPr="001725D0" w:rsidRDefault="001725D0" w:rsidP="001725D0">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When the Member States adopt these provisions, they shall contain a reference to this Directive or shall be accompanied by such a reference in the case of their official publication. The methods of making such a reference shall be laid down by the Member States.</w:t>
            </w:r>
          </w:p>
          <w:p w14:paraId="21AF9455" w14:textId="77777777" w:rsidR="001725D0" w:rsidRPr="001725D0" w:rsidRDefault="001725D0" w:rsidP="001725D0">
            <w:pPr>
              <w:jc w:val="both"/>
              <w:rPr>
                <w:rFonts w:ascii="Times New Roman" w:eastAsia="Calibri" w:hAnsi="Times New Roman" w:cs="Times New Roman"/>
                <w:iCs/>
                <w:sz w:val="18"/>
                <w:szCs w:val="18"/>
                <w:lang w:val="en-US"/>
              </w:rPr>
            </w:pPr>
          </w:p>
          <w:p w14:paraId="4428CC84" w14:textId="67DA3819" w:rsidR="001725D0" w:rsidRPr="001725D0" w:rsidRDefault="001725D0" w:rsidP="001725D0">
            <w:pPr>
              <w:jc w:val="both"/>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3. The Member States shall communicate to the Commission the text of the main provisions of national law which they adopt in the field covered by this Directive.</w:t>
            </w:r>
          </w:p>
        </w:tc>
        <w:tc>
          <w:tcPr>
            <w:tcW w:w="540" w:type="dxa"/>
          </w:tcPr>
          <w:p w14:paraId="6C3AC941" w14:textId="77777777" w:rsidR="001725D0" w:rsidRPr="00036F88" w:rsidRDefault="001725D0" w:rsidP="001725D0">
            <w:pPr>
              <w:jc w:val="center"/>
              <w:rPr>
                <w:rFonts w:ascii="Times New Roman" w:eastAsia="Calibri" w:hAnsi="Times New Roman" w:cs="Times New Roman"/>
                <w:sz w:val="18"/>
                <w:szCs w:val="18"/>
                <w:highlight w:val="cyan"/>
              </w:rPr>
            </w:pPr>
          </w:p>
        </w:tc>
        <w:tc>
          <w:tcPr>
            <w:tcW w:w="720" w:type="dxa"/>
          </w:tcPr>
          <w:p w14:paraId="787F9301" w14:textId="77777777" w:rsidR="001725D0" w:rsidRDefault="001725D0" w:rsidP="001725D0">
            <w:pPr>
              <w:jc w:val="center"/>
              <w:rPr>
                <w:rFonts w:ascii="Times New Roman" w:eastAsia="Calibri" w:hAnsi="Times New Roman" w:cs="Times New Roman"/>
                <w:sz w:val="18"/>
                <w:szCs w:val="18"/>
                <w:highlight w:val="cyan"/>
                <w:lang w:val="en-US"/>
              </w:rPr>
            </w:pPr>
          </w:p>
          <w:p w14:paraId="59533B76" w14:textId="77777777" w:rsidR="00060D2B" w:rsidRDefault="00060D2B" w:rsidP="001725D0">
            <w:pPr>
              <w:jc w:val="center"/>
              <w:rPr>
                <w:rFonts w:ascii="Times New Roman" w:eastAsia="Calibri" w:hAnsi="Times New Roman" w:cs="Times New Roman"/>
                <w:sz w:val="18"/>
                <w:szCs w:val="18"/>
                <w:highlight w:val="cyan"/>
                <w:lang w:val="en-US"/>
              </w:rPr>
            </w:pPr>
          </w:p>
          <w:p w14:paraId="2647B2A2" w14:textId="31A20BF3" w:rsidR="00060D2B" w:rsidRPr="001725D0" w:rsidRDefault="0084600B" w:rsidP="001725D0">
            <w:pPr>
              <w:jc w:val="center"/>
              <w:rPr>
                <w:rFonts w:ascii="Times New Roman" w:eastAsia="Calibri" w:hAnsi="Times New Roman" w:cs="Times New Roman"/>
                <w:sz w:val="18"/>
                <w:szCs w:val="18"/>
                <w:highlight w:val="cyan"/>
                <w:lang w:val="en-US"/>
              </w:rPr>
            </w:pPr>
            <w:r>
              <w:rPr>
                <w:rFonts w:ascii="Times New Roman" w:eastAsia="Calibri" w:hAnsi="Times New Roman" w:cs="Times New Roman"/>
                <w:sz w:val="18"/>
                <w:szCs w:val="18"/>
              </w:rPr>
              <w:t xml:space="preserve">Article  18 and article 19 </w:t>
            </w:r>
          </w:p>
        </w:tc>
        <w:tc>
          <w:tcPr>
            <w:tcW w:w="5040" w:type="dxa"/>
            <w:gridSpan w:val="2"/>
          </w:tcPr>
          <w:p w14:paraId="61358C83" w14:textId="77777777" w:rsidR="0084600B" w:rsidRPr="0084600B" w:rsidRDefault="0084600B" w:rsidP="0084600B">
            <w:pPr>
              <w:spacing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Article 18</w:t>
            </w:r>
          </w:p>
          <w:p w14:paraId="5E5C78FF" w14:textId="721C8D83" w:rsidR="0084600B" w:rsidRPr="0084600B" w:rsidRDefault="005E013B" w:rsidP="0084600B">
            <w:pPr>
              <w:spacing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B</w:t>
            </w:r>
            <w:r w:rsidR="0084600B">
              <w:rPr>
                <w:rFonts w:ascii="Times New Roman" w:eastAsia="Times New Roman" w:hAnsi="Times New Roman" w:cs="Times New Roman"/>
                <w:b/>
                <w:sz w:val="18"/>
                <w:szCs w:val="18"/>
              </w:rPr>
              <w:t>ylaws and implementing rules</w:t>
            </w:r>
          </w:p>
          <w:p w14:paraId="1C9AAEB3" w14:textId="77777777" w:rsidR="0084600B" w:rsidRPr="0084600B" w:rsidRDefault="0084600B" w:rsidP="0084600B">
            <w:pPr>
              <w:spacing w:line="276" w:lineRule="auto"/>
              <w:jc w:val="both"/>
              <w:rPr>
                <w:rFonts w:ascii="Times New Roman" w:eastAsia="Times New Roman" w:hAnsi="Times New Roman" w:cs="Times New Roman"/>
                <w:sz w:val="18"/>
                <w:szCs w:val="18"/>
              </w:rPr>
            </w:pPr>
          </w:p>
          <w:p w14:paraId="5CAC53B4" w14:textId="39CF2F16" w:rsidR="001725D0" w:rsidRPr="005E013B" w:rsidRDefault="0084600B" w:rsidP="005E013B">
            <w:pPr>
              <w:spacing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61567F" w:rsidRPr="0061567F">
              <w:rPr>
                <w:rFonts w:ascii="Times New Roman" w:eastAsia="Times New Roman" w:hAnsi="Times New Roman" w:cs="Times New Roman"/>
                <w:sz w:val="18"/>
                <w:szCs w:val="18"/>
              </w:rPr>
              <w:t>The Council of Ministers is tasked with issuing the by-law in implementation of this law within 6 months from its entry into force.</w:t>
            </w:r>
          </w:p>
          <w:p w14:paraId="0843D8CA" w14:textId="77777777" w:rsidR="0084600B" w:rsidRPr="0084600B" w:rsidRDefault="0084600B" w:rsidP="001725D0">
            <w:pPr>
              <w:jc w:val="center"/>
              <w:rPr>
                <w:rFonts w:ascii="Times New Roman" w:hAnsi="Times New Roman" w:cs="Times New Roman"/>
                <w:b/>
                <w:sz w:val="18"/>
                <w:szCs w:val="18"/>
              </w:rPr>
            </w:pPr>
          </w:p>
          <w:p w14:paraId="0EC9426E" w14:textId="77777777" w:rsidR="00AA253C" w:rsidRPr="00AA253C" w:rsidRDefault="00AA253C" w:rsidP="00AA253C">
            <w:pPr>
              <w:spacing w:line="276" w:lineRule="auto"/>
              <w:ind w:left="166"/>
              <w:jc w:val="center"/>
              <w:rPr>
                <w:rFonts w:ascii="Times New Roman" w:hAnsi="Times New Roman" w:cs="Times New Roman"/>
                <w:b/>
                <w:sz w:val="18"/>
                <w:szCs w:val="18"/>
              </w:rPr>
            </w:pPr>
            <w:r w:rsidRPr="00AA253C">
              <w:rPr>
                <w:rFonts w:ascii="Times New Roman" w:hAnsi="Times New Roman" w:cs="Times New Roman"/>
                <w:b/>
                <w:sz w:val="18"/>
                <w:szCs w:val="18"/>
              </w:rPr>
              <w:t>Article 19</w:t>
            </w:r>
          </w:p>
          <w:p w14:paraId="5A062F94" w14:textId="77777777" w:rsidR="00AA253C" w:rsidRPr="00AA253C" w:rsidRDefault="00AA253C" w:rsidP="00AA253C">
            <w:pPr>
              <w:spacing w:line="276" w:lineRule="auto"/>
              <w:ind w:left="166"/>
              <w:jc w:val="center"/>
              <w:rPr>
                <w:rFonts w:ascii="Times New Roman" w:hAnsi="Times New Roman" w:cs="Times New Roman"/>
                <w:b/>
                <w:sz w:val="18"/>
                <w:szCs w:val="18"/>
              </w:rPr>
            </w:pPr>
            <w:r w:rsidRPr="00AA253C">
              <w:rPr>
                <w:rFonts w:ascii="Times New Roman" w:hAnsi="Times New Roman" w:cs="Times New Roman"/>
                <w:b/>
                <w:sz w:val="18"/>
                <w:szCs w:val="18"/>
              </w:rPr>
              <w:t>Entered into force</w:t>
            </w:r>
          </w:p>
          <w:p w14:paraId="3A5C34C1" w14:textId="77777777" w:rsidR="00AA253C" w:rsidRPr="00AA253C" w:rsidRDefault="00AA253C" w:rsidP="00AA253C">
            <w:pPr>
              <w:spacing w:line="276" w:lineRule="auto"/>
              <w:ind w:left="166"/>
              <w:jc w:val="both"/>
              <w:rPr>
                <w:rFonts w:ascii="Times New Roman" w:hAnsi="Times New Roman" w:cs="Times New Roman"/>
                <w:sz w:val="18"/>
                <w:szCs w:val="18"/>
              </w:rPr>
            </w:pPr>
          </w:p>
          <w:p w14:paraId="7E60B0D8" w14:textId="77777777" w:rsidR="00AA253C" w:rsidRPr="00AA253C" w:rsidRDefault="00AA253C" w:rsidP="00AA253C">
            <w:pPr>
              <w:spacing w:line="276" w:lineRule="auto"/>
              <w:ind w:left="166"/>
              <w:jc w:val="both"/>
              <w:rPr>
                <w:rFonts w:ascii="Times New Roman" w:hAnsi="Times New Roman" w:cs="Times New Roman"/>
                <w:sz w:val="18"/>
                <w:szCs w:val="18"/>
              </w:rPr>
            </w:pPr>
            <w:r w:rsidRPr="00AA253C">
              <w:rPr>
                <w:rFonts w:ascii="Times New Roman" w:hAnsi="Times New Roman" w:cs="Times New Roman"/>
                <w:sz w:val="18"/>
                <w:szCs w:val="18"/>
              </w:rPr>
              <w:t>1.</w:t>
            </w:r>
            <w:r w:rsidRPr="00AA253C">
              <w:rPr>
                <w:rFonts w:ascii="Times New Roman" w:hAnsi="Times New Roman" w:cs="Times New Roman"/>
                <w:sz w:val="18"/>
                <w:szCs w:val="18"/>
              </w:rPr>
              <w:tab/>
              <w:t>This law enters into force 15 days after publication in the Official Gazette.</w:t>
            </w:r>
          </w:p>
          <w:p w14:paraId="279CB99C" w14:textId="7635D777" w:rsidR="0084600B" w:rsidRPr="005325EC" w:rsidRDefault="00AA253C" w:rsidP="00AA253C">
            <w:pPr>
              <w:spacing w:line="276" w:lineRule="auto"/>
              <w:ind w:left="166"/>
              <w:jc w:val="both"/>
              <w:rPr>
                <w:rFonts w:ascii="Times New Roman" w:hAnsi="Times New Roman" w:cs="Times New Roman"/>
                <w:sz w:val="18"/>
                <w:szCs w:val="18"/>
              </w:rPr>
            </w:pPr>
            <w:r w:rsidRPr="00AA253C">
              <w:rPr>
                <w:rFonts w:ascii="Times New Roman" w:hAnsi="Times New Roman" w:cs="Times New Roman"/>
                <w:sz w:val="18"/>
                <w:szCs w:val="18"/>
              </w:rPr>
              <w:t>2.</w:t>
            </w:r>
            <w:r w:rsidRPr="00AA253C">
              <w:rPr>
                <w:rFonts w:ascii="Times New Roman" w:hAnsi="Times New Roman" w:cs="Times New Roman"/>
                <w:sz w:val="18"/>
                <w:szCs w:val="18"/>
              </w:rPr>
              <w:tab/>
              <w:t>The effects of this law</w:t>
            </w:r>
            <w:r w:rsidR="00936229">
              <w:rPr>
                <w:rFonts w:ascii="Times New Roman" w:hAnsi="Times New Roman" w:cs="Times New Roman"/>
                <w:sz w:val="18"/>
                <w:szCs w:val="18"/>
              </w:rPr>
              <w:t xml:space="preserve"> begin</w:t>
            </w:r>
            <w:r w:rsidRPr="00AA253C">
              <w:rPr>
                <w:rFonts w:ascii="Times New Roman" w:hAnsi="Times New Roman" w:cs="Times New Roman"/>
                <w:sz w:val="18"/>
                <w:szCs w:val="18"/>
              </w:rPr>
              <w:t xml:space="preserve"> </w:t>
            </w:r>
            <w:r w:rsidR="00936229">
              <w:rPr>
                <w:rFonts w:ascii="Times New Roman" w:hAnsi="Times New Roman" w:cs="Times New Roman"/>
                <w:sz w:val="18"/>
                <w:szCs w:val="18"/>
              </w:rPr>
              <w:t xml:space="preserve">on </w:t>
            </w:r>
            <w:r w:rsidRPr="00AA253C">
              <w:rPr>
                <w:rFonts w:ascii="Times New Roman" w:hAnsi="Times New Roman" w:cs="Times New Roman"/>
                <w:sz w:val="18"/>
                <w:szCs w:val="18"/>
              </w:rPr>
              <w:t>January 1, 2029 and the first reportable period will be the year 2029.</w:t>
            </w:r>
          </w:p>
        </w:tc>
        <w:tc>
          <w:tcPr>
            <w:tcW w:w="720" w:type="dxa"/>
            <w:gridSpan w:val="2"/>
          </w:tcPr>
          <w:p w14:paraId="42895776" w14:textId="1DA28DD7" w:rsidR="001725D0" w:rsidRDefault="001725D0" w:rsidP="001725D0">
            <w:pPr>
              <w:jc w:val="center"/>
              <w:rPr>
                <w:rFonts w:ascii="Times New Roman" w:eastAsia="Calibri" w:hAnsi="Times New Roman" w:cs="Times New Roman"/>
                <w:sz w:val="18"/>
                <w:szCs w:val="18"/>
              </w:rPr>
            </w:pPr>
            <w:r>
              <w:rPr>
                <w:rFonts w:ascii="Times New Roman" w:hAnsi="Times New Roman" w:cs="Times New Roman"/>
                <w:b/>
                <w:sz w:val="18"/>
                <w:szCs w:val="18"/>
              </w:rPr>
              <w:t>F</w:t>
            </w:r>
          </w:p>
        </w:tc>
        <w:tc>
          <w:tcPr>
            <w:tcW w:w="3240" w:type="dxa"/>
            <w:gridSpan w:val="2"/>
          </w:tcPr>
          <w:p w14:paraId="7A8A4338" w14:textId="7F81A534" w:rsidR="003B4CA7" w:rsidRPr="003B4CA7" w:rsidRDefault="003B4CA7" w:rsidP="003B4CA7">
            <w:pPr>
              <w:rPr>
                <w:rFonts w:ascii="Times New Roman" w:eastAsia="Calibri" w:hAnsi="Times New Roman" w:cs="Times New Roman"/>
                <w:sz w:val="18"/>
                <w:szCs w:val="18"/>
              </w:rPr>
            </w:pPr>
            <w:r>
              <w:rPr>
                <w:rFonts w:ascii="Times New Roman" w:eastAsia="Calibri" w:hAnsi="Times New Roman" w:cs="Times New Roman"/>
                <w:sz w:val="18"/>
                <w:szCs w:val="18"/>
              </w:rPr>
              <w:t>Important provision only for EU Member States.</w:t>
            </w:r>
          </w:p>
          <w:p w14:paraId="2541A7C4" w14:textId="77777777" w:rsidR="003B4CA7" w:rsidRPr="003B4CA7" w:rsidRDefault="003B4CA7" w:rsidP="003B4CA7">
            <w:pPr>
              <w:rPr>
                <w:rFonts w:ascii="Times New Roman" w:eastAsia="Calibri" w:hAnsi="Times New Roman" w:cs="Times New Roman"/>
                <w:sz w:val="18"/>
                <w:szCs w:val="18"/>
              </w:rPr>
            </w:pPr>
            <w:r>
              <w:rPr>
                <w:rFonts w:ascii="Times New Roman" w:eastAsia="Calibri" w:hAnsi="Times New Roman" w:cs="Times New Roman"/>
                <w:sz w:val="18"/>
                <w:szCs w:val="18"/>
              </w:rPr>
              <w:t>Albania will adapt this law to fulfill the commitment undertaken under the Closing Benchmark of Chapter 16 “Taxation”. Within 6 months after the approval of the draft law, Albania will continue with the approval of the bylaws.</w:t>
            </w:r>
          </w:p>
          <w:p w14:paraId="62CDDDBF" w14:textId="77777777" w:rsidR="003B4CA7" w:rsidRPr="003B4CA7" w:rsidRDefault="003B4CA7" w:rsidP="003B4CA7">
            <w:pPr>
              <w:rPr>
                <w:rFonts w:ascii="Times New Roman" w:eastAsia="Calibri" w:hAnsi="Times New Roman" w:cs="Times New Roman"/>
                <w:sz w:val="18"/>
                <w:szCs w:val="18"/>
              </w:rPr>
            </w:pPr>
            <w:r>
              <w:rPr>
                <w:rFonts w:ascii="Times New Roman" w:eastAsia="Calibri" w:hAnsi="Times New Roman" w:cs="Times New Roman"/>
                <w:sz w:val="18"/>
                <w:szCs w:val="18"/>
              </w:rPr>
              <w:t>During the drafting process, the working group in the tax administration that drafted this law was assisted by foreign experts provided within the framework of the DPT–STA cooperation project; Component: Alignment with the EU acquis and Readiness for the Exchange of the Data; Subcomponent: 1a) Alignment of tax legislation.</w:t>
            </w:r>
          </w:p>
          <w:p w14:paraId="29ED0FC7" w14:textId="0EC0D689" w:rsidR="001725D0" w:rsidRPr="006566CD" w:rsidRDefault="003B4CA7" w:rsidP="003B4CA7">
            <w:pPr>
              <w:rPr>
                <w:rFonts w:ascii="Times New Roman" w:eastAsia="Calibri" w:hAnsi="Times New Roman" w:cs="Times New Roman"/>
                <w:sz w:val="18"/>
                <w:szCs w:val="18"/>
              </w:rPr>
            </w:pPr>
            <w:r>
              <w:rPr>
                <w:rFonts w:ascii="Times New Roman" w:eastAsia="Calibri" w:hAnsi="Times New Roman" w:cs="Times New Roman"/>
                <w:sz w:val="18"/>
                <w:szCs w:val="18"/>
              </w:rPr>
              <w:lastRenderedPageBreak/>
              <w:t>This draft law provides for the creation of an information system for the collection of data from reporting entities and the exchange of this information with the counterpart tax administrations of the EU Member States. The state budget has allocated an amount of 80 million lek for the creation of this system in the Medium-Term Budgetary Framework (MTBF) for the period 2026–2028.</w:t>
            </w:r>
          </w:p>
        </w:tc>
      </w:tr>
    </w:tbl>
    <w:p w14:paraId="4E2D4073" w14:textId="77777777" w:rsidR="009A20F7" w:rsidRPr="00036F88" w:rsidRDefault="009A20F7" w:rsidP="00E172D2">
      <w:pPr>
        <w:spacing w:line="240" w:lineRule="auto"/>
        <w:rPr>
          <w:rFonts w:ascii="Times New Roman" w:hAnsi="Times New Roman" w:cs="Times New Roman"/>
          <w:sz w:val="18"/>
          <w:szCs w:val="18"/>
        </w:rPr>
      </w:pPr>
    </w:p>
    <w:sectPr w:rsidR="009A20F7" w:rsidRPr="00036F88" w:rsidSect="00D50C43">
      <w:footerReference w:type="default" r:id="rId11"/>
      <w:pgSz w:w="16838" w:h="11906" w:orient="landscape"/>
      <w:pgMar w:top="1699" w:right="864" w:bottom="113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10EB5" w14:textId="77777777" w:rsidR="00F26B0D" w:rsidRDefault="00F26B0D" w:rsidP="00922FEB">
      <w:pPr>
        <w:spacing w:after="0" w:line="240" w:lineRule="auto"/>
      </w:pPr>
      <w:r>
        <w:separator/>
      </w:r>
    </w:p>
  </w:endnote>
  <w:endnote w:type="continuationSeparator" w:id="0">
    <w:p w14:paraId="45BE8279" w14:textId="77777777" w:rsidR="00F26B0D" w:rsidRDefault="00F26B0D" w:rsidP="009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31F5" w14:textId="205641E6" w:rsidR="00467DB2" w:rsidRDefault="00467DB2">
    <w:pPr>
      <w:pStyle w:val="Footer"/>
    </w:pPr>
    <w:r>
      <w:fldChar w:fldCharType="begin"/>
    </w:r>
    <w:r>
      <w:instrText>PAGE   \* MERGEFORMAT</w:instrText>
    </w:r>
    <w:r>
      <w:fldChar w:fldCharType="separate"/>
    </w:r>
    <w:r w:rsidR="00BA0106" w:rsidRPr="00BA0106">
      <w:rPr>
        <w:noProof/>
        <w:lang w:val="en-US"/>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03FC4" w14:textId="77777777" w:rsidR="00F26B0D" w:rsidRDefault="00F26B0D" w:rsidP="00922FEB">
      <w:pPr>
        <w:spacing w:after="0" w:line="240" w:lineRule="auto"/>
      </w:pPr>
      <w:r>
        <w:separator/>
      </w:r>
    </w:p>
  </w:footnote>
  <w:footnote w:type="continuationSeparator" w:id="0">
    <w:p w14:paraId="1291D767" w14:textId="77777777" w:rsidR="00F26B0D" w:rsidRDefault="00F26B0D" w:rsidP="00922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53AE"/>
    <w:multiLevelType w:val="hybridMultilevel"/>
    <w:tmpl w:val="CDC8FEA6"/>
    <w:lvl w:ilvl="0" w:tplc="04090017">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B37641D"/>
    <w:multiLevelType w:val="hybridMultilevel"/>
    <w:tmpl w:val="9CE8F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D6851"/>
    <w:multiLevelType w:val="hybridMultilevel"/>
    <w:tmpl w:val="75E2E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C47AD"/>
    <w:multiLevelType w:val="multilevel"/>
    <w:tmpl w:val="6A56F9D4"/>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1CC68FA"/>
    <w:multiLevelType w:val="hybridMultilevel"/>
    <w:tmpl w:val="2858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E7DFE"/>
    <w:multiLevelType w:val="hybridMultilevel"/>
    <w:tmpl w:val="5A560D76"/>
    <w:lvl w:ilvl="0" w:tplc="22E4F0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41AEB"/>
    <w:multiLevelType w:val="multilevel"/>
    <w:tmpl w:val="6A56F9D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640018"/>
    <w:multiLevelType w:val="hybridMultilevel"/>
    <w:tmpl w:val="98D484FE"/>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3316080A"/>
    <w:multiLevelType w:val="multilevel"/>
    <w:tmpl w:val="3CAE58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31A3C11"/>
    <w:multiLevelType w:val="multilevel"/>
    <w:tmpl w:val="2C2E57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6200874"/>
    <w:multiLevelType w:val="multilevel"/>
    <w:tmpl w:val="E20684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4ADD4944"/>
    <w:multiLevelType w:val="multilevel"/>
    <w:tmpl w:val="44CA6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156A6A"/>
    <w:multiLevelType w:val="multilevel"/>
    <w:tmpl w:val="3FC02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5C82CBC"/>
    <w:multiLevelType w:val="hybridMultilevel"/>
    <w:tmpl w:val="80304F32"/>
    <w:lvl w:ilvl="0" w:tplc="61CC2E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5003A3"/>
    <w:multiLevelType w:val="hybridMultilevel"/>
    <w:tmpl w:val="15327FA4"/>
    <w:lvl w:ilvl="0" w:tplc="3F30940A">
      <w:start w:val="1"/>
      <w:numFmt w:val="decimal"/>
      <w:lvlText w:val="%1."/>
      <w:lvlJc w:val="left"/>
      <w:pPr>
        <w:ind w:left="360" w:hanging="360"/>
      </w:pPr>
      <w:rPr>
        <w:b w:val="0"/>
        <w:bCs w:val="0"/>
      </w:rPr>
    </w:lvl>
    <w:lvl w:ilvl="1" w:tplc="BFC68D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54E9B"/>
    <w:multiLevelType w:val="multilevel"/>
    <w:tmpl w:val="AE9E73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E9A7315"/>
    <w:multiLevelType w:val="hybridMultilevel"/>
    <w:tmpl w:val="323A5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632B0E"/>
    <w:multiLevelType w:val="hybridMultilevel"/>
    <w:tmpl w:val="E6C01AB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61605F8B"/>
    <w:multiLevelType w:val="hybridMultilevel"/>
    <w:tmpl w:val="A1E8E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A04D4F"/>
    <w:multiLevelType w:val="multilevel"/>
    <w:tmpl w:val="448E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6C3C4E"/>
    <w:multiLevelType w:val="multilevel"/>
    <w:tmpl w:val="59F8ED8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690A7DE3"/>
    <w:multiLevelType w:val="hybridMultilevel"/>
    <w:tmpl w:val="C51A249A"/>
    <w:lvl w:ilvl="0" w:tplc="9D8C93A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566C7"/>
    <w:multiLevelType w:val="hybridMultilevel"/>
    <w:tmpl w:val="59A0D8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553238"/>
    <w:multiLevelType w:val="multilevel"/>
    <w:tmpl w:val="75C8EC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9C2E4F"/>
    <w:multiLevelType w:val="hybridMultilevel"/>
    <w:tmpl w:val="73FE4EF4"/>
    <w:lvl w:ilvl="0" w:tplc="0409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6EE81947"/>
    <w:multiLevelType w:val="hybridMultilevel"/>
    <w:tmpl w:val="015EB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4106A4"/>
    <w:multiLevelType w:val="multilevel"/>
    <w:tmpl w:val="DE761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AF0D54"/>
    <w:multiLevelType w:val="multilevel"/>
    <w:tmpl w:val="DF0A1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F14B0E"/>
    <w:multiLevelType w:val="hybridMultilevel"/>
    <w:tmpl w:val="210A091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71D6A2C"/>
    <w:multiLevelType w:val="multilevel"/>
    <w:tmpl w:val="CEA04A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CAF072A"/>
    <w:multiLevelType w:val="hybridMultilevel"/>
    <w:tmpl w:val="05AA9A18"/>
    <w:lvl w:ilvl="0" w:tplc="31E6A902">
      <w:start w:val="13"/>
      <w:numFmt w:val="decimal"/>
      <w:lvlText w:val="%1."/>
      <w:lvlJc w:val="left"/>
      <w:pPr>
        <w:ind w:left="862" w:hanging="360"/>
      </w:pPr>
      <w:rPr>
        <w:b w:val="0"/>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num w:numId="1" w16cid:durableId="862520580">
    <w:abstractNumId w:val="22"/>
  </w:num>
  <w:num w:numId="2" w16cid:durableId="1644852598">
    <w:abstractNumId w:val="2"/>
  </w:num>
  <w:num w:numId="3" w16cid:durableId="1764258271">
    <w:abstractNumId w:val="21"/>
  </w:num>
  <w:num w:numId="4" w16cid:durableId="1929342596">
    <w:abstractNumId w:val="6"/>
  </w:num>
  <w:num w:numId="5" w16cid:durableId="1361205074">
    <w:abstractNumId w:val="17"/>
  </w:num>
  <w:num w:numId="6" w16cid:durableId="1595283242">
    <w:abstractNumId w:val="8"/>
  </w:num>
  <w:num w:numId="7" w16cid:durableId="899172008">
    <w:abstractNumId w:val="11"/>
  </w:num>
  <w:num w:numId="8" w16cid:durableId="345865366">
    <w:abstractNumId w:val="26"/>
  </w:num>
  <w:num w:numId="9" w16cid:durableId="1900556816">
    <w:abstractNumId w:val="7"/>
  </w:num>
  <w:num w:numId="10" w16cid:durableId="1066875083">
    <w:abstractNumId w:val="23"/>
  </w:num>
  <w:num w:numId="11" w16cid:durableId="1405564804">
    <w:abstractNumId w:val="20"/>
  </w:num>
  <w:num w:numId="12" w16cid:durableId="1076436448">
    <w:abstractNumId w:val="3"/>
  </w:num>
  <w:num w:numId="13" w16cid:durableId="629551513">
    <w:abstractNumId w:val="19"/>
  </w:num>
  <w:num w:numId="14" w16cid:durableId="1091853264">
    <w:abstractNumId w:val="12"/>
  </w:num>
  <w:num w:numId="15" w16cid:durableId="1677224876">
    <w:abstractNumId w:val="29"/>
  </w:num>
  <w:num w:numId="16" w16cid:durableId="680012005">
    <w:abstractNumId w:val="4"/>
  </w:num>
  <w:num w:numId="17" w16cid:durableId="143132699">
    <w:abstractNumId w:val="15"/>
  </w:num>
  <w:num w:numId="18" w16cid:durableId="681398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227042">
    <w:abstractNumId w:val="24"/>
  </w:num>
  <w:num w:numId="20" w16cid:durableId="10657646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8966878">
    <w:abstractNumId w:val="27"/>
  </w:num>
  <w:num w:numId="22" w16cid:durableId="1735353294">
    <w:abstractNumId w:val="0"/>
  </w:num>
  <w:num w:numId="23" w16cid:durableId="1217740107">
    <w:abstractNumId w:val="16"/>
  </w:num>
  <w:num w:numId="24" w16cid:durableId="1405834235">
    <w:abstractNumId w:val="5"/>
  </w:num>
  <w:num w:numId="25" w16cid:durableId="1932734914">
    <w:abstractNumId w:val="13"/>
  </w:num>
  <w:num w:numId="26" w16cid:durableId="485055349">
    <w:abstractNumId w:val="14"/>
  </w:num>
  <w:num w:numId="27" w16cid:durableId="962154714">
    <w:abstractNumId w:val="9"/>
  </w:num>
  <w:num w:numId="28" w16cid:durableId="500312594">
    <w:abstractNumId w:val="3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0739758">
    <w:abstractNumId w:val="25"/>
  </w:num>
  <w:num w:numId="30" w16cid:durableId="2118014197">
    <w:abstractNumId w:val="1"/>
  </w:num>
  <w:num w:numId="31" w16cid:durableId="1025987773">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FB"/>
    <w:rsid w:val="0000367B"/>
    <w:rsid w:val="000144FB"/>
    <w:rsid w:val="00015086"/>
    <w:rsid w:val="00016C4D"/>
    <w:rsid w:val="00017CC1"/>
    <w:rsid w:val="00020AE3"/>
    <w:rsid w:val="000339C8"/>
    <w:rsid w:val="00034129"/>
    <w:rsid w:val="00036F88"/>
    <w:rsid w:val="00052607"/>
    <w:rsid w:val="00052664"/>
    <w:rsid w:val="00053923"/>
    <w:rsid w:val="00060D2B"/>
    <w:rsid w:val="00062524"/>
    <w:rsid w:val="00065705"/>
    <w:rsid w:val="000673F0"/>
    <w:rsid w:val="00075318"/>
    <w:rsid w:val="00076B31"/>
    <w:rsid w:val="00080E02"/>
    <w:rsid w:val="00081BC1"/>
    <w:rsid w:val="00082EBC"/>
    <w:rsid w:val="00084C96"/>
    <w:rsid w:val="000916B6"/>
    <w:rsid w:val="00092CAE"/>
    <w:rsid w:val="00093110"/>
    <w:rsid w:val="00095ECC"/>
    <w:rsid w:val="000A26EF"/>
    <w:rsid w:val="000A38FB"/>
    <w:rsid w:val="000A7EA3"/>
    <w:rsid w:val="000B014A"/>
    <w:rsid w:val="000B05B4"/>
    <w:rsid w:val="000B1124"/>
    <w:rsid w:val="000B162F"/>
    <w:rsid w:val="000B19FC"/>
    <w:rsid w:val="000B4CF9"/>
    <w:rsid w:val="000B5AB4"/>
    <w:rsid w:val="000B5E85"/>
    <w:rsid w:val="000B7A77"/>
    <w:rsid w:val="000C09CF"/>
    <w:rsid w:val="000C227B"/>
    <w:rsid w:val="000C4C00"/>
    <w:rsid w:val="000D0E76"/>
    <w:rsid w:val="000D4CD0"/>
    <w:rsid w:val="000D6E38"/>
    <w:rsid w:val="000D77FB"/>
    <w:rsid w:val="000D7CA4"/>
    <w:rsid w:val="000D7DCD"/>
    <w:rsid w:val="000E0147"/>
    <w:rsid w:val="000E1010"/>
    <w:rsid w:val="000E2BC3"/>
    <w:rsid w:val="000E4DE0"/>
    <w:rsid w:val="000E5AC4"/>
    <w:rsid w:val="000E668E"/>
    <w:rsid w:val="001024E6"/>
    <w:rsid w:val="00106912"/>
    <w:rsid w:val="0010735E"/>
    <w:rsid w:val="001123ED"/>
    <w:rsid w:val="00113DE2"/>
    <w:rsid w:val="001207DE"/>
    <w:rsid w:val="00121010"/>
    <w:rsid w:val="00125EE3"/>
    <w:rsid w:val="00142D73"/>
    <w:rsid w:val="00147A54"/>
    <w:rsid w:val="001520C0"/>
    <w:rsid w:val="0015399E"/>
    <w:rsid w:val="00153CCC"/>
    <w:rsid w:val="00154981"/>
    <w:rsid w:val="001552C4"/>
    <w:rsid w:val="0015599D"/>
    <w:rsid w:val="00160121"/>
    <w:rsid w:val="001619E7"/>
    <w:rsid w:val="00164173"/>
    <w:rsid w:val="00170836"/>
    <w:rsid w:val="00171AE3"/>
    <w:rsid w:val="001725D0"/>
    <w:rsid w:val="001775D3"/>
    <w:rsid w:val="00177D45"/>
    <w:rsid w:val="00180B70"/>
    <w:rsid w:val="00185FF3"/>
    <w:rsid w:val="00190654"/>
    <w:rsid w:val="00190825"/>
    <w:rsid w:val="0019465F"/>
    <w:rsid w:val="001A054E"/>
    <w:rsid w:val="001A1CC0"/>
    <w:rsid w:val="001A223E"/>
    <w:rsid w:val="001A240D"/>
    <w:rsid w:val="001B46A8"/>
    <w:rsid w:val="001B4AFB"/>
    <w:rsid w:val="001B4F3F"/>
    <w:rsid w:val="001C2405"/>
    <w:rsid w:val="001D180F"/>
    <w:rsid w:val="001D413A"/>
    <w:rsid w:val="001D652C"/>
    <w:rsid w:val="001D75F8"/>
    <w:rsid w:val="001E074F"/>
    <w:rsid w:val="001E2141"/>
    <w:rsid w:val="001E566F"/>
    <w:rsid w:val="001E71E0"/>
    <w:rsid w:val="001F0349"/>
    <w:rsid w:val="001F0A51"/>
    <w:rsid w:val="001F2CB3"/>
    <w:rsid w:val="001F3413"/>
    <w:rsid w:val="001F3E2D"/>
    <w:rsid w:val="001F6E50"/>
    <w:rsid w:val="001F7BBC"/>
    <w:rsid w:val="00200996"/>
    <w:rsid w:val="00200AA9"/>
    <w:rsid w:val="002048D4"/>
    <w:rsid w:val="002058C8"/>
    <w:rsid w:val="00206694"/>
    <w:rsid w:val="00207E2E"/>
    <w:rsid w:val="00212234"/>
    <w:rsid w:val="00216CB5"/>
    <w:rsid w:val="00217FFD"/>
    <w:rsid w:val="002234E1"/>
    <w:rsid w:val="00226B07"/>
    <w:rsid w:val="002351EE"/>
    <w:rsid w:val="00237085"/>
    <w:rsid w:val="00241058"/>
    <w:rsid w:val="00241DAE"/>
    <w:rsid w:val="00242D3A"/>
    <w:rsid w:val="00243A1A"/>
    <w:rsid w:val="0024728F"/>
    <w:rsid w:val="00247573"/>
    <w:rsid w:val="00250974"/>
    <w:rsid w:val="00250B34"/>
    <w:rsid w:val="00260632"/>
    <w:rsid w:val="00261EE3"/>
    <w:rsid w:val="00262E99"/>
    <w:rsid w:val="002652D5"/>
    <w:rsid w:val="00265C53"/>
    <w:rsid w:val="002675D8"/>
    <w:rsid w:val="00271F5B"/>
    <w:rsid w:val="00273323"/>
    <w:rsid w:val="002826E4"/>
    <w:rsid w:val="00282FA2"/>
    <w:rsid w:val="00287B86"/>
    <w:rsid w:val="00294727"/>
    <w:rsid w:val="002973DE"/>
    <w:rsid w:val="002A2DF8"/>
    <w:rsid w:val="002A59EF"/>
    <w:rsid w:val="002B02E4"/>
    <w:rsid w:val="002B3D21"/>
    <w:rsid w:val="002B44A1"/>
    <w:rsid w:val="002B731D"/>
    <w:rsid w:val="002C1FF8"/>
    <w:rsid w:val="002C6E4F"/>
    <w:rsid w:val="002C733F"/>
    <w:rsid w:val="002D0742"/>
    <w:rsid w:val="002D2221"/>
    <w:rsid w:val="002D529D"/>
    <w:rsid w:val="002D574D"/>
    <w:rsid w:val="002E4F78"/>
    <w:rsid w:val="002E6526"/>
    <w:rsid w:val="002F2E52"/>
    <w:rsid w:val="002F76DE"/>
    <w:rsid w:val="00301958"/>
    <w:rsid w:val="0030526E"/>
    <w:rsid w:val="00310B3D"/>
    <w:rsid w:val="0031114B"/>
    <w:rsid w:val="003116B5"/>
    <w:rsid w:val="0031566F"/>
    <w:rsid w:val="00317005"/>
    <w:rsid w:val="00322C4F"/>
    <w:rsid w:val="00332366"/>
    <w:rsid w:val="00335C48"/>
    <w:rsid w:val="00341534"/>
    <w:rsid w:val="00344587"/>
    <w:rsid w:val="00345085"/>
    <w:rsid w:val="0035145A"/>
    <w:rsid w:val="003518E4"/>
    <w:rsid w:val="003541B4"/>
    <w:rsid w:val="00357D61"/>
    <w:rsid w:val="00364559"/>
    <w:rsid w:val="0037327C"/>
    <w:rsid w:val="00374572"/>
    <w:rsid w:val="00381019"/>
    <w:rsid w:val="00391383"/>
    <w:rsid w:val="00393E9B"/>
    <w:rsid w:val="00395E2E"/>
    <w:rsid w:val="003A75B8"/>
    <w:rsid w:val="003B191B"/>
    <w:rsid w:val="003B4CA7"/>
    <w:rsid w:val="003B7C4A"/>
    <w:rsid w:val="003C045B"/>
    <w:rsid w:val="003C1E87"/>
    <w:rsid w:val="003C2EAB"/>
    <w:rsid w:val="003C4AC6"/>
    <w:rsid w:val="003C63BE"/>
    <w:rsid w:val="003C79E1"/>
    <w:rsid w:val="003D4694"/>
    <w:rsid w:val="003E2711"/>
    <w:rsid w:val="003F12A2"/>
    <w:rsid w:val="003F47E6"/>
    <w:rsid w:val="003F5AD0"/>
    <w:rsid w:val="003F6C69"/>
    <w:rsid w:val="004003B3"/>
    <w:rsid w:val="00400C6E"/>
    <w:rsid w:val="004020E6"/>
    <w:rsid w:val="0040246D"/>
    <w:rsid w:val="004024D0"/>
    <w:rsid w:val="00405A74"/>
    <w:rsid w:val="004108A0"/>
    <w:rsid w:val="00410A88"/>
    <w:rsid w:val="00415BDC"/>
    <w:rsid w:val="004164B2"/>
    <w:rsid w:val="00416E2E"/>
    <w:rsid w:val="004224EA"/>
    <w:rsid w:val="00424D4A"/>
    <w:rsid w:val="0042577F"/>
    <w:rsid w:val="00427624"/>
    <w:rsid w:val="00427E4C"/>
    <w:rsid w:val="00427EE2"/>
    <w:rsid w:val="004310AF"/>
    <w:rsid w:val="0043228D"/>
    <w:rsid w:val="00433DB0"/>
    <w:rsid w:val="00437D0B"/>
    <w:rsid w:val="004457A1"/>
    <w:rsid w:val="00450C23"/>
    <w:rsid w:val="00451218"/>
    <w:rsid w:val="00451313"/>
    <w:rsid w:val="004570E7"/>
    <w:rsid w:val="00462428"/>
    <w:rsid w:val="00463860"/>
    <w:rsid w:val="00463D26"/>
    <w:rsid w:val="00467DB2"/>
    <w:rsid w:val="0047211B"/>
    <w:rsid w:val="00472C5C"/>
    <w:rsid w:val="004738EE"/>
    <w:rsid w:val="004745E6"/>
    <w:rsid w:val="00476A5C"/>
    <w:rsid w:val="004812F5"/>
    <w:rsid w:val="004816E5"/>
    <w:rsid w:val="004833A3"/>
    <w:rsid w:val="00497724"/>
    <w:rsid w:val="004A1713"/>
    <w:rsid w:val="004A36CD"/>
    <w:rsid w:val="004A4B29"/>
    <w:rsid w:val="004B7E97"/>
    <w:rsid w:val="004B7F04"/>
    <w:rsid w:val="004C2EE7"/>
    <w:rsid w:val="004D0576"/>
    <w:rsid w:val="004D36D7"/>
    <w:rsid w:val="004D3792"/>
    <w:rsid w:val="004D4126"/>
    <w:rsid w:val="004D4A5A"/>
    <w:rsid w:val="004E0D2B"/>
    <w:rsid w:val="004E2956"/>
    <w:rsid w:val="004E30E5"/>
    <w:rsid w:val="004E4138"/>
    <w:rsid w:val="004F0084"/>
    <w:rsid w:val="004F0109"/>
    <w:rsid w:val="004F2266"/>
    <w:rsid w:val="004F27D1"/>
    <w:rsid w:val="004F39B6"/>
    <w:rsid w:val="004F5B78"/>
    <w:rsid w:val="004F619A"/>
    <w:rsid w:val="004F7895"/>
    <w:rsid w:val="005002A2"/>
    <w:rsid w:val="005007CA"/>
    <w:rsid w:val="0050266C"/>
    <w:rsid w:val="00502F25"/>
    <w:rsid w:val="0050578D"/>
    <w:rsid w:val="00510FD6"/>
    <w:rsid w:val="00515591"/>
    <w:rsid w:val="005222ED"/>
    <w:rsid w:val="00523BD5"/>
    <w:rsid w:val="00525E91"/>
    <w:rsid w:val="005325EC"/>
    <w:rsid w:val="00532F36"/>
    <w:rsid w:val="005331A6"/>
    <w:rsid w:val="00536BD1"/>
    <w:rsid w:val="005373C7"/>
    <w:rsid w:val="00542046"/>
    <w:rsid w:val="00542B90"/>
    <w:rsid w:val="00544726"/>
    <w:rsid w:val="00545293"/>
    <w:rsid w:val="00555B0E"/>
    <w:rsid w:val="00557383"/>
    <w:rsid w:val="00561970"/>
    <w:rsid w:val="00562EF5"/>
    <w:rsid w:val="0056390B"/>
    <w:rsid w:val="005721F0"/>
    <w:rsid w:val="005739CF"/>
    <w:rsid w:val="005740C8"/>
    <w:rsid w:val="0058092D"/>
    <w:rsid w:val="00581189"/>
    <w:rsid w:val="0059538D"/>
    <w:rsid w:val="005A3A0B"/>
    <w:rsid w:val="005B756F"/>
    <w:rsid w:val="005C2C12"/>
    <w:rsid w:val="005C5778"/>
    <w:rsid w:val="005D1762"/>
    <w:rsid w:val="005D2C74"/>
    <w:rsid w:val="005D2CA7"/>
    <w:rsid w:val="005D6115"/>
    <w:rsid w:val="005D7747"/>
    <w:rsid w:val="005E013B"/>
    <w:rsid w:val="005E10BC"/>
    <w:rsid w:val="005E3878"/>
    <w:rsid w:val="005E5DCC"/>
    <w:rsid w:val="005E65A8"/>
    <w:rsid w:val="005E6AA8"/>
    <w:rsid w:val="005F1B9C"/>
    <w:rsid w:val="005F434C"/>
    <w:rsid w:val="005F57EB"/>
    <w:rsid w:val="0061567F"/>
    <w:rsid w:val="0061684B"/>
    <w:rsid w:val="00617362"/>
    <w:rsid w:val="00622B62"/>
    <w:rsid w:val="00623590"/>
    <w:rsid w:val="00627580"/>
    <w:rsid w:val="0063030D"/>
    <w:rsid w:val="006310DD"/>
    <w:rsid w:val="00632923"/>
    <w:rsid w:val="00633111"/>
    <w:rsid w:val="00635147"/>
    <w:rsid w:val="00635568"/>
    <w:rsid w:val="0064231D"/>
    <w:rsid w:val="006444CD"/>
    <w:rsid w:val="00651851"/>
    <w:rsid w:val="00654FB9"/>
    <w:rsid w:val="006566CD"/>
    <w:rsid w:val="00657867"/>
    <w:rsid w:val="0066027E"/>
    <w:rsid w:val="006618BF"/>
    <w:rsid w:val="0066667D"/>
    <w:rsid w:val="00666B47"/>
    <w:rsid w:val="0067247A"/>
    <w:rsid w:val="006726C3"/>
    <w:rsid w:val="00672C4E"/>
    <w:rsid w:val="00676111"/>
    <w:rsid w:val="0067730A"/>
    <w:rsid w:val="006774B8"/>
    <w:rsid w:val="00682C78"/>
    <w:rsid w:val="00695317"/>
    <w:rsid w:val="006953D8"/>
    <w:rsid w:val="006A09C7"/>
    <w:rsid w:val="006A2D4D"/>
    <w:rsid w:val="006A6211"/>
    <w:rsid w:val="006B0D0A"/>
    <w:rsid w:val="006B1F95"/>
    <w:rsid w:val="006B323C"/>
    <w:rsid w:val="006B7ABD"/>
    <w:rsid w:val="006C1477"/>
    <w:rsid w:val="006C1526"/>
    <w:rsid w:val="006C1BCA"/>
    <w:rsid w:val="006C4222"/>
    <w:rsid w:val="006C6B36"/>
    <w:rsid w:val="006C7B60"/>
    <w:rsid w:val="006D6109"/>
    <w:rsid w:val="006D648E"/>
    <w:rsid w:val="006E3A8B"/>
    <w:rsid w:val="006E4603"/>
    <w:rsid w:val="006E7F7A"/>
    <w:rsid w:val="006E7FA1"/>
    <w:rsid w:val="006F2527"/>
    <w:rsid w:val="006F2F12"/>
    <w:rsid w:val="007006CF"/>
    <w:rsid w:val="00700F75"/>
    <w:rsid w:val="00703F01"/>
    <w:rsid w:val="007045CF"/>
    <w:rsid w:val="00705280"/>
    <w:rsid w:val="00706107"/>
    <w:rsid w:val="0071079D"/>
    <w:rsid w:val="00710999"/>
    <w:rsid w:val="00714583"/>
    <w:rsid w:val="00714B51"/>
    <w:rsid w:val="007155A5"/>
    <w:rsid w:val="00717DF3"/>
    <w:rsid w:val="00720B64"/>
    <w:rsid w:val="00721A1F"/>
    <w:rsid w:val="0072295D"/>
    <w:rsid w:val="00723BB2"/>
    <w:rsid w:val="00724305"/>
    <w:rsid w:val="007251FA"/>
    <w:rsid w:val="00725931"/>
    <w:rsid w:val="007277B4"/>
    <w:rsid w:val="00732339"/>
    <w:rsid w:val="00740B67"/>
    <w:rsid w:val="00742338"/>
    <w:rsid w:val="00745147"/>
    <w:rsid w:val="007462E6"/>
    <w:rsid w:val="00746656"/>
    <w:rsid w:val="00746F5E"/>
    <w:rsid w:val="007556BD"/>
    <w:rsid w:val="00757BFC"/>
    <w:rsid w:val="00760A37"/>
    <w:rsid w:val="0076650E"/>
    <w:rsid w:val="00766567"/>
    <w:rsid w:val="007668CC"/>
    <w:rsid w:val="007731D9"/>
    <w:rsid w:val="007743FD"/>
    <w:rsid w:val="00775A2D"/>
    <w:rsid w:val="0077636B"/>
    <w:rsid w:val="00784A41"/>
    <w:rsid w:val="007903F2"/>
    <w:rsid w:val="00794E58"/>
    <w:rsid w:val="007A1CE1"/>
    <w:rsid w:val="007A24BB"/>
    <w:rsid w:val="007A64BB"/>
    <w:rsid w:val="007B00C7"/>
    <w:rsid w:val="007B312A"/>
    <w:rsid w:val="007B5266"/>
    <w:rsid w:val="007C025E"/>
    <w:rsid w:val="007C217F"/>
    <w:rsid w:val="007C23D6"/>
    <w:rsid w:val="007C3F0C"/>
    <w:rsid w:val="007C5223"/>
    <w:rsid w:val="007D6215"/>
    <w:rsid w:val="007D6CB1"/>
    <w:rsid w:val="007E346B"/>
    <w:rsid w:val="007E431F"/>
    <w:rsid w:val="007E488D"/>
    <w:rsid w:val="007F0768"/>
    <w:rsid w:val="007F323E"/>
    <w:rsid w:val="007F5D33"/>
    <w:rsid w:val="008018C3"/>
    <w:rsid w:val="00802A59"/>
    <w:rsid w:val="008036D5"/>
    <w:rsid w:val="0080541B"/>
    <w:rsid w:val="00827E5C"/>
    <w:rsid w:val="00833892"/>
    <w:rsid w:val="00835CD6"/>
    <w:rsid w:val="008363D3"/>
    <w:rsid w:val="00840BC8"/>
    <w:rsid w:val="0084519E"/>
    <w:rsid w:val="0084600B"/>
    <w:rsid w:val="0085013E"/>
    <w:rsid w:val="00854007"/>
    <w:rsid w:val="0085501A"/>
    <w:rsid w:val="00857138"/>
    <w:rsid w:val="00861003"/>
    <w:rsid w:val="00865C4F"/>
    <w:rsid w:val="008723DD"/>
    <w:rsid w:val="00873B84"/>
    <w:rsid w:val="00874BD7"/>
    <w:rsid w:val="00876F48"/>
    <w:rsid w:val="00880C14"/>
    <w:rsid w:val="008829C8"/>
    <w:rsid w:val="00883E0C"/>
    <w:rsid w:val="00886049"/>
    <w:rsid w:val="00886459"/>
    <w:rsid w:val="0088678D"/>
    <w:rsid w:val="008876A4"/>
    <w:rsid w:val="0089127A"/>
    <w:rsid w:val="0089224E"/>
    <w:rsid w:val="008A3696"/>
    <w:rsid w:val="008A5926"/>
    <w:rsid w:val="008B055C"/>
    <w:rsid w:val="008B39B5"/>
    <w:rsid w:val="008B5730"/>
    <w:rsid w:val="008B6E7F"/>
    <w:rsid w:val="008C06D1"/>
    <w:rsid w:val="008C3267"/>
    <w:rsid w:val="008C6992"/>
    <w:rsid w:val="008C7CE9"/>
    <w:rsid w:val="008D1B1F"/>
    <w:rsid w:val="008D434B"/>
    <w:rsid w:val="008D5CE4"/>
    <w:rsid w:val="008D5DD4"/>
    <w:rsid w:val="008E267F"/>
    <w:rsid w:val="008E382D"/>
    <w:rsid w:val="008E5E6C"/>
    <w:rsid w:val="008F7A0F"/>
    <w:rsid w:val="00900733"/>
    <w:rsid w:val="00900CDD"/>
    <w:rsid w:val="0090283B"/>
    <w:rsid w:val="0090345E"/>
    <w:rsid w:val="00903483"/>
    <w:rsid w:val="00910CF8"/>
    <w:rsid w:val="009116FC"/>
    <w:rsid w:val="00914927"/>
    <w:rsid w:val="00916578"/>
    <w:rsid w:val="00916618"/>
    <w:rsid w:val="00922FEB"/>
    <w:rsid w:val="0093106A"/>
    <w:rsid w:val="00936229"/>
    <w:rsid w:val="00937073"/>
    <w:rsid w:val="0093777F"/>
    <w:rsid w:val="0094061C"/>
    <w:rsid w:val="0094134A"/>
    <w:rsid w:val="00943DF9"/>
    <w:rsid w:val="00946891"/>
    <w:rsid w:val="009472AC"/>
    <w:rsid w:val="00950BE7"/>
    <w:rsid w:val="0095143E"/>
    <w:rsid w:val="00954EFF"/>
    <w:rsid w:val="00956D2D"/>
    <w:rsid w:val="00961CE2"/>
    <w:rsid w:val="009669F8"/>
    <w:rsid w:val="00973DF3"/>
    <w:rsid w:val="009740A1"/>
    <w:rsid w:val="009770D2"/>
    <w:rsid w:val="009837C8"/>
    <w:rsid w:val="00984729"/>
    <w:rsid w:val="00986E09"/>
    <w:rsid w:val="00990A3C"/>
    <w:rsid w:val="009930BD"/>
    <w:rsid w:val="0099499F"/>
    <w:rsid w:val="00995F97"/>
    <w:rsid w:val="00996667"/>
    <w:rsid w:val="009A05BF"/>
    <w:rsid w:val="009A0775"/>
    <w:rsid w:val="009A20F7"/>
    <w:rsid w:val="009A64FF"/>
    <w:rsid w:val="009B2315"/>
    <w:rsid w:val="009C4544"/>
    <w:rsid w:val="009C4AB8"/>
    <w:rsid w:val="009C6155"/>
    <w:rsid w:val="009C71E4"/>
    <w:rsid w:val="009D0B38"/>
    <w:rsid w:val="009D14DE"/>
    <w:rsid w:val="009D26C0"/>
    <w:rsid w:val="009D64A3"/>
    <w:rsid w:val="009E06AE"/>
    <w:rsid w:val="009E08DD"/>
    <w:rsid w:val="009E29DA"/>
    <w:rsid w:val="009E4A2F"/>
    <w:rsid w:val="009E6BD3"/>
    <w:rsid w:val="009F0018"/>
    <w:rsid w:val="009F018B"/>
    <w:rsid w:val="009F0E45"/>
    <w:rsid w:val="009F4771"/>
    <w:rsid w:val="009F62F6"/>
    <w:rsid w:val="00A02DFB"/>
    <w:rsid w:val="00A03E47"/>
    <w:rsid w:val="00A106AB"/>
    <w:rsid w:val="00A10ABB"/>
    <w:rsid w:val="00A11922"/>
    <w:rsid w:val="00A12915"/>
    <w:rsid w:val="00A12F75"/>
    <w:rsid w:val="00A20927"/>
    <w:rsid w:val="00A22CD6"/>
    <w:rsid w:val="00A231BF"/>
    <w:rsid w:val="00A23CE3"/>
    <w:rsid w:val="00A25D4A"/>
    <w:rsid w:val="00A26FC2"/>
    <w:rsid w:val="00A34557"/>
    <w:rsid w:val="00A345DE"/>
    <w:rsid w:val="00A37AD0"/>
    <w:rsid w:val="00A40F57"/>
    <w:rsid w:val="00A43694"/>
    <w:rsid w:val="00A43EA9"/>
    <w:rsid w:val="00A57D3C"/>
    <w:rsid w:val="00A61AEB"/>
    <w:rsid w:val="00A625F8"/>
    <w:rsid w:val="00A64D34"/>
    <w:rsid w:val="00A7637A"/>
    <w:rsid w:val="00A7784E"/>
    <w:rsid w:val="00A8172F"/>
    <w:rsid w:val="00A835CB"/>
    <w:rsid w:val="00A8449D"/>
    <w:rsid w:val="00A86815"/>
    <w:rsid w:val="00A93747"/>
    <w:rsid w:val="00A96A0F"/>
    <w:rsid w:val="00A96B7A"/>
    <w:rsid w:val="00A96FAA"/>
    <w:rsid w:val="00AA1B31"/>
    <w:rsid w:val="00AA253C"/>
    <w:rsid w:val="00AA2A3A"/>
    <w:rsid w:val="00AA68CF"/>
    <w:rsid w:val="00AB0BE6"/>
    <w:rsid w:val="00AB296B"/>
    <w:rsid w:val="00AB4788"/>
    <w:rsid w:val="00AB60BD"/>
    <w:rsid w:val="00AC3A97"/>
    <w:rsid w:val="00AC3DAE"/>
    <w:rsid w:val="00AC4CF3"/>
    <w:rsid w:val="00AC59BE"/>
    <w:rsid w:val="00AD0ED0"/>
    <w:rsid w:val="00AD0F34"/>
    <w:rsid w:val="00AD378F"/>
    <w:rsid w:val="00AD5C20"/>
    <w:rsid w:val="00AD6055"/>
    <w:rsid w:val="00AD61E7"/>
    <w:rsid w:val="00AD7342"/>
    <w:rsid w:val="00AD7C53"/>
    <w:rsid w:val="00AE3E8F"/>
    <w:rsid w:val="00AE469F"/>
    <w:rsid w:val="00AE5216"/>
    <w:rsid w:val="00AF0520"/>
    <w:rsid w:val="00AF1AA4"/>
    <w:rsid w:val="00AF1DCF"/>
    <w:rsid w:val="00AF2598"/>
    <w:rsid w:val="00AF3271"/>
    <w:rsid w:val="00AF3AF5"/>
    <w:rsid w:val="00AF6E05"/>
    <w:rsid w:val="00AF7139"/>
    <w:rsid w:val="00B02FF5"/>
    <w:rsid w:val="00B03A2F"/>
    <w:rsid w:val="00B058FC"/>
    <w:rsid w:val="00B114DB"/>
    <w:rsid w:val="00B15547"/>
    <w:rsid w:val="00B1652A"/>
    <w:rsid w:val="00B167C6"/>
    <w:rsid w:val="00B16F37"/>
    <w:rsid w:val="00B17414"/>
    <w:rsid w:val="00B21860"/>
    <w:rsid w:val="00B25191"/>
    <w:rsid w:val="00B255FB"/>
    <w:rsid w:val="00B259CE"/>
    <w:rsid w:val="00B306D3"/>
    <w:rsid w:val="00B353DE"/>
    <w:rsid w:val="00B37AA1"/>
    <w:rsid w:val="00B503DF"/>
    <w:rsid w:val="00B5370F"/>
    <w:rsid w:val="00B63161"/>
    <w:rsid w:val="00B6607B"/>
    <w:rsid w:val="00B6709E"/>
    <w:rsid w:val="00B70DBE"/>
    <w:rsid w:val="00B72C75"/>
    <w:rsid w:val="00B76DBB"/>
    <w:rsid w:val="00B812B1"/>
    <w:rsid w:val="00B909DA"/>
    <w:rsid w:val="00B96DD0"/>
    <w:rsid w:val="00BA0106"/>
    <w:rsid w:val="00BA0D16"/>
    <w:rsid w:val="00BA5747"/>
    <w:rsid w:val="00BA7CDB"/>
    <w:rsid w:val="00BB2ED5"/>
    <w:rsid w:val="00BB5186"/>
    <w:rsid w:val="00BC3517"/>
    <w:rsid w:val="00BC5DCD"/>
    <w:rsid w:val="00BD1B8F"/>
    <w:rsid w:val="00BD3625"/>
    <w:rsid w:val="00BD7236"/>
    <w:rsid w:val="00BE2ADC"/>
    <w:rsid w:val="00BE44C9"/>
    <w:rsid w:val="00BE7055"/>
    <w:rsid w:val="00BF173E"/>
    <w:rsid w:val="00BF18F7"/>
    <w:rsid w:val="00BF4413"/>
    <w:rsid w:val="00BF5500"/>
    <w:rsid w:val="00BF76F8"/>
    <w:rsid w:val="00C0015B"/>
    <w:rsid w:val="00C04EE6"/>
    <w:rsid w:val="00C04FDF"/>
    <w:rsid w:val="00C0516B"/>
    <w:rsid w:val="00C11ACA"/>
    <w:rsid w:val="00C127CB"/>
    <w:rsid w:val="00C155F2"/>
    <w:rsid w:val="00C157F0"/>
    <w:rsid w:val="00C23FE6"/>
    <w:rsid w:val="00C32352"/>
    <w:rsid w:val="00C327BA"/>
    <w:rsid w:val="00C34A80"/>
    <w:rsid w:val="00C355B7"/>
    <w:rsid w:val="00C378C4"/>
    <w:rsid w:val="00C45CE8"/>
    <w:rsid w:val="00C46499"/>
    <w:rsid w:val="00C52639"/>
    <w:rsid w:val="00C52BF2"/>
    <w:rsid w:val="00C54DF6"/>
    <w:rsid w:val="00C60A86"/>
    <w:rsid w:val="00C63F93"/>
    <w:rsid w:val="00C64C7A"/>
    <w:rsid w:val="00C65C37"/>
    <w:rsid w:val="00C66519"/>
    <w:rsid w:val="00C702F5"/>
    <w:rsid w:val="00C714C9"/>
    <w:rsid w:val="00C7263F"/>
    <w:rsid w:val="00C74C52"/>
    <w:rsid w:val="00C815F0"/>
    <w:rsid w:val="00C82DD3"/>
    <w:rsid w:val="00C85409"/>
    <w:rsid w:val="00C86233"/>
    <w:rsid w:val="00C86A4A"/>
    <w:rsid w:val="00C913FB"/>
    <w:rsid w:val="00C93E05"/>
    <w:rsid w:val="00C9465F"/>
    <w:rsid w:val="00C947F4"/>
    <w:rsid w:val="00CA00ED"/>
    <w:rsid w:val="00CA04A6"/>
    <w:rsid w:val="00CA069C"/>
    <w:rsid w:val="00CA1C4C"/>
    <w:rsid w:val="00CA76DC"/>
    <w:rsid w:val="00CB0400"/>
    <w:rsid w:val="00CB4834"/>
    <w:rsid w:val="00CB6827"/>
    <w:rsid w:val="00CB7E55"/>
    <w:rsid w:val="00CC0BDE"/>
    <w:rsid w:val="00CC146E"/>
    <w:rsid w:val="00CC583E"/>
    <w:rsid w:val="00CD074A"/>
    <w:rsid w:val="00CD0902"/>
    <w:rsid w:val="00CD260C"/>
    <w:rsid w:val="00CD3FEC"/>
    <w:rsid w:val="00CD42B9"/>
    <w:rsid w:val="00CD6E0B"/>
    <w:rsid w:val="00CE37E5"/>
    <w:rsid w:val="00CE58C1"/>
    <w:rsid w:val="00CE6B7A"/>
    <w:rsid w:val="00CE707E"/>
    <w:rsid w:val="00CF7A4D"/>
    <w:rsid w:val="00D00AE0"/>
    <w:rsid w:val="00D026D5"/>
    <w:rsid w:val="00D0274A"/>
    <w:rsid w:val="00D1104B"/>
    <w:rsid w:val="00D15D65"/>
    <w:rsid w:val="00D17890"/>
    <w:rsid w:val="00D20ACD"/>
    <w:rsid w:val="00D2162C"/>
    <w:rsid w:val="00D23DA5"/>
    <w:rsid w:val="00D24852"/>
    <w:rsid w:val="00D27C06"/>
    <w:rsid w:val="00D35B3D"/>
    <w:rsid w:val="00D36C38"/>
    <w:rsid w:val="00D41BE4"/>
    <w:rsid w:val="00D424BE"/>
    <w:rsid w:val="00D429B0"/>
    <w:rsid w:val="00D43E43"/>
    <w:rsid w:val="00D44638"/>
    <w:rsid w:val="00D47DA4"/>
    <w:rsid w:val="00D47FB4"/>
    <w:rsid w:val="00D50C43"/>
    <w:rsid w:val="00D50C6D"/>
    <w:rsid w:val="00D5103B"/>
    <w:rsid w:val="00D5354C"/>
    <w:rsid w:val="00D567C3"/>
    <w:rsid w:val="00D61709"/>
    <w:rsid w:val="00D622C1"/>
    <w:rsid w:val="00D62947"/>
    <w:rsid w:val="00D63898"/>
    <w:rsid w:val="00D64B2B"/>
    <w:rsid w:val="00D6605E"/>
    <w:rsid w:val="00D76C5B"/>
    <w:rsid w:val="00D779F7"/>
    <w:rsid w:val="00D810B2"/>
    <w:rsid w:val="00D81739"/>
    <w:rsid w:val="00D82EC3"/>
    <w:rsid w:val="00D838DF"/>
    <w:rsid w:val="00D83F54"/>
    <w:rsid w:val="00D87421"/>
    <w:rsid w:val="00D94863"/>
    <w:rsid w:val="00DA047A"/>
    <w:rsid w:val="00DA2762"/>
    <w:rsid w:val="00DA36BF"/>
    <w:rsid w:val="00DA527B"/>
    <w:rsid w:val="00DA6234"/>
    <w:rsid w:val="00DB0BB8"/>
    <w:rsid w:val="00DB377A"/>
    <w:rsid w:val="00DB7D40"/>
    <w:rsid w:val="00DC032B"/>
    <w:rsid w:val="00DC1794"/>
    <w:rsid w:val="00DC1EF3"/>
    <w:rsid w:val="00DC43ED"/>
    <w:rsid w:val="00DD0E9B"/>
    <w:rsid w:val="00DD36A7"/>
    <w:rsid w:val="00DD3DDA"/>
    <w:rsid w:val="00DD48A5"/>
    <w:rsid w:val="00DD54E0"/>
    <w:rsid w:val="00DE0020"/>
    <w:rsid w:val="00DE4307"/>
    <w:rsid w:val="00DE4DCE"/>
    <w:rsid w:val="00DE5383"/>
    <w:rsid w:val="00DE6956"/>
    <w:rsid w:val="00DF3533"/>
    <w:rsid w:val="00DF42C2"/>
    <w:rsid w:val="00DF520A"/>
    <w:rsid w:val="00DF55CE"/>
    <w:rsid w:val="00E0142F"/>
    <w:rsid w:val="00E0229B"/>
    <w:rsid w:val="00E0351F"/>
    <w:rsid w:val="00E036DD"/>
    <w:rsid w:val="00E04699"/>
    <w:rsid w:val="00E125D7"/>
    <w:rsid w:val="00E12826"/>
    <w:rsid w:val="00E16BA5"/>
    <w:rsid w:val="00E17299"/>
    <w:rsid w:val="00E172D2"/>
    <w:rsid w:val="00E17D54"/>
    <w:rsid w:val="00E17EDB"/>
    <w:rsid w:val="00E24383"/>
    <w:rsid w:val="00E260AB"/>
    <w:rsid w:val="00E27D40"/>
    <w:rsid w:val="00E316B8"/>
    <w:rsid w:val="00E37B3A"/>
    <w:rsid w:val="00E4179D"/>
    <w:rsid w:val="00E43433"/>
    <w:rsid w:val="00E43EC9"/>
    <w:rsid w:val="00E44329"/>
    <w:rsid w:val="00E519B9"/>
    <w:rsid w:val="00E540A1"/>
    <w:rsid w:val="00E55097"/>
    <w:rsid w:val="00E55E51"/>
    <w:rsid w:val="00E571EA"/>
    <w:rsid w:val="00E6089F"/>
    <w:rsid w:val="00E609B5"/>
    <w:rsid w:val="00E60B27"/>
    <w:rsid w:val="00E669C9"/>
    <w:rsid w:val="00E706E1"/>
    <w:rsid w:val="00E80D7B"/>
    <w:rsid w:val="00E83899"/>
    <w:rsid w:val="00E8462D"/>
    <w:rsid w:val="00E87546"/>
    <w:rsid w:val="00E9084B"/>
    <w:rsid w:val="00E95BF1"/>
    <w:rsid w:val="00E95C28"/>
    <w:rsid w:val="00E960C8"/>
    <w:rsid w:val="00E96B23"/>
    <w:rsid w:val="00EA5226"/>
    <w:rsid w:val="00EB212D"/>
    <w:rsid w:val="00EB7E72"/>
    <w:rsid w:val="00EC3FD8"/>
    <w:rsid w:val="00EC4D26"/>
    <w:rsid w:val="00EC5EDE"/>
    <w:rsid w:val="00EC6441"/>
    <w:rsid w:val="00ED0068"/>
    <w:rsid w:val="00ED4F81"/>
    <w:rsid w:val="00EE0155"/>
    <w:rsid w:val="00EE46E6"/>
    <w:rsid w:val="00EE66CC"/>
    <w:rsid w:val="00EF06F3"/>
    <w:rsid w:val="00EF287B"/>
    <w:rsid w:val="00EF43AB"/>
    <w:rsid w:val="00EF4510"/>
    <w:rsid w:val="00EF5C3B"/>
    <w:rsid w:val="00F024B2"/>
    <w:rsid w:val="00F04225"/>
    <w:rsid w:val="00F04D6F"/>
    <w:rsid w:val="00F103E1"/>
    <w:rsid w:val="00F11DDC"/>
    <w:rsid w:val="00F1494A"/>
    <w:rsid w:val="00F20FBB"/>
    <w:rsid w:val="00F24589"/>
    <w:rsid w:val="00F248C7"/>
    <w:rsid w:val="00F25125"/>
    <w:rsid w:val="00F26B0D"/>
    <w:rsid w:val="00F320F0"/>
    <w:rsid w:val="00F34AF9"/>
    <w:rsid w:val="00F4007B"/>
    <w:rsid w:val="00F45D2D"/>
    <w:rsid w:val="00F52149"/>
    <w:rsid w:val="00F52F64"/>
    <w:rsid w:val="00F714DD"/>
    <w:rsid w:val="00F72A00"/>
    <w:rsid w:val="00F74957"/>
    <w:rsid w:val="00F763F5"/>
    <w:rsid w:val="00F85F25"/>
    <w:rsid w:val="00F91685"/>
    <w:rsid w:val="00F9184B"/>
    <w:rsid w:val="00F91DFE"/>
    <w:rsid w:val="00F9523D"/>
    <w:rsid w:val="00FA34C6"/>
    <w:rsid w:val="00FA7216"/>
    <w:rsid w:val="00FB1F82"/>
    <w:rsid w:val="00FB42CE"/>
    <w:rsid w:val="00FB71AF"/>
    <w:rsid w:val="00FB7673"/>
    <w:rsid w:val="00FC0B94"/>
    <w:rsid w:val="00FC2BF7"/>
    <w:rsid w:val="00FC5AE0"/>
    <w:rsid w:val="00FC5D1C"/>
    <w:rsid w:val="00FC6541"/>
    <w:rsid w:val="00FC68D3"/>
    <w:rsid w:val="00FD4A8D"/>
    <w:rsid w:val="00FD6B7D"/>
    <w:rsid w:val="00FD7583"/>
    <w:rsid w:val="00FE09EE"/>
    <w:rsid w:val="00FE4A52"/>
    <w:rsid w:val="00FE6EDB"/>
    <w:rsid w:val="00FE74CD"/>
    <w:rsid w:val="00FE7A0A"/>
    <w:rsid w:val="00FF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14FA"/>
  <w15:chartTrackingRefBased/>
  <w15:docId w15:val="{B52E403B-F9E8-4713-A1EB-095CC8C7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q"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2F6"/>
  </w:style>
  <w:style w:type="paragraph" w:styleId="Heading1">
    <w:name w:val="heading 1"/>
    <w:basedOn w:val="Normal"/>
    <w:next w:val="Normal"/>
    <w:link w:val="Heading1Char"/>
    <w:uiPriority w:val="9"/>
    <w:qFormat/>
    <w:rsid w:val="009D64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2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19B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F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922FEB"/>
    <w:rPr>
      <w:color w:val="0000FF"/>
      <w:u w:val="single"/>
    </w:rPr>
  </w:style>
  <w:style w:type="character" w:customStyle="1" w:styleId="FollowedHyperlink1">
    <w:name w:val="FollowedHyperlink1"/>
    <w:basedOn w:val="DefaultParagraphFont"/>
    <w:uiPriority w:val="99"/>
    <w:semiHidden/>
    <w:unhideWhenUsed/>
    <w:rsid w:val="00922FEB"/>
    <w:rPr>
      <w:color w:val="800080"/>
      <w:u w:val="single"/>
    </w:rPr>
  </w:style>
  <w:style w:type="paragraph" w:styleId="FootnoteText">
    <w:name w:val="footnote text"/>
    <w:basedOn w:val="Normal"/>
    <w:link w:val="FootnoteTextChar"/>
    <w:uiPriority w:val="99"/>
    <w:semiHidden/>
    <w:unhideWhenUsed/>
    <w:rsid w:val="00922FEB"/>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22FEB"/>
    <w:rPr>
      <w:kern w:val="0"/>
      <w:sz w:val="20"/>
      <w:szCs w:val="20"/>
      <w:lang w:val="sq"/>
      <w14:ligatures w14:val="none"/>
    </w:rPr>
  </w:style>
  <w:style w:type="character" w:styleId="FootnoteReference">
    <w:name w:val="footnote reference"/>
    <w:basedOn w:val="DefaultParagraphFont"/>
    <w:uiPriority w:val="99"/>
    <w:semiHidden/>
    <w:unhideWhenUsed/>
    <w:rsid w:val="00922FEB"/>
    <w:rPr>
      <w:vertAlign w:val="superscript"/>
    </w:rPr>
  </w:style>
  <w:style w:type="paragraph" w:styleId="ListParagraph">
    <w:name w:val="List Paragraph"/>
    <w:basedOn w:val="Normal"/>
    <w:uiPriority w:val="34"/>
    <w:qFormat/>
    <w:rsid w:val="00922FEB"/>
    <w:pPr>
      <w:spacing w:after="200" w:line="276" w:lineRule="auto"/>
      <w:ind w:left="720"/>
      <w:contextualSpacing/>
    </w:pPr>
    <w:rPr>
      <w:kern w:val="0"/>
      <w14:ligatures w14:val="none"/>
    </w:rPr>
  </w:style>
  <w:style w:type="paragraph" w:styleId="NormalWeb">
    <w:name w:val="Normal (Web)"/>
    <w:basedOn w:val="Normal"/>
    <w:uiPriority w:val="99"/>
    <w:unhideWhenUsed/>
    <w:rsid w:val="00922FEB"/>
    <w:pPr>
      <w:spacing w:after="200" w:line="276" w:lineRule="auto"/>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922FEB"/>
  </w:style>
  <w:style w:type="character" w:styleId="PageNumber">
    <w:name w:val="page number"/>
    <w:basedOn w:val="DefaultParagraphFont"/>
    <w:rsid w:val="00922FEB"/>
  </w:style>
  <w:style w:type="character" w:customStyle="1" w:styleId="docblue">
    <w:name w:val="doc_blue"/>
    <w:basedOn w:val="DefaultParagraphFont"/>
    <w:rsid w:val="00922FEB"/>
  </w:style>
  <w:style w:type="character" w:customStyle="1" w:styleId="docbody">
    <w:name w:val="doc_body"/>
    <w:basedOn w:val="DefaultParagraphFont"/>
    <w:rsid w:val="00922FEB"/>
  </w:style>
  <w:style w:type="character" w:customStyle="1" w:styleId="docred">
    <w:name w:val="doc_red"/>
    <w:basedOn w:val="DefaultParagraphFont"/>
    <w:rsid w:val="00922FEB"/>
  </w:style>
  <w:style w:type="character" w:styleId="CommentReference">
    <w:name w:val="annotation reference"/>
    <w:basedOn w:val="DefaultParagraphFont"/>
    <w:uiPriority w:val="99"/>
    <w:semiHidden/>
    <w:unhideWhenUsed/>
    <w:rsid w:val="00922FEB"/>
    <w:rPr>
      <w:sz w:val="16"/>
      <w:szCs w:val="16"/>
    </w:rPr>
  </w:style>
  <w:style w:type="paragraph" w:styleId="CommentText">
    <w:name w:val="annotation text"/>
    <w:basedOn w:val="Normal"/>
    <w:link w:val="CommentTextChar"/>
    <w:uiPriority w:val="99"/>
    <w:unhideWhenUsed/>
    <w:rsid w:val="00922FEB"/>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22FEB"/>
    <w:rPr>
      <w:kern w:val="0"/>
      <w:sz w:val="20"/>
      <w:szCs w:val="20"/>
      <w:lang w:val="sq"/>
      <w14:ligatures w14:val="none"/>
    </w:rPr>
  </w:style>
  <w:style w:type="paragraph" w:styleId="CommentSubject">
    <w:name w:val="annotation subject"/>
    <w:basedOn w:val="CommentText"/>
    <w:next w:val="CommentText"/>
    <w:link w:val="CommentSubjectChar"/>
    <w:uiPriority w:val="99"/>
    <w:semiHidden/>
    <w:unhideWhenUsed/>
    <w:rsid w:val="00922FEB"/>
    <w:rPr>
      <w:b/>
      <w:bCs/>
    </w:rPr>
  </w:style>
  <w:style w:type="character" w:customStyle="1" w:styleId="CommentSubjectChar">
    <w:name w:val="Comment Subject Char"/>
    <w:basedOn w:val="CommentTextChar"/>
    <w:link w:val="CommentSubject"/>
    <w:uiPriority w:val="99"/>
    <w:semiHidden/>
    <w:rsid w:val="00922FEB"/>
    <w:rPr>
      <w:b/>
      <w:bCs/>
      <w:kern w:val="0"/>
      <w:sz w:val="20"/>
      <w:szCs w:val="20"/>
      <w:lang w:val="sq"/>
      <w14:ligatures w14:val="none"/>
    </w:rPr>
  </w:style>
  <w:style w:type="paragraph" w:styleId="BalloonText">
    <w:name w:val="Balloon Text"/>
    <w:basedOn w:val="Normal"/>
    <w:link w:val="BalloonTextChar"/>
    <w:uiPriority w:val="99"/>
    <w:semiHidden/>
    <w:unhideWhenUsed/>
    <w:rsid w:val="00922FEB"/>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22FEB"/>
    <w:rPr>
      <w:rFonts w:ascii="Tahoma" w:hAnsi="Tahoma" w:cs="Tahoma"/>
      <w:kern w:val="0"/>
      <w:sz w:val="16"/>
      <w:szCs w:val="16"/>
      <w:lang w:val="sq"/>
      <w14:ligatures w14:val="none"/>
    </w:rPr>
  </w:style>
  <w:style w:type="character" w:styleId="Strong">
    <w:name w:val="Strong"/>
    <w:basedOn w:val="DefaultParagraphFont"/>
    <w:uiPriority w:val="22"/>
    <w:qFormat/>
    <w:rsid w:val="00922FEB"/>
    <w:rPr>
      <w:b/>
      <w:bCs/>
    </w:rPr>
  </w:style>
  <w:style w:type="character" w:customStyle="1" w:styleId="docheader">
    <w:name w:val="doc_header"/>
    <w:basedOn w:val="DefaultParagraphFont"/>
    <w:rsid w:val="00922FEB"/>
  </w:style>
  <w:style w:type="paragraph" w:customStyle="1" w:styleId="ColorfulList-Accent11">
    <w:name w:val="Colorful List - Accent 11"/>
    <w:basedOn w:val="Normal"/>
    <w:uiPriority w:val="34"/>
    <w:qFormat/>
    <w:rsid w:val="00922FEB"/>
    <w:pPr>
      <w:spacing w:after="200" w:line="276" w:lineRule="auto"/>
      <w:ind w:left="720"/>
      <w:contextualSpacing/>
    </w:pPr>
    <w:rPr>
      <w:rFonts w:ascii="Calibri" w:eastAsia="Calibri" w:hAnsi="Calibri" w:cs="Times New Roman"/>
      <w:kern w:val="0"/>
      <w14:ligatures w14:val="none"/>
    </w:rPr>
  </w:style>
  <w:style w:type="character" w:customStyle="1" w:styleId="hps">
    <w:name w:val="hps"/>
    <w:rsid w:val="00922FEB"/>
  </w:style>
  <w:style w:type="paragraph" w:customStyle="1" w:styleId="MediumGrid1-Accent21">
    <w:name w:val="Medium Grid 1 - Accent 21"/>
    <w:basedOn w:val="Normal"/>
    <w:uiPriority w:val="34"/>
    <w:qFormat/>
    <w:rsid w:val="00922FEB"/>
    <w:pPr>
      <w:ind w:left="720"/>
      <w:contextualSpacing/>
    </w:pPr>
    <w:rPr>
      <w:rFonts w:ascii="Times New Roman" w:eastAsia="Calibri" w:hAnsi="Times New Roman" w:cs="Times New Roman"/>
      <w:color w:val="000000"/>
      <w:kern w:val="0"/>
      <w:sz w:val="24"/>
      <w14:ligatures w14:val="none"/>
    </w:rPr>
  </w:style>
  <w:style w:type="character" w:customStyle="1" w:styleId="UnresolvedMention1">
    <w:name w:val="Unresolved Mention1"/>
    <w:basedOn w:val="DefaultParagraphFont"/>
    <w:uiPriority w:val="99"/>
    <w:semiHidden/>
    <w:unhideWhenUsed/>
    <w:rsid w:val="00922FEB"/>
    <w:rPr>
      <w:color w:val="605E5C"/>
      <w:shd w:val="clear" w:color="auto" w:fill="E1DFDD"/>
    </w:rPr>
  </w:style>
  <w:style w:type="character" w:styleId="Hyperlink">
    <w:name w:val="Hyperlink"/>
    <w:basedOn w:val="DefaultParagraphFont"/>
    <w:uiPriority w:val="99"/>
    <w:unhideWhenUsed/>
    <w:rsid w:val="00922FEB"/>
    <w:rPr>
      <w:color w:val="0563C1" w:themeColor="hyperlink"/>
      <w:u w:val="single"/>
    </w:rPr>
  </w:style>
  <w:style w:type="character" w:styleId="FollowedHyperlink">
    <w:name w:val="FollowedHyperlink"/>
    <w:basedOn w:val="DefaultParagraphFont"/>
    <w:uiPriority w:val="99"/>
    <w:semiHidden/>
    <w:unhideWhenUsed/>
    <w:rsid w:val="00922FEB"/>
    <w:rPr>
      <w:color w:val="954F72" w:themeColor="followedHyperlink"/>
      <w:u w:val="single"/>
    </w:rPr>
  </w:style>
  <w:style w:type="paragraph" w:styleId="BodyText">
    <w:name w:val="Body Text"/>
    <w:basedOn w:val="Normal"/>
    <w:link w:val="BodyTextChar"/>
    <w:uiPriority w:val="1"/>
    <w:qFormat/>
    <w:rsid w:val="00996667"/>
    <w:pPr>
      <w:widowControl w:val="0"/>
      <w:autoSpaceDE w:val="0"/>
      <w:autoSpaceDN w:val="0"/>
      <w:spacing w:after="0" w:line="240" w:lineRule="auto"/>
      <w:ind w:left="744" w:hanging="361"/>
      <w:jc w:val="both"/>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996667"/>
    <w:rPr>
      <w:rFonts w:ascii="Calibri" w:eastAsia="Calibri" w:hAnsi="Calibri" w:cs="Calibri"/>
      <w:kern w:val="0"/>
      <w:sz w:val="24"/>
      <w:szCs w:val="24"/>
      <w:lang w:val="sq"/>
      <w14:ligatures w14:val="none"/>
    </w:rPr>
  </w:style>
  <w:style w:type="character" w:styleId="Emphasis">
    <w:name w:val="Emphasis"/>
    <w:basedOn w:val="DefaultParagraphFont"/>
    <w:uiPriority w:val="20"/>
    <w:qFormat/>
    <w:rsid w:val="001024E6"/>
    <w:rPr>
      <w:i/>
      <w:iCs/>
    </w:rPr>
  </w:style>
  <w:style w:type="character" w:customStyle="1" w:styleId="Heading3Char">
    <w:name w:val="Heading 3 Char"/>
    <w:basedOn w:val="DefaultParagraphFont"/>
    <w:link w:val="Heading3"/>
    <w:uiPriority w:val="9"/>
    <w:rsid w:val="00E519B9"/>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9D64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64A3"/>
    <w:pPr>
      <w:outlineLvl w:val="9"/>
    </w:pPr>
    <w:rPr>
      <w:kern w:val="0"/>
      <w14:ligatures w14:val="none"/>
    </w:rPr>
  </w:style>
  <w:style w:type="paragraph" w:styleId="TOC3">
    <w:name w:val="toc 3"/>
    <w:basedOn w:val="Normal"/>
    <w:next w:val="Normal"/>
    <w:autoRedefine/>
    <w:uiPriority w:val="39"/>
    <w:unhideWhenUsed/>
    <w:rsid w:val="009D64A3"/>
    <w:pPr>
      <w:spacing w:after="100"/>
      <w:ind w:left="440"/>
    </w:pPr>
  </w:style>
  <w:style w:type="character" w:customStyle="1" w:styleId="Heading2Char">
    <w:name w:val="Heading 2 Char"/>
    <w:basedOn w:val="DefaultParagraphFont"/>
    <w:link w:val="Heading2"/>
    <w:uiPriority w:val="9"/>
    <w:rsid w:val="00242D3A"/>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415BDC"/>
    <w:pPr>
      <w:spacing w:after="100"/>
    </w:pPr>
  </w:style>
  <w:style w:type="paragraph" w:styleId="TOC2">
    <w:name w:val="toc 2"/>
    <w:basedOn w:val="Normal"/>
    <w:next w:val="Normal"/>
    <w:autoRedefine/>
    <w:uiPriority w:val="39"/>
    <w:unhideWhenUsed/>
    <w:rsid w:val="00415BDC"/>
    <w:pPr>
      <w:spacing w:after="100"/>
      <w:ind w:left="220"/>
    </w:pPr>
  </w:style>
  <w:style w:type="paragraph" w:styleId="TOC4">
    <w:name w:val="toc 4"/>
    <w:basedOn w:val="Normal"/>
    <w:next w:val="Normal"/>
    <w:autoRedefine/>
    <w:uiPriority w:val="39"/>
    <w:unhideWhenUsed/>
    <w:rsid w:val="00415BDC"/>
    <w:pPr>
      <w:spacing w:after="100"/>
      <w:ind w:left="660"/>
    </w:pPr>
    <w:rPr>
      <w:rFonts w:eastAsiaTheme="minorEastAsia"/>
      <w:kern w:val="0"/>
      <w14:ligatures w14:val="none"/>
    </w:rPr>
  </w:style>
  <w:style w:type="paragraph" w:styleId="TOC5">
    <w:name w:val="toc 5"/>
    <w:basedOn w:val="Normal"/>
    <w:next w:val="Normal"/>
    <w:autoRedefine/>
    <w:uiPriority w:val="39"/>
    <w:unhideWhenUsed/>
    <w:rsid w:val="00415BDC"/>
    <w:pPr>
      <w:spacing w:after="100"/>
      <w:ind w:left="880"/>
    </w:pPr>
    <w:rPr>
      <w:rFonts w:eastAsiaTheme="minorEastAsia"/>
      <w:kern w:val="0"/>
      <w14:ligatures w14:val="none"/>
    </w:rPr>
  </w:style>
  <w:style w:type="paragraph" w:styleId="TOC6">
    <w:name w:val="toc 6"/>
    <w:basedOn w:val="Normal"/>
    <w:next w:val="Normal"/>
    <w:autoRedefine/>
    <w:uiPriority w:val="39"/>
    <w:unhideWhenUsed/>
    <w:rsid w:val="00415BDC"/>
    <w:pPr>
      <w:spacing w:after="100"/>
      <w:ind w:left="1100"/>
    </w:pPr>
    <w:rPr>
      <w:rFonts w:eastAsiaTheme="minorEastAsia"/>
      <w:kern w:val="0"/>
      <w14:ligatures w14:val="none"/>
    </w:rPr>
  </w:style>
  <w:style w:type="paragraph" w:styleId="TOC7">
    <w:name w:val="toc 7"/>
    <w:basedOn w:val="Normal"/>
    <w:next w:val="Normal"/>
    <w:autoRedefine/>
    <w:uiPriority w:val="39"/>
    <w:unhideWhenUsed/>
    <w:rsid w:val="00415BDC"/>
    <w:pPr>
      <w:spacing w:after="100"/>
      <w:ind w:left="1320"/>
    </w:pPr>
    <w:rPr>
      <w:rFonts w:eastAsiaTheme="minorEastAsia"/>
      <w:kern w:val="0"/>
      <w14:ligatures w14:val="none"/>
    </w:rPr>
  </w:style>
  <w:style w:type="paragraph" w:styleId="TOC8">
    <w:name w:val="toc 8"/>
    <w:basedOn w:val="Normal"/>
    <w:next w:val="Normal"/>
    <w:autoRedefine/>
    <w:uiPriority w:val="39"/>
    <w:unhideWhenUsed/>
    <w:rsid w:val="00415BDC"/>
    <w:pPr>
      <w:spacing w:after="100"/>
      <w:ind w:left="1540"/>
    </w:pPr>
    <w:rPr>
      <w:rFonts w:eastAsiaTheme="minorEastAsia"/>
      <w:kern w:val="0"/>
      <w14:ligatures w14:val="none"/>
    </w:rPr>
  </w:style>
  <w:style w:type="paragraph" w:styleId="TOC9">
    <w:name w:val="toc 9"/>
    <w:basedOn w:val="Normal"/>
    <w:next w:val="Normal"/>
    <w:autoRedefine/>
    <w:uiPriority w:val="39"/>
    <w:unhideWhenUsed/>
    <w:rsid w:val="00415BDC"/>
    <w:pPr>
      <w:spacing w:after="100"/>
      <w:ind w:left="1760"/>
    </w:pPr>
    <w:rPr>
      <w:rFonts w:eastAsiaTheme="minorEastAsia"/>
      <w:kern w:val="0"/>
      <w14:ligatures w14:val="none"/>
    </w:rPr>
  </w:style>
  <w:style w:type="paragraph" w:styleId="Header">
    <w:name w:val="header"/>
    <w:basedOn w:val="Normal"/>
    <w:link w:val="HeaderChar"/>
    <w:uiPriority w:val="99"/>
    <w:unhideWhenUsed/>
    <w:rsid w:val="00A10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6AB"/>
  </w:style>
  <w:style w:type="paragraph" w:styleId="Footer">
    <w:name w:val="footer"/>
    <w:basedOn w:val="Normal"/>
    <w:link w:val="FooterChar"/>
    <w:uiPriority w:val="99"/>
    <w:unhideWhenUsed/>
    <w:rsid w:val="00A10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AB"/>
  </w:style>
  <w:style w:type="paragraph" w:customStyle="1" w:styleId="oj-normal">
    <w:name w:val="oj-normal"/>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j-ti-grseq-1">
    <w:name w:val="oj-ti-grseq-1"/>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expanded">
    <w:name w:val="oj-expanded"/>
    <w:basedOn w:val="DefaultParagraphFont"/>
    <w:rsid w:val="0077636B"/>
  </w:style>
  <w:style w:type="paragraph" w:customStyle="1" w:styleId="oj-ti-art">
    <w:name w:val="oj-ti-art"/>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super">
    <w:name w:val="oj-super"/>
    <w:basedOn w:val="DefaultParagraphFont"/>
    <w:rsid w:val="0077636B"/>
  </w:style>
  <w:style w:type="paragraph" w:styleId="NoSpacing">
    <w:name w:val="No Spacing"/>
    <w:uiPriority w:val="1"/>
    <w:qFormat/>
    <w:rsid w:val="0071079D"/>
    <w:pPr>
      <w:spacing w:after="0" w:line="240" w:lineRule="auto"/>
    </w:pPr>
    <w:rPr>
      <w:rFonts w:eastAsiaTheme="minorEastAsia"/>
      <w:kern w:val="0"/>
      <w14:ligatures w14:val="none"/>
    </w:rPr>
  </w:style>
  <w:style w:type="character" w:customStyle="1" w:styleId="legamendingtext">
    <w:name w:val="legamendingtext"/>
    <w:basedOn w:val="DefaultParagraphFont"/>
    <w:rsid w:val="0042577F"/>
  </w:style>
  <w:style w:type="paragraph" w:customStyle="1" w:styleId="legclearfix">
    <w:name w:val="legclearfix"/>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egrhs">
    <w:name w:val="legrhs"/>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1725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1618">
      <w:bodyDiv w:val="1"/>
      <w:marLeft w:val="0"/>
      <w:marRight w:val="0"/>
      <w:marTop w:val="0"/>
      <w:marBottom w:val="0"/>
      <w:divBdr>
        <w:top w:val="none" w:sz="0" w:space="0" w:color="auto"/>
        <w:left w:val="none" w:sz="0" w:space="0" w:color="auto"/>
        <w:bottom w:val="none" w:sz="0" w:space="0" w:color="auto"/>
        <w:right w:val="none" w:sz="0" w:space="0" w:color="auto"/>
      </w:divBdr>
      <w:divsChild>
        <w:div w:id="481969684">
          <w:marLeft w:val="0"/>
          <w:marRight w:val="0"/>
          <w:marTop w:val="0"/>
          <w:marBottom w:val="0"/>
          <w:divBdr>
            <w:top w:val="none" w:sz="0" w:space="0" w:color="auto"/>
            <w:left w:val="none" w:sz="0" w:space="0" w:color="auto"/>
            <w:bottom w:val="none" w:sz="0" w:space="0" w:color="auto"/>
            <w:right w:val="none" w:sz="0" w:space="0" w:color="auto"/>
          </w:divBdr>
        </w:div>
      </w:divsChild>
    </w:div>
    <w:div w:id="45180504">
      <w:bodyDiv w:val="1"/>
      <w:marLeft w:val="0"/>
      <w:marRight w:val="0"/>
      <w:marTop w:val="0"/>
      <w:marBottom w:val="0"/>
      <w:divBdr>
        <w:top w:val="none" w:sz="0" w:space="0" w:color="auto"/>
        <w:left w:val="none" w:sz="0" w:space="0" w:color="auto"/>
        <w:bottom w:val="none" w:sz="0" w:space="0" w:color="auto"/>
        <w:right w:val="none" w:sz="0" w:space="0" w:color="auto"/>
      </w:divBdr>
    </w:div>
    <w:div w:id="66853641">
      <w:bodyDiv w:val="1"/>
      <w:marLeft w:val="0"/>
      <w:marRight w:val="0"/>
      <w:marTop w:val="0"/>
      <w:marBottom w:val="0"/>
      <w:divBdr>
        <w:top w:val="none" w:sz="0" w:space="0" w:color="auto"/>
        <w:left w:val="none" w:sz="0" w:space="0" w:color="auto"/>
        <w:bottom w:val="none" w:sz="0" w:space="0" w:color="auto"/>
        <w:right w:val="none" w:sz="0" w:space="0" w:color="auto"/>
      </w:divBdr>
      <w:divsChild>
        <w:div w:id="80807730">
          <w:marLeft w:val="0"/>
          <w:marRight w:val="0"/>
          <w:marTop w:val="0"/>
          <w:marBottom w:val="0"/>
          <w:divBdr>
            <w:top w:val="none" w:sz="0" w:space="0" w:color="auto"/>
            <w:left w:val="none" w:sz="0" w:space="0" w:color="auto"/>
            <w:bottom w:val="none" w:sz="0" w:space="0" w:color="auto"/>
            <w:right w:val="none" w:sz="0" w:space="0" w:color="auto"/>
          </w:divBdr>
        </w:div>
        <w:div w:id="388841559">
          <w:marLeft w:val="0"/>
          <w:marRight w:val="0"/>
          <w:marTop w:val="0"/>
          <w:marBottom w:val="0"/>
          <w:divBdr>
            <w:top w:val="none" w:sz="0" w:space="0" w:color="auto"/>
            <w:left w:val="none" w:sz="0" w:space="0" w:color="auto"/>
            <w:bottom w:val="none" w:sz="0" w:space="0" w:color="auto"/>
            <w:right w:val="none" w:sz="0" w:space="0" w:color="auto"/>
          </w:divBdr>
        </w:div>
        <w:div w:id="1896507503">
          <w:marLeft w:val="0"/>
          <w:marRight w:val="0"/>
          <w:marTop w:val="0"/>
          <w:marBottom w:val="0"/>
          <w:divBdr>
            <w:top w:val="none" w:sz="0" w:space="0" w:color="auto"/>
            <w:left w:val="none" w:sz="0" w:space="0" w:color="auto"/>
            <w:bottom w:val="none" w:sz="0" w:space="0" w:color="auto"/>
            <w:right w:val="none" w:sz="0" w:space="0" w:color="auto"/>
          </w:divBdr>
        </w:div>
        <w:div w:id="1199705502">
          <w:marLeft w:val="0"/>
          <w:marRight w:val="0"/>
          <w:marTop w:val="0"/>
          <w:marBottom w:val="0"/>
          <w:divBdr>
            <w:top w:val="none" w:sz="0" w:space="0" w:color="auto"/>
            <w:left w:val="none" w:sz="0" w:space="0" w:color="auto"/>
            <w:bottom w:val="none" w:sz="0" w:space="0" w:color="auto"/>
            <w:right w:val="none" w:sz="0" w:space="0" w:color="auto"/>
          </w:divBdr>
        </w:div>
      </w:divsChild>
    </w:div>
    <w:div w:id="69619284">
      <w:bodyDiv w:val="1"/>
      <w:marLeft w:val="0"/>
      <w:marRight w:val="0"/>
      <w:marTop w:val="0"/>
      <w:marBottom w:val="0"/>
      <w:divBdr>
        <w:top w:val="none" w:sz="0" w:space="0" w:color="auto"/>
        <w:left w:val="none" w:sz="0" w:space="0" w:color="auto"/>
        <w:bottom w:val="none" w:sz="0" w:space="0" w:color="auto"/>
        <w:right w:val="none" w:sz="0" w:space="0" w:color="auto"/>
      </w:divBdr>
    </w:div>
    <w:div w:id="95175758">
      <w:bodyDiv w:val="1"/>
      <w:marLeft w:val="0"/>
      <w:marRight w:val="0"/>
      <w:marTop w:val="0"/>
      <w:marBottom w:val="0"/>
      <w:divBdr>
        <w:top w:val="none" w:sz="0" w:space="0" w:color="auto"/>
        <w:left w:val="none" w:sz="0" w:space="0" w:color="auto"/>
        <w:bottom w:val="none" w:sz="0" w:space="0" w:color="auto"/>
        <w:right w:val="none" w:sz="0" w:space="0" w:color="auto"/>
      </w:divBdr>
    </w:div>
    <w:div w:id="113450903">
      <w:bodyDiv w:val="1"/>
      <w:marLeft w:val="0"/>
      <w:marRight w:val="0"/>
      <w:marTop w:val="0"/>
      <w:marBottom w:val="0"/>
      <w:divBdr>
        <w:top w:val="none" w:sz="0" w:space="0" w:color="auto"/>
        <w:left w:val="none" w:sz="0" w:space="0" w:color="auto"/>
        <w:bottom w:val="none" w:sz="0" w:space="0" w:color="auto"/>
        <w:right w:val="none" w:sz="0" w:space="0" w:color="auto"/>
      </w:divBdr>
    </w:div>
    <w:div w:id="114913414">
      <w:bodyDiv w:val="1"/>
      <w:marLeft w:val="0"/>
      <w:marRight w:val="0"/>
      <w:marTop w:val="0"/>
      <w:marBottom w:val="0"/>
      <w:divBdr>
        <w:top w:val="none" w:sz="0" w:space="0" w:color="auto"/>
        <w:left w:val="none" w:sz="0" w:space="0" w:color="auto"/>
        <w:bottom w:val="none" w:sz="0" w:space="0" w:color="auto"/>
        <w:right w:val="none" w:sz="0" w:space="0" w:color="auto"/>
      </w:divBdr>
    </w:div>
    <w:div w:id="146748648">
      <w:bodyDiv w:val="1"/>
      <w:marLeft w:val="0"/>
      <w:marRight w:val="0"/>
      <w:marTop w:val="0"/>
      <w:marBottom w:val="0"/>
      <w:divBdr>
        <w:top w:val="none" w:sz="0" w:space="0" w:color="auto"/>
        <w:left w:val="none" w:sz="0" w:space="0" w:color="auto"/>
        <w:bottom w:val="none" w:sz="0" w:space="0" w:color="auto"/>
        <w:right w:val="none" w:sz="0" w:space="0" w:color="auto"/>
      </w:divBdr>
    </w:div>
    <w:div w:id="155149104">
      <w:bodyDiv w:val="1"/>
      <w:marLeft w:val="0"/>
      <w:marRight w:val="0"/>
      <w:marTop w:val="0"/>
      <w:marBottom w:val="0"/>
      <w:divBdr>
        <w:top w:val="none" w:sz="0" w:space="0" w:color="auto"/>
        <w:left w:val="none" w:sz="0" w:space="0" w:color="auto"/>
        <w:bottom w:val="none" w:sz="0" w:space="0" w:color="auto"/>
        <w:right w:val="none" w:sz="0" w:space="0" w:color="auto"/>
      </w:divBdr>
    </w:div>
    <w:div w:id="194972149">
      <w:bodyDiv w:val="1"/>
      <w:marLeft w:val="0"/>
      <w:marRight w:val="0"/>
      <w:marTop w:val="0"/>
      <w:marBottom w:val="0"/>
      <w:divBdr>
        <w:top w:val="none" w:sz="0" w:space="0" w:color="auto"/>
        <w:left w:val="none" w:sz="0" w:space="0" w:color="auto"/>
        <w:bottom w:val="none" w:sz="0" w:space="0" w:color="auto"/>
        <w:right w:val="none" w:sz="0" w:space="0" w:color="auto"/>
      </w:divBdr>
    </w:div>
    <w:div w:id="207491911">
      <w:bodyDiv w:val="1"/>
      <w:marLeft w:val="0"/>
      <w:marRight w:val="0"/>
      <w:marTop w:val="0"/>
      <w:marBottom w:val="0"/>
      <w:divBdr>
        <w:top w:val="none" w:sz="0" w:space="0" w:color="auto"/>
        <w:left w:val="none" w:sz="0" w:space="0" w:color="auto"/>
        <w:bottom w:val="none" w:sz="0" w:space="0" w:color="auto"/>
        <w:right w:val="none" w:sz="0" w:space="0" w:color="auto"/>
      </w:divBdr>
    </w:div>
    <w:div w:id="235287955">
      <w:bodyDiv w:val="1"/>
      <w:marLeft w:val="0"/>
      <w:marRight w:val="0"/>
      <w:marTop w:val="0"/>
      <w:marBottom w:val="0"/>
      <w:divBdr>
        <w:top w:val="none" w:sz="0" w:space="0" w:color="auto"/>
        <w:left w:val="none" w:sz="0" w:space="0" w:color="auto"/>
        <w:bottom w:val="none" w:sz="0" w:space="0" w:color="auto"/>
        <w:right w:val="none" w:sz="0" w:space="0" w:color="auto"/>
      </w:divBdr>
    </w:div>
    <w:div w:id="329646590">
      <w:bodyDiv w:val="1"/>
      <w:marLeft w:val="0"/>
      <w:marRight w:val="0"/>
      <w:marTop w:val="0"/>
      <w:marBottom w:val="0"/>
      <w:divBdr>
        <w:top w:val="none" w:sz="0" w:space="0" w:color="auto"/>
        <w:left w:val="none" w:sz="0" w:space="0" w:color="auto"/>
        <w:bottom w:val="none" w:sz="0" w:space="0" w:color="auto"/>
        <w:right w:val="none" w:sz="0" w:space="0" w:color="auto"/>
      </w:divBdr>
    </w:div>
    <w:div w:id="339358952">
      <w:bodyDiv w:val="1"/>
      <w:marLeft w:val="0"/>
      <w:marRight w:val="0"/>
      <w:marTop w:val="0"/>
      <w:marBottom w:val="0"/>
      <w:divBdr>
        <w:top w:val="none" w:sz="0" w:space="0" w:color="auto"/>
        <w:left w:val="none" w:sz="0" w:space="0" w:color="auto"/>
        <w:bottom w:val="none" w:sz="0" w:space="0" w:color="auto"/>
        <w:right w:val="none" w:sz="0" w:space="0" w:color="auto"/>
      </w:divBdr>
    </w:div>
    <w:div w:id="345601155">
      <w:bodyDiv w:val="1"/>
      <w:marLeft w:val="0"/>
      <w:marRight w:val="0"/>
      <w:marTop w:val="0"/>
      <w:marBottom w:val="0"/>
      <w:divBdr>
        <w:top w:val="none" w:sz="0" w:space="0" w:color="auto"/>
        <w:left w:val="none" w:sz="0" w:space="0" w:color="auto"/>
        <w:bottom w:val="none" w:sz="0" w:space="0" w:color="auto"/>
        <w:right w:val="none" w:sz="0" w:space="0" w:color="auto"/>
      </w:divBdr>
    </w:div>
    <w:div w:id="347684202">
      <w:bodyDiv w:val="1"/>
      <w:marLeft w:val="0"/>
      <w:marRight w:val="0"/>
      <w:marTop w:val="0"/>
      <w:marBottom w:val="0"/>
      <w:divBdr>
        <w:top w:val="none" w:sz="0" w:space="0" w:color="auto"/>
        <w:left w:val="none" w:sz="0" w:space="0" w:color="auto"/>
        <w:bottom w:val="none" w:sz="0" w:space="0" w:color="auto"/>
        <w:right w:val="none" w:sz="0" w:space="0" w:color="auto"/>
      </w:divBdr>
    </w:div>
    <w:div w:id="382291549">
      <w:bodyDiv w:val="1"/>
      <w:marLeft w:val="0"/>
      <w:marRight w:val="0"/>
      <w:marTop w:val="0"/>
      <w:marBottom w:val="0"/>
      <w:divBdr>
        <w:top w:val="none" w:sz="0" w:space="0" w:color="auto"/>
        <w:left w:val="none" w:sz="0" w:space="0" w:color="auto"/>
        <w:bottom w:val="none" w:sz="0" w:space="0" w:color="auto"/>
        <w:right w:val="none" w:sz="0" w:space="0" w:color="auto"/>
      </w:divBdr>
    </w:div>
    <w:div w:id="389815015">
      <w:bodyDiv w:val="1"/>
      <w:marLeft w:val="0"/>
      <w:marRight w:val="0"/>
      <w:marTop w:val="0"/>
      <w:marBottom w:val="0"/>
      <w:divBdr>
        <w:top w:val="none" w:sz="0" w:space="0" w:color="auto"/>
        <w:left w:val="none" w:sz="0" w:space="0" w:color="auto"/>
        <w:bottom w:val="none" w:sz="0" w:space="0" w:color="auto"/>
        <w:right w:val="none" w:sz="0" w:space="0" w:color="auto"/>
      </w:divBdr>
    </w:div>
    <w:div w:id="407964562">
      <w:bodyDiv w:val="1"/>
      <w:marLeft w:val="0"/>
      <w:marRight w:val="0"/>
      <w:marTop w:val="0"/>
      <w:marBottom w:val="0"/>
      <w:divBdr>
        <w:top w:val="none" w:sz="0" w:space="0" w:color="auto"/>
        <w:left w:val="none" w:sz="0" w:space="0" w:color="auto"/>
        <w:bottom w:val="none" w:sz="0" w:space="0" w:color="auto"/>
        <w:right w:val="none" w:sz="0" w:space="0" w:color="auto"/>
      </w:divBdr>
      <w:divsChild>
        <w:div w:id="887766585">
          <w:marLeft w:val="0"/>
          <w:marRight w:val="0"/>
          <w:marTop w:val="0"/>
          <w:marBottom w:val="0"/>
          <w:divBdr>
            <w:top w:val="none" w:sz="0" w:space="0" w:color="auto"/>
            <w:left w:val="none" w:sz="0" w:space="0" w:color="auto"/>
            <w:bottom w:val="none" w:sz="0" w:space="0" w:color="auto"/>
            <w:right w:val="none" w:sz="0" w:space="0" w:color="auto"/>
          </w:divBdr>
          <w:divsChild>
            <w:div w:id="549146384">
              <w:marLeft w:val="0"/>
              <w:marRight w:val="0"/>
              <w:marTop w:val="0"/>
              <w:marBottom w:val="0"/>
              <w:divBdr>
                <w:top w:val="none" w:sz="0" w:space="0" w:color="auto"/>
                <w:left w:val="none" w:sz="0" w:space="0" w:color="auto"/>
                <w:bottom w:val="none" w:sz="0" w:space="0" w:color="auto"/>
                <w:right w:val="none" w:sz="0" w:space="0" w:color="auto"/>
              </w:divBdr>
              <w:divsChild>
                <w:div w:id="2000036163">
                  <w:marLeft w:val="0"/>
                  <w:marRight w:val="0"/>
                  <w:marTop w:val="0"/>
                  <w:marBottom w:val="0"/>
                  <w:divBdr>
                    <w:top w:val="none" w:sz="0" w:space="0" w:color="auto"/>
                    <w:left w:val="none" w:sz="0" w:space="0" w:color="auto"/>
                    <w:bottom w:val="none" w:sz="0" w:space="0" w:color="auto"/>
                    <w:right w:val="none" w:sz="0" w:space="0" w:color="auto"/>
                  </w:divBdr>
                  <w:divsChild>
                    <w:div w:id="900017271">
                      <w:marLeft w:val="0"/>
                      <w:marRight w:val="0"/>
                      <w:marTop w:val="0"/>
                      <w:marBottom w:val="0"/>
                      <w:divBdr>
                        <w:top w:val="none" w:sz="0" w:space="0" w:color="auto"/>
                        <w:left w:val="none" w:sz="0" w:space="0" w:color="auto"/>
                        <w:bottom w:val="none" w:sz="0" w:space="0" w:color="auto"/>
                        <w:right w:val="none" w:sz="0" w:space="0" w:color="auto"/>
                      </w:divBdr>
                      <w:divsChild>
                        <w:div w:id="703751487">
                          <w:marLeft w:val="0"/>
                          <w:marRight w:val="0"/>
                          <w:marTop w:val="0"/>
                          <w:marBottom w:val="0"/>
                          <w:divBdr>
                            <w:top w:val="none" w:sz="0" w:space="0" w:color="auto"/>
                            <w:left w:val="none" w:sz="0" w:space="0" w:color="auto"/>
                            <w:bottom w:val="none" w:sz="0" w:space="0" w:color="auto"/>
                            <w:right w:val="none" w:sz="0" w:space="0" w:color="auto"/>
                          </w:divBdr>
                          <w:divsChild>
                            <w:div w:id="7588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453714">
      <w:bodyDiv w:val="1"/>
      <w:marLeft w:val="0"/>
      <w:marRight w:val="0"/>
      <w:marTop w:val="0"/>
      <w:marBottom w:val="0"/>
      <w:divBdr>
        <w:top w:val="none" w:sz="0" w:space="0" w:color="auto"/>
        <w:left w:val="none" w:sz="0" w:space="0" w:color="auto"/>
        <w:bottom w:val="none" w:sz="0" w:space="0" w:color="auto"/>
        <w:right w:val="none" w:sz="0" w:space="0" w:color="auto"/>
      </w:divBdr>
      <w:divsChild>
        <w:div w:id="255674626">
          <w:marLeft w:val="0"/>
          <w:marRight w:val="0"/>
          <w:marTop w:val="0"/>
          <w:marBottom w:val="0"/>
          <w:divBdr>
            <w:top w:val="none" w:sz="0" w:space="0" w:color="auto"/>
            <w:left w:val="none" w:sz="0" w:space="0" w:color="auto"/>
            <w:bottom w:val="none" w:sz="0" w:space="0" w:color="auto"/>
            <w:right w:val="none" w:sz="0" w:space="0" w:color="auto"/>
          </w:divBdr>
        </w:div>
        <w:div w:id="908464086">
          <w:marLeft w:val="0"/>
          <w:marRight w:val="0"/>
          <w:marTop w:val="0"/>
          <w:marBottom w:val="0"/>
          <w:divBdr>
            <w:top w:val="none" w:sz="0" w:space="0" w:color="auto"/>
            <w:left w:val="none" w:sz="0" w:space="0" w:color="auto"/>
            <w:bottom w:val="none" w:sz="0" w:space="0" w:color="auto"/>
            <w:right w:val="none" w:sz="0" w:space="0" w:color="auto"/>
          </w:divBdr>
        </w:div>
      </w:divsChild>
    </w:div>
    <w:div w:id="447050906">
      <w:bodyDiv w:val="1"/>
      <w:marLeft w:val="0"/>
      <w:marRight w:val="0"/>
      <w:marTop w:val="0"/>
      <w:marBottom w:val="0"/>
      <w:divBdr>
        <w:top w:val="none" w:sz="0" w:space="0" w:color="auto"/>
        <w:left w:val="none" w:sz="0" w:space="0" w:color="auto"/>
        <w:bottom w:val="none" w:sz="0" w:space="0" w:color="auto"/>
        <w:right w:val="none" w:sz="0" w:space="0" w:color="auto"/>
      </w:divBdr>
      <w:divsChild>
        <w:div w:id="13003924">
          <w:marLeft w:val="0"/>
          <w:marRight w:val="0"/>
          <w:marTop w:val="0"/>
          <w:marBottom w:val="0"/>
          <w:divBdr>
            <w:top w:val="none" w:sz="0" w:space="0" w:color="auto"/>
            <w:left w:val="none" w:sz="0" w:space="0" w:color="auto"/>
            <w:bottom w:val="none" w:sz="0" w:space="0" w:color="auto"/>
            <w:right w:val="none" w:sz="0" w:space="0" w:color="auto"/>
          </w:divBdr>
        </w:div>
        <w:div w:id="416171366">
          <w:marLeft w:val="0"/>
          <w:marRight w:val="0"/>
          <w:marTop w:val="0"/>
          <w:marBottom w:val="0"/>
          <w:divBdr>
            <w:top w:val="none" w:sz="0" w:space="0" w:color="auto"/>
            <w:left w:val="none" w:sz="0" w:space="0" w:color="auto"/>
            <w:bottom w:val="none" w:sz="0" w:space="0" w:color="auto"/>
            <w:right w:val="none" w:sz="0" w:space="0" w:color="auto"/>
          </w:divBdr>
        </w:div>
        <w:div w:id="1956326091">
          <w:marLeft w:val="0"/>
          <w:marRight w:val="0"/>
          <w:marTop w:val="0"/>
          <w:marBottom w:val="0"/>
          <w:divBdr>
            <w:top w:val="none" w:sz="0" w:space="0" w:color="auto"/>
            <w:left w:val="none" w:sz="0" w:space="0" w:color="auto"/>
            <w:bottom w:val="none" w:sz="0" w:space="0" w:color="auto"/>
            <w:right w:val="none" w:sz="0" w:space="0" w:color="auto"/>
          </w:divBdr>
        </w:div>
        <w:div w:id="1482966685">
          <w:marLeft w:val="0"/>
          <w:marRight w:val="0"/>
          <w:marTop w:val="0"/>
          <w:marBottom w:val="0"/>
          <w:divBdr>
            <w:top w:val="none" w:sz="0" w:space="0" w:color="auto"/>
            <w:left w:val="none" w:sz="0" w:space="0" w:color="auto"/>
            <w:bottom w:val="none" w:sz="0" w:space="0" w:color="auto"/>
            <w:right w:val="none" w:sz="0" w:space="0" w:color="auto"/>
          </w:divBdr>
        </w:div>
      </w:divsChild>
    </w:div>
    <w:div w:id="450822376">
      <w:bodyDiv w:val="1"/>
      <w:marLeft w:val="0"/>
      <w:marRight w:val="0"/>
      <w:marTop w:val="0"/>
      <w:marBottom w:val="0"/>
      <w:divBdr>
        <w:top w:val="none" w:sz="0" w:space="0" w:color="auto"/>
        <w:left w:val="none" w:sz="0" w:space="0" w:color="auto"/>
        <w:bottom w:val="none" w:sz="0" w:space="0" w:color="auto"/>
        <w:right w:val="none" w:sz="0" w:space="0" w:color="auto"/>
      </w:divBdr>
    </w:div>
    <w:div w:id="496192425">
      <w:bodyDiv w:val="1"/>
      <w:marLeft w:val="0"/>
      <w:marRight w:val="0"/>
      <w:marTop w:val="0"/>
      <w:marBottom w:val="0"/>
      <w:divBdr>
        <w:top w:val="none" w:sz="0" w:space="0" w:color="auto"/>
        <w:left w:val="none" w:sz="0" w:space="0" w:color="auto"/>
        <w:bottom w:val="none" w:sz="0" w:space="0" w:color="auto"/>
        <w:right w:val="none" w:sz="0" w:space="0" w:color="auto"/>
      </w:divBdr>
    </w:div>
    <w:div w:id="496269949">
      <w:bodyDiv w:val="1"/>
      <w:marLeft w:val="0"/>
      <w:marRight w:val="0"/>
      <w:marTop w:val="0"/>
      <w:marBottom w:val="0"/>
      <w:divBdr>
        <w:top w:val="none" w:sz="0" w:space="0" w:color="auto"/>
        <w:left w:val="none" w:sz="0" w:space="0" w:color="auto"/>
        <w:bottom w:val="none" w:sz="0" w:space="0" w:color="auto"/>
        <w:right w:val="none" w:sz="0" w:space="0" w:color="auto"/>
      </w:divBdr>
    </w:div>
    <w:div w:id="498547958">
      <w:bodyDiv w:val="1"/>
      <w:marLeft w:val="0"/>
      <w:marRight w:val="0"/>
      <w:marTop w:val="0"/>
      <w:marBottom w:val="0"/>
      <w:divBdr>
        <w:top w:val="none" w:sz="0" w:space="0" w:color="auto"/>
        <w:left w:val="none" w:sz="0" w:space="0" w:color="auto"/>
        <w:bottom w:val="none" w:sz="0" w:space="0" w:color="auto"/>
        <w:right w:val="none" w:sz="0" w:space="0" w:color="auto"/>
      </w:divBdr>
      <w:divsChild>
        <w:div w:id="440565309">
          <w:marLeft w:val="0"/>
          <w:marRight w:val="0"/>
          <w:marTop w:val="0"/>
          <w:marBottom w:val="0"/>
          <w:divBdr>
            <w:top w:val="none" w:sz="0" w:space="0" w:color="auto"/>
            <w:left w:val="none" w:sz="0" w:space="0" w:color="auto"/>
            <w:bottom w:val="none" w:sz="0" w:space="0" w:color="auto"/>
            <w:right w:val="none" w:sz="0" w:space="0" w:color="auto"/>
          </w:divBdr>
        </w:div>
        <w:div w:id="1471702461">
          <w:marLeft w:val="0"/>
          <w:marRight w:val="0"/>
          <w:marTop w:val="0"/>
          <w:marBottom w:val="0"/>
          <w:divBdr>
            <w:top w:val="none" w:sz="0" w:space="0" w:color="auto"/>
            <w:left w:val="none" w:sz="0" w:space="0" w:color="auto"/>
            <w:bottom w:val="none" w:sz="0" w:space="0" w:color="auto"/>
            <w:right w:val="none" w:sz="0" w:space="0" w:color="auto"/>
          </w:divBdr>
        </w:div>
      </w:divsChild>
    </w:div>
    <w:div w:id="499928394">
      <w:bodyDiv w:val="1"/>
      <w:marLeft w:val="0"/>
      <w:marRight w:val="0"/>
      <w:marTop w:val="0"/>
      <w:marBottom w:val="0"/>
      <w:divBdr>
        <w:top w:val="none" w:sz="0" w:space="0" w:color="auto"/>
        <w:left w:val="none" w:sz="0" w:space="0" w:color="auto"/>
        <w:bottom w:val="none" w:sz="0" w:space="0" w:color="auto"/>
        <w:right w:val="none" w:sz="0" w:space="0" w:color="auto"/>
      </w:divBdr>
    </w:div>
    <w:div w:id="518545862">
      <w:bodyDiv w:val="1"/>
      <w:marLeft w:val="0"/>
      <w:marRight w:val="0"/>
      <w:marTop w:val="0"/>
      <w:marBottom w:val="0"/>
      <w:divBdr>
        <w:top w:val="none" w:sz="0" w:space="0" w:color="auto"/>
        <w:left w:val="none" w:sz="0" w:space="0" w:color="auto"/>
        <w:bottom w:val="none" w:sz="0" w:space="0" w:color="auto"/>
        <w:right w:val="none" w:sz="0" w:space="0" w:color="auto"/>
      </w:divBdr>
    </w:div>
    <w:div w:id="529226030">
      <w:bodyDiv w:val="1"/>
      <w:marLeft w:val="0"/>
      <w:marRight w:val="0"/>
      <w:marTop w:val="0"/>
      <w:marBottom w:val="0"/>
      <w:divBdr>
        <w:top w:val="none" w:sz="0" w:space="0" w:color="auto"/>
        <w:left w:val="none" w:sz="0" w:space="0" w:color="auto"/>
        <w:bottom w:val="none" w:sz="0" w:space="0" w:color="auto"/>
        <w:right w:val="none" w:sz="0" w:space="0" w:color="auto"/>
      </w:divBdr>
    </w:div>
    <w:div w:id="543761449">
      <w:bodyDiv w:val="1"/>
      <w:marLeft w:val="0"/>
      <w:marRight w:val="0"/>
      <w:marTop w:val="0"/>
      <w:marBottom w:val="0"/>
      <w:divBdr>
        <w:top w:val="none" w:sz="0" w:space="0" w:color="auto"/>
        <w:left w:val="none" w:sz="0" w:space="0" w:color="auto"/>
        <w:bottom w:val="none" w:sz="0" w:space="0" w:color="auto"/>
        <w:right w:val="none" w:sz="0" w:space="0" w:color="auto"/>
      </w:divBdr>
    </w:div>
    <w:div w:id="553078111">
      <w:bodyDiv w:val="1"/>
      <w:marLeft w:val="0"/>
      <w:marRight w:val="0"/>
      <w:marTop w:val="0"/>
      <w:marBottom w:val="0"/>
      <w:divBdr>
        <w:top w:val="none" w:sz="0" w:space="0" w:color="auto"/>
        <w:left w:val="none" w:sz="0" w:space="0" w:color="auto"/>
        <w:bottom w:val="none" w:sz="0" w:space="0" w:color="auto"/>
        <w:right w:val="none" w:sz="0" w:space="0" w:color="auto"/>
      </w:divBdr>
      <w:divsChild>
        <w:div w:id="1117944171">
          <w:marLeft w:val="0"/>
          <w:marRight w:val="0"/>
          <w:marTop w:val="0"/>
          <w:marBottom w:val="0"/>
          <w:divBdr>
            <w:top w:val="none" w:sz="0" w:space="0" w:color="auto"/>
            <w:left w:val="none" w:sz="0" w:space="0" w:color="auto"/>
            <w:bottom w:val="none" w:sz="0" w:space="0" w:color="auto"/>
            <w:right w:val="none" w:sz="0" w:space="0" w:color="auto"/>
          </w:divBdr>
          <w:divsChild>
            <w:div w:id="1278870376">
              <w:marLeft w:val="0"/>
              <w:marRight w:val="0"/>
              <w:marTop w:val="0"/>
              <w:marBottom w:val="0"/>
              <w:divBdr>
                <w:top w:val="none" w:sz="0" w:space="0" w:color="auto"/>
                <w:left w:val="none" w:sz="0" w:space="0" w:color="auto"/>
                <w:bottom w:val="none" w:sz="0" w:space="0" w:color="auto"/>
                <w:right w:val="none" w:sz="0" w:space="0" w:color="auto"/>
              </w:divBdr>
              <w:divsChild>
                <w:div w:id="222720717">
                  <w:marLeft w:val="0"/>
                  <w:marRight w:val="0"/>
                  <w:marTop w:val="0"/>
                  <w:marBottom w:val="0"/>
                  <w:divBdr>
                    <w:top w:val="none" w:sz="0" w:space="0" w:color="auto"/>
                    <w:left w:val="none" w:sz="0" w:space="0" w:color="auto"/>
                    <w:bottom w:val="none" w:sz="0" w:space="0" w:color="auto"/>
                    <w:right w:val="none" w:sz="0" w:space="0" w:color="auto"/>
                  </w:divBdr>
                  <w:divsChild>
                    <w:div w:id="673190547">
                      <w:marLeft w:val="0"/>
                      <w:marRight w:val="0"/>
                      <w:marTop w:val="0"/>
                      <w:marBottom w:val="0"/>
                      <w:divBdr>
                        <w:top w:val="none" w:sz="0" w:space="0" w:color="auto"/>
                        <w:left w:val="none" w:sz="0" w:space="0" w:color="auto"/>
                        <w:bottom w:val="none" w:sz="0" w:space="0" w:color="auto"/>
                        <w:right w:val="none" w:sz="0" w:space="0" w:color="auto"/>
                      </w:divBdr>
                      <w:divsChild>
                        <w:div w:id="291641113">
                          <w:marLeft w:val="0"/>
                          <w:marRight w:val="0"/>
                          <w:marTop w:val="0"/>
                          <w:marBottom w:val="0"/>
                          <w:divBdr>
                            <w:top w:val="none" w:sz="0" w:space="0" w:color="auto"/>
                            <w:left w:val="none" w:sz="0" w:space="0" w:color="auto"/>
                            <w:bottom w:val="none" w:sz="0" w:space="0" w:color="auto"/>
                            <w:right w:val="none" w:sz="0" w:space="0" w:color="auto"/>
                          </w:divBdr>
                          <w:divsChild>
                            <w:div w:id="1720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783463">
      <w:bodyDiv w:val="1"/>
      <w:marLeft w:val="0"/>
      <w:marRight w:val="0"/>
      <w:marTop w:val="0"/>
      <w:marBottom w:val="0"/>
      <w:divBdr>
        <w:top w:val="none" w:sz="0" w:space="0" w:color="auto"/>
        <w:left w:val="none" w:sz="0" w:space="0" w:color="auto"/>
        <w:bottom w:val="none" w:sz="0" w:space="0" w:color="auto"/>
        <w:right w:val="none" w:sz="0" w:space="0" w:color="auto"/>
      </w:divBdr>
    </w:div>
    <w:div w:id="567107624">
      <w:bodyDiv w:val="1"/>
      <w:marLeft w:val="0"/>
      <w:marRight w:val="0"/>
      <w:marTop w:val="0"/>
      <w:marBottom w:val="0"/>
      <w:divBdr>
        <w:top w:val="none" w:sz="0" w:space="0" w:color="auto"/>
        <w:left w:val="none" w:sz="0" w:space="0" w:color="auto"/>
        <w:bottom w:val="none" w:sz="0" w:space="0" w:color="auto"/>
        <w:right w:val="none" w:sz="0" w:space="0" w:color="auto"/>
      </w:divBdr>
    </w:div>
    <w:div w:id="715273510">
      <w:bodyDiv w:val="1"/>
      <w:marLeft w:val="0"/>
      <w:marRight w:val="0"/>
      <w:marTop w:val="0"/>
      <w:marBottom w:val="0"/>
      <w:divBdr>
        <w:top w:val="none" w:sz="0" w:space="0" w:color="auto"/>
        <w:left w:val="none" w:sz="0" w:space="0" w:color="auto"/>
        <w:bottom w:val="none" w:sz="0" w:space="0" w:color="auto"/>
        <w:right w:val="none" w:sz="0" w:space="0" w:color="auto"/>
      </w:divBdr>
    </w:div>
    <w:div w:id="733892786">
      <w:bodyDiv w:val="1"/>
      <w:marLeft w:val="0"/>
      <w:marRight w:val="0"/>
      <w:marTop w:val="0"/>
      <w:marBottom w:val="0"/>
      <w:divBdr>
        <w:top w:val="none" w:sz="0" w:space="0" w:color="auto"/>
        <w:left w:val="none" w:sz="0" w:space="0" w:color="auto"/>
        <w:bottom w:val="none" w:sz="0" w:space="0" w:color="auto"/>
        <w:right w:val="none" w:sz="0" w:space="0" w:color="auto"/>
      </w:divBdr>
    </w:div>
    <w:div w:id="803501540">
      <w:bodyDiv w:val="1"/>
      <w:marLeft w:val="0"/>
      <w:marRight w:val="0"/>
      <w:marTop w:val="0"/>
      <w:marBottom w:val="0"/>
      <w:divBdr>
        <w:top w:val="none" w:sz="0" w:space="0" w:color="auto"/>
        <w:left w:val="none" w:sz="0" w:space="0" w:color="auto"/>
        <w:bottom w:val="none" w:sz="0" w:space="0" w:color="auto"/>
        <w:right w:val="none" w:sz="0" w:space="0" w:color="auto"/>
      </w:divBdr>
    </w:div>
    <w:div w:id="810830167">
      <w:bodyDiv w:val="1"/>
      <w:marLeft w:val="0"/>
      <w:marRight w:val="0"/>
      <w:marTop w:val="0"/>
      <w:marBottom w:val="0"/>
      <w:divBdr>
        <w:top w:val="none" w:sz="0" w:space="0" w:color="auto"/>
        <w:left w:val="none" w:sz="0" w:space="0" w:color="auto"/>
        <w:bottom w:val="none" w:sz="0" w:space="0" w:color="auto"/>
        <w:right w:val="none" w:sz="0" w:space="0" w:color="auto"/>
      </w:divBdr>
    </w:div>
    <w:div w:id="811991425">
      <w:bodyDiv w:val="1"/>
      <w:marLeft w:val="0"/>
      <w:marRight w:val="0"/>
      <w:marTop w:val="0"/>
      <w:marBottom w:val="0"/>
      <w:divBdr>
        <w:top w:val="none" w:sz="0" w:space="0" w:color="auto"/>
        <w:left w:val="none" w:sz="0" w:space="0" w:color="auto"/>
        <w:bottom w:val="none" w:sz="0" w:space="0" w:color="auto"/>
        <w:right w:val="none" w:sz="0" w:space="0" w:color="auto"/>
      </w:divBdr>
    </w:div>
    <w:div w:id="828062506">
      <w:bodyDiv w:val="1"/>
      <w:marLeft w:val="0"/>
      <w:marRight w:val="0"/>
      <w:marTop w:val="0"/>
      <w:marBottom w:val="0"/>
      <w:divBdr>
        <w:top w:val="none" w:sz="0" w:space="0" w:color="auto"/>
        <w:left w:val="none" w:sz="0" w:space="0" w:color="auto"/>
        <w:bottom w:val="none" w:sz="0" w:space="0" w:color="auto"/>
        <w:right w:val="none" w:sz="0" w:space="0" w:color="auto"/>
      </w:divBdr>
    </w:div>
    <w:div w:id="830098522">
      <w:bodyDiv w:val="1"/>
      <w:marLeft w:val="0"/>
      <w:marRight w:val="0"/>
      <w:marTop w:val="0"/>
      <w:marBottom w:val="0"/>
      <w:divBdr>
        <w:top w:val="none" w:sz="0" w:space="0" w:color="auto"/>
        <w:left w:val="none" w:sz="0" w:space="0" w:color="auto"/>
        <w:bottom w:val="none" w:sz="0" w:space="0" w:color="auto"/>
        <w:right w:val="none" w:sz="0" w:space="0" w:color="auto"/>
      </w:divBdr>
    </w:div>
    <w:div w:id="898327597">
      <w:bodyDiv w:val="1"/>
      <w:marLeft w:val="0"/>
      <w:marRight w:val="0"/>
      <w:marTop w:val="0"/>
      <w:marBottom w:val="0"/>
      <w:divBdr>
        <w:top w:val="none" w:sz="0" w:space="0" w:color="auto"/>
        <w:left w:val="none" w:sz="0" w:space="0" w:color="auto"/>
        <w:bottom w:val="none" w:sz="0" w:space="0" w:color="auto"/>
        <w:right w:val="none" w:sz="0" w:space="0" w:color="auto"/>
      </w:divBdr>
    </w:div>
    <w:div w:id="901257174">
      <w:bodyDiv w:val="1"/>
      <w:marLeft w:val="0"/>
      <w:marRight w:val="0"/>
      <w:marTop w:val="0"/>
      <w:marBottom w:val="0"/>
      <w:divBdr>
        <w:top w:val="none" w:sz="0" w:space="0" w:color="auto"/>
        <w:left w:val="none" w:sz="0" w:space="0" w:color="auto"/>
        <w:bottom w:val="none" w:sz="0" w:space="0" w:color="auto"/>
        <w:right w:val="none" w:sz="0" w:space="0" w:color="auto"/>
      </w:divBdr>
    </w:div>
    <w:div w:id="921182885">
      <w:bodyDiv w:val="1"/>
      <w:marLeft w:val="0"/>
      <w:marRight w:val="0"/>
      <w:marTop w:val="0"/>
      <w:marBottom w:val="0"/>
      <w:divBdr>
        <w:top w:val="none" w:sz="0" w:space="0" w:color="auto"/>
        <w:left w:val="none" w:sz="0" w:space="0" w:color="auto"/>
        <w:bottom w:val="none" w:sz="0" w:space="0" w:color="auto"/>
        <w:right w:val="none" w:sz="0" w:space="0" w:color="auto"/>
      </w:divBdr>
    </w:div>
    <w:div w:id="993531264">
      <w:bodyDiv w:val="1"/>
      <w:marLeft w:val="0"/>
      <w:marRight w:val="0"/>
      <w:marTop w:val="0"/>
      <w:marBottom w:val="0"/>
      <w:divBdr>
        <w:top w:val="none" w:sz="0" w:space="0" w:color="auto"/>
        <w:left w:val="none" w:sz="0" w:space="0" w:color="auto"/>
        <w:bottom w:val="none" w:sz="0" w:space="0" w:color="auto"/>
        <w:right w:val="none" w:sz="0" w:space="0" w:color="auto"/>
      </w:divBdr>
    </w:div>
    <w:div w:id="1065225467">
      <w:bodyDiv w:val="1"/>
      <w:marLeft w:val="0"/>
      <w:marRight w:val="0"/>
      <w:marTop w:val="0"/>
      <w:marBottom w:val="0"/>
      <w:divBdr>
        <w:top w:val="none" w:sz="0" w:space="0" w:color="auto"/>
        <w:left w:val="none" w:sz="0" w:space="0" w:color="auto"/>
        <w:bottom w:val="none" w:sz="0" w:space="0" w:color="auto"/>
        <w:right w:val="none" w:sz="0" w:space="0" w:color="auto"/>
      </w:divBdr>
      <w:divsChild>
        <w:div w:id="921766374">
          <w:marLeft w:val="0"/>
          <w:marRight w:val="0"/>
          <w:marTop w:val="0"/>
          <w:marBottom w:val="0"/>
          <w:divBdr>
            <w:top w:val="none" w:sz="0" w:space="0" w:color="auto"/>
            <w:left w:val="none" w:sz="0" w:space="0" w:color="auto"/>
            <w:bottom w:val="none" w:sz="0" w:space="0" w:color="auto"/>
            <w:right w:val="none" w:sz="0" w:space="0" w:color="auto"/>
          </w:divBdr>
        </w:div>
      </w:divsChild>
    </w:div>
    <w:div w:id="1095440216">
      <w:bodyDiv w:val="1"/>
      <w:marLeft w:val="0"/>
      <w:marRight w:val="0"/>
      <w:marTop w:val="0"/>
      <w:marBottom w:val="0"/>
      <w:divBdr>
        <w:top w:val="none" w:sz="0" w:space="0" w:color="auto"/>
        <w:left w:val="none" w:sz="0" w:space="0" w:color="auto"/>
        <w:bottom w:val="none" w:sz="0" w:space="0" w:color="auto"/>
        <w:right w:val="none" w:sz="0" w:space="0" w:color="auto"/>
      </w:divBdr>
    </w:div>
    <w:div w:id="1117023986">
      <w:bodyDiv w:val="1"/>
      <w:marLeft w:val="0"/>
      <w:marRight w:val="0"/>
      <w:marTop w:val="0"/>
      <w:marBottom w:val="0"/>
      <w:divBdr>
        <w:top w:val="none" w:sz="0" w:space="0" w:color="auto"/>
        <w:left w:val="none" w:sz="0" w:space="0" w:color="auto"/>
        <w:bottom w:val="none" w:sz="0" w:space="0" w:color="auto"/>
        <w:right w:val="none" w:sz="0" w:space="0" w:color="auto"/>
      </w:divBdr>
    </w:div>
    <w:div w:id="1140222321">
      <w:bodyDiv w:val="1"/>
      <w:marLeft w:val="0"/>
      <w:marRight w:val="0"/>
      <w:marTop w:val="0"/>
      <w:marBottom w:val="0"/>
      <w:divBdr>
        <w:top w:val="none" w:sz="0" w:space="0" w:color="auto"/>
        <w:left w:val="none" w:sz="0" w:space="0" w:color="auto"/>
        <w:bottom w:val="none" w:sz="0" w:space="0" w:color="auto"/>
        <w:right w:val="none" w:sz="0" w:space="0" w:color="auto"/>
      </w:divBdr>
    </w:div>
    <w:div w:id="1143428929">
      <w:bodyDiv w:val="1"/>
      <w:marLeft w:val="0"/>
      <w:marRight w:val="0"/>
      <w:marTop w:val="0"/>
      <w:marBottom w:val="0"/>
      <w:divBdr>
        <w:top w:val="none" w:sz="0" w:space="0" w:color="auto"/>
        <w:left w:val="none" w:sz="0" w:space="0" w:color="auto"/>
        <w:bottom w:val="none" w:sz="0" w:space="0" w:color="auto"/>
        <w:right w:val="none" w:sz="0" w:space="0" w:color="auto"/>
      </w:divBdr>
      <w:divsChild>
        <w:div w:id="1379939966">
          <w:marLeft w:val="0"/>
          <w:marRight w:val="0"/>
          <w:marTop w:val="0"/>
          <w:marBottom w:val="0"/>
          <w:divBdr>
            <w:top w:val="none" w:sz="0" w:space="0" w:color="auto"/>
            <w:left w:val="none" w:sz="0" w:space="0" w:color="auto"/>
            <w:bottom w:val="none" w:sz="0" w:space="0" w:color="auto"/>
            <w:right w:val="none" w:sz="0" w:space="0" w:color="auto"/>
          </w:divBdr>
        </w:div>
        <w:div w:id="1393117421">
          <w:marLeft w:val="0"/>
          <w:marRight w:val="0"/>
          <w:marTop w:val="0"/>
          <w:marBottom w:val="0"/>
          <w:divBdr>
            <w:top w:val="none" w:sz="0" w:space="0" w:color="auto"/>
            <w:left w:val="none" w:sz="0" w:space="0" w:color="auto"/>
            <w:bottom w:val="none" w:sz="0" w:space="0" w:color="auto"/>
            <w:right w:val="none" w:sz="0" w:space="0" w:color="auto"/>
          </w:divBdr>
        </w:div>
      </w:divsChild>
    </w:div>
    <w:div w:id="1161002815">
      <w:bodyDiv w:val="1"/>
      <w:marLeft w:val="0"/>
      <w:marRight w:val="0"/>
      <w:marTop w:val="0"/>
      <w:marBottom w:val="0"/>
      <w:divBdr>
        <w:top w:val="none" w:sz="0" w:space="0" w:color="auto"/>
        <w:left w:val="none" w:sz="0" w:space="0" w:color="auto"/>
        <w:bottom w:val="none" w:sz="0" w:space="0" w:color="auto"/>
        <w:right w:val="none" w:sz="0" w:space="0" w:color="auto"/>
      </w:divBdr>
    </w:div>
    <w:div w:id="1187059755">
      <w:bodyDiv w:val="1"/>
      <w:marLeft w:val="0"/>
      <w:marRight w:val="0"/>
      <w:marTop w:val="0"/>
      <w:marBottom w:val="0"/>
      <w:divBdr>
        <w:top w:val="none" w:sz="0" w:space="0" w:color="auto"/>
        <w:left w:val="none" w:sz="0" w:space="0" w:color="auto"/>
        <w:bottom w:val="none" w:sz="0" w:space="0" w:color="auto"/>
        <w:right w:val="none" w:sz="0" w:space="0" w:color="auto"/>
      </w:divBdr>
    </w:div>
    <w:div w:id="1241671191">
      <w:bodyDiv w:val="1"/>
      <w:marLeft w:val="0"/>
      <w:marRight w:val="0"/>
      <w:marTop w:val="0"/>
      <w:marBottom w:val="0"/>
      <w:divBdr>
        <w:top w:val="none" w:sz="0" w:space="0" w:color="auto"/>
        <w:left w:val="none" w:sz="0" w:space="0" w:color="auto"/>
        <w:bottom w:val="none" w:sz="0" w:space="0" w:color="auto"/>
        <w:right w:val="none" w:sz="0" w:space="0" w:color="auto"/>
      </w:divBdr>
    </w:div>
    <w:div w:id="1242134830">
      <w:bodyDiv w:val="1"/>
      <w:marLeft w:val="0"/>
      <w:marRight w:val="0"/>
      <w:marTop w:val="0"/>
      <w:marBottom w:val="0"/>
      <w:divBdr>
        <w:top w:val="none" w:sz="0" w:space="0" w:color="auto"/>
        <w:left w:val="none" w:sz="0" w:space="0" w:color="auto"/>
        <w:bottom w:val="none" w:sz="0" w:space="0" w:color="auto"/>
        <w:right w:val="none" w:sz="0" w:space="0" w:color="auto"/>
      </w:divBdr>
    </w:div>
    <w:div w:id="1291284667">
      <w:bodyDiv w:val="1"/>
      <w:marLeft w:val="0"/>
      <w:marRight w:val="0"/>
      <w:marTop w:val="0"/>
      <w:marBottom w:val="0"/>
      <w:divBdr>
        <w:top w:val="none" w:sz="0" w:space="0" w:color="auto"/>
        <w:left w:val="none" w:sz="0" w:space="0" w:color="auto"/>
        <w:bottom w:val="none" w:sz="0" w:space="0" w:color="auto"/>
        <w:right w:val="none" w:sz="0" w:space="0" w:color="auto"/>
      </w:divBdr>
    </w:div>
    <w:div w:id="1306543237">
      <w:bodyDiv w:val="1"/>
      <w:marLeft w:val="0"/>
      <w:marRight w:val="0"/>
      <w:marTop w:val="0"/>
      <w:marBottom w:val="0"/>
      <w:divBdr>
        <w:top w:val="none" w:sz="0" w:space="0" w:color="auto"/>
        <w:left w:val="none" w:sz="0" w:space="0" w:color="auto"/>
        <w:bottom w:val="none" w:sz="0" w:space="0" w:color="auto"/>
        <w:right w:val="none" w:sz="0" w:space="0" w:color="auto"/>
      </w:divBdr>
    </w:div>
    <w:div w:id="1314067334">
      <w:bodyDiv w:val="1"/>
      <w:marLeft w:val="0"/>
      <w:marRight w:val="0"/>
      <w:marTop w:val="0"/>
      <w:marBottom w:val="0"/>
      <w:divBdr>
        <w:top w:val="none" w:sz="0" w:space="0" w:color="auto"/>
        <w:left w:val="none" w:sz="0" w:space="0" w:color="auto"/>
        <w:bottom w:val="none" w:sz="0" w:space="0" w:color="auto"/>
        <w:right w:val="none" w:sz="0" w:space="0" w:color="auto"/>
      </w:divBdr>
    </w:div>
    <w:div w:id="1329017688">
      <w:bodyDiv w:val="1"/>
      <w:marLeft w:val="0"/>
      <w:marRight w:val="0"/>
      <w:marTop w:val="0"/>
      <w:marBottom w:val="0"/>
      <w:divBdr>
        <w:top w:val="none" w:sz="0" w:space="0" w:color="auto"/>
        <w:left w:val="none" w:sz="0" w:space="0" w:color="auto"/>
        <w:bottom w:val="none" w:sz="0" w:space="0" w:color="auto"/>
        <w:right w:val="none" w:sz="0" w:space="0" w:color="auto"/>
      </w:divBdr>
      <w:divsChild>
        <w:div w:id="1106728845">
          <w:marLeft w:val="0"/>
          <w:marRight w:val="0"/>
          <w:marTop w:val="0"/>
          <w:marBottom w:val="0"/>
          <w:divBdr>
            <w:top w:val="none" w:sz="0" w:space="0" w:color="auto"/>
            <w:left w:val="none" w:sz="0" w:space="0" w:color="auto"/>
            <w:bottom w:val="none" w:sz="0" w:space="0" w:color="auto"/>
            <w:right w:val="none" w:sz="0" w:space="0" w:color="auto"/>
          </w:divBdr>
        </w:div>
        <w:div w:id="2039818381">
          <w:marLeft w:val="0"/>
          <w:marRight w:val="0"/>
          <w:marTop w:val="0"/>
          <w:marBottom w:val="0"/>
          <w:divBdr>
            <w:top w:val="none" w:sz="0" w:space="0" w:color="auto"/>
            <w:left w:val="none" w:sz="0" w:space="0" w:color="auto"/>
            <w:bottom w:val="none" w:sz="0" w:space="0" w:color="auto"/>
            <w:right w:val="none" w:sz="0" w:space="0" w:color="auto"/>
          </w:divBdr>
        </w:div>
      </w:divsChild>
    </w:div>
    <w:div w:id="1345480193">
      <w:bodyDiv w:val="1"/>
      <w:marLeft w:val="0"/>
      <w:marRight w:val="0"/>
      <w:marTop w:val="0"/>
      <w:marBottom w:val="0"/>
      <w:divBdr>
        <w:top w:val="none" w:sz="0" w:space="0" w:color="auto"/>
        <w:left w:val="none" w:sz="0" w:space="0" w:color="auto"/>
        <w:bottom w:val="none" w:sz="0" w:space="0" w:color="auto"/>
        <w:right w:val="none" w:sz="0" w:space="0" w:color="auto"/>
      </w:divBdr>
    </w:div>
    <w:div w:id="1350178023">
      <w:bodyDiv w:val="1"/>
      <w:marLeft w:val="0"/>
      <w:marRight w:val="0"/>
      <w:marTop w:val="0"/>
      <w:marBottom w:val="0"/>
      <w:divBdr>
        <w:top w:val="none" w:sz="0" w:space="0" w:color="auto"/>
        <w:left w:val="none" w:sz="0" w:space="0" w:color="auto"/>
        <w:bottom w:val="none" w:sz="0" w:space="0" w:color="auto"/>
        <w:right w:val="none" w:sz="0" w:space="0" w:color="auto"/>
      </w:divBdr>
    </w:div>
    <w:div w:id="1353609104">
      <w:bodyDiv w:val="1"/>
      <w:marLeft w:val="0"/>
      <w:marRight w:val="0"/>
      <w:marTop w:val="0"/>
      <w:marBottom w:val="0"/>
      <w:divBdr>
        <w:top w:val="none" w:sz="0" w:space="0" w:color="auto"/>
        <w:left w:val="none" w:sz="0" w:space="0" w:color="auto"/>
        <w:bottom w:val="none" w:sz="0" w:space="0" w:color="auto"/>
        <w:right w:val="none" w:sz="0" w:space="0" w:color="auto"/>
      </w:divBdr>
    </w:div>
    <w:div w:id="1362778122">
      <w:bodyDiv w:val="1"/>
      <w:marLeft w:val="0"/>
      <w:marRight w:val="0"/>
      <w:marTop w:val="0"/>
      <w:marBottom w:val="0"/>
      <w:divBdr>
        <w:top w:val="none" w:sz="0" w:space="0" w:color="auto"/>
        <w:left w:val="none" w:sz="0" w:space="0" w:color="auto"/>
        <w:bottom w:val="none" w:sz="0" w:space="0" w:color="auto"/>
        <w:right w:val="none" w:sz="0" w:space="0" w:color="auto"/>
      </w:divBdr>
    </w:div>
    <w:div w:id="1412003045">
      <w:bodyDiv w:val="1"/>
      <w:marLeft w:val="0"/>
      <w:marRight w:val="0"/>
      <w:marTop w:val="0"/>
      <w:marBottom w:val="0"/>
      <w:divBdr>
        <w:top w:val="none" w:sz="0" w:space="0" w:color="auto"/>
        <w:left w:val="none" w:sz="0" w:space="0" w:color="auto"/>
        <w:bottom w:val="none" w:sz="0" w:space="0" w:color="auto"/>
        <w:right w:val="none" w:sz="0" w:space="0" w:color="auto"/>
      </w:divBdr>
    </w:div>
    <w:div w:id="1412658986">
      <w:bodyDiv w:val="1"/>
      <w:marLeft w:val="0"/>
      <w:marRight w:val="0"/>
      <w:marTop w:val="0"/>
      <w:marBottom w:val="0"/>
      <w:divBdr>
        <w:top w:val="none" w:sz="0" w:space="0" w:color="auto"/>
        <w:left w:val="none" w:sz="0" w:space="0" w:color="auto"/>
        <w:bottom w:val="none" w:sz="0" w:space="0" w:color="auto"/>
        <w:right w:val="none" w:sz="0" w:space="0" w:color="auto"/>
      </w:divBdr>
    </w:div>
    <w:div w:id="1415937206">
      <w:bodyDiv w:val="1"/>
      <w:marLeft w:val="0"/>
      <w:marRight w:val="0"/>
      <w:marTop w:val="0"/>
      <w:marBottom w:val="0"/>
      <w:divBdr>
        <w:top w:val="none" w:sz="0" w:space="0" w:color="auto"/>
        <w:left w:val="none" w:sz="0" w:space="0" w:color="auto"/>
        <w:bottom w:val="none" w:sz="0" w:space="0" w:color="auto"/>
        <w:right w:val="none" w:sz="0" w:space="0" w:color="auto"/>
      </w:divBdr>
      <w:divsChild>
        <w:div w:id="351415898">
          <w:marLeft w:val="0"/>
          <w:marRight w:val="0"/>
          <w:marTop w:val="0"/>
          <w:marBottom w:val="0"/>
          <w:divBdr>
            <w:top w:val="none" w:sz="0" w:space="0" w:color="auto"/>
            <w:left w:val="none" w:sz="0" w:space="0" w:color="auto"/>
            <w:bottom w:val="none" w:sz="0" w:space="0" w:color="auto"/>
            <w:right w:val="none" w:sz="0" w:space="0" w:color="auto"/>
          </w:divBdr>
        </w:div>
      </w:divsChild>
    </w:div>
    <w:div w:id="1438598790">
      <w:bodyDiv w:val="1"/>
      <w:marLeft w:val="0"/>
      <w:marRight w:val="0"/>
      <w:marTop w:val="0"/>
      <w:marBottom w:val="0"/>
      <w:divBdr>
        <w:top w:val="none" w:sz="0" w:space="0" w:color="auto"/>
        <w:left w:val="none" w:sz="0" w:space="0" w:color="auto"/>
        <w:bottom w:val="none" w:sz="0" w:space="0" w:color="auto"/>
        <w:right w:val="none" w:sz="0" w:space="0" w:color="auto"/>
      </w:divBdr>
    </w:div>
    <w:div w:id="1447651809">
      <w:bodyDiv w:val="1"/>
      <w:marLeft w:val="0"/>
      <w:marRight w:val="0"/>
      <w:marTop w:val="0"/>
      <w:marBottom w:val="0"/>
      <w:divBdr>
        <w:top w:val="none" w:sz="0" w:space="0" w:color="auto"/>
        <w:left w:val="none" w:sz="0" w:space="0" w:color="auto"/>
        <w:bottom w:val="none" w:sz="0" w:space="0" w:color="auto"/>
        <w:right w:val="none" w:sz="0" w:space="0" w:color="auto"/>
      </w:divBdr>
    </w:div>
    <w:div w:id="1480731536">
      <w:bodyDiv w:val="1"/>
      <w:marLeft w:val="0"/>
      <w:marRight w:val="0"/>
      <w:marTop w:val="0"/>
      <w:marBottom w:val="0"/>
      <w:divBdr>
        <w:top w:val="none" w:sz="0" w:space="0" w:color="auto"/>
        <w:left w:val="none" w:sz="0" w:space="0" w:color="auto"/>
        <w:bottom w:val="none" w:sz="0" w:space="0" w:color="auto"/>
        <w:right w:val="none" w:sz="0" w:space="0" w:color="auto"/>
      </w:divBdr>
    </w:div>
    <w:div w:id="1509906064">
      <w:bodyDiv w:val="1"/>
      <w:marLeft w:val="0"/>
      <w:marRight w:val="0"/>
      <w:marTop w:val="0"/>
      <w:marBottom w:val="0"/>
      <w:divBdr>
        <w:top w:val="none" w:sz="0" w:space="0" w:color="auto"/>
        <w:left w:val="none" w:sz="0" w:space="0" w:color="auto"/>
        <w:bottom w:val="none" w:sz="0" w:space="0" w:color="auto"/>
        <w:right w:val="none" w:sz="0" w:space="0" w:color="auto"/>
      </w:divBdr>
    </w:div>
    <w:div w:id="1517159890">
      <w:bodyDiv w:val="1"/>
      <w:marLeft w:val="0"/>
      <w:marRight w:val="0"/>
      <w:marTop w:val="0"/>
      <w:marBottom w:val="0"/>
      <w:divBdr>
        <w:top w:val="none" w:sz="0" w:space="0" w:color="auto"/>
        <w:left w:val="none" w:sz="0" w:space="0" w:color="auto"/>
        <w:bottom w:val="none" w:sz="0" w:space="0" w:color="auto"/>
        <w:right w:val="none" w:sz="0" w:space="0" w:color="auto"/>
      </w:divBdr>
    </w:div>
    <w:div w:id="1553691541">
      <w:bodyDiv w:val="1"/>
      <w:marLeft w:val="0"/>
      <w:marRight w:val="0"/>
      <w:marTop w:val="0"/>
      <w:marBottom w:val="0"/>
      <w:divBdr>
        <w:top w:val="none" w:sz="0" w:space="0" w:color="auto"/>
        <w:left w:val="none" w:sz="0" w:space="0" w:color="auto"/>
        <w:bottom w:val="none" w:sz="0" w:space="0" w:color="auto"/>
        <w:right w:val="none" w:sz="0" w:space="0" w:color="auto"/>
      </w:divBdr>
      <w:divsChild>
        <w:div w:id="1504469557">
          <w:marLeft w:val="0"/>
          <w:marRight w:val="0"/>
          <w:marTop w:val="0"/>
          <w:marBottom w:val="0"/>
          <w:divBdr>
            <w:top w:val="none" w:sz="0" w:space="0" w:color="auto"/>
            <w:left w:val="none" w:sz="0" w:space="0" w:color="auto"/>
            <w:bottom w:val="none" w:sz="0" w:space="0" w:color="auto"/>
            <w:right w:val="none" w:sz="0" w:space="0" w:color="auto"/>
          </w:divBdr>
        </w:div>
        <w:div w:id="674066632">
          <w:marLeft w:val="0"/>
          <w:marRight w:val="0"/>
          <w:marTop w:val="0"/>
          <w:marBottom w:val="0"/>
          <w:divBdr>
            <w:top w:val="none" w:sz="0" w:space="0" w:color="auto"/>
            <w:left w:val="none" w:sz="0" w:space="0" w:color="auto"/>
            <w:bottom w:val="none" w:sz="0" w:space="0" w:color="auto"/>
            <w:right w:val="none" w:sz="0" w:space="0" w:color="auto"/>
          </w:divBdr>
        </w:div>
        <w:div w:id="1325089639">
          <w:marLeft w:val="0"/>
          <w:marRight w:val="0"/>
          <w:marTop w:val="0"/>
          <w:marBottom w:val="0"/>
          <w:divBdr>
            <w:top w:val="none" w:sz="0" w:space="0" w:color="auto"/>
            <w:left w:val="none" w:sz="0" w:space="0" w:color="auto"/>
            <w:bottom w:val="none" w:sz="0" w:space="0" w:color="auto"/>
            <w:right w:val="none" w:sz="0" w:space="0" w:color="auto"/>
          </w:divBdr>
        </w:div>
      </w:divsChild>
    </w:div>
    <w:div w:id="1556309237">
      <w:bodyDiv w:val="1"/>
      <w:marLeft w:val="0"/>
      <w:marRight w:val="0"/>
      <w:marTop w:val="0"/>
      <w:marBottom w:val="0"/>
      <w:divBdr>
        <w:top w:val="none" w:sz="0" w:space="0" w:color="auto"/>
        <w:left w:val="none" w:sz="0" w:space="0" w:color="auto"/>
        <w:bottom w:val="none" w:sz="0" w:space="0" w:color="auto"/>
        <w:right w:val="none" w:sz="0" w:space="0" w:color="auto"/>
      </w:divBdr>
    </w:div>
    <w:div w:id="1572350277">
      <w:bodyDiv w:val="1"/>
      <w:marLeft w:val="0"/>
      <w:marRight w:val="0"/>
      <w:marTop w:val="0"/>
      <w:marBottom w:val="0"/>
      <w:divBdr>
        <w:top w:val="none" w:sz="0" w:space="0" w:color="auto"/>
        <w:left w:val="none" w:sz="0" w:space="0" w:color="auto"/>
        <w:bottom w:val="none" w:sz="0" w:space="0" w:color="auto"/>
        <w:right w:val="none" w:sz="0" w:space="0" w:color="auto"/>
      </w:divBdr>
    </w:div>
    <w:div w:id="1619413588">
      <w:bodyDiv w:val="1"/>
      <w:marLeft w:val="0"/>
      <w:marRight w:val="0"/>
      <w:marTop w:val="0"/>
      <w:marBottom w:val="0"/>
      <w:divBdr>
        <w:top w:val="none" w:sz="0" w:space="0" w:color="auto"/>
        <w:left w:val="none" w:sz="0" w:space="0" w:color="auto"/>
        <w:bottom w:val="none" w:sz="0" w:space="0" w:color="auto"/>
        <w:right w:val="none" w:sz="0" w:space="0" w:color="auto"/>
      </w:divBdr>
    </w:div>
    <w:div w:id="1655260305">
      <w:bodyDiv w:val="1"/>
      <w:marLeft w:val="0"/>
      <w:marRight w:val="0"/>
      <w:marTop w:val="0"/>
      <w:marBottom w:val="0"/>
      <w:divBdr>
        <w:top w:val="none" w:sz="0" w:space="0" w:color="auto"/>
        <w:left w:val="none" w:sz="0" w:space="0" w:color="auto"/>
        <w:bottom w:val="none" w:sz="0" w:space="0" w:color="auto"/>
        <w:right w:val="none" w:sz="0" w:space="0" w:color="auto"/>
      </w:divBdr>
    </w:div>
    <w:div w:id="1687557172">
      <w:bodyDiv w:val="1"/>
      <w:marLeft w:val="0"/>
      <w:marRight w:val="0"/>
      <w:marTop w:val="0"/>
      <w:marBottom w:val="0"/>
      <w:divBdr>
        <w:top w:val="none" w:sz="0" w:space="0" w:color="auto"/>
        <w:left w:val="none" w:sz="0" w:space="0" w:color="auto"/>
        <w:bottom w:val="none" w:sz="0" w:space="0" w:color="auto"/>
        <w:right w:val="none" w:sz="0" w:space="0" w:color="auto"/>
      </w:divBdr>
    </w:div>
    <w:div w:id="1698117709">
      <w:bodyDiv w:val="1"/>
      <w:marLeft w:val="0"/>
      <w:marRight w:val="0"/>
      <w:marTop w:val="0"/>
      <w:marBottom w:val="0"/>
      <w:divBdr>
        <w:top w:val="none" w:sz="0" w:space="0" w:color="auto"/>
        <w:left w:val="none" w:sz="0" w:space="0" w:color="auto"/>
        <w:bottom w:val="none" w:sz="0" w:space="0" w:color="auto"/>
        <w:right w:val="none" w:sz="0" w:space="0" w:color="auto"/>
      </w:divBdr>
    </w:div>
    <w:div w:id="1703242801">
      <w:bodyDiv w:val="1"/>
      <w:marLeft w:val="0"/>
      <w:marRight w:val="0"/>
      <w:marTop w:val="0"/>
      <w:marBottom w:val="0"/>
      <w:divBdr>
        <w:top w:val="none" w:sz="0" w:space="0" w:color="auto"/>
        <w:left w:val="none" w:sz="0" w:space="0" w:color="auto"/>
        <w:bottom w:val="none" w:sz="0" w:space="0" w:color="auto"/>
        <w:right w:val="none" w:sz="0" w:space="0" w:color="auto"/>
      </w:divBdr>
    </w:div>
    <w:div w:id="1739815359">
      <w:bodyDiv w:val="1"/>
      <w:marLeft w:val="0"/>
      <w:marRight w:val="0"/>
      <w:marTop w:val="0"/>
      <w:marBottom w:val="0"/>
      <w:divBdr>
        <w:top w:val="none" w:sz="0" w:space="0" w:color="auto"/>
        <w:left w:val="none" w:sz="0" w:space="0" w:color="auto"/>
        <w:bottom w:val="none" w:sz="0" w:space="0" w:color="auto"/>
        <w:right w:val="none" w:sz="0" w:space="0" w:color="auto"/>
      </w:divBdr>
    </w:div>
    <w:div w:id="1757826530">
      <w:bodyDiv w:val="1"/>
      <w:marLeft w:val="0"/>
      <w:marRight w:val="0"/>
      <w:marTop w:val="0"/>
      <w:marBottom w:val="0"/>
      <w:divBdr>
        <w:top w:val="none" w:sz="0" w:space="0" w:color="auto"/>
        <w:left w:val="none" w:sz="0" w:space="0" w:color="auto"/>
        <w:bottom w:val="none" w:sz="0" w:space="0" w:color="auto"/>
        <w:right w:val="none" w:sz="0" w:space="0" w:color="auto"/>
      </w:divBdr>
    </w:div>
    <w:div w:id="1777212049">
      <w:bodyDiv w:val="1"/>
      <w:marLeft w:val="0"/>
      <w:marRight w:val="0"/>
      <w:marTop w:val="0"/>
      <w:marBottom w:val="0"/>
      <w:divBdr>
        <w:top w:val="none" w:sz="0" w:space="0" w:color="auto"/>
        <w:left w:val="none" w:sz="0" w:space="0" w:color="auto"/>
        <w:bottom w:val="none" w:sz="0" w:space="0" w:color="auto"/>
        <w:right w:val="none" w:sz="0" w:space="0" w:color="auto"/>
      </w:divBdr>
    </w:div>
    <w:div w:id="1778520623">
      <w:bodyDiv w:val="1"/>
      <w:marLeft w:val="0"/>
      <w:marRight w:val="0"/>
      <w:marTop w:val="0"/>
      <w:marBottom w:val="0"/>
      <w:divBdr>
        <w:top w:val="none" w:sz="0" w:space="0" w:color="auto"/>
        <w:left w:val="none" w:sz="0" w:space="0" w:color="auto"/>
        <w:bottom w:val="none" w:sz="0" w:space="0" w:color="auto"/>
        <w:right w:val="none" w:sz="0" w:space="0" w:color="auto"/>
      </w:divBdr>
    </w:div>
    <w:div w:id="1812282802">
      <w:bodyDiv w:val="1"/>
      <w:marLeft w:val="0"/>
      <w:marRight w:val="0"/>
      <w:marTop w:val="0"/>
      <w:marBottom w:val="0"/>
      <w:divBdr>
        <w:top w:val="none" w:sz="0" w:space="0" w:color="auto"/>
        <w:left w:val="none" w:sz="0" w:space="0" w:color="auto"/>
        <w:bottom w:val="none" w:sz="0" w:space="0" w:color="auto"/>
        <w:right w:val="none" w:sz="0" w:space="0" w:color="auto"/>
      </w:divBdr>
    </w:div>
    <w:div w:id="1825507785">
      <w:bodyDiv w:val="1"/>
      <w:marLeft w:val="0"/>
      <w:marRight w:val="0"/>
      <w:marTop w:val="0"/>
      <w:marBottom w:val="0"/>
      <w:divBdr>
        <w:top w:val="none" w:sz="0" w:space="0" w:color="auto"/>
        <w:left w:val="none" w:sz="0" w:space="0" w:color="auto"/>
        <w:bottom w:val="none" w:sz="0" w:space="0" w:color="auto"/>
        <w:right w:val="none" w:sz="0" w:space="0" w:color="auto"/>
      </w:divBdr>
    </w:div>
    <w:div w:id="1832520206">
      <w:bodyDiv w:val="1"/>
      <w:marLeft w:val="0"/>
      <w:marRight w:val="0"/>
      <w:marTop w:val="0"/>
      <w:marBottom w:val="0"/>
      <w:divBdr>
        <w:top w:val="none" w:sz="0" w:space="0" w:color="auto"/>
        <w:left w:val="none" w:sz="0" w:space="0" w:color="auto"/>
        <w:bottom w:val="none" w:sz="0" w:space="0" w:color="auto"/>
        <w:right w:val="none" w:sz="0" w:space="0" w:color="auto"/>
      </w:divBdr>
    </w:div>
    <w:div w:id="1837921704">
      <w:bodyDiv w:val="1"/>
      <w:marLeft w:val="0"/>
      <w:marRight w:val="0"/>
      <w:marTop w:val="0"/>
      <w:marBottom w:val="0"/>
      <w:divBdr>
        <w:top w:val="none" w:sz="0" w:space="0" w:color="auto"/>
        <w:left w:val="none" w:sz="0" w:space="0" w:color="auto"/>
        <w:bottom w:val="none" w:sz="0" w:space="0" w:color="auto"/>
        <w:right w:val="none" w:sz="0" w:space="0" w:color="auto"/>
      </w:divBdr>
    </w:div>
    <w:div w:id="1842042979">
      <w:bodyDiv w:val="1"/>
      <w:marLeft w:val="0"/>
      <w:marRight w:val="0"/>
      <w:marTop w:val="0"/>
      <w:marBottom w:val="0"/>
      <w:divBdr>
        <w:top w:val="none" w:sz="0" w:space="0" w:color="auto"/>
        <w:left w:val="none" w:sz="0" w:space="0" w:color="auto"/>
        <w:bottom w:val="none" w:sz="0" w:space="0" w:color="auto"/>
        <w:right w:val="none" w:sz="0" w:space="0" w:color="auto"/>
      </w:divBdr>
    </w:div>
    <w:div w:id="1851486084">
      <w:bodyDiv w:val="1"/>
      <w:marLeft w:val="0"/>
      <w:marRight w:val="0"/>
      <w:marTop w:val="0"/>
      <w:marBottom w:val="0"/>
      <w:divBdr>
        <w:top w:val="none" w:sz="0" w:space="0" w:color="auto"/>
        <w:left w:val="none" w:sz="0" w:space="0" w:color="auto"/>
        <w:bottom w:val="none" w:sz="0" w:space="0" w:color="auto"/>
        <w:right w:val="none" w:sz="0" w:space="0" w:color="auto"/>
      </w:divBdr>
    </w:div>
    <w:div w:id="1858230227">
      <w:bodyDiv w:val="1"/>
      <w:marLeft w:val="0"/>
      <w:marRight w:val="0"/>
      <w:marTop w:val="0"/>
      <w:marBottom w:val="0"/>
      <w:divBdr>
        <w:top w:val="none" w:sz="0" w:space="0" w:color="auto"/>
        <w:left w:val="none" w:sz="0" w:space="0" w:color="auto"/>
        <w:bottom w:val="none" w:sz="0" w:space="0" w:color="auto"/>
        <w:right w:val="none" w:sz="0" w:space="0" w:color="auto"/>
      </w:divBdr>
    </w:div>
    <w:div w:id="1868981347">
      <w:bodyDiv w:val="1"/>
      <w:marLeft w:val="0"/>
      <w:marRight w:val="0"/>
      <w:marTop w:val="0"/>
      <w:marBottom w:val="0"/>
      <w:divBdr>
        <w:top w:val="none" w:sz="0" w:space="0" w:color="auto"/>
        <w:left w:val="none" w:sz="0" w:space="0" w:color="auto"/>
        <w:bottom w:val="none" w:sz="0" w:space="0" w:color="auto"/>
        <w:right w:val="none" w:sz="0" w:space="0" w:color="auto"/>
      </w:divBdr>
    </w:div>
    <w:div w:id="1881821959">
      <w:bodyDiv w:val="1"/>
      <w:marLeft w:val="0"/>
      <w:marRight w:val="0"/>
      <w:marTop w:val="0"/>
      <w:marBottom w:val="0"/>
      <w:divBdr>
        <w:top w:val="none" w:sz="0" w:space="0" w:color="auto"/>
        <w:left w:val="none" w:sz="0" w:space="0" w:color="auto"/>
        <w:bottom w:val="none" w:sz="0" w:space="0" w:color="auto"/>
        <w:right w:val="none" w:sz="0" w:space="0" w:color="auto"/>
      </w:divBdr>
    </w:div>
    <w:div w:id="1900827316">
      <w:bodyDiv w:val="1"/>
      <w:marLeft w:val="0"/>
      <w:marRight w:val="0"/>
      <w:marTop w:val="0"/>
      <w:marBottom w:val="0"/>
      <w:divBdr>
        <w:top w:val="none" w:sz="0" w:space="0" w:color="auto"/>
        <w:left w:val="none" w:sz="0" w:space="0" w:color="auto"/>
        <w:bottom w:val="none" w:sz="0" w:space="0" w:color="auto"/>
        <w:right w:val="none" w:sz="0" w:space="0" w:color="auto"/>
      </w:divBdr>
    </w:div>
    <w:div w:id="1914008204">
      <w:bodyDiv w:val="1"/>
      <w:marLeft w:val="0"/>
      <w:marRight w:val="0"/>
      <w:marTop w:val="0"/>
      <w:marBottom w:val="0"/>
      <w:divBdr>
        <w:top w:val="none" w:sz="0" w:space="0" w:color="auto"/>
        <w:left w:val="none" w:sz="0" w:space="0" w:color="auto"/>
        <w:bottom w:val="none" w:sz="0" w:space="0" w:color="auto"/>
        <w:right w:val="none" w:sz="0" w:space="0" w:color="auto"/>
      </w:divBdr>
    </w:div>
    <w:div w:id="1916086223">
      <w:bodyDiv w:val="1"/>
      <w:marLeft w:val="0"/>
      <w:marRight w:val="0"/>
      <w:marTop w:val="0"/>
      <w:marBottom w:val="0"/>
      <w:divBdr>
        <w:top w:val="none" w:sz="0" w:space="0" w:color="auto"/>
        <w:left w:val="none" w:sz="0" w:space="0" w:color="auto"/>
        <w:bottom w:val="none" w:sz="0" w:space="0" w:color="auto"/>
        <w:right w:val="none" w:sz="0" w:space="0" w:color="auto"/>
      </w:divBdr>
    </w:div>
    <w:div w:id="1924025236">
      <w:bodyDiv w:val="1"/>
      <w:marLeft w:val="0"/>
      <w:marRight w:val="0"/>
      <w:marTop w:val="0"/>
      <w:marBottom w:val="0"/>
      <w:divBdr>
        <w:top w:val="none" w:sz="0" w:space="0" w:color="auto"/>
        <w:left w:val="none" w:sz="0" w:space="0" w:color="auto"/>
        <w:bottom w:val="none" w:sz="0" w:space="0" w:color="auto"/>
        <w:right w:val="none" w:sz="0" w:space="0" w:color="auto"/>
      </w:divBdr>
    </w:div>
    <w:div w:id="2070808028">
      <w:bodyDiv w:val="1"/>
      <w:marLeft w:val="0"/>
      <w:marRight w:val="0"/>
      <w:marTop w:val="0"/>
      <w:marBottom w:val="0"/>
      <w:divBdr>
        <w:top w:val="none" w:sz="0" w:space="0" w:color="auto"/>
        <w:left w:val="none" w:sz="0" w:space="0" w:color="auto"/>
        <w:bottom w:val="none" w:sz="0" w:space="0" w:color="auto"/>
        <w:right w:val="none" w:sz="0" w:space="0" w:color="auto"/>
      </w:divBdr>
    </w:div>
    <w:div w:id="2072341542">
      <w:bodyDiv w:val="1"/>
      <w:marLeft w:val="0"/>
      <w:marRight w:val="0"/>
      <w:marTop w:val="0"/>
      <w:marBottom w:val="0"/>
      <w:divBdr>
        <w:top w:val="none" w:sz="0" w:space="0" w:color="auto"/>
        <w:left w:val="none" w:sz="0" w:space="0" w:color="auto"/>
        <w:bottom w:val="none" w:sz="0" w:space="0" w:color="auto"/>
        <w:right w:val="none" w:sz="0" w:space="0" w:color="auto"/>
      </w:divBdr>
    </w:div>
    <w:div w:id="2092578841">
      <w:bodyDiv w:val="1"/>
      <w:marLeft w:val="0"/>
      <w:marRight w:val="0"/>
      <w:marTop w:val="0"/>
      <w:marBottom w:val="0"/>
      <w:divBdr>
        <w:top w:val="none" w:sz="0" w:space="0" w:color="auto"/>
        <w:left w:val="none" w:sz="0" w:space="0" w:color="auto"/>
        <w:bottom w:val="none" w:sz="0" w:space="0" w:color="auto"/>
        <w:right w:val="none" w:sz="0" w:space="0" w:color="auto"/>
      </w:divBdr>
    </w:div>
    <w:div w:id="2125884620">
      <w:bodyDiv w:val="1"/>
      <w:marLeft w:val="0"/>
      <w:marRight w:val="0"/>
      <w:marTop w:val="0"/>
      <w:marBottom w:val="0"/>
      <w:divBdr>
        <w:top w:val="none" w:sz="0" w:space="0" w:color="auto"/>
        <w:left w:val="none" w:sz="0" w:space="0" w:color="auto"/>
        <w:bottom w:val="none" w:sz="0" w:space="0" w:color="auto"/>
        <w:right w:val="none" w:sz="0" w:space="0" w:color="auto"/>
      </w:divBdr>
      <w:divsChild>
        <w:div w:id="320736016">
          <w:marLeft w:val="0"/>
          <w:marRight w:val="0"/>
          <w:marTop w:val="0"/>
          <w:marBottom w:val="0"/>
          <w:divBdr>
            <w:top w:val="none" w:sz="0" w:space="0" w:color="auto"/>
            <w:left w:val="none" w:sz="0" w:space="0" w:color="auto"/>
            <w:bottom w:val="none" w:sz="0" w:space="0" w:color="auto"/>
            <w:right w:val="none" w:sz="0" w:space="0" w:color="auto"/>
          </w:divBdr>
        </w:div>
        <w:div w:id="1152137667">
          <w:marLeft w:val="0"/>
          <w:marRight w:val="0"/>
          <w:marTop w:val="0"/>
          <w:marBottom w:val="0"/>
          <w:divBdr>
            <w:top w:val="none" w:sz="0" w:space="0" w:color="auto"/>
            <w:left w:val="none" w:sz="0" w:space="0" w:color="auto"/>
            <w:bottom w:val="none" w:sz="0" w:space="0" w:color="auto"/>
            <w:right w:val="none" w:sz="0" w:space="0" w:color="auto"/>
          </w:divBdr>
        </w:div>
      </w:divsChild>
    </w:div>
    <w:div w:id="2131120093">
      <w:bodyDiv w:val="1"/>
      <w:marLeft w:val="0"/>
      <w:marRight w:val="0"/>
      <w:marTop w:val="0"/>
      <w:marBottom w:val="0"/>
      <w:divBdr>
        <w:top w:val="none" w:sz="0" w:space="0" w:color="auto"/>
        <w:left w:val="none" w:sz="0" w:space="0" w:color="auto"/>
        <w:bottom w:val="none" w:sz="0" w:space="0" w:color="auto"/>
        <w:right w:val="none" w:sz="0" w:space="0" w:color="auto"/>
      </w:divBdr>
    </w:div>
    <w:div w:id="21391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40d9007-a1fb-482a-96da-a02b62c046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13" ma:contentTypeDescription="Create a new document." ma:contentTypeScope="" ma:versionID="c3d19ebebc2992bab255171358259a31">
  <xsd:schema xmlns:xsd="http://www.w3.org/2001/XMLSchema" xmlns:xs="http://www.w3.org/2001/XMLSchema" xmlns:p="http://schemas.microsoft.com/office/2006/metadata/properties" xmlns:ns3="240d9007-a1fb-482a-96da-a02b62c04690" targetNamespace="http://schemas.microsoft.com/office/2006/metadata/properties" ma:root="true" ma:fieldsID="f539a5008bc6e821f4d34d4f9d77e990" ns3:_="">
    <xsd:import namespace="240d9007-a1fb-482a-96da-a02b62c0469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_activity"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C0258-BD74-4E28-AE54-8615C115214C}">
  <ds:schemaRefs>
    <ds:schemaRef ds:uri="http://schemas.openxmlformats.org/officeDocument/2006/bibliography"/>
  </ds:schemaRefs>
</ds:datastoreItem>
</file>

<file path=customXml/itemProps2.xml><?xml version="1.0" encoding="utf-8"?>
<ds:datastoreItem xmlns:ds="http://schemas.openxmlformats.org/officeDocument/2006/customXml" ds:itemID="{8C309577-B18A-45D8-BD63-E406DC6F146F}">
  <ds:schemaRefs>
    <ds:schemaRef ds:uri="http://schemas.microsoft.com/office/2006/metadata/properties"/>
    <ds:schemaRef ds:uri="http://schemas.microsoft.com/office/infopath/2007/PartnerControls"/>
    <ds:schemaRef ds:uri="240d9007-a1fb-482a-96da-a02b62c04690"/>
  </ds:schemaRefs>
</ds:datastoreItem>
</file>

<file path=customXml/itemProps3.xml><?xml version="1.0" encoding="utf-8"?>
<ds:datastoreItem xmlns:ds="http://schemas.openxmlformats.org/officeDocument/2006/customXml" ds:itemID="{C196E9E1-D444-4C90-8456-00ABA4AA7752}">
  <ds:schemaRefs>
    <ds:schemaRef ds:uri="http://schemas.microsoft.com/sharepoint/v3/contenttype/forms"/>
  </ds:schemaRefs>
</ds:datastoreItem>
</file>

<file path=customXml/itemProps4.xml><?xml version="1.0" encoding="utf-8"?>
<ds:datastoreItem xmlns:ds="http://schemas.openxmlformats.org/officeDocument/2006/customXml" ds:itemID="{7B33F58B-51AC-466F-8C94-B822C1CBF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9007-a1fb-482a-96da-a02b62c04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60</Pages>
  <Words>20808</Words>
  <Characters>118609</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139139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Platon</dc:creator>
  <cp:keywords/>
  <dc:description/>
  <cp:lastModifiedBy>Author</cp:lastModifiedBy>
  <cp:revision>4</cp:revision>
  <cp:lastPrinted>2026-06-18T08:57:00Z</cp:lastPrinted>
  <dcterms:created xsi:type="dcterms:W3CDTF">2026-06-03T14:03:00Z</dcterms:created>
  <dcterms:modified xsi:type="dcterms:W3CDTF">2026-06-18T09:15:00Z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y fmtid="{D5CDD505-2E9C-101B-9397-08002B2CF9AE}" pid="3" name="GrammarlyDocumentId">
    <vt:lpwstr>db1e2cd2-27b3-4989-9512-5885f36fa38e</vt:lpwstr>
  </property>
</Properties>
</file>